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4E422">
      <w:pPr>
        <w:spacing w:line="360" w:lineRule="auto"/>
        <w:rPr>
          <w:rFonts w:hint="eastAsia" w:ascii="宋体" w:hAnsi="宋体"/>
          <w:b/>
          <w:color w:val="auto"/>
          <w:sz w:val="72"/>
          <w:highlight w:val="none"/>
        </w:rPr>
      </w:pPr>
      <w:bookmarkStart w:id="246" w:name="_GoBack"/>
    </w:p>
    <w:p w14:paraId="3972B1CA">
      <w:pPr>
        <w:spacing w:line="360" w:lineRule="auto"/>
        <w:jc w:val="center"/>
        <w:rPr>
          <w:rFonts w:ascii="宋体" w:hAnsi="宋体"/>
          <w:b/>
          <w:color w:val="auto"/>
          <w:sz w:val="72"/>
          <w:highlight w:val="none"/>
        </w:rPr>
      </w:pPr>
      <w:r>
        <w:rPr>
          <w:rFonts w:hint="eastAsia" w:ascii="宋体" w:hAnsi="宋体"/>
          <w:b/>
          <w:color w:val="auto"/>
          <w:sz w:val="72"/>
          <w:highlight w:val="none"/>
        </w:rPr>
        <w:t>政</w:t>
      </w:r>
      <w:r>
        <w:rPr>
          <w:rFonts w:ascii="宋体" w:hAnsi="宋体"/>
          <w:b/>
          <w:color w:val="auto"/>
          <w:sz w:val="72"/>
          <w:highlight w:val="none"/>
        </w:rPr>
        <w:t xml:space="preserve"> </w:t>
      </w:r>
      <w:r>
        <w:rPr>
          <w:rFonts w:hint="eastAsia" w:ascii="宋体" w:hAnsi="宋体"/>
          <w:b/>
          <w:color w:val="auto"/>
          <w:sz w:val="72"/>
          <w:highlight w:val="none"/>
        </w:rPr>
        <w:t>府</w:t>
      </w:r>
      <w:r>
        <w:rPr>
          <w:rFonts w:ascii="宋体" w:hAnsi="宋体"/>
          <w:b/>
          <w:color w:val="auto"/>
          <w:sz w:val="72"/>
          <w:highlight w:val="none"/>
        </w:rPr>
        <w:t xml:space="preserve"> </w:t>
      </w:r>
      <w:r>
        <w:rPr>
          <w:rFonts w:hint="eastAsia" w:ascii="宋体" w:hAnsi="宋体"/>
          <w:b/>
          <w:color w:val="auto"/>
          <w:sz w:val="72"/>
          <w:highlight w:val="none"/>
        </w:rPr>
        <w:t>采</w:t>
      </w:r>
      <w:r>
        <w:rPr>
          <w:rFonts w:ascii="宋体" w:hAnsi="宋体"/>
          <w:b/>
          <w:color w:val="auto"/>
          <w:sz w:val="72"/>
          <w:highlight w:val="none"/>
        </w:rPr>
        <w:t xml:space="preserve"> </w:t>
      </w:r>
      <w:r>
        <w:rPr>
          <w:rFonts w:hint="eastAsia" w:ascii="宋体" w:hAnsi="宋体"/>
          <w:b/>
          <w:color w:val="auto"/>
          <w:sz w:val="72"/>
          <w:highlight w:val="none"/>
        </w:rPr>
        <w:t>购</w:t>
      </w:r>
      <w:r>
        <w:rPr>
          <w:rFonts w:ascii="宋体" w:hAnsi="宋体"/>
          <w:b/>
          <w:color w:val="auto"/>
          <w:sz w:val="72"/>
          <w:highlight w:val="none"/>
        </w:rPr>
        <w:t xml:space="preserve"> </w:t>
      </w:r>
      <w:r>
        <w:rPr>
          <w:rFonts w:hint="eastAsia" w:ascii="宋体" w:hAnsi="宋体"/>
          <w:b/>
          <w:color w:val="auto"/>
          <w:sz w:val="72"/>
          <w:highlight w:val="none"/>
        </w:rPr>
        <w:t>项</w:t>
      </w:r>
      <w:r>
        <w:rPr>
          <w:rFonts w:ascii="宋体" w:hAnsi="宋体"/>
          <w:b/>
          <w:color w:val="auto"/>
          <w:sz w:val="72"/>
          <w:highlight w:val="none"/>
        </w:rPr>
        <w:t xml:space="preserve"> </w:t>
      </w:r>
      <w:r>
        <w:rPr>
          <w:rFonts w:hint="eastAsia" w:ascii="宋体" w:hAnsi="宋体"/>
          <w:b/>
          <w:color w:val="auto"/>
          <w:sz w:val="72"/>
          <w:highlight w:val="none"/>
        </w:rPr>
        <w:t xml:space="preserve">目      </w:t>
      </w:r>
    </w:p>
    <w:p w14:paraId="6AC5E22D">
      <w:pPr>
        <w:spacing w:line="360" w:lineRule="auto"/>
        <w:ind w:firstLine="1063" w:firstLineChars="147"/>
        <w:rPr>
          <w:rFonts w:ascii="宋体" w:hAnsi="宋体"/>
          <w:b/>
          <w:color w:val="auto"/>
          <w:sz w:val="72"/>
          <w:highlight w:val="none"/>
        </w:rPr>
      </w:pPr>
      <w:r>
        <w:rPr>
          <w:rFonts w:hint="eastAsia" w:ascii="宋体" w:hAnsi="宋体"/>
          <w:b/>
          <w:color w:val="auto"/>
          <w:sz w:val="72"/>
          <w:highlight w:val="none"/>
        </w:rPr>
        <w:t>招</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14:paraId="0329EDDE">
      <w:pPr>
        <w:spacing w:line="360" w:lineRule="auto"/>
        <w:ind w:firstLine="1438" w:firstLineChars="398"/>
        <w:rPr>
          <w:rFonts w:ascii="宋体" w:hAnsi="宋体"/>
          <w:b/>
          <w:color w:val="auto"/>
          <w:sz w:val="36"/>
          <w:highlight w:val="none"/>
        </w:rPr>
      </w:pPr>
    </w:p>
    <w:p w14:paraId="7BF3C4D8">
      <w:pPr>
        <w:spacing w:line="360" w:lineRule="auto"/>
        <w:ind w:firstLine="1438" w:firstLineChars="398"/>
        <w:rPr>
          <w:rFonts w:ascii="宋体" w:hAnsi="宋体"/>
          <w:b/>
          <w:color w:val="auto"/>
          <w:sz w:val="36"/>
          <w:highlight w:val="none"/>
        </w:rPr>
      </w:pPr>
    </w:p>
    <w:p w14:paraId="2E6D8538">
      <w:pPr>
        <w:spacing w:line="360" w:lineRule="auto"/>
        <w:ind w:firstLine="1438" w:firstLineChars="398"/>
        <w:rPr>
          <w:rFonts w:ascii="宋体" w:hAnsi="宋体"/>
          <w:b/>
          <w:color w:val="auto"/>
          <w:sz w:val="36"/>
          <w:highlight w:val="none"/>
        </w:rPr>
      </w:pPr>
    </w:p>
    <w:p w14:paraId="169FDDD9">
      <w:pPr>
        <w:spacing w:line="360" w:lineRule="auto"/>
        <w:ind w:firstLine="1438" w:firstLineChars="398"/>
        <w:rPr>
          <w:rFonts w:ascii="宋体" w:hAnsi="宋体"/>
          <w:b/>
          <w:color w:val="auto"/>
          <w:sz w:val="36"/>
          <w:highlight w:val="none"/>
        </w:rPr>
      </w:pPr>
    </w:p>
    <w:p w14:paraId="01959614">
      <w:pPr>
        <w:spacing w:line="360" w:lineRule="auto"/>
        <w:ind w:firstLine="1438" w:firstLineChars="398"/>
        <w:rPr>
          <w:rFonts w:ascii="宋体" w:hAnsi="宋体"/>
          <w:b/>
          <w:color w:val="auto"/>
          <w:sz w:val="36"/>
          <w:highlight w:val="none"/>
          <w:u w:val="single"/>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hint="eastAsia" w:ascii="宋体" w:hAnsi="宋体"/>
          <w:b/>
          <w:color w:val="auto"/>
          <w:sz w:val="36"/>
          <w:highlight w:val="none"/>
          <w:u w:val="single"/>
        </w:rPr>
        <w:t>XM2026-TZ5085</w:t>
      </w:r>
    </w:p>
    <w:p w14:paraId="3EF3DA7C">
      <w:pPr>
        <w:spacing w:line="360" w:lineRule="auto"/>
        <w:ind w:left="3948" w:leftChars="684" w:hanging="2512" w:hangingChars="695"/>
        <w:rPr>
          <w:rFonts w:ascii="宋体" w:hAnsi="宋体"/>
          <w:b/>
          <w:color w:val="auto"/>
          <w:sz w:val="36"/>
          <w:highlight w:val="none"/>
          <w:u w:val="single"/>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称：中国人民银行厦门市分行食材采购</w:t>
      </w:r>
    </w:p>
    <w:p w14:paraId="64D3FE2D">
      <w:pPr>
        <w:spacing w:line="360" w:lineRule="auto"/>
        <w:ind w:firstLine="1438" w:firstLineChars="398"/>
        <w:rPr>
          <w:rFonts w:ascii="宋体" w:hAnsi="宋体"/>
          <w:b/>
          <w:color w:val="auto"/>
          <w:sz w:val="36"/>
          <w:highlight w:val="none"/>
        </w:rPr>
      </w:pPr>
    </w:p>
    <w:p w14:paraId="42D94E79">
      <w:pPr>
        <w:spacing w:line="360" w:lineRule="auto"/>
        <w:ind w:firstLine="1438" w:firstLineChars="398"/>
        <w:rPr>
          <w:rFonts w:ascii="宋体" w:hAnsi="宋体"/>
          <w:b/>
          <w:color w:val="auto"/>
          <w:sz w:val="36"/>
          <w:highlight w:val="none"/>
        </w:rPr>
      </w:pPr>
    </w:p>
    <w:p w14:paraId="7BB089F5">
      <w:pPr>
        <w:spacing w:line="360" w:lineRule="auto"/>
        <w:ind w:firstLine="1438" w:firstLineChars="398"/>
        <w:rPr>
          <w:rFonts w:ascii="宋体" w:hAnsi="宋体"/>
          <w:b/>
          <w:color w:val="auto"/>
          <w:sz w:val="36"/>
          <w:highlight w:val="none"/>
        </w:rPr>
      </w:pPr>
    </w:p>
    <w:p w14:paraId="5A10BD67">
      <w:pPr>
        <w:spacing w:line="360" w:lineRule="auto"/>
        <w:ind w:firstLine="1438" w:firstLineChars="398"/>
        <w:rPr>
          <w:rFonts w:ascii="宋体" w:hAnsi="宋体"/>
          <w:b/>
          <w:color w:val="auto"/>
          <w:sz w:val="36"/>
          <w:highlight w:val="none"/>
        </w:rPr>
      </w:pPr>
    </w:p>
    <w:p w14:paraId="77B93742">
      <w:pPr>
        <w:pStyle w:val="10"/>
        <w:spacing w:line="360" w:lineRule="auto"/>
        <w:ind w:firstLine="1279" w:firstLineChars="398"/>
        <w:jc w:val="left"/>
        <w:rPr>
          <w:rFonts w:hAnsi="宋体"/>
          <w:b/>
          <w:color w:val="auto"/>
          <w:sz w:val="32"/>
          <w:highlight w:val="none"/>
        </w:rPr>
      </w:pPr>
    </w:p>
    <w:p w14:paraId="5BE485F6">
      <w:pPr>
        <w:pStyle w:val="10"/>
        <w:spacing w:line="360" w:lineRule="auto"/>
        <w:ind w:firstLine="1279" w:firstLineChars="398"/>
        <w:jc w:val="left"/>
        <w:rPr>
          <w:rFonts w:hAnsi="宋体"/>
          <w:b/>
          <w:bCs/>
          <w:color w:val="auto"/>
          <w:sz w:val="32"/>
          <w:highlight w:val="none"/>
          <w:u w:val="single"/>
        </w:rPr>
      </w:pPr>
      <w:r>
        <w:rPr>
          <w:rFonts w:hint="eastAsia" w:hAnsi="宋体"/>
          <w:b/>
          <w:color w:val="auto"/>
          <w:sz w:val="32"/>
          <w:highlight w:val="none"/>
        </w:rPr>
        <w:t>采购人：中国人民银行厦门市分行</w:t>
      </w:r>
    </w:p>
    <w:p w14:paraId="750D01DC">
      <w:pPr>
        <w:pStyle w:val="10"/>
        <w:spacing w:line="360" w:lineRule="auto"/>
        <w:ind w:firstLine="1279" w:firstLineChars="398"/>
        <w:jc w:val="left"/>
        <w:rPr>
          <w:rFonts w:hAnsi="宋体"/>
          <w:b/>
          <w:color w:val="auto"/>
          <w:sz w:val="28"/>
          <w:highlight w:val="none"/>
        </w:rPr>
      </w:pPr>
      <w:r>
        <w:rPr>
          <w:rFonts w:hint="eastAsia" w:hAnsi="宋体"/>
          <w:b/>
          <w:color w:val="auto"/>
          <w:sz w:val="32"/>
          <w:highlight w:val="none"/>
        </w:rPr>
        <w:t>招标代理机构：</w:t>
      </w:r>
      <w:r>
        <w:rPr>
          <w:rFonts w:hint="eastAsia" w:hAnsi="宋体"/>
          <w:b/>
          <w:bCs/>
          <w:color w:val="auto"/>
          <w:sz w:val="32"/>
          <w:highlight w:val="none"/>
        </w:rPr>
        <w:t>厦门万翔招标有限公司</w:t>
      </w:r>
      <w:r>
        <w:rPr>
          <w:rFonts w:hAnsi="宋体"/>
          <w:b/>
          <w:color w:val="auto"/>
          <w:sz w:val="32"/>
          <w:highlight w:val="none"/>
        </w:rPr>
        <w:t xml:space="preserve"> </w:t>
      </w:r>
    </w:p>
    <w:p w14:paraId="7D424AB1">
      <w:pPr>
        <w:spacing w:line="360" w:lineRule="auto"/>
        <w:ind w:firstLine="1438" w:firstLineChars="398"/>
        <w:rPr>
          <w:rFonts w:ascii="宋体" w:hAnsi="宋体"/>
          <w:b/>
          <w:color w:val="auto"/>
          <w:sz w:val="36"/>
          <w:highlight w:val="none"/>
        </w:rPr>
      </w:pPr>
    </w:p>
    <w:p w14:paraId="6C6A95B9">
      <w:pPr>
        <w:pStyle w:val="10"/>
        <w:spacing w:line="360" w:lineRule="auto"/>
        <w:jc w:val="center"/>
        <w:rPr>
          <w:rFonts w:hAnsi="宋体"/>
          <w:b/>
          <w:color w:val="auto"/>
          <w:sz w:val="32"/>
          <w:highlight w:val="none"/>
        </w:rPr>
      </w:pPr>
      <w:bookmarkStart w:id="0" w:name="_Toc24955"/>
      <w:bookmarkStart w:id="1" w:name="_Toc10935"/>
      <w:bookmarkStart w:id="2" w:name="_Toc19608"/>
      <w:bookmarkStart w:id="3" w:name="_Toc10192"/>
      <w:bookmarkStart w:id="4" w:name="_Toc17087"/>
      <w:bookmarkStart w:id="5" w:name="_Toc6107"/>
      <w:bookmarkStart w:id="6" w:name="_Toc18910"/>
      <w:bookmarkStart w:id="7" w:name="_Toc6755"/>
      <w:bookmarkStart w:id="8" w:name="_Toc6612"/>
      <w:r>
        <w:rPr>
          <w:rFonts w:hint="eastAsia" w:hAnsi="宋体"/>
          <w:b/>
          <w:color w:val="auto"/>
          <w:sz w:val="32"/>
          <w:highlight w:val="none"/>
        </w:rPr>
        <w:t>2026年</w:t>
      </w:r>
      <w:bookmarkEnd w:id="0"/>
      <w:bookmarkEnd w:id="1"/>
      <w:bookmarkEnd w:id="2"/>
      <w:bookmarkEnd w:id="3"/>
      <w:bookmarkEnd w:id="4"/>
      <w:bookmarkEnd w:id="5"/>
      <w:bookmarkEnd w:id="6"/>
      <w:bookmarkEnd w:id="7"/>
      <w:bookmarkEnd w:id="8"/>
    </w:p>
    <w:p w14:paraId="3BE7125E">
      <w:pPr>
        <w:pStyle w:val="10"/>
        <w:spacing w:line="360" w:lineRule="auto"/>
        <w:jc w:val="center"/>
        <w:rPr>
          <w:rFonts w:hAnsi="宋体"/>
          <w:b/>
          <w:color w:val="auto"/>
          <w:sz w:val="32"/>
          <w:highlight w:val="none"/>
        </w:rPr>
      </w:pPr>
    </w:p>
    <w:p w14:paraId="5E3A4CB2">
      <w:pPr>
        <w:pStyle w:val="10"/>
        <w:spacing w:line="360" w:lineRule="auto"/>
        <w:jc w:val="center"/>
        <w:rPr>
          <w:rFonts w:hAnsi="宋体"/>
          <w:b/>
          <w:color w:val="auto"/>
          <w:sz w:val="32"/>
          <w:highlight w:val="none"/>
        </w:rPr>
      </w:pPr>
    </w:p>
    <w:p w14:paraId="37CF018D">
      <w:pPr>
        <w:pStyle w:val="10"/>
        <w:spacing w:line="360" w:lineRule="auto"/>
        <w:jc w:val="center"/>
        <w:rPr>
          <w:rFonts w:hAnsi="宋体" w:cs="宋体"/>
          <w:color w:val="auto"/>
          <w:sz w:val="24"/>
          <w:szCs w:val="24"/>
          <w:highlight w:val="none"/>
        </w:rPr>
      </w:pPr>
      <w:bookmarkStart w:id="9" w:name="_Toc8973"/>
      <w:bookmarkStart w:id="10" w:name="_Toc2115"/>
      <w:bookmarkStart w:id="11" w:name="_Toc14888"/>
      <w:bookmarkStart w:id="12" w:name="_Toc4075"/>
      <w:bookmarkStart w:id="13" w:name="_Toc14902"/>
      <w:bookmarkStart w:id="14" w:name="_Toc3929"/>
      <w:bookmarkStart w:id="15" w:name="_Toc24650"/>
      <w:bookmarkStart w:id="16" w:name="_Toc16730"/>
      <w:bookmarkStart w:id="17" w:name="_Toc19727"/>
      <w:r>
        <w:rPr>
          <w:rFonts w:hint="eastAsia" w:hAnsi="宋体" w:cs="宋体"/>
          <w:b/>
          <w:bCs/>
          <w:color w:val="auto"/>
          <w:sz w:val="32"/>
          <w:szCs w:val="32"/>
          <w:highlight w:val="none"/>
        </w:rPr>
        <w:t>目   录</w:t>
      </w:r>
      <w:bookmarkEnd w:id="9"/>
      <w:bookmarkEnd w:id="10"/>
      <w:bookmarkEnd w:id="11"/>
      <w:bookmarkEnd w:id="12"/>
      <w:bookmarkEnd w:id="13"/>
      <w:bookmarkEnd w:id="14"/>
      <w:bookmarkEnd w:id="15"/>
      <w:bookmarkEnd w:id="16"/>
      <w:bookmarkEnd w:id="17"/>
    </w:p>
    <w:p w14:paraId="778931FD">
      <w:pPr>
        <w:pStyle w:val="15"/>
        <w:tabs>
          <w:tab w:val="right" w:leader="dot" w:pos="8306"/>
        </w:tabs>
        <w:spacing w:line="440" w:lineRule="exact"/>
        <w:rPr>
          <w:rFonts w:hint="eastAsia" w:ascii="宋体" w:hAnsi="宋体" w:cs="宋体"/>
          <w:b/>
          <w:bCs/>
          <w:color w:val="auto"/>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kern w:val="0"/>
          <w:sz w:val="24"/>
          <w:szCs w:val="24"/>
          <w:highlight w:val="none"/>
        </w:rPr>
        <w:fldChar w:fldCharType="separate"/>
      </w:r>
      <w:r>
        <w:rPr>
          <w:rFonts w:hint="eastAsia" w:ascii="宋体" w:hAnsi="宋体" w:cs="宋体"/>
          <w:b/>
          <w:bCs/>
          <w:color w:val="auto"/>
          <w:kern w:val="0"/>
          <w:sz w:val="24"/>
          <w:szCs w:val="24"/>
          <w:highlight w:val="none"/>
        </w:rPr>
        <w:fldChar w:fldCharType="begin"/>
      </w:r>
      <w:r>
        <w:rPr>
          <w:rFonts w:hint="eastAsia" w:ascii="宋体" w:hAnsi="宋体" w:cs="宋体"/>
          <w:b/>
          <w:bCs/>
          <w:color w:val="auto"/>
          <w:kern w:val="0"/>
          <w:sz w:val="24"/>
          <w:szCs w:val="24"/>
          <w:highlight w:val="none"/>
        </w:rPr>
        <w:instrText xml:space="preserve"> HYPERLINK \l _Toc9594 </w:instrText>
      </w:r>
      <w:r>
        <w:rPr>
          <w:rFonts w:hint="eastAsia" w:ascii="宋体" w:hAnsi="宋体" w:cs="宋体"/>
          <w:b/>
          <w:bCs/>
          <w:color w:val="auto"/>
          <w:kern w:val="0"/>
          <w:sz w:val="24"/>
          <w:szCs w:val="24"/>
          <w:highlight w:val="none"/>
        </w:rPr>
        <w:fldChar w:fldCharType="separate"/>
      </w:r>
      <w:r>
        <w:rPr>
          <w:rFonts w:hint="eastAsia" w:ascii="宋体" w:hAnsi="宋体" w:cs="宋体"/>
          <w:b/>
          <w:bCs/>
          <w:color w:val="auto"/>
          <w:sz w:val="24"/>
          <w:szCs w:val="24"/>
          <w:highlight w:val="none"/>
        </w:rPr>
        <w:t>第一章  投标邀请函</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_Toc9594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rPr>
        <w:fldChar w:fldCharType="end"/>
      </w:r>
      <w:r>
        <w:rPr>
          <w:rFonts w:hint="eastAsia" w:ascii="宋体" w:hAnsi="宋体" w:cs="宋体"/>
          <w:b/>
          <w:bCs/>
          <w:color w:val="auto"/>
          <w:kern w:val="0"/>
          <w:sz w:val="24"/>
          <w:szCs w:val="24"/>
          <w:highlight w:val="none"/>
        </w:rPr>
        <w:fldChar w:fldCharType="end"/>
      </w:r>
    </w:p>
    <w:p w14:paraId="4DDDACB9">
      <w:pPr>
        <w:pStyle w:val="15"/>
        <w:tabs>
          <w:tab w:val="right" w:leader="dot" w:pos="8306"/>
        </w:tabs>
        <w:spacing w:line="4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fldChar w:fldCharType="begin"/>
      </w:r>
      <w:r>
        <w:rPr>
          <w:rFonts w:hint="eastAsia" w:ascii="宋体" w:hAnsi="宋体" w:cs="宋体"/>
          <w:b/>
          <w:bCs/>
          <w:color w:val="auto"/>
          <w:sz w:val="24"/>
          <w:szCs w:val="24"/>
          <w:highlight w:val="none"/>
          <w:lang w:val="zh-CN"/>
        </w:rPr>
        <w:instrText xml:space="preserve"> HYPERLINK \l _Toc27090 </w:instrText>
      </w:r>
      <w:r>
        <w:rPr>
          <w:rFonts w:hint="eastAsia" w:ascii="宋体" w:hAnsi="宋体" w:cs="宋体"/>
          <w:b/>
          <w:bCs/>
          <w:color w:val="auto"/>
          <w:sz w:val="24"/>
          <w:szCs w:val="24"/>
          <w:highlight w:val="none"/>
          <w:lang w:val="zh-CN"/>
        </w:rPr>
        <w:fldChar w:fldCharType="separate"/>
      </w:r>
      <w:r>
        <w:rPr>
          <w:rFonts w:hint="eastAsia" w:ascii="宋体" w:hAnsi="宋体" w:cs="宋体"/>
          <w:b/>
          <w:bCs/>
          <w:color w:val="auto"/>
          <w:sz w:val="24"/>
          <w:szCs w:val="24"/>
          <w:highlight w:val="none"/>
        </w:rPr>
        <w:t>第二章  投标人须知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_Toc27090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zh-CN"/>
        </w:rPr>
        <w:fldChar w:fldCharType="end"/>
      </w:r>
    </w:p>
    <w:p w14:paraId="23C61FD9">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_Toc13062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投标人须知前附表1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_Toc13062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585269F9">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_Toc15910 </w:instrText>
      </w:r>
      <w:r>
        <w:rPr>
          <w:rFonts w:hint="eastAsia" w:ascii="宋体" w:hAnsi="宋体" w:cs="宋体"/>
          <w:bCs/>
          <w:color w:val="auto"/>
          <w:sz w:val="24"/>
          <w:szCs w:val="24"/>
          <w:highlight w:val="none"/>
          <w:lang w:val="zh-CN"/>
        </w:rPr>
        <w:fldChar w:fldCharType="separate"/>
      </w:r>
      <w:r>
        <w:rPr>
          <w:rFonts w:hint="eastAsia" w:ascii="宋体" w:hAnsi="宋体" w:cs="宋体"/>
          <w:bCs/>
          <w:color w:val="auto"/>
          <w:sz w:val="24"/>
          <w:szCs w:val="24"/>
          <w:highlight w:val="none"/>
        </w:rPr>
        <w:t>投标人须知前附表2：资格性、符合性检查表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_Toc15910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35D54C53">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_Toc11326 </w:instrText>
      </w:r>
      <w:r>
        <w:rPr>
          <w:rFonts w:hint="eastAsia" w:ascii="宋体" w:hAnsi="宋体" w:cs="宋体"/>
          <w:bCs/>
          <w:color w:val="auto"/>
          <w:sz w:val="24"/>
          <w:szCs w:val="24"/>
          <w:highlight w:val="none"/>
          <w:lang w:val="zh-CN"/>
        </w:rPr>
        <w:fldChar w:fldCharType="separate"/>
      </w:r>
      <w:r>
        <w:rPr>
          <w:rFonts w:hint="eastAsia" w:ascii="宋体" w:hAnsi="宋体" w:cs="宋体"/>
          <w:bCs/>
          <w:color w:val="auto"/>
          <w:sz w:val="24"/>
          <w:szCs w:val="24"/>
          <w:highlight w:val="none"/>
        </w:rPr>
        <w:t>投标人须知前附表3：评标方法、评标标准、定标原则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_Toc11326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17</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2B17F1C8">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_Toc16733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合同包一：</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_Toc16733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615EC918">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_Toc27223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合同包二：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_Toc27223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518D10EA">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_Toc32585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合同包三：</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_Toc32585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6FCE0A12">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_Toc4292 </w:instrText>
      </w:r>
      <w:r>
        <w:rPr>
          <w:rFonts w:hint="eastAsia" w:ascii="宋体" w:hAnsi="宋体" w:cs="宋体"/>
          <w:bCs/>
          <w:color w:val="auto"/>
          <w:sz w:val="24"/>
          <w:szCs w:val="24"/>
          <w:highlight w:val="none"/>
          <w:lang w:val="zh-CN"/>
        </w:rPr>
        <w:fldChar w:fldCharType="separate"/>
      </w:r>
      <w:r>
        <w:rPr>
          <w:rFonts w:hint="eastAsia" w:ascii="宋体" w:hAnsi="宋体" w:cs="宋体"/>
          <w:bCs/>
          <w:color w:val="auto"/>
          <w:sz w:val="24"/>
          <w:szCs w:val="24"/>
          <w:highlight w:val="none"/>
        </w:rPr>
        <w:t>投标人须知前附表4：中小企业优惠办法（合同包一适用）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_Toc4292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46</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6AC82AE5">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_Toc11148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_Toc11148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49</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7F40701F">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_Toc27896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二、招标文件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_Toc27896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51</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4ED7FC4C">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_Toc13592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三、投标文件的编写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_Toc13592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52</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50C2F29F">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_Toc12930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四、投标文件的提交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_Toc12930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55</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1EEE064E">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_Toc2069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五、投标文件的评估和比较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56</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593387BA">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_Toc28758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六、定标与签订合同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_Toc28758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59</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035862AD">
      <w:pPr>
        <w:pStyle w:val="15"/>
        <w:tabs>
          <w:tab w:val="right" w:leader="dot" w:pos="8306"/>
        </w:tabs>
        <w:spacing w:line="440" w:lineRule="exact"/>
        <w:rPr>
          <w:rFonts w:hint="eastAsia" w:ascii="宋体" w:hAnsi="宋体" w:cs="宋体"/>
          <w:b/>
          <w:color w:val="auto"/>
          <w:sz w:val="24"/>
          <w:szCs w:val="24"/>
          <w:highlight w:val="none"/>
        </w:rPr>
      </w:pPr>
      <w:r>
        <w:rPr>
          <w:rFonts w:hint="eastAsia" w:ascii="宋体" w:hAnsi="宋体" w:cs="宋体"/>
          <w:b/>
          <w:bCs w:val="0"/>
          <w:color w:val="auto"/>
          <w:sz w:val="24"/>
          <w:szCs w:val="24"/>
          <w:highlight w:val="none"/>
          <w:lang w:val="zh-CN"/>
        </w:rPr>
        <w:fldChar w:fldCharType="begin"/>
      </w:r>
      <w:r>
        <w:rPr>
          <w:rFonts w:hint="eastAsia" w:ascii="宋体" w:hAnsi="宋体" w:cs="宋体"/>
          <w:b/>
          <w:bCs w:val="0"/>
          <w:color w:val="auto"/>
          <w:sz w:val="24"/>
          <w:szCs w:val="24"/>
          <w:highlight w:val="none"/>
          <w:lang w:val="zh-CN"/>
        </w:rPr>
        <w:instrText xml:space="preserve"> HYPERLINK \l _Toc17749 </w:instrText>
      </w:r>
      <w:r>
        <w:rPr>
          <w:rFonts w:hint="eastAsia" w:ascii="宋体" w:hAnsi="宋体" w:cs="宋体"/>
          <w:b/>
          <w:bCs w:val="0"/>
          <w:color w:val="auto"/>
          <w:sz w:val="24"/>
          <w:szCs w:val="24"/>
          <w:highlight w:val="none"/>
          <w:lang w:val="zh-CN"/>
        </w:rPr>
        <w:fldChar w:fldCharType="separate"/>
      </w:r>
      <w:r>
        <w:rPr>
          <w:rFonts w:hint="eastAsia" w:ascii="宋体" w:hAnsi="宋体" w:cs="宋体"/>
          <w:b/>
          <w:bCs w:val="0"/>
          <w:color w:val="auto"/>
          <w:sz w:val="24"/>
          <w:szCs w:val="24"/>
          <w:highlight w:val="none"/>
        </w:rPr>
        <w:t>第三章  招标内容及要求</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_Toc17749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62</w:t>
      </w:r>
      <w:r>
        <w:rPr>
          <w:rFonts w:hint="eastAsia" w:ascii="宋体" w:hAnsi="宋体" w:cs="宋体"/>
          <w:b/>
          <w:color w:val="auto"/>
          <w:sz w:val="24"/>
          <w:szCs w:val="24"/>
          <w:highlight w:val="none"/>
        </w:rPr>
        <w:fldChar w:fldCharType="end"/>
      </w:r>
      <w:r>
        <w:rPr>
          <w:rFonts w:hint="eastAsia" w:ascii="宋体" w:hAnsi="宋体" w:cs="宋体"/>
          <w:b/>
          <w:bCs w:val="0"/>
          <w:color w:val="auto"/>
          <w:sz w:val="24"/>
          <w:szCs w:val="24"/>
          <w:highlight w:val="none"/>
          <w:lang w:val="zh-CN"/>
        </w:rPr>
        <w:fldChar w:fldCharType="end"/>
      </w:r>
    </w:p>
    <w:p w14:paraId="4A405189">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_Toc774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一、项目概况</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_Toc774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636A366E">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_Toc8729 </w:instrText>
      </w:r>
      <w:r>
        <w:rPr>
          <w:rFonts w:hint="eastAsia" w:ascii="宋体" w:hAnsi="宋体" w:cs="宋体"/>
          <w:bCs/>
          <w:color w:val="auto"/>
          <w:sz w:val="24"/>
          <w:szCs w:val="24"/>
          <w:highlight w:val="none"/>
          <w:lang w:val="zh-CN"/>
        </w:rPr>
        <w:fldChar w:fldCharType="separate"/>
      </w:r>
      <w:r>
        <w:rPr>
          <w:rFonts w:hint="eastAsia" w:ascii="宋体" w:hAnsi="宋体" w:cs="宋体"/>
          <w:bCs/>
          <w:color w:val="auto"/>
          <w:sz w:val="24"/>
          <w:szCs w:val="24"/>
          <w:highlight w:val="none"/>
        </w:rPr>
        <w:t>二、技术商务要求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_Toc8729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6A9A79FB">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_Toc20956 </w:instrText>
      </w:r>
      <w:r>
        <w:rPr>
          <w:rFonts w:hint="eastAsia" w:ascii="宋体" w:hAnsi="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合同包一：肉类、海鲜类食品</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_Toc20956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215BF9BC">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_Toc6989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（1）技术要求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_Toc6989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725D0DB9">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_Toc30137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（2）商务要求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_Toc30137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67</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6AA2109C">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_Toc16237 </w:instrText>
      </w:r>
      <w:r>
        <w:rPr>
          <w:rFonts w:hint="eastAsia" w:ascii="宋体" w:hAnsi="宋体" w:cs="宋体"/>
          <w:bCs/>
          <w:color w:val="auto"/>
          <w:sz w:val="24"/>
          <w:szCs w:val="24"/>
          <w:highlight w:val="none"/>
          <w:lang w:val="zh-CN"/>
        </w:rPr>
        <w:fldChar w:fldCharType="separate"/>
      </w:r>
      <w:r>
        <w:rPr>
          <w:rFonts w:hint="eastAsia" w:ascii="宋体" w:hAnsi="宋体" w:eastAsia="宋体" w:cs="宋体"/>
          <w:color w:val="auto"/>
          <w:sz w:val="24"/>
          <w:szCs w:val="24"/>
          <w:highlight w:val="none"/>
        </w:rPr>
        <w:t>合同包二：冻品、调味品、米面综合类食品</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_Toc16237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3ACBF991">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_Toc8154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（1）技术要求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_Toc8154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131FE358">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_Toc11428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（2）商务要求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_Toc11428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77</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61974D9B">
      <w:pPr>
        <w:pStyle w:val="16"/>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_Toc2048 </w:instrText>
      </w:r>
      <w:r>
        <w:rPr>
          <w:rFonts w:hint="eastAsia" w:ascii="宋体" w:hAnsi="宋体" w:cs="宋体"/>
          <w:bCs/>
          <w:color w:val="auto"/>
          <w:sz w:val="24"/>
          <w:szCs w:val="24"/>
          <w:highlight w:val="none"/>
          <w:lang w:val="zh-CN"/>
        </w:rPr>
        <w:fldChar w:fldCharType="separate"/>
      </w:r>
      <w:r>
        <w:rPr>
          <w:rFonts w:hint="eastAsia" w:ascii="宋体" w:hAnsi="宋体" w:eastAsia="宋体" w:cs="宋体"/>
          <w:iCs/>
          <w:color w:val="auto"/>
          <w:sz w:val="24"/>
          <w:szCs w:val="24"/>
          <w:highlight w:val="none"/>
        </w:rPr>
        <w:t>合同包三：</w:t>
      </w:r>
      <w:r>
        <w:rPr>
          <w:rFonts w:hint="eastAsia" w:ascii="宋体" w:hAnsi="宋体" w:eastAsia="宋体" w:cs="宋体"/>
          <w:color w:val="auto"/>
          <w:sz w:val="24"/>
          <w:szCs w:val="24"/>
          <w:highlight w:val="none"/>
        </w:rPr>
        <w:t>蔬菜水果类食品</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_Toc2048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37C8F584">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_Toc3312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（1）技术要求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_Toc3312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83</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578F1B90">
      <w:pPr>
        <w:pStyle w:val="9"/>
        <w:tabs>
          <w:tab w:val="right" w:leader="dot" w:pos="8306"/>
        </w:tabs>
        <w:spacing w:line="440" w:lineRule="exact"/>
        <w:rPr>
          <w:rFonts w:hint="eastAsia" w:ascii="宋体" w:hAnsi="宋体" w:cs="宋体"/>
          <w:color w:val="auto"/>
          <w:sz w:val="24"/>
          <w:szCs w:val="24"/>
          <w:highlight w:val="none"/>
        </w:rPr>
      </w:pPr>
      <w:r>
        <w:rPr>
          <w:rFonts w:hint="eastAsia" w:ascii="宋体" w:hAnsi="宋体" w:cs="宋体"/>
          <w:bCs/>
          <w:color w:val="auto"/>
          <w:sz w:val="24"/>
          <w:szCs w:val="24"/>
          <w:highlight w:val="none"/>
          <w:lang w:val="zh-CN"/>
        </w:rPr>
        <w:fldChar w:fldCharType="begin"/>
      </w:r>
      <w:r>
        <w:rPr>
          <w:rFonts w:hint="eastAsia" w:ascii="宋体" w:hAnsi="宋体" w:cs="宋体"/>
          <w:bCs/>
          <w:color w:val="auto"/>
          <w:sz w:val="24"/>
          <w:szCs w:val="24"/>
          <w:highlight w:val="none"/>
          <w:lang w:val="zh-CN"/>
        </w:rPr>
        <w:instrText xml:space="preserve"> HYPERLINK \l _Toc9350 </w:instrText>
      </w:r>
      <w:r>
        <w:rPr>
          <w:rFonts w:hint="eastAsia" w:ascii="宋体" w:hAnsi="宋体" w:cs="宋体"/>
          <w:bCs/>
          <w:color w:val="auto"/>
          <w:sz w:val="24"/>
          <w:szCs w:val="24"/>
          <w:highlight w:val="none"/>
          <w:lang w:val="zh-CN"/>
        </w:rPr>
        <w:fldChar w:fldCharType="separate"/>
      </w:r>
      <w:r>
        <w:rPr>
          <w:rFonts w:hint="eastAsia" w:ascii="宋体" w:hAnsi="宋体" w:cs="宋体"/>
          <w:color w:val="auto"/>
          <w:sz w:val="24"/>
          <w:szCs w:val="24"/>
          <w:highlight w:val="none"/>
        </w:rPr>
        <w:t>（2）商务要求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_Toc9350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87</w:t>
      </w:r>
      <w:r>
        <w:rPr>
          <w:rFonts w:hint="eastAsia" w:ascii="宋体" w:hAnsi="宋体" w:cs="宋体"/>
          <w:color w:val="auto"/>
          <w:sz w:val="24"/>
          <w:szCs w:val="24"/>
          <w:highlight w:val="none"/>
        </w:rPr>
        <w:fldChar w:fldCharType="end"/>
      </w:r>
      <w:r>
        <w:rPr>
          <w:rFonts w:hint="eastAsia" w:ascii="宋体" w:hAnsi="宋体" w:cs="宋体"/>
          <w:bCs/>
          <w:color w:val="auto"/>
          <w:sz w:val="24"/>
          <w:szCs w:val="24"/>
          <w:highlight w:val="none"/>
          <w:lang w:val="zh-CN"/>
        </w:rPr>
        <w:fldChar w:fldCharType="end"/>
      </w:r>
    </w:p>
    <w:p w14:paraId="541C8092">
      <w:pPr>
        <w:pStyle w:val="15"/>
        <w:tabs>
          <w:tab w:val="right" w:leader="dot" w:pos="8306"/>
        </w:tabs>
        <w:spacing w:line="440" w:lineRule="exact"/>
        <w:rPr>
          <w:rFonts w:hint="eastAsia" w:ascii="宋体" w:hAnsi="宋体" w:cs="宋体"/>
          <w:b/>
          <w:color w:val="auto"/>
          <w:sz w:val="24"/>
          <w:szCs w:val="24"/>
          <w:highlight w:val="none"/>
        </w:rPr>
      </w:pPr>
      <w:r>
        <w:rPr>
          <w:rFonts w:hint="eastAsia" w:ascii="宋体" w:hAnsi="宋体" w:cs="宋体"/>
          <w:b/>
          <w:bCs w:val="0"/>
          <w:color w:val="auto"/>
          <w:sz w:val="24"/>
          <w:szCs w:val="24"/>
          <w:highlight w:val="none"/>
          <w:lang w:val="zh-CN"/>
        </w:rPr>
        <w:fldChar w:fldCharType="begin"/>
      </w:r>
      <w:r>
        <w:rPr>
          <w:rFonts w:hint="eastAsia" w:ascii="宋体" w:hAnsi="宋体" w:cs="宋体"/>
          <w:b/>
          <w:bCs w:val="0"/>
          <w:color w:val="auto"/>
          <w:sz w:val="24"/>
          <w:szCs w:val="24"/>
          <w:highlight w:val="none"/>
          <w:lang w:val="zh-CN"/>
        </w:rPr>
        <w:instrText xml:space="preserve"> HYPERLINK \l _Toc26695 </w:instrText>
      </w:r>
      <w:r>
        <w:rPr>
          <w:rFonts w:hint="eastAsia" w:ascii="宋体" w:hAnsi="宋体" w:cs="宋体"/>
          <w:b/>
          <w:bCs w:val="0"/>
          <w:color w:val="auto"/>
          <w:sz w:val="24"/>
          <w:szCs w:val="24"/>
          <w:highlight w:val="none"/>
          <w:lang w:val="zh-CN"/>
        </w:rPr>
        <w:fldChar w:fldCharType="separate"/>
      </w:r>
      <w:r>
        <w:rPr>
          <w:rFonts w:hint="eastAsia" w:ascii="宋体" w:hAnsi="宋体" w:cs="宋体"/>
          <w:b/>
          <w:bCs w:val="0"/>
          <w:color w:val="auto"/>
          <w:sz w:val="24"/>
          <w:szCs w:val="24"/>
          <w:highlight w:val="none"/>
        </w:rPr>
        <w:t>第四章  政府采购合同</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_Toc26695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94</w:t>
      </w:r>
      <w:r>
        <w:rPr>
          <w:rFonts w:hint="eastAsia" w:ascii="宋体" w:hAnsi="宋体" w:cs="宋体"/>
          <w:b/>
          <w:color w:val="auto"/>
          <w:sz w:val="24"/>
          <w:szCs w:val="24"/>
          <w:highlight w:val="none"/>
        </w:rPr>
        <w:fldChar w:fldCharType="end"/>
      </w:r>
      <w:r>
        <w:rPr>
          <w:rFonts w:hint="eastAsia" w:ascii="宋体" w:hAnsi="宋体" w:cs="宋体"/>
          <w:b/>
          <w:bCs w:val="0"/>
          <w:color w:val="auto"/>
          <w:sz w:val="24"/>
          <w:szCs w:val="24"/>
          <w:highlight w:val="none"/>
          <w:lang w:val="zh-CN"/>
        </w:rPr>
        <w:fldChar w:fldCharType="end"/>
      </w:r>
    </w:p>
    <w:p w14:paraId="343E1CDD">
      <w:pPr>
        <w:pStyle w:val="15"/>
        <w:tabs>
          <w:tab w:val="right" w:leader="dot" w:pos="8306"/>
        </w:tabs>
        <w:spacing w:line="440" w:lineRule="exact"/>
        <w:rPr>
          <w:rFonts w:hint="eastAsia" w:ascii="宋体" w:hAnsi="宋体" w:cs="宋体"/>
          <w:b/>
          <w:color w:val="auto"/>
          <w:sz w:val="24"/>
          <w:szCs w:val="24"/>
          <w:highlight w:val="none"/>
        </w:rPr>
      </w:pPr>
      <w:r>
        <w:rPr>
          <w:rFonts w:hint="eastAsia" w:ascii="宋体" w:hAnsi="宋体" w:cs="宋体"/>
          <w:b/>
          <w:bCs w:val="0"/>
          <w:color w:val="auto"/>
          <w:sz w:val="24"/>
          <w:szCs w:val="24"/>
          <w:highlight w:val="none"/>
          <w:lang w:val="zh-CN"/>
        </w:rPr>
        <w:fldChar w:fldCharType="begin"/>
      </w:r>
      <w:r>
        <w:rPr>
          <w:rFonts w:hint="eastAsia" w:ascii="宋体" w:hAnsi="宋体" w:cs="宋体"/>
          <w:b/>
          <w:bCs w:val="0"/>
          <w:color w:val="auto"/>
          <w:sz w:val="24"/>
          <w:szCs w:val="24"/>
          <w:highlight w:val="none"/>
          <w:lang w:val="zh-CN"/>
        </w:rPr>
        <w:instrText xml:space="preserve"> HYPERLINK \l _Toc17508 </w:instrText>
      </w:r>
      <w:r>
        <w:rPr>
          <w:rFonts w:hint="eastAsia" w:ascii="宋体" w:hAnsi="宋体" w:cs="宋体"/>
          <w:b/>
          <w:bCs w:val="0"/>
          <w:color w:val="auto"/>
          <w:sz w:val="24"/>
          <w:szCs w:val="24"/>
          <w:highlight w:val="none"/>
          <w:lang w:val="zh-CN"/>
        </w:rPr>
        <w:fldChar w:fldCharType="separate"/>
      </w:r>
      <w:r>
        <w:rPr>
          <w:rFonts w:hint="eastAsia" w:ascii="宋体" w:hAnsi="宋体" w:cs="宋体"/>
          <w:b/>
          <w:bCs w:val="0"/>
          <w:color w:val="auto"/>
          <w:sz w:val="24"/>
          <w:szCs w:val="24"/>
          <w:highlight w:val="none"/>
        </w:rPr>
        <w:t>第五章  投标文件格式</w:t>
      </w:r>
      <w:r>
        <w:rPr>
          <w:rFonts w:hint="eastAsia" w:ascii="宋体" w:hAnsi="宋体" w:cs="宋体"/>
          <w:b/>
          <w:color w:val="auto"/>
          <w:sz w:val="24"/>
          <w:szCs w:val="24"/>
          <w:highlight w:val="none"/>
        </w:rPr>
        <w:tab/>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PAGEREF _Toc17508 \h </w:instrText>
      </w:r>
      <w:r>
        <w:rPr>
          <w:rFonts w:hint="eastAsia" w:ascii="宋体" w:hAnsi="宋体" w:cs="宋体"/>
          <w:b/>
          <w:color w:val="auto"/>
          <w:sz w:val="24"/>
          <w:szCs w:val="24"/>
          <w:highlight w:val="none"/>
        </w:rPr>
        <w:fldChar w:fldCharType="separate"/>
      </w:r>
      <w:r>
        <w:rPr>
          <w:rFonts w:hint="eastAsia" w:ascii="宋体" w:hAnsi="宋体" w:cs="宋体"/>
          <w:b/>
          <w:color w:val="auto"/>
          <w:sz w:val="24"/>
          <w:szCs w:val="24"/>
          <w:highlight w:val="none"/>
        </w:rPr>
        <w:t>105</w:t>
      </w:r>
      <w:r>
        <w:rPr>
          <w:rFonts w:hint="eastAsia" w:ascii="宋体" w:hAnsi="宋体" w:cs="宋体"/>
          <w:b/>
          <w:color w:val="auto"/>
          <w:sz w:val="24"/>
          <w:szCs w:val="24"/>
          <w:highlight w:val="none"/>
        </w:rPr>
        <w:fldChar w:fldCharType="end"/>
      </w:r>
      <w:r>
        <w:rPr>
          <w:rFonts w:hint="eastAsia" w:ascii="宋体" w:hAnsi="宋体" w:cs="宋体"/>
          <w:b/>
          <w:bCs w:val="0"/>
          <w:color w:val="auto"/>
          <w:sz w:val="24"/>
          <w:szCs w:val="24"/>
          <w:highlight w:val="none"/>
          <w:lang w:val="zh-CN"/>
        </w:rPr>
        <w:fldChar w:fldCharType="end"/>
      </w:r>
    </w:p>
    <w:p w14:paraId="1046E871">
      <w:pPr>
        <w:pStyle w:val="5"/>
        <w:spacing w:line="440" w:lineRule="exact"/>
        <w:ind w:firstLine="2241" w:firstLineChars="934"/>
        <w:rPr>
          <w:rFonts w:ascii="宋体" w:hAnsi="宋体" w:cs="宋体"/>
          <w:b/>
          <w:color w:val="auto"/>
          <w:sz w:val="24"/>
          <w:szCs w:val="24"/>
          <w:highlight w:val="none"/>
          <w:u w:val="single"/>
        </w:rPr>
        <w:sectPr>
          <w:footerReference r:id="rId5" w:type="first"/>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s="宋体"/>
          <w:bCs/>
          <w:color w:val="auto"/>
          <w:sz w:val="24"/>
          <w:szCs w:val="24"/>
          <w:highlight w:val="none"/>
          <w:lang w:val="zh-CN"/>
        </w:rPr>
        <w:fldChar w:fldCharType="end"/>
      </w:r>
    </w:p>
    <w:p w14:paraId="1A12C6CB">
      <w:pPr>
        <w:pStyle w:val="10"/>
        <w:jc w:val="center"/>
        <w:outlineLvl w:val="0"/>
        <w:rPr>
          <w:rFonts w:hAnsi="宋体" w:cs="宋体"/>
          <w:b/>
          <w:bCs/>
          <w:color w:val="auto"/>
          <w:sz w:val="32"/>
          <w:szCs w:val="32"/>
          <w:highlight w:val="none"/>
        </w:rPr>
      </w:pPr>
      <w:bookmarkStart w:id="18" w:name="_Toc19680"/>
      <w:bookmarkStart w:id="19" w:name="_Toc23794"/>
      <w:bookmarkStart w:id="20" w:name="_Toc21666"/>
      <w:bookmarkStart w:id="21" w:name="_Toc26498"/>
      <w:bookmarkStart w:id="22" w:name="_Toc9594"/>
      <w:bookmarkStart w:id="23" w:name="_Toc127"/>
      <w:bookmarkStart w:id="24" w:name="_Toc16389"/>
      <w:bookmarkStart w:id="25" w:name="_Toc16657"/>
      <w:bookmarkStart w:id="26" w:name="_Toc9339"/>
      <w:bookmarkStart w:id="27" w:name="_Toc10135"/>
      <w:r>
        <w:rPr>
          <w:rFonts w:hint="eastAsia" w:hAnsi="宋体" w:cs="宋体"/>
          <w:b/>
          <w:bCs/>
          <w:color w:val="auto"/>
          <w:sz w:val="32"/>
          <w:szCs w:val="32"/>
          <w:highlight w:val="none"/>
        </w:rPr>
        <w:t>第一章  投标邀请函</w:t>
      </w:r>
      <w:bookmarkEnd w:id="18"/>
      <w:bookmarkEnd w:id="19"/>
      <w:bookmarkEnd w:id="20"/>
      <w:bookmarkEnd w:id="21"/>
      <w:bookmarkEnd w:id="22"/>
      <w:bookmarkEnd w:id="23"/>
      <w:bookmarkEnd w:id="24"/>
      <w:bookmarkEnd w:id="25"/>
      <w:bookmarkEnd w:id="26"/>
      <w:bookmarkEnd w:id="27"/>
    </w:p>
    <w:p w14:paraId="325BBD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受【</w:t>
      </w:r>
      <w:r>
        <w:rPr>
          <w:rFonts w:hint="eastAsia" w:ascii="宋体" w:hAnsi="宋体" w:cs="宋体"/>
          <w:b/>
          <w:color w:val="auto"/>
          <w:sz w:val="24"/>
          <w:szCs w:val="24"/>
          <w:highlight w:val="none"/>
          <w:u w:val="single"/>
        </w:rPr>
        <w:t>中国人民银行厦门市分行】</w:t>
      </w:r>
      <w:r>
        <w:rPr>
          <w:rFonts w:hint="eastAsia" w:ascii="宋体" w:hAnsi="宋体" w:cs="宋体"/>
          <w:color w:val="auto"/>
          <w:sz w:val="24"/>
          <w:szCs w:val="24"/>
          <w:highlight w:val="none"/>
        </w:rPr>
        <w:t>委托，</w:t>
      </w:r>
      <w:r>
        <w:rPr>
          <w:rFonts w:hint="eastAsia" w:ascii="宋体" w:hAnsi="宋体" w:cs="宋体"/>
          <w:b/>
          <w:color w:val="auto"/>
          <w:sz w:val="24"/>
          <w:szCs w:val="24"/>
          <w:highlight w:val="none"/>
          <w:u w:val="single"/>
        </w:rPr>
        <w:t>厦门万翔招标有限公司</w:t>
      </w:r>
      <w:r>
        <w:rPr>
          <w:rFonts w:hint="eastAsia" w:ascii="宋体" w:hAnsi="宋体" w:cs="宋体"/>
          <w:color w:val="auto"/>
          <w:sz w:val="24"/>
          <w:szCs w:val="24"/>
          <w:highlight w:val="none"/>
        </w:rPr>
        <w:t>对【</w:t>
      </w:r>
      <w:r>
        <w:rPr>
          <w:rFonts w:hint="eastAsia" w:ascii="宋体" w:hAnsi="宋体" w:cs="宋体"/>
          <w:b/>
          <w:bCs/>
          <w:color w:val="auto"/>
          <w:sz w:val="24"/>
          <w:szCs w:val="24"/>
          <w:highlight w:val="none"/>
          <w:u w:val="single"/>
        </w:rPr>
        <w:t>中国人民银行厦门市分行食材采购</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服务进行国内公开招标，现欢迎国内合格的投标人前来投标。</w:t>
      </w:r>
    </w:p>
    <w:p w14:paraId="694E5546">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1、招标编号：</w:t>
      </w:r>
      <w:r>
        <w:rPr>
          <w:rFonts w:hint="eastAsia" w:ascii="宋体" w:hAnsi="宋体" w:cs="宋体"/>
          <w:color w:val="auto"/>
          <w:sz w:val="24"/>
          <w:szCs w:val="24"/>
          <w:highlight w:val="none"/>
          <w:u w:val="single"/>
        </w:rPr>
        <w:t>XM2026-TZ5085。</w:t>
      </w:r>
    </w:p>
    <w:p w14:paraId="5C9201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2、招标服务名称、数量及主要技术规格：见后附招标服务一览表。</w:t>
      </w:r>
    </w:p>
    <w:p w14:paraId="180328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3、招标文件获取方式：</w:t>
      </w:r>
      <w:r>
        <w:rPr>
          <w:rFonts w:hint="eastAsia" w:ascii="宋体" w:hAnsi="宋体" w:cs="宋体"/>
          <w:bCs/>
          <w:color w:val="auto"/>
          <w:sz w:val="24"/>
          <w:szCs w:val="24"/>
          <w:highlight w:val="none"/>
        </w:rPr>
        <w:t>2026年</w:t>
      </w:r>
      <w:r>
        <w:rPr>
          <w:rFonts w:hint="eastAsia" w:ascii="宋体" w:hAnsi="宋体" w:cs="宋体"/>
          <w:bCs/>
          <w:color w:val="auto"/>
          <w:sz w:val="24"/>
          <w:szCs w:val="24"/>
          <w:highlight w:val="none"/>
          <w:lang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日至2026年</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日（节假日除外）上午8:30至12:00，下午2:00至5:30（北京时间）在</w:t>
      </w:r>
      <w:r>
        <w:rPr>
          <w:rFonts w:hint="eastAsia" w:ascii="宋体" w:hAnsi="宋体" w:cs="宋体"/>
          <w:color w:val="auto"/>
          <w:sz w:val="24"/>
          <w:szCs w:val="24"/>
          <w:highlight w:val="none"/>
          <w:u w:val="single"/>
        </w:rPr>
        <w:t>厦门市湖里区机场北路476号四楼售标室</w:t>
      </w:r>
      <w:r>
        <w:rPr>
          <w:rFonts w:hint="eastAsia" w:ascii="宋体" w:hAnsi="宋体" w:cs="宋体"/>
          <w:color w:val="auto"/>
          <w:sz w:val="24"/>
          <w:szCs w:val="24"/>
          <w:highlight w:val="none"/>
        </w:rPr>
        <w:t>购买招标文件，联系人及电话：蒋小姐0592-2219823。</w:t>
      </w:r>
    </w:p>
    <w:p w14:paraId="58A97F28">
      <w:pPr>
        <w:pStyle w:val="1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4、招标文件售价：每个合同包</w:t>
      </w:r>
      <w:r>
        <w:rPr>
          <w:rFonts w:hint="eastAsia" w:hAnsi="宋体" w:cs="宋体"/>
          <w:color w:val="auto"/>
          <w:sz w:val="24"/>
          <w:szCs w:val="24"/>
          <w:highlight w:val="none"/>
          <w:u w:val="single"/>
        </w:rPr>
        <w:t xml:space="preserve">50 </w:t>
      </w:r>
      <w:r>
        <w:rPr>
          <w:rFonts w:hint="eastAsia" w:hAnsi="宋体" w:cs="宋体"/>
          <w:color w:val="auto"/>
          <w:sz w:val="24"/>
          <w:szCs w:val="24"/>
          <w:highlight w:val="none"/>
        </w:rPr>
        <w:t>元人民币，售后不退。</w:t>
      </w:r>
    </w:p>
    <w:p w14:paraId="18876467">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5、投标截止时间、地点：投标文件应于2026年</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日上午</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9:00（北京时间）之前提交到</w:t>
      </w:r>
      <w:r>
        <w:rPr>
          <w:rFonts w:hint="eastAsia" w:ascii="宋体" w:hAnsi="宋体" w:cs="宋体"/>
          <w:b/>
          <w:color w:val="auto"/>
          <w:sz w:val="24"/>
          <w:szCs w:val="24"/>
          <w:highlight w:val="none"/>
          <w:u w:val="single"/>
        </w:rPr>
        <w:t>厦门市湖里区机场北路476号四楼开标厅</w:t>
      </w:r>
      <w:r>
        <w:rPr>
          <w:rFonts w:hint="eastAsia" w:ascii="宋体" w:hAnsi="宋体" w:cs="宋体"/>
          <w:color w:val="auto"/>
          <w:sz w:val="24"/>
          <w:szCs w:val="24"/>
          <w:highlight w:val="none"/>
        </w:rPr>
        <w:t>。逾期收到的或不符合规定的投标文件将被拒绝。</w:t>
      </w:r>
    </w:p>
    <w:p w14:paraId="21ECB80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6、开标时间、地点： 2026年</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日上午</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9:00（北京时间）于</w:t>
      </w:r>
      <w:r>
        <w:rPr>
          <w:rFonts w:hint="eastAsia" w:ascii="宋体" w:hAnsi="宋体" w:cs="宋体"/>
          <w:b/>
          <w:color w:val="auto"/>
          <w:sz w:val="24"/>
          <w:szCs w:val="24"/>
          <w:highlight w:val="none"/>
          <w:u w:val="single"/>
        </w:rPr>
        <w:t>厦门市湖里区机场北路476号四楼开标厅</w:t>
      </w:r>
      <w:r>
        <w:rPr>
          <w:rFonts w:hint="eastAsia" w:ascii="宋体" w:hAnsi="宋体" w:cs="宋体"/>
          <w:color w:val="auto"/>
          <w:sz w:val="24"/>
          <w:szCs w:val="24"/>
          <w:highlight w:val="none"/>
        </w:rPr>
        <w:t>。</w:t>
      </w:r>
    </w:p>
    <w:p w14:paraId="3903E4D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7、本项目（不接受）联合体投标。</w:t>
      </w:r>
    </w:p>
    <w:p w14:paraId="23420864">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8、招标文件如有变更，</w:t>
      </w:r>
      <w:r>
        <w:rPr>
          <w:rFonts w:hint="eastAsia" w:ascii="宋体" w:hAnsi="宋体" w:cs="宋体"/>
          <w:b/>
          <w:color w:val="auto"/>
          <w:sz w:val="24"/>
          <w:szCs w:val="24"/>
          <w:highlight w:val="none"/>
          <w:u w:val="single"/>
        </w:rPr>
        <w:t>厦门万翔招标有限公司</w:t>
      </w:r>
      <w:r>
        <w:rPr>
          <w:rFonts w:hint="eastAsia" w:ascii="宋体" w:hAnsi="宋体" w:cs="宋体"/>
          <w:bCs/>
          <w:color w:val="auto"/>
          <w:sz w:val="24"/>
          <w:szCs w:val="24"/>
          <w:highlight w:val="none"/>
        </w:rPr>
        <w:t>将通过厦门招投标网（</w:t>
      </w:r>
      <w:r>
        <w:rPr>
          <w:rFonts w:hint="eastAsia" w:ascii="宋体" w:hAnsi="宋体" w:cs="宋体"/>
          <w:color w:val="auto"/>
          <w:sz w:val="24"/>
          <w:szCs w:val="24"/>
          <w:highlight w:val="none"/>
        </w:rPr>
        <w:t>www.xmztb.com</w:t>
      </w:r>
      <w:r>
        <w:rPr>
          <w:rFonts w:hint="eastAsia" w:ascii="宋体" w:hAnsi="宋体" w:cs="宋体"/>
          <w:bCs/>
          <w:color w:val="auto"/>
          <w:sz w:val="24"/>
          <w:szCs w:val="24"/>
          <w:highlight w:val="none"/>
        </w:rPr>
        <w:t>）等媒体发布通知信息，请投标人关注</w:t>
      </w:r>
      <w:r>
        <w:rPr>
          <w:rFonts w:hint="eastAsia" w:ascii="宋体" w:hAnsi="宋体" w:cs="宋体"/>
          <w:color w:val="auto"/>
          <w:sz w:val="24"/>
          <w:szCs w:val="24"/>
          <w:highlight w:val="none"/>
        </w:rPr>
        <w:t>。</w:t>
      </w:r>
    </w:p>
    <w:p w14:paraId="11040417">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9、友情提醒：本项目仅限网下购买招标文件，投标人必须按招标文件要求递交纸质投标文件。 </w:t>
      </w:r>
    </w:p>
    <w:p w14:paraId="281C8525">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10、投标人对本次招标活动事项提出疑问的，请在投标截止时间十五日之前，与招标代理机构联系。来函请加盖单位公章，并提供联系人、联系电话及传真号码。</w:t>
      </w:r>
    </w:p>
    <w:p w14:paraId="4BEC9B71">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11、为方便开标唱标，投标人应将开标一览表原件和投标保证金缴交凭证单独密封，并在信封上标明“开标一览表”字样，然后再装入投标文件密封袋中密封。</w:t>
      </w:r>
    </w:p>
    <w:p w14:paraId="39509346">
      <w:pPr>
        <w:tabs>
          <w:tab w:val="left" w:pos="11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12、各有关联系方式</w:t>
      </w:r>
    </w:p>
    <w:tbl>
      <w:tblPr>
        <w:tblStyle w:val="22"/>
        <w:tblW w:w="92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506"/>
        <w:gridCol w:w="1178"/>
        <w:gridCol w:w="2784"/>
        <w:gridCol w:w="2961"/>
      </w:tblGrid>
      <w:tr w14:paraId="4DDF7A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71" w:type="dxa"/>
            <w:vAlign w:val="center"/>
          </w:tcPr>
          <w:p w14:paraId="1A9EDC0B">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506" w:type="dxa"/>
            <w:vAlign w:val="center"/>
          </w:tcPr>
          <w:p w14:paraId="06782EDE">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分工</w:t>
            </w:r>
          </w:p>
        </w:tc>
        <w:tc>
          <w:tcPr>
            <w:tcW w:w="1178" w:type="dxa"/>
            <w:vAlign w:val="center"/>
          </w:tcPr>
          <w:p w14:paraId="3F2090AD">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联系人</w:t>
            </w:r>
          </w:p>
        </w:tc>
        <w:tc>
          <w:tcPr>
            <w:tcW w:w="2784" w:type="dxa"/>
            <w:vAlign w:val="center"/>
          </w:tcPr>
          <w:p w14:paraId="6C250B4F">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职责范围</w:t>
            </w:r>
          </w:p>
        </w:tc>
        <w:tc>
          <w:tcPr>
            <w:tcW w:w="2961" w:type="dxa"/>
            <w:vAlign w:val="center"/>
          </w:tcPr>
          <w:p w14:paraId="2F3A165F">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联系电话</w:t>
            </w:r>
          </w:p>
        </w:tc>
      </w:tr>
      <w:tr w14:paraId="441CF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71" w:type="dxa"/>
            <w:vAlign w:val="center"/>
          </w:tcPr>
          <w:p w14:paraId="4414CA76">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06" w:type="dxa"/>
            <w:vAlign w:val="center"/>
          </w:tcPr>
          <w:p w14:paraId="0FBED8EC">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项目经办</w:t>
            </w:r>
          </w:p>
        </w:tc>
        <w:tc>
          <w:tcPr>
            <w:tcW w:w="1178" w:type="dxa"/>
            <w:vAlign w:val="center"/>
          </w:tcPr>
          <w:p w14:paraId="1EE72A53">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傅晨晖、黄佳仪</w:t>
            </w:r>
          </w:p>
        </w:tc>
        <w:tc>
          <w:tcPr>
            <w:tcW w:w="2784" w:type="dxa"/>
            <w:vAlign w:val="center"/>
          </w:tcPr>
          <w:p w14:paraId="53BB715C">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负责招标文件的咨询、答疑等工作</w:t>
            </w:r>
          </w:p>
        </w:tc>
        <w:tc>
          <w:tcPr>
            <w:tcW w:w="2961" w:type="dxa"/>
            <w:vAlign w:val="center"/>
          </w:tcPr>
          <w:p w14:paraId="5759109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0592-2298136、5721295</w:t>
            </w:r>
          </w:p>
          <w:p w14:paraId="63D81927">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传真0592-5706660-6969</w:t>
            </w:r>
          </w:p>
        </w:tc>
      </w:tr>
      <w:tr w14:paraId="341496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71" w:type="dxa"/>
            <w:vAlign w:val="center"/>
          </w:tcPr>
          <w:p w14:paraId="4334E5DB">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06" w:type="dxa"/>
            <w:vAlign w:val="center"/>
          </w:tcPr>
          <w:p w14:paraId="1FAA216C">
            <w:pPr>
              <w:spacing w:line="360"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售标</w:t>
            </w:r>
          </w:p>
        </w:tc>
        <w:tc>
          <w:tcPr>
            <w:tcW w:w="1178" w:type="dxa"/>
            <w:vAlign w:val="center"/>
          </w:tcPr>
          <w:p w14:paraId="07CC76BF">
            <w:pPr>
              <w:spacing w:line="360"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蒋小姐</w:t>
            </w:r>
          </w:p>
        </w:tc>
        <w:tc>
          <w:tcPr>
            <w:tcW w:w="2784" w:type="dxa"/>
            <w:vAlign w:val="center"/>
          </w:tcPr>
          <w:p w14:paraId="4EEDF08F">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负责受理招标文件出售（邮寄）</w:t>
            </w:r>
          </w:p>
        </w:tc>
        <w:tc>
          <w:tcPr>
            <w:tcW w:w="2961" w:type="dxa"/>
            <w:vAlign w:val="center"/>
          </w:tcPr>
          <w:p w14:paraId="4F61AE2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0592-2219823</w:t>
            </w:r>
          </w:p>
          <w:p w14:paraId="1BE6276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13626F30">
            <w:pPr>
              <w:pStyle w:val="20"/>
              <w:ind w:firstLine="0" w:firstLineChars="0"/>
              <w:rPr>
                <w:color w:val="auto"/>
                <w:sz w:val="24"/>
                <w:highlight w:val="none"/>
              </w:rPr>
            </w:pPr>
            <w:r>
              <w:rPr>
                <w:rFonts w:hint="eastAsia" w:ascii="宋体" w:hAnsi="宋体" w:cs="宋体"/>
                <w:color w:val="auto"/>
                <w:sz w:val="24"/>
                <w:highlight w:val="none"/>
              </w:rPr>
              <w:t>邮箱wxsb@iport.com.cn</w:t>
            </w:r>
          </w:p>
        </w:tc>
      </w:tr>
      <w:tr w14:paraId="1A758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71" w:type="dxa"/>
            <w:vAlign w:val="center"/>
          </w:tcPr>
          <w:p w14:paraId="53C3038B">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06" w:type="dxa"/>
            <w:vAlign w:val="center"/>
          </w:tcPr>
          <w:p w14:paraId="0515B6A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1178" w:type="dxa"/>
            <w:vAlign w:val="center"/>
          </w:tcPr>
          <w:p w14:paraId="392D916B">
            <w:pPr>
              <w:spacing w:line="360"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陈小姐</w:t>
            </w:r>
          </w:p>
        </w:tc>
        <w:tc>
          <w:tcPr>
            <w:tcW w:w="2784" w:type="dxa"/>
            <w:vAlign w:val="center"/>
          </w:tcPr>
          <w:p w14:paraId="69223E6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投标保证金收、退</w:t>
            </w:r>
          </w:p>
        </w:tc>
        <w:tc>
          <w:tcPr>
            <w:tcW w:w="2961" w:type="dxa"/>
            <w:vAlign w:val="center"/>
          </w:tcPr>
          <w:p w14:paraId="158B9739">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0592-5703367</w:t>
            </w:r>
          </w:p>
        </w:tc>
      </w:tr>
      <w:tr w14:paraId="049789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71" w:type="dxa"/>
            <w:vAlign w:val="center"/>
          </w:tcPr>
          <w:p w14:paraId="4671974D">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506" w:type="dxa"/>
            <w:vAlign w:val="center"/>
          </w:tcPr>
          <w:p w14:paraId="776356D8">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财务</w:t>
            </w:r>
          </w:p>
        </w:tc>
        <w:tc>
          <w:tcPr>
            <w:tcW w:w="1178" w:type="dxa"/>
            <w:vAlign w:val="center"/>
          </w:tcPr>
          <w:p w14:paraId="7F2FA35B">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张先生</w:t>
            </w:r>
          </w:p>
        </w:tc>
        <w:tc>
          <w:tcPr>
            <w:tcW w:w="2784" w:type="dxa"/>
            <w:vAlign w:val="center"/>
          </w:tcPr>
          <w:p w14:paraId="55943471">
            <w:pP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文件费、投标保证金到账咨询</w:t>
            </w:r>
          </w:p>
        </w:tc>
        <w:tc>
          <w:tcPr>
            <w:tcW w:w="2961" w:type="dxa"/>
            <w:vAlign w:val="center"/>
          </w:tcPr>
          <w:p w14:paraId="3DF37DE9">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0592-2298139</w:t>
            </w:r>
          </w:p>
        </w:tc>
      </w:tr>
      <w:tr w14:paraId="31458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71" w:type="dxa"/>
            <w:vAlign w:val="center"/>
          </w:tcPr>
          <w:p w14:paraId="48D0BE8A">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506" w:type="dxa"/>
            <w:vAlign w:val="center"/>
          </w:tcPr>
          <w:p w14:paraId="1BD49A3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代理服务费</w:t>
            </w:r>
          </w:p>
        </w:tc>
        <w:tc>
          <w:tcPr>
            <w:tcW w:w="1178" w:type="dxa"/>
            <w:vAlign w:val="center"/>
          </w:tcPr>
          <w:p w14:paraId="5B79B458">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陈小姐</w:t>
            </w:r>
          </w:p>
        </w:tc>
        <w:tc>
          <w:tcPr>
            <w:tcW w:w="2784" w:type="dxa"/>
            <w:vAlign w:val="center"/>
          </w:tcPr>
          <w:p w14:paraId="096D535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代理服务费收取</w:t>
            </w:r>
          </w:p>
        </w:tc>
        <w:tc>
          <w:tcPr>
            <w:tcW w:w="2961" w:type="dxa"/>
            <w:vAlign w:val="center"/>
          </w:tcPr>
          <w:p w14:paraId="7C02D721">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0592-5703367</w:t>
            </w:r>
          </w:p>
        </w:tc>
      </w:tr>
      <w:tr w14:paraId="7100FA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71" w:type="dxa"/>
            <w:vAlign w:val="center"/>
          </w:tcPr>
          <w:p w14:paraId="68AE0BC9">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506" w:type="dxa"/>
            <w:vAlign w:val="center"/>
          </w:tcPr>
          <w:p w14:paraId="308B2D1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监督</w:t>
            </w:r>
          </w:p>
        </w:tc>
        <w:tc>
          <w:tcPr>
            <w:tcW w:w="1178" w:type="dxa"/>
            <w:vAlign w:val="center"/>
          </w:tcPr>
          <w:p w14:paraId="25A720E8">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黄经理</w:t>
            </w:r>
          </w:p>
        </w:tc>
        <w:tc>
          <w:tcPr>
            <w:tcW w:w="2784" w:type="dxa"/>
            <w:vAlign w:val="center"/>
          </w:tcPr>
          <w:p w14:paraId="3D54C87E">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欢迎投标人对项目采购过程中公告发布、招标文件购买、投标保证金缴交和退还、代理服务费收取、中标通知书发放等环节的服务进行监督。我们将竭诚为您提供最优质的服务。</w:t>
            </w:r>
          </w:p>
        </w:tc>
        <w:tc>
          <w:tcPr>
            <w:tcW w:w="2961" w:type="dxa"/>
            <w:vAlign w:val="center"/>
          </w:tcPr>
          <w:p w14:paraId="6C0AED41">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0592-5705656</w:t>
            </w:r>
          </w:p>
        </w:tc>
      </w:tr>
      <w:tr w14:paraId="05AD1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71" w:type="dxa"/>
            <w:vAlign w:val="center"/>
          </w:tcPr>
          <w:p w14:paraId="1A273F26">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506" w:type="dxa"/>
            <w:vAlign w:val="center"/>
          </w:tcPr>
          <w:p w14:paraId="76807AE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接收质疑</w:t>
            </w:r>
          </w:p>
        </w:tc>
        <w:tc>
          <w:tcPr>
            <w:tcW w:w="1178" w:type="dxa"/>
            <w:vAlign w:val="center"/>
          </w:tcPr>
          <w:p w14:paraId="5C041024">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784" w:type="dxa"/>
            <w:vAlign w:val="center"/>
          </w:tcPr>
          <w:p w14:paraId="6AE25637">
            <w:pPr>
              <w:spacing w:line="360" w:lineRule="auto"/>
              <w:rPr>
                <w:rFonts w:ascii="宋体" w:hAnsi="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961" w:type="dxa"/>
            <w:vAlign w:val="center"/>
          </w:tcPr>
          <w:p w14:paraId="46C7970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电话0592-2218761</w:t>
            </w:r>
          </w:p>
          <w:p w14:paraId="22EFA87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747BF6F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"mailto:邮箱hcq@iport.com.cn"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328E06B9">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bl>
    <w:p w14:paraId="7A459F04">
      <w:pPr>
        <w:tabs>
          <w:tab w:val="left" w:pos="1140"/>
        </w:tabs>
        <w:spacing w:line="360" w:lineRule="auto"/>
        <w:ind w:left="426"/>
        <w:rPr>
          <w:rFonts w:ascii="宋体" w:hAnsi="宋体" w:cs="宋体"/>
          <w:color w:val="auto"/>
          <w:sz w:val="24"/>
          <w:szCs w:val="24"/>
          <w:highlight w:val="none"/>
        </w:rPr>
      </w:pPr>
      <w:r>
        <w:rPr>
          <w:rFonts w:hint="eastAsia" w:ascii="宋体" w:hAnsi="宋体" w:cs="宋体"/>
          <w:color w:val="auto"/>
          <w:sz w:val="24"/>
          <w:szCs w:val="24"/>
          <w:highlight w:val="none"/>
        </w:rPr>
        <w:t>13、投标保证金及代理服务费、文件费缴交账户：</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3653"/>
        <w:gridCol w:w="4189"/>
      </w:tblGrid>
      <w:tr w14:paraId="37CCC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697" w:type="dxa"/>
            <w:vAlign w:val="center"/>
          </w:tcPr>
          <w:p w14:paraId="013A6F1D">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类   别</w:t>
            </w:r>
          </w:p>
        </w:tc>
        <w:tc>
          <w:tcPr>
            <w:tcW w:w="3653" w:type="dxa"/>
            <w:vAlign w:val="center"/>
          </w:tcPr>
          <w:p w14:paraId="58C80E02">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投标保证金缴交账户</w:t>
            </w:r>
          </w:p>
        </w:tc>
        <w:tc>
          <w:tcPr>
            <w:tcW w:w="4189" w:type="dxa"/>
            <w:vAlign w:val="center"/>
          </w:tcPr>
          <w:p w14:paraId="157BCB05">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文件费、代理服务费缴交账户</w:t>
            </w:r>
          </w:p>
        </w:tc>
      </w:tr>
      <w:tr w14:paraId="15E3B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697" w:type="dxa"/>
            <w:vAlign w:val="center"/>
          </w:tcPr>
          <w:p w14:paraId="791DFDD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 户 行</w:t>
            </w:r>
          </w:p>
        </w:tc>
        <w:tc>
          <w:tcPr>
            <w:tcW w:w="3653" w:type="dxa"/>
            <w:vAlign w:val="center"/>
          </w:tcPr>
          <w:p w14:paraId="0C98662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c>
          <w:tcPr>
            <w:tcW w:w="4189" w:type="dxa"/>
            <w:vAlign w:val="center"/>
          </w:tcPr>
          <w:p w14:paraId="7555C22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r>
      <w:tr w14:paraId="1A0798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97" w:type="dxa"/>
            <w:vAlign w:val="center"/>
          </w:tcPr>
          <w:p w14:paraId="56A48B8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账    号</w:t>
            </w:r>
          </w:p>
        </w:tc>
        <w:tc>
          <w:tcPr>
            <w:tcW w:w="3653" w:type="dxa"/>
            <w:vAlign w:val="center"/>
          </w:tcPr>
          <w:p w14:paraId="5754C4F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35101570201052504219</w:t>
            </w:r>
          </w:p>
        </w:tc>
        <w:tc>
          <w:tcPr>
            <w:tcW w:w="4189" w:type="dxa"/>
            <w:vAlign w:val="center"/>
          </w:tcPr>
          <w:p w14:paraId="1692A03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35101570201052504219</w:t>
            </w:r>
          </w:p>
        </w:tc>
      </w:tr>
      <w:tr w14:paraId="3B410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97" w:type="dxa"/>
            <w:vAlign w:val="center"/>
          </w:tcPr>
          <w:p w14:paraId="09E0FEE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户名</w:t>
            </w:r>
          </w:p>
        </w:tc>
        <w:tc>
          <w:tcPr>
            <w:tcW w:w="7842" w:type="dxa"/>
            <w:gridSpan w:val="2"/>
            <w:vAlign w:val="center"/>
          </w:tcPr>
          <w:p w14:paraId="13A1B0F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tc>
      </w:tr>
    </w:tbl>
    <w:p w14:paraId="2EC2EEAC">
      <w:pPr>
        <w:spacing w:line="360" w:lineRule="auto"/>
        <w:ind w:firstLine="360"/>
        <w:rPr>
          <w:rFonts w:ascii="宋体" w:hAnsi="宋体" w:cs="宋体"/>
          <w:b/>
          <w:color w:val="auto"/>
          <w:sz w:val="24"/>
          <w:szCs w:val="24"/>
          <w:highlight w:val="none"/>
        </w:rPr>
      </w:pPr>
      <w:r>
        <w:rPr>
          <w:rFonts w:hint="eastAsia" w:ascii="宋体" w:hAnsi="宋体" w:cs="宋体"/>
          <w:color w:val="auto"/>
          <w:sz w:val="24"/>
          <w:szCs w:val="24"/>
          <w:highlight w:val="none"/>
        </w:rPr>
        <w:t>注：投标人须将相关的费用缴交至上表对应的账号，缴错账号而产生的一切后果由投标人自行承担。</w:t>
      </w:r>
    </w:p>
    <w:p w14:paraId="752910F3">
      <w:pPr>
        <w:spacing w:line="360" w:lineRule="auto"/>
        <w:rPr>
          <w:rFonts w:ascii="宋体" w:hAnsi="宋体" w:cs="宋体"/>
          <w:b/>
          <w:color w:val="auto"/>
          <w:sz w:val="24"/>
          <w:szCs w:val="24"/>
          <w:highlight w:val="none"/>
        </w:rPr>
      </w:pPr>
    </w:p>
    <w:p w14:paraId="41A69C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14、注意事项：</w:t>
      </w:r>
    </w:p>
    <w:p w14:paraId="679FE02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（1）有意向的潜在投标人发邮件至wxsb@iport.com.cn索取招标文件购买登记表。</w:t>
      </w:r>
    </w:p>
    <w:p w14:paraId="6967C27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（2）建议采用电汇或网银购买招标文件，请投标人付款时务必注明“招标编号+用途”（比如：XM</w:t>
      </w:r>
      <w:r>
        <w:rPr>
          <w:rFonts w:hint="eastAsia" w:ascii="宋体" w:hAnsi="宋体" w:cs="宋体"/>
          <w:color w:val="auto"/>
          <w:sz w:val="24"/>
          <w:szCs w:val="24"/>
          <w:highlight w:val="none"/>
        </w:rPr>
        <w:t>2026</w:t>
      </w:r>
      <w:r>
        <w:rPr>
          <w:rFonts w:ascii="宋体" w:hAnsi="宋体" w:cs="宋体"/>
          <w:color w:val="auto"/>
          <w:sz w:val="24"/>
          <w:szCs w:val="24"/>
          <w:highlight w:val="none"/>
        </w:rPr>
        <w:t>-</w:t>
      </w:r>
      <w:r>
        <w:rPr>
          <w:rFonts w:hint="eastAsia" w:ascii="宋体" w:hAnsi="宋体" w:cs="宋体"/>
          <w:color w:val="auto"/>
          <w:sz w:val="24"/>
          <w:szCs w:val="24"/>
          <w:highlight w:val="none"/>
        </w:rPr>
        <w:t>TZ50</w:t>
      </w:r>
      <w:r>
        <w:rPr>
          <w:rFonts w:ascii="宋体" w:hAnsi="宋体" w:cs="宋体"/>
          <w:color w:val="auto"/>
          <w:sz w:val="24"/>
          <w:szCs w:val="24"/>
          <w:highlight w:val="none"/>
        </w:rPr>
        <w:t>85文件费）。</w:t>
      </w:r>
    </w:p>
    <w:p w14:paraId="3183662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潜在投标人填好购买登记表后将加盖公章的文件购买登记表扫描件及文件购买付款凭证发至wxsb@iport.com.cn进行购买登记，收到登记资料后发送招标文件电子版，如需纸质版，招标代理机构可以邮寄，邮费需到付。</w:t>
      </w:r>
    </w:p>
    <w:p w14:paraId="3C4EC7A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（4）文件费及项目中标供应商服务费等发票均以邮件方式发送至购标指定邮箱。</w:t>
      </w:r>
    </w:p>
    <w:p w14:paraId="7B86CE7F">
      <w:pPr>
        <w:spacing w:line="360" w:lineRule="auto"/>
        <w:rPr>
          <w:rFonts w:ascii="宋体" w:hAnsi="宋体" w:cs="宋体"/>
          <w:color w:val="auto"/>
          <w:sz w:val="24"/>
          <w:szCs w:val="24"/>
          <w:highlight w:val="none"/>
        </w:rPr>
      </w:pPr>
    </w:p>
    <w:p w14:paraId="44BBDA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招标代理机构：厦门万翔招标有限公司</w:t>
      </w:r>
    </w:p>
    <w:p w14:paraId="432C4D7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地  址：厦门市湖里区机场北路476号四楼 </w:t>
      </w:r>
    </w:p>
    <w:p w14:paraId="7A3B3E8E">
      <w:pPr>
        <w:tabs>
          <w:tab w:val="left" w:pos="2775"/>
        </w:tabs>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邮  编： 361006</w:t>
      </w:r>
    </w:p>
    <w:p w14:paraId="10101B73">
      <w:pPr>
        <w:spacing w:line="360" w:lineRule="auto"/>
        <w:rPr>
          <w:rFonts w:ascii="宋体" w:hAnsi="宋体" w:cs="宋体"/>
          <w:color w:val="auto"/>
          <w:sz w:val="24"/>
          <w:szCs w:val="24"/>
          <w:highlight w:val="none"/>
        </w:rPr>
      </w:pPr>
    </w:p>
    <w:p w14:paraId="197238B4">
      <w:pPr>
        <w:spacing w:line="360" w:lineRule="auto"/>
        <w:rPr>
          <w:rFonts w:ascii="宋体" w:hAnsi="宋体" w:cs="宋体"/>
          <w:color w:val="auto"/>
          <w:sz w:val="24"/>
          <w:szCs w:val="24"/>
          <w:highlight w:val="none"/>
        </w:rPr>
      </w:pPr>
    </w:p>
    <w:p w14:paraId="2B74ECFB">
      <w:pPr>
        <w:spacing w:line="360" w:lineRule="auto"/>
        <w:rPr>
          <w:rFonts w:ascii="宋体" w:hAnsi="宋体" w:cs="宋体"/>
          <w:color w:val="auto"/>
          <w:sz w:val="24"/>
          <w:szCs w:val="24"/>
          <w:highlight w:val="none"/>
        </w:rPr>
      </w:pPr>
    </w:p>
    <w:p w14:paraId="005BE231">
      <w:pPr>
        <w:spacing w:line="360" w:lineRule="auto"/>
        <w:rPr>
          <w:rFonts w:ascii="宋体" w:hAnsi="宋体" w:cs="宋体"/>
          <w:color w:val="auto"/>
          <w:sz w:val="24"/>
          <w:szCs w:val="24"/>
          <w:highlight w:val="none"/>
        </w:rPr>
      </w:pPr>
    </w:p>
    <w:p w14:paraId="0D778A7C">
      <w:pPr>
        <w:spacing w:line="360" w:lineRule="auto"/>
        <w:rPr>
          <w:rFonts w:ascii="宋体" w:hAnsi="宋体" w:cs="宋体"/>
          <w:color w:val="auto"/>
          <w:sz w:val="24"/>
          <w:szCs w:val="24"/>
          <w:highlight w:val="none"/>
        </w:rPr>
      </w:pPr>
    </w:p>
    <w:p w14:paraId="69899B38">
      <w:pPr>
        <w:spacing w:line="360" w:lineRule="auto"/>
        <w:rPr>
          <w:rFonts w:ascii="宋体" w:hAnsi="宋体" w:cs="宋体"/>
          <w:color w:val="auto"/>
          <w:sz w:val="24"/>
          <w:szCs w:val="24"/>
          <w:highlight w:val="none"/>
        </w:rPr>
      </w:pPr>
    </w:p>
    <w:p w14:paraId="2010B6E8">
      <w:pPr>
        <w:spacing w:line="360" w:lineRule="auto"/>
        <w:rPr>
          <w:rFonts w:ascii="宋体" w:hAnsi="宋体" w:cs="宋体"/>
          <w:color w:val="auto"/>
          <w:sz w:val="24"/>
          <w:szCs w:val="24"/>
          <w:highlight w:val="none"/>
        </w:rPr>
      </w:pPr>
    </w:p>
    <w:p w14:paraId="2B824970">
      <w:pPr>
        <w:spacing w:line="360" w:lineRule="auto"/>
        <w:rPr>
          <w:rFonts w:ascii="宋体" w:hAnsi="宋体" w:cs="宋体"/>
          <w:color w:val="auto"/>
          <w:sz w:val="24"/>
          <w:szCs w:val="24"/>
          <w:highlight w:val="none"/>
        </w:rPr>
      </w:pPr>
    </w:p>
    <w:p w14:paraId="2F34DA92">
      <w:pPr>
        <w:spacing w:line="360" w:lineRule="auto"/>
        <w:rPr>
          <w:rFonts w:ascii="宋体" w:hAnsi="宋体" w:cs="宋体"/>
          <w:color w:val="auto"/>
          <w:sz w:val="24"/>
          <w:szCs w:val="24"/>
          <w:highlight w:val="none"/>
        </w:rPr>
      </w:pPr>
    </w:p>
    <w:p w14:paraId="0C2C925B">
      <w:pPr>
        <w:spacing w:line="360" w:lineRule="auto"/>
        <w:rPr>
          <w:rFonts w:ascii="宋体" w:hAnsi="宋体" w:cs="宋体"/>
          <w:color w:val="auto"/>
          <w:sz w:val="24"/>
          <w:szCs w:val="24"/>
          <w:highlight w:val="none"/>
        </w:rPr>
      </w:pPr>
    </w:p>
    <w:p w14:paraId="42E1145F">
      <w:pPr>
        <w:spacing w:line="360" w:lineRule="auto"/>
        <w:rPr>
          <w:rFonts w:ascii="宋体" w:hAnsi="宋体" w:cs="宋体"/>
          <w:color w:val="auto"/>
          <w:sz w:val="24"/>
          <w:szCs w:val="24"/>
          <w:highlight w:val="none"/>
        </w:rPr>
      </w:pPr>
    </w:p>
    <w:p w14:paraId="64063900">
      <w:pPr>
        <w:spacing w:line="360" w:lineRule="auto"/>
        <w:rPr>
          <w:rFonts w:ascii="宋体" w:hAnsi="宋体" w:cs="宋体"/>
          <w:color w:val="auto"/>
          <w:sz w:val="24"/>
          <w:szCs w:val="24"/>
          <w:highlight w:val="none"/>
        </w:rPr>
      </w:pPr>
    </w:p>
    <w:p w14:paraId="50F25CF9">
      <w:pPr>
        <w:spacing w:line="360" w:lineRule="auto"/>
        <w:rPr>
          <w:rFonts w:ascii="宋体" w:hAnsi="宋体" w:cs="宋体"/>
          <w:color w:val="auto"/>
          <w:sz w:val="24"/>
          <w:szCs w:val="24"/>
          <w:highlight w:val="none"/>
        </w:rPr>
      </w:pPr>
    </w:p>
    <w:p w14:paraId="60791D5E">
      <w:pPr>
        <w:spacing w:line="360" w:lineRule="auto"/>
        <w:rPr>
          <w:rFonts w:ascii="宋体" w:hAnsi="宋体" w:cs="宋体"/>
          <w:color w:val="auto"/>
          <w:sz w:val="24"/>
          <w:szCs w:val="24"/>
          <w:highlight w:val="none"/>
        </w:rPr>
      </w:pPr>
    </w:p>
    <w:p w14:paraId="0C4DA456">
      <w:pPr>
        <w:spacing w:line="360" w:lineRule="auto"/>
        <w:rPr>
          <w:rFonts w:ascii="宋体" w:hAnsi="宋体" w:cs="宋体"/>
          <w:color w:val="auto"/>
          <w:sz w:val="24"/>
          <w:szCs w:val="24"/>
          <w:highlight w:val="none"/>
        </w:rPr>
      </w:pPr>
    </w:p>
    <w:p w14:paraId="56EA5761">
      <w:pPr>
        <w:spacing w:line="360" w:lineRule="auto"/>
        <w:rPr>
          <w:rFonts w:ascii="宋体" w:hAnsi="宋体" w:cs="宋体"/>
          <w:color w:val="auto"/>
          <w:sz w:val="24"/>
          <w:szCs w:val="24"/>
          <w:highlight w:val="none"/>
        </w:rPr>
      </w:pPr>
    </w:p>
    <w:p w14:paraId="039CC300">
      <w:pPr>
        <w:spacing w:line="360" w:lineRule="auto"/>
        <w:rPr>
          <w:rFonts w:ascii="宋体" w:hAnsi="宋体" w:cs="宋体"/>
          <w:color w:val="auto"/>
          <w:sz w:val="24"/>
          <w:szCs w:val="24"/>
          <w:highlight w:val="none"/>
        </w:rPr>
      </w:pPr>
    </w:p>
    <w:p w14:paraId="2AD952D5">
      <w:pPr>
        <w:spacing w:line="360" w:lineRule="auto"/>
        <w:rPr>
          <w:rFonts w:ascii="宋体" w:hAnsi="宋体" w:cs="宋体"/>
          <w:color w:val="auto"/>
          <w:sz w:val="24"/>
          <w:szCs w:val="24"/>
          <w:highlight w:val="none"/>
        </w:rPr>
      </w:pPr>
    </w:p>
    <w:p w14:paraId="1806E4E5">
      <w:pPr>
        <w:spacing w:line="360" w:lineRule="auto"/>
        <w:rPr>
          <w:rFonts w:ascii="宋体" w:hAnsi="宋体" w:cs="宋体"/>
          <w:color w:val="auto"/>
          <w:sz w:val="24"/>
          <w:szCs w:val="24"/>
          <w:highlight w:val="none"/>
        </w:rPr>
      </w:pPr>
    </w:p>
    <w:p w14:paraId="6B561E99">
      <w:pPr>
        <w:spacing w:line="360" w:lineRule="auto"/>
        <w:rPr>
          <w:rFonts w:ascii="宋体" w:hAnsi="宋体" w:cs="宋体"/>
          <w:color w:val="auto"/>
          <w:sz w:val="24"/>
          <w:szCs w:val="24"/>
          <w:highlight w:val="none"/>
        </w:rPr>
      </w:pPr>
    </w:p>
    <w:p w14:paraId="767EF8D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附：招标服务一览表 </w:t>
      </w:r>
    </w:p>
    <w:p w14:paraId="7350259A">
      <w:pPr>
        <w:spacing w:line="360" w:lineRule="auto"/>
        <w:jc w:val="center"/>
        <w:rPr>
          <w:rFonts w:ascii="宋体" w:hAnsi="宋体" w:cs="宋体"/>
          <w:b/>
          <w:color w:val="auto"/>
          <w:sz w:val="24"/>
          <w:szCs w:val="24"/>
          <w:highlight w:val="none"/>
        </w:rPr>
      </w:pPr>
      <w:r>
        <w:rPr>
          <w:rFonts w:hint="eastAsia" w:ascii="宋体" w:hAnsi="宋体" w:cs="宋体"/>
          <w:b/>
          <w:color w:val="auto"/>
          <w:sz w:val="32"/>
          <w:szCs w:val="32"/>
          <w:highlight w:val="none"/>
        </w:rPr>
        <w:t>招标服务一览表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827"/>
        <w:gridCol w:w="2150"/>
        <w:gridCol w:w="708"/>
        <w:gridCol w:w="1134"/>
        <w:gridCol w:w="967"/>
        <w:gridCol w:w="1233"/>
      </w:tblGrid>
      <w:tr w14:paraId="48CC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tcBorders>
              <w:top w:val="single" w:color="auto" w:sz="4" w:space="0"/>
              <w:left w:val="single" w:color="auto" w:sz="4" w:space="0"/>
              <w:bottom w:val="single" w:color="auto" w:sz="4" w:space="0"/>
              <w:right w:val="single" w:color="auto" w:sz="4" w:space="0"/>
            </w:tcBorders>
            <w:vAlign w:val="center"/>
          </w:tcPr>
          <w:p w14:paraId="0B6278F5">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合同包</w:t>
            </w:r>
          </w:p>
        </w:tc>
        <w:tc>
          <w:tcPr>
            <w:tcW w:w="827" w:type="dxa"/>
            <w:tcBorders>
              <w:top w:val="single" w:color="auto" w:sz="4" w:space="0"/>
              <w:left w:val="single" w:color="auto" w:sz="4" w:space="0"/>
              <w:bottom w:val="single" w:color="auto" w:sz="4" w:space="0"/>
              <w:right w:val="single" w:color="auto" w:sz="4" w:space="0"/>
            </w:tcBorders>
            <w:vAlign w:val="center"/>
          </w:tcPr>
          <w:p w14:paraId="308D65DE">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品目号</w:t>
            </w:r>
          </w:p>
        </w:tc>
        <w:tc>
          <w:tcPr>
            <w:tcW w:w="2150" w:type="dxa"/>
            <w:tcBorders>
              <w:top w:val="single" w:color="auto" w:sz="4" w:space="0"/>
              <w:left w:val="single" w:color="auto" w:sz="4" w:space="0"/>
              <w:bottom w:val="single" w:color="auto" w:sz="4" w:space="0"/>
              <w:right w:val="single" w:color="auto" w:sz="4" w:space="0"/>
            </w:tcBorders>
            <w:vAlign w:val="center"/>
          </w:tcPr>
          <w:p w14:paraId="68611147">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14:paraId="3BDACF04">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6A26969F">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主要技术规格</w:t>
            </w:r>
          </w:p>
        </w:tc>
        <w:tc>
          <w:tcPr>
            <w:tcW w:w="967" w:type="dxa"/>
            <w:tcBorders>
              <w:top w:val="single" w:color="auto" w:sz="4" w:space="0"/>
              <w:left w:val="single" w:color="auto" w:sz="4" w:space="0"/>
              <w:bottom w:val="single" w:color="auto" w:sz="4" w:space="0"/>
              <w:right w:val="single" w:color="auto" w:sz="4" w:space="0"/>
            </w:tcBorders>
            <w:vAlign w:val="center"/>
          </w:tcPr>
          <w:p w14:paraId="50EC53FD">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服务地点</w:t>
            </w:r>
          </w:p>
        </w:tc>
        <w:tc>
          <w:tcPr>
            <w:tcW w:w="1233" w:type="dxa"/>
            <w:tcBorders>
              <w:top w:val="single" w:color="auto" w:sz="4" w:space="0"/>
              <w:left w:val="single" w:color="auto" w:sz="4" w:space="0"/>
              <w:bottom w:val="single" w:color="auto" w:sz="4" w:space="0"/>
              <w:right w:val="single" w:color="auto" w:sz="4" w:space="0"/>
            </w:tcBorders>
            <w:vAlign w:val="center"/>
          </w:tcPr>
          <w:p w14:paraId="7FDDC028">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服务期限</w:t>
            </w:r>
          </w:p>
        </w:tc>
      </w:tr>
      <w:tr w14:paraId="3C87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tcBorders>
              <w:top w:val="single" w:color="auto" w:sz="4" w:space="0"/>
              <w:left w:val="single" w:color="auto" w:sz="4" w:space="0"/>
              <w:bottom w:val="single" w:color="auto" w:sz="4" w:space="0"/>
              <w:right w:val="single" w:color="auto" w:sz="4" w:space="0"/>
            </w:tcBorders>
            <w:vAlign w:val="center"/>
          </w:tcPr>
          <w:p w14:paraId="1DD414EC">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XM2026-TZ5085-1（合同包一）</w:t>
            </w:r>
          </w:p>
        </w:tc>
        <w:tc>
          <w:tcPr>
            <w:tcW w:w="827" w:type="dxa"/>
            <w:tcBorders>
              <w:top w:val="single" w:color="auto" w:sz="4" w:space="0"/>
              <w:left w:val="single" w:color="auto" w:sz="4" w:space="0"/>
              <w:bottom w:val="single" w:color="auto" w:sz="4" w:space="0"/>
              <w:right w:val="single" w:color="auto" w:sz="4" w:space="0"/>
            </w:tcBorders>
            <w:vAlign w:val="center"/>
          </w:tcPr>
          <w:p w14:paraId="1E47566B">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p>
        </w:tc>
        <w:tc>
          <w:tcPr>
            <w:tcW w:w="2150" w:type="dxa"/>
            <w:tcBorders>
              <w:top w:val="single" w:color="auto" w:sz="4" w:space="0"/>
              <w:left w:val="single" w:color="auto" w:sz="4" w:space="0"/>
              <w:bottom w:val="single" w:color="auto" w:sz="4" w:space="0"/>
              <w:right w:val="single" w:color="auto" w:sz="4" w:space="0"/>
            </w:tcBorders>
            <w:vAlign w:val="center"/>
          </w:tcPr>
          <w:p w14:paraId="777F6188">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肉类、海鲜类食品</w:t>
            </w:r>
          </w:p>
        </w:tc>
        <w:tc>
          <w:tcPr>
            <w:tcW w:w="708" w:type="dxa"/>
            <w:tcBorders>
              <w:top w:val="single" w:color="auto" w:sz="4" w:space="0"/>
              <w:left w:val="single" w:color="auto" w:sz="4" w:space="0"/>
              <w:bottom w:val="single" w:color="auto" w:sz="4" w:space="0"/>
              <w:right w:val="single" w:color="auto" w:sz="4" w:space="0"/>
            </w:tcBorders>
            <w:vAlign w:val="center"/>
          </w:tcPr>
          <w:p w14:paraId="252466E4">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1批</w:t>
            </w:r>
          </w:p>
        </w:tc>
        <w:tc>
          <w:tcPr>
            <w:tcW w:w="1134" w:type="dxa"/>
            <w:vMerge w:val="restart"/>
            <w:tcBorders>
              <w:top w:val="single" w:color="auto" w:sz="4" w:space="0"/>
              <w:left w:val="single" w:color="auto" w:sz="4" w:space="0"/>
              <w:right w:val="single" w:color="auto" w:sz="4" w:space="0"/>
            </w:tcBorders>
            <w:vAlign w:val="center"/>
          </w:tcPr>
          <w:p w14:paraId="73777A4D">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详见招标内容及要求</w:t>
            </w:r>
          </w:p>
        </w:tc>
        <w:tc>
          <w:tcPr>
            <w:tcW w:w="967" w:type="dxa"/>
            <w:vMerge w:val="restart"/>
            <w:tcBorders>
              <w:top w:val="single" w:color="auto" w:sz="4" w:space="0"/>
              <w:left w:val="single" w:color="auto" w:sz="4" w:space="0"/>
              <w:right w:val="single" w:color="auto" w:sz="4" w:space="0"/>
            </w:tcBorders>
            <w:vAlign w:val="center"/>
          </w:tcPr>
          <w:p w14:paraId="61A6F1F6">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采购人指定地点</w:t>
            </w:r>
          </w:p>
        </w:tc>
        <w:tc>
          <w:tcPr>
            <w:tcW w:w="1233" w:type="dxa"/>
            <w:vMerge w:val="restart"/>
            <w:tcBorders>
              <w:top w:val="single" w:color="auto" w:sz="4" w:space="0"/>
              <w:left w:val="single" w:color="auto" w:sz="4" w:space="0"/>
              <w:right w:val="single" w:color="auto" w:sz="4" w:space="0"/>
            </w:tcBorders>
            <w:vAlign w:val="center"/>
          </w:tcPr>
          <w:p w14:paraId="704B0247">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详见招标内容及要求</w:t>
            </w:r>
          </w:p>
        </w:tc>
      </w:tr>
      <w:tr w14:paraId="0D3C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tcBorders>
              <w:top w:val="single" w:color="auto" w:sz="4" w:space="0"/>
              <w:left w:val="single" w:color="auto" w:sz="4" w:space="0"/>
              <w:bottom w:val="single" w:color="auto" w:sz="4" w:space="0"/>
              <w:right w:val="single" w:color="auto" w:sz="4" w:space="0"/>
            </w:tcBorders>
            <w:vAlign w:val="center"/>
          </w:tcPr>
          <w:p w14:paraId="72175990">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XM2026-TZ5085-2（合同包二）</w:t>
            </w:r>
          </w:p>
        </w:tc>
        <w:tc>
          <w:tcPr>
            <w:tcW w:w="827" w:type="dxa"/>
            <w:tcBorders>
              <w:top w:val="single" w:color="auto" w:sz="4" w:space="0"/>
              <w:left w:val="single" w:color="auto" w:sz="4" w:space="0"/>
              <w:bottom w:val="single" w:color="auto" w:sz="4" w:space="0"/>
              <w:right w:val="single" w:color="auto" w:sz="4" w:space="0"/>
            </w:tcBorders>
            <w:vAlign w:val="center"/>
          </w:tcPr>
          <w:p w14:paraId="6519606E">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w:t>
            </w:r>
          </w:p>
        </w:tc>
        <w:tc>
          <w:tcPr>
            <w:tcW w:w="2150" w:type="dxa"/>
            <w:tcBorders>
              <w:top w:val="single" w:color="auto" w:sz="4" w:space="0"/>
              <w:left w:val="single" w:color="auto" w:sz="4" w:space="0"/>
              <w:bottom w:val="single" w:color="auto" w:sz="4" w:space="0"/>
              <w:right w:val="single" w:color="auto" w:sz="4" w:space="0"/>
            </w:tcBorders>
            <w:vAlign w:val="center"/>
          </w:tcPr>
          <w:p w14:paraId="7ABD7182">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冻品、调味品、米面综合类食品</w:t>
            </w:r>
          </w:p>
        </w:tc>
        <w:tc>
          <w:tcPr>
            <w:tcW w:w="708" w:type="dxa"/>
            <w:tcBorders>
              <w:top w:val="single" w:color="auto" w:sz="4" w:space="0"/>
              <w:left w:val="single" w:color="auto" w:sz="4" w:space="0"/>
              <w:bottom w:val="single" w:color="auto" w:sz="4" w:space="0"/>
              <w:right w:val="single" w:color="auto" w:sz="4" w:space="0"/>
            </w:tcBorders>
            <w:vAlign w:val="center"/>
          </w:tcPr>
          <w:p w14:paraId="70523FC0">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1批</w:t>
            </w:r>
          </w:p>
        </w:tc>
        <w:tc>
          <w:tcPr>
            <w:tcW w:w="1134" w:type="dxa"/>
            <w:vMerge w:val="continue"/>
            <w:tcBorders>
              <w:left w:val="single" w:color="auto" w:sz="4" w:space="0"/>
              <w:right w:val="single" w:color="auto" w:sz="4" w:space="0"/>
            </w:tcBorders>
            <w:vAlign w:val="center"/>
          </w:tcPr>
          <w:p w14:paraId="54BDC23F">
            <w:pPr>
              <w:pStyle w:val="7"/>
              <w:tabs>
                <w:tab w:val="left" w:pos="8360"/>
              </w:tabs>
              <w:spacing w:line="360" w:lineRule="auto"/>
              <w:rPr>
                <w:rFonts w:ascii="宋体" w:hAnsi="宋体" w:eastAsia="宋体" w:cs="宋体"/>
                <w:b w:val="0"/>
                <w:bCs w:val="0"/>
                <w:color w:val="auto"/>
                <w:sz w:val="24"/>
                <w:szCs w:val="24"/>
                <w:highlight w:val="none"/>
              </w:rPr>
            </w:pPr>
          </w:p>
        </w:tc>
        <w:tc>
          <w:tcPr>
            <w:tcW w:w="967" w:type="dxa"/>
            <w:vMerge w:val="continue"/>
            <w:tcBorders>
              <w:left w:val="single" w:color="auto" w:sz="4" w:space="0"/>
              <w:right w:val="single" w:color="auto" w:sz="4" w:space="0"/>
            </w:tcBorders>
            <w:vAlign w:val="center"/>
          </w:tcPr>
          <w:p w14:paraId="4670A1AB">
            <w:pPr>
              <w:pStyle w:val="7"/>
              <w:tabs>
                <w:tab w:val="left" w:pos="8360"/>
              </w:tabs>
              <w:spacing w:line="360" w:lineRule="auto"/>
              <w:rPr>
                <w:rFonts w:ascii="宋体" w:hAnsi="宋体" w:eastAsia="宋体" w:cs="宋体"/>
                <w:b w:val="0"/>
                <w:bCs w:val="0"/>
                <w:color w:val="auto"/>
                <w:sz w:val="24"/>
                <w:szCs w:val="24"/>
                <w:highlight w:val="none"/>
              </w:rPr>
            </w:pPr>
          </w:p>
        </w:tc>
        <w:tc>
          <w:tcPr>
            <w:tcW w:w="1233" w:type="dxa"/>
            <w:vMerge w:val="continue"/>
            <w:tcBorders>
              <w:left w:val="single" w:color="auto" w:sz="4" w:space="0"/>
              <w:right w:val="single" w:color="auto" w:sz="4" w:space="0"/>
            </w:tcBorders>
            <w:vAlign w:val="center"/>
          </w:tcPr>
          <w:p w14:paraId="206C2AFD">
            <w:pPr>
              <w:pStyle w:val="7"/>
              <w:tabs>
                <w:tab w:val="left" w:pos="8360"/>
              </w:tabs>
              <w:spacing w:line="360" w:lineRule="auto"/>
              <w:rPr>
                <w:rFonts w:ascii="宋体" w:hAnsi="宋体" w:eastAsia="宋体" w:cs="宋体"/>
                <w:b w:val="0"/>
                <w:bCs w:val="0"/>
                <w:color w:val="auto"/>
                <w:sz w:val="24"/>
                <w:szCs w:val="24"/>
                <w:highlight w:val="none"/>
              </w:rPr>
            </w:pPr>
          </w:p>
        </w:tc>
      </w:tr>
      <w:tr w14:paraId="75FD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093" w:type="dxa"/>
            <w:tcBorders>
              <w:top w:val="single" w:color="auto" w:sz="4" w:space="0"/>
              <w:left w:val="single" w:color="auto" w:sz="4" w:space="0"/>
              <w:bottom w:val="single" w:color="auto" w:sz="4" w:space="0"/>
              <w:right w:val="single" w:color="auto" w:sz="4" w:space="0"/>
            </w:tcBorders>
            <w:vAlign w:val="center"/>
          </w:tcPr>
          <w:p w14:paraId="1EC6EF68">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XM2026-TZ5085-3（合同包三）</w:t>
            </w:r>
          </w:p>
        </w:tc>
        <w:tc>
          <w:tcPr>
            <w:tcW w:w="827" w:type="dxa"/>
            <w:tcBorders>
              <w:top w:val="single" w:color="auto" w:sz="4" w:space="0"/>
              <w:left w:val="single" w:color="auto" w:sz="4" w:space="0"/>
              <w:bottom w:val="single" w:color="auto" w:sz="4" w:space="0"/>
              <w:right w:val="single" w:color="auto" w:sz="4" w:space="0"/>
            </w:tcBorders>
            <w:vAlign w:val="center"/>
          </w:tcPr>
          <w:p w14:paraId="6A008038">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w:t>
            </w:r>
          </w:p>
        </w:tc>
        <w:tc>
          <w:tcPr>
            <w:tcW w:w="2150" w:type="dxa"/>
            <w:tcBorders>
              <w:top w:val="single" w:color="auto" w:sz="4" w:space="0"/>
              <w:left w:val="single" w:color="auto" w:sz="4" w:space="0"/>
              <w:bottom w:val="single" w:color="auto" w:sz="4" w:space="0"/>
              <w:right w:val="single" w:color="auto" w:sz="4" w:space="0"/>
            </w:tcBorders>
            <w:vAlign w:val="center"/>
          </w:tcPr>
          <w:p w14:paraId="784867FB">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蔬菜水果类食品</w:t>
            </w:r>
          </w:p>
        </w:tc>
        <w:tc>
          <w:tcPr>
            <w:tcW w:w="708" w:type="dxa"/>
            <w:tcBorders>
              <w:top w:val="single" w:color="auto" w:sz="4" w:space="0"/>
              <w:left w:val="single" w:color="auto" w:sz="4" w:space="0"/>
              <w:bottom w:val="single" w:color="auto" w:sz="4" w:space="0"/>
              <w:right w:val="single" w:color="auto" w:sz="4" w:space="0"/>
            </w:tcBorders>
            <w:vAlign w:val="center"/>
          </w:tcPr>
          <w:p w14:paraId="0BF48533">
            <w:pPr>
              <w:pStyle w:val="7"/>
              <w:tabs>
                <w:tab w:val="left" w:pos="8360"/>
              </w:tabs>
              <w:spacing w:line="360" w:lineRule="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1批</w:t>
            </w:r>
          </w:p>
        </w:tc>
        <w:tc>
          <w:tcPr>
            <w:tcW w:w="1134" w:type="dxa"/>
            <w:vMerge w:val="continue"/>
            <w:tcBorders>
              <w:left w:val="single" w:color="auto" w:sz="4" w:space="0"/>
              <w:bottom w:val="single" w:color="auto" w:sz="4" w:space="0"/>
              <w:right w:val="single" w:color="auto" w:sz="4" w:space="0"/>
            </w:tcBorders>
            <w:vAlign w:val="center"/>
          </w:tcPr>
          <w:p w14:paraId="5DFB747C">
            <w:pPr>
              <w:pStyle w:val="7"/>
              <w:tabs>
                <w:tab w:val="left" w:pos="8360"/>
              </w:tabs>
              <w:spacing w:line="360" w:lineRule="auto"/>
              <w:rPr>
                <w:rFonts w:ascii="宋体" w:hAnsi="宋体" w:eastAsia="宋体" w:cs="宋体"/>
                <w:b w:val="0"/>
                <w:bCs w:val="0"/>
                <w:color w:val="auto"/>
                <w:sz w:val="24"/>
                <w:szCs w:val="24"/>
                <w:highlight w:val="none"/>
              </w:rPr>
            </w:pPr>
          </w:p>
        </w:tc>
        <w:tc>
          <w:tcPr>
            <w:tcW w:w="967" w:type="dxa"/>
            <w:vMerge w:val="continue"/>
            <w:tcBorders>
              <w:left w:val="single" w:color="auto" w:sz="4" w:space="0"/>
              <w:bottom w:val="single" w:color="auto" w:sz="4" w:space="0"/>
              <w:right w:val="single" w:color="auto" w:sz="4" w:space="0"/>
            </w:tcBorders>
            <w:vAlign w:val="center"/>
          </w:tcPr>
          <w:p w14:paraId="7A9C4FE8">
            <w:pPr>
              <w:pStyle w:val="7"/>
              <w:tabs>
                <w:tab w:val="left" w:pos="8360"/>
              </w:tabs>
              <w:spacing w:line="360" w:lineRule="auto"/>
              <w:rPr>
                <w:rFonts w:ascii="宋体" w:hAnsi="宋体" w:eastAsia="宋体" w:cs="宋体"/>
                <w:b w:val="0"/>
                <w:bCs w:val="0"/>
                <w:color w:val="auto"/>
                <w:sz w:val="24"/>
                <w:szCs w:val="24"/>
                <w:highlight w:val="none"/>
              </w:rPr>
            </w:pPr>
          </w:p>
        </w:tc>
        <w:tc>
          <w:tcPr>
            <w:tcW w:w="1233" w:type="dxa"/>
            <w:vMerge w:val="continue"/>
            <w:tcBorders>
              <w:left w:val="single" w:color="auto" w:sz="4" w:space="0"/>
              <w:bottom w:val="single" w:color="auto" w:sz="4" w:space="0"/>
              <w:right w:val="single" w:color="auto" w:sz="4" w:space="0"/>
            </w:tcBorders>
            <w:vAlign w:val="center"/>
          </w:tcPr>
          <w:p w14:paraId="5D022E2E">
            <w:pPr>
              <w:pStyle w:val="7"/>
              <w:tabs>
                <w:tab w:val="left" w:pos="8360"/>
              </w:tabs>
              <w:spacing w:line="360" w:lineRule="auto"/>
              <w:rPr>
                <w:rFonts w:ascii="宋体" w:hAnsi="宋体" w:eastAsia="宋体" w:cs="宋体"/>
                <w:b w:val="0"/>
                <w:bCs w:val="0"/>
                <w:color w:val="auto"/>
                <w:sz w:val="24"/>
                <w:szCs w:val="24"/>
                <w:highlight w:val="none"/>
              </w:rPr>
            </w:pPr>
          </w:p>
        </w:tc>
      </w:tr>
    </w:tbl>
    <w:p w14:paraId="15BE8831">
      <w:pPr>
        <w:pStyle w:val="10"/>
        <w:tabs>
          <w:tab w:val="left" w:pos="8360"/>
        </w:tabs>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t>注：本项目为中国人民银行厦门市分行食材采购，共分为三个合同包，为了确保项目实施质量，每个投标人最多只能中标本项目一个合同包，评审顺序依次为合同包一、合同包二、合同包三，</w:t>
      </w:r>
      <w:r>
        <w:rPr>
          <w:rFonts w:hint="eastAsia" w:ascii="宋体" w:hAnsi="宋体"/>
          <w:color w:val="auto"/>
          <w:sz w:val="24"/>
          <w:szCs w:val="24"/>
          <w:highlight w:val="none"/>
        </w:rPr>
        <w:t>若投标单位被推荐为某一合同包的第一中标候选人，则在后续</w:t>
      </w:r>
      <w:r>
        <w:rPr>
          <w:rFonts w:hint="eastAsia" w:ascii="宋体" w:hAnsi="宋体"/>
          <w:color w:val="auto"/>
          <w:sz w:val="24"/>
          <w:szCs w:val="24"/>
          <w:highlight w:val="none"/>
          <w:lang w:val="en-US" w:eastAsia="zh-CN"/>
        </w:rPr>
        <w:t>合同</w:t>
      </w:r>
      <w:r>
        <w:rPr>
          <w:rFonts w:hint="eastAsia" w:ascii="宋体" w:hAnsi="宋体"/>
          <w:color w:val="auto"/>
          <w:sz w:val="24"/>
          <w:szCs w:val="24"/>
          <w:highlight w:val="none"/>
        </w:rPr>
        <w:t>包的评标过程中，不再被推选为中标候选人，由得分次高的递补为第一中标候选人，但其有效报价仍参与后续采购包评标基准价的计算。</w:t>
      </w:r>
    </w:p>
    <w:p w14:paraId="474E9851">
      <w:pPr>
        <w:pStyle w:val="10"/>
        <w:tabs>
          <w:tab w:val="left" w:pos="8360"/>
        </w:tabs>
        <w:spacing w:line="360" w:lineRule="auto"/>
        <w:jc w:val="left"/>
        <w:rPr>
          <w:rFonts w:hAnsi="宋体" w:cs="宋体"/>
          <w:color w:val="auto"/>
          <w:sz w:val="24"/>
          <w:szCs w:val="24"/>
          <w:highlight w:val="none"/>
        </w:rPr>
      </w:pPr>
      <w:r>
        <w:rPr>
          <w:rFonts w:hint="eastAsia" w:hAnsi="宋体" w:cs="宋体"/>
          <w:color w:val="auto"/>
          <w:sz w:val="24"/>
          <w:szCs w:val="24"/>
          <w:highlight w:val="none"/>
        </w:rPr>
        <w:t>投标人可按合同包投标，对同一合同包内所有品目号内容投标时必须完整。评标与授标以合同包为单位。</w:t>
      </w:r>
    </w:p>
    <w:p w14:paraId="080A37D8">
      <w:pPr>
        <w:pStyle w:val="5"/>
        <w:spacing w:line="360" w:lineRule="auto"/>
        <w:ind w:firstLine="0"/>
        <w:rPr>
          <w:rFonts w:ascii="宋体" w:hAnsi="宋体" w:cs="宋体"/>
          <w:b/>
          <w:color w:val="auto"/>
          <w:sz w:val="24"/>
          <w:szCs w:val="24"/>
          <w:highlight w:val="none"/>
        </w:rPr>
        <w:sectPr>
          <w:footerReference r:id="rId6" w:type="default"/>
          <w:pgSz w:w="11906" w:h="16838"/>
          <w:pgMar w:top="1440" w:right="1106" w:bottom="1290" w:left="1800" w:header="851" w:footer="992" w:gutter="0"/>
          <w:cols w:space="720" w:num="1"/>
          <w:docGrid w:type="lines" w:linePitch="312" w:charSpace="0"/>
        </w:sectPr>
      </w:pPr>
    </w:p>
    <w:p w14:paraId="67039C76">
      <w:pPr>
        <w:pStyle w:val="10"/>
        <w:spacing w:line="360" w:lineRule="auto"/>
        <w:jc w:val="center"/>
        <w:outlineLvl w:val="0"/>
        <w:rPr>
          <w:rFonts w:hAnsi="宋体" w:cs="宋体"/>
          <w:b/>
          <w:bCs/>
          <w:color w:val="auto"/>
          <w:sz w:val="32"/>
          <w:szCs w:val="32"/>
          <w:highlight w:val="none"/>
        </w:rPr>
      </w:pPr>
      <w:bookmarkStart w:id="28" w:name="_Toc14531"/>
      <w:bookmarkStart w:id="29" w:name="_Toc20497"/>
      <w:bookmarkStart w:id="30" w:name="_Toc28582"/>
      <w:bookmarkStart w:id="31" w:name="_Toc30300"/>
      <w:bookmarkStart w:id="32" w:name="_Toc30902"/>
      <w:bookmarkStart w:id="33" w:name="_Toc2887"/>
      <w:bookmarkStart w:id="34" w:name="_Toc21754"/>
      <w:bookmarkStart w:id="35" w:name="_Toc27090"/>
      <w:bookmarkStart w:id="36" w:name="_Toc24292"/>
      <w:r>
        <w:rPr>
          <w:rFonts w:hint="eastAsia" w:hAnsi="宋体" w:cs="宋体"/>
          <w:b/>
          <w:bCs/>
          <w:color w:val="auto"/>
          <w:sz w:val="32"/>
          <w:szCs w:val="32"/>
          <w:highlight w:val="none"/>
        </w:rPr>
        <w:t>第二章  投标人须知</w:t>
      </w:r>
      <w:bookmarkEnd w:id="28"/>
      <w:bookmarkEnd w:id="29"/>
      <w:bookmarkEnd w:id="30"/>
      <w:bookmarkEnd w:id="31"/>
      <w:bookmarkEnd w:id="32"/>
      <w:bookmarkEnd w:id="33"/>
      <w:bookmarkEnd w:id="34"/>
      <w:bookmarkEnd w:id="35"/>
      <w:bookmarkEnd w:id="36"/>
    </w:p>
    <w:p w14:paraId="10AA0316">
      <w:pPr>
        <w:pStyle w:val="48"/>
        <w:spacing w:line="360" w:lineRule="auto"/>
        <w:jc w:val="center"/>
        <w:outlineLvl w:val="1"/>
        <w:rPr>
          <w:rFonts w:hAnsi="宋体" w:cs="宋体"/>
          <w:color w:val="auto"/>
          <w:highlight w:val="none"/>
        </w:rPr>
      </w:pPr>
      <w:bookmarkStart w:id="37" w:name="_Toc13062"/>
      <w:bookmarkStart w:id="38" w:name="_Toc14201"/>
      <w:r>
        <w:rPr>
          <w:rFonts w:hint="eastAsia" w:hAnsi="宋体" w:cs="宋体"/>
          <w:b/>
          <w:color w:val="auto"/>
          <w:sz w:val="32"/>
          <w:szCs w:val="32"/>
          <w:highlight w:val="none"/>
        </w:rPr>
        <w:t>投标人须知前附表1</w:t>
      </w:r>
      <w:bookmarkEnd w:id="37"/>
      <w:bookmarkEnd w:id="38"/>
    </w:p>
    <w:p w14:paraId="2B99179A">
      <w:pPr>
        <w:spacing w:line="360" w:lineRule="auto"/>
        <w:ind w:firstLine="527"/>
        <w:rPr>
          <w:rFonts w:ascii="宋体" w:hAnsi="宋体" w:cs="宋体"/>
          <w:color w:val="auto"/>
          <w:sz w:val="24"/>
          <w:szCs w:val="24"/>
          <w:highlight w:val="none"/>
        </w:rPr>
      </w:pPr>
      <w:r>
        <w:rPr>
          <w:rFonts w:hint="eastAsia" w:ascii="宋体" w:hAnsi="宋体" w:cs="宋体"/>
          <w:color w:val="auto"/>
          <w:sz w:val="24"/>
          <w:szCs w:val="24"/>
          <w:highlight w:val="none"/>
        </w:rPr>
        <w:t xml:space="preserve">本须知前附表1的条款号是与《投标人须知》中条款的项号相对应的。如有矛盾，应以本须知前附表为准。 </w:t>
      </w:r>
    </w:p>
    <w:tbl>
      <w:tblPr>
        <w:tblStyle w:val="2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14:paraId="7B97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tcPr>
          <w:p w14:paraId="6652DC3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1080" w:type="dxa"/>
          </w:tcPr>
          <w:p w14:paraId="4F0595A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380" w:type="dxa"/>
          </w:tcPr>
          <w:p w14:paraId="508CFB2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编   列   内    容</w:t>
            </w:r>
          </w:p>
        </w:tc>
      </w:tr>
      <w:tr w14:paraId="469C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vAlign w:val="center"/>
          </w:tcPr>
          <w:p w14:paraId="2223F04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80" w:type="dxa"/>
            <w:vAlign w:val="center"/>
          </w:tcPr>
          <w:p w14:paraId="3B0A442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7380" w:type="dxa"/>
            <w:vAlign w:val="center"/>
          </w:tcPr>
          <w:p w14:paraId="678EB4C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项目名称：中国人民银行厦门市分行食材采购 </w:t>
            </w:r>
          </w:p>
          <w:p w14:paraId="67FEA93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采购人名称：中国人民银行厦门市分行</w:t>
            </w:r>
          </w:p>
          <w:p w14:paraId="3D310CD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采购人地址：福建省厦门市思明区展鸿路100号</w:t>
            </w:r>
          </w:p>
          <w:p w14:paraId="65774D0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项目内容：详见第三章招标内容及要求 </w:t>
            </w:r>
          </w:p>
          <w:p w14:paraId="5FA50779">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XM2026-TZ5085</w:t>
            </w:r>
          </w:p>
          <w:p w14:paraId="088B1CD7">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项目预算：合同包一：150万元；</w:t>
            </w:r>
          </w:p>
          <w:p w14:paraId="5F400F69">
            <w:pPr>
              <w:spacing w:line="360" w:lineRule="auto"/>
              <w:ind w:firstLine="1200" w:firstLineChars="5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合同包二：70万元；</w:t>
            </w:r>
          </w:p>
          <w:p w14:paraId="5D250ACB">
            <w:pPr>
              <w:spacing w:line="360" w:lineRule="auto"/>
              <w:ind w:firstLine="1200" w:firstLineChars="5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合同包三：60万元</w:t>
            </w:r>
          </w:p>
        </w:tc>
      </w:tr>
      <w:tr w14:paraId="7C2B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vAlign w:val="center"/>
          </w:tcPr>
          <w:p w14:paraId="66BF4A0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80" w:type="dxa"/>
            <w:vAlign w:val="center"/>
          </w:tcPr>
          <w:p w14:paraId="20016BC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380" w:type="dxa"/>
            <w:vAlign w:val="center"/>
          </w:tcPr>
          <w:p w14:paraId="622A44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资格标准：</w:t>
            </w:r>
          </w:p>
          <w:p w14:paraId="3289149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详见第二章《投标人须知》第3条，以及第三章《招标内容及要求》有关内容。</w:t>
            </w:r>
          </w:p>
        </w:tc>
      </w:tr>
      <w:tr w14:paraId="3661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vAlign w:val="center"/>
          </w:tcPr>
          <w:p w14:paraId="749F1BC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80" w:type="dxa"/>
            <w:vAlign w:val="center"/>
          </w:tcPr>
          <w:p w14:paraId="4378904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11.1</w:t>
            </w:r>
          </w:p>
        </w:tc>
        <w:tc>
          <w:tcPr>
            <w:tcW w:w="7380" w:type="dxa"/>
            <w:vAlign w:val="center"/>
          </w:tcPr>
          <w:p w14:paraId="6BDABFC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投标有效期：投标截止之日起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个日历日。</w:t>
            </w:r>
          </w:p>
          <w:p w14:paraId="5E8E5EC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有效期不足将导致其投标文件被拒绝。</w:t>
            </w:r>
          </w:p>
        </w:tc>
      </w:tr>
      <w:tr w14:paraId="465D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vAlign w:val="center"/>
          </w:tcPr>
          <w:p w14:paraId="3208F15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80" w:type="dxa"/>
            <w:vAlign w:val="center"/>
          </w:tcPr>
          <w:p w14:paraId="04D307ED">
            <w:pPr>
              <w:spacing w:line="360" w:lineRule="auto"/>
              <w:jc w:val="center"/>
              <w:rPr>
                <w:rFonts w:ascii="宋体" w:hAnsi="宋体" w:cs="宋体"/>
                <w:color w:val="auto"/>
                <w:sz w:val="24"/>
                <w:szCs w:val="24"/>
                <w:highlight w:val="none"/>
              </w:rPr>
            </w:pPr>
          </w:p>
        </w:tc>
        <w:tc>
          <w:tcPr>
            <w:tcW w:w="7380" w:type="dxa"/>
            <w:vAlign w:val="center"/>
          </w:tcPr>
          <w:p w14:paraId="3A59B51F">
            <w:pPr>
              <w:widowControl/>
              <w:spacing w:line="360" w:lineRule="auto"/>
              <w:jc w:val="left"/>
              <w:rPr>
                <w:rFonts w:ascii="宋体" w:hAnsi="宋体" w:cs="宋体"/>
                <w:b/>
                <w:color w:val="auto"/>
                <w:sz w:val="24"/>
                <w:szCs w:val="24"/>
                <w:highlight w:val="none"/>
                <w:u w:val="single"/>
              </w:rPr>
            </w:pPr>
            <w:r>
              <w:rPr>
                <w:rFonts w:hint="eastAsia" w:ascii="宋体" w:hAnsi="宋体" w:cs="宋体"/>
                <w:color w:val="auto"/>
                <w:kern w:val="0"/>
                <w:sz w:val="24"/>
                <w:szCs w:val="24"/>
                <w:highlight w:val="none"/>
              </w:rPr>
              <w:t>投标文件递交地址：</w:t>
            </w:r>
            <w:r>
              <w:rPr>
                <w:rFonts w:hint="eastAsia" w:ascii="宋体" w:hAnsi="宋体" w:cs="宋体"/>
                <w:b/>
                <w:color w:val="auto"/>
                <w:sz w:val="24"/>
                <w:szCs w:val="24"/>
                <w:highlight w:val="none"/>
                <w:u w:val="single"/>
              </w:rPr>
              <w:t>厦门市湖里区机场北路476号四楼开标厅</w:t>
            </w:r>
          </w:p>
          <w:p w14:paraId="7232E8DE">
            <w:pP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接收人：傅晨晖、黄佳仪</w:t>
            </w:r>
          </w:p>
        </w:tc>
      </w:tr>
      <w:tr w14:paraId="6A6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900" w:type="dxa"/>
            <w:vAlign w:val="center"/>
          </w:tcPr>
          <w:p w14:paraId="1BFED7C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80" w:type="dxa"/>
            <w:vAlign w:val="center"/>
          </w:tcPr>
          <w:p w14:paraId="414F1F2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7380" w:type="dxa"/>
            <w:vAlign w:val="center"/>
          </w:tcPr>
          <w:p w14:paraId="5EACC524">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合同包一：投标保证金：</w:t>
            </w:r>
            <w:r>
              <w:rPr>
                <w:rFonts w:hint="eastAsia" w:ascii="宋体" w:hAnsi="宋体" w:cs="宋体"/>
                <w:color w:val="auto"/>
                <w:sz w:val="24"/>
                <w:szCs w:val="24"/>
                <w:highlight w:val="none"/>
                <w:u w:val="single"/>
              </w:rPr>
              <w:t>3万元 ；</w:t>
            </w:r>
          </w:p>
          <w:p w14:paraId="069FA02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合同包二：投标保证金：1.</w:t>
            </w:r>
            <w:r>
              <w:rPr>
                <w:rFonts w:hint="eastAsia" w:ascii="宋体" w:hAnsi="宋体" w:cs="宋体"/>
                <w:color w:val="auto"/>
                <w:sz w:val="24"/>
                <w:szCs w:val="24"/>
                <w:highlight w:val="none"/>
                <w:u w:val="single"/>
              </w:rPr>
              <w:t>4万元 ；</w:t>
            </w:r>
          </w:p>
          <w:p w14:paraId="31CD65C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合同包三：投标保证金：</w:t>
            </w:r>
            <w:r>
              <w:rPr>
                <w:rFonts w:hint="eastAsia" w:ascii="宋体" w:hAnsi="宋体" w:cs="宋体"/>
                <w:color w:val="auto"/>
                <w:sz w:val="24"/>
                <w:szCs w:val="24"/>
                <w:highlight w:val="none"/>
                <w:u w:val="single"/>
              </w:rPr>
              <w:t>1.2万元 ；</w:t>
            </w:r>
          </w:p>
          <w:p w14:paraId="366E6E4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①投标保证金以转账、电汇两种形式提交（不收取现金、现金支票，不能用个人卡在银联支付系统转账，否则作未提交投标保证金处理）。</w:t>
            </w:r>
          </w:p>
          <w:p w14:paraId="1C38682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②若项目存在分合同包采购的，则投标保证金应按不同的合同包号分别提交。</w:t>
            </w:r>
          </w:p>
          <w:p w14:paraId="414F44B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③投标人为中小企业的，其投标保证金全免交纳。全免交纳投标保证金的投标人应按照招标文件格式要求在投标文件中提供《中小企业声明函》。</w:t>
            </w:r>
          </w:p>
          <w:p w14:paraId="3E3A5E83">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④</w:t>
            </w:r>
            <w:r>
              <w:rPr>
                <w:rFonts w:hint="eastAsia" w:ascii="宋体" w:hAnsi="宋体" w:cs="宋体"/>
                <w:color w:val="auto"/>
                <w:kern w:val="0"/>
                <w:sz w:val="24"/>
                <w:szCs w:val="24"/>
                <w:highlight w:val="none"/>
              </w:rPr>
              <w:t>投标保证金应在投标截止时间前到账。</w:t>
            </w:r>
          </w:p>
          <w:p w14:paraId="3BE68D34">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未按前述规定缴交投标保证金的，投标无效。</w:t>
            </w:r>
          </w:p>
          <w:p w14:paraId="65531EC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⑤投标保证金按投标人缴交账号原路退回，遇投标人账号变更、非投标保证金款项误转进投标保证金专户等特殊情况确实无法原路退回的，需经同级政府采购监管部门核实后方可退回。</w:t>
            </w:r>
          </w:p>
        </w:tc>
      </w:tr>
      <w:tr w14:paraId="2B1F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vAlign w:val="center"/>
          </w:tcPr>
          <w:p w14:paraId="417E0A5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80" w:type="dxa"/>
            <w:vAlign w:val="center"/>
          </w:tcPr>
          <w:p w14:paraId="3756944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13.1</w:t>
            </w:r>
          </w:p>
        </w:tc>
        <w:tc>
          <w:tcPr>
            <w:tcW w:w="7380" w:type="dxa"/>
            <w:vAlign w:val="center"/>
          </w:tcPr>
          <w:p w14:paraId="64A529A0">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投标文件份数：</w:t>
            </w:r>
            <w:r>
              <w:rPr>
                <w:rFonts w:hint="eastAsia" w:ascii="宋体" w:hAnsi="宋体" w:cs="宋体"/>
                <w:b/>
                <w:color w:val="auto"/>
                <w:sz w:val="24"/>
                <w:szCs w:val="24"/>
                <w:highlight w:val="none"/>
              </w:rPr>
              <w:t>正本一份、副本四份。投标人须提供最终盖章签字投标文件扫描件刻录</w:t>
            </w:r>
            <w:r>
              <w:rPr>
                <w:rFonts w:ascii="宋体" w:hAnsi="宋体" w:cs="宋体"/>
                <w:b/>
                <w:color w:val="auto"/>
                <w:sz w:val="24"/>
                <w:szCs w:val="24"/>
                <w:highlight w:val="none"/>
              </w:rPr>
              <w:t>u盘（或光盘）2份。</w:t>
            </w:r>
          </w:p>
        </w:tc>
      </w:tr>
      <w:tr w14:paraId="2F6B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vAlign w:val="center"/>
          </w:tcPr>
          <w:p w14:paraId="22BBA648">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80" w:type="dxa"/>
            <w:vAlign w:val="center"/>
          </w:tcPr>
          <w:p w14:paraId="444AEA6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19.1</w:t>
            </w:r>
          </w:p>
        </w:tc>
        <w:tc>
          <w:tcPr>
            <w:tcW w:w="7380" w:type="dxa"/>
            <w:vAlign w:val="center"/>
          </w:tcPr>
          <w:p w14:paraId="667F594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评标方法、标准及定标原则（含推荐中标候选供应商数量）：</w:t>
            </w:r>
          </w:p>
          <w:p w14:paraId="3F406564">
            <w:pPr>
              <w:pStyle w:val="10"/>
              <w:spacing w:line="360" w:lineRule="auto"/>
              <w:rPr>
                <w:rFonts w:hAnsi="宋体" w:cs="宋体"/>
                <w:color w:val="auto"/>
                <w:sz w:val="24"/>
                <w:szCs w:val="24"/>
                <w:highlight w:val="none"/>
              </w:rPr>
            </w:pPr>
            <w:r>
              <w:rPr>
                <w:rFonts w:hint="eastAsia" w:hAnsi="宋体" w:cs="宋体"/>
                <w:color w:val="auto"/>
                <w:sz w:val="24"/>
                <w:szCs w:val="24"/>
                <w:highlight w:val="none"/>
              </w:rPr>
              <w:t>详见《投标人须知前附表3》。</w:t>
            </w:r>
          </w:p>
        </w:tc>
      </w:tr>
      <w:tr w14:paraId="2E3A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vAlign w:val="center"/>
          </w:tcPr>
          <w:p w14:paraId="4DC2909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80" w:type="dxa"/>
            <w:vAlign w:val="center"/>
          </w:tcPr>
          <w:p w14:paraId="3307A176">
            <w:pPr>
              <w:spacing w:line="360" w:lineRule="auto"/>
              <w:ind w:right="-63" w:rightChars="-30"/>
              <w:rPr>
                <w:rFonts w:ascii="宋体" w:hAnsi="宋体" w:cs="宋体"/>
                <w:color w:val="auto"/>
                <w:sz w:val="24"/>
                <w:szCs w:val="24"/>
                <w:highlight w:val="none"/>
              </w:rPr>
            </w:pPr>
            <w:r>
              <w:rPr>
                <w:rFonts w:hint="eastAsia" w:ascii="宋体" w:hAnsi="宋体" w:cs="宋体"/>
                <w:color w:val="auto"/>
                <w:sz w:val="24"/>
                <w:szCs w:val="24"/>
                <w:highlight w:val="none"/>
              </w:rPr>
              <w:t>12.9</w:t>
            </w:r>
          </w:p>
        </w:tc>
        <w:tc>
          <w:tcPr>
            <w:tcW w:w="7380" w:type="dxa"/>
            <w:vAlign w:val="center"/>
          </w:tcPr>
          <w:p w14:paraId="1D6A867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代理服务费：</w:t>
            </w:r>
          </w:p>
          <w:p w14:paraId="522E466B">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1、代理服务费收费标准：（以采购预算*投标收费比例为计费基础，按差额定率累进法计取）</w:t>
            </w:r>
          </w:p>
          <w:tbl>
            <w:tblPr>
              <w:tblStyle w:val="2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7B90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14:paraId="1655B99D">
                  <w:pPr>
                    <w:adjustRightInd/>
                    <w:snapToGrid/>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中标金额（万元）</w:t>
                  </w:r>
                </w:p>
              </w:tc>
              <w:tc>
                <w:tcPr>
                  <w:tcW w:w="2700" w:type="dxa"/>
                </w:tcPr>
                <w:p w14:paraId="51816B6F">
                  <w:pPr>
                    <w:adjustRightInd/>
                    <w:snapToGrid/>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费率</w:t>
                  </w:r>
                </w:p>
              </w:tc>
            </w:tr>
            <w:tr w14:paraId="5CF8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0CD7001C">
                  <w:pPr>
                    <w:adjustRightInd/>
                    <w:snapToGrid/>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[0―100]</w:t>
                  </w:r>
                </w:p>
              </w:tc>
              <w:tc>
                <w:tcPr>
                  <w:tcW w:w="2700" w:type="dxa"/>
                </w:tcPr>
                <w:p w14:paraId="02501AA8">
                  <w:pPr>
                    <w:adjustRightInd/>
                    <w:snapToGrid/>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r>
            <w:tr w14:paraId="2299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3CC59BC">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（100－500]</w:t>
                  </w:r>
                </w:p>
              </w:tc>
              <w:tc>
                <w:tcPr>
                  <w:tcW w:w="2700" w:type="dxa"/>
                </w:tcPr>
                <w:p w14:paraId="311731B3">
                  <w:pPr>
                    <w:adjustRightInd/>
                    <w:snapToGrid/>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0.64%</w:t>
                  </w:r>
                </w:p>
              </w:tc>
            </w:tr>
          </w:tbl>
          <w:p w14:paraId="1E94F0CB">
            <w:pPr>
              <w:adjustRightInd/>
              <w:snapToGri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w:t>
            </w:r>
          </w:p>
          <w:p w14:paraId="1861654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经评审，所有采购标的均为中小企业（含个体工商户）制造的货物（承建的工程、承接的服务），或者监狱企业提供本单位制造的货物、本单位承建的工程、本单位承接的服务；或者残疾人福利性单位提供本单位制造的货物、承担的工程或者服务（或提供其他残疾人福利性单位制造的货物），属于前述情形的，给予中标供应商的代理服务费按上述收费标准下调10%。</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（2）代理服务费由中标供应商以转账或汇款方式支付。</w:t>
            </w:r>
          </w:p>
          <w:p w14:paraId="74190B2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（3）因中标供应商自身原因导致最终无法承接项目的，代理服务费不予退还。</w:t>
            </w:r>
          </w:p>
        </w:tc>
      </w:tr>
      <w:tr w14:paraId="0A08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6046F6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80" w:type="dxa"/>
            <w:tcBorders>
              <w:top w:val="single" w:color="auto" w:sz="4" w:space="0"/>
              <w:left w:val="single" w:color="auto" w:sz="4" w:space="0"/>
              <w:bottom w:val="single" w:color="auto" w:sz="4" w:space="0"/>
              <w:right w:val="single" w:color="auto" w:sz="4" w:space="0"/>
            </w:tcBorders>
            <w:vAlign w:val="center"/>
          </w:tcPr>
          <w:p w14:paraId="3E7F9F9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7380" w:type="dxa"/>
            <w:tcBorders>
              <w:top w:val="single" w:color="auto" w:sz="4" w:space="0"/>
              <w:left w:val="single" w:color="auto" w:sz="4" w:space="0"/>
              <w:bottom w:val="single" w:color="auto" w:sz="4" w:space="0"/>
              <w:right w:val="single" w:color="auto" w:sz="4" w:space="0"/>
            </w:tcBorders>
            <w:vAlign w:val="center"/>
          </w:tcPr>
          <w:p w14:paraId="397F9FA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投标人一旦中标，应在规定时间内凭中标通知书原件与采购人签订《政府采购合同》。中标供应商为中小企业的，如需支付履约保证金的，按约定比例的50%支付。</w:t>
            </w:r>
          </w:p>
        </w:tc>
      </w:tr>
    </w:tbl>
    <w:p w14:paraId="1AFCC254">
      <w:pPr>
        <w:spacing w:line="360" w:lineRule="auto"/>
        <w:rPr>
          <w:rFonts w:ascii="宋体" w:hAnsi="宋体" w:cs="宋体"/>
          <w:b/>
          <w:bCs/>
          <w:color w:val="auto"/>
          <w:sz w:val="24"/>
          <w:szCs w:val="24"/>
          <w:highlight w:val="none"/>
          <w:u w:val="single"/>
        </w:rPr>
      </w:pPr>
    </w:p>
    <w:p w14:paraId="00BCCFF3">
      <w:pPr>
        <w:spacing w:line="360" w:lineRule="auto"/>
        <w:jc w:val="center"/>
        <w:rPr>
          <w:rFonts w:ascii="宋体" w:hAnsi="宋体" w:cs="宋体"/>
          <w:b/>
          <w:bCs/>
          <w:color w:val="auto"/>
          <w:sz w:val="32"/>
          <w:szCs w:val="32"/>
          <w:highlight w:val="none"/>
          <w:u w:val="single"/>
        </w:rPr>
        <w:sectPr>
          <w:headerReference r:id="rId7" w:type="default"/>
          <w:footerReference r:id="rId8" w:type="default"/>
          <w:pgSz w:w="11906" w:h="16838"/>
          <w:pgMar w:top="1440" w:right="1803" w:bottom="1440" w:left="1803" w:header="567" w:footer="567" w:gutter="0"/>
          <w:cols w:space="720" w:num="1"/>
          <w:docGrid w:linePitch="312" w:charSpace="0"/>
        </w:sectPr>
      </w:pPr>
    </w:p>
    <w:p w14:paraId="23F92077">
      <w:pPr>
        <w:spacing w:line="360" w:lineRule="auto"/>
        <w:jc w:val="center"/>
        <w:outlineLvl w:val="1"/>
        <w:rPr>
          <w:rFonts w:ascii="宋体" w:hAnsi="宋体" w:cs="宋体"/>
          <w:b/>
          <w:bCs/>
          <w:color w:val="auto"/>
          <w:sz w:val="24"/>
          <w:szCs w:val="24"/>
          <w:highlight w:val="none"/>
          <w:u w:val="single"/>
        </w:rPr>
      </w:pPr>
      <w:bookmarkStart w:id="39" w:name="_Toc16590"/>
      <w:bookmarkStart w:id="40" w:name="_Toc15910"/>
      <w:r>
        <w:rPr>
          <w:rFonts w:hint="eastAsia" w:ascii="宋体" w:hAnsi="宋体" w:cs="宋体"/>
          <w:b/>
          <w:bCs/>
          <w:color w:val="auto"/>
          <w:sz w:val="32"/>
          <w:szCs w:val="32"/>
          <w:highlight w:val="none"/>
          <w:u w:val="single"/>
        </w:rPr>
        <w:t>投标人须知前附表2：资格性、符合性检查表</w:t>
      </w:r>
      <w:bookmarkEnd w:id="39"/>
      <w:bookmarkEnd w:id="40"/>
    </w:p>
    <w:p w14:paraId="1EBD25B6">
      <w:pPr>
        <w:spacing w:line="360" w:lineRule="auto"/>
        <w:ind w:firstLine="495"/>
        <w:rPr>
          <w:rFonts w:ascii="宋体" w:hAnsi="宋体" w:cs="宋体"/>
          <w:color w:val="auto"/>
          <w:sz w:val="24"/>
          <w:szCs w:val="24"/>
          <w:highlight w:val="none"/>
        </w:rPr>
      </w:pPr>
      <w:r>
        <w:rPr>
          <w:rFonts w:hint="eastAsia" w:ascii="宋体" w:hAnsi="宋体" w:cs="宋体"/>
          <w:color w:val="auto"/>
          <w:sz w:val="24"/>
          <w:szCs w:val="24"/>
          <w:highlight w:val="none"/>
        </w:rPr>
        <w:t>本须知前附表2集中列示了符合性检查的所有条款，其内容是评标委员会在评审过程中判断投标人的投标是否有效的重要依据。</w:t>
      </w:r>
    </w:p>
    <w:tbl>
      <w:tblPr>
        <w:tblStyle w:val="22"/>
        <w:tblW w:w="896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1422"/>
        <w:gridCol w:w="6151"/>
      </w:tblGrid>
      <w:tr w14:paraId="3BF5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5" w:type="dxa"/>
            <w:gridSpan w:val="4"/>
          </w:tcPr>
          <w:p w14:paraId="1BAEB8DB">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资格性要求（合同包一、合同包二、合同三）</w:t>
            </w:r>
          </w:p>
        </w:tc>
      </w:tr>
      <w:tr w14:paraId="5B6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vAlign w:val="center"/>
          </w:tcPr>
          <w:p w14:paraId="705C9339">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w:t>
            </w:r>
          </w:p>
          <w:p w14:paraId="589CBA60">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号</w:t>
            </w:r>
          </w:p>
        </w:tc>
        <w:tc>
          <w:tcPr>
            <w:tcW w:w="696" w:type="dxa"/>
            <w:tcBorders>
              <w:bottom w:val="single" w:color="auto" w:sz="4" w:space="0"/>
            </w:tcBorders>
            <w:vAlign w:val="center"/>
          </w:tcPr>
          <w:p w14:paraId="7B62897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章</w:t>
            </w:r>
          </w:p>
        </w:tc>
        <w:tc>
          <w:tcPr>
            <w:tcW w:w="1422" w:type="dxa"/>
            <w:tcBorders>
              <w:bottom w:val="single" w:color="auto" w:sz="4" w:space="0"/>
            </w:tcBorders>
            <w:vAlign w:val="center"/>
          </w:tcPr>
          <w:p w14:paraId="2A74F6B0">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6151" w:type="dxa"/>
            <w:tcBorders>
              <w:bottom w:val="single" w:color="auto" w:sz="4" w:space="0"/>
            </w:tcBorders>
            <w:vAlign w:val="center"/>
          </w:tcPr>
          <w:p w14:paraId="6B9F6891">
            <w:pPr>
              <w:tabs>
                <w:tab w:val="left" w:pos="2848"/>
              </w:tabs>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具体内容</w:t>
            </w:r>
          </w:p>
        </w:tc>
      </w:tr>
      <w:tr w14:paraId="2253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570F580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vAlign w:val="center"/>
          </w:tcPr>
          <w:p w14:paraId="37FFBE5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72DF6B8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151" w:type="dxa"/>
            <w:tcBorders>
              <w:top w:val="single" w:color="auto" w:sz="4" w:space="0"/>
              <w:left w:val="single" w:color="auto" w:sz="4" w:space="0"/>
              <w:bottom w:val="single" w:color="auto" w:sz="4" w:space="0"/>
              <w:right w:val="single" w:color="auto" w:sz="4" w:space="0"/>
            </w:tcBorders>
            <w:vAlign w:val="center"/>
          </w:tcPr>
          <w:p w14:paraId="7EBD9B5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合格的投标人</w:t>
            </w:r>
          </w:p>
          <w:p w14:paraId="50D081D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具体内容详见第二章第3条“合格的投标人”。</w:t>
            </w:r>
          </w:p>
        </w:tc>
      </w:tr>
      <w:tr w14:paraId="0C9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3793723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vAlign w:val="center"/>
          </w:tcPr>
          <w:p w14:paraId="237CB09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47A1917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3.1</w:t>
            </w:r>
          </w:p>
        </w:tc>
        <w:tc>
          <w:tcPr>
            <w:tcW w:w="6151" w:type="dxa"/>
            <w:tcBorders>
              <w:top w:val="single" w:color="auto" w:sz="4" w:space="0"/>
              <w:left w:val="single" w:color="auto" w:sz="4" w:space="0"/>
              <w:bottom w:val="single" w:color="auto" w:sz="4" w:space="0"/>
              <w:right w:val="single" w:color="auto" w:sz="4" w:space="0"/>
            </w:tcBorders>
            <w:vAlign w:val="center"/>
          </w:tcPr>
          <w:p w14:paraId="6C375B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3.1凡有能力提供本招标文件所述服务的，具备《中华人民共和国政府采购法》第二十二条第一款规定的条件且符合本招标文件规定资格要求的境内服务商均可能成为合格的投标人。</w:t>
            </w:r>
          </w:p>
          <w:p w14:paraId="0B3967C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投标人应具备《中华人民共和国政府采购法》第二十二条第一款规定的条件，并提供以下材料：</w:t>
            </w:r>
          </w:p>
          <w:p w14:paraId="5BE855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662A4A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投标人是法人或者其他组织的应提供营业执照等证明文件，投标人是自然人的应提供有效的自然人身份证明。</w:t>
            </w:r>
          </w:p>
          <w:p w14:paraId="2AF17A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（2）投标人已提供加载有统一社会信用代码营业执照的，视为已提供税务登记证和组织机构代码证。</w:t>
            </w:r>
          </w:p>
          <w:p w14:paraId="2C07E05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w:t>
            </w:r>
            <w:r>
              <w:rPr>
                <w:rFonts w:ascii="宋体" w:hAnsi="宋体" w:cs="宋体"/>
                <w:b/>
                <w:color w:val="auto"/>
                <w:sz w:val="24"/>
                <w:szCs w:val="24"/>
                <w:highlight w:val="none"/>
              </w:rPr>
              <w:t>3）按要求提供福建省政府采购供应商资格承诺函。</w:t>
            </w:r>
          </w:p>
        </w:tc>
      </w:tr>
      <w:tr w14:paraId="565B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0D6EE94E">
            <w:pP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vAlign w:val="center"/>
          </w:tcPr>
          <w:p w14:paraId="4C0800E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2DC4C7F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3.7</w:t>
            </w:r>
          </w:p>
        </w:tc>
        <w:tc>
          <w:tcPr>
            <w:tcW w:w="6151" w:type="dxa"/>
            <w:tcBorders>
              <w:top w:val="single" w:color="auto" w:sz="4" w:space="0"/>
              <w:left w:val="single" w:color="auto" w:sz="4" w:space="0"/>
              <w:bottom w:val="single" w:color="auto" w:sz="4" w:space="0"/>
              <w:right w:val="single" w:color="auto" w:sz="4" w:space="0"/>
            </w:tcBorders>
            <w:vAlign w:val="center"/>
          </w:tcPr>
          <w:p w14:paraId="31C4A1A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3.7投标代理人在同一个项目中只能接受一个投标人的委托参加投标。</w:t>
            </w:r>
          </w:p>
        </w:tc>
      </w:tr>
      <w:tr w14:paraId="280B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441C63A6">
            <w:pP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vAlign w:val="center"/>
          </w:tcPr>
          <w:p w14:paraId="15413075">
            <w:pPr>
              <w:spacing w:line="360" w:lineRule="auto"/>
              <w:jc w:val="center"/>
              <w:rPr>
                <w:rFonts w:ascii="宋体" w:hAnsi="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21B96BBD">
            <w:pPr>
              <w:spacing w:line="360" w:lineRule="auto"/>
              <w:jc w:val="center"/>
              <w:rPr>
                <w:rFonts w:ascii="宋体" w:hAnsi="宋体" w:cs="宋体"/>
                <w:color w:val="auto"/>
                <w:sz w:val="24"/>
                <w:szCs w:val="24"/>
                <w:highlight w:val="none"/>
              </w:rPr>
            </w:pPr>
          </w:p>
        </w:tc>
        <w:tc>
          <w:tcPr>
            <w:tcW w:w="6151" w:type="dxa"/>
            <w:tcBorders>
              <w:top w:val="single" w:color="auto" w:sz="4" w:space="0"/>
              <w:left w:val="single" w:color="auto" w:sz="4" w:space="0"/>
              <w:bottom w:val="single" w:color="auto" w:sz="4" w:space="0"/>
              <w:right w:val="single" w:color="auto" w:sz="4" w:space="0"/>
            </w:tcBorders>
            <w:vAlign w:val="center"/>
          </w:tcPr>
          <w:p w14:paraId="4663E3C7">
            <w:pPr>
              <w:tabs>
                <w:tab w:val="left" w:pos="63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信用记录按照下列规定执行：信用记录的查询及审查：①由资格审查小组在评审当日通过“信用中国”网站（www.creditchina.gov.cn）、中国政府采购网（www.ccgp.gov.cn）、信用中国（福建厦门）（credit.xm.gov.cn）查询并打印投标人信用记录（以下简称：“资格审查小组的查询结果”）。②经查询，投标人（包括联合体各方，联合体成员存在不良记录的，视同联合体存在不良信用记录，认定联合体资格审查不合格）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52C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09E383C3">
            <w:pP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vAlign w:val="center"/>
          </w:tcPr>
          <w:p w14:paraId="1D1E795A">
            <w:pPr>
              <w:spacing w:line="360" w:lineRule="auto"/>
              <w:jc w:val="center"/>
              <w:rPr>
                <w:rFonts w:ascii="宋体" w:hAnsi="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4EF68BAF">
            <w:pPr>
              <w:spacing w:line="360" w:lineRule="auto"/>
              <w:jc w:val="center"/>
              <w:rPr>
                <w:rFonts w:ascii="宋体" w:hAnsi="宋体" w:cs="宋体"/>
                <w:color w:val="auto"/>
                <w:sz w:val="24"/>
                <w:szCs w:val="24"/>
                <w:highlight w:val="none"/>
              </w:rPr>
            </w:pPr>
          </w:p>
        </w:tc>
        <w:tc>
          <w:tcPr>
            <w:tcW w:w="6151" w:type="dxa"/>
            <w:tcBorders>
              <w:top w:val="single" w:color="auto" w:sz="4" w:space="0"/>
              <w:left w:val="single" w:color="auto" w:sz="4" w:space="0"/>
              <w:bottom w:val="single" w:color="auto" w:sz="4" w:space="0"/>
              <w:right w:val="single" w:color="auto" w:sz="4" w:space="0"/>
            </w:tcBorders>
            <w:vAlign w:val="center"/>
          </w:tcPr>
          <w:p w14:paraId="11437319">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★1.投标人应提供工商营业执照（副本）（加盖公章）的复印件。</w:t>
            </w:r>
          </w:p>
        </w:tc>
      </w:tr>
      <w:tr w14:paraId="1816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tcPr>
          <w:p w14:paraId="2B538D02">
            <w:pP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tcPr>
          <w:p w14:paraId="0115D72E">
            <w:pPr>
              <w:spacing w:line="360" w:lineRule="auto"/>
              <w:jc w:val="center"/>
              <w:rPr>
                <w:rFonts w:ascii="宋体" w:hAnsi="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tcPr>
          <w:p w14:paraId="14DB9656">
            <w:pPr>
              <w:spacing w:line="360" w:lineRule="auto"/>
              <w:jc w:val="center"/>
              <w:rPr>
                <w:rFonts w:ascii="宋体" w:hAnsi="宋体" w:cs="宋体"/>
                <w:color w:val="auto"/>
                <w:sz w:val="24"/>
                <w:szCs w:val="24"/>
                <w:highlight w:val="none"/>
              </w:rPr>
            </w:pPr>
          </w:p>
        </w:tc>
        <w:tc>
          <w:tcPr>
            <w:tcW w:w="6151" w:type="dxa"/>
            <w:tcBorders>
              <w:top w:val="single" w:color="auto" w:sz="4" w:space="0"/>
              <w:left w:val="single" w:color="auto" w:sz="4" w:space="0"/>
              <w:bottom w:val="single" w:color="auto" w:sz="4" w:space="0"/>
              <w:right w:val="single" w:color="auto" w:sz="4" w:space="0"/>
            </w:tcBorders>
          </w:tcPr>
          <w:p w14:paraId="1FF7D2DE">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★2.投标人全权代表若不是单位负责人，应提供单位授权书原件，并提供被授权代表身份证复印件。</w:t>
            </w:r>
          </w:p>
        </w:tc>
      </w:tr>
      <w:tr w14:paraId="0389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tcPr>
          <w:p w14:paraId="5843371B">
            <w:pP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tcPr>
          <w:p w14:paraId="078FF368">
            <w:pPr>
              <w:spacing w:line="360" w:lineRule="auto"/>
              <w:jc w:val="center"/>
              <w:rPr>
                <w:rFonts w:ascii="宋体" w:hAnsi="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tcPr>
          <w:p w14:paraId="626FD15C">
            <w:pPr>
              <w:spacing w:line="360" w:lineRule="auto"/>
              <w:jc w:val="center"/>
              <w:rPr>
                <w:rFonts w:ascii="宋体" w:hAnsi="宋体" w:cs="宋体"/>
                <w:color w:val="auto"/>
                <w:sz w:val="24"/>
                <w:szCs w:val="24"/>
                <w:highlight w:val="none"/>
              </w:rPr>
            </w:pPr>
          </w:p>
        </w:tc>
        <w:tc>
          <w:tcPr>
            <w:tcW w:w="6151" w:type="dxa"/>
            <w:tcBorders>
              <w:top w:val="single" w:color="auto" w:sz="4" w:space="0"/>
              <w:left w:val="single" w:color="auto" w:sz="4" w:space="0"/>
              <w:bottom w:val="single" w:color="auto" w:sz="4" w:space="0"/>
              <w:right w:val="single" w:color="auto" w:sz="4" w:space="0"/>
            </w:tcBorders>
          </w:tcPr>
          <w:p w14:paraId="6F00BD44">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★3.投标人须具有行政主管部门颁发的《食品经营许可证》或《食品生产许可证》，并提供有效的证书复印件。</w:t>
            </w:r>
          </w:p>
        </w:tc>
      </w:tr>
      <w:tr w14:paraId="3992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tcPr>
          <w:p w14:paraId="03C3CCFB">
            <w:pPr>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tcPr>
          <w:p w14:paraId="33130AE4">
            <w:pPr>
              <w:spacing w:line="360" w:lineRule="auto"/>
              <w:jc w:val="center"/>
              <w:rPr>
                <w:rFonts w:ascii="宋体" w:hAnsi="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tcPr>
          <w:p w14:paraId="46F83791">
            <w:pPr>
              <w:spacing w:line="360" w:lineRule="auto"/>
              <w:jc w:val="center"/>
              <w:rPr>
                <w:rFonts w:ascii="宋体" w:hAnsi="宋体" w:cs="宋体"/>
                <w:color w:val="auto"/>
                <w:sz w:val="24"/>
                <w:szCs w:val="24"/>
                <w:highlight w:val="none"/>
              </w:rPr>
            </w:pPr>
          </w:p>
        </w:tc>
        <w:tc>
          <w:tcPr>
            <w:tcW w:w="6151" w:type="dxa"/>
            <w:tcBorders>
              <w:top w:val="single" w:color="auto" w:sz="4" w:space="0"/>
              <w:left w:val="single" w:color="auto" w:sz="4" w:space="0"/>
              <w:bottom w:val="single" w:color="auto" w:sz="4" w:space="0"/>
              <w:right w:val="single" w:color="auto" w:sz="4" w:space="0"/>
            </w:tcBorders>
          </w:tcPr>
          <w:p w14:paraId="40159B4E">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4.本项目合同包二、合同包三为专门面向中小微企业采购，不再执行价格评审优惠的扶持政策。合同包二、合同包三投标人须提供中小企业声明函，未提供的投标作无效投标处理。监狱企业、残疾人福利性单位视同小型、微型企业。</w:t>
            </w:r>
          </w:p>
        </w:tc>
      </w:tr>
      <w:tr w14:paraId="2B61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5" w:type="dxa"/>
            <w:gridSpan w:val="4"/>
            <w:tcBorders>
              <w:top w:val="single" w:color="auto" w:sz="4" w:space="0"/>
              <w:left w:val="single" w:color="auto" w:sz="4" w:space="0"/>
              <w:bottom w:val="single" w:color="auto" w:sz="4" w:space="0"/>
              <w:right w:val="single" w:color="auto" w:sz="4" w:space="0"/>
            </w:tcBorders>
          </w:tcPr>
          <w:p w14:paraId="11C0085B">
            <w:pPr>
              <w:spacing w:line="360" w:lineRule="auto"/>
              <w:ind w:firstLine="3373" w:firstLineChars="1400"/>
              <w:rPr>
                <w:rFonts w:ascii="宋体" w:hAnsi="宋体" w:cs="宋体"/>
                <w:color w:val="auto"/>
                <w:sz w:val="24"/>
                <w:szCs w:val="24"/>
                <w:highlight w:val="none"/>
              </w:rPr>
            </w:pPr>
            <w:r>
              <w:rPr>
                <w:rFonts w:hint="eastAsia" w:ascii="宋体" w:hAnsi="宋体" w:cs="宋体"/>
                <w:b/>
                <w:color w:val="auto"/>
                <w:sz w:val="24"/>
                <w:szCs w:val="24"/>
                <w:highlight w:val="none"/>
              </w:rPr>
              <w:t>符合性要求（合同包一、合同包二、合同三）</w:t>
            </w:r>
          </w:p>
        </w:tc>
      </w:tr>
      <w:tr w14:paraId="4FF9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525E4F9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696" w:type="dxa"/>
            <w:tcBorders>
              <w:top w:val="single" w:color="auto" w:sz="4" w:space="0"/>
              <w:left w:val="single" w:color="auto" w:sz="4" w:space="0"/>
              <w:bottom w:val="single" w:color="auto" w:sz="4" w:space="0"/>
              <w:right w:val="single" w:color="auto" w:sz="4" w:space="0"/>
            </w:tcBorders>
            <w:vAlign w:val="center"/>
          </w:tcPr>
          <w:p w14:paraId="471A193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422" w:type="dxa"/>
            <w:tcBorders>
              <w:top w:val="single" w:color="auto" w:sz="4" w:space="0"/>
              <w:left w:val="single" w:color="auto" w:sz="4" w:space="0"/>
              <w:bottom w:val="single" w:color="auto" w:sz="4" w:space="0"/>
              <w:right w:val="single" w:color="auto" w:sz="4" w:space="0"/>
            </w:tcBorders>
            <w:vAlign w:val="center"/>
          </w:tcPr>
          <w:p w14:paraId="34D74D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151" w:type="dxa"/>
            <w:tcBorders>
              <w:top w:val="single" w:color="auto" w:sz="4" w:space="0"/>
              <w:left w:val="single" w:color="auto" w:sz="4" w:space="0"/>
              <w:bottom w:val="single" w:color="auto" w:sz="4" w:space="0"/>
              <w:right w:val="single" w:color="auto" w:sz="4" w:space="0"/>
            </w:tcBorders>
            <w:vAlign w:val="center"/>
          </w:tcPr>
          <w:p w14:paraId="7DDCE2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31BE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45241C6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vAlign w:val="center"/>
          </w:tcPr>
          <w:p w14:paraId="7C523FE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1422" w:type="dxa"/>
            <w:tcBorders>
              <w:top w:val="single" w:color="auto" w:sz="4" w:space="0"/>
              <w:left w:val="single" w:color="auto" w:sz="4" w:space="0"/>
              <w:bottom w:val="single" w:color="auto" w:sz="4" w:space="0"/>
              <w:right w:val="single" w:color="auto" w:sz="4" w:space="0"/>
            </w:tcBorders>
            <w:vAlign w:val="center"/>
          </w:tcPr>
          <w:p w14:paraId="1E923A6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151" w:type="dxa"/>
            <w:tcBorders>
              <w:top w:val="single" w:color="auto" w:sz="4" w:space="0"/>
              <w:left w:val="single" w:color="auto" w:sz="4" w:space="0"/>
              <w:bottom w:val="single" w:color="auto" w:sz="4" w:space="0"/>
              <w:right w:val="single" w:color="auto" w:sz="4" w:space="0"/>
            </w:tcBorders>
          </w:tcPr>
          <w:p w14:paraId="0F17FF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投标人的投标文件未按规定的投标截止时间之前提交的，其投标将被拒绝。</w:t>
            </w:r>
          </w:p>
        </w:tc>
      </w:tr>
      <w:tr w14:paraId="5DFC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35370F9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vAlign w:val="center"/>
          </w:tcPr>
          <w:p w14:paraId="37079D6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0481E24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3.2</w:t>
            </w:r>
          </w:p>
        </w:tc>
        <w:tc>
          <w:tcPr>
            <w:tcW w:w="6151" w:type="dxa"/>
            <w:tcBorders>
              <w:top w:val="single" w:color="auto" w:sz="4" w:space="0"/>
              <w:left w:val="single" w:color="auto" w:sz="4" w:space="0"/>
              <w:bottom w:val="single" w:color="auto" w:sz="4" w:space="0"/>
              <w:right w:val="single" w:color="auto" w:sz="4" w:space="0"/>
            </w:tcBorders>
            <w:vAlign w:val="center"/>
          </w:tcPr>
          <w:p w14:paraId="4D150C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3.2投标人应遵守并符合中国的有关法律、法规和规章的规定，同时其投标服务也应符合中国的有关法律、法规和规章的规定。认可本须知中的规定。</w:t>
            </w:r>
          </w:p>
        </w:tc>
      </w:tr>
      <w:tr w14:paraId="6CD4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295A822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vAlign w:val="center"/>
          </w:tcPr>
          <w:p w14:paraId="1C1EF0E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6948DA4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3.3</w:t>
            </w:r>
          </w:p>
        </w:tc>
        <w:tc>
          <w:tcPr>
            <w:tcW w:w="6151" w:type="dxa"/>
            <w:tcBorders>
              <w:top w:val="single" w:color="auto" w:sz="4" w:space="0"/>
              <w:left w:val="single" w:color="auto" w:sz="4" w:space="0"/>
              <w:bottom w:val="single" w:color="auto" w:sz="4" w:space="0"/>
              <w:right w:val="single" w:color="auto" w:sz="4" w:space="0"/>
            </w:tcBorders>
            <w:vAlign w:val="center"/>
          </w:tcPr>
          <w:p w14:paraId="182271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3.3一个投标人只能提交一个投标文件。如果投标人之间存在下列互为关联关系的情形之一的，不得同时参加本项目同一合同包投标：</w:t>
            </w:r>
          </w:p>
          <w:p w14:paraId="58C7B9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(1)法定代表人、单位负责人为同一人或夫妻关系的不同投标人；</w:t>
            </w:r>
          </w:p>
          <w:p w14:paraId="5F76944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(2)存在直接控股、管理关系的不同投标人；</w:t>
            </w:r>
          </w:p>
          <w:p w14:paraId="5DDF353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(3)均为同一家母公司直接或间接持股50％及以上的被投资公司。</w:t>
            </w:r>
          </w:p>
        </w:tc>
      </w:tr>
      <w:tr w14:paraId="0F8B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30894DA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vAlign w:val="center"/>
          </w:tcPr>
          <w:p w14:paraId="492BD06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1C91344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3.4</w:t>
            </w:r>
          </w:p>
        </w:tc>
        <w:tc>
          <w:tcPr>
            <w:tcW w:w="6151" w:type="dxa"/>
            <w:tcBorders>
              <w:top w:val="single" w:color="auto" w:sz="4" w:space="0"/>
              <w:left w:val="single" w:color="auto" w:sz="4" w:space="0"/>
              <w:bottom w:val="single" w:color="auto" w:sz="4" w:space="0"/>
              <w:right w:val="single" w:color="auto" w:sz="4" w:space="0"/>
            </w:tcBorders>
            <w:vAlign w:val="center"/>
          </w:tcPr>
          <w:p w14:paraId="0F9AE1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14:paraId="364A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4A52DC4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vAlign w:val="center"/>
          </w:tcPr>
          <w:p w14:paraId="1F7F369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0001BB6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3.8</w:t>
            </w:r>
          </w:p>
        </w:tc>
        <w:tc>
          <w:tcPr>
            <w:tcW w:w="6151" w:type="dxa"/>
            <w:tcBorders>
              <w:top w:val="single" w:color="auto" w:sz="4" w:space="0"/>
              <w:left w:val="single" w:color="auto" w:sz="4" w:space="0"/>
              <w:bottom w:val="single" w:color="auto" w:sz="4" w:space="0"/>
              <w:right w:val="single" w:color="auto" w:sz="4" w:space="0"/>
            </w:tcBorders>
            <w:vAlign w:val="center"/>
          </w:tcPr>
          <w:p w14:paraId="4945274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3.8投标人存在下列情形之一的，将被认定为串通投标行为并作无效投标处理：</w:t>
            </w:r>
          </w:p>
          <w:p w14:paraId="08D6EB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（1）投标人之间协商投标报价等投标文件的实质性内容；</w:t>
            </w:r>
          </w:p>
          <w:p w14:paraId="22E6A2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（2）投标人之间约定中标供应商；</w:t>
            </w:r>
          </w:p>
          <w:p w14:paraId="0ACA02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（3）投标人之间约定部分投标人放弃投标或者中标；</w:t>
            </w:r>
          </w:p>
          <w:p w14:paraId="44CE645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（4）属于同一集团、协会、商会等组织成员的投标人按照该组织要求协同投标；</w:t>
            </w:r>
          </w:p>
          <w:p w14:paraId="7A241BF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（5）投标人之间为谋取中标或者排斥特定投标人而采取的其他联合行动；</w:t>
            </w:r>
          </w:p>
          <w:p w14:paraId="53DED5C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（6）不同投标人的投标文件由同一单位或者个人编制；</w:t>
            </w:r>
          </w:p>
          <w:p w14:paraId="4F951A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（7）不同投标人委托同一单位或者个人办理投标事宜；</w:t>
            </w:r>
          </w:p>
          <w:p w14:paraId="081357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（8）不同投标人的投标文件载明的项目管理成员或者联系人员为同一人；</w:t>
            </w:r>
          </w:p>
          <w:p w14:paraId="17FC62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（9）不同投标人的投标文件异常一致或者投标报价呈规律性差异；</w:t>
            </w:r>
          </w:p>
          <w:p w14:paraId="73154D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（10）不同投标人的投标文件相互混装；</w:t>
            </w:r>
          </w:p>
          <w:p w14:paraId="166E18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（11）不同投标人的投标保证金从同一单位或者个人的账户转出。</w:t>
            </w:r>
          </w:p>
          <w:p w14:paraId="399531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（12）不同投标人的投标文件错、漏之处一致或雷同，且不能合理解释的；</w:t>
            </w:r>
          </w:p>
          <w:p w14:paraId="05005E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（13）不同的投标人的法定代表人、委托代理人等由同一个单位缴纳社会保险的；</w:t>
            </w:r>
          </w:p>
          <w:p w14:paraId="0B3CA37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73E261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（15）有关法律、法规或规章规定的其他串通投标行为。</w:t>
            </w:r>
          </w:p>
        </w:tc>
      </w:tr>
      <w:tr w14:paraId="689B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51DED15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vAlign w:val="center"/>
          </w:tcPr>
          <w:p w14:paraId="5759BA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2620720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8.1</w:t>
            </w:r>
          </w:p>
        </w:tc>
        <w:tc>
          <w:tcPr>
            <w:tcW w:w="6151" w:type="dxa"/>
            <w:tcBorders>
              <w:top w:val="single" w:color="auto" w:sz="4" w:space="0"/>
              <w:left w:val="single" w:color="auto" w:sz="4" w:space="0"/>
              <w:bottom w:val="single" w:color="auto" w:sz="4" w:space="0"/>
              <w:right w:val="single" w:color="auto" w:sz="4" w:space="0"/>
            </w:tcBorders>
          </w:tcPr>
          <w:p w14:paraId="38769CFA">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tc>
      </w:tr>
      <w:tr w14:paraId="716F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03B9090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vAlign w:val="center"/>
          </w:tcPr>
          <w:p w14:paraId="6F16A4C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0A0CD75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8.2</w:t>
            </w:r>
          </w:p>
        </w:tc>
        <w:tc>
          <w:tcPr>
            <w:tcW w:w="6151" w:type="dxa"/>
            <w:tcBorders>
              <w:top w:val="single" w:color="auto" w:sz="4" w:space="0"/>
              <w:left w:val="single" w:color="auto" w:sz="4" w:space="0"/>
              <w:bottom w:val="single" w:color="auto" w:sz="4" w:space="0"/>
              <w:right w:val="single" w:color="auto" w:sz="4" w:space="0"/>
            </w:tcBorders>
          </w:tcPr>
          <w:p w14:paraId="2EE5097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8.2除非有另外的规定，投标人可对招标服务一览表所列的全部合同包或部分合同包进行投标。招标采购单位不接受有任何可选择性的报价，每一种服务只能有一个报价，否则其投标将被拒绝。</w:t>
            </w:r>
          </w:p>
        </w:tc>
      </w:tr>
      <w:tr w14:paraId="59AF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70AFB13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vAlign w:val="center"/>
          </w:tcPr>
          <w:p w14:paraId="5DC9AFD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1A2B170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11.1</w:t>
            </w:r>
          </w:p>
        </w:tc>
        <w:tc>
          <w:tcPr>
            <w:tcW w:w="6151" w:type="dxa"/>
            <w:tcBorders>
              <w:top w:val="single" w:color="auto" w:sz="4" w:space="0"/>
              <w:left w:val="single" w:color="auto" w:sz="4" w:space="0"/>
              <w:bottom w:val="single" w:color="auto" w:sz="4" w:space="0"/>
              <w:right w:val="single" w:color="auto" w:sz="4" w:space="0"/>
            </w:tcBorders>
            <w:vAlign w:val="center"/>
          </w:tcPr>
          <w:p w14:paraId="2E1D76D3">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11.1投标文件从投标截止之日开始生效，在</w:t>
            </w:r>
            <w:r>
              <w:rPr>
                <w:rFonts w:hint="eastAsia" w:ascii="宋体" w:hAnsi="宋体" w:cs="宋体"/>
                <w:b/>
                <w:bCs/>
                <w:color w:val="auto"/>
                <w:sz w:val="24"/>
                <w:szCs w:val="24"/>
                <w:highlight w:val="none"/>
              </w:rPr>
              <w:t>投标人须知前附表1</w:t>
            </w:r>
            <w:r>
              <w:rPr>
                <w:rFonts w:hint="eastAsia" w:ascii="宋体" w:hAnsi="宋体" w:cs="宋体"/>
                <w:b/>
                <w:color w:val="auto"/>
                <w:sz w:val="24"/>
                <w:szCs w:val="24"/>
                <w:highlight w:val="none"/>
              </w:rPr>
              <w:t>第3项所规定的期限内保持有效。有效期不足将导致其投标文件被拒绝。</w:t>
            </w:r>
          </w:p>
        </w:tc>
      </w:tr>
      <w:tr w14:paraId="15C4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6A98C55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696" w:type="dxa"/>
            <w:tcBorders>
              <w:top w:val="single" w:color="auto" w:sz="4" w:space="0"/>
              <w:left w:val="single" w:color="auto" w:sz="4" w:space="0"/>
              <w:bottom w:val="single" w:color="auto" w:sz="4" w:space="0"/>
              <w:right w:val="single" w:color="auto" w:sz="4" w:space="0"/>
            </w:tcBorders>
            <w:vAlign w:val="center"/>
          </w:tcPr>
          <w:p w14:paraId="68A10EC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4CDA60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12.5</w:t>
            </w:r>
          </w:p>
        </w:tc>
        <w:tc>
          <w:tcPr>
            <w:tcW w:w="6151" w:type="dxa"/>
            <w:tcBorders>
              <w:top w:val="single" w:color="auto" w:sz="4" w:space="0"/>
              <w:left w:val="single" w:color="auto" w:sz="4" w:space="0"/>
              <w:bottom w:val="single" w:color="auto" w:sz="4" w:space="0"/>
              <w:right w:val="single" w:color="auto" w:sz="4" w:space="0"/>
            </w:tcBorders>
            <w:vAlign w:val="center"/>
          </w:tcPr>
          <w:p w14:paraId="67AB26A9">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12.5未按要求缴交投标保证金的投标，将被视为无效投标。</w:t>
            </w:r>
          </w:p>
        </w:tc>
      </w:tr>
      <w:tr w14:paraId="709A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16065C1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696" w:type="dxa"/>
            <w:tcBorders>
              <w:top w:val="single" w:color="auto" w:sz="4" w:space="0"/>
              <w:left w:val="single" w:color="auto" w:sz="4" w:space="0"/>
              <w:bottom w:val="single" w:color="auto" w:sz="4" w:space="0"/>
              <w:right w:val="single" w:color="auto" w:sz="4" w:space="0"/>
            </w:tcBorders>
            <w:vAlign w:val="center"/>
          </w:tcPr>
          <w:p w14:paraId="254B0F3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028818AD">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13.7</w:t>
            </w:r>
          </w:p>
        </w:tc>
        <w:tc>
          <w:tcPr>
            <w:tcW w:w="6151" w:type="dxa"/>
            <w:tcBorders>
              <w:top w:val="single" w:color="auto" w:sz="4" w:space="0"/>
              <w:left w:val="single" w:color="auto" w:sz="4" w:space="0"/>
              <w:bottom w:val="single" w:color="auto" w:sz="4" w:space="0"/>
              <w:right w:val="single" w:color="auto" w:sz="4" w:space="0"/>
            </w:tcBorders>
            <w:vAlign w:val="center"/>
          </w:tcPr>
          <w:p w14:paraId="2B6D41C2">
            <w:pPr>
              <w:spacing w:line="360" w:lineRule="auto"/>
              <w:ind w:firstLine="482"/>
              <w:rPr>
                <w:rFonts w:ascii="宋体" w:hAnsi="宋体" w:cs="宋体"/>
                <w:b/>
                <w:color w:val="auto"/>
                <w:sz w:val="24"/>
                <w:szCs w:val="24"/>
                <w:highlight w:val="none"/>
              </w:rPr>
            </w:pPr>
            <w:r>
              <w:rPr>
                <w:rFonts w:hint="eastAsia" w:ascii="宋体" w:hAnsi="宋体" w:cs="宋体"/>
                <w:b/>
                <w:color w:val="auto"/>
                <w:sz w:val="24"/>
                <w:szCs w:val="24"/>
                <w:highlight w:val="none"/>
              </w:rPr>
              <w:t>13.7未按本须知规定的格式填写投标文件、投标文件字迹模糊不清的，其投标将被拒绝。</w:t>
            </w:r>
          </w:p>
        </w:tc>
      </w:tr>
      <w:tr w14:paraId="41CD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77AE911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696" w:type="dxa"/>
            <w:tcBorders>
              <w:top w:val="single" w:color="auto" w:sz="4" w:space="0"/>
              <w:left w:val="single" w:color="auto" w:sz="4" w:space="0"/>
              <w:bottom w:val="single" w:color="auto" w:sz="4" w:space="0"/>
              <w:right w:val="single" w:color="auto" w:sz="4" w:space="0"/>
            </w:tcBorders>
            <w:vAlign w:val="center"/>
          </w:tcPr>
          <w:p w14:paraId="239356E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0D6EBBAA">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13.9</w:t>
            </w:r>
          </w:p>
        </w:tc>
        <w:tc>
          <w:tcPr>
            <w:tcW w:w="6151" w:type="dxa"/>
            <w:tcBorders>
              <w:top w:val="single" w:color="auto" w:sz="4" w:space="0"/>
              <w:left w:val="single" w:color="auto" w:sz="4" w:space="0"/>
              <w:bottom w:val="single" w:color="auto" w:sz="4" w:space="0"/>
              <w:right w:val="single" w:color="auto" w:sz="4" w:space="0"/>
            </w:tcBorders>
            <w:vAlign w:val="center"/>
          </w:tcPr>
          <w:p w14:paraId="2CDF52C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投标人应将上述文件按顺序装订成册、打印页码，并编列投标文件目录、资料清单，由于装订不规范或编排顺序混乱而导致投标文件被误读或漏读，该投标可能被视为无效投标或承担不利的评标结果。</w:t>
            </w:r>
          </w:p>
        </w:tc>
      </w:tr>
      <w:tr w14:paraId="770D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4C81A0E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696" w:type="dxa"/>
            <w:tcBorders>
              <w:top w:val="single" w:color="auto" w:sz="4" w:space="0"/>
              <w:left w:val="single" w:color="auto" w:sz="4" w:space="0"/>
              <w:bottom w:val="single" w:color="auto" w:sz="4" w:space="0"/>
              <w:right w:val="single" w:color="auto" w:sz="4" w:space="0"/>
            </w:tcBorders>
            <w:vAlign w:val="center"/>
          </w:tcPr>
          <w:p w14:paraId="6251659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0A034E1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14.1</w:t>
            </w:r>
          </w:p>
        </w:tc>
        <w:tc>
          <w:tcPr>
            <w:tcW w:w="6151" w:type="dxa"/>
            <w:tcBorders>
              <w:top w:val="single" w:color="auto" w:sz="4" w:space="0"/>
              <w:left w:val="single" w:color="auto" w:sz="4" w:space="0"/>
              <w:bottom w:val="single" w:color="auto" w:sz="4" w:space="0"/>
              <w:right w:val="single" w:color="auto" w:sz="4" w:space="0"/>
            </w:tcBorders>
            <w:vAlign w:val="center"/>
          </w:tcPr>
          <w:p w14:paraId="62BEEC82">
            <w:pPr>
              <w:spacing w:line="360" w:lineRule="auto"/>
              <w:ind w:firstLine="480"/>
              <w:rPr>
                <w:rFonts w:ascii="宋体" w:hAnsi="宋体" w:cs="宋体"/>
                <w:b/>
                <w:color w:val="auto"/>
                <w:sz w:val="24"/>
                <w:szCs w:val="24"/>
                <w:highlight w:val="none"/>
              </w:rPr>
            </w:pPr>
            <w:r>
              <w:rPr>
                <w:rFonts w:hint="eastAsia" w:ascii="宋体" w:hAnsi="宋体" w:cs="宋体"/>
                <w:color w:val="auto"/>
                <w:sz w:val="24"/>
                <w:szCs w:val="24"/>
                <w:highlight w:val="none"/>
              </w:rPr>
              <w:t>14.1</w:t>
            </w:r>
            <w:r>
              <w:rPr>
                <w:rFonts w:hint="eastAsia" w:ascii="宋体" w:hAnsi="宋体" w:cs="宋体"/>
                <w:b/>
                <w:color w:val="auto"/>
                <w:sz w:val="24"/>
                <w:szCs w:val="24"/>
                <w:highlight w:val="none"/>
              </w:rPr>
              <w:t>投标文件未密封将导致其投标被拒绝。</w:t>
            </w:r>
          </w:p>
        </w:tc>
      </w:tr>
      <w:tr w14:paraId="3464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288A8C7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696" w:type="dxa"/>
            <w:tcBorders>
              <w:top w:val="single" w:color="auto" w:sz="4" w:space="0"/>
              <w:left w:val="single" w:color="auto" w:sz="4" w:space="0"/>
              <w:bottom w:val="single" w:color="auto" w:sz="4" w:space="0"/>
              <w:right w:val="single" w:color="auto" w:sz="4" w:space="0"/>
            </w:tcBorders>
            <w:vAlign w:val="center"/>
          </w:tcPr>
          <w:p w14:paraId="3AF9F66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2B02FE84">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14.5</w:t>
            </w:r>
          </w:p>
        </w:tc>
        <w:tc>
          <w:tcPr>
            <w:tcW w:w="6151" w:type="dxa"/>
            <w:tcBorders>
              <w:top w:val="single" w:color="auto" w:sz="4" w:space="0"/>
              <w:left w:val="single" w:color="auto" w:sz="4" w:space="0"/>
              <w:bottom w:val="single" w:color="auto" w:sz="4" w:space="0"/>
              <w:right w:val="single" w:color="auto" w:sz="4" w:space="0"/>
            </w:tcBorders>
            <w:vAlign w:val="center"/>
          </w:tcPr>
          <w:p w14:paraId="220EFC5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14.5投标文件应在投标邀请中规定的截止时间前送达，迟到的投标文件为无效投标文件， 将被拒收。</w:t>
            </w:r>
          </w:p>
        </w:tc>
      </w:tr>
      <w:tr w14:paraId="5727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0A0652E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696" w:type="dxa"/>
            <w:tcBorders>
              <w:top w:val="single" w:color="auto" w:sz="4" w:space="0"/>
              <w:left w:val="single" w:color="auto" w:sz="4" w:space="0"/>
              <w:bottom w:val="single" w:color="auto" w:sz="4" w:space="0"/>
              <w:right w:val="single" w:color="auto" w:sz="4" w:space="0"/>
            </w:tcBorders>
            <w:vAlign w:val="center"/>
          </w:tcPr>
          <w:p w14:paraId="615F02C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5E01B378">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14.7</w:t>
            </w:r>
          </w:p>
        </w:tc>
        <w:tc>
          <w:tcPr>
            <w:tcW w:w="6151" w:type="dxa"/>
            <w:tcBorders>
              <w:top w:val="single" w:color="auto" w:sz="4" w:space="0"/>
              <w:left w:val="single" w:color="auto" w:sz="4" w:space="0"/>
              <w:bottom w:val="single" w:color="auto" w:sz="4" w:space="0"/>
              <w:right w:val="single" w:color="auto" w:sz="4" w:space="0"/>
            </w:tcBorders>
          </w:tcPr>
          <w:p w14:paraId="2A5EB0F7">
            <w:pPr>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14.7投标人在投标截止时间后不得修改、撤回投标文件。投标人在投标截止时间后修改投标文件的，其投标将被拒绝。</w:t>
            </w:r>
          </w:p>
        </w:tc>
      </w:tr>
      <w:tr w14:paraId="2D24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6E603C5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696" w:type="dxa"/>
            <w:tcBorders>
              <w:top w:val="single" w:color="auto" w:sz="4" w:space="0"/>
              <w:left w:val="single" w:color="auto" w:sz="4" w:space="0"/>
              <w:bottom w:val="single" w:color="auto" w:sz="4" w:space="0"/>
              <w:right w:val="single" w:color="auto" w:sz="4" w:space="0"/>
            </w:tcBorders>
            <w:vAlign w:val="center"/>
          </w:tcPr>
          <w:p w14:paraId="06545C5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38D318F7">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17.</w:t>
            </w:r>
          </w:p>
        </w:tc>
        <w:tc>
          <w:tcPr>
            <w:tcW w:w="6151" w:type="dxa"/>
            <w:tcBorders>
              <w:top w:val="single" w:color="auto" w:sz="4" w:space="0"/>
              <w:left w:val="single" w:color="auto" w:sz="4" w:space="0"/>
              <w:bottom w:val="single" w:color="auto" w:sz="4" w:space="0"/>
              <w:right w:val="single" w:color="auto" w:sz="4" w:space="0"/>
            </w:tcBorders>
          </w:tcPr>
          <w:p w14:paraId="3F0D0923">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17.投标人任何试图影响评委会对投标文件的评估、比较或者推荐候选人的行为，都将导致其投标按照无效投标处理，并被没收投标保证金。</w:t>
            </w:r>
          </w:p>
        </w:tc>
      </w:tr>
      <w:tr w14:paraId="03D8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5B2AA01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696" w:type="dxa"/>
            <w:tcBorders>
              <w:top w:val="single" w:color="auto" w:sz="4" w:space="0"/>
              <w:left w:val="single" w:color="auto" w:sz="4" w:space="0"/>
              <w:bottom w:val="single" w:color="auto" w:sz="4" w:space="0"/>
              <w:right w:val="single" w:color="auto" w:sz="4" w:space="0"/>
            </w:tcBorders>
            <w:vAlign w:val="center"/>
          </w:tcPr>
          <w:p w14:paraId="4D8866C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682DD1FB">
            <w:pPr>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t>17.2</w:t>
            </w:r>
          </w:p>
        </w:tc>
        <w:tc>
          <w:tcPr>
            <w:tcW w:w="6151" w:type="dxa"/>
            <w:tcBorders>
              <w:top w:val="single" w:color="auto" w:sz="4" w:space="0"/>
              <w:left w:val="single" w:color="auto" w:sz="4" w:space="0"/>
              <w:bottom w:val="single" w:color="auto" w:sz="4" w:space="0"/>
              <w:right w:val="single" w:color="auto" w:sz="4" w:space="0"/>
            </w:tcBorders>
          </w:tcPr>
          <w:p w14:paraId="7D864C98">
            <w:pPr>
              <w:spacing w:line="360" w:lineRule="auto"/>
              <w:ind w:firstLine="482" w:firstLineChars="200"/>
              <w:rPr>
                <w:rFonts w:ascii="宋体" w:hAnsi="宋体" w:cs="宋体"/>
                <w:b/>
                <w:color w:val="auto"/>
                <w:sz w:val="24"/>
                <w:szCs w:val="24"/>
                <w:highlight w:val="none"/>
              </w:rPr>
            </w:pPr>
            <w:r>
              <w:rPr>
                <w:rFonts w:ascii="宋体" w:hAnsi="宋体" w:cs="宋体"/>
                <w:b/>
                <w:color w:val="auto"/>
                <w:sz w:val="24"/>
                <w:szCs w:val="24"/>
                <w:highlight w:val="none"/>
              </w:rPr>
              <w:t>17.2</w:t>
            </w:r>
            <w:r>
              <w:rPr>
                <w:rFonts w:hint="eastAsia" w:ascii="宋体" w:hAnsi="宋体" w:cs="宋体"/>
                <w:b/>
                <w:color w:val="auto"/>
                <w:sz w:val="24"/>
                <w:szCs w:val="24"/>
                <w:highlight w:val="none"/>
              </w:rPr>
              <w:t>如果投标人不接受按上述方法对投标文件中的算术错误进行更正，其投标将按照无效投标处理并被没收投标保证金。</w:t>
            </w:r>
          </w:p>
        </w:tc>
      </w:tr>
      <w:tr w14:paraId="726B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1FDCF39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696" w:type="dxa"/>
            <w:tcBorders>
              <w:top w:val="single" w:color="auto" w:sz="4" w:space="0"/>
              <w:left w:val="single" w:color="auto" w:sz="4" w:space="0"/>
              <w:bottom w:val="single" w:color="auto" w:sz="4" w:space="0"/>
              <w:right w:val="single" w:color="auto" w:sz="4" w:space="0"/>
            </w:tcBorders>
            <w:vAlign w:val="center"/>
          </w:tcPr>
          <w:p w14:paraId="251A389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58305471">
            <w:pPr>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t>17.3.2</w:t>
            </w:r>
          </w:p>
        </w:tc>
        <w:tc>
          <w:tcPr>
            <w:tcW w:w="6151" w:type="dxa"/>
            <w:tcBorders>
              <w:top w:val="single" w:color="auto" w:sz="4" w:space="0"/>
              <w:left w:val="single" w:color="auto" w:sz="4" w:space="0"/>
              <w:bottom w:val="single" w:color="auto" w:sz="4" w:space="0"/>
              <w:right w:val="single" w:color="auto" w:sz="4" w:space="0"/>
            </w:tcBorders>
          </w:tcPr>
          <w:p w14:paraId="06E5E417">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1B50392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 (1) 未按规定提交投标保证金的；</w:t>
            </w:r>
          </w:p>
          <w:p w14:paraId="4453E771">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(2)投标有效期不满足招标文件要求的；</w:t>
            </w:r>
          </w:p>
          <w:p w14:paraId="3691C75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(3)投标内容与招标内容及要求有重大偏离或保留的；</w:t>
            </w:r>
          </w:p>
          <w:p w14:paraId="4C624A3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(4)投标人提交的是可选择的报价；</w:t>
            </w:r>
          </w:p>
          <w:p w14:paraId="7DE59461">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(5)投标人未按招标文件要求对投标进行分项报价；</w:t>
            </w:r>
          </w:p>
          <w:p w14:paraId="0311C986">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(6)投标文件中提供虚假或失实资料的；</w:t>
            </w:r>
          </w:p>
          <w:p w14:paraId="3D8EA7AA">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(7)不符合招标文件中规定的其它实质性条款。</w:t>
            </w:r>
          </w:p>
          <w:p w14:paraId="545FCD6D">
            <w:pPr>
              <w:spacing w:line="360" w:lineRule="auto"/>
              <w:ind w:firstLine="482"/>
              <w:rPr>
                <w:rFonts w:ascii="宋体" w:hAnsi="宋体" w:cs="宋体"/>
                <w:color w:val="auto"/>
                <w:sz w:val="24"/>
                <w:szCs w:val="24"/>
                <w:highlight w:val="none"/>
              </w:rPr>
            </w:pPr>
            <w:r>
              <w:rPr>
                <w:rFonts w:hint="eastAsia" w:ascii="宋体" w:hAnsi="宋体" w:cs="宋体"/>
                <w:b/>
                <w:color w:val="auto"/>
                <w:sz w:val="24"/>
                <w:szCs w:val="24"/>
                <w:highlight w:val="none"/>
              </w:rPr>
              <w:t>评标委员会决定投标的响应性只根据投标文件本身的内容，而不寻求其他的外部证据。</w:t>
            </w:r>
          </w:p>
        </w:tc>
      </w:tr>
      <w:tr w14:paraId="1E4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5E2D864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696" w:type="dxa"/>
            <w:tcBorders>
              <w:top w:val="single" w:color="auto" w:sz="4" w:space="0"/>
              <w:left w:val="single" w:color="auto" w:sz="4" w:space="0"/>
              <w:bottom w:val="single" w:color="auto" w:sz="4" w:space="0"/>
              <w:right w:val="single" w:color="auto" w:sz="4" w:space="0"/>
            </w:tcBorders>
            <w:vAlign w:val="center"/>
          </w:tcPr>
          <w:p w14:paraId="20FD9F6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vAlign w:val="center"/>
          </w:tcPr>
          <w:p w14:paraId="4DDCFF62">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17.3.3</w:t>
            </w:r>
          </w:p>
        </w:tc>
        <w:tc>
          <w:tcPr>
            <w:tcW w:w="6151" w:type="dxa"/>
            <w:tcBorders>
              <w:top w:val="single" w:color="auto" w:sz="4" w:space="0"/>
              <w:left w:val="single" w:color="auto" w:sz="4" w:space="0"/>
              <w:bottom w:val="single" w:color="auto" w:sz="4" w:space="0"/>
              <w:right w:val="single" w:color="auto" w:sz="4" w:space="0"/>
            </w:tcBorders>
          </w:tcPr>
          <w:p w14:paraId="0B46ED92">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17.3.3投标服务必须满足中华人民共和国相关法律法规及行业的强制性要求，否则该投标人的投标将按照无效投标处理。</w:t>
            </w:r>
          </w:p>
        </w:tc>
      </w:tr>
      <w:tr w14:paraId="33F7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96" w:type="dxa"/>
            <w:tcBorders>
              <w:top w:val="single" w:color="auto" w:sz="4" w:space="0"/>
            </w:tcBorders>
            <w:vAlign w:val="center"/>
          </w:tcPr>
          <w:p w14:paraId="7353FDA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696" w:type="dxa"/>
            <w:tcBorders>
              <w:top w:val="single" w:color="auto" w:sz="4" w:space="0"/>
            </w:tcBorders>
            <w:vAlign w:val="center"/>
          </w:tcPr>
          <w:p w14:paraId="195FA3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tcBorders>
              <w:top w:val="single" w:color="auto" w:sz="4" w:space="0"/>
            </w:tcBorders>
            <w:vAlign w:val="center"/>
          </w:tcPr>
          <w:p w14:paraId="6B0A0F4F">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17.3.4</w:t>
            </w:r>
          </w:p>
        </w:tc>
        <w:tc>
          <w:tcPr>
            <w:tcW w:w="6151" w:type="dxa"/>
            <w:tcBorders>
              <w:top w:val="single" w:color="auto" w:sz="4" w:space="0"/>
            </w:tcBorders>
            <w:vAlign w:val="center"/>
          </w:tcPr>
          <w:p w14:paraId="5A67B9DA">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17.3.4采购人、招标代理机构有下列情形之一的，将被认定为采购人、招标代理机构与投标人有串通投标行为，该投标人投标作无效投标处理：</w:t>
            </w:r>
          </w:p>
          <w:p w14:paraId="41086A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（1）在开标前开启投标文件并将有关信息泄露给其他投标人；</w:t>
            </w:r>
          </w:p>
          <w:p w14:paraId="161415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（2）评审结果公告前，直接或者间接向投标人泄露评标委员会成员等信息；</w:t>
            </w:r>
          </w:p>
          <w:p w14:paraId="2DF2EE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（3）明示或者暗示投标人压低或者抬高投标报价；</w:t>
            </w:r>
          </w:p>
          <w:p w14:paraId="077DEF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（4）授意投标人撤换、修改投标文件（按18条进行的澄清除外）；</w:t>
            </w:r>
          </w:p>
          <w:p w14:paraId="731150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（5）明示或者暗示投标人为特定投标人中标提供方便；</w:t>
            </w:r>
          </w:p>
          <w:p w14:paraId="64210B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（6）为谋求特定投标人中标而采取的其他串通行为。</w:t>
            </w:r>
          </w:p>
        </w:tc>
      </w:tr>
      <w:tr w14:paraId="02C1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EF3381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696" w:type="dxa"/>
            <w:vAlign w:val="center"/>
          </w:tcPr>
          <w:p w14:paraId="1DD643B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vAlign w:val="center"/>
          </w:tcPr>
          <w:p w14:paraId="4A20D7B3">
            <w:pPr>
              <w:spacing w:line="360" w:lineRule="auto"/>
              <w:jc w:val="center"/>
              <w:rPr>
                <w:rFonts w:ascii="宋体" w:hAnsi="宋体" w:cs="宋体"/>
                <w:color w:val="auto"/>
                <w:sz w:val="24"/>
                <w:szCs w:val="24"/>
                <w:highlight w:val="none"/>
              </w:rPr>
            </w:pPr>
            <w:r>
              <w:rPr>
                <w:rFonts w:hint="eastAsia" w:ascii="宋体" w:hAnsi="宋体" w:cs="宋体"/>
                <w:b/>
                <w:color w:val="auto"/>
                <w:kern w:val="0"/>
                <w:sz w:val="24"/>
                <w:szCs w:val="24"/>
                <w:highlight w:val="none"/>
              </w:rPr>
              <w:t>17.3.5</w:t>
            </w:r>
          </w:p>
        </w:tc>
        <w:tc>
          <w:tcPr>
            <w:tcW w:w="6151" w:type="dxa"/>
            <w:vAlign w:val="center"/>
          </w:tcPr>
          <w:p w14:paraId="57C3CCE9">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kern w:val="0"/>
                <w:sz w:val="24"/>
                <w:szCs w:val="24"/>
                <w:highlight w:val="none"/>
              </w:rPr>
              <w:t>17.3.5出现17.3.4情形之一的，作无效投标处理的</w:t>
            </w:r>
            <w:r>
              <w:rPr>
                <w:rFonts w:hint="eastAsia" w:ascii="宋体" w:hAnsi="宋体" w:cs="宋体"/>
                <w:b/>
                <w:color w:val="auto"/>
                <w:sz w:val="24"/>
                <w:szCs w:val="24"/>
                <w:highlight w:val="none"/>
              </w:rPr>
              <w:t>投标人的投标保证金将予以没收，招标代理机构有权上报财政部门取消其采购供应商资格、并按有关规定予以处罚。</w:t>
            </w:r>
          </w:p>
        </w:tc>
      </w:tr>
      <w:tr w14:paraId="5D71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8F288D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696" w:type="dxa"/>
            <w:vAlign w:val="center"/>
          </w:tcPr>
          <w:p w14:paraId="321FBF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1422" w:type="dxa"/>
            <w:vAlign w:val="center"/>
          </w:tcPr>
          <w:p w14:paraId="6E70545E">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19.3</w:t>
            </w:r>
          </w:p>
        </w:tc>
        <w:tc>
          <w:tcPr>
            <w:tcW w:w="6151" w:type="dxa"/>
            <w:vAlign w:val="center"/>
          </w:tcPr>
          <w:p w14:paraId="1C2D2BF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6EB1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553AF5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696" w:type="dxa"/>
            <w:vAlign w:val="center"/>
          </w:tcPr>
          <w:p w14:paraId="1E0EAEA0">
            <w:pPr>
              <w:spacing w:line="360" w:lineRule="auto"/>
              <w:jc w:val="center"/>
              <w:rPr>
                <w:rFonts w:ascii="宋体" w:hAnsi="宋体" w:cs="宋体"/>
                <w:color w:val="auto"/>
                <w:sz w:val="24"/>
                <w:szCs w:val="24"/>
                <w:highlight w:val="none"/>
              </w:rPr>
            </w:pPr>
          </w:p>
        </w:tc>
        <w:tc>
          <w:tcPr>
            <w:tcW w:w="1422" w:type="dxa"/>
            <w:vAlign w:val="center"/>
          </w:tcPr>
          <w:p w14:paraId="21BC1A1E">
            <w:pPr>
              <w:spacing w:line="360" w:lineRule="auto"/>
              <w:jc w:val="center"/>
              <w:rPr>
                <w:rFonts w:ascii="宋体" w:hAnsi="宋体" w:cs="宋体"/>
                <w:color w:val="auto"/>
                <w:sz w:val="24"/>
                <w:szCs w:val="24"/>
                <w:highlight w:val="none"/>
              </w:rPr>
            </w:pPr>
          </w:p>
        </w:tc>
        <w:tc>
          <w:tcPr>
            <w:tcW w:w="6151" w:type="dxa"/>
            <w:vAlign w:val="center"/>
          </w:tcPr>
          <w:p w14:paraId="7686234C">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投标人如果为联合体投标，则必须同时满足下列要求，否则</w:t>
            </w:r>
            <w:r>
              <w:rPr>
                <w:rFonts w:hint="eastAsia" w:ascii="宋体" w:hAnsi="宋体" w:cs="宋体"/>
                <w:color w:val="auto"/>
                <w:sz w:val="24"/>
                <w:szCs w:val="24"/>
                <w:highlight w:val="none"/>
              </w:rPr>
              <w:t>该投标人的投标将按照无效投标处理</w:t>
            </w:r>
            <w:r>
              <w:rPr>
                <w:rFonts w:hint="eastAsia" w:ascii="宋体" w:hAnsi="宋体" w:cs="宋体"/>
                <w:bCs/>
                <w:color w:val="auto"/>
                <w:sz w:val="24"/>
                <w:szCs w:val="24"/>
                <w:highlight w:val="none"/>
              </w:rPr>
              <w:t>：</w:t>
            </w:r>
          </w:p>
          <w:p w14:paraId="095ED6AF">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①在开标一览表中注明是否联合体投标、联合体组成单位；</w:t>
            </w:r>
          </w:p>
          <w:p w14:paraId="68BF93B6">
            <w:pPr>
              <w:spacing w:line="360" w:lineRule="auto"/>
              <w:jc w:val="left"/>
              <w:rPr>
                <w:rFonts w:ascii="宋体" w:hAnsi="宋体" w:cs="宋体"/>
                <w:color w:val="auto"/>
                <w:sz w:val="24"/>
                <w:szCs w:val="24"/>
                <w:highlight w:val="none"/>
              </w:rPr>
            </w:pPr>
            <w:r>
              <w:rPr>
                <w:rFonts w:hint="eastAsia" w:ascii="宋体" w:hAnsi="宋体" w:cs="宋体"/>
                <w:bCs/>
                <w:color w:val="auto"/>
                <w:sz w:val="24"/>
                <w:szCs w:val="24"/>
                <w:highlight w:val="none"/>
              </w:rPr>
              <w:t>②在投标文件中提供各方盖章签署的共同投标协议原件。</w:t>
            </w:r>
          </w:p>
        </w:tc>
      </w:tr>
      <w:tr w14:paraId="6858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6D03D7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696" w:type="dxa"/>
            <w:vAlign w:val="center"/>
          </w:tcPr>
          <w:p w14:paraId="5B81C146">
            <w:pPr>
              <w:spacing w:line="360" w:lineRule="auto"/>
              <w:jc w:val="center"/>
              <w:rPr>
                <w:rFonts w:ascii="宋体" w:hAnsi="宋体" w:cs="宋体"/>
                <w:color w:val="auto"/>
                <w:sz w:val="24"/>
                <w:szCs w:val="24"/>
                <w:highlight w:val="none"/>
              </w:rPr>
            </w:pPr>
          </w:p>
        </w:tc>
        <w:tc>
          <w:tcPr>
            <w:tcW w:w="1422" w:type="dxa"/>
            <w:vAlign w:val="center"/>
          </w:tcPr>
          <w:p w14:paraId="6CCD3127">
            <w:pPr>
              <w:spacing w:line="360" w:lineRule="auto"/>
              <w:jc w:val="center"/>
              <w:rPr>
                <w:rFonts w:ascii="宋体" w:hAnsi="宋体" w:cs="宋体"/>
                <w:color w:val="auto"/>
                <w:sz w:val="24"/>
                <w:szCs w:val="24"/>
                <w:highlight w:val="none"/>
              </w:rPr>
            </w:pPr>
          </w:p>
        </w:tc>
        <w:tc>
          <w:tcPr>
            <w:tcW w:w="6151" w:type="dxa"/>
            <w:vAlign w:val="center"/>
          </w:tcPr>
          <w:p w14:paraId="4C24F4D4">
            <w:pPr>
              <w:spacing w:line="360" w:lineRule="auto"/>
              <w:jc w:val="left"/>
              <w:rPr>
                <w:rFonts w:ascii="宋体" w:hAnsi="宋体" w:cs="宋体"/>
                <w:color w:val="auto"/>
                <w:sz w:val="24"/>
                <w:szCs w:val="24"/>
                <w:highlight w:val="none"/>
              </w:rPr>
            </w:pPr>
            <w:r>
              <w:rPr>
                <w:rFonts w:hint="eastAsia" w:ascii="宋体" w:hAnsi="宋体" w:cs="宋体"/>
                <w:bCs/>
                <w:color w:val="auto"/>
                <w:sz w:val="24"/>
                <w:szCs w:val="24"/>
                <w:highlight w:val="none"/>
              </w:rPr>
              <w:t>投标文件中不得附有采购人不能接受的条款，</w:t>
            </w:r>
            <w:r>
              <w:rPr>
                <w:rFonts w:hint="eastAsia" w:ascii="宋体" w:hAnsi="宋体" w:cs="宋体"/>
                <w:color w:val="auto"/>
                <w:sz w:val="24"/>
                <w:szCs w:val="24"/>
                <w:highlight w:val="none"/>
              </w:rPr>
              <w:t>否则该投标人的投标将按照无效投标处理。</w:t>
            </w:r>
          </w:p>
        </w:tc>
      </w:tr>
      <w:tr w14:paraId="43D4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7CCE010">
            <w:pPr>
              <w:pStyle w:val="5"/>
              <w:spacing w:line="360" w:lineRule="auto"/>
              <w:ind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696" w:type="dxa"/>
            <w:vAlign w:val="center"/>
          </w:tcPr>
          <w:p w14:paraId="5DC702DF">
            <w:pPr>
              <w:pStyle w:val="5"/>
              <w:spacing w:line="360" w:lineRule="auto"/>
              <w:rPr>
                <w:rFonts w:ascii="宋体" w:hAnsi="宋体" w:cs="宋体"/>
                <w:color w:val="auto"/>
                <w:sz w:val="24"/>
                <w:szCs w:val="24"/>
                <w:highlight w:val="none"/>
              </w:rPr>
            </w:pPr>
          </w:p>
        </w:tc>
        <w:tc>
          <w:tcPr>
            <w:tcW w:w="1422" w:type="dxa"/>
            <w:vAlign w:val="center"/>
          </w:tcPr>
          <w:p w14:paraId="7C96C436">
            <w:pPr>
              <w:pStyle w:val="5"/>
              <w:spacing w:line="360" w:lineRule="auto"/>
              <w:rPr>
                <w:rFonts w:ascii="宋体" w:hAnsi="宋体" w:cs="宋体"/>
                <w:b/>
                <w:color w:val="auto"/>
                <w:sz w:val="24"/>
                <w:szCs w:val="24"/>
                <w:highlight w:val="none"/>
              </w:rPr>
            </w:pPr>
          </w:p>
        </w:tc>
        <w:tc>
          <w:tcPr>
            <w:tcW w:w="6151" w:type="dxa"/>
            <w:vAlign w:val="center"/>
          </w:tcPr>
          <w:p w14:paraId="205825E4">
            <w:pPr>
              <w:pStyle w:val="5"/>
              <w:spacing w:line="360" w:lineRule="auto"/>
              <w:jc w:val="left"/>
              <w:rPr>
                <w:rFonts w:ascii="宋体" w:hAnsi="宋体" w:cs="宋体"/>
                <w:b/>
                <w:color w:val="auto"/>
                <w:sz w:val="24"/>
                <w:szCs w:val="24"/>
                <w:highlight w:val="none"/>
              </w:rPr>
            </w:pPr>
            <w:r>
              <w:rPr>
                <w:rFonts w:hint="eastAsia" w:ascii="宋体" w:hAnsi="宋体" w:cs="宋体"/>
                <w:bCs/>
                <w:color w:val="auto"/>
                <w:sz w:val="24"/>
                <w:szCs w:val="24"/>
                <w:highlight w:val="none"/>
              </w:rPr>
              <w:t>本项目以合同包为单位，对于每个合同包，投标人必须完整地提供合同包要求的所有服务，否则</w:t>
            </w:r>
            <w:r>
              <w:rPr>
                <w:rFonts w:hint="eastAsia" w:ascii="宋体" w:hAnsi="宋体" w:cs="宋体"/>
                <w:color w:val="auto"/>
                <w:sz w:val="24"/>
                <w:szCs w:val="24"/>
                <w:highlight w:val="none"/>
              </w:rPr>
              <w:t>该投标人针对该合同包的投标将按照无效投标处理</w:t>
            </w:r>
            <w:r>
              <w:rPr>
                <w:rFonts w:hint="eastAsia" w:ascii="宋体" w:hAnsi="宋体" w:cs="宋体"/>
                <w:bCs/>
                <w:color w:val="auto"/>
                <w:sz w:val="24"/>
                <w:szCs w:val="24"/>
                <w:highlight w:val="none"/>
              </w:rPr>
              <w:t>。</w:t>
            </w:r>
          </w:p>
        </w:tc>
      </w:tr>
      <w:tr w14:paraId="5269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B9A685C">
            <w:pPr>
              <w:pStyle w:val="5"/>
              <w:spacing w:line="360" w:lineRule="auto"/>
              <w:ind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25</w:t>
            </w:r>
          </w:p>
        </w:tc>
        <w:tc>
          <w:tcPr>
            <w:tcW w:w="696" w:type="dxa"/>
            <w:vAlign w:val="center"/>
          </w:tcPr>
          <w:p w14:paraId="05B8FC1F">
            <w:pPr>
              <w:pStyle w:val="5"/>
              <w:spacing w:line="360" w:lineRule="auto"/>
              <w:rPr>
                <w:rFonts w:ascii="宋体" w:hAnsi="宋体" w:cs="宋体"/>
                <w:b/>
                <w:color w:val="auto"/>
                <w:sz w:val="24"/>
                <w:szCs w:val="24"/>
                <w:highlight w:val="none"/>
              </w:rPr>
            </w:pPr>
          </w:p>
        </w:tc>
        <w:tc>
          <w:tcPr>
            <w:tcW w:w="1422" w:type="dxa"/>
            <w:vAlign w:val="center"/>
          </w:tcPr>
          <w:p w14:paraId="49A86B89">
            <w:pPr>
              <w:pStyle w:val="5"/>
              <w:spacing w:line="360" w:lineRule="auto"/>
              <w:rPr>
                <w:rFonts w:ascii="宋体" w:hAnsi="宋体" w:cs="宋体"/>
                <w:b/>
                <w:color w:val="auto"/>
                <w:sz w:val="24"/>
                <w:szCs w:val="24"/>
                <w:highlight w:val="none"/>
              </w:rPr>
            </w:pPr>
          </w:p>
        </w:tc>
        <w:tc>
          <w:tcPr>
            <w:tcW w:w="6151" w:type="dxa"/>
            <w:vAlign w:val="center"/>
          </w:tcPr>
          <w:p w14:paraId="5299D8B5">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投标人应对其在投标文件中声明的关于中小企业事项的真实性负责，存在以下情形之一的，经评标委员会查实，应认定存在虚假的：</w:t>
            </w:r>
          </w:p>
          <w:p w14:paraId="2E1D874A">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（1）投标人（包括联合体任一方）不符合“工信部联企业〔2011〕300号”规定的中小企业标准的；</w:t>
            </w:r>
          </w:p>
          <w:p w14:paraId="1A1E1BC3">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（2）投标服务全部或部分为使用大型企业注册商标的服务的；</w:t>
            </w:r>
          </w:p>
          <w:p w14:paraId="5463A5DC">
            <w:pPr>
              <w:spacing w:line="360" w:lineRule="auto"/>
              <w:rPr>
                <w:rFonts w:ascii="宋体" w:hAnsi="宋体" w:cs="宋体"/>
                <w:bCs/>
                <w:color w:val="auto"/>
                <w:sz w:val="24"/>
                <w:szCs w:val="24"/>
                <w:highlight w:val="none"/>
              </w:rPr>
            </w:pPr>
            <w:r>
              <w:rPr>
                <w:rFonts w:hint="eastAsia" w:ascii="宋体" w:hAnsi="宋体" w:cs="宋体"/>
                <w:bCs/>
                <w:color w:val="auto"/>
                <w:sz w:val="24"/>
                <w:szCs w:val="24"/>
                <w:highlight w:val="none"/>
              </w:rPr>
              <w:t>（3）投标文件中标明的小型或微型企业服务的服务商不符合“工信部联企业〔2011〕300号”规定的小型和微型企业标准的。</w:t>
            </w:r>
          </w:p>
          <w:p w14:paraId="229414E2">
            <w:pPr>
              <w:pStyle w:val="5"/>
              <w:spacing w:line="360" w:lineRule="auto"/>
              <w:jc w:val="left"/>
              <w:rPr>
                <w:rFonts w:ascii="宋体" w:hAnsi="宋体" w:cs="宋体"/>
                <w:b/>
                <w:color w:val="auto"/>
                <w:sz w:val="24"/>
                <w:szCs w:val="24"/>
                <w:highlight w:val="none"/>
              </w:rPr>
            </w:pPr>
            <w:r>
              <w:rPr>
                <w:rFonts w:hint="eastAsia" w:ascii="宋体" w:hAnsi="宋体" w:cs="宋体"/>
                <w:bCs/>
                <w:color w:val="auto"/>
                <w:sz w:val="24"/>
                <w:szCs w:val="24"/>
                <w:highlight w:val="none"/>
              </w:rPr>
              <w:t>在评审过程中发现上述虚假情形的，该投标人的投标作无效投标处理。</w:t>
            </w:r>
          </w:p>
        </w:tc>
      </w:tr>
      <w:tr w14:paraId="5E2B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9A7020A">
            <w:pPr>
              <w:pStyle w:val="5"/>
              <w:spacing w:line="360" w:lineRule="auto"/>
              <w:ind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26</w:t>
            </w:r>
          </w:p>
        </w:tc>
        <w:tc>
          <w:tcPr>
            <w:tcW w:w="696" w:type="dxa"/>
            <w:vAlign w:val="center"/>
          </w:tcPr>
          <w:p w14:paraId="27C20889">
            <w:pPr>
              <w:pStyle w:val="5"/>
              <w:spacing w:line="360" w:lineRule="auto"/>
              <w:rPr>
                <w:rFonts w:ascii="宋体" w:hAnsi="宋体" w:cs="宋体"/>
                <w:b/>
                <w:color w:val="auto"/>
                <w:sz w:val="24"/>
                <w:szCs w:val="24"/>
                <w:highlight w:val="none"/>
              </w:rPr>
            </w:pPr>
          </w:p>
        </w:tc>
        <w:tc>
          <w:tcPr>
            <w:tcW w:w="1422" w:type="dxa"/>
            <w:vAlign w:val="center"/>
          </w:tcPr>
          <w:p w14:paraId="0611AAB2">
            <w:pPr>
              <w:pStyle w:val="5"/>
              <w:spacing w:line="360" w:lineRule="auto"/>
              <w:rPr>
                <w:rFonts w:ascii="宋体" w:hAnsi="宋体" w:cs="宋体"/>
                <w:b/>
                <w:color w:val="auto"/>
                <w:sz w:val="24"/>
                <w:szCs w:val="24"/>
                <w:highlight w:val="none"/>
              </w:rPr>
            </w:pPr>
          </w:p>
        </w:tc>
        <w:tc>
          <w:tcPr>
            <w:tcW w:w="6151" w:type="dxa"/>
            <w:vAlign w:val="center"/>
          </w:tcPr>
          <w:p w14:paraId="3B85B5D0">
            <w:pPr>
              <w:pStyle w:val="5"/>
              <w:spacing w:line="360" w:lineRule="auto"/>
              <w:jc w:val="left"/>
              <w:rPr>
                <w:rFonts w:ascii="宋体" w:hAnsi="宋体" w:cs="宋体"/>
                <w:color w:val="auto"/>
                <w:sz w:val="24"/>
                <w:szCs w:val="24"/>
                <w:highlight w:val="none"/>
              </w:rPr>
            </w:pPr>
            <w:r>
              <w:rPr>
                <w:rFonts w:hint="eastAsia" w:ascii="宋体" w:hAnsi="宋体" w:cs="宋体"/>
                <w:bCs/>
                <w:color w:val="auto"/>
                <w:sz w:val="24"/>
                <w:szCs w:val="24"/>
                <w:highlight w:val="none"/>
              </w:rPr>
              <w:t>全免交纳投标保证金的投标人未按照招标文件格式要求在投标文件中提供《中小企业声明函》的，其投标作无效投标处理。</w:t>
            </w:r>
          </w:p>
        </w:tc>
      </w:tr>
      <w:tr w14:paraId="6047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vAlign w:val="center"/>
          </w:tcPr>
          <w:p w14:paraId="4654E2F7">
            <w:pPr>
              <w:pStyle w:val="5"/>
              <w:spacing w:line="360" w:lineRule="auto"/>
              <w:ind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27</w:t>
            </w:r>
          </w:p>
        </w:tc>
        <w:tc>
          <w:tcPr>
            <w:tcW w:w="696" w:type="dxa"/>
            <w:tcBorders>
              <w:bottom w:val="single" w:color="auto" w:sz="4" w:space="0"/>
            </w:tcBorders>
            <w:vAlign w:val="center"/>
          </w:tcPr>
          <w:p w14:paraId="214A7858">
            <w:pPr>
              <w:pStyle w:val="5"/>
              <w:spacing w:line="360" w:lineRule="auto"/>
              <w:rPr>
                <w:rFonts w:ascii="宋体" w:hAnsi="宋体" w:cs="宋体"/>
                <w:b/>
                <w:color w:val="auto"/>
                <w:sz w:val="24"/>
                <w:szCs w:val="24"/>
                <w:highlight w:val="none"/>
              </w:rPr>
            </w:pPr>
          </w:p>
        </w:tc>
        <w:tc>
          <w:tcPr>
            <w:tcW w:w="1422" w:type="dxa"/>
            <w:tcBorders>
              <w:bottom w:val="single" w:color="auto" w:sz="4" w:space="0"/>
            </w:tcBorders>
            <w:vAlign w:val="center"/>
          </w:tcPr>
          <w:p w14:paraId="76EC1716">
            <w:pPr>
              <w:pStyle w:val="5"/>
              <w:spacing w:line="360" w:lineRule="auto"/>
              <w:rPr>
                <w:rFonts w:ascii="宋体" w:hAnsi="宋体" w:cs="宋体"/>
                <w:b/>
                <w:color w:val="auto"/>
                <w:sz w:val="24"/>
                <w:szCs w:val="24"/>
                <w:highlight w:val="none"/>
              </w:rPr>
            </w:pPr>
          </w:p>
        </w:tc>
        <w:tc>
          <w:tcPr>
            <w:tcW w:w="6151" w:type="dxa"/>
            <w:tcBorders>
              <w:bottom w:val="single" w:color="auto" w:sz="4" w:space="0"/>
            </w:tcBorders>
            <w:vAlign w:val="center"/>
          </w:tcPr>
          <w:p w14:paraId="75DDE53B">
            <w:pPr>
              <w:pStyle w:val="5"/>
              <w:spacing w:line="360" w:lineRule="auto"/>
              <w:rPr>
                <w:rFonts w:ascii="宋体" w:hAnsi="宋体" w:cs="宋体"/>
                <w:b/>
                <w:color w:val="auto"/>
                <w:sz w:val="24"/>
                <w:szCs w:val="24"/>
                <w:highlight w:val="none"/>
              </w:rPr>
            </w:pPr>
            <w:r>
              <w:rPr>
                <w:rFonts w:hint="eastAsia" w:ascii="宋体" w:hAnsi="宋体" w:cs="宋体"/>
                <w:bCs/>
                <w:color w:val="auto"/>
                <w:sz w:val="24"/>
                <w:szCs w:val="24"/>
                <w:highlight w:val="none"/>
              </w:rPr>
              <w:t>投标人应按照招标文件格式要求在投标文件中提供《廉洁承诺书》原件（投标人为联合体的，联合体各方均应提供《廉洁承诺书》原件），否则作无效投标处理。</w:t>
            </w:r>
          </w:p>
        </w:tc>
      </w:tr>
      <w:tr w14:paraId="23B2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vAlign w:val="center"/>
          </w:tcPr>
          <w:p w14:paraId="18148161">
            <w:pPr>
              <w:pStyle w:val="5"/>
              <w:spacing w:line="360" w:lineRule="auto"/>
              <w:ind w:firstLine="0"/>
              <w:jc w:val="center"/>
              <w:rPr>
                <w:rFonts w:ascii="宋体" w:hAnsi="宋体" w:cs="宋体"/>
                <w:color w:val="auto"/>
                <w:sz w:val="24"/>
                <w:szCs w:val="24"/>
                <w:highlight w:val="none"/>
              </w:rPr>
            </w:pPr>
            <w:r>
              <w:rPr>
                <w:rFonts w:hint="eastAsia" w:ascii="宋体" w:hAnsi="宋体" w:cs="宋体"/>
                <w:color w:val="auto"/>
                <w:sz w:val="24"/>
                <w:szCs w:val="24"/>
                <w:highlight w:val="none"/>
              </w:rPr>
              <w:t>28</w:t>
            </w:r>
          </w:p>
        </w:tc>
        <w:tc>
          <w:tcPr>
            <w:tcW w:w="696" w:type="dxa"/>
            <w:tcBorders>
              <w:bottom w:val="single" w:color="auto" w:sz="4" w:space="0"/>
            </w:tcBorders>
            <w:vAlign w:val="center"/>
          </w:tcPr>
          <w:p w14:paraId="7ED0293B">
            <w:pPr>
              <w:pStyle w:val="5"/>
              <w:spacing w:line="360" w:lineRule="auto"/>
              <w:rPr>
                <w:rFonts w:ascii="宋体" w:hAnsi="宋体" w:cs="宋体"/>
                <w:b/>
                <w:color w:val="auto"/>
                <w:sz w:val="24"/>
                <w:szCs w:val="24"/>
                <w:highlight w:val="none"/>
              </w:rPr>
            </w:pPr>
          </w:p>
        </w:tc>
        <w:tc>
          <w:tcPr>
            <w:tcW w:w="1422" w:type="dxa"/>
            <w:tcBorders>
              <w:bottom w:val="single" w:color="auto" w:sz="4" w:space="0"/>
            </w:tcBorders>
            <w:vAlign w:val="center"/>
          </w:tcPr>
          <w:p w14:paraId="7738063A">
            <w:pPr>
              <w:pStyle w:val="5"/>
              <w:spacing w:line="360" w:lineRule="auto"/>
              <w:rPr>
                <w:rFonts w:ascii="宋体" w:hAnsi="宋体" w:cs="宋体"/>
                <w:b/>
                <w:color w:val="auto"/>
                <w:sz w:val="24"/>
                <w:szCs w:val="24"/>
                <w:highlight w:val="none"/>
              </w:rPr>
            </w:pPr>
          </w:p>
        </w:tc>
        <w:tc>
          <w:tcPr>
            <w:tcW w:w="6151" w:type="dxa"/>
            <w:tcBorders>
              <w:bottom w:val="single" w:color="auto" w:sz="4" w:space="0"/>
            </w:tcBorders>
            <w:vAlign w:val="center"/>
          </w:tcPr>
          <w:p w14:paraId="5B430A7D">
            <w:pPr>
              <w:spacing w:line="360" w:lineRule="auto"/>
              <w:rPr>
                <w:rFonts w:ascii="宋体" w:hAnsi="宋体" w:cs="宋体"/>
                <w:b/>
                <w:color w:val="auto"/>
                <w:sz w:val="24"/>
                <w:szCs w:val="24"/>
                <w:highlight w:val="none"/>
              </w:rPr>
            </w:pPr>
            <w:r>
              <w:rPr>
                <w:rFonts w:hint="eastAsia" w:ascii="宋体" w:hAnsi="宋体" w:cs="宋体"/>
                <w:bCs/>
                <w:color w:val="auto"/>
                <w:sz w:val="24"/>
                <w:szCs w:val="24"/>
                <w:highlight w:val="none"/>
              </w:rPr>
              <w:t>其他不满足招标文件要求经评标委员会认定须作无效投标处理的。</w:t>
            </w:r>
          </w:p>
        </w:tc>
      </w:tr>
      <w:tr w14:paraId="1FC9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vAlign w:val="center"/>
          </w:tcPr>
          <w:p w14:paraId="5C7722F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29</w:t>
            </w:r>
          </w:p>
        </w:tc>
        <w:tc>
          <w:tcPr>
            <w:tcW w:w="696" w:type="dxa"/>
            <w:tcBorders>
              <w:bottom w:val="single" w:color="auto" w:sz="4" w:space="0"/>
            </w:tcBorders>
            <w:vAlign w:val="center"/>
          </w:tcPr>
          <w:p w14:paraId="3E4C9587">
            <w:pPr>
              <w:spacing w:line="360" w:lineRule="auto"/>
              <w:jc w:val="center"/>
              <w:rPr>
                <w:rFonts w:ascii="宋体" w:hAnsi="宋体" w:cs="宋体"/>
                <w:color w:val="auto"/>
                <w:sz w:val="24"/>
                <w:szCs w:val="24"/>
                <w:highlight w:val="none"/>
              </w:rPr>
            </w:pPr>
          </w:p>
        </w:tc>
        <w:tc>
          <w:tcPr>
            <w:tcW w:w="1422" w:type="dxa"/>
            <w:tcBorders>
              <w:bottom w:val="single" w:color="auto" w:sz="4" w:space="0"/>
            </w:tcBorders>
            <w:vAlign w:val="center"/>
          </w:tcPr>
          <w:p w14:paraId="6FB13785">
            <w:pPr>
              <w:spacing w:line="360" w:lineRule="auto"/>
              <w:jc w:val="center"/>
              <w:rPr>
                <w:rFonts w:ascii="宋体" w:hAnsi="宋体" w:cs="宋体"/>
                <w:color w:val="auto"/>
                <w:sz w:val="24"/>
                <w:szCs w:val="24"/>
                <w:highlight w:val="none"/>
              </w:rPr>
            </w:pPr>
          </w:p>
        </w:tc>
        <w:tc>
          <w:tcPr>
            <w:tcW w:w="6151" w:type="dxa"/>
            <w:tcBorders>
              <w:bottom w:val="single" w:color="auto" w:sz="4" w:space="0"/>
            </w:tcBorders>
            <w:vAlign w:val="center"/>
          </w:tcPr>
          <w:p w14:paraId="5A0A99E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供应商双方签订合同及验收环节，应包含上述包装要求的条款。</w:t>
            </w:r>
          </w:p>
        </w:tc>
      </w:tr>
      <w:tr w14:paraId="3097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vAlign w:val="center"/>
          </w:tcPr>
          <w:p w14:paraId="227B297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c>
          <w:tcPr>
            <w:tcW w:w="696" w:type="dxa"/>
            <w:tcBorders>
              <w:bottom w:val="single" w:color="auto" w:sz="4" w:space="0"/>
            </w:tcBorders>
            <w:vAlign w:val="center"/>
          </w:tcPr>
          <w:p w14:paraId="0F154C1E">
            <w:pPr>
              <w:spacing w:line="360" w:lineRule="auto"/>
              <w:jc w:val="center"/>
              <w:rPr>
                <w:rFonts w:ascii="宋体" w:hAnsi="宋体" w:cs="宋体"/>
                <w:color w:val="auto"/>
                <w:sz w:val="24"/>
                <w:szCs w:val="24"/>
                <w:highlight w:val="none"/>
              </w:rPr>
            </w:pPr>
          </w:p>
        </w:tc>
        <w:tc>
          <w:tcPr>
            <w:tcW w:w="1422" w:type="dxa"/>
            <w:tcBorders>
              <w:bottom w:val="single" w:color="auto" w:sz="4" w:space="0"/>
            </w:tcBorders>
            <w:vAlign w:val="center"/>
          </w:tcPr>
          <w:p w14:paraId="0D107A3D">
            <w:pPr>
              <w:spacing w:line="360" w:lineRule="auto"/>
              <w:jc w:val="center"/>
              <w:rPr>
                <w:rFonts w:ascii="宋体" w:hAnsi="宋体" w:cs="宋体"/>
                <w:color w:val="auto"/>
                <w:sz w:val="24"/>
                <w:szCs w:val="24"/>
                <w:highlight w:val="none"/>
              </w:rPr>
            </w:pPr>
          </w:p>
        </w:tc>
        <w:tc>
          <w:tcPr>
            <w:tcW w:w="6151" w:type="dxa"/>
            <w:tcBorders>
              <w:bottom w:val="single" w:color="auto" w:sz="4" w:space="0"/>
            </w:tcBorders>
            <w:vAlign w:val="center"/>
          </w:tcPr>
          <w:p w14:paraId="639424E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全文中带有“★”的条款为关键性条款，对这些关键性条款的任何负偏离或不满足将导致该投标作无效投标处理。</w:t>
            </w:r>
          </w:p>
        </w:tc>
      </w:tr>
    </w:tbl>
    <w:p w14:paraId="34795001">
      <w:pPr>
        <w:spacing w:line="360" w:lineRule="auto"/>
        <w:jc w:val="left"/>
        <w:rPr>
          <w:rFonts w:ascii="宋体" w:hAnsi="宋体" w:cs="宋体"/>
          <w:bCs/>
          <w:color w:val="auto"/>
          <w:sz w:val="24"/>
          <w:szCs w:val="24"/>
          <w:highlight w:val="none"/>
        </w:rPr>
        <w:sectPr>
          <w:pgSz w:w="11906" w:h="16838"/>
          <w:pgMar w:top="1440" w:right="1803" w:bottom="1440" w:left="1803" w:header="567" w:footer="567" w:gutter="0"/>
          <w:cols w:space="720" w:num="1"/>
          <w:docGrid w:linePitch="312" w:charSpace="0"/>
        </w:sectPr>
      </w:pPr>
      <w:r>
        <w:rPr>
          <w:rFonts w:hint="eastAsia" w:ascii="宋体" w:hAnsi="宋体" w:cs="宋体"/>
          <w:bCs/>
          <w:color w:val="auto"/>
          <w:sz w:val="24"/>
          <w:szCs w:val="24"/>
          <w:highlight w:val="none"/>
        </w:rPr>
        <w:t>备注：由于编排顺序混乱而导致投标文件被误读或漏读，该投标人的投标可能被视为无效投标或承担不利的评标结果。</w:t>
      </w:r>
    </w:p>
    <w:p w14:paraId="3B72DF19">
      <w:pPr>
        <w:spacing w:line="360" w:lineRule="auto"/>
        <w:jc w:val="center"/>
        <w:outlineLvl w:val="1"/>
        <w:rPr>
          <w:rFonts w:ascii="宋体" w:hAnsi="宋体" w:cs="宋体"/>
          <w:b/>
          <w:bCs/>
          <w:color w:val="auto"/>
          <w:sz w:val="32"/>
          <w:szCs w:val="32"/>
          <w:highlight w:val="none"/>
        </w:rPr>
      </w:pPr>
      <w:bookmarkStart w:id="41" w:name="_Toc5017"/>
      <w:bookmarkStart w:id="42" w:name="_Toc11326"/>
      <w:r>
        <w:rPr>
          <w:rFonts w:hint="eastAsia" w:ascii="宋体" w:hAnsi="宋体" w:cs="宋体"/>
          <w:b/>
          <w:bCs/>
          <w:color w:val="auto"/>
          <w:sz w:val="32"/>
          <w:szCs w:val="32"/>
          <w:highlight w:val="none"/>
        </w:rPr>
        <w:t>投标人须知前附表3：评标方法、评标标准、定标原则</w:t>
      </w:r>
      <w:bookmarkEnd w:id="41"/>
      <w:bookmarkEnd w:id="42"/>
    </w:p>
    <w:p w14:paraId="4D2C700E">
      <w:pPr>
        <w:spacing w:line="360" w:lineRule="auto"/>
        <w:jc w:val="center"/>
        <w:outlineLvl w:val="1"/>
        <w:rPr>
          <w:rFonts w:ascii="宋体" w:hAnsi="宋体" w:cs="宋体"/>
          <w:b/>
          <w:color w:val="auto"/>
          <w:sz w:val="24"/>
          <w:szCs w:val="24"/>
          <w:highlight w:val="none"/>
          <w:u w:val="single"/>
        </w:rPr>
      </w:pPr>
      <w:bookmarkStart w:id="43" w:name="_Toc10365"/>
      <w:r>
        <w:rPr>
          <w:rFonts w:hint="eastAsia" w:ascii="宋体" w:hAnsi="宋体" w:cs="宋体"/>
          <w:b/>
          <w:bCs/>
          <w:color w:val="auto"/>
          <w:sz w:val="32"/>
          <w:szCs w:val="32"/>
          <w:highlight w:val="none"/>
        </w:rPr>
        <w:t>（合同包一、合同包二、合同三）</w:t>
      </w:r>
      <w:bookmarkEnd w:id="43"/>
    </w:p>
    <w:tbl>
      <w:tblPr>
        <w:tblStyle w:val="2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0171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2749C460">
            <w:pPr>
              <w:pStyle w:val="5"/>
              <w:numPr>
                <w:ilvl w:val="0"/>
                <w:numId w:val="1"/>
              </w:num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评标方法：</w:t>
            </w:r>
          </w:p>
          <w:p w14:paraId="47BE8B19">
            <w:pPr>
              <w:pStyle w:val="5"/>
              <w:spacing w:line="360" w:lineRule="auto"/>
              <w:ind w:left="480"/>
              <w:rPr>
                <w:rFonts w:ascii="宋体" w:hAnsi="宋体" w:cs="宋体"/>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sz w:val="3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color w:val="auto"/>
                <w:sz w:val="24"/>
                <w:szCs w:val="24"/>
                <w:highlight w:val="none"/>
              </w:rPr>
              <w:t xml:space="preserve"> 综合评分法  □ 最低评标价法  </w:t>
            </w:r>
          </w:p>
        </w:tc>
      </w:tr>
      <w:tr w14:paraId="0673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7C4FC58B">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二、评标标准：</w:t>
            </w:r>
          </w:p>
          <w:p w14:paraId="6D1FBE2D">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（一）具体的评标标准、权重。</w:t>
            </w:r>
          </w:p>
          <w:p w14:paraId="28263AB7">
            <w:pPr>
              <w:pStyle w:val="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1、详见附件</w:t>
            </w:r>
          </w:p>
          <w:p w14:paraId="71B4940D">
            <w:pPr>
              <w:pStyle w:val="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2、本项目为中国人民银行厦门市分行食材采购，共分为三个合同包，为了确保项目实施质量，每个投标人最多只能中标本项目一个合同包，评审顺序依次为合同包一、合同包二、合同包三，</w:t>
            </w:r>
            <w:r>
              <w:rPr>
                <w:rFonts w:hint="eastAsia" w:ascii="宋体" w:hAnsi="宋体"/>
                <w:color w:val="auto"/>
                <w:sz w:val="24"/>
                <w:szCs w:val="24"/>
                <w:highlight w:val="none"/>
              </w:rPr>
              <w:t>若投标单位被推荐为某一合同包的第一中标候选人，则在后续</w:t>
            </w:r>
            <w:r>
              <w:rPr>
                <w:rFonts w:hint="eastAsia" w:ascii="宋体" w:hAnsi="宋体"/>
                <w:color w:val="auto"/>
                <w:sz w:val="24"/>
                <w:szCs w:val="24"/>
                <w:highlight w:val="none"/>
                <w:lang w:val="en-US" w:eastAsia="zh-CN"/>
              </w:rPr>
              <w:t>合同</w:t>
            </w:r>
            <w:r>
              <w:rPr>
                <w:rFonts w:hint="eastAsia" w:ascii="宋体" w:hAnsi="宋体"/>
                <w:color w:val="auto"/>
                <w:sz w:val="24"/>
                <w:szCs w:val="24"/>
                <w:highlight w:val="none"/>
              </w:rPr>
              <w:t>包的评标过程中，不再被推选为中标候选人，由得分次高的递补为第一中标候选人，但其有效报价仍参与后续采购包评标基准价的计算。</w:t>
            </w:r>
          </w:p>
          <w:p w14:paraId="5B9103E3">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（二）推荐中标候选供应商名单。</w:t>
            </w:r>
          </w:p>
          <w:p w14:paraId="127A9FB7">
            <w:pPr>
              <w:pStyle w:val="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1、中标候选供应商数量：</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个。</w:t>
            </w:r>
          </w:p>
          <w:p w14:paraId="7F044D70">
            <w:pPr>
              <w:pStyle w:val="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2、中标候选供应商排列顺序。经投标文件初审、澄清有关问题、比较与评价评标程序后，按以下办法推荐中标候选供应商名单的排列顺序（请按采购项目的评标方法从以下两项中选择一项打“√”）：</w:t>
            </w:r>
          </w:p>
          <w:p w14:paraId="68DCE680">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□采用最低评标价法的，按投标报价由低到高顺序排列。投标报价相同的，按技术指标优劣顺序排列。</w:t>
            </w:r>
          </w:p>
          <w:p w14:paraId="313EE6F3">
            <w:pPr>
              <w:pStyle w:val="5"/>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sz w:val="3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color w:val="auto"/>
                <w:sz w:val="24"/>
                <w:szCs w:val="24"/>
                <w:highlight w:val="none"/>
              </w:rPr>
              <w:t>采用综合评分法的，按评审后得分由高到低顺序排列。得分相同的，按投标报价由低到高顺序排列。综合得分相同且投标报价相同的，按技术得分顺序排列。综合得分相同且投标报价相同且技术得分相同的，由评标委员会投票表决。</w:t>
            </w:r>
          </w:p>
        </w:tc>
      </w:tr>
      <w:tr w14:paraId="11ED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56439411">
            <w:pPr>
              <w:pStyle w:val="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三、定标原则（确定中标供应商数量：</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个）：</w:t>
            </w:r>
          </w:p>
          <w:p w14:paraId="12867508">
            <w:pPr>
              <w:pStyle w:val="5"/>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sz w:val="3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color w:val="auto"/>
                <w:sz w:val="24"/>
                <w:szCs w:val="24"/>
                <w:highlight w:val="none"/>
              </w:rPr>
              <w:t>采购人委托招标代理机构招标，在收到评标报告后五个工作日内，按照评标报告中推荐的中标候选供应商顺序确定中标供应商。</w:t>
            </w:r>
          </w:p>
          <w:p w14:paraId="0F6BC918">
            <w:pPr>
              <w:pStyle w:val="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采购人委托招标代理机构招标，授权评标委员会直接确定中标供应商。</w:t>
            </w:r>
          </w:p>
          <w:p w14:paraId="3BC8B972">
            <w:pPr>
              <w:pStyle w:val="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采购人自行组织招标，在评标结束后五个工作日内确定中标供应商。</w:t>
            </w:r>
          </w:p>
        </w:tc>
      </w:tr>
    </w:tbl>
    <w:p w14:paraId="29C13BEB">
      <w:pPr>
        <w:tabs>
          <w:tab w:val="left" w:pos="-1080"/>
          <w:tab w:val="left" w:pos="180"/>
          <w:tab w:val="left" w:pos="1080"/>
        </w:tabs>
        <w:spacing w:line="360" w:lineRule="auto"/>
        <w:rPr>
          <w:rFonts w:ascii="宋体" w:hAnsi="宋体" w:cs="宋体"/>
          <w:b/>
          <w:color w:val="auto"/>
          <w:sz w:val="24"/>
          <w:szCs w:val="24"/>
          <w:highlight w:val="none"/>
        </w:rPr>
      </w:pPr>
    </w:p>
    <w:p w14:paraId="11AFFF8D">
      <w:pPr>
        <w:tabs>
          <w:tab w:val="left" w:pos="-1080"/>
          <w:tab w:val="left" w:pos="180"/>
          <w:tab w:val="left" w:pos="1080"/>
        </w:tabs>
        <w:spacing w:line="360" w:lineRule="auto"/>
        <w:rPr>
          <w:rFonts w:ascii="宋体" w:hAnsi="宋体" w:cs="宋体"/>
          <w:b/>
          <w:color w:val="auto"/>
          <w:sz w:val="24"/>
          <w:szCs w:val="24"/>
          <w:highlight w:val="none"/>
        </w:rPr>
      </w:pPr>
    </w:p>
    <w:p w14:paraId="1E309BB6">
      <w:pPr>
        <w:tabs>
          <w:tab w:val="left" w:pos="-1080"/>
          <w:tab w:val="left" w:pos="180"/>
          <w:tab w:val="left" w:pos="1080"/>
        </w:tabs>
        <w:spacing w:line="360" w:lineRule="auto"/>
        <w:rPr>
          <w:rFonts w:ascii="宋体" w:hAnsi="宋体" w:cs="宋体"/>
          <w:b/>
          <w:color w:val="auto"/>
          <w:sz w:val="24"/>
          <w:szCs w:val="24"/>
          <w:highlight w:val="none"/>
        </w:rPr>
      </w:pPr>
    </w:p>
    <w:p w14:paraId="0C48DEF5">
      <w:pPr>
        <w:tabs>
          <w:tab w:val="left" w:pos="-1080"/>
          <w:tab w:val="left" w:pos="180"/>
          <w:tab w:val="left" w:pos="1080"/>
        </w:tabs>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附件：评标标准、权重</w:t>
      </w:r>
    </w:p>
    <w:p w14:paraId="6BC14DB8">
      <w:pPr>
        <w:tabs>
          <w:tab w:val="left" w:pos="-1080"/>
          <w:tab w:val="left" w:pos="180"/>
          <w:tab w:val="left" w:pos="1080"/>
        </w:tabs>
        <w:spacing w:line="360" w:lineRule="auto"/>
        <w:outlineLvl w:val="2"/>
        <w:rPr>
          <w:rFonts w:ascii="宋体" w:hAnsi="宋体" w:cs="宋体"/>
          <w:color w:val="auto"/>
          <w:sz w:val="24"/>
          <w:szCs w:val="24"/>
          <w:highlight w:val="none"/>
        </w:rPr>
      </w:pPr>
      <w:bookmarkStart w:id="44" w:name="_Toc16733"/>
      <w:r>
        <w:rPr>
          <w:rFonts w:hint="eastAsia" w:ascii="宋体" w:hAnsi="宋体" w:cs="宋体"/>
          <w:color w:val="auto"/>
          <w:sz w:val="24"/>
          <w:szCs w:val="24"/>
          <w:highlight w:val="none"/>
        </w:rPr>
        <w:t>合同包一：</w:t>
      </w:r>
      <w:bookmarkEnd w:id="44"/>
    </w:p>
    <w:p w14:paraId="0D5A1DF9">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（一）技术评分（F1）：按65分评分法，技术评分考虑下列因素：</w:t>
      </w:r>
    </w:p>
    <w:tbl>
      <w:tblPr>
        <w:tblStyle w:val="22"/>
        <w:tblW w:w="5327"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02"/>
        <w:gridCol w:w="992"/>
        <w:gridCol w:w="6664"/>
      </w:tblGrid>
      <w:tr w14:paraId="3A89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39" w:type="pct"/>
            <w:tcBorders>
              <w:right w:val="single" w:color="auto" w:sz="4" w:space="0"/>
            </w:tcBorders>
            <w:vAlign w:val="center"/>
          </w:tcPr>
          <w:p w14:paraId="35840D4F">
            <w:pPr>
              <w:widowControl/>
              <w:spacing w:before="0" w:beforeLines="-2147483648" w:after="0" w:afterLines="-2147483648" w:line="360" w:lineRule="auto"/>
              <w:ind w:left="-42" w:leftChars="-20" w:right="-80" w:rightChars="-38"/>
              <w:jc w:val="center"/>
              <w:rPr>
                <w:rFonts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442" w:type="pct"/>
            <w:vAlign w:val="center"/>
          </w:tcPr>
          <w:p w14:paraId="09CD16CB">
            <w:pPr>
              <w:widowControl/>
              <w:spacing w:before="0" w:beforeLines="-2147483648" w:after="0" w:afterLines="-2147483648" w:line="360" w:lineRule="auto"/>
              <w:jc w:val="center"/>
              <w:rPr>
                <w:rFonts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评标分值</w:t>
            </w:r>
          </w:p>
        </w:tc>
        <w:tc>
          <w:tcPr>
            <w:tcW w:w="547" w:type="pct"/>
            <w:vAlign w:val="center"/>
          </w:tcPr>
          <w:p w14:paraId="795A9755">
            <w:pPr>
              <w:widowControl/>
              <w:spacing w:before="0" w:beforeLines="-2147483648" w:after="0" w:afterLines="-2147483648" w:line="360" w:lineRule="auto"/>
              <w:jc w:val="center"/>
              <w:rPr>
                <w:rFonts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是否客观项</w:t>
            </w:r>
          </w:p>
        </w:tc>
        <w:tc>
          <w:tcPr>
            <w:tcW w:w="3672" w:type="pct"/>
            <w:vAlign w:val="center"/>
          </w:tcPr>
          <w:p w14:paraId="06A627A6">
            <w:pPr>
              <w:widowControl/>
              <w:spacing w:before="0" w:beforeLines="-2147483648" w:after="0" w:afterLines="-2147483648" w:line="360" w:lineRule="auto"/>
              <w:jc w:val="center"/>
              <w:rPr>
                <w:rFonts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评标方法描述</w:t>
            </w:r>
          </w:p>
        </w:tc>
      </w:tr>
      <w:tr w14:paraId="1932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134CAA04">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3F8B580A">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0BF891EA">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5551E37E">
            <w:pPr>
              <w:widowControl/>
              <w:spacing w:before="0" w:beforeLines="-2147483648" w:after="0" w:afterLines="-2147483648" w:line="360" w:lineRule="auto"/>
              <w:jc w:val="lef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根据投标人提供的</w:t>
            </w:r>
            <w:r>
              <w:rPr>
                <w:rFonts w:hint="eastAsia" w:asciiTheme="minorEastAsia" w:hAnsiTheme="minorEastAsia" w:eastAsiaTheme="minorEastAsia" w:cstheme="minorEastAsia"/>
                <w:b/>
                <w:snapToGrid w:val="0"/>
                <w:color w:val="auto"/>
                <w:sz w:val="24"/>
                <w:szCs w:val="24"/>
                <w:highlight w:val="none"/>
              </w:rPr>
              <w:t>总体配送服务方案</w:t>
            </w:r>
            <w:r>
              <w:rPr>
                <w:rFonts w:hint="eastAsia" w:asciiTheme="minorEastAsia" w:hAnsiTheme="minorEastAsia" w:eastAsiaTheme="minorEastAsia" w:cstheme="minorEastAsia"/>
                <w:snapToGrid w:val="0"/>
                <w:color w:val="auto"/>
                <w:sz w:val="24"/>
                <w:szCs w:val="24"/>
                <w:highlight w:val="none"/>
              </w:rPr>
              <w:t>进行评审：①有提供配送服务方案，能满足本项目需要的得1.5分；②在满足①的基础上，针对本项目特点制定具体生产或采购流程、配送流程、明确配送时效，配送时效满足采购人实际需求，有利于项目顺利实施的得3分；③未提供或不满足以上情况的不得分。</w:t>
            </w:r>
          </w:p>
        </w:tc>
      </w:tr>
      <w:tr w14:paraId="069F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39" w:type="pct"/>
            <w:tcBorders>
              <w:right w:val="single" w:color="auto" w:sz="4" w:space="0"/>
            </w:tcBorders>
            <w:vAlign w:val="center"/>
          </w:tcPr>
          <w:p w14:paraId="173CF39C">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3D629DBD">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6696163">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5763E413">
            <w:pPr>
              <w:widowControl/>
              <w:spacing w:before="0" w:beforeLines="-2147483648" w:after="0" w:afterLines="-2147483648" w:line="360" w:lineRule="auto"/>
              <w:jc w:val="lef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根据投标人提供的</w:t>
            </w:r>
            <w:r>
              <w:rPr>
                <w:rFonts w:hint="eastAsia" w:asciiTheme="minorEastAsia" w:hAnsiTheme="minorEastAsia" w:eastAsiaTheme="minorEastAsia" w:cstheme="minorEastAsia"/>
                <w:b/>
                <w:snapToGrid w:val="0"/>
                <w:color w:val="auto"/>
                <w:sz w:val="24"/>
                <w:szCs w:val="24"/>
                <w:highlight w:val="none"/>
              </w:rPr>
              <w:t>食品卫生安全管理措施</w:t>
            </w:r>
            <w:r>
              <w:rPr>
                <w:rFonts w:hint="eastAsia" w:asciiTheme="minorEastAsia" w:hAnsiTheme="minorEastAsia" w:eastAsiaTheme="minorEastAsia" w:cstheme="minorEastAsia"/>
                <w:snapToGrid w:val="0"/>
                <w:color w:val="auto"/>
                <w:sz w:val="24"/>
                <w:szCs w:val="24"/>
                <w:highlight w:val="none"/>
              </w:rPr>
              <w:t>进行评价：①有提供管理措施，能满足本项目需要的得1.5分；②在满足①的基础上，针对本项目特点制定具体环境卫生管理、虫鼠害控制、清洗消毒、产品接触面的清洁卫生管理等，管理措施完整、切合实际，阐述详细清晰、合理可行、要点突出，有利于项目顺利实施的得3分；③未提供或不满足以上情况的不得分。</w:t>
            </w:r>
          </w:p>
        </w:tc>
      </w:tr>
      <w:tr w14:paraId="4507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721C1961">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32CCAAE4">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773B8E0">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342E8B7A">
            <w:pPr>
              <w:widowControl/>
              <w:spacing w:before="0" w:beforeLines="-2147483648" w:after="0" w:afterLines="-2147483648" w:line="360" w:lineRule="auto"/>
              <w:jc w:val="lef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根据投标人为本项目制定的</w:t>
            </w:r>
            <w:r>
              <w:rPr>
                <w:rFonts w:hint="eastAsia" w:asciiTheme="minorEastAsia" w:hAnsiTheme="minorEastAsia" w:eastAsiaTheme="minorEastAsia" w:cstheme="minorEastAsia"/>
                <w:b/>
                <w:snapToGrid w:val="0"/>
                <w:color w:val="auto"/>
                <w:sz w:val="24"/>
                <w:szCs w:val="24"/>
                <w:highlight w:val="none"/>
              </w:rPr>
              <w:t>食品安全质量保障措施</w:t>
            </w:r>
            <w:r>
              <w:rPr>
                <w:rFonts w:hint="eastAsia" w:asciiTheme="minorEastAsia" w:hAnsiTheme="minorEastAsia" w:eastAsiaTheme="minorEastAsia" w:cstheme="minorEastAsia"/>
                <w:snapToGrid w:val="0"/>
                <w:color w:val="auto"/>
                <w:sz w:val="24"/>
                <w:szCs w:val="24"/>
                <w:highlight w:val="none"/>
              </w:rPr>
              <w:t>进行评价：①有提供质量保障措施，能满足本项目需要的得1.5分；②在满足①的基础上，详细提出食品安全检验、包装、运输等供货系统各环节的质量保证及安全保证措施，对服务过程中的以上关键节点有具体质量控制措施，且措施的完整性、合理性、可操作性强，有利于项目顺利实施的得3分；③未提供或不满足以上情况的不得分。</w:t>
            </w:r>
          </w:p>
        </w:tc>
      </w:tr>
      <w:tr w14:paraId="1315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13FAEE4C">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095FF48E">
            <w:pPr>
              <w:widowControl/>
              <w:spacing w:before="0" w:beforeLines="-2147483648" w:after="0" w:afterLines="-2147483648"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6EAF83FC">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7CFC0980">
            <w:pPr>
              <w:widowControl/>
              <w:spacing w:before="0" w:beforeLines="-2147483648" w:after="0" w:afterLines="-2147483648" w:line="360" w:lineRule="auto"/>
              <w:jc w:val="lef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根据投标人提供</w:t>
            </w:r>
            <w:r>
              <w:rPr>
                <w:rFonts w:hint="eastAsia" w:asciiTheme="minorEastAsia" w:hAnsiTheme="minorEastAsia" w:eastAsiaTheme="minorEastAsia" w:cstheme="minorEastAsia"/>
                <w:b/>
                <w:snapToGrid w:val="0"/>
                <w:color w:val="auto"/>
                <w:sz w:val="24"/>
                <w:szCs w:val="24"/>
                <w:highlight w:val="none"/>
              </w:rPr>
              <w:t>日常服务记录档案、检验检疫凭证、特别情况记录、单据等档案管理方案</w:t>
            </w:r>
            <w:r>
              <w:rPr>
                <w:rFonts w:hint="eastAsia" w:asciiTheme="minorEastAsia" w:hAnsiTheme="minorEastAsia" w:eastAsiaTheme="minorEastAsia" w:cstheme="minorEastAsia"/>
                <w:snapToGrid w:val="0"/>
                <w:color w:val="auto"/>
                <w:sz w:val="24"/>
                <w:szCs w:val="24"/>
                <w:highlight w:val="none"/>
              </w:rPr>
              <w:t>进行评价：①有提供管理方案，能满足本项目需要的得1分；②在满足①的基础上，针对本项目特点明确具体档案管理人员、制定档案管理制度（包含但不限于借阅制度、移交制度、复制制度等），管理制度内容清晰、人员岗位责任明确，有利于项目顺利实施的得</w:t>
            </w:r>
            <w:r>
              <w:rPr>
                <w:rFonts w:hint="eastAsia" w:asciiTheme="minorEastAsia" w:hAnsiTheme="minorEastAsia" w:eastAsiaTheme="minorEastAsia" w:cstheme="minorEastAsia"/>
                <w:snapToGrid w:val="0"/>
                <w:color w:val="auto"/>
                <w:sz w:val="24"/>
                <w:szCs w:val="24"/>
                <w:highlight w:val="none"/>
                <w:lang w:val="en-US" w:eastAsia="zh-CN"/>
              </w:rPr>
              <w:t>2</w:t>
            </w:r>
            <w:r>
              <w:rPr>
                <w:rFonts w:hint="eastAsia" w:asciiTheme="minorEastAsia" w:hAnsiTheme="minorEastAsia" w:eastAsiaTheme="minorEastAsia" w:cstheme="minorEastAsia"/>
                <w:snapToGrid w:val="0"/>
                <w:color w:val="auto"/>
                <w:sz w:val="24"/>
                <w:szCs w:val="24"/>
                <w:highlight w:val="none"/>
              </w:rPr>
              <w:t>分；③未提供或不满足以上情况的不得分。</w:t>
            </w:r>
          </w:p>
        </w:tc>
      </w:tr>
      <w:tr w14:paraId="1092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3ED9C995">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150429D3">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A47EB1A">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57B71EAD">
            <w:pPr>
              <w:widowControl/>
              <w:spacing w:before="0" w:beforeLines="-2147483648" w:after="0" w:afterLines="-2147483648" w:line="360" w:lineRule="auto"/>
              <w:jc w:val="lef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根据投标人</w:t>
            </w:r>
            <w:r>
              <w:rPr>
                <w:rFonts w:hint="eastAsia" w:asciiTheme="minorEastAsia" w:hAnsiTheme="minorEastAsia" w:eastAsiaTheme="minorEastAsia" w:cstheme="minorEastAsia"/>
                <w:b/>
                <w:bCs/>
                <w:snapToGrid w:val="0"/>
                <w:color w:val="auto"/>
                <w:sz w:val="24"/>
                <w:szCs w:val="24"/>
                <w:highlight w:val="none"/>
              </w:rPr>
              <w:t>针对</w:t>
            </w:r>
            <w:r>
              <w:rPr>
                <w:rFonts w:hint="eastAsia" w:asciiTheme="minorEastAsia" w:hAnsiTheme="minorEastAsia" w:eastAsiaTheme="minorEastAsia" w:cstheme="minorEastAsia"/>
                <w:b/>
                <w:bCs/>
                <w:snapToGrid w:val="0"/>
                <w:color w:val="auto"/>
                <w:sz w:val="24"/>
                <w:szCs w:val="24"/>
                <w:highlight w:val="none"/>
                <w:lang w:eastAsia="zh-CN"/>
              </w:rPr>
              <w:t>采购人</w:t>
            </w:r>
            <w:r>
              <w:rPr>
                <w:rFonts w:hint="eastAsia" w:asciiTheme="minorEastAsia" w:hAnsiTheme="minorEastAsia" w:eastAsiaTheme="minorEastAsia" w:cstheme="minorEastAsia"/>
                <w:b/>
                <w:snapToGrid w:val="0"/>
                <w:color w:val="auto"/>
                <w:sz w:val="24"/>
                <w:szCs w:val="24"/>
                <w:highlight w:val="none"/>
              </w:rPr>
              <w:t>紧急追加货物、出现不合格品、不满足采购人使用需求产品的退换预案</w:t>
            </w:r>
            <w:r>
              <w:rPr>
                <w:rFonts w:hint="eastAsia" w:asciiTheme="minorEastAsia" w:hAnsiTheme="minorEastAsia" w:eastAsiaTheme="minorEastAsia" w:cstheme="minorEastAsia"/>
                <w:snapToGrid w:val="0"/>
                <w:color w:val="auto"/>
                <w:sz w:val="24"/>
                <w:szCs w:val="24"/>
                <w:highlight w:val="none"/>
              </w:rPr>
              <w:t>进行综合评价：①有提供相应方案，能满足本项目需要的得1.5分；②在满足①的基础上，针对本项目特点制定具体紧急追加货物的应对措施、不合格产品的退换预案、紧急供货配送流程、应急配送程序、货源不足应急方案、人员应急方案、车辆应急方案等，方案完整、切合实际，阐述详细清晰、合理可行、要点突出，有利于项目顺利实施的得3分；③未提供或不满足以上情况的不得分。</w:t>
            </w:r>
          </w:p>
        </w:tc>
      </w:tr>
      <w:tr w14:paraId="08DF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0504C6D7">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76871A7D">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76A130A">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2812C66A">
            <w:pPr>
              <w:widowControl/>
              <w:spacing w:before="0" w:beforeLines="-2147483648" w:after="0" w:afterLines="-2147483648" w:line="360" w:lineRule="auto"/>
              <w:jc w:val="left"/>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根据投标人提供的</w:t>
            </w:r>
            <w:r>
              <w:rPr>
                <w:rFonts w:hint="eastAsia" w:asciiTheme="minorEastAsia" w:hAnsiTheme="minorEastAsia" w:eastAsiaTheme="minorEastAsia" w:cstheme="minorEastAsia"/>
                <w:b/>
                <w:snapToGrid w:val="0"/>
                <w:color w:val="auto"/>
                <w:sz w:val="24"/>
                <w:szCs w:val="24"/>
                <w:highlight w:val="none"/>
              </w:rPr>
              <w:t>备用方案</w:t>
            </w:r>
            <w:r>
              <w:rPr>
                <w:rFonts w:hint="eastAsia" w:asciiTheme="minorEastAsia" w:hAnsiTheme="minorEastAsia" w:eastAsiaTheme="minorEastAsia" w:cstheme="minorEastAsia"/>
                <w:snapToGrid w:val="0"/>
                <w:color w:val="auto"/>
                <w:sz w:val="24"/>
                <w:szCs w:val="24"/>
                <w:highlight w:val="none"/>
              </w:rPr>
              <w:t>进行评价（投标人接到采购人订单后应仔细核对货源情况，对无法按时供应的商品必须第一时间通知采购人并提供备用方案）：①有提出备用方案，满足应急需要的得1.5分；②在满足①的基础上，能及时采购缺漏商品或能提供经采购人同意的同等替代商品，紧急情况下能减少中间环节的得3分；③未提供或不满足以上情况的不得分。</w:t>
            </w:r>
          </w:p>
        </w:tc>
      </w:tr>
      <w:tr w14:paraId="73D6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11F485E7">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5BDA5F6A">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DDD5C32">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vAlign w:val="center"/>
          </w:tcPr>
          <w:p w14:paraId="256E49C1">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根据投标人针对所提供</w:t>
            </w:r>
            <w:r>
              <w:rPr>
                <w:rFonts w:hint="eastAsia" w:asciiTheme="minorEastAsia" w:hAnsiTheme="minorEastAsia" w:eastAsiaTheme="minorEastAsia" w:cstheme="minorEastAsia"/>
                <w:b/>
                <w:color w:val="auto"/>
                <w:kern w:val="0"/>
                <w:sz w:val="24"/>
                <w:szCs w:val="24"/>
                <w:highlight w:val="none"/>
              </w:rPr>
              <w:t>食品的中毒事件及食品安全问题的预应急处理方案</w:t>
            </w:r>
            <w:r>
              <w:rPr>
                <w:rFonts w:hint="eastAsia" w:asciiTheme="minorEastAsia" w:hAnsiTheme="minorEastAsia" w:eastAsiaTheme="minorEastAsia" w:cstheme="minorEastAsia"/>
                <w:color w:val="auto"/>
                <w:kern w:val="0"/>
                <w:sz w:val="24"/>
                <w:szCs w:val="24"/>
                <w:highlight w:val="none"/>
              </w:rPr>
              <w:t>进行评价：①有提出应急方案，满足应急需要的得1.5分；②在满足①的基础上，针对本项目特点制定详细的食品中毒紧急处理措施、食品安全事故应急预案、食品召回、退市制度，响应时间迅速，明确岗位责任，确保第一时间妥善处理，有利于项目顺利实施的得3分；③未提供或不满足以上情况的不得分。</w:t>
            </w:r>
          </w:p>
        </w:tc>
      </w:tr>
      <w:tr w14:paraId="2548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2D89274A">
            <w:pPr>
              <w:widowControl/>
              <w:numPr>
                <w:ilvl w:val="0"/>
                <w:numId w:val="2"/>
              </w:numPr>
              <w:spacing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0B08BA2D">
            <w:pPr>
              <w:widowControl/>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4F9C1966">
            <w:pPr>
              <w:widowControl/>
              <w:spacing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vAlign w:val="center"/>
          </w:tcPr>
          <w:p w14:paraId="3E334FF1">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根据投标人为本项目制定的</w:t>
            </w:r>
            <w:r>
              <w:rPr>
                <w:rFonts w:hint="eastAsia" w:asciiTheme="minorEastAsia" w:hAnsiTheme="minorEastAsia" w:eastAsiaTheme="minorEastAsia" w:cstheme="minorEastAsia"/>
                <w:b/>
                <w:bCs/>
                <w:color w:val="auto"/>
                <w:kern w:val="0"/>
                <w:sz w:val="24"/>
                <w:szCs w:val="24"/>
                <w:highlight w:val="none"/>
              </w:rPr>
              <w:t>临时任务、节假日、考评检查、重要或大型活动、防洪抗台突发事件的特殊保障方案</w:t>
            </w:r>
            <w:r>
              <w:rPr>
                <w:rFonts w:hint="eastAsia" w:asciiTheme="minorEastAsia" w:hAnsiTheme="minorEastAsia" w:eastAsiaTheme="minorEastAsia" w:cstheme="minorEastAsia"/>
                <w:color w:val="auto"/>
                <w:kern w:val="0"/>
                <w:sz w:val="24"/>
                <w:szCs w:val="24"/>
                <w:highlight w:val="none"/>
              </w:rPr>
              <w:t>进行评价： ①有提供应急处理方案，方案包含但不限于应急供应时限、储备种类数量、应急保障措施、人力物力投入安排等内容，符合项目需求的得1分； ②在满足①的基础上，针对本项目特点制定食品配送临时应急补货的响应时限和保障措施、补货流程、补换货程序、货源不足应急方案、人员应急方案、车辆应急方案、抢险救灾和自然灾害等特殊时期处置预案等，各部分内容完整、切合实际、要点突出，确保食品不间断供应的、有利于项目顺利实施的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 ③未提供相关方案阐述或方案阐述内容不符合上述标准的不得分。</w:t>
            </w:r>
          </w:p>
        </w:tc>
      </w:tr>
      <w:tr w14:paraId="69FD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57B12479">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2B7CF340">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478504A">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79F401CB">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根据投标人提供的</w:t>
            </w:r>
            <w:r>
              <w:rPr>
                <w:rFonts w:hint="eastAsia" w:asciiTheme="minorEastAsia" w:hAnsiTheme="minorEastAsia" w:eastAsiaTheme="minorEastAsia" w:cstheme="minorEastAsia"/>
                <w:b/>
                <w:color w:val="auto"/>
                <w:sz w:val="24"/>
                <w:szCs w:val="24"/>
                <w:highlight w:val="none"/>
              </w:rPr>
              <w:t>畜禽肉货源情况</w:t>
            </w:r>
            <w:r>
              <w:rPr>
                <w:rFonts w:hint="eastAsia" w:asciiTheme="minorEastAsia" w:hAnsiTheme="minorEastAsia" w:eastAsiaTheme="minorEastAsia" w:cstheme="minorEastAsia"/>
                <w:color w:val="auto"/>
                <w:sz w:val="24"/>
                <w:szCs w:val="24"/>
                <w:highlight w:val="none"/>
              </w:rPr>
              <w:t>进行评价：畜禽肉属于自产或经营合作的，须提供生产基地照片、基地产权证明或租赁合同的复印件，经营合作的需提供合作协议或相关证明材料复印件；畜禽肉属于外购的，须提供投标人与货源方签订的采购合同或供货协议证明及往来发票（应体现食材名称，发票购买方名称需与投标人一致）复印件。完整提供上述证明材料复印件的得3分，否则不得分。</w:t>
            </w:r>
          </w:p>
        </w:tc>
      </w:tr>
      <w:tr w14:paraId="25CF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6C5C28AA">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7CB40E22">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2375AC4">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68D6D81C">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根据投标人提供的</w:t>
            </w:r>
            <w:r>
              <w:rPr>
                <w:rFonts w:hint="eastAsia" w:asciiTheme="minorEastAsia" w:hAnsiTheme="minorEastAsia" w:eastAsiaTheme="minorEastAsia" w:cstheme="minorEastAsia"/>
                <w:b/>
                <w:color w:val="auto"/>
                <w:kern w:val="0"/>
                <w:sz w:val="24"/>
                <w:szCs w:val="24"/>
                <w:highlight w:val="none"/>
              </w:rPr>
              <w:t>鲜蛋货源情况</w:t>
            </w:r>
            <w:r>
              <w:rPr>
                <w:rFonts w:hint="eastAsia" w:asciiTheme="minorEastAsia" w:hAnsiTheme="minorEastAsia" w:eastAsiaTheme="minorEastAsia" w:cstheme="minorEastAsia"/>
                <w:color w:val="auto"/>
                <w:kern w:val="0"/>
                <w:sz w:val="24"/>
                <w:szCs w:val="24"/>
                <w:highlight w:val="none"/>
              </w:rPr>
              <w:t>进行评价：鲜蛋属于自产或经营合作的，须提供生产基地照片、基地产权证明或租赁合同的复印件，经营合作的需提供合作协议或相关证明材料复印件；鲜蛋属于外购的，须提供投标人与货源方签订的采购合同或供货协议证明及往来发票（应体现食材名称，发票购买方名称需与投标人一致）复印件。完整提供上述证明材料复印件的得3分，否则不得分。</w:t>
            </w:r>
          </w:p>
        </w:tc>
      </w:tr>
      <w:tr w14:paraId="5002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07221C71">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09C0DDAA">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45D03810">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4B44CEC2">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根据投标人提供的</w:t>
            </w:r>
            <w:r>
              <w:rPr>
                <w:rFonts w:hint="eastAsia" w:asciiTheme="minorEastAsia" w:hAnsiTheme="minorEastAsia" w:eastAsiaTheme="minorEastAsia" w:cstheme="minorEastAsia"/>
                <w:b/>
                <w:color w:val="auto"/>
                <w:kern w:val="0"/>
                <w:sz w:val="24"/>
                <w:szCs w:val="24"/>
                <w:highlight w:val="none"/>
              </w:rPr>
              <w:t>水产品货源情况</w:t>
            </w:r>
            <w:r>
              <w:rPr>
                <w:rFonts w:hint="eastAsia" w:asciiTheme="minorEastAsia" w:hAnsiTheme="minorEastAsia" w:eastAsiaTheme="minorEastAsia" w:cstheme="minorEastAsia"/>
                <w:color w:val="auto"/>
                <w:kern w:val="0"/>
                <w:sz w:val="24"/>
                <w:szCs w:val="24"/>
                <w:highlight w:val="none"/>
              </w:rPr>
              <w:t>进行评价：水产品属于自产或经营合作的，须提供生产基地照片、基地产权证明或租赁合同的复印件，经营合作的需提供合作协议或相关证明材料复印件；水产品属于外购的，须提供投标人与货源方签订的采购合同或供货协议证明及往来发票（应体现食材名称，发票购买方名称需与投标人一致）复印件。完整提供上述证明材料复印件的得3分，否则不得分。</w:t>
            </w:r>
          </w:p>
        </w:tc>
      </w:tr>
      <w:tr w14:paraId="56EC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3267CFEF">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0BBF9992">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2C9C83C">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52097562">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投标人能为本项目配备食品检验室且配备保障食材安全检测仪器（检测内容至少包括①农药残留检测、②食品重金属检测、③甲醛等非法添加物检测）的得3分。</w:t>
            </w:r>
          </w:p>
          <w:p w14:paraId="7AF6FBC0">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投标人须同时提供：①以下二选一：a.检验室自有的，须提供产权证</w:t>
            </w:r>
            <w:r>
              <w:rPr>
                <w:rFonts w:hint="eastAsia" w:asciiTheme="minorEastAsia" w:hAnsiTheme="minorEastAsia" w:eastAsiaTheme="minorEastAsia" w:cstheme="minorEastAsia"/>
                <w:color w:val="auto"/>
                <w:kern w:val="0"/>
                <w:sz w:val="24"/>
                <w:szCs w:val="24"/>
                <w:highlight w:val="none"/>
                <w:lang w:val="en-US" w:eastAsia="zh-CN"/>
              </w:rPr>
              <w:t>复印</w:t>
            </w:r>
            <w:r>
              <w:rPr>
                <w:rFonts w:hint="eastAsia" w:asciiTheme="minorEastAsia" w:hAnsiTheme="minorEastAsia" w:eastAsiaTheme="minorEastAsia" w:cstheme="minorEastAsia"/>
                <w:color w:val="auto"/>
                <w:kern w:val="0"/>
                <w:sz w:val="24"/>
                <w:szCs w:val="24"/>
                <w:highlight w:val="none"/>
              </w:rPr>
              <w:t>件或提供拥有使用权的相关证明材料；b.与第三方合作委托的，提供委托合同</w:t>
            </w:r>
            <w:r>
              <w:rPr>
                <w:rFonts w:hint="eastAsia" w:asciiTheme="minorEastAsia" w:hAnsiTheme="minorEastAsia" w:eastAsiaTheme="minorEastAsia" w:cstheme="minorEastAsia"/>
                <w:color w:val="auto"/>
                <w:kern w:val="0"/>
                <w:sz w:val="24"/>
                <w:szCs w:val="24"/>
                <w:highlight w:val="none"/>
                <w:lang w:val="en-US" w:eastAsia="zh-CN"/>
              </w:rPr>
              <w:t>复印</w:t>
            </w:r>
            <w:r>
              <w:rPr>
                <w:rFonts w:hint="eastAsia" w:asciiTheme="minorEastAsia" w:hAnsiTheme="minorEastAsia" w:eastAsiaTheme="minorEastAsia" w:cstheme="minorEastAsia"/>
                <w:color w:val="auto"/>
                <w:kern w:val="0"/>
                <w:sz w:val="24"/>
                <w:szCs w:val="24"/>
                <w:highlight w:val="none"/>
              </w:rPr>
              <w:t>件（投标时委托合同仍处于合同期内）及产权证</w:t>
            </w:r>
            <w:r>
              <w:rPr>
                <w:rFonts w:hint="eastAsia" w:asciiTheme="minorEastAsia" w:hAnsiTheme="minorEastAsia" w:eastAsiaTheme="minorEastAsia" w:cstheme="minorEastAsia"/>
                <w:color w:val="auto"/>
                <w:kern w:val="0"/>
                <w:sz w:val="24"/>
                <w:szCs w:val="24"/>
                <w:highlight w:val="none"/>
                <w:lang w:val="en-US" w:eastAsia="zh-CN"/>
              </w:rPr>
              <w:t>复印</w:t>
            </w:r>
            <w:r>
              <w:rPr>
                <w:rFonts w:hint="eastAsia" w:asciiTheme="minorEastAsia" w:hAnsiTheme="minorEastAsia" w:eastAsiaTheme="minorEastAsia" w:cstheme="minorEastAsia"/>
                <w:color w:val="auto"/>
                <w:kern w:val="0"/>
                <w:sz w:val="24"/>
                <w:szCs w:val="24"/>
                <w:highlight w:val="none"/>
              </w:rPr>
              <w:t>件或提供拥有使用权的相关证明材料、近六个月内任意一个月（不含投标截止当月）的租赁费用发票</w:t>
            </w:r>
            <w:r>
              <w:rPr>
                <w:rFonts w:hint="eastAsia" w:asciiTheme="minorEastAsia" w:hAnsiTheme="minorEastAsia" w:eastAsiaTheme="minorEastAsia" w:cstheme="minorEastAsia"/>
                <w:color w:val="auto"/>
                <w:kern w:val="0"/>
                <w:sz w:val="24"/>
                <w:szCs w:val="24"/>
                <w:highlight w:val="none"/>
                <w:lang w:val="en-US" w:eastAsia="zh-CN"/>
              </w:rPr>
              <w:t>复印件</w:t>
            </w:r>
            <w:r>
              <w:rPr>
                <w:rFonts w:hint="eastAsia" w:asciiTheme="minorEastAsia" w:hAnsiTheme="minorEastAsia" w:eastAsiaTheme="minorEastAsia" w:cstheme="minorEastAsia"/>
                <w:color w:val="auto"/>
                <w:kern w:val="0"/>
                <w:sz w:val="24"/>
                <w:szCs w:val="24"/>
                <w:highlight w:val="none"/>
              </w:rPr>
              <w:t>（发票购买方名称须与投标人一致）；②食品检验室相关设备现场实景照片，需要拍摄多角度体现检测室全貌（至少3张）并注明食品检验室地址。③仪器图片、仪器功能说明书和购买发票有效</w:t>
            </w:r>
            <w:r>
              <w:rPr>
                <w:rFonts w:hint="eastAsia" w:asciiTheme="minorEastAsia" w:hAnsiTheme="minorEastAsia" w:eastAsiaTheme="minorEastAsia" w:cstheme="minorEastAsia"/>
                <w:color w:val="auto"/>
                <w:kern w:val="0"/>
                <w:sz w:val="24"/>
                <w:szCs w:val="24"/>
                <w:highlight w:val="none"/>
                <w:lang w:val="en-US" w:eastAsia="zh-CN"/>
              </w:rPr>
              <w:t>复印</w:t>
            </w:r>
            <w:r>
              <w:rPr>
                <w:rFonts w:hint="eastAsia" w:asciiTheme="minorEastAsia" w:hAnsiTheme="minorEastAsia" w:eastAsiaTheme="minorEastAsia" w:cstheme="minorEastAsia"/>
                <w:color w:val="auto"/>
                <w:kern w:val="0"/>
                <w:sz w:val="24"/>
                <w:szCs w:val="24"/>
                <w:highlight w:val="none"/>
              </w:rPr>
              <w:t>件（发票应体现仪器名称，发票购买方名称应与投标人一致），否则不得分。</w:t>
            </w:r>
          </w:p>
        </w:tc>
      </w:tr>
      <w:tr w14:paraId="3B3F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24FF7BE1">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42A487B2">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40215F22">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2775370F">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投标人配备有冷藏库及冷冻库的得3分。自有的需提供产权证复印件，租赁的需提供租赁合同及产权证复印件，或提供拥有使用权的相关证明材料，否则不得分。</w:t>
            </w:r>
          </w:p>
        </w:tc>
      </w:tr>
      <w:tr w14:paraId="1C9A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79376DC5">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1F203E62">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7E2264F0">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33405EA4">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根据投标人拟为本项目配备的食材配送车辆（不含冷藏车）进行评价：每配备一辆食材配送车（车辆类型为轻型厢式货车）得1.5分，满分3分。 注：同时提供①机动车登记证书</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；②有效期内的车辆行驶证</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；③能够体现车牌号的车辆照片；④车辆的使用权证明（以下二选一即可）：a.车辆自购的提供车辆购买发票</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（关键信息与车辆行驶证上信息一致，发票购买方名称须与投标人一致）；b.车辆租赁的须提供租赁合同及近3个月任意一个月租赁费用发票</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（发票购买方名称须与投标人一致，投标时租赁合同仍处于有效期内）。否则不得分。</w:t>
            </w:r>
          </w:p>
        </w:tc>
      </w:tr>
      <w:tr w14:paraId="6032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68E36516">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65D5E114">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400E0361">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73321D5B">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根据投标人配备的冷藏车（车辆类型为轻型厢式货车）的情况进行评价：每配备一辆食材配送冷藏车得1.5分，满分3分。 注：同时提供①机动车登记证书</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；②有效期内的车辆行驶证</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；③能够体现车牌号的车辆照片；④车辆冷藏功能制冷装置照片；⑤车辆的使用权证明（以下二选一即可）：a.车辆自购的提供车辆购买发票</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（关键信息与车辆行驶证上信息一致，发票购买方名称须与投标人一致）；b.车辆租赁的须提供租赁合同及近3个月任意一个月租赁费用发票</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（发票购买方名称须与投标人一致，投标时租赁合同仍处于有效期内）。否则不得分。</w:t>
            </w:r>
          </w:p>
        </w:tc>
      </w:tr>
      <w:tr w14:paraId="1FA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4BFDDEBA">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5DFC4E26">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5BBD3571">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377827E9">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根据投标人具备食品仓储、运输车辆、运输用具消杀证明情况进行评价：投标人与消杀企业签订的有效期内的消杀服务合同及发票（发票购买方名称需与投标人一致）复印件、消杀公司营业执照复印件的得3分，未按上述要求完整提供证明材料或不满足的不得分。</w:t>
            </w:r>
          </w:p>
        </w:tc>
      </w:tr>
      <w:tr w14:paraId="36AD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198344BB">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4B9F54DE">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610A537">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2C9A737A">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根据投标人为本项目配备的人员中具有高级农产品食品检验员的，每提供1个得1分，满分3分。注：投标人需同时提供①高级农产品食品检验员证书复印件；②有效期内健康证复印件；③投标截止日（不含投标截止时间的当月）前六个月内任一个月供应商为其缴交的社保缴纳证明。享受社保减免政策或因疫情影响享受缓缴或免缴社保的企业，提供依法缴纳社会保障资金承诺书原件（格式自拟），该承诺书视同社会保险凭据，若为退休人员，则提供该人员退休证</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以及返聘合同</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eastAsiaTheme="minorEastAsia" w:cstheme="minorEastAsia"/>
                <w:color w:val="auto"/>
                <w:sz w:val="24"/>
                <w:szCs w:val="24"/>
                <w:highlight w:val="none"/>
              </w:rPr>
              <w:t>。否则不得分。</w:t>
            </w:r>
          </w:p>
        </w:tc>
      </w:tr>
      <w:tr w14:paraId="01D0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45A95D6B">
            <w:pPr>
              <w:widowControl/>
              <w:numPr>
                <w:ilvl w:val="0"/>
                <w:numId w:val="2"/>
              </w:numPr>
              <w:spacing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32ADBD65">
            <w:pPr>
              <w:widowControl/>
              <w:spacing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4D6804C3">
            <w:pPr>
              <w:widowControl/>
              <w:spacing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0D206FE0">
            <w:pPr>
              <w:widowControl/>
              <w:spacing w:line="360" w:lineRule="auto"/>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根据投标人为本项目</w:t>
            </w:r>
            <w:r>
              <w:rPr>
                <w:rFonts w:hint="eastAsia" w:asciiTheme="minorEastAsia" w:hAnsiTheme="minorEastAsia" w:eastAsiaTheme="minorEastAsia" w:cstheme="minorEastAsia"/>
                <w:color w:val="auto"/>
                <w:sz w:val="24"/>
                <w:szCs w:val="24"/>
                <w:highlight w:val="none"/>
              </w:rPr>
              <w:t>配备</w:t>
            </w:r>
            <w:r>
              <w:rPr>
                <w:rFonts w:asciiTheme="minorEastAsia" w:hAnsiTheme="minorEastAsia" w:eastAsiaTheme="minorEastAsia" w:cstheme="minorEastAsia"/>
                <w:color w:val="auto"/>
                <w:sz w:val="24"/>
                <w:szCs w:val="24"/>
                <w:highlight w:val="none"/>
              </w:rPr>
              <w:t>的采购、</w:t>
            </w:r>
            <w:r>
              <w:rPr>
                <w:rFonts w:hint="eastAsia" w:ascii="宋体" w:hAnsi="宋体" w:cs="宋体"/>
                <w:color w:val="auto"/>
                <w:kern w:val="0"/>
                <w:sz w:val="24"/>
                <w:szCs w:val="24"/>
                <w:highlight w:val="none"/>
              </w:rPr>
              <w:t>配送人员</w:t>
            </w:r>
            <w:r>
              <w:rPr>
                <w:rFonts w:asciiTheme="minorEastAsia" w:hAnsiTheme="minorEastAsia" w:eastAsiaTheme="minorEastAsia" w:cstheme="minorEastAsia"/>
                <w:color w:val="auto"/>
                <w:sz w:val="24"/>
                <w:szCs w:val="24"/>
                <w:highlight w:val="none"/>
              </w:rPr>
              <w:t>情况进行综合评审：每配备1名采购、</w:t>
            </w:r>
            <w:r>
              <w:rPr>
                <w:rFonts w:hint="eastAsia" w:ascii="宋体" w:hAnsi="宋体" w:cs="宋体"/>
                <w:color w:val="auto"/>
                <w:kern w:val="0"/>
                <w:sz w:val="24"/>
                <w:szCs w:val="24"/>
                <w:highlight w:val="none"/>
              </w:rPr>
              <w:t>配送人员</w:t>
            </w:r>
            <w:r>
              <w:rPr>
                <w:rFonts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rPr>
              <w:t>1.5</w:t>
            </w:r>
            <w:r>
              <w:rPr>
                <w:rFonts w:asciiTheme="minorEastAsia" w:hAnsiTheme="minorEastAsia" w:eastAsiaTheme="minorEastAsia" w:cstheme="minorEastAsia"/>
                <w:color w:val="auto"/>
                <w:sz w:val="24"/>
                <w:szCs w:val="24"/>
                <w:highlight w:val="none"/>
              </w:rPr>
              <w:t>分，满分3分。</w:t>
            </w:r>
            <w:r>
              <w:rPr>
                <w:rFonts w:hint="eastAsia" w:asciiTheme="minorEastAsia" w:hAnsiTheme="minorEastAsia" w:eastAsiaTheme="minorEastAsia" w:cstheme="minorEastAsia"/>
                <w:color w:val="auto"/>
                <w:sz w:val="24"/>
                <w:szCs w:val="24"/>
                <w:highlight w:val="none"/>
              </w:rPr>
              <w:t>注：</w:t>
            </w:r>
            <w:r>
              <w:rPr>
                <w:rFonts w:asciiTheme="minorEastAsia" w:hAnsiTheme="minorEastAsia" w:eastAsiaTheme="minorEastAsia" w:cstheme="minorEastAsia"/>
                <w:color w:val="auto"/>
                <w:sz w:val="24"/>
                <w:szCs w:val="24"/>
                <w:highlight w:val="none"/>
              </w:rPr>
              <w:t>投标人需完整提供以下材料，否则不予认可：</w:t>
            </w:r>
            <w:r>
              <w:rPr>
                <w:rFonts w:hint="eastAsia" w:asciiTheme="minorEastAsia" w:hAnsiTheme="minorEastAsia" w:eastAsiaTheme="minorEastAsia" w:cstheme="minorEastAsia"/>
                <w:color w:val="auto"/>
                <w:sz w:val="24"/>
                <w:szCs w:val="24"/>
                <w:highlight w:val="none"/>
              </w:rPr>
              <w:t>①</w:t>
            </w:r>
            <w:r>
              <w:rPr>
                <w:rFonts w:asciiTheme="minorEastAsia" w:hAnsiTheme="minorEastAsia" w:eastAsiaTheme="minorEastAsia" w:cstheme="minorEastAsia"/>
                <w:color w:val="auto"/>
                <w:sz w:val="24"/>
                <w:szCs w:val="24"/>
                <w:highlight w:val="none"/>
              </w:rPr>
              <w:t>人员身份证（正、反面）复印件；</w:t>
            </w:r>
            <w:r>
              <w:rPr>
                <w:rFonts w:hint="eastAsia" w:asciiTheme="minorEastAsia" w:hAnsiTheme="minorEastAsia" w:eastAsiaTheme="minorEastAsia" w:cstheme="minorEastAsia"/>
                <w:color w:val="auto"/>
                <w:sz w:val="24"/>
                <w:szCs w:val="24"/>
                <w:highlight w:val="none"/>
              </w:rPr>
              <w:t>②</w:t>
            </w:r>
            <w:r>
              <w:rPr>
                <w:rFonts w:asciiTheme="minorEastAsia" w:hAnsiTheme="minorEastAsia" w:eastAsiaTheme="minorEastAsia" w:cstheme="minorEastAsia"/>
                <w:color w:val="auto"/>
                <w:sz w:val="24"/>
                <w:szCs w:val="24"/>
                <w:highlight w:val="none"/>
              </w:rPr>
              <w:t xml:space="preserve">有效期内健康证复印件； </w:t>
            </w:r>
            <w:r>
              <w:rPr>
                <w:rFonts w:hint="eastAsia" w:asciiTheme="minorEastAsia" w:hAnsiTheme="minorEastAsia" w:eastAsiaTheme="minorEastAsia" w:cstheme="minorEastAsia"/>
                <w:color w:val="auto"/>
                <w:sz w:val="24"/>
                <w:szCs w:val="24"/>
                <w:highlight w:val="none"/>
              </w:rPr>
              <w:t>③投标截止日（不含投标截止时间的当月）前六个月内任一个月供应商为其缴交的社保缴纳证明。享受社保减免政策或因疫情影响享受缓缴或免缴社保的企业，提供依法缴纳社会保障资金承诺书原件（格式自拟），该承诺书视同社会保险凭据，</w:t>
            </w:r>
            <w:r>
              <w:rPr>
                <w:rFonts w:asciiTheme="minorEastAsia" w:hAnsiTheme="minorEastAsia" w:eastAsiaTheme="minorEastAsia" w:cstheme="minorEastAsia"/>
                <w:color w:val="auto"/>
                <w:sz w:val="24"/>
                <w:szCs w:val="24"/>
                <w:highlight w:val="none"/>
              </w:rPr>
              <w:t>未完整提供以上证明材料的不得分。</w:t>
            </w:r>
          </w:p>
        </w:tc>
      </w:tr>
      <w:tr w14:paraId="1C9B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7224C9A4">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sz w:val="24"/>
                <w:szCs w:val="24"/>
                <w:highlight w:val="none"/>
              </w:rPr>
            </w:pPr>
          </w:p>
        </w:tc>
        <w:tc>
          <w:tcPr>
            <w:tcW w:w="442" w:type="pct"/>
            <w:vAlign w:val="center"/>
          </w:tcPr>
          <w:p w14:paraId="48F8C5C9">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077FDD0F">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28A486AB">
            <w:pPr>
              <w:widowControl/>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具备将每日配送食材的食品追溯码发送到相应的食品追溯码平台上的能力（厦门市食品安全信息网https://spaq.scjg.xm.gov.cn:38087/xmspaq/jsp/login.jsp），并承诺中标后将每日配送的所有食材录入一品一码。投标人提供近三个月（开标当月不算往前追溯三个月）任一月份在入市必登平台系统录入信息的截图及相关承诺函的得3分，未提供不得分。</w:t>
            </w:r>
          </w:p>
        </w:tc>
      </w:tr>
      <w:tr w14:paraId="02EB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4683FF59">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3914B54D">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7042B9C5">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629C2B3F">
            <w:pPr>
              <w:widowControl/>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投标人承诺按规定进行食品留样，将留样食品冷藏保存四十八小时以上，以备追索与查验的得3分，需提供承诺函，否则不得分。</w:t>
            </w:r>
          </w:p>
        </w:tc>
      </w:tr>
      <w:tr w14:paraId="1A7A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61110A5D">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76A1C531">
            <w:pPr>
              <w:widowControl/>
              <w:spacing w:before="0" w:beforeLines="-2147483648" w:after="0" w:afterLines="-2147483648" w:line="360" w:lineRule="auto"/>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68741AB4">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5795A556">
            <w:pPr>
              <w:widowControl/>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具有食材配送系统的得3分。投标人提供自行开发平台的，平台名称必须与投标人名称一致；若为第三方开发的，需提供投标人与开发方签订的平台采购合同复印件及发票复印件（须提供在国家税务总局增值税发票查验平台上对该发票查验结果的截图）；若投标人仅有平台使用权的，需提供平台所有方的授权书及平台所有方拥有该平台的相关证明材料复印件，未提供相关证明的不得分。</w:t>
            </w:r>
          </w:p>
        </w:tc>
      </w:tr>
      <w:tr w14:paraId="5C00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Borders>
              <w:right w:val="single" w:color="auto" w:sz="4" w:space="0"/>
            </w:tcBorders>
            <w:vAlign w:val="center"/>
          </w:tcPr>
          <w:p w14:paraId="329D486D">
            <w:pPr>
              <w:widowControl/>
              <w:numPr>
                <w:ilvl w:val="0"/>
                <w:numId w:val="2"/>
              </w:numPr>
              <w:spacing w:before="0" w:beforeLines="-2147483648" w:after="0" w:afterLines="-2147483648" w:line="360" w:lineRule="auto"/>
              <w:ind w:right="-80" w:rightChars="-38"/>
              <w:jc w:val="center"/>
              <w:rPr>
                <w:rFonts w:asciiTheme="minorEastAsia" w:hAnsiTheme="minorEastAsia" w:eastAsiaTheme="minorEastAsia" w:cstheme="minorEastAsia"/>
                <w:color w:val="auto"/>
                <w:kern w:val="0"/>
                <w:sz w:val="24"/>
                <w:szCs w:val="24"/>
                <w:highlight w:val="none"/>
              </w:rPr>
            </w:pPr>
          </w:p>
        </w:tc>
        <w:tc>
          <w:tcPr>
            <w:tcW w:w="442" w:type="pct"/>
            <w:vAlign w:val="center"/>
          </w:tcPr>
          <w:p w14:paraId="2FAD9EB5">
            <w:pPr>
              <w:widowControl/>
              <w:spacing w:before="0" w:beforeLines="-2147483648" w:after="0" w:afterLines="-2147483648"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vAlign w:val="center"/>
          </w:tcPr>
          <w:p w14:paraId="18539858">
            <w:pPr>
              <w:widowControl/>
              <w:spacing w:before="0" w:beforeLines="-2147483648" w:after="0" w:afterLines="-2147483648"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141A3371">
            <w:pPr>
              <w:widowControl/>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承诺为本项目制定每日生鲜产品抽检计划，将高风险农药残留、食品重金属、甲醛等非法添加物纳入检测，在实施过程中，提供并保留至少3个月的自检报告或第三方检测机构出具的报告复印件，以备查验。投标人需针对以上内容提供书面承诺（格式自拟），完全满足得4分，否则不得分。</w:t>
            </w:r>
          </w:p>
        </w:tc>
      </w:tr>
    </w:tbl>
    <w:p w14:paraId="6046A27F">
      <w:pPr>
        <w:tabs>
          <w:tab w:val="left" w:pos="-1080"/>
          <w:tab w:val="left" w:pos="180"/>
          <w:tab w:val="left" w:pos="1080"/>
        </w:tabs>
        <w:spacing w:line="360" w:lineRule="auto"/>
        <w:rPr>
          <w:rFonts w:ascii="宋体" w:hAnsi="宋体" w:cs="宋体"/>
          <w:color w:val="auto"/>
          <w:sz w:val="24"/>
          <w:szCs w:val="24"/>
          <w:highlight w:val="none"/>
        </w:rPr>
      </w:pPr>
    </w:p>
    <w:p w14:paraId="46F650E5">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（二）商务评分（F2）：按20分评分法，商务评分考虑下列因素：</w:t>
      </w:r>
    </w:p>
    <w:tbl>
      <w:tblPr>
        <w:tblStyle w:val="22"/>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851"/>
        <w:gridCol w:w="993"/>
        <w:gridCol w:w="6663"/>
      </w:tblGrid>
      <w:tr w14:paraId="18C8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 w:type="pct"/>
            <w:tcBorders>
              <w:right w:val="single" w:color="auto" w:sz="4" w:space="0"/>
            </w:tcBorders>
            <w:vAlign w:val="center"/>
          </w:tcPr>
          <w:p w14:paraId="7BD3300E">
            <w:pPr>
              <w:widowControl/>
              <w:spacing w:before="60" w:beforeLines="25" w:after="60" w:afterLines="25" w:line="360" w:lineRule="auto"/>
              <w:ind w:left="-42" w:leftChars="-20" w:right="-80" w:rightChars="-38"/>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78" w:type="pct"/>
            <w:vAlign w:val="center"/>
          </w:tcPr>
          <w:p w14:paraId="0949C508">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评标分值</w:t>
            </w:r>
          </w:p>
        </w:tc>
        <w:tc>
          <w:tcPr>
            <w:tcW w:w="558" w:type="pct"/>
            <w:vAlign w:val="center"/>
          </w:tcPr>
          <w:p w14:paraId="19BA8DB0">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是否客观项</w:t>
            </w:r>
          </w:p>
        </w:tc>
        <w:tc>
          <w:tcPr>
            <w:tcW w:w="3744" w:type="pct"/>
            <w:vAlign w:val="center"/>
          </w:tcPr>
          <w:p w14:paraId="31E8598D">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评标方法描述</w:t>
            </w:r>
          </w:p>
        </w:tc>
      </w:tr>
      <w:tr w14:paraId="743D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 w:type="pct"/>
            <w:tcBorders>
              <w:right w:val="single" w:color="auto" w:sz="4" w:space="0"/>
            </w:tcBorders>
            <w:vAlign w:val="center"/>
          </w:tcPr>
          <w:p w14:paraId="1AF7C47F">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78" w:type="pct"/>
            <w:vAlign w:val="center"/>
          </w:tcPr>
          <w:p w14:paraId="7B66D440">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58" w:type="pct"/>
            <w:vAlign w:val="center"/>
          </w:tcPr>
          <w:p w14:paraId="27B80196">
            <w:pPr>
              <w:widowControl/>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744" w:type="pct"/>
            <w:vAlign w:val="center"/>
          </w:tcPr>
          <w:p w14:paraId="517F84F4">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根据投标人的管理体系进行评价：</w:t>
            </w:r>
          </w:p>
          <w:p w14:paraId="7D0C83A2">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1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①</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具有有效的质量管理体系认证证书的得1分；</w:t>
            </w:r>
          </w:p>
          <w:p w14:paraId="1C8FEAF0">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2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②</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具有有效的环境管理体系认证证书的得1分；</w:t>
            </w:r>
          </w:p>
          <w:p w14:paraId="4B08D90A">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3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③</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具有有效的职业健康安全管理证书的得1分；</w:t>
            </w:r>
          </w:p>
          <w:p w14:paraId="6516A3D3">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4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④</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具有有效的食品安全管理体系认证证书的得1分。</w:t>
            </w:r>
          </w:p>
          <w:p w14:paraId="331505BB">
            <w:pPr>
              <w:widowControl/>
              <w:adjustRightInd w:val="0"/>
              <w:snapToGrid w:val="0"/>
              <w:spacing w:line="360" w:lineRule="auto"/>
              <w:jc w:val="left"/>
              <w:rPr>
                <w:rFonts w:ascii="宋体" w:hAnsi="宋体"/>
                <w:color w:val="auto"/>
                <w:sz w:val="24"/>
                <w:szCs w:val="24"/>
                <w:highlight w:val="none"/>
              </w:rPr>
            </w:pPr>
            <w:r>
              <w:rPr>
                <w:rFonts w:hint="eastAsia" w:ascii="宋体" w:hAnsi="宋体" w:cs="宋体"/>
                <w:snapToGrid w:val="0"/>
                <w:color w:val="auto"/>
                <w:kern w:val="0"/>
                <w:sz w:val="24"/>
                <w:szCs w:val="24"/>
                <w:highlight w:val="none"/>
              </w:rPr>
              <w:t>本项满分</w:t>
            </w:r>
            <w:r>
              <w:rPr>
                <w:rFonts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rPr>
              <w:t>分。投标人须提供有效证书复印件及全国认证认可信息公共服务平台或国家认证认可监督管理委员会网站的证书查询信息截图，否则本项不得分。</w:t>
            </w:r>
          </w:p>
        </w:tc>
      </w:tr>
      <w:tr w14:paraId="762B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 w:type="pct"/>
            <w:tcBorders>
              <w:right w:val="single" w:color="auto" w:sz="4" w:space="0"/>
            </w:tcBorders>
            <w:vAlign w:val="center"/>
          </w:tcPr>
          <w:p w14:paraId="0538F65D">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78" w:type="pct"/>
            <w:vAlign w:val="center"/>
          </w:tcPr>
          <w:p w14:paraId="2E89245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58" w:type="pct"/>
            <w:vAlign w:val="center"/>
          </w:tcPr>
          <w:p w14:paraId="1882F828">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744" w:type="pct"/>
            <w:vAlign w:val="center"/>
          </w:tcPr>
          <w:p w14:paraId="52A5531C">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根据投标人承诺</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年1月1日以来在国家市场监督管理总局关于食品安全抽查公布结果查询系统（https://spcjsac.gsxt.gov.cn/）的查询结果（按投标人名称查询）中未查询到不合格产品信息的得</w:t>
            </w:r>
            <w:r>
              <w:rPr>
                <w:rFonts w:hint="eastAsia" w:ascii="宋体" w:hAnsi="宋体"/>
                <w:color w:val="auto"/>
                <w:sz w:val="24"/>
                <w:szCs w:val="24"/>
                <w:highlight w:val="none"/>
              </w:rPr>
              <w:t>3</w:t>
            </w:r>
            <w:r>
              <w:rPr>
                <w:rFonts w:ascii="宋体" w:hAnsi="宋体"/>
                <w:color w:val="auto"/>
                <w:sz w:val="24"/>
                <w:szCs w:val="24"/>
                <w:highlight w:val="none"/>
              </w:rPr>
              <w:t>分，投标人须提供未查询到不合格产品的网页网址及承诺函（格式自拟），否则不得分。</w:t>
            </w:r>
          </w:p>
        </w:tc>
      </w:tr>
      <w:tr w14:paraId="055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 w:type="pct"/>
            <w:tcBorders>
              <w:right w:val="single" w:color="auto" w:sz="4" w:space="0"/>
            </w:tcBorders>
            <w:vAlign w:val="center"/>
          </w:tcPr>
          <w:p w14:paraId="206BDCC9">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78" w:type="pct"/>
            <w:vAlign w:val="center"/>
          </w:tcPr>
          <w:p w14:paraId="09F72018">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58" w:type="pct"/>
            <w:vAlign w:val="center"/>
          </w:tcPr>
          <w:p w14:paraId="4FD9D6F0">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744" w:type="pct"/>
            <w:vAlign w:val="center"/>
          </w:tcPr>
          <w:p w14:paraId="05650DDD">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根据投标人自</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年1月1日（以合同签订时间为准）以来具有食材配送业绩的情况进行评价：每提供一份有效业绩证明材料的得1分，本项满分3分，未按下述要求完整提供或不满足的不得分。 投标人须同时提供以下四项有效证明文件：①该业绩的中标（成交）公告（提供相关网站中标（成交）公告的下载网页及其网址）； ②中标（成交）通知书</w:t>
            </w:r>
            <w:r>
              <w:rPr>
                <w:rFonts w:hint="eastAsia" w:ascii="宋体" w:hAnsi="宋体"/>
                <w:color w:val="auto"/>
                <w:sz w:val="24"/>
                <w:szCs w:val="24"/>
                <w:highlight w:val="none"/>
              </w:rPr>
              <w:t>复印</w:t>
            </w:r>
            <w:r>
              <w:rPr>
                <w:rFonts w:ascii="宋体" w:hAnsi="宋体"/>
                <w:color w:val="auto"/>
                <w:sz w:val="24"/>
                <w:szCs w:val="24"/>
                <w:highlight w:val="none"/>
              </w:rPr>
              <w:t>件； ③采购合同文本</w:t>
            </w:r>
            <w:r>
              <w:rPr>
                <w:rFonts w:hint="eastAsia" w:ascii="宋体" w:hAnsi="宋体"/>
                <w:color w:val="auto"/>
                <w:sz w:val="24"/>
                <w:szCs w:val="24"/>
                <w:highlight w:val="none"/>
              </w:rPr>
              <w:t>复印</w:t>
            </w:r>
            <w:r>
              <w:rPr>
                <w:rFonts w:ascii="宋体" w:hAnsi="宋体"/>
                <w:color w:val="auto"/>
                <w:sz w:val="24"/>
                <w:szCs w:val="24"/>
                <w:highlight w:val="none"/>
              </w:rPr>
              <w:t>件； ④能够证明该业绩项目已经采购人验收或考核合格（含阶段性验收或考核合格）的相关证明文件</w:t>
            </w:r>
            <w:r>
              <w:rPr>
                <w:rFonts w:hint="eastAsia" w:ascii="宋体" w:hAnsi="宋体"/>
                <w:color w:val="auto"/>
                <w:sz w:val="24"/>
                <w:szCs w:val="24"/>
                <w:highlight w:val="none"/>
              </w:rPr>
              <w:t>复印</w:t>
            </w:r>
            <w:r>
              <w:rPr>
                <w:rFonts w:ascii="宋体" w:hAnsi="宋体"/>
                <w:color w:val="auto"/>
                <w:sz w:val="24"/>
                <w:szCs w:val="24"/>
                <w:highlight w:val="none"/>
              </w:rPr>
              <w:t>件。同一项目不同阶段验收或考核只按1份计分，如未按照招标文件要求提供该</w:t>
            </w:r>
            <w:r>
              <w:rPr>
                <w:rFonts w:hint="eastAsia" w:ascii="宋体" w:hAnsi="宋体"/>
                <w:color w:val="auto"/>
                <w:sz w:val="24"/>
                <w:szCs w:val="24"/>
                <w:highlight w:val="none"/>
              </w:rPr>
              <w:t>项业绩完整资料的，评标委员会对该项业绩将不予采信。</w:t>
            </w:r>
          </w:p>
        </w:tc>
      </w:tr>
      <w:tr w14:paraId="2325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 w:type="pct"/>
            <w:tcBorders>
              <w:right w:val="single" w:color="auto" w:sz="4" w:space="0"/>
            </w:tcBorders>
            <w:vAlign w:val="center"/>
          </w:tcPr>
          <w:p w14:paraId="55FE0B82">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78" w:type="pct"/>
            <w:vAlign w:val="center"/>
          </w:tcPr>
          <w:p w14:paraId="1BE56E6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58" w:type="pct"/>
            <w:vAlign w:val="center"/>
          </w:tcPr>
          <w:p w14:paraId="5B16482A">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744" w:type="pct"/>
            <w:vAlign w:val="center"/>
          </w:tcPr>
          <w:p w14:paraId="13F57FEC">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根据投标人提供自</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年1月1日（以满意度情况出具日期为准）以来，已完成或正在履行的食材配送项目的用户满意度情况进行评价：每提供1份有效证明的得1分，本项满分</w:t>
            </w:r>
            <w:r>
              <w:rPr>
                <w:rFonts w:hint="eastAsia" w:ascii="宋体" w:hAnsi="宋体"/>
                <w:color w:val="auto"/>
                <w:sz w:val="24"/>
                <w:szCs w:val="24"/>
                <w:highlight w:val="none"/>
              </w:rPr>
              <w:t>4</w:t>
            </w:r>
            <w:r>
              <w:rPr>
                <w:rFonts w:ascii="宋体" w:hAnsi="宋体"/>
                <w:color w:val="auto"/>
                <w:sz w:val="24"/>
                <w:szCs w:val="24"/>
                <w:highlight w:val="none"/>
              </w:rPr>
              <w:t>分。投标人须同时提供业主方盖章的满意或好评情况材料（满意度情况表或评价意见书，相同业主单位出具的满意度情况材料只按1份计分）以及双方签订合同</w:t>
            </w:r>
            <w:r>
              <w:rPr>
                <w:rFonts w:hint="eastAsia" w:ascii="宋体" w:hAnsi="宋体"/>
                <w:color w:val="auto"/>
                <w:sz w:val="24"/>
                <w:szCs w:val="24"/>
                <w:highlight w:val="none"/>
              </w:rPr>
              <w:t>复印</w:t>
            </w:r>
            <w:r>
              <w:rPr>
                <w:rFonts w:ascii="宋体" w:hAnsi="宋体"/>
                <w:color w:val="auto"/>
                <w:sz w:val="24"/>
                <w:szCs w:val="24"/>
                <w:highlight w:val="none"/>
              </w:rPr>
              <w:t>件，未按上述要求完整提供或不满足不得分。（本项满意度情况评价与业绩项属于同一项目的不得重复计分）</w:t>
            </w:r>
          </w:p>
        </w:tc>
      </w:tr>
      <w:tr w14:paraId="7B9A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 w:type="pct"/>
            <w:tcBorders>
              <w:right w:val="single" w:color="auto" w:sz="4" w:space="0"/>
            </w:tcBorders>
            <w:vAlign w:val="center"/>
          </w:tcPr>
          <w:p w14:paraId="00F79E9E">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78" w:type="pct"/>
            <w:vAlign w:val="center"/>
          </w:tcPr>
          <w:p w14:paraId="5D25191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58" w:type="pct"/>
            <w:vAlign w:val="center"/>
          </w:tcPr>
          <w:p w14:paraId="09AAD88A">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744" w:type="pct"/>
            <w:vAlign w:val="center"/>
          </w:tcPr>
          <w:p w14:paraId="076F57AF">
            <w:pPr>
              <w:adjustRightInd w:val="0"/>
              <w:snapToGrid w:val="0"/>
              <w:spacing w:line="360" w:lineRule="auto"/>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根据</w:t>
            </w:r>
            <w:r>
              <w:rPr>
                <w:rFonts w:hint="eastAsia" w:ascii="宋体" w:hAnsi="宋体" w:cs="宋体"/>
                <w:color w:val="auto"/>
                <w:kern w:val="0"/>
                <w:sz w:val="24"/>
                <w:szCs w:val="24"/>
                <w:highlight w:val="none"/>
              </w:rPr>
              <w:t>投标人承诺为本项目购买“食品安全责任险”</w:t>
            </w:r>
            <w:r>
              <w:rPr>
                <w:rFonts w:hint="eastAsia" w:ascii="宋体" w:hAnsi="宋体" w:cs="宋体"/>
                <w:color w:val="auto"/>
                <w:kern w:val="0"/>
                <w:sz w:val="24"/>
                <w:szCs w:val="24"/>
                <w:highlight w:val="none"/>
                <w:lang w:val="en-US" w:eastAsia="zh-CN"/>
              </w:rPr>
              <w:t>情况进行评价：</w:t>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val="en-US" w:eastAsia="zh-CN"/>
              </w:rPr>
              <w:t>承诺购买的</w:t>
            </w:r>
            <w:r>
              <w:rPr>
                <w:rFonts w:hint="eastAsia" w:ascii="宋体" w:hAnsi="宋体" w:cs="宋体"/>
                <w:color w:val="auto"/>
                <w:kern w:val="0"/>
                <w:sz w:val="24"/>
                <w:szCs w:val="24"/>
                <w:highlight w:val="none"/>
              </w:rPr>
              <w:t>保险额度</w:t>
            </w:r>
            <w:r>
              <w:rPr>
                <w:rFonts w:hint="eastAsia" w:ascii="宋体" w:hAnsi="宋体" w:cs="宋体"/>
                <w:color w:val="auto"/>
                <w:kern w:val="0"/>
                <w:sz w:val="24"/>
                <w:szCs w:val="24"/>
                <w:highlight w:val="none"/>
                <w:lang w:val="en-US" w:eastAsia="zh-CN"/>
              </w:rPr>
              <w:t>≥</w:t>
            </w:r>
            <w:r>
              <w:rPr>
                <w:rFonts w:ascii="宋体" w:hAnsi="宋体" w:cs="宋体"/>
                <w:color w:val="auto"/>
                <w:kern w:val="0"/>
                <w:sz w:val="24"/>
                <w:szCs w:val="24"/>
                <w:highlight w:val="none"/>
              </w:rPr>
              <w:t>2000万元</w:t>
            </w:r>
            <w:r>
              <w:rPr>
                <w:rFonts w:hint="eastAsia" w:ascii="宋体" w:hAnsi="宋体" w:cs="宋体"/>
                <w:color w:val="auto"/>
                <w:kern w:val="0"/>
                <w:sz w:val="24"/>
                <w:szCs w:val="24"/>
                <w:highlight w:val="none"/>
                <w:lang w:val="en-US" w:eastAsia="zh-CN"/>
              </w:rPr>
              <w:t>的得2分；2000万元＞承诺购买的</w:t>
            </w:r>
            <w:r>
              <w:rPr>
                <w:rFonts w:hint="eastAsia" w:ascii="宋体" w:hAnsi="宋体" w:cs="宋体"/>
                <w:color w:val="auto"/>
                <w:kern w:val="0"/>
                <w:sz w:val="24"/>
                <w:szCs w:val="24"/>
                <w:highlight w:val="none"/>
              </w:rPr>
              <w:t>保险额度</w:t>
            </w:r>
            <w:r>
              <w:rPr>
                <w:rFonts w:hint="eastAsia" w:ascii="宋体" w:hAnsi="宋体" w:cs="宋体"/>
                <w:color w:val="auto"/>
                <w:kern w:val="0"/>
                <w:sz w:val="24"/>
                <w:szCs w:val="24"/>
                <w:highlight w:val="none"/>
                <w:lang w:val="en-US" w:eastAsia="zh-CN"/>
              </w:rPr>
              <w:t>≥1</w:t>
            </w:r>
            <w:r>
              <w:rPr>
                <w:rFonts w:ascii="宋体" w:hAnsi="宋体" w:cs="宋体"/>
                <w:color w:val="auto"/>
                <w:kern w:val="0"/>
                <w:sz w:val="24"/>
                <w:szCs w:val="24"/>
                <w:highlight w:val="none"/>
              </w:rPr>
              <w:t>000万元</w:t>
            </w:r>
            <w:r>
              <w:rPr>
                <w:rFonts w:hint="eastAsia" w:ascii="宋体" w:hAnsi="宋体" w:cs="宋体"/>
                <w:color w:val="auto"/>
                <w:kern w:val="0"/>
                <w:sz w:val="24"/>
                <w:szCs w:val="24"/>
                <w:highlight w:val="none"/>
                <w:lang w:val="en-US" w:eastAsia="zh-CN"/>
              </w:rPr>
              <w:t>的得1分</w:t>
            </w:r>
            <w:r>
              <w:rPr>
                <w:rFonts w:ascii="宋体" w:hAnsi="宋体" w:cs="宋体"/>
                <w:color w:val="auto"/>
                <w:kern w:val="0"/>
                <w:sz w:val="24"/>
                <w:szCs w:val="24"/>
                <w:highlight w:val="none"/>
              </w:rPr>
              <w:t>；②同时承诺若</w:t>
            </w:r>
            <w:r>
              <w:rPr>
                <w:rFonts w:hint="eastAsia" w:ascii="宋体" w:hAnsi="宋体" w:cs="宋体"/>
                <w:color w:val="auto"/>
                <w:kern w:val="0"/>
                <w:sz w:val="24"/>
                <w:szCs w:val="24"/>
                <w:highlight w:val="none"/>
              </w:rPr>
              <w:t>出现</w:t>
            </w:r>
            <w:r>
              <w:rPr>
                <w:rFonts w:ascii="宋体" w:hAnsi="宋体" w:cs="宋体"/>
                <w:color w:val="auto"/>
                <w:kern w:val="0"/>
                <w:sz w:val="24"/>
                <w:szCs w:val="24"/>
                <w:highlight w:val="none"/>
              </w:rPr>
              <w:t>食品安全事故，每人赔偿额度至少达到20</w:t>
            </w:r>
            <w:r>
              <w:rPr>
                <w:rFonts w:hint="eastAsia" w:ascii="宋体" w:hAnsi="宋体" w:cs="宋体"/>
                <w:color w:val="auto"/>
                <w:kern w:val="0"/>
                <w:sz w:val="24"/>
                <w:szCs w:val="24"/>
                <w:highlight w:val="none"/>
              </w:rPr>
              <w:t>万元</w:t>
            </w:r>
            <w:r>
              <w:rPr>
                <w:rFonts w:ascii="宋体" w:hAnsi="宋体" w:cs="宋体"/>
                <w:color w:val="auto"/>
                <w:kern w:val="0"/>
                <w:sz w:val="24"/>
                <w:szCs w:val="24"/>
                <w:highlight w:val="none"/>
              </w:rPr>
              <w:t>及每次事件赔偿额度至少达到100</w:t>
            </w:r>
            <w:r>
              <w:rPr>
                <w:rFonts w:hint="eastAsia" w:ascii="宋体" w:hAnsi="宋体" w:cs="宋体"/>
                <w:color w:val="auto"/>
                <w:kern w:val="0"/>
                <w:sz w:val="24"/>
                <w:szCs w:val="24"/>
                <w:highlight w:val="none"/>
              </w:rPr>
              <w:t>万元</w:t>
            </w:r>
            <w:r>
              <w:rPr>
                <w:rFonts w:ascii="宋体" w:hAnsi="宋体" w:cs="宋体"/>
                <w:color w:val="auto"/>
                <w:kern w:val="0"/>
                <w:sz w:val="24"/>
                <w:szCs w:val="24"/>
                <w:highlight w:val="none"/>
              </w:rPr>
              <w:t>的可再加1分。本项满分3分，需提供承诺函，否则不得分。</w:t>
            </w:r>
          </w:p>
        </w:tc>
      </w:tr>
      <w:tr w14:paraId="7B77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 w:type="pct"/>
            <w:tcBorders>
              <w:right w:val="single" w:color="auto" w:sz="4" w:space="0"/>
            </w:tcBorders>
            <w:vAlign w:val="center"/>
          </w:tcPr>
          <w:p w14:paraId="722C5663">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78" w:type="pct"/>
            <w:vAlign w:val="center"/>
          </w:tcPr>
          <w:p w14:paraId="08350EF7">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58" w:type="pct"/>
            <w:vAlign w:val="center"/>
          </w:tcPr>
          <w:p w14:paraId="7C7120D9">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744" w:type="pct"/>
            <w:vAlign w:val="center"/>
          </w:tcPr>
          <w:p w14:paraId="4C1C9C53">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投标人承诺，投标人及其分公司距本项目开标之日前五年内，未发生过食物中毒安全事故或因食品安全问题被行政处罚及公告的得3分，未承诺的不得分。</w:t>
            </w:r>
          </w:p>
        </w:tc>
      </w:tr>
    </w:tbl>
    <w:p w14:paraId="167310DE">
      <w:pPr>
        <w:tabs>
          <w:tab w:val="left" w:pos="-1080"/>
          <w:tab w:val="left" w:pos="180"/>
          <w:tab w:val="left" w:pos="1080"/>
        </w:tabs>
        <w:spacing w:line="360" w:lineRule="auto"/>
        <w:rPr>
          <w:rFonts w:ascii="宋体" w:hAnsi="宋体" w:cs="宋体"/>
          <w:color w:val="auto"/>
          <w:sz w:val="24"/>
          <w:szCs w:val="24"/>
          <w:highlight w:val="none"/>
        </w:rPr>
      </w:pPr>
    </w:p>
    <w:p w14:paraId="30E0E37D">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（三）价格评分（F3）：按15分评分法，评标委员会对各有效标投标报价（收费比例）进行审核确定评标价，并将最低有效标的评标价设为基准价，定其价格得分为15分。按公式：价格得分＝15</w:t>
      </w:r>
      <w:r>
        <w:rPr>
          <w:rFonts w:hint="eastAsia" w:ascii="宋体" w:hAnsi="宋体" w:cs="宋体"/>
          <w:color w:val="auto"/>
          <w:sz w:val="24"/>
          <w:szCs w:val="24"/>
          <w:highlight w:val="none"/>
        </w:rPr>
        <w:sym w:font="Symbol" w:char="00B4"/>
      </w:r>
      <w:r>
        <w:rPr>
          <w:rFonts w:hint="eastAsia" w:ascii="宋体" w:hAnsi="宋体" w:cs="宋体"/>
          <w:color w:val="auto"/>
          <w:sz w:val="24"/>
          <w:szCs w:val="24"/>
          <w:highlight w:val="none"/>
        </w:rPr>
        <w:t xml:space="preserve"> （基准价/各个通过审核的有效投标人的评标价）计算，由此算出各个通过审核的有效投标人的价格得分。</w:t>
      </w:r>
    </w:p>
    <w:p w14:paraId="06B3E647">
      <w:pPr>
        <w:spacing w:line="360" w:lineRule="auto"/>
        <w:ind w:firstLine="480" w:firstLineChars="200"/>
        <w:rPr>
          <w:rFonts w:ascii="宋体" w:hAnsi="宋体" w:cs="宋体"/>
          <w:color w:val="auto"/>
          <w:sz w:val="24"/>
          <w:szCs w:val="24"/>
          <w:highlight w:val="none"/>
        </w:rPr>
      </w:pPr>
    </w:p>
    <w:p w14:paraId="77707B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备注：1、异常低价审查</w:t>
      </w:r>
    </w:p>
    <w:p w14:paraId="792F7E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1.1政府采购评审中出现下列情形之一的，评标委员会应当启动异常低价投标审查程序：</w:t>
      </w:r>
    </w:p>
    <w:p w14:paraId="374352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（1）投标报价低于全部通过符合性审查投标人投标报价平均值</w:t>
      </w:r>
      <w:r>
        <w:rPr>
          <w:rFonts w:ascii="宋体" w:hAnsi="宋体" w:cs="宋体"/>
          <w:color w:val="auto"/>
          <w:sz w:val="24"/>
          <w:szCs w:val="24"/>
          <w:highlight w:val="none"/>
        </w:rPr>
        <w:t>65%</w:t>
      </w:r>
      <w:r>
        <w:rPr>
          <w:rFonts w:hint="eastAsia" w:ascii="宋体" w:hAnsi="宋体" w:cs="宋体"/>
          <w:color w:val="auto"/>
          <w:sz w:val="24"/>
          <w:szCs w:val="24"/>
          <w:highlight w:val="none"/>
        </w:rPr>
        <w:t>的，即投标报价＜全部通过符合性审查投标人投标报价平均值×</w:t>
      </w:r>
      <w:r>
        <w:rPr>
          <w:rFonts w:ascii="宋体" w:hAnsi="宋体" w:cs="宋体"/>
          <w:color w:val="auto"/>
          <w:sz w:val="24"/>
          <w:szCs w:val="24"/>
          <w:highlight w:val="none"/>
        </w:rPr>
        <w:t>65%</w:t>
      </w:r>
      <w:r>
        <w:rPr>
          <w:rFonts w:hint="eastAsia" w:ascii="宋体" w:hAnsi="宋体" w:cs="宋体"/>
          <w:color w:val="auto"/>
          <w:sz w:val="24"/>
          <w:szCs w:val="24"/>
          <w:highlight w:val="none"/>
        </w:rPr>
        <w:t>；</w:t>
      </w:r>
    </w:p>
    <w:p w14:paraId="707B10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（2）投标报价低于通过符合性审查的次低报价投标人投标报价</w:t>
      </w:r>
      <w:r>
        <w:rPr>
          <w:rFonts w:ascii="宋体" w:hAnsi="宋体" w:cs="宋体"/>
          <w:color w:val="auto"/>
          <w:sz w:val="24"/>
          <w:szCs w:val="24"/>
          <w:highlight w:val="none"/>
        </w:rPr>
        <w:t>65%</w:t>
      </w:r>
      <w:r>
        <w:rPr>
          <w:rFonts w:hint="eastAsia" w:ascii="宋体" w:hAnsi="宋体" w:cs="宋体"/>
          <w:color w:val="auto"/>
          <w:sz w:val="24"/>
          <w:szCs w:val="24"/>
          <w:highlight w:val="none"/>
        </w:rPr>
        <w:t>的，即投标报价＜通过符合性审查的次低报价投标人投标报价×</w:t>
      </w:r>
      <w:r>
        <w:rPr>
          <w:rFonts w:ascii="宋体" w:hAnsi="宋体" w:cs="宋体"/>
          <w:color w:val="auto"/>
          <w:sz w:val="24"/>
          <w:szCs w:val="24"/>
          <w:highlight w:val="none"/>
        </w:rPr>
        <w:t>65%</w:t>
      </w:r>
      <w:r>
        <w:rPr>
          <w:rFonts w:hint="eastAsia" w:ascii="宋体" w:hAnsi="宋体" w:cs="宋体"/>
          <w:color w:val="auto"/>
          <w:sz w:val="24"/>
          <w:szCs w:val="24"/>
          <w:highlight w:val="none"/>
        </w:rPr>
        <w:t>；</w:t>
      </w:r>
    </w:p>
    <w:p w14:paraId="5C1CF7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（3）投标报价低于采购项目最高限价</w:t>
      </w:r>
      <w:r>
        <w:rPr>
          <w:rFonts w:ascii="宋体" w:hAnsi="宋体" w:cs="宋体"/>
          <w:color w:val="auto"/>
          <w:sz w:val="24"/>
          <w:szCs w:val="24"/>
          <w:highlight w:val="none"/>
        </w:rPr>
        <w:t>65%</w:t>
      </w:r>
      <w:r>
        <w:rPr>
          <w:rFonts w:hint="eastAsia" w:ascii="宋体" w:hAnsi="宋体" w:cs="宋体"/>
          <w:color w:val="auto"/>
          <w:sz w:val="24"/>
          <w:szCs w:val="24"/>
          <w:highlight w:val="none"/>
        </w:rPr>
        <w:t>的，即投标报价＜采购项目最高限价×</w:t>
      </w:r>
      <w:r>
        <w:rPr>
          <w:rFonts w:ascii="宋体" w:hAnsi="宋体" w:cs="宋体"/>
          <w:color w:val="auto"/>
          <w:sz w:val="24"/>
          <w:szCs w:val="24"/>
          <w:highlight w:val="none"/>
        </w:rPr>
        <w:t>65%</w:t>
      </w:r>
      <w:r>
        <w:rPr>
          <w:rFonts w:hint="eastAsia" w:ascii="宋体" w:hAnsi="宋体" w:cs="宋体"/>
          <w:color w:val="auto"/>
          <w:sz w:val="24"/>
          <w:szCs w:val="24"/>
          <w:highlight w:val="none"/>
        </w:rPr>
        <w:t>；</w:t>
      </w:r>
    </w:p>
    <w:p w14:paraId="169653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（4）评标委员会基于专业判断，认为投标人报价过低，有可能影响产品质量或者不能诚信履约的其他情形。</w:t>
      </w:r>
    </w:p>
    <w:p w14:paraId="3B5CCF79">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195F442">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评标委员会依据专业经验，参考同类项目中标（成交）价格、 类似产品市场价格水平、行业人工费用标准、国家有关部门指导行业协会发布的行业平均成本等情况，对报价合理性进行判断。 投标供应商不能提供书面说明、证明材料，或者提供的书面说明、证明材料不能证明其报价合理性的，评标委员会应当将其作为无效投标处理。</w:t>
      </w:r>
    </w:p>
    <w:p w14:paraId="29B6EF04">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B841CA0">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异常低价投标审查的启动原因、审查意见和审查结果应当在评审报告中记录，并随供应商提供的相关书面说明及证明材料，以及评标委员会有关互联网浏览、查询历史一并归档。</w:t>
      </w:r>
    </w:p>
    <w:p w14:paraId="29579138">
      <w:pPr>
        <w:widowControl/>
        <w:spacing w:line="360" w:lineRule="auto"/>
        <w:ind w:firstLine="480" w:firstLineChars="200"/>
        <w:jc w:val="left"/>
        <w:rPr>
          <w:rFonts w:ascii="宋体" w:hAnsi="宋体" w:cs="宋体"/>
          <w:color w:val="auto"/>
          <w:sz w:val="24"/>
          <w:szCs w:val="24"/>
          <w:highlight w:val="none"/>
        </w:rPr>
      </w:pPr>
    </w:p>
    <w:p w14:paraId="7B546963">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（四）综合得分= F1+ F2 + F3 。</w:t>
      </w:r>
    </w:p>
    <w:p w14:paraId="7052F085">
      <w:pPr>
        <w:pStyle w:val="10"/>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rPr>
        <w:t>备注：1、技术商务评分中涉及排名情况的评分由评标委员会根据各投标人投标文件的响应情况进行综合评议得出排名。</w:t>
      </w:r>
    </w:p>
    <w:p w14:paraId="53717555">
      <w:pPr>
        <w:tabs>
          <w:tab w:val="left" w:pos="-1080"/>
          <w:tab w:val="left" w:pos="180"/>
          <w:tab w:val="left" w:pos="1080"/>
        </w:tabs>
        <w:spacing w:line="360" w:lineRule="auto"/>
        <w:outlineLvl w:val="2"/>
        <w:rPr>
          <w:rFonts w:ascii="宋体" w:hAnsi="宋体" w:cs="宋体"/>
          <w:color w:val="auto"/>
          <w:sz w:val="24"/>
          <w:szCs w:val="24"/>
          <w:highlight w:val="none"/>
        </w:rPr>
      </w:pPr>
      <w:bookmarkStart w:id="45" w:name="_Toc27223"/>
      <w:r>
        <w:rPr>
          <w:rFonts w:hint="eastAsia" w:ascii="宋体" w:hAnsi="宋体" w:cs="宋体"/>
          <w:color w:val="auto"/>
          <w:sz w:val="24"/>
          <w:szCs w:val="24"/>
          <w:highlight w:val="none"/>
        </w:rPr>
        <w:t>合同包二：</w:t>
      </w:r>
      <w:bookmarkEnd w:id="45"/>
    </w:p>
    <w:p w14:paraId="485BD342">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（一）技术评分（F1）：按65分评分法，技术评分考虑下列因素：</w:t>
      </w:r>
    </w:p>
    <w:tbl>
      <w:tblPr>
        <w:tblStyle w:val="22"/>
        <w:tblW w:w="5327"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15"/>
        <w:gridCol w:w="992"/>
        <w:gridCol w:w="6661"/>
      </w:tblGrid>
      <w:tr w14:paraId="0342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33" w:type="pct"/>
            <w:tcBorders>
              <w:right w:val="single" w:color="auto" w:sz="4" w:space="0"/>
            </w:tcBorders>
            <w:vAlign w:val="center"/>
          </w:tcPr>
          <w:p w14:paraId="44419C2B">
            <w:pPr>
              <w:widowControl/>
              <w:spacing w:before="60" w:beforeLines="25" w:after="60" w:afterLines="25" w:line="360" w:lineRule="auto"/>
              <w:ind w:left="-42" w:leftChars="-20" w:right="-80" w:rightChars="-38"/>
              <w:jc w:val="center"/>
              <w:rPr>
                <w:rFonts w:ascii="宋体" w:hAnsi="宋体" w:cs="宋体"/>
                <w:b/>
                <w:color w:val="auto"/>
                <w:kern w:val="0"/>
                <w:sz w:val="24"/>
                <w:szCs w:val="24"/>
                <w:highlight w:val="none"/>
              </w:rPr>
            </w:pPr>
            <w:bookmarkStart w:id="46" w:name="_Hlk56000949"/>
            <w:r>
              <w:rPr>
                <w:rFonts w:hint="eastAsia" w:ascii="宋体" w:hAnsi="宋体" w:cs="宋体"/>
                <w:b/>
                <w:color w:val="auto"/>
                <w:kern w:val="0"/>
                <w:sz w:val="24"/>
                <w:szCs w:val="24"/>
                <w:highlight w:val="none"/>
              </w:rPr>
              <w:t>序号</w:t>
            </w:r>
          </w:p>
        </w:tc>
        <w:tc>
          <w:tcPr>
            <w:tcW w:w="449" w:type="pct"/>
            <w:vAlign w:val="center"/>
          </w:tcPr>
          <w:p w14:paraId="76725721">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评标分值</w:t>
            </w:r>
          </w:p>
        </w:tc>
        <w:tc>
          <w:tcPr>
            <w:tcW w:w="547" w:type="pct"/>
            <w:vAlign w:val="center"/>
          </w:tcPr>
          <w:p w14:paraId="4A5EB74E">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是否客观项</w:t>
            </w:r>
          </w:p>
        </w:tc>
        <w:tc>
          <w:tcPr>
            <w:tcW w:w="3671" w:type="pct"/>
            <w:vAlign w:val="center"/>
          </w:tcPr>
          <w:p w14:paraId="0463832D">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评标方法描述</w:t>
            </w:r>
          </w:p>
        </w:tc>
      </w:tr>
      <w:tr w14:paraId="06E2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20810DC3">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709FF312">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42525B4F">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tcPr>
          <w:p w14:paraId="4B2B07F8">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根据投标人提供的</w:t>
            </w:r>
            <w:r>
              <w:rPr>
                <w:rFonts w:hint="eastAsia" w:ascii="宋体" w:hAnsi="宋体" w:cs="宋体"/>
                <w:b/>
                <w:snapToGrid w:val="0"/>
                <w:color w:val="auto"/>
                <w:sz w:val="24"/>
                <w:szCs w:val="24"/>
                <w:highlight w:val="none"/>
              </w:rPr>
              <w:t>总体配送服务方案</w:t>
            </w:r>
            <w:r>
              <w:rPr>
                <w:rFonts w:hint="eastAsia" w:ascii="宋体" w:hAnsi="宋体" w:cs="宋体"/>
                <w:snapToGrid w:val="0"/>
                <w:color w:val="auto"/>
                <w:sz w:val="24"/>
                <w:szCs w:val="24"/>
                <w:highlight w:val="none"/>
              </w:rPr>
              <w:t>进行评审：①有提供配送服务方案，能满足本项目需要的得1.5分；②在满足①的基础上，针对本项目特点制定具体生产或采购流程、配送流程、明确配送时效，配送时效满足采购人实际需求，有利于项目顺利实施的得3分；③未提供或不满足以上情况的不得分。</w:t>
            </w:r>
          </w:p>
        </w:tc>
      </w:tr>
      <w:tr w14:paraId="21BE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33" w:type="pct"/>
            <w:tcBorders>
              <w:right w:val="single" w:color="auto" w:sz="4" w:space="0"/>
            </w:tcBorders>
            <w:vAlign w:val="center"/>
          </w:tcPr>
          <w:p w14:paraId="3FEBC8A1">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26F8F59F">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45F8AF7">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tcPr>
          <w:p w14:paraId="76787609">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根据投标人提供的</w:t>
            </w:r>
            <w:r>
              <w:rPr>
                <w:rFonts w:hint="eastAsia" w:ascii="宋体" w:hAnsi="宋体" w:cs="宋体"/>
                <w:b/>
                <w:snapToGrid w:val="0"/>
                <w:color w:val="auto"/>
                <w:sz w:val="24"/>
                <w:szCs w:val="24"/>
                <w:highlight w:val="none"/>
              </w:rPr>
              <w:t>食品卫生安全管理措施</w:t>
            </w:r>
            <w:r>
              <w:rPr>
                <w:rFonts w:hint="eastAsia" w:ascii="宋体" w:hAnsi="宋体" w:cs="宋体"/>
                <w:snapToGrid w:val="0"/>
                <w:color w:val="auto"/>
                <w:sz w:val="24"/>
                <w:szCs w:val="24"/>
                <w:highlight w:val="none"/>
              </w:rPr>
              <w:t>进行评价：①有提供管理措施，能满足本项目需要的得1.5分；②在满足①的基础上，针对本项目特点制定具体环境卫生管理、虫鼠害控制、清洗消毒、产品接触面的清洁卫生管理等，管理措施完整、切合实际，阐述详细清晰、合理可行、要点突出，有利于项目顺利实施的得3分；③未提供或不满足以上情况的不得分。</w:t>
            </w:r>
          </w:p>
        </w:tc>
      </w:tr>
      <w:tr w14:paraId="3E9C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271A7CAD">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153C4D64">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85A2EA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tcPr>
          <w:p w14:paraId="6556287A">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根据投标人为本项目制定的</w:t>
            </w:r>
            <w:r>
              <w:rPr>
                <w:rFonts w:hint="eastAsia" w:ascii="宋体" w:hAnsi="宋体" w:cs="宋体"/>
                <w:b/>
                <w:snapToGrid w:val="0"/>
                <w:color w:val="auto"/>
                <w:sz w:val="24"/>
                <w:szCs w:val="24"/>
                <w:highlight w:val="none"/>
              </w:rPr>
              <w:t>食品安全质量保障措施</w:t>
            </w:r>
            <w:r>
              <w:rPr>
                <w:rFonts w:hint="eastAsia" w:ascii="宋体" w:hAnsi="宋体" w:cs="宋体"/>
                <w:snapToGrid w:val="0"/>
                <w:color w:val="auto"/>
                <w:sz w:val="24"/>
                <w:szCs w:val="24"/>
                <w:highlight w:val="none"/>
              </w:rPr>
              <w:t>进行评价：①有提供质量保障措施，能满足本项目需要的得1.5分；②在满足①的基础上，详细提出食品安全检验、包装、运输等供货系统各环节的质量保证及安全保证措施，对服务过程中的以上关键节点有具体质量控制措施，且措施的完整性、合理性、可操作性强，有利于项目顺利实施的得3分；③未提供或不满足以上情况的不得分。</w:t>
            </w:r>
          </w:p>
        </w:tc>
      </w:tr>
      <w:tr w14:paraId="57D9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33" w:type="pct"/>
            <w:tcBorders>
              <w:right w:val="single" w:color="auto" w:sz="4" w:space="0"/>
            </w:tcBorders>
            <w:vAlign w:val="center"/>
          </w:tcPr>
          <w:p w14:paraId="39E4B8FB">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1C2FEC05">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5E0C6C11">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tcPr>
          <w:p w14:paraId="0A32F05F">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w:t>
            </w:r>
            <w:r>
              <w:rPr>
                <w:rFonts w:hint="eastAsia" w:ascii="宋体" w:hAnsi="宋体" w:cs="宋体"/>
                <w:b/>
                <w:snapToGrid w:val="0"/>
                <w:color w:val="auto"/>
                <w:sz w:val="24"/>
                <w:szCs w:val="24"/>
                <w:highlight w:val="none"/>
              </w:rPr>
              <w:t>日常服务记录档案、检验检疫凭证、特别情况记录、单据等档案管理方案</w:t>
            </w:r>
            <w:r>
              <w:rPr>
                <w:rFonts w:hint="eastAsia" w:ascii="宋体" w:hAnsi="宋体" w:cs="宋体"/>
                <w:snapToGrid w:val="0"/>
                <w:color w:val="auto"/>
                <w:sz w:val="24"/>
                <w:szCs w:val="24"/>
                <w:highlight w:val="none"/>
              </w:rPr>
              <w:t>进行评价：①有提供管理方案，能满足本项目需要的得1.5分；②在满足①的基础上，针对本项目特点明确具体档案管理人员、制定档案管理制度（包含但不限于借阅制度、移交制度、复制制度等），管理制度内容清晰、人员岗位责任明确，有利于项目顺利实施的得3分；③未提供或不满足以上情况的不得分。</w:t>
            </w:r>
          </w:p>
        </w:tc>
      </w:tr>
      <w:tr w14:paraId="1A38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4374A308">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23883C42">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62835C43">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tcPr>
          <w:p w14:paraId="4D5D5944">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w:t>
            </w:r>
            <w:r>
              <w:rPr>
                <w:rFonts w:hint="eastAsia" w:ascii="宋体" w:hAnsi="宋体" w:cs="宋体"/>
                <w:b/>
                <w:snapToGrid w:val="0"/>
                <w:color w:val="auto"/>
                <w:sz w:val="24"/>
                <w:szCs w:val="24"/>
                <w:highlight w:val="none"/>
              </w:rPr>
              <w:t>针对</w:t>
            </w:r>
            <w:r>
              <w:rPr>
                <w:rFonts w:hint="eastAsia" w:ascii="宋体" w:hAnsi="宋体" w:cs="宋体"/>
                <w:b/>
                <w:snapToGrid w:val="0"/>
                <w:color w:val="auto"/>
                <w:sz w:val="24"/>
                <w:szCs w:val="24"/>
                <w:highlight w:val="none"/>
                <w:lang w:eastAsia="zh-CN"/>
              </w:rPr>
              <w:t>采购人</w:t>
            </w:r>
            <w:r>
              <w:rPr>
                <w:rFonts w:hint="eastAsia" w:ascii="宋体" w:hAnsi="宋体" w:cs="宋体"/>
                <w:b/>
                <w:snapToGrid w:val="0"/>
                <w:color w:val="auto"/>
                <w:sz w:val="24"/>
                <w:szCs w:val="24"/>
                <w:highlight w:val="none"/>
              </w:rPr>
              <w:t>紧急追加货物、出现不合格品、不满足采购人使用需求产品的退换预案</w:t>
            </w:r>
            <w:r>
              <w:rPr>
                <w:rFonts w:hint="eastAsia" w:ascii="宋体" w:hAnsi="宋体" w:cs="宋体"/>
                <w:snapToGrid w:val="0"/>
                <w:color w:val="auto"/>
                <w:sz w:val="24"/>
                <w:szCs w:val="24"/>
                <w:highlight w:val="none"/>
              </w:rPr>
              <w:t>进行综合评价：①有提供相应方案，能满足本项目需要的得1.5分；②在满足①的基础上，针对本项目特点制定具体紧急追加货物的应对措施、不合格产品的退换预案、紧急供货配送流程、应急配送程序、货源不足应急方案、人员应急方案、车辆应急方案等，方案完整、切合实际，阐述详细清晰、合理可行、要点突出，有利于项目顺利实施的得3分；③未提供或不满足以上情况的不得分。</w:t>
            </w:r>
          </w:p>
        </w:tc>
      </w:tr>
      <w:tr w14:paraId="5B1E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38D62285">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7EC1CB7D">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4E951420">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tcPr>
          <w:p w14:paraId="5B29681B">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根据投标人提供的</w:t>
            </w:r>
            <w:r>
              <w:rPr>
                <w:rFonts w:hint="eastAsia" w:ascii="宋体" w:hAnsi="宋体" w:cs="宋体"/>
                <w:b/>
                <w:snapToGrid w:val="0"/>
                <w:color w:val="auto"/>
                <w:sz w:val="24"/>
                <w:szCs w:val="24"/>
                <w:highlight w:val="none"/>
              </w:rPr>
              <w:t>备用方案</w:t>
            </w:r>
            <w:r>
              <w:rPr>
                <w:rFonts w:hint="eastAsia" w:ascii="宋体" w:hAnsi="宋体" w:cs="宋体"/>
                <w:snapToGrid w:val="0"/>
                <w:color w:val="auto"/>
                <w:sz w:val="24"/>
                <w:szCs w:val="24"/>
                <w:highlight w:val="none"/>
              </w:rPr>
              <w:t>进行评价（投标人接到采购人订单后应仔细核对货源情况，对无法按时供应的商品必须第一时间通知采购人并提供备用方案）：①有提出备用方案，满足应急需要的得1.5分；②在满足①的基础上，能及时采购缺漏商品或能提供经采购人同意的同等替代商品，紧急情况下能减少中间环节的得3分；③未提供或不满足以上情况的不得分。</w:t>
            </w:r>
          </w:p>
        </w:tc>
      </w:tr>
      <w:tr w14:paraId="4D87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6E17E5C5">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554F7EC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0ECD3AC7">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vAlign w:val="center"/>
          </w:tcPr>
          <w:p w14:paraId="54298B8B">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根据投标人针对所提供</w:t>
            </w:r>
            <w:r>
              <w:rPr>
                <w:rFonts w:hint="eastAsia" w:ascii="宋体" w:hAnsi="宋体" w:cs="宋体"/>
                <w:b/>
                <w:color w:val="auto"/>
                <w:kern w:val="0"/>
                <w:sz w:val="24"/>
                <w:szCs w:val="24"/>
                <w:highlight w:val="none"/>
              </w:rPr>
              <w:t>食品的中毒事件及食品安全问题的预应急处理方案</w:t>
            </w:r>
            <w:r>
              <w:rPr>
                <w:rFonts w:hint="eastAsia" w:ascii="宋体" w:hAnsi="宋体" w:cs="宋体"/>
                <w:color w:val="auto"/>
                <w:kern w:val="0"/>
                <w:sz w:val="24"/>
                <w:szCs w:val="24"/>
                <w:highlight w:val="none"/>
              </w:rPr>
              <w:t>进行评价：①有提出应急方案，满足应急需要的得1.5分；②在满足①的基础上，针对本项目特点制定详细的食品中毒紧急处理措施、食品安全事故应急预案、食品召回、退市制度，响应时间迅速，明确岗位责任，确保第一时间妥善处理，有利于项目顺利实施的得3分；③未提供或不满足以上情况的不得分。</w:t>
            </w:r>
          </w:p>
        </w:tc>
      </w:tr>
      <w:tr w14:paraId="6652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75A65D8B">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773711E1">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2E0EBE8">
            <w:pPr>
              <w:widowControl/>
              <w:spacing w:before="60" w:beforeLines="25" w:after="60" w:afterLines="25"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1" w:type="pct"/>
            <w:tcBorders>
              <w:top w:val="single" w:color="auto" w:sz="4" w:space="0"/>
              <w:left w:val="single" w:color="auto" w:sz="4" w:space="0"/>
              <w:bottom w:val="single" w:color="auto" w:sz="4" w:space="0"/>
              <w:right w:val="single" w:color="auto" w:sz="4" w:space="0"/>
            </w:tcBorders>
            <w:vAlign w:val="center"/>
          </w:tcPr>
          <w:p w14:paraId="5E90B8D2">
            <w:pPr>
              <w:widowControl/>
              <w:spacing w:line="360" w:lineRule="auto"/>
              <w:rPr>
                <w:rFonts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根据投标人为本项目制定的</w:t>
            </w:r>
            <w:r>
              <w:rPr>
                <w:rFonts w:hint="eastAsia" w:asciiTheme="minorEastAsia" w:hAnsiTheme="minorEastAsia" w:eastAsiaTheme="minorEastAsia" w:cstheme="minorEastAsia"/>
                <w:b/>
                <w:bCs/>
                <w:color w:val="auto"/>
                <w:kern w:val="0"/>
                <w:sz w:val="24"/>
                <w:szCs w:val="24"/>
                <w:highlight w:val="none"/>
              </w:rPr>
              <w:t>临时任务、节假日、考评检查、重要或大型活动、防洪抗台突发事件的特殊保障方案</w:t>
            </w:r>
            <w:r>
              <w:rPr>
                <w:rFonts w:hint="eastAsia" w:asciiTheme="minorEastAsia" w:hAnsiTheme="minorEastAsia" w:eastAsiaTheme="minorEastAsia" w:cstheme="minorEastAsia"/>
                <w:color w:val="auto"/>
                <w:kern w:val="0"/>
                <w:sz w:val="24"/>
                <w:szCs w:val="24"/>
                <w:highlight w:val="none"/>
              </w:rPr>
              <w:t>进行评价： ①有提供应急处理方案，方案包含但不限于应急供应时限、储备种类数量、应急保障措施、人力物力投入安排等内容，符合项目需求的得1.5分； ②在满足①的基础上，针对本项目特点制定食品配送临时应急补货的响应时限和保障措施、补货流程、补换货程序、货源不足应急方案、人员应急方案、车辆应急方案、抢险救灾和自然灾害等特殊时期处置预案等，各部分内容完整、切合实际、要点突出，确保食品不间断供应的、有利于项目顺利实施的得3分； ③未提供相关方案阐述或方案阐述内容不符合上述标准的不得分。</w:t>
            </w:r>
          </w:p>
        </w:tc>
      </w:tr>
      <w:tr w14:paraId="19F3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6D9D978E">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1874A808">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0E7B4AD">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6E43F2D0">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提供的冻品货源情况进行评价：冻品属于自产或经营合作的，须提供生产基地照片、基地产权证明或租赁合同的复印件，经营合作的需提供合作协议或相关证明材料复印件；冻品属于外购的，须提供投标人与货源方签订的采购合同或供货协议证明及往来发票（应体现食材名称，发票购买方名称需与投标人一致）复印件。完整提供上述证明材料复印件的得3分，否则不得分。</w:t>
            </w:r>
          </w:p>
        </w:tc>
      </w:tr>
      <w:tr w14:paraId="64A6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472F47B0">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64DF8CE1">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4AE3A8DA">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1F7179F5">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据投标人提供的干货调料品货源情况进行评价：干货调料品属于自产或经营合作的，须提供生产基地照片、基地产权证明或租赁合同的</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sz w:val="24"/>
                <w:szCs w:val="24"/>
                <w:highlight w:val="none"/>
              </w:rPr>
              <w:t>件，经营合作的需提供合作协议或相关证明材料</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sz w:val="24"/>
                <w:szCs w:val="24"/>
                <w:highlight w:val="none"/>
              </w:rPr>
              <w:t>件；干货调料品属于外购的，须提供投标人与货源方签订的采购合同或供货协议证明及往来发票（应体现食材名称，发票购买方名称需与投标人一致）复印件。完整提供上述证明材料复印件的得3分，否则不得分。</w:t>
            </w:r>
          </w:p>
        </w:tc>
      </w:tr>
      <w:tr w14:paraId="41D7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1CF19A22">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5F3134A8">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5190BD8">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44650C1F">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根据投标人提供的乳制品货源情况进行评价：乳制品属于自产或经营合作的，须提供生产基地照片、基地产权证明或租赁合同的</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sz w:val="24"/>
                <w:szCs w:val="24"/>
                <w:highlight w:val="none"/>
              </w:rPr>
              <w:t>件，经营合作的需提供合作协议或相关证明材料</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sz w:val="24"/>
                <w:szCs w:val="24"/>
                <w:highlight w:val="none"/>
              </w:rPr>
              <w:t>件；乳制品属于外购的，须提供投标人与货源方签订的采购合同或供货协议证明及往来发票（应体现食材名称，发票购买方名称需与投标人一致）复印件。完整提供上述证明材料复印件的得3分，否则不得分。</w:t>
            </w:r>
          </w:p>
        </w:tc>
      </w:tr>
      <w:tr w14:paraId="2E6A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3373EB7B">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6663C645">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58C347B">
            <w:pPr>
              <w:widowControl/>
              <w:spacing w:before="60" w:beforeLines="25" w:after="60" w:afterLines="25"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0DB97517">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根据投标人提供的成品粮货源情况进行评价：成品粮属于自产或经营合作的，须提供生产基地照片、基地产权证明或租赁合同的</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kern w:val="0"/>
                <w:sz w:val="24"/>
                <w:szCs w:val="24"/>
                <w:highlight w:val="none"/>
              </w:rPr>
              <w:t>件，经营合作的需提供合作协议或相关证明材料</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kern w:val="0"/>
                <w:sz w:val="24"/>
                <w:szCs w:val="24"/>
                <w:highlight w:val="none"/>
              </w:rPr>
              <w:t>件；成品粮属于外购的，须提供投标人与货源方签订的采购合同或供货协议证明及往来发票（应体现食材名称，发票购买方名称需与投标人一致）复印件。完整提供上述证明材料复印件的得3分，否则不得分。</w:t>
            </w:r>
          </w:p>
        </w:tc>
      </w:tr>
      <w:tr w14:paraId="630D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3B7BCDF7">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698800DE">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C23583F">
            <w:pPr>
              <w:widowControl/>
              <w:spacing w:before="60" w:beforeLines="25" w:after="60" w:afterLines="25"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0A59FAD7">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根据投标人提供的成品食用油货源情况进行评价：成品食用油属于自产或经营合作的，须提供生产基地照片、基地产权证明或租赁合同的</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kern w:val="0"/>
                <w:sz w:val="24"/>
                <w:szCs w:val="24"/>
                <w:highlight w:val="none"/>
              </w:rPr>
              <w:t>件，经营合作的需提供合作协议或相关证明材料</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kern w:val="0"/>
                <w:sz w:val="24"/>
                <w:szCs w:val="24"/>
                <w:highlight w:val="none"/>
              </w:rPr>
              <w:t>件；成品食用油属于外购的，须提供投标人与货源方签订的采购合同或供货协议证明及往来发票（应体现食材名称，发票购买方名称需与投标人一致）复印件。完整提供上述证明材料复印件的得3分，否则不得分。</w:t>
            </w:r>
          </w:p>
        </w:tc>
      </w:tr>
      <w:tr w14:paraId="1C54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712D7C95">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52CB762A">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7FC635A6">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7F5A75A1">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投标人能为本项目配备食品检验室且配备保障食材安全检测仪器（检测内容至少包括①农药残留检测、②食品重金属检测、③甲醛等非法添加物检测）的得3分。</w:t>
            </w:r>
          </w:p>
          <w:p w14:paraId="1FB7EFD7">
            <w:pPr>
              <w:widowControl/>
              <w:spacing w:line="360" w:lineRule="auto"/>
              <w:rPr>
                <w:rFonts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须同时提供：①以下二选一：a.检验室自有的，须提供产权证复印件或提供拥有使用权的相关证明材料；b.与第三方合作委托的，提供委托合同复印件（投标时委托合同仍处于合同期内）及产权证复印件或提供拥有使用权的相关证明材料、近六个月内任意一个月（不含投标截止当月）的租赁费用发票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Theme="minorEastAsia" w:hAnsiTheme="minorEastAsia" w:eastAsiaTheme="minorEastAsia" w:cstheme="minorEastAsia"/>
                <w:color w:val="auto"/>
                <w:kern w:val="0"/>
                <w:sz w:val="24"/>
                <w:szCs w:val="24"/>
                <w:highlight w:val="none"/>
              </w:rPr>
              <w:t>（发票购买方名称须与投标人一致）；②食品检验室相关设备现场实景照片，需要拍摄多角度体现检测室全貌（至少3张）并注明食品检验室地址。③仪器图片、仪器功能说明书和购买发票有效复印件（发票应体现仪器名称，发票购买方名称应与投标人一致），否则不得分。</w:t>
            </w:r>
          </w:p>
        </w:tc>
      </w:tr>
      <w:tr w14:paraId="5DD8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1EDAFB88">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3FDC85A5">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0FE2CA2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tcPr>
          <w:p w14:paraId="2B14BB6A">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投标人配备有冷藏库及冷冻库的得3分。自有的需提供产权证</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kern w:val="0"/>
                <w:sz w:val="24"/>
                <w:szCs w:val="24"/>
                <w:highlight w:val="none"/>
              </w:rPr>
              <w:t>件，租赁的需提供租赁合同及产权证复印件，或提供拥有使用权的相关证明材料，否则不得分。</w:t>
            </w:r>
          </w:p>
        </w:tc>
      </w:tr>
      <w:tr w14:paraId="266B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429EC7D9">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25EABA80">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51312DD2">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116D0404">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根据投标人拟为本项目配备的食材配送车辆（不含冷藏车）进行评价：每配备一辆食材配送车（车辆类型为轻型厢式货车）得1.5分，满分3分。 注：同时提供①机动车登记证书</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；②有效期内的车辆行驶证</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；③能够体现车牌号的车辆照片；④车辆的使用权证明（以下二选一即可）：a.车辆自购的提供车辆购买发票</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（关键信息与车辆行驶证上信息一致，发票购买方名称须与投标人一致）；b.车辆租赁的须提供租赁合同及近3个月任意一个月租赁费用发票</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（发票购买方名称须与投标人一致，投标时租赁合同仍处于有效期内）。否则不得分。</w:t>
            </w:r>
          </w:p>
        </w:tc>
      </w:tr>
      <w:tr w14:paraId="77A1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19A536D0">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51D810F2">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5C92135D">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5A8D315D">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根据投标人配备的冷藏车（车辆类型为轻型厢式货车）的情况进行评价：每配备一辆食材配送冷藏车得1.5分，满分3分。 注：同时提供①机动车登记证书</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；②有效期内的车辆行驶证</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；③能够体现车牌号的车辆照片；④车辆冷藏功能制冷装置照片；⑤车辆的使用权证明（以下二选一即可）：a.车辆自购的提供车辆购买发票</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（关键信息与车辆行驶证上信息一致，发票购买方名称须与投标人一致）；b.车辆租赁的须提供租赁合同及近3个月任意一个月租赁费用发票</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（发票购买方名称须与投标人一致，投标时租赁合同仍处于有效期内）。否则不得分。</w:t>
            </w:r>
          </w:p>
        </w:tc>
      </w:tr>
      <w:tr w14:paraId="5EEA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43E60A66">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46AAA374">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B1450E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tcPr>
          <w:p w14:paraId="5C35A94B">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根据投标人具备食品仓储、运输车辆、运输用具消杀证明情况进行评价：投标人与消杀企业签订的有效期内的消杀服务合同及发票（发票购买方名称需与投标人一致）</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sz w:val="24"/>
                <w:szCs w:val="24"/>
                <w:highlight w:val="none"/>
              </w:rPr>
              <w:t>件、消杀公司营业执照复印件的得3分，未按上述要求完整提供证明材料或不满足的不得分。</w:t>
            </w:r>
          </w:p>
        </w:tc>
      </w:tr>
      <w:tr w14:paraId="178A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406482C3">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3040D06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2197166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61322858">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投标人为本项目配备的人员中具有高级农产品食品检验员的，每提供1个得1分，满分3分。注：同时提供①高级农产品食品检验员证书复印件；②人员健康证</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③投标截止日（不含投标截止时间的当月）前六个月内任一个月供应商为其缴交的社保缴纳证明。享受社保减免政策或因疫情影响享受缓缴或免缴社保的企业，提供依法缴纳社会保障资金承诺书原件（格式自拟），该承诺书视同社会保险凭据，若为退休人员，则提供该人员退休证</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以及返聘合同</w:t>
            </w:r>
            <w:r>
              <w:rPr>
                <w:rFonts w:hint="eastAsia" w:asciiTheme="minorEastAsia" w:hAnsiTheme="minorEastAsia" w:eastAsiaTheme="minorEastAsia" w:cstheme="minorEastAsia"/>
                <w:color w:val="auto"/>
                <w:kern w:val="0"/>
                <w:sz w:val="24"/>
                <w:szCs w:val="24"/>
                <w:highlight w:val="none"/>
              </w:rPr>
              <w:t>复印</w:t>
            </w:r>
            <w:r>
              <w:rPr>
                <w:rFonts w:hint="eastAsia" w:asciiTheme="minorEastAsia" w:hAnsiTheme="minorEastAsia" w:eastAsiaTheme="minorEastAsia" w:cstheme="minorEastAsia"/>
                <w:color w:val="auto"/>
                <w:kern w:val="0"/>
                <w:sz w:val="24"/>
                <w:szCs w:val="24"/>
                <w:highlight w:val="none"/>
                <w:lang w:val="en-US" w:eastAsia="zh-CN"/>
              </w:rPr>
              <w:t>件</w:t>
            </w:r>
            <w:r>
              <w:rPr>
                <w:rFonts w:hint="eastAsia" w:ascii="宋体" w:hAnsi="宋体" w:cs="宋体"/>
                <w:color w:val="auto"/>
                <w:sz w:val="24"/>
                <w:szCs w:val="24"/>
                <w:highlight w:val="none"/>
              </w:rPr>
              <w:t>。否则不得分。</w:t>
            </w:r>
          </w:p>
        </w:tc>
      </w:tr>
      <w:tr w14:paraId="72C5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605FD5CF">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2CA25B13">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547" w:type="pct"/>
            <w:tcBorders>
              <w:top w:val="single" w:color="auto" w:sz="4" w:space="0"/>
              <w:left w:val="single" w:color="auto" w:sz="4" w:space="0"/>
              <w:bottom w:val="single" w:color="auto" w:sz="4" w:space="0"/>
              <w:right w:val="single" w:color="auto" w:sz="4" w:space="0"/>
            </w:tcBorders>
            <w:vAlign w:val="center"/>
          </w:tcPr>
          <w:p w14:paraId="6A435965">
            <w:pPr>
              <w:widowControl/>
              <w:spacing w:before="60" w:beforeLines="25" w:after="60" w:afterLines="25"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3E7A42AD">
            <w:pPr>
              <w:widowControl/>
              <w:spacing w:line="360" w:lineRule="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根据投标人为本项目配备的采购、</w:t>
            </w:r>
            <w:r>
              <w:rPr>
                <w:rFonts w:hint="eastAsia" w:ascii="宋体" w:hAnsi="宋体" w:cs="宋体"/>
                <w:color w:val="auto"/>
                <w:kern w:val="0"/>
                <w:sz w:val="24"/>
                <w:szCs w:val="24"/>
                <w:highlight w:val="none"/>
              </w:rPr>
              <w:t>配送人员</w:t>
            </w:r>
            <w:r>
              <w:rPr>
                <w:rFonts w:hint="eastAsia" w:asciiTheme="minorEastAsia" w:hAnsiTheme="minorEastAsia" w:eastAsiaTheme="minorEastAsia" w:cstheme="minorEastAsia"/>
                <w:color w:val="auto"/>
                <w:sz w:val="24"/>
                <w:szCs w:val="24"/>
                <w:highlight w:val="none"/>
              </w:rPr>
              <w:t>情况进行综合评审：每配备1名采购、</w:t>
            </w:r>
            <w:r>
              <w:rPr>
                <w:rFonts w:hint="eastAsia" w:ascii="宋体" w:hAnsi="宋体" w:cs="宋体"/>
                <w:color w:val="auto"/>
                <w:kern w:val="0"/>
                <w:sz w:val="24"/>
                <w:szCs w:val="24"/>
                <w:highlight w:val="none"/>
              </w:rPr>
              <w:t>配送人员</w:t>
            </w:r>
            <w:r>
              <w:rPr>
                <w:rFonts w:hint="eastAsia" w:asciiTheme="minorEastAsia" w:hAnsiTheme="minorEastAsia" w:eastAsiaTheme="minorEastAsia" w:cstheme="minorEastAsia"/>
                <w:color w:val="auto"/>
                <w:sz w:val="24"/>
                <w:szCs w:val="24"/>
                <w:highlight w:val="none"/>
              </w:rPr>
              <w:t>得1分，满分2分。注：投标人需完整提供以下材料，否则不予认可：①人员身份证（正、反面）复印件；②有效期内健康证复印件； ③投标截止日（不含投标截止时间的当月）前六个月内任一个月供应商为其缴交的社保缴纳证明。享受社保减免政策或因疫情影响享受缓缴或免缴社保的企业，提供依法缴纳社会保障资金承诺书原件（格式自拟），该承诺书视同社会保险凭据，未完整提供以上证明材料的不得分。</w:t>
            </w:r>
          </w:p>
        </w:tc>
      </w:tr>
      <w:tr w14:paraId="35CA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1E1C0C1C">
            <w:pPr>
              <w:widowControl/>
              <w:numPr>
                <w:ilvl w:val="0"/>
                <w:numId w:val="3"/>
              </w:numPr>
              <w:spacing w:before="60" w:beforeLines="25" w:after="60" w:afterLines="25" w:line="360" w:lineRule="auto"/>
              <w:ind w:right="-80" w:rightChars="-38"/>
              <w:jc w:val="center"/>
              <w:rPr>
                <w:rFonts w:ascii="宋体" w:hAnsi="宋体" w:cs="宋体"/>
                <w:color w:val="auto"/>
                <w:sz w:val="24"/>
                <w:szCs w:val="24"/>
                <w:highlight w:val="none"/>
              </w:rPr>
            </w:pPr>
          </w:p>
        </w:tc>
        <w:tc>
          <w:tcPr>
            <w:tcW w:w="449" w:type="pct"/>
            <w:vAlign w:val="center"/>
          </w:tcPr>
          <w:p w14:paraId="1004A15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14:paraId="33AE5036">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1B61CD06">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具备将每日配送食材的食品追溯码发送到相应的食品追溯码平台上的能力（厦门市食品安全信息网https://spaq.scjg.xm.gov.cn:38087/xmspaq/jsp/login.jsp），并承诺中标后将每日配送的所有食材录入一品一码。投标人提供近三个月（开标当月不算往前追溯三个月）任一月份在入市必登平台系统录入信息的截图及相关承诺函的得3分，未提供不得分。</w:t>
            </w:r>
          </w:p>
        </w:tc>
      </w:tr>
      <w:tr w14:paraId="46FF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4881D778">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398C25DD">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47" w:type="pct"/>
            <w:tcBorders>
              <w:top w:val="single" w:color="auto" w:sz="4" w:space="0"/>
              <w:left w:val="single" w:color="auto" w:sz="4" w:space="0"/>
              <w:bottom w:val="single" w:color="auto" w:sz="4" w:space="0"/>
              <w:right w:val="single" w:color="auto" w:sz="4" w:space="0"/>
            </w:tcBorders>
            <w:vAlign w:val="center"/>
          </w:tcPr>
          <w:p w14:paraId="1D9485D0">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vAlign w:val="center"/>
          </w:tcPr>
          <w:p w14:paraId="72A86706">
            <w:pPr>
              <w:widowControl/>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投标人承诺按规定进行食品留样，将留样食品冷藏保存四十八小时以上，以备追索与查验的得1分，需提供承诺函，否则不得分。</w:t>
            </w:r>
          </w:p>
        </w:tc>
      </w:tr>
      <w:tr w14:paraId="4703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tcBorders>
              <w:right w:val="single" w:color="auto" w:sz="4" w:space="0"/>
            </w:tcBorders>
            <w:vAlign w:val="center"/>
          </w:tcPr>
          <w:p w14:paraId="552E3600">
            <w:pPr>
              <w:widowControl/>
              <w:numPr>
                <w:ilvl w:val="0"/>
                <w:numId w:val="3"/>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49" w:type="pct"/>
            <w:vAlign w:val="center"/>
          </w:tcPr>
          <w:p w14:paraId="2DC364B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547" w:type="pct"/>
            <w:tcBorders>
              <w:top w:val="single" w:color="auto" w:sz="4" w:space="0"/>
              <w:left w:val="single" w:color="auto" w:sz="4" w:space="0"/>
              <w:bottom w:val="single" w:color="auto" w:sz="4" w:space="0"/>
              <w:right w:val="single" w:color="auto" w:sz="4" w:space="0"/>
            </w:tcBorders>
            <w:vAlign w:val="center"/>
          </w:tcPr>
          <w:p w14:paraId="11330AE3">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1" w:type="pct"/>
            <w:tcBorders>
              <w:top w:val="single" w:color="auto" w:sz="4" w:space="0"/>
              <w:left w:val="single" w:color="auto" w:sz="4" w:space="0"/>
              <w:bottom w:val="single" w:color="auto" w:sz="4" w:space="0"/>
              <w:right w:val="single" w:color="auto" w:sz="4" w:space="0"/>
            </w:tcBorders>
          </w:tcPr>
          <w:p w14:paraId="024E1AEF">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应具有食材配送系统的得2分。投标人提供自行开发平台的，平台名称必须与投标人名称一致；若为第三方开发的，需提供投标人与开发方签订的平台采购合同复印件及发票复印件（须提供在国家税务总局增值税发票查验平台上对该发票查验结果的截图）；若投标人仅有平台使用权的，需提供平台所有方的授权书及平台所有方拥有该平台的相关证明材料复印件，未提供相关证明的不得分。</w:t>
            </w:r>
          </w:p>
        </w:tc>
      </w:tr>
      <w:bookmarkEnd w:id="46"/>
    </w:tbl>
    <w:p w14:paraId="47F9BADA">
      <w:pPr>
        <w:tabs>
          <w:tab w:val="left" w:pos="-1080"/>
          <w:tab w:val="left" w:pos="180"/>
          <w:tab w:val="left" w:pos="1080"/>
        </w:tabs>
        <w:spacing w:line="360" w:lineRule="auto"/>
        <w:rPr>
          <w:rFonts w:ascii="宋体" w:hAnsi="宋体" w:cs="宋体"/>
          <w:color w:val="auto"/>
          <w:sz w:val="24"/>
          <w:szCs w:val="24"/>
          <w:highlight w:val="none"/>
        </w:rPr>
      </w:pPr>
    </w:p>
    <w:p w14:paraId="2ACE035B">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（二）商务评分（F2）：按20分评分法，商务评分考虑下列因素：</w:t>
      </w:r>
    </w:p>
    <w:tbl>
      <w:tblPr>
        <w:tblStyle w:val="22"/>
        <w:tblW w:w="5327"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02"/>
        <w:gridCol w:w="992"/>
        <w:gridCol w:w="6662"/>
      </w:tblGrid>
      <w:tr w14:paraId="4F5D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right w:val="single" w:color="auto" w:sz="4" w:space="0"/>
            </w:tcBorders>
            <w:vAlign w:val="center"/>
          </w:tcPr>
          <w:p w14:paraId="290DAFEE">
            <w:pPr>
              <w:widowControl/>
              <w:spacing w:before="60" w:beforeLines="25" w:after="60" w:afterLines="25" w:line="360" w:lineRule="auto"/>
              <w:ind w:left="-42" w:leftChars="-20" w:right="-80" w:rightChars="-38"/>
              <w:jc w:val="center"/>
              <w:rPr>
                <w:rFonts w:ascii="宋体" w:hAnsi="宋体" w:cs="宋体"/>
                <w:b/>
                <w:color w:val="auto"/>
                <w:kern w:val="0"/>
                <w:sz w:val="24"/>
                <w:szCs w:val="24"/>
                <w:highlight w:val="none"/>
              </w:rPr>
            </w:pPr>
            <w:bookmarkStart w:id="47" w:name="_Hlk56000927"/>
            <w:r>
              <w:rPr>
                <w:rFonts w:hint="eastAsia" w:ascii="宋体" w:hAnsi="宋体" w:cs="宋体"/>
                <w:b/>
                <w:color w:val="auto"/>
                <w:kern w:val="0"/>
                <w:sz w:val="24"/>
                <w:szCs w:val="24"/>
                <w:highlight w:val="none"/>
              </w:rPr>
              <w:t>序号</w:t>
            </w:r>
          </w:p>
        </w:tc>
        <w:tc>
          <w:tcPr>
            <w:tcW w:w="442" w:type="pct"/>
            <w:vAlign w:val="center"/>
          </w:tcPr>
          <w:p w14:paraId="502AC204">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评标分值</w:t>
            </w:r>
          </w:p>
        </w:tc>
        <w:tc>
          <w:tcPr>
            <w:tcW w:w="547" w:type="pct"/>
            <w:vAlign w:val="center"/>
          </w:tcPr>
          <w:p w14:paraId="2D6EA825">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是否客观项</w:t>
            </w:r>
          </w:p>
        </w:tc>
        <w:tc>
          <w:tcPr>
            <w:tcW w:w="3671" w:type="pct"/>
            <w:vAlign w:val="center"/>
          </w:tcPr>
          <w:p w14:paraId="6D7E5861">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评标方法描述（评标细则）</w:t>
            </w:r>
          </w:p>
        </w:tc>
      </w:tr>
      <w:tr w14:paraId="7433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right w:val="single" w:color="auto" w:sz="4" w:space="0"/>
            </w:tcBorders>
            <w:vAlign w:val="center"/>
          </w:tcPr>
          <w:p w14:paraId="24A429BF">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42" w:type="pct"/>
            <w:vAlign w:val="center"/>
          </w:tcPr>
          <w:p w14:paraId="660D1060">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47" w:type="pct"/>
            <w:vAlign w:val="center"/>
          </w:tcPr>
          <w:p w14:paraId="06B1A3B8">
            <w:pPr>
              <w:widowControl/>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4004297E">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根据投标人的管理体系进行评价：</w:t>
            </w:r>
          </w:p>
          <w:p w14:paraId="30BA1740">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1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①</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具有有效的质量管理体系认证证书的得1分；</w:t>
            </w:r>
          </w:p>
          <w:p w14:paraId="632139B0">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2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②</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具有有效的环境管理体系认证证书的得1分；</w:t>
            </w:r>
          </w:p>
          <w:p w14:paraId="4E9AD9E4">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3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③</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具有有效的职业健康安全管理证书的得1分；</w:t>
            </w:r>
          </w:p>
          <w:p w14:paraId="4572A777">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4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④</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具有有效的食品安全管理体系认证证书的得1分。</w:t>
            </w:r>
          </w:p>
          <w:p w14:paraId="096293A5">
            <w:pPr>
              <w:widowControl/>
              <w:adjustRightInd w:val="0"/>
              <w:snapToGrid w:val="0"/>
              <w:spacing w:line="360" w:lineRule="auto"/>
              <w:jc w:val="left"/>
              <w:rPr>
                <w:rFonts w:ascii="宋体" w:hAnsi="宋体"/>
                <w:color w:val="auto"/>
                <w:sz w:val="24"/>
                <w:szCs w:val="24"/>
                <w:highlight w:val="none"/>
              </w:rPr>
            </w:pPr>
            <w:r>
              <w:rPr>
                <w:rFonts w:hint="eastAsia" w:ascii="宋体" w:hAnsi="宋体" w:cs="宋体"/>
                <w:snapToGrid w:val="0"/>
                <w:color w:val="auto"/>
                <w:kern w:val="0"/>
                <w:sz w:val="24"/>
                <w:szCs w:val="24"/>
                <w:highlight w:val="none"/>
              </w:rPr>
              <w:t>本项满分</w:t>
            </w:r>
            <w:r>
              <w:rPr>
                <w:rFonts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rPr>
              <w:t>分。投标人须提供有效证书复印件及全国认证认可信息公共服务平台或国家认证认可监督管理委员会网站的证书查询信息截图，否则本项不得分。</w:t>
            </w:r>
          </w:p>
        </w:tc>
      </w:tr>
      <w:tr w14:paraId="2C59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right w:val="single" w:color="auto" w:sz="4" w:space="0"/>
            </w:tcBorders>
            <w:vAlign w:val="center"/>
          </w:tcPr>
          <w:p w14:paraId="6C75B157">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42" w:type="pct"/>
            <w:vAlign w:val="center"/>
          </w:tcPr>
          <w:p w14:paraId="16121260">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1E5103CF">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4E3956AA">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根据投标人承诺</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年1月1日以来在国家市场监督管理总局关于食品安全抽查公布结果查询系统（https://spcjsac.gsxt.gov.cn/）的查询结果（按投标人名称查询）中未查询到不合格产品信息的得</w:t>
            </w:r>
            <w:r>
              <w:rPr>
                <w:rFonts w:hint="eastAsia" w:ascii="宋体" w:hAnsi="宋体"/>
                <w:color w:val="auto"/>
                <w:sz w:val="24"/>
                <w:szCs w:val="24"/>
                <w:highlight w:val="none"/>
              </w:rPr>
              <w:t>3</w:t>
            </w:r>
            <w:r>
              <w:rPr>
                <w:rFonts w:ascii="宋体" w:hAnsi="宋体"/>
                <w:color w:val="auto"/>
                <w:sz w:val="24"/>
                <w:szCs w:val="24"/>
                <w:highlight w:val="none"/>
              </w:rPr>
              <w:t>分，投标人须提供未查询到不合格产品的网页网址及承诺函（格式自拟），否则不得分。</w:t>
            </w:r>
          </w:p>
        </w:tc>
      </w:tr>
      <w:tr w14:paraId="410A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right w:val="single" w:color="auto" w:sz="4" w:space="0"/>
            </w:tcBorders>
            <w:vAlign w:val="center"/>
          </w:tcPr>
          <w:p w14:paraId="02E1C9A0">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42" w:type="pct"/>
            <w:vAlign w:val="center"/>
          </w:tcPr>
          <w:p w14:paraId="4D90A428">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345C890F">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7C9E8C69">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根据投标人自</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年1月1日（以合同签订时间为准）以来具有食材配送业绩的情况进行评价：每提供一份有效业绩证明材料的得1分，本项满分3分，未按下述要求完整提供或不满足的不得分。 投标人须同时提供以下四项有效证明文件：①该业绩的中标（成交）公告（提供相关网站中标（成交）公告的下载网页及其网址）； ②中标（成交）通知书</w:t>
            </w:r>
            <w:r>
              <w:rPr>
                <w:rFonts w:hint="eastAsia" w:ascii="宋体" w:hAnsi="宋体"/>
                <w:color w:val="auto"/>
                <w:sz w:val="24"/>
                <w:szCs w:val="24"/>
                <w:highlight w:val="none"/>
              </w:rPr>
              <w:t>复印</w:t>
            </w:r>
            <w:r>
              <w:rPr>
                <w:rFonts w:ascii="宋体" w:hAnsi="宋体"/>
                <w:color w:val="auto"/>
                <w:sz w:val="24"/>
                <w:szCs w:val="24"/>
                <w:highlight w:val="none"/>
              </w:rPr>
              <w:t>件； ③采购合同文本</w:t>
            </w:r>
            <w:r>
              <w:rPr>
                <w:rFonts w:hint="eastAsia" w:ascii="宋体" w:hAnsi="宋体"/>
                <w:color w:val="auto"/>
                <w:sz w:val="24"/>
                <w:szCs w:val="24"/>
                <w:highlight w:val="none"/>
              </w:rPr>
              <w:t>复印</w:t>
            </w:r>
            <w:r>
              <w:rPr>
                <w:rFonts w:ascii="宋体" w:hAnsi="宋体"/>
                <w:color w:val="auto"/>
                <w:sz w:val="24"/>
                <w:szCs w:val="24"/>
                <w:highlight w:val="none"/>
              </w:rPr>
              <w:t>件； ④能够证明该业绩项目已经采购人验收或考核合格（含阶段性验收或考核合格）的相关证明文件</w:t>
            </w:r>
            <w:r>
              <w:rPr>
                <w:rFonts w:hint="eastAsia" w:ascii="宋体" w:hAnsi="宋体"/>
                <w:color w:val="auto"/>
                <w:sz w:val="24"/>
                <w:szCs w:val="24"/>
                <w:highlight w:val="none"/>
              </w:rPr>
              <w:t>复印</w:t>
            </w:r>
            <w:r>
              <w:rPr>
                <w:rFonts w:ascii="宋体" w:hAnsi="宋体"/>
                <w:color w:val="auto"/>
                <w:sz w:val="24"/>
                <w:szCs w:val="24"/>
                <w:highlight w:val="none"/>
              </w:rPr>
              <w:t>件。同一项目不同阶段验收或考核只按1份计分，如未按照招标文件要求提供该</w:t>
            </w:r>
            <w:r>
              <w:rPr>
                <w:rFonts w:hint="eastAsia" w:ascii="宋体" w:hAnsi="宋体"/>
                <w:color w:val="auto"/>
                <w:sz w:val="24"/>
                <w:szCs w:val="24"/>
                <w:highlight w:val="none"/>
              </w:rPr>
              <w:t>项业绩完整资料的，评标委员会对该项业绩将不予采信。</w:t>
            </w:r>
          </w:p>
        </w:tc>
      </w:tr>
      <w:tr w14:paraId="650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right w:val="single" w:color="auto" w:sz="4" w:space="0"/>
            </w:tcBorders>
            <w:vAlign w:val="center"/>
          </w:tcPr>
          <w:p w14:paraId="2ED797BC">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42" w:type="pct"/>
            <w:vAlign w:val="center"/>
          </w:tcPr>
          <w:p w14:paraId="7A824189">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47" w:type="pct"/>
            <w:vAlign w:val="center"/>
          </w:tcPr>
          <w:p w14:paraId="2B07B66A">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3F722291">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根据投标人提供自</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年1月1日（以满意度情况出具日期为准）以来，已完成或正在履行的食材配送项目的用户满意度情况进行评价：每提供1份有效证明的得1分，本项满分</w:t>
            </w:r>
            <w:r>
              <w:rPr>
                <w:rFonts w:hint="eastAsia" w:ascii="宋体" w:hAnsi="宋体"/>
                <w:color w:val="auto"/>
                <w:sz w:val="24"/>
                <w:szCs w:val="24"/>
                <w:highlight w:val="none"/>
              </w:rPr>
              <w:t>4</w:t>
            </w:r>
            <w:r>
              <w:rPr>
                <w:rFonts w:ascii="宋体" w:hAnsi="宋体"/>
                <w:color w:val="auto"/>
                <w:sz w:val="24"/>
                <w:szCs w:val="24"/>
                <w:highlight w:val="none"/>
              </w:rPr>
              <w:t>分。投标人须同时提供业主方盖章的满意或好评情况材料（满意度情况表或评价意见书，相同业主单位出具的满意度情况材料只按1份计分）以及双方签订合同</w:t>
            </w:r>
            <w:r>
              <w:rPr>
                <w:rFonts w:hint="eastAsia" w:ascii="宋体" w:hAnsi="宋体"/>
                <w:color w:val="auto"/>
                <w:sz w:val="24"/>
                <w:szCs w:val="24"/>
                <w:highlight w:val="none"/>
              </w:rPr>
              <w:t>复印</w:t>
            </w:r>
            <w:r>
              <w:rPr>
                <w:rFonts w:ascii="宋体" w:hAnsi="宋体"/>
                <w:color w:val="auto"/>
                <w:sz w:val="24"/>
                <w:szCs w:val="24"/>
                <w:highlight w:val="none"/>
              </w:rPr>
              <w:t>件，未按上述要求完整提供或不满足不得分。（本项满意度情况评价与业绩项属于同一项目的不得重复计分）</w:t>
            </w:r>
          </w:p>
        </w:tc>
      </w:tr>
      <w:tr w14:paraId="5058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right w:val="single" w:color="auto" w:sz="4" w:space="0"/>
            </w:tcBorders>
            <w:vAlign w:val="center"/>
          </w:tcPr>
          <w:p w14:paraId="79D47BB4">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42" w:type="pct"/>
            <w:vAlign w:val="center"/>
          </w:tcPr>
          <w:p w14:paraId="0AB1CD1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7BAD8880">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29EC9F81">
            <w:pPr>
              <w:adjustRightInd w:val="0"/>
              <w:snapToGrid w:val="0"/>
              <w:spacing w:line="360" w:lineRule="auto"/>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根据</w:t>
            </w:r>
            <w:r>
              <w:rPr>
                <w:rFonts w:hint="eastAsia" w:ascii="宋体" w:hAnsi="宋体" w:cs="宋体"/>
                <w:color w:val="auto"/>
                <w:kern w:val="0"/>
                <w:sz w:val="24"/>
                <w:szCs w:val="24"/>
                <w:highlight w:val="none"/>
              </w:rPr>
              <w:t>投标人承诺为本项目购买“食品安全责任险”</w:t>
            </w:r>
            <w:r>
              <w:rPr>
                <w:rFonts w:hint="eastAsia" w:ascii="宋体" w:hAnsi="宋体" w:cs="宋体"/>
                <w:color w:val="auto"/>
                <w:kern w:val="0"/>
                <w:sz w:val="24"/>
                <w:szCs w:val="24"/>
                <w:highlight w:val="none"/>
                <w:lang w:val="en-US" w:eastAsia="zh-CN"/>
              </w:rPr>
              <w:t>情况进行评价：</w:t>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val="en-US" w:eastAsia="zh-CN"/>
              </w:rPr>
              <w:t>承诺购买的</w:t>
            </w:r>
            <w:r>
              <w:rPr>
                <w:rFonts w:hint="eastAsia" w:ascii="宋体" w:hAnsi="宋体" w:cs="宋体"/>
                <w:color w:val="auto"/>
                <w:kern w:val="0"/>
                <w:sz w:val="24"/>
                <w:szCs w:val="24"/>
                <w:highlight w:val="none"/>
              </w:rPr>
              <w:t>保险额度</w:t>
            </w:r>
            <w:r>
              <w:rPr>
                <w:rFonts w:hint="eastAsia" w:ascii="宋体" w:hAnsi="宋体" w:cs="宋体"/>
                <w:color w:val="auto"/>
                <w:kern w:val="0"/>
                <w:sz w:val="24"/>
                <w:szCs w:val="24"/>
                <w:highlight w:val="none"/>
                <w:lang w:val="en-US" w:eastAsia="zh-CN"/>
              </w:rPr>
              <w:t>≥</w:t>
            </w:r>
            <w:r>
              <w:rPr>
                <w:rFonts w:ascii="宋体" w:hAnsi="宋体" w:cs="宋体"/>
                <w:color w:val="auto"/>
                <w:kern w:val="0"/>
                <w:sz w:val="24"/>
                <w:szCs w:val="24"/>
                <w:highlight w:val="none"/>
              </w:rPr>
              <w:t>2000万元</w:t>
            </w:r>
            <w:r>
              <w:rPr>
                <w:rFonts w:hint="eastAsia" w:ascii="宋体" w:hAnsi="宋体" w:cs="宋体"/>
                <w:color w:val="auto"/>
                <w:kern w:val="0"/>
                <w:sz w:val="24"/>
                <w:szCs w:val="24"/>
                <w:highlight w:val="none"/>
                <w:lang w:val="en-US" w:eastAsia="zh-CN"/>
              </w:rPr>
              <w:t>的得2分；2000万元＞承诺购买的</w:t>
            </w:r>
            <w:r>
              <w:rPr>
                <w:rFonts w:hint="eastAsia" w:ascii="宋体" w:hAnsi="宋体" w:cs="宋体"/>
                <w:color w:val="auto"/>
                <w:kern w:val="0"/>
                <w:sz w:val="24"/>
                <w:szCs w:val="24"/>
                <w:highlight w:val="none"/>
              </w:rPr>
              <w:t>保险额度</w:t>
            </w:r>
            <w:r>
              <w:rPr>
                <w:rFonts w:hint="eastAsia" w:ascii="宋体" w:hAnsi="宋体" w:cs="宋体"/>
                <w:color w:val="auto"/>
                <w:kern w:val="0"/>
                <w:sz w:val="24"/>
                <w:szCs w:val="24"/>
                <w:highlight w:val="none"/>
                <w:lang w:val="en-US" w:eastAsia="zh-CN"/>
              </w:rPr>
              <w:t>≥1</w:t>
            </w:r>
            <w:r>
              <w:rPr>
                <w:rFonts w:ascii="宋体" w:hAnsi="宋体" w:cs="宋体"/>
                <w:color w:val="auto"/>
                <w:kern w:val="0"/>
                <w:sz w:val="24"/>
                <w:szCs w:val="24"/>
                <w:highlight w:val="none"/>
              </w:rPr>
              <w:t>000万元</w:t>
            </w:r>
            <w:r>
              <w:rPr>
                <w:rFonts w:hint="eastAsia" w:ascii="宋体" w:hAnsi="宋体" w:cs="宋体"/>
                <w:color w:val="auto"/>
                <w:kern w:val="0"/>
                <w:sz w:val="24"/>
                <w:szCs w:val="24"/>
                <w:highlight w:val="none"/>
                <w:lang w:val="en-US" w:eastAsia="zh-CN"/>
              </w:rPr>
              <w:t>的得1分；</w:t>
            </w:r>
            <w:r>
              <w:rPr>
                <w:rFonts w:ascii="宋体" w:hAnsi="宋体" w:cs="宋体"/>
                <w:color w:val="auto"/>
                <w:kern w:val="0"/>
                <w:sz w:val="24"/>
                <w:szCs w:val="24"/>
                <w:highlight w:val="none"/>
              </w:rPr>
              <w:t>②同时承诺若</w:t>
            </w:r>
            <w:r>
              <w:rPr>
                <w:rFonts w:hint="eastAsia" w:ascii="宋体" w:hAnsi="宋体" w:cs="宋体"/>
                <w:color w:val="auto"/>
                <w:kern w:val="0"/>
                <w:sz w:val="24"/>
                <w:szCs w:val="24"/>
                <w:highlight w:val="none"/>
              </w:rPr>
              <w:t>出现</w:t>
            </w:r>
            <w:r>
              <w:rPr>
                <w:rFonts w:ascii="宋体" w:hAnsi="宋体" w:cs="宋体"/>
                <w:color w:val="auto"/>
                <w:kern w:val="0"/>
                <w:sz w:val="24"/>
                <w:szCs w:val="24"/>
                <w:highlight w:val="none"/>
              </w:rPr>
              <w:t>食品安全事故，每人赔偿额度至少达到20</w:t>
            </w:r>
            <w:r>
              <w:rPr>
                <w:rFonts w:hint="eastAsia" w:ascii="宋体" w:hAnsi="宋体" w:cs="宋体"/>
                <w:color w:val="auto"/>
                <w:kern w:val="0"/>
                <w:sz w:val="24"/>
                <w:szCs w:val="24"/>
                <w:highlight w:val="none"/>
              </w:rPr>
              <w:t>万元</w:t>
            </w:r>
            <w:r>
              <w:rPr>
                <w:rFonts w:ascii="宋体" w:hAnsi="宋体" w:cs="宋体"/>
                <w:color w:val="auto"/>
                <w:kern w:val="0"/>
                <w:sz w:val="24"/>
                <w:szCs w:val="24"/>
                <w:highlight w:val="none"/>
              </w:rPr>
              <w:t>及每次事件赔偿额度至少达到100</w:t>
            </w:r>
            <w:r>
              <w:rPr>
                <w:rFonts w:hint="eastAsia" w:ascii="宋体" w:hAnsi="宋体" w:cs="宋体"/>
                <w:color w:val="auto"/>
                <w:kern w:val="0"/>
                <w:sz w:val="24"/>
                <w:szCs w:val="24"/>
                <w:highlight w:val="none"/>
              </w:rPr>
              <w:t>万元</w:t>
            </w:r>
            <w:r>
              <w:rPr>
                <w:rFonts w:ascii="宋体" w:hAnsi="宋体" w:cs="宋体"/>
                <w:color w:val="auto"/>
                <w:kern w:val="0"/>
                <w:sz w:val="24"/>
                <w:szCs w:val="24"/>
                <w:highlight w:val="none"/>
              </w:rPr>
              <w:t>的可再加1分。本项满分3分，需提供承诺函，否则不得分。</w:t>
            </w:r>
          </w:p>
        </w:tc>
      </w:tr>
      <w:tr w14:paraId="7116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Borders>
              <w:right w:val="single" w:color="auto" w:sz="4" w:space="0"/>
            </w:tcBorders>
            <w:vAlign w:val="center"/>
          </w:tcPr>
          <w:p w14:paraId="4AC722DA">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42" w:type="pct"/>
            <w:vAlign w:val="center"/>
          </w:tcPr>
          <w:p w14:paraId="2479B63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3AB21F42">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38EC030D">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投标人承诺，投标人及其分公司距本项目开标之日前五年内，未发生过食物中毒安全事故或因食品安全问题被行政处罚及公告的得3分，未承诺的不得分。</w:t>
            </w:r>
          </w:p>
        </w:tc>
      </w:tr>
      <w:bookmarkEnd w:id="47"/>
    </w:tbl>
    <w:p w14:paraId="426D5C2B">
      <w:pPr>
        <w:tabs>
          <w:tab w:val="left" w:pos="-1080"/>
          <w:tab w:val="left" w:pos="180"/>
          <w:tab w:val="left" w:pos="1080"/>
        </w:tabs>
        <w:spacing w:line="360" w:lineRule="auto"/>
        <w:rPr>
          <w:rFonts w:ascii="宋体" w:hAnsi="宋体" w:cs="宋体"/>
          <w:color w:val="auto"/>
          <w:sz w:val="24"/>
          <w:szCs w:val="24"/>
          <w:highlight w:val="none"/>
        </w:rPr>
      </w:pPr>
    </w:p>
    <w:p w14:paraId="40DDF3D9">
      <w:pPr>
        <w:tabs>
          <w:tab w:val="left" w:pos="-1080"/>
          <w:tab w:val="left" w:pos="180"/>
          <w:tab w:val="left" w:pos="1080"/>
        </w:tabs>
        <w:spacing w:line="360" w:lineRule="auto"/>
        <w:rPr>
          <w:rFonts w:ascii="宋体" w:hAnsi="宋体" w:cs="宋体"/>
          <w:color w:val="auto"/>
          <w:sz w:val="24"/>
          <w:szCs w:val="24"/>
          <w:highlight w:val="none"/>
        </w:rPr>
      </w:pPr>
    </w:p>
    <w:p w14:paraId="21BF1B7C">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（三）价格评分（F3）：按15分评分法，评标委员会对各有效标投标报价（收费比例）进行审核确定评标价，并将最低有效标的评标价设为基准价，定其价格得分为15分。按公式：价格得分＝15</w:t>
      </w:r>
      <w:r>
        <w:rPr>
          <w:rFonts w:hint="eastAsia" w:ascii="宋体" w:hAnsi="宋体" w:cs="宋体"/>
          <w:color w:val="auto"/>
          <w:sz w:val="24"/>
          <w:szCs w:val="24"/>
          <w:highlight w:val="none"/>
        </w:rPr>
        <w:sym w:font="Symbol" w:char="00B4"/>
      </w:r>
      <w:r>
        <w:rPr>
          <w:rFonts w:hint="eastAsia" w:ascii="宋体" w:hAnsi="宋体" w:cs="宋体"/>
          <w:color w:val="auto"/>
          <w:sz w:val="24"/>
          <w:szCs w:val="24"/>
          <w:highlight w:val="none"/>
        </w:rPr>
        <w:t xml:space="preserve"> （基准价/各个通过审核的有效投标人的评标价）计算，由此算出各个通过审核的有效投标人的价格得分。</w:t>
      </w:r>
    </w:p>
    <w:p w14:paraId="5B1AACFD">
      <w:pPr>
        <w:spacing w:line="360" w:lineRule="auto"/>
        <w:ind w:firstLine="480" w:firstLineChars="200"/>
        <w:rPr>
          <w:rFonts w:ascii="宋体" w:hAnsi="宋体" w:cs="宋体"/>
          <w:color w:val="auto"/>
          <w:sz w:val="24"/>
          <w:szCs w:val="24"/>
          <w:highlight w:val="none"/>
        </w:rPr>
      </w:pPr>
    </w:p>
    <w:p w14:paraId="1D6D13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备注：1、异常低价审查</w:t>
      </w:r>
    </w:p>
    <w:p w14:paraId="74D4F2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1.1政府采购评审中出现下列情形之一的，评标委员会应当启动异常低价投标审查程序：</w:t>
      </w:r>
    </w:p>
    <w:p w14:paraId="18F08F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（1）投标报价低于全部通过符合性审查投标人投标报价平均值</w:t>
      </w:r>
      <w:r>
        <w:rPr>
          <w:rFonts w:ascii="宋体" w:hAnsi="宋体" w:cs="宋体"/>
          <w:color w:val="auto"/>
          <w:sz w:val="24"/>
          <w:szCs w:val="24"/>
          <w:highlight w:val="none"/>
        </w:rPr>
        <w:t>65</w:t>
      </w:r>
      <w:r>
        <w:rPr>
          <w:rFonts w:hint="eastAsia" w:ascii="宋体" w:hAnsi="宋体" w:cs="宋体"/>
          <w:color w:val="auto"/>
          <w:sz w:val="24"/>
          <w:szCs w:val="24"/>
          <w:highlight w:val="none"/>
        </w:rPr>
        <w:t>%的，即投标报价＜全部通过符合性审查投标人投标报价平均值×</w:t>
      </w:r>
      <w:r>
        <w:rPr>
          <w:rFonts w:ascii="宋体" w:hAnsi="宋体" w:cs="宋体"/>
          <w:color w:val="auto"/>
          <w:sz w:val="24"/>
          <w:szCs w:val="24"/>
          <w:highlight w:val="none"/>
        </w:rPr>
        <w:t>65</w:t>
      </w:r>
      <w:r>
        <w:rPr>
          <w:rFonts w:hint="eastAsia" w:ascii="宋体" w:hAnsi="宋体" w:cs="宋体"/>
          <w:color w:val="auto"/>
          <w:sz w:val="24"/>
          <w:szCs w:val="24"/>
          <w:highlight w:val="none"/>
        </w:rPr>
        <w:t>%；</w:t>
      </w:r>
    </w:p>
    <w:p w14:paraId="3DE592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（2）投标报价低于通过符合性审查的次低报价投标人投标报价</w:t>
      </w:r>
      <w:r>
        <w:rPr>
          <w:rFonts w:ascii="宋体" w:hAnsi="宋体" w:cs="宋体"/>
          <w:color w:val="auto"/>
          <w:sz w:val="24"/>
          <w:szCs w:val="24"/>
          <w:highlight w:val="none"/>
        </w:rPr>
        <w:t>65</w:t>
      </w:r>
      <w:r>
        <w:rPr>
          <w:rFonts w:hint="eastAsia" w:ascii="宋体" w:hAnsi="宋体" w:cs="宋体"/>
          <w:color w:val="auto"/>
          <w:sz w:val="24"/>
          <w:szCs w:val="24"/>
          <w:highlight w:val="none"/>
        </w:rPr>
        <w:t>%的，即投标报价＜通过符合性审查的次低报价投标人投标报价×6</w:t>
      </w:r>
      <w:r>
        <w:rPr>
          <w:rFonts w:ascii="宋体" w:hAnsi="宋体" w:cs="宋体"/>
          <w:color w:val="auto"/>
          <w:sz w:val="24"/>
          <w:szCs w:val="24"/>
          <w:highlight w:val="none"/>
        </w:rPr>
        <w:t>5</w:t>
      </w:r>
      <w:r>
        <w:rPr>
          <w:rFonts w:hint="eastAsia" w:ascii="宋体" w:hAnsi="宋体" w:cs="宋体"/>
          <w:color w:val="auto"/>
          <w:sz w:val="24"/>
          <w:szCs w:val="24"/>
          <w:highlight w:val="none"/>
        </w:rPr>
        <w:t>%；</w:t>
      </w:r>
    </w:p>
    <w:p w14:paraId="136BCD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（3）投标报价低于采购项目最高限价6</w:t>
      </w:r>
      <w:r>
        <w:rPr>
          <w:rFonts w:ascii="宋体" w:hAnsi="宋体" w:cs="宋体"/>
          <w:color w:val="auto"/>
          <w:sz w:val="24"/>
          <w:szCs w:val="24"/>
          <w:highlight w:val="none"/>
        </w:rPr>
        <w:t>5</w:t>
      </w:r>
      <w:r>
        <w:rPr>
          <w:rFonts w:hint="eastAsia" w:ascii="宋体" w:hAnsi="宋体" w:cs="宋体"/>
          <w:color w:val="auto"/>
          <w:sz w:val="24"/>
          <w:szCs w:val="24"/>
          <w:highlight w:val="none"/>
        </w:rPr>
        <w:t>%的，即投标报价＜采购项目最高限价×</w:t>
      </w:r>
      <w:r>
        <w:rPr>
          <w:rFonts w:ascii="宋体" w:hAnsi="宋体" w:cs="宋体"/>
          <w:color w:val="auto"/>
          <w:sz w:val="24"/>
          <w:szCs w:val="24"/>
          <w:highlight w:val="none"/>
        </w:rPr>
        <w:t>6</w:t>
      </w:r>
      <w:r>
        <w:rPr>
          <w:rFonts w:hint="eastAsia" w:ascii="宋体" w:hAnsi="宋体" w:cs="宋体"/>
          <w:color w:val="auto"/>
          <w:sz w:val="24"/>
          <w:szCs w:val="24"/>
          <w:highlight w:val="none"/>
        </w:rPr>
        <w:t>5%；</w:t>
      </w:r>
    </w:p>
    <w:p w14:paraId="5A2504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（4）评标委员会基于专业判断，认为投标人报价过低，有可能影响产品质量或者不能诚信履约的其他情形。</w:t>
      </w:r>
    </w:p>
    <w:p w14:paraId="6474BAD3">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CFD26D0">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评标委员会依据专业经验，参考同类项目中标（成交）价格、 类似产品市场价格水平、行业人工费用标准、国家有关部门指导行业协会发布的行业平均成本等情况，对报价合理性进行判断。 投标供应商不能提供书面说明、证明材料，或者提供的书面说明、证明材料不能证明其报价合理性的，评标委员会应当将其作为无效投标处理。</w:t>
      </w:r>
    </w:p>
    <w:p w14:paraId="012B7A3D">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F3D8225">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异常低价投标审查的启动原因、审查意见和审查结果应当在评审报告中记录，并随供应商提供的相关书面说明及证明材料，以及评标委员会有关互联网浏览、查询历史一并归档。</w:t>
      </w:r>
    </w:p>
    <w:p w14:paraId="23C5841B">
      <w:pPr>
        <w:widowControl/>
        <w:spacing w:line="360" w:lineRule="auto"/>
        <w:ind w:firstLine="480" w:firstLineChars="200"/>
        <w:jc w:val="left"/>
        <w:rPr>
          <w:rFonts w:ascii="宋体" w:hAnsi="宋体" w:cs="宋体"/>
          <w:color w:val="auto"/>
          <w:sz w:val="24"/>
          <w:szCs w:val="24"/>
          <w:highlight w:val="none"/>
        </w:rPr>
      </w:pPr>
    </w:p>
    <w:p w14:paraId="47512854">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（四）综合得分= F1+ F2 + F3 。</w:t>
      </w:r>
    </w:p>
    <w:p w14:paraId="3A9CB1C2">
      <w:pPr>
        <w:spacing w:line="360" w:lineRule="auto"/>
        <w:rPr>
          <w:rFonts w:hAnsi="宋体" w:cs="宋体"/>
          <w:bCs/>
          <w:color w:val="auto"/>
          <w:sz w:val="24"/>
          <w:szCs w:val="24"/>
          <w:highlight w:val="none"/>
        </w:rPr>
      </w:pPr>
      <w:r>
        <w:rPr>
          <w:rFonts w:hint="eastAsia" w:hAnsi="宋体" w:cs="宋体"/>
          <w:bCs/>
          <w:color w:val="auto"/>
          <w:sz w:val="24"/>
          <w:szCs w:val="24"/>
          <w:highlight w:val="none"/>
        </w:rPr>
        <w:t>备注：1、技术商务评分中涉及排名情况的评分由评标委员会根据各投标人投标文件的响应情况进行综合评议得出排名。</w:t>
      </w:r>
    </w:p>
    <w:p w14:paraId="56AE64E7">
      <w:pPr>
        <w:spacing w:line="360" w:lineRule="auto"/>
        <w:rPr>
          <w:rFonts w:hAnsi="宋体" w:cs="宋体"/>
          <w:bCs/>
          <w:color w:val="auto"/>
          <w:sz w:val="24"/>
          <w:szCs w:val="24"/>
          <w:highlight w:val="none"/>
        </w:rPr>
      </w:pPr>
    </w:p>
    <w:p w14:paraId="4E672FD7">
      <w:pPr>
        <w:tabs>
          <w:tab w:val="left" w:pos="-1080"/>
          <w:tab w:val="left" w:pos="180"/>
          <w:tab w:val="left" w:pos="1080"/>
        </w:tabs>
        <w:spacing w:line="360" w:lineRule="auto"/>
        <w:outlineLvl w:val="2"/>
        <w:rPr>
          <w:rFonts w:ascii="宋体" w:hAnsi="宋体" w:cs="宋体"/>
          <w:color w:val="auto"/>
          <w:sz w:val="24"/>
          <w:szCs w:val="24"/>
          <w:highlight w:val="none"/>
        </w:rPr>
      </w:pPr>
      <w:bookmarkStart w:id="48" w:name="_Toc32585"/>
      <w:r>
        <w:rPr>
          <w:rFonts w:hint="eastAsia" w:ascii="宋体" w:hAnsi="宋体" w:cs="宋体"/>
          <w:color w:val="auto"/>
          <w:sz w:val="24"/>
          <w:szCs w:val="24"/>
          <w:highlight w:val="none"/>
        </w:rPr>
        <w:t>合同包三：</w:t>
      </w:r>
      <w:bookmarkEnd w:id="48"/>
    </w:p>
    <w:p w14:paraId="3BD239D0">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（一）技术评分（F1）：按65分评分法，技术评分考虑下列因素：</w:t>
      </w:r>
    </w:p>
    <w:tbl>
      <w:tblPr>
        <w:tblStyle w:val="22"/>
        <w:tblW w:w="5327"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50"/>
        <w:gridCol w:w="990"/>
        <w:gridCol w:w="6663"/>
      </w:tblGrid>
      <w:tr w14:paraId="3F2D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69" w:type="pct"/>
            <w:tcBorders>
              <w:right w:val="single" w:color="auto" w:sz="4" w:space="0"/>
            </w:tcBorders>
            <w:vAlign w:val="center"/>
          </w:tcPr>
          <w:p w14:paraId="5A41F14B">
            <w:pPr>
              <w:widowControl/>
              <w:spacing w:before="60" w:beforeLines="25" w:after="60" w:afterLines="25" w:line="360" w:lineRule="auto"/>
              <w:ind w:left="-42" w:leftChars="-20" w:right="-80" w:rightChars="-38"/>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13" w:type="pct"/>
            <w:vAlign w:val="center"/>
          </w:tcPr>
          <w:p w14:paraId="54565A85">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评标分值</w:t>
            </w:r>
          </w:p>
        </w:tc>
        <w:tc>
          <w:tcPr>
            <w:tcW w:w="546" w:type="pct"/>
            <w:vAlign w:val="center"/>
          </w:tcPr>
          <w:p w14:paraId="5C2DC1CB">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是否客观项</w:t>
            </w:r>
          </w:p>
        </w:tc>
        <w:tc>
          <w:tcPr>
            <w:tcW w:w="3672" w:type="pct"/>
            <w:vAlign w:val="center"/>
          </w:tcPr>
          <w:p w14:paraId="1FF6E1FD">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评标方法描述</w:t>
            </w:r>
          </w:p>
        </w:tc>
      </w:tr>
      <w:tr w14:paraId="6966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45D88AA0">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077ECB65">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001BED97">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468EDDB7">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根据投标人提供的</w:t>
            </w:r>
            <w:r>
              <w:rPr>
                <w:rFonts w:hint="eastAsia" w:ascii="宋体" w:hAnsi="宋体" w:cs="宋体"/>
                <w:b/>
                <w:snapToGrid w:val="0"/>
                <w:color w:val="auto"/>
                <w:sz w:val="24"/>
                <w:szCs w:val="24"/>
                <w:highlight w:val="none"/>
              </w:rPr>
              <w:t>总体配送服务方案</w:t>
            </w:r>
            <w:r>
              <w:rPr>
                <w:rFonts w:hint="eastAsia" w:ascii="宋体" w:hAnsi="宋体" w:cs="宋体"/>
                <w:snapToGrid w:val="0"/>
                <w:color w:val="auto"/>
                <w:sz w:val="24"/>
                <w:szCs w:val="24"/>
                <w:highlight w:val="none"/>
              </w:rPr>
              <w:t>进行评审：①有提供配送服务方案，能满足本项目需要的得1.5分；②在满足①的基础上，针对本项目特点制定具体生产或采购流程、配送流程、明确配送时效，配送时效满足采购人实际需求，有利于项目顺利实施的得3分；③未提供或不满足以上情况的不得分。</w:t>
            </w:r>
          </w:p>
        </w:tc>
      </w:tr>
      <w:tr w14:paraId="6D9D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69" w:type="pct"/>
            <w:tcBorders>
              <w:right w:val="single" w:color="auto" w:sz="4" w:space="0"/>
            </w:tcBorders>
            <w:vAlign w:val="center"/>
          </w:tcPr>
          <w:p w14:paraId="22FEB9EC">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0A15B839">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3E02E0C2">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221468C0">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根据投标人提供的</w:t>
            </w:r>
            <w:r>
              <w:rPr>
                <w:rFonts w:hint="eastAsia" w:ascii="宋体" w:hAnsi="宋体" w:cs="宋体"/>
                <w:b/>
                <w:snapToGrid w:val="0"/>
                <w:color w:val="auto"/>
                <w:sz w:val="24"/>
                <w:szCs w:val="24"/>
                <w:highlight w:val="none"/>
              </w:rPr>
              <w:t>食品卫生安全管理措施</w:t>
            </w:r>
            <w:r>
              <w:rPr>
                <w:rFonts w:hint="eastAsia" w:ascii="宋体" w:hAnsi="宋体" w:cs="宋体"/>
                <w:snapToGrid w:val="0"/>
                <w:color w:val="auto"/>
                <w:sz w:val="24"/>
                <w:szCs w:val="24"/>
                <w:highlight w:val="none"/>
              </w:rPr>
              <w:t>进行评价：①有提供管理措施，能满足本项目需要的得1.5分；②在满足①的基础上，针对本项目特点制定具体环境卫生管理、虫鼠害控制、清洗消毒、产品接触面的清洁卫生管理等，管理措施完整、切合实际，阐述详细清晰、合理可行、要点突出，有利于项目顺利实施的得3分；③未提供或不满足以上情况的不得分。</w:t>
            </w:r>
          </w:p>
        </w:tc>
      </w:tr>
      <w:tr w14:paraId="4E3F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1B0B3F62">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5E50068D">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514AEE00">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7C9E56B2">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根据投标人为本项目制定的</w:t>
            </w:r>
            <w:r>
              <w:rPr>
                <w:rFonts w:hint="eastAsia" w:ascii="宋体" w:hAnsi="宋体" w:cs="宋体"/>
                <w:b/>
                <w:snapToGrid w:val="0"/>
                <w:color w:val="auto"/>
                <w:sz w:val="24"/>
                <w:szCs w:val="24"/>
                <w:highlight w:val="none"/>
              </w:rPr>
              <w:t>食品安全质量保障措施</w:t>
            </w:r>
            <w:r>
              <w:rPr>
                <w:rFonts w:hint="eastAsia" w:ascii="宋体" w:hAnsi="宋体" w:cs="宋体"/>
                <w:snapToGrid w:val="0"/>
                <w:color w:val="auto"/>
                <w:sz w:val="24"/>
                <w:szCs w:val="24"/>
                <w:highlight w:val="none"/>
              </w:rPr>
              <w:t>进行评价：①有提供质量保障措施，能满足本项目需要的得1.5分；②在满足①的基础上，详细提出食品安全检验、包装、运输等供货系统各环节的质量保证及安全保证措施，对服务过程中的以上关键节点有具体质量控制措施，且措施的完整性、合理性、可操作性强，有利于项目顺利实施的得3分；③未提供或不满足以上情况的不得分。</w:t>
            </w:r>
          </w:p>
        </w:tc>
      </w:tr>
      <w:tr w14:paraId="2904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4EDB375F">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52E19F62">
            <w:pPr>
              <w:widowControl/>
              <w:spacing w:before="60" w:beforeLines="25" w:after="60" w:afterLines="25"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53BEB6CA">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78F5A821">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w:t>
            </w:r>
            <w:r>
              <w:rPr>
                <w:rFonts w:hint="eastAsia" w:ascii="宋体" w:hAnsi="宋体" w:cs="宋体"/>
                <w:b/>
                <w:snapToGrid w:val="0"/>
                <w:color w:val="auto"/>
                <w:sz w:val="24"/>
                <w:szCs w:val="24"/>
                <w:highlight w:val="none"/>
              </w:rPr>
              <w:t>日常服务记录档案、检验检疫凭证、特别情况记录、单据等档案管理方案</w:t>
            </w:r>
            <w:r>
              <w:rPr>
                <w:rFonts w:hint="eastAsia" w:ascii="宋体" w:hAnsi="宋体" w:cs="宋体"/>
                <w:snapToGrid w:val="0"/>
                <w:color w:val="auto"/>
                <w:sz w:val="24"/>
                <w:szCs w:val="24"/>
                <w:highlight w:val="none"/>
              </w:rPr>
              <w:t>进行评价：①有提供管理方案，能满足本项目需要的得1分；②在满足①的基础上，针对本项目特点明确具体档案管理人员、制定档案管理制度（包含但不限于借阅制度、移交制度、复制制度等），管理制度内容清晰、人员岗位责任明确，有利于项目顺利实施的得</w:t>
            </w:r>
            <w:r>
              <w:rPr>
                <w:rFonts w:hint="eastAsia" w:ascii="宋体" w:hAnsi="宋体" w:cs="宋体"/>
                <w:snapToGrid w:val="0"/>
                <w:color w:val="auto"/>
                <w:sz w:val="24"/>
                <w:szCs w:val="24"/>
                <w:highlight w:val="none"/>
                <w:lang w:val="en-US" w:eastAsia="zh-CN"/>
              </w:rPr>
              <w:t>2</w:t>
            </w:r>
            <w:r>
              <w:rPr>
                <w:rFonts w:hint="eastAsia" w:ascii="宋体" w:hAnsi="宋体" w:cs="宋体"/>
                <w:snapToGrid w:val="0"/>
                <w:color w:val="auto"/>
                <w:sz w:val="24"/>
                <w:szCs w:val="24"/>
                <w:highlight w:val="none"/>
              </w:rPr>
              <w:t>分；③未提供或不满足以上情况的不得分。</w:t>
            </w:r>
          </w:p>
        </w:tc>
      </w:tr>
      <w:tr w14:paraId="51D6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0082AFC0">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02CE68A8">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63467B24">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66EED435">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w:t>
            </w:r>
            <w:r>
              <w:rPr>
                <w:rFonts w:hint="eastAsia" w:ascii="宋体" w:hAnsi="宋体" w:cs="宋体"/>
                <w:b/>
                <w:snapToGrid w:val="0"/>
                <w:color w:val="auto"/>
                <w:sz w:val="24"/>
                <w:szCs w:val="24"/>
                <w:highlight w:val="none"/>
              </w:rPr>
              <w:t>针对</w:t>
            </w:r>
            <w:r>
              <w:rPr>
                <w:rFonts w:hint="eastAsia" w:ascii="宋体" w:hAnsi="宋体" w:cs="宋体"/>
                <w:b/>
                <w:snapToGrid w:val="0"/>
                <w:color w:val="auto"/>
                <w:sz w:val="24"/>
                <w:szCs w:val="24"/>
                <w:highlight w:val="none"/>
                <w:lang w:eastAsia="zh-CN"/>
              </w:rPr>
              <w:t>采购人</w:t>
            </w:r>
            <w:r>
              <w:rPr>
                <w:rFonts w:hint="eastAsia" w:ascii="宋体" w:hAnsi="宋体" w:cs="宋体"/>
                <w:b/>
                <w:snapToGrid w:val="0"/>
                <w:color w:val="auto"/>
                <w:sz w:val="24"/>
                <w:szCs w:val="24"/>
                <w:highlight w:val="none"/>
              </w:rPr>
              <w:t>紧急追加货物、出现不合格品、不满足采购人使用需求产品的退换预案</w:t>
            </w:r>
            <w:r>
              <w:rPr>
                <w:rFonts w:hint="eastAsia" w:ascii="宋体" w:hAnsi="宋体" w:cs="宋体"/>
                <w:snapToGrid w:val="0"/>
                <w:color w:val="auto"/>
                <w:sz w:val="24"/>
                <w:szCs w:val="24"/>
                <w:highlight w:val="none"/>
              </w:rPr>
              <w:t>进行综合评价：①有提供相应方案，能满足本项目需要的得1.5分；②在满足①的基础上，针对本项目特点制定具体紧急追加货物的应对措施、不合格产品的退换预案、紧急供货配送流程、应急配送程序、货源不足应急方案、人员应急方案、车辆应急方案等，方案完整、切合实际，阐述详细清晰、合理可行、要点突出，有利于项目顺利实施的得3分；③未提供或不满足以上情况的不得分。</w:t>
            </w:r>
          </w:p>
        </w:tc>
      </w:tr>
      <w:tr w14:paraId="5422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7BBED115">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7E38C435">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7C2F4E68">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tcPr>
          <w:p w14:paraId="0659A63B">
            <w:pPr>
              <w:widowControl/>
              <w:spacing w:before="60" w:beforeLines="25" w:after="60" w:afterLines="25" w:line="360" w:lineRule="auto"/>
              <w:jc w:val="lef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根据投标人提供的</w:t>
            </w:r>
            <w:r>
              <w:rPr>
                <w:rFonts w:hint="eastAsia" w:ascii="宋体" w:hAnsi="宋体" w:cs="宋体"/>
                <w:b/>
                <w:snapToGrid w:val="0"/>
                <w:color w:val="auto"/>
                <w:sz w:val="24"/>
                <w:szCs w:val="24"/>
                <w:highlight w:val="none"/>
              </w:rPr>
              <w:t>备用方案</w:t>
            </w:r>
            <w:r>
              <w:rPr>
                <w:rFonts w:hint="eastAsia" w:ascii="宋体" w:hAnsi="宋体" w:cs="宋体"/>
                <w:snapToGrid w:val="0"/>
                <w:color w:val="auto"/>
                <w:sz w:val="24"/>
                <w:szCs w:val="24"/>
                <w:highlight w:val="none"/>
              </w:rPr>
              <w:t>进行评价（投标人接到采购人订单后应仔细核对货源情况，对无法按时供应的商品必须第一时间通知采购人并提供备用方案）：①有提出备用方案，满足应急需要的得1.5分；②在满足①的基础上，能及时采购缺漏商品或能提供经采购人同意的同等替代商品，紧急情况下能减少中间环节的得3分；③未提供或不满足以上情况的不得分。</w:t>
            </w:r>
          </w:p>
        </w:tc>
      </w:tr>
      <w:tr w14:paraId="348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44BBA532">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0CFDC5B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54848A64">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vAlign w:val="center"/>
          </w:tcPr>
          <w:p w14:paraId="0014AA1A">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根据投标人针对所提供</w:t>
            </w:r>
            <w:r>
              <w:rPr>
                <w:rFonts w:hint="eastAsia" w:ascii="宋体" w:hAnsi="宋体" w:cs="宋体"/>
                <w:b/>
                <w:color w:val="auto"/>
                <w:kern w:val="0"/>
                <w:sz w:val="24"/>
                <w:szCs w:val="24"/>
                <w:highlight w:val="none"/>
              </w:rPr>
              <w:t>食品的中毒事件及食品安全问题的预应急处理方案</w:t>
            </w:r>
            <w:r>
              <w:rPr>
                <w:rFonts w:hint="eastAsia" w:ascii="宋体" w:hAnsi="宋体" w:cs="宋体"/>
                <w:color w:val="auto"/>
                <w:kern w:val="0"/>
                <w:sz w:val="24"/>
                <w:szCs w:val="24"/>
                <w:highlight w:val="none"/>
              </w:rPr>
              <w:t>进行评价：①有提出应急方案，满足应急需要的得1.5分；②在满足①的基础上，针对本项目特点制定详细的食品中毒紧急处理措施、食品安全事故应急预案、食品召回、退市制度，响应时间迅速，明确岗位责任，确保第一时间妥善处理，有利于项目顺利实施的得3分；③未提供或不满足以上情况的不得分。</w:t>
            </w:r>
          </w:p>
        </w:tc>
      </w:tr>
      <w:tr w14:paraId="4800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166F06FA">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6907D2EC">
            <w:pPr>
              <w:widowControl/>
              <w:spacing w:before="60" w:beforeLines="25" w:after="60" w:afterLines="25"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53ED0EE8">
            <w:pPr>
              <w:widowControl/>
              <w:spacing w:before="60" w:beforeLines="25" w:after="60" w:afterLines="25"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否</w:t>
            </w:r>
          </w:p>
        </w:tc>
        <w:tc>
          <w:tcPr>
            <w:tcW w:w="3672" w:type="pct"/>
            <w:tcBorders>
              <w:top w:val="single" w:color="auto" w:sz="4" w:space="0"/>
              <w:left w:val="single" w:color="auto" w:sz="4" w:space="0"/>
              <w:bottom w:val="single" w:color="auto" w:sz="4" w:space="0"/>
              <w:right w:val="single" w:color="auto" w:sz="4" w:space="0"/>
            </w:tcBorders>
            <w:vAlign w:val="center"/>
          </w:tcPr>
          <w:p w14:paraId="1B012805">
            <w:pPr>
              <w:widowControl/>
              <w:spacing w:line="360" w:lineRule="auto"/>
              <w:rPr>
                <w:rFonts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根据投标人为本项目制定的</w:t>
            </w:r>
            <w:r>
              <w:rPr>
                <w:rFonts w:hint="eastAsia" w:asciiTheme="minorEastAsia" w:hAnsiTheme="minorEastAsia" w:eastAsiaTheme="minorEastAsia" w:cstheme="minorEastAsia"/>
                <w:b/>
                <w:bCs/>
                <w:color w:val="auto"/>
                <w:kern w:val="0"/>
                <w:sz w:val="24"/>
                <w:szCs w:val="24"/>
                <w:highlight w:val="none"/>
              </w:rPr>
              <w:t>临时任务、节假日、考评检查、重要或大型活动、防洪抗台突发事件的特殊保障方案</w:t>
            </w:r>
            <w:r>
              <w:rPr>
                <w:rFonts w:hint="eastAsia" w:asciiTheme="minorEastAsia" w:hAnsiTheme="minorEastAsia" w:eastAsiaTheme="minorEastAsia" w:cstheme="minorEastAsia"/>
                <w:color w:val="auto"/>
                <w:kern w:val="0"/>
                <w:sz w:val="24"/>
                <w:szCs w:val="24"/>
                <w:highlight w:val="none"/>
              </w:rPr>
              <w:t>进行评价： ①有提供应急处理方案，方案包含但不限于应急供应时限、储备种类数量、应急保障措施、人力物力投入安排等内容，符合项目需求的得1分； ②在满足①的基础上，针对本项目特点制定食品配送临时应急补货的响应时限和保障措施、补货流程、补换货程序、货源不足应急方案、人员应急方案、车辆应急方案、抢险救灾和自然灾害等特殊时期处置预案等，各部分内容完整、切合实际、要点突出，确保食品不间断供应的、有利于项目顺利实施的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 ③未提供相关方案阐述或方案阐述内容不符合上述标准的不得分。</w:t>
            </w:r>
          </w:p>
        </w:tc>
      </w:tr>
      <w:tr w14:paraId="4C84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2FDD3660">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61C4B597">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31EB22C4">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059A9FDF">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提供的蔬菜货源情况进行评价：蔬菜属于自产或经营合作的，须提供生产基地照片、基地产权证明或租赁合同的复印件，经营合作的需提供合作协议或相关证明材料复印件；蔬菜属于外购的，须提供投标人与货源方签订的采购合同或供货协议证明及往来发票（应体现食材名称，发票购买方名称需与投标人一致）复印件。完整提供上述证明材料复印件的得3分，否则不得分。</w:t>
            </w:r>
          </w:p>
        </w:tc>
      </w:tr>
      <w:tr w14:paraId="3EDC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7CE0FA9A">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6B5AB3BF">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711BEDCC">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4A3CA79D">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提供的水果货源情况进行评价：水果属于自产或经营合作的，须提供生产基地照片、基地产权证明或租赁合同的复印件，经营合作的需提供合作协议或相关证明材料复印件；水果属于外购的，须提供投标人与货源方签订的采购合同或供货协议证明及往来发票（应体现食材名称，发票购买方名称需与投标人一致）复印件。完整提供上述证明材料复印件的得3分，否则不得分。</w:t>
            </w:r>
          </w:p>
        </w:tc>
      </w:tr>
      <w:tr w14:paraId="4719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1B8782D1">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5288E2B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2F38B95D">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0A08E4AC">
            <w:pPr>
              <w:widowControl/>
              <w:spacing w:line="360" w:lineRule="auto"/>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投标人能为本项目配备食品检验室且配备保障食材安全检测仪器（检测内容至少包括①农药残留检测、②食品重金属检测、③甲醛等非法添加物检测）的得3分。</w:t>
            </w:r>
          </w:p>
          <w:p w14:paraId="2A2D6FC0">
            <w:pPr>
              <w:widowControl/>
              <w:spacing w:line="360" w:lineRule="auto"/>
              <w:rPr>
                <w:rFonts w:ascii="宋体" w:hAnsi="宋体" w:cs="宋体"/>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投标人须同时提供：①以下二选一：a.检验室自有的，须提供产权证</w:t>
            </w:r>
            <w:r>
              <w:rPr>
                <w:rFonts w:hint="eastAsia" w:ascii="宋体" w:hAnsi="宋体" w:cs="宋体"/>
                <w:color w:val="auto"/>
                <w:sz w:val="24"/>
                <w:szCs w:val="24"/>
                <w:highlight w:val="none"/>
              </w:rPr>
              <w:t>复印</w:t>
            </w:r>
            <w:r>
              <w:rPr>
                <w:rFonts w:hint="eastAsia" w:asciiTheme="minorEastAsia" w:hAnsiTheme="minorEastAsia" w:eastAsiaTheme="minorEastAsia" w:cstheme="minorEastAsia"/>
                <w:color w:val="auto"/>
                <w:kern w:val="0"/>
                <w:sz w:val="24"/>
                <w:szCs w:val="24"/>
                <w:highlight w:val="none"/>
              </w:rPr>
              <w:t>件或提供拥有使用权的相关证明材料；b.与第三方合作委托的，提供委托合同</w:t>
            </w:r>
            <w:r>
              <w:rPr>
                <w:rFonts w:hint="eastAsia" w:ascii="宋体" w:hAnsi="宋体" w:cs="宋体"/>
                <w:color w:val="auto"/>
                <w:sz w:val="24"/>
                <w:szCs w:val="24"/>
                <w:highlight w:val="none"/>
              </w:rPr>
              <w:t>复印</w:t>
            </w:r>
            <w:r>
              <w:rPr>
                <w:rFonts w:hint="eastAsia" w:asciiTheme="minorEastAsia" w:hAnsiTheme="minorEastAsia" w:eastAsiaTheme="minorEastAsia" w:cstheme="minorEastAsia"/>
                <w:color w:val="auto"/>
                <w:kern w:val="0"/>
                <w:sz w:val="24"/>
                <w:szCs w:val="24"/>
                <w:highlight w:val="none"/>
              </w:rPr>
              <w:t>件（投标时委托合同仍处于合同期内）及产权证</w:t>
            </w:r>
            <w:r>
              <w:rPr>
                <w:rFonts w:hint="eastAsia" w:ascii="宋体" w:hAnsi="宋体" w:cs="宋体"/>
                <w:color w:val="auto"/>
                <w:sz w:val="24"/>
                <w:szCs w:val="24"/>
                <w:highlight w:val="none"/>
              </w:rPr>
              <w:t>复印</w:t>
            </w:r>
            <w:r>
              <w:rPr>
                <w:rFonts w:hint="eastAsia" w:asciiTheme="minorEastAsia" w:hAnsiTheme="minorEastAsia" w:eastAsiaTheme="minorEastAsia" w:cstheme="minorEastAsia"/>
                <w:color w:val="auto"/>
                <w:kern w:val="0"/>
                <w:sz w:val="24"/>
                <w:szCs w:val="24"/>
                <w:highlight w:val="none"/>
              </w:rPr>
              <w:t>件或提供拥有使用权的相关证明材料、近六个月内任意一个月（不含投标截止当月）的租赁费用发票</w:t>
            </w:r>
            <w:r>
              <w:rPr>
                <w:rFonts w:hint="eastAsia" w:asciiTheme="minorEastAsia" w:hAnsiTheme="minorEastAsia" w:eastAsiaTheme="minorEastAsia" w:cstheme="minorEastAsia"/>
                <w:color w:val="auto"/>
                <w:kern w:val="0"/>
                <w:sz w:val="24"/>
                <w:szCs w:val="24"/>
                <w:highlight w:val="none"/>
                <w:lang w:val="en-US" w:eastAsia="zh-CN"/>
              </w:rPr>
              <w:t>复印件</w:t>
            </w:r>
            <w:r>
              <w:rPr>
                <w:rFonts w:hint="eastAsia" w:asciiTheme="minorEastAsia" w:hAnsiTheme="minorEastAsia" w:eastAsiaTheme="minorEastAsia" w:cstheme="minorEastAsia"/>
                <w:color w:val="auto"/>
                <w:kern w:val="0"/>
                <w:sz w:val="24"/>
                <w:szCs w:val="24"/>
                <w:highlight w:val="none"/>
              </w:rPr>
              <w:t>（发票购买方名称须与投标人一致）；②食品检验室相关设备现场实景照片，需要拍摄多角度体现检测室全貌（至少3张）并注明食品检验室地址。③仪器图片、仪器功能说明书和购买发票有效</w:t>
            </w:r>
            <w:r>
              <w:rPr>
                <w:rFonts w:hint="eastAsia" w:ascii="宋体" w:hAnsi="宋体" w:cs="宋体"/>
                <w:color w:val="auto"/>
                <w:sz w:val="24"/>
                <w:szCs w:val="24"/>
                <w:highlight w:val="none"/>
              </w:rPr>
              <w:t>复印</w:t>
            </w:r>
            <w:r>
              <w:rPr>
                <w:rFonts w:hint="eastAsia" w:asciiTheme="minorEastAsia" w:hAnsiTheme="minorEastAsia" w:eastAsiaTheme="minorEastAsia" w:cstheme="minorEastAsia"/>
                <w:color w:val="auto"/>
                <w:kern w:val="0"/>
                <w:sz w:val="24"/>
                <w:szCs w:val="24"/>
                <w:highlight w:val="none"/>
              </w:rPr>
              <w:t>件（发票应体现仪器名称，发票购买方名称应与投标人一致），否则不得分。</w:t>
            </w:r>
          </w:p>
        </w:tc>
      </w:tr>
      <w:tr w14:paraId="14A7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073DCBDF">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2D3E309A">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5A84B400">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04989A3D">
            <w:pPr>
              <w:widowControl/>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rPr>
              <w:t>投标人有划分蔬菜、水果保鲜区</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分拣区、净菜加工区、食品检验等功能区域的得3分，投标人须提供下列材料：①场所若为租赁的，须提供租赁合同（合同期限至少覆盖本项目期限）及租赁发票</w:t>
            </w:r>
            <w:r>
              <w:rPr>
                <w:rFonts w:hint="eastAsia" w:ascii="宋体" w:hAnsi="宋体" w:cs="宋体"/>
                <w:color w:val="auto"/>
                <w:sz w:val="24"/>
                <w:szCs w:val="24"/>
                <w:highlight w:val="none"/>
              </w:rPr>
              <w:t>复印</w:t>
            </w:r>
            <w:r>
              <w:rPr>
                <w:rFonts w:ascii="宋体" w:hAnsi="宋体" w:cs="宋体"/>
                <w:color w:val="auto"/>
                <w:kern w:val="0"/>
                <w:sz w:val="24"/>
                <w:szCs w:val="24"/>
                <w:highlight w:val="none"/>
              </w:rPr>
              <w:t>件；场所若为自有产权的，须提供产权证明材料</w:t>
            </w:r>
            <w:r>
              <w:rPr>
                <w:rFonts w:hint="eastAsia" w:ascii="宋体" w:hAnsi="宋体" w:cs="宋体"/>
                <w:color w:val="auto"/>
                <w:sz w:val="24"/>
                <w:szCs w:val="24"/>
                <w:highlight w:val="none"/>
              </w:rPr>
              <w:t>复印</w:t>
            </w:r>
            <w:r>
              <w:rPr>
                <w:rFonts w:ascii="宋体" w:hAnsi="宋体" w:cs="宋体"/>
                <w:color w:val="auto"/>
                <w:kern w:val="0"/>
                <w:sz w:val="24"/>
                <w:szCs w:val="24"/>
                <w:highlight w:val="none"/>
              </w:rPr>
              <w:t>件；②各区域图片并注明具体功能；未按上述要求提供证明材料或区域划分不符合项目需求的不得分。</w:t>
            </w:r>
          </w:p>
        </w:tc>
      </w:tr>
      <w:tr w14:paraId="0C66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27102D54">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6FCCB95E">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62E0644A">
            <w:pPr>
              <w:widowControl/>
              <w:spacing w:before="60" w:beforeLines="25" w:after="60" w:afterLines="25" w:line="360" w:lineRule="auto"/>
              <w:jc w:val="center"/>
              <w:rPr>
                <w:rFonts w:ascii="宋体" w:hAnsi="宋体" w:cs="宋体"/>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19776754">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投标人配备有冷藏库及冷冻库的得3分。自有的需提供产权证</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kern w:val="0"/>
                <w:sz w:val="24"/>
                <w:szCs w:val="24"/>
                <w:highlight w:val="none"/>
              </w:rPr>
              <w:t>件，租赁的需提供租赁合同及产权证</w:t>
            </w:r>
            <w:r>
              <w:rPr>
                <w:rFonts w:hint="eastAsia" w:ascii="宋体" w:hAnsi="宋体" w:cs="宋体"/>
                <w:color w:val="auto"/>
                <w:sz w:val="24"/>
                <w:szCs w:val="24"/>
                <w:highlight w:val="none"/>
              </w:rPr>
              <w:t>复印</w:t>
            </w:r>
            <w:r>
              <w:rPr>
                <w:rFonts w:hint="eastAsia" w:ascii="宋体" w:hAnsi="宋体" w:cs="宋体"/>
                <w:color w:val="auto"/>
                <w:kern w:val="0"/>
                <w:sz w:val="24"/>
                <w:szCs w:val="24"/>
                <w:highlight w:val="none"/>
              </w:rPr>
              <w:t>件，或提供拥有使用权的相关证明材料，否则不得分。</w:t>
            </w:r>
          </w:p>
        </w:tc>
      </w:tr>
      <w:tr w14:paraId="7D1F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4730E9FC">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68D32A17">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5FE797CD">
            <w:pPr>
              <w:widowControl/>
              <w:spacing w:before="60" w:beforeLines="25" w:after="60" w:afterLines="25" w:line="360" w:lineRule="auto"/>
              <w:jc w:val="center"/>
              <w:rPr>
                <w:rFonts w:ascii="宋体" w:hAnsi="宋体" w:cs="宋体"/>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43BB7B37">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根据投标人拟为本项目配备的食材配送车辆（不含冷藏车）进行评价：每配备一辆食材配送车（车辆类型为轻型厢式货车）得1.5分，满分3分。 注：同时提供①机动车登记证书复印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；②有效期内的车辆行驶证复印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；③能够体现车牌号的车辆照片；④车辆的使用权证明（以下二选一即可）：a.车辆自购的提供车辆购买发票复印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（关键信息与车辆行驶证上信息一致，发票购买方名称须与投标人一致）；b.车辆租赁的须提供租赁合同及近3个月任意一个月租赁费用发票复印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（发票购买方名称须与投标人一致，投标时租赁合同仍处于有效期内）。否则不得分。</w:t>
            </w:r>
          </w:p>
        </w:tc>
      </w:tr>
      <w:tr w14:paraId="2D6F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43EAA60E">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52B50D6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626D18EE">
            <w:pPr>
              <w:widowControl/>
              <w:spacing w:before="60" w:beforeLines="25" w:after="60" w:afterLines="25" w:line="360" w:lineRule="auto"/>
              <w:jc w:val="center"/>
              <w:rPr>
                <w:rFonts w:ascii="宋体" w:hAnsi="宋体" w:cs="宋体"/>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2FFD9D33">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根据投标人配备的冷藏车（车辆类型为轻型厢式货车）的情况进行评价：每配备一辆食材配送冷藏车得1.5分，满分3分。 注：同时提供①机动车登记证书复印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；②有效期内的车辆行驶证复印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；③能够体现车牌号的车辆照片；④车辆冷藏功能制冷装置照片；⑤车辆的使用权证明（以下二选一即可）：a.车辆自购的提供车辆购买发票复印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（关键信息与车辆行驶证上信息一致，发票购买方名称须与投标人一致）；b.车辆租赁的须提供租赁合同及近3个月任意一个月租赁费用发票复印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（发票购买方名称须与投标人一致，投标时租赁合同仍处于有效期内）。否则不得分。</w:t>
            </w:r>
          </w:p>
        </w:tc>
      </w:tr>
      <w:tr w14:paraId="248B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24F92158">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0C6E4B1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33B0A873">
            <w:pPr>
              <w:widowControl/>
              <w:spacing w:before="60" w:beforeLines="25" w:after="60" w:afterLines="25" w:line="360" w:lineRule="auto"/>
              <w:jc w:val="center"/>
              <w:rPr>
                <w:rFonts w:ascii="宋体" w:hAnsi="宋体" w:cs="宋体"/>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752C1575">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根据投标人具备食品仓储、运输车辆、运输用具消杀证明情况进行评价：投标人与消杀企业签订的有效期内的消杀服务合同及发票（发票购买方名称需与投标人一致）复印件、消杀公司营业执照复印件的得3分，未按上述要求完整提供证明材料或不满足的不得分。</w:t>
            </w:r>
          </w:p>
        </w:tc>
      </w:tr>
      <w:tr w14:paraId="75F2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5BCDBD86">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21F7325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2E6B6F33">
            <w:pPr>
              <w:widowControl/>
              <w:spacing w:before="60" w:beforeLines="25" w:after="60" w:afterLines="25" w:line="360" w:lineRule="auto"/>
              <w:jc w:val="center"/>
              <w:rPr>
                <w:rFonts w:ascii="宋体" w:hAnsi="宋体" w:cs="宋体"/>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76ADD2AE">
            <w:pPr>
              <w:widowControl/>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投标人为本项目配备的人员中具有高级农产品食品检验员的，每提供1个得1分，满分3分。注：同时提供①高级农产品食品检验员证书复印件；②人员健康证复印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③磋商截止日（不含投标截止时间的当月）前六个月内任一个月供应商为其缴交的社保缴纳证明。享受社保减免政策或因疫情影响享受缓缴或免缴社保的企业，提供依法缴纳社会保障资金承诺书原件（格式自拟），该承诺书视同社会保险凭据，若为退休人员，则提供该人员退休证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以及返聘合同复印</w:t>
            </w:r>
            <w:r>
              <w:rPr>
                <w:rFonts w:hint="eastAsia" w:ascii="宋体" w:hAnsi="宋体" w:cs="宋体"/>
                <w:color w:val="auto"/>
                <w:kern w:val="0"/>
                <w:sz w:val="24"/>
                <w:szCs w:val="24"/>
                <w:highlight w:val="none"/>
              </w:rPr>
              <w:t>件</w:t>
            </w:r>
            <w:r>
              <w:rPr>
                <w:rFonts w:hint="eastAsia" w:ascii="宋体" w:hAnsi="宋体" w:cs="宋体"/>
                <w:color w:val="auto"/>
                <w:sz w:val="24"/>
                <w:szCs w:val="24"/>
                <w:highlight w:val="none"/>
              </w:rPr>
              <w:t>。否则不得分。</w:t>
            </w:r>
          </w:p>
        </w:tc>
      </w:tr>
      <w:tr w14:paraId="3D0A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13EE9533">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0D93E64C">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5AB0A5D7">
            <w:pPr>
              <w:widowControl/>
              <w:spacing w:before="60" w:beforeLines="25" w:after="60" w:afterLines="25"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453721C4">
            <w:pPr>
              <w:widowControl/>
              <w:spacing w:line="360" w:lineRule="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根据投标人为本项目配备的采购、</w:t>
            </w:r>
            <w:r>
              <w:rPr>
                <w:rFonts w:hint="eastAsia" w:ascii="宋体" w:hAnsi="宋体" w:cs="宋体"/>
                <w:color w:val="auto"/>
                <w:kern w:val="0"/>
                <w:sz w:val="24"/>
                <w:szCs w:val="24"/>
                <w:highlight w:val="none"/>
              </w:rPr>
              <w:t>配送人员</w:t>
            </w:r>
            <w:r>
              <w:rPr>
                <w:rFonts w:hint="eastAsia" w:asciiTheme="minorEastAsia" w:hAnsiTheme="minorEastAsia" w:eastAsiaTheme="minorEastAsia" w:cstheme="minorEastAsia"/>
                <w:color w:val="auto"/>
                <w:sz w:val="24"/>
                <w:szCs w:val="24"/>
                <w:highlight w:val="none"/>
              </w:rPr>
              <w:t>情况进行综合评审：每配备1名采购、</w:t>
            </w:r>
            <w:r>
              <w:rPr>
                <w:rFonts w:hint="eastAsia" w:ascii="宋体" w:hAnsi="宋体" w:cs="宋体"/>
                <w:color w:val="auto"/>
                <w:kern w:val="0"/>
                <w:sz w:val="24"/>
                <w:szCs w:val="24"/>
                <w:highlight w:val="none"/>
              </w:rPr>
              <w:t>配送人员</w:t>
            </w:r>
            <w:r>
              <w:rPr>
                <w:rFonts w:hint="eastAsia" w:asciiTheme="minorEastAsia" w:hAnsiTheme="minorEastAsia" w:eastAsiaTheme="minorEastAsia" w:cstheme="minorEastAsia"/>
                <w:color w:val="auto"/>
                <w:sz w:val="24"/>
                <w:szCs w:val="24"/>
                <w:highlight w:val="none"/>
              </w:rPr>
              <w:t>得1.5分，满分3分。注：投标人需完整提供以下材料，否则不予认可：①人员身份证（正、反面）复印件；②有效期内健康证复印件； ③投标截止日（不含投标截止时间的当月）前六个月内任一个月供应商为其缴交的社保缴纳证明。享受社保减免政策或因疫情影响享受缓缴或免缴社保的企业，提供依法缴纳社会保障资金承诺书原件（格式自拟），该承诺书视同社会保险凭据，未完整提供以上证明材料的不得分。</w:t>
            </w:r>
          </w:p>
        </w:tc>
      </w:tr>
      <w:tr w14:paraId="1622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12049364">
            <w:pPr>
              <w:widowControl/>
              <w:numPr>
                <w:ilvl w:val="0"/>
                <w:numId w:val="4"/>
              </w:numPr>
              <w:spacing w:before="60" w:beforeLines="25" w:after="60" w:afterLines="25" w:line="360" w:lineRule="auto"/>
              <w:ind w:right="-80" w:rightChars="-38"/>
              <w:jc w:val="center"/>
              <w:rPr>
                <w:rFonts w:ascii="宋体" w:hAnsi="宋体" w:cs="宋体"/>
                <w:color w:val="auto"/>
                <w:sz w:val="24"/>
                <w:szCs w:val="24"/>
                <w:highlight w:val="none"/>
              </w:rPr>
            </w:pPr>
          </w:p>
        </w:tc>
        <w:tc>
          <w:tcPr>
            <w:tcW w:w="413" w:type="pct"/>
            <w:vAlign w:val="center"/>
          </w:tcPr>
          <w:p w14:paraId="54AA466B">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1291A8AA">
            <w:pPr>
              <w:widowControl/>
              <w:spacing w:before="60" w:beforeLines="25" w:after="60" w:afterLines="25" w:line="360" w:lineRule="auto"/>
              <w:jc w:val="center"/>
              <w:rPr>
                <w:rFonts w:ascii="宋体" w:hAnsi="宋体" w:cs="宋体"/>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5CA29B53">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具备将每日配送食材的食品追溯码发送到相应的食品追溯码平台上的能力（厦门市食品安全信息网https://spaq.scjg.xm.gov.cn:38087/xmspaq/jsp/login.jsp），并承诺中标后将每日配送的所有食材录入一品一码。投标人提供近三个月（开标当月不算往前追溯三个月）任一月份在入市必登平台系统录入信息的截图及相关承诺函的得3分，未提供不得分。</w:t>
            </w:r>
          </w:p>
        </w:tc>
      </w:tr>
      <w:tr w14:paraId="6BBF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11DCEBB0">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380A5E0D">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75B77430">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vAlign w:val="center"/>
          </w:tcPr>
          <w:p w14:paraId="181EE45E">
            <w:pPr>
              <w:widowControl/>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投标人承诺按规定进行食品留样，将留样食品冷藏保存四十八小时以上，以备追索与查验的得3分，需提供承诺函，否则不得分。</w:t>
            </w:r>
          </w:p>
        </w:tc>
      </w:tr>
      <w:tr w14:paraId="55AA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119B5293">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40A85DB4">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47ED8EFE">
            <w:pPr>
              <w:widowControl/>
              <w:spacing w:before="60" w:beforeLines="25" w:after="60" w:afterLines="25" w:line="360" w:lineRule="auto"/>
              <w:jc w:val="center"/>
              <w:rPr>
                <w:rFonts w:ascii="宋体" w:hAnsi="宋体" w:cs="宋体"/>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33EA9E53">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投标人应具有食材配送系统的得3分。投标人提供自行开发平台的，平台名称必须与投标人名称一致；若为第三方开发的，需提供投标人与开发方签订的平台采购合同</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sz w:val="24"/>
                <w:szCs w:val="24"/>
                <w:highlight w:val="none"/>
              </w:rPr>
              <w:t>件及发票</w:t>
            </w:r>
            <w:r>
              <w:rPr>
                <w:rFonts w:hint="eastAsia" w:asciiTheme="minorEastAsia" w:hAnsiTheme="minorEastAsia" w:eastAsiaTheme="minorEastAsia" w:cstheme="minorEastAsia"/>
                <w:color w:val="auto"/>
                <w:kern w:val="0"/>
                <w:sz w:val="24"/>
                <w:szCs w:val="24"/>
                <w:highlight w:val="none"/>
              </w:rPr>
              <w:t>复印</w:t>
            </w:r>
            <w:r>
              <w:rPr>
                <w:rFonts w:hint="eastAsia" w:ascii="宋体" w:hAnsi="宋体" w:cs="宋体"/>
                <w:color w:val="auto"/>
                <w:sz w:val="24"/>
                <w:szCs w:val="24"/>
                <w:highlight w:val="none"/>
              </w:rPr>
              <w:t>件（须提供在国家税务总局增值税发票查验平台上对该发票查验结果的截图）；若投标人仅有平台使用权的，需提供平台所有方的授权书及平台所有方拥有该平台的相关证明材料复印件，未提供相关证明的不得分。</w:t>
            </w:r>
          </w:p>
        </w:tc>
      </w:tr>
      <w:tr w14:paraId="7053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right w:val="single" w:color="auto" w:sz="4" w:space="0"/>
            </w:tcBorders>
            <w:vAlign w:val="center"/>
          </w:tcPr>
          <w:p w14:paraId="0E9E1B04">
            <w:pPr>
              <w:widowControl/>
              <w:numPr>
                <w:ilvl w:val="0"/>
                <w:numId w:val="4"/>
              </w:numPr>
              <w:spacing w:before="60" w:beforeLines="25" w:after="60" w:afterLines="25" w:line="360" w:lineRule="auto"/>
              <w:ind w:right="-80" w:rightChars="-38"/>
              <w:jc w:val="center"/>
              <w:rPr>
                <w:rFonts w:ascii="宋体" w:hAnsi="宋体" w:cs="宋体"/>
                <w:color w:val="auto"/>
                <w:kern w:val="0"/>
                <w:sz w:val="24"/>
                <w:szCs w:val="24"/>
                <w:highlight w:val="none"/>
              </w:rPr>
            </w:pPr>
          </w:p>
        </w:tc>
        <w:tc>
          <w:tcPr>
            <w:tcW w:w="413" w:type="pct"/>
            <w:vAlign w:val="center"/>
          </w:tcPr>
          <w:p w14:paraId="15085118">
            <w:pPr>
              <w:widowControl/>
              <w:spacing w:before="60" w:beforeLines="25" w:after="60" w:afterLines="25" w:line="360" w:lineRule="auto"/>
              <w:jc w:val="center"/>
              <w:rPr>
                <w:rFonts w:hint="eastAsia" w:ascii="宋体" w:hAnsi="宋体" w:cs="宋体" w:eastAsia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0442E75">
            <w:pPr>
              <w:widowControl/>
              <w:spacing w:before="60" w:beforeLines="25" w:after="60" w:afterLines="25" w:line="360" w:lineRule="auto"/>
              <w:jc w:val="center"/>
              <w:rPr>
                <w:rFonts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是</w:t>
            </w:r>
          </w:p>
        </w:tc>
        <w:tc>
          <w:tcPr>
            <w:tcW w:w="3672" w:type="pct"/>
            <w:tcBorders>
              <w:top w:val="single" w:color="auto" w:sz="4" w:space="0"/>
              <w:left w:val="single" w:color="auto" w:sz="4" w:space="0"/>
              <w:bottom w:val="single" w:color="auto" w:sz="4" w:space="0"/>
              <w:right w:val="single" w:color="auto" w:sz="4" w:space="0"/>
            </w:tcBorders>
          </w:tcPr>
          <w:p w14:paraId="5B631232">
            <w:pPr>
              <w:widowControl/>
              <w:spacing w:line="360" w:lineRule="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承诺为本项目制定每日生鲜产品抽检计划，将高风险农药残留、食品重金属、甲醛等非法添加物纳入检测，在实施过程中，提供并保留至少3个月的自检报告或第三方检测机构出具的报告复印件，以备查验。投标人需针对以上内容提供书面承诺（格式自拟），完全满足得4分，否则不得分。</w:t>
            </w:r>
          </w:p>
        </w:tc>
      </w:tr>
    </w:tbl>
    <w:p w14:paraId="47090283">
      <w:pPr>
        <w:tabs>
          <w:tab w:val="left" w:pos="-1080"/>
          <w:tab w:val="left" w:pos="180"/>
          <w:tab w:val="left" w:pos="1080"/>
        </w:tabs>
        <w:spacing w:line="360" w:lineRule="auto"/>
        <w:rPr>
          <w:rFonts w:ascii="宋体" w:hAnsi="宋体" w:cs="宋体"/>
          <w:color w:val="auto"/>
          <w:sz w:val="24"/>
          <w:szCs w:val="24"/>
          <w:highlight w:val="none"/>
        </w:rPr>
      </w:pPr>
    </w:p>
    <w:p w14:paraId="7CCABCFE">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（二）商务评分（F2）：按20分评分法，商务评分考虑下列因素：</w:t>
      </w:r>
    </w:p>
    <w:tbl>
      <w:tblPr>
        <w:tblStyle w:val="22"/>
        <w:tblW w:w="5327"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807"/>
        <w:gridCol w:w="992"/>
        <w:gridCol w:w="6662"/>
      </w:tblGrid>
      <w:tr w14:paraId="2838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right w:val="single" w:color="auto" w:sz="4" w:space="0"/>
            </w:tcBorders>
            <w:vAlign w:val="center"/>
          </w:tcPr>
          <w:p w14:paraId="641844FF">
            <w:pPr>
              <w:widowControl/>
              <w:spacing w:before="60" w:beforeLines="25" w:after="60" w:afterLines="25" w:line="360" w:lineRule="auto"/>
              <w:ind w:left="-42" w:leftChars="-20" w:right="-80" w:rightChars="-38"/>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45" w:type="pct"/>
            <w:vAlign w:val="center"/>
          </w:tcPr>
          <w:p w14:paraId="22DAF924">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评标分值</w:t>
            </w:r>
          </w:p>
        </w:tc>
        <w:tc>
          <w:tcPr>
            <w:tcW w:w="547" w:type="pct"/>
            <w:vAlign w:val="center"/>
          </w:tcPr>
          <w:p w14:paraId="3C094F51">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是否客观项</w:t>
            </w:r>
          </w:p>
        </w:tc>
        <w:tc>
          <w:tcPr>
            <w:tcW w:w="3671" w:type="pct"/>
            <w:vAlign w:val="center"/>
          </w:tcPr>
          <w:p w14:paraId="31B42921">
            <w:pPr>
              <w:widowControl/>
              <w:spacing w:before="60" w:beforeLines="25" w:after="60" w:afterLines="25"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评标方法描述（评标细则）</w:t>
            </w:r>
          </w:p>
        </w:tc>
      </w:tr>
      <w:tr w14:paraId="5284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right w:val="single" w:color="auto" w:sz="4" w:space="0"/>
            </w:tcBorders>
            <w:vAlign w:val="center"/>
          </w:tcPr>
          <w:p w14:paraId="6D4C903C">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45" w:type="pct"/>
            <w:vAlign w:val="center"/>
          </w:tcPr>
          <w:p w14:paraId="5370B412">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47" w:type="pct"/>
            <w:vAlign w:val="center"/>
          </w:tcPr>
          <w:p w14:paraId="6C9076EF">
            <w:pPr>
              <w:widowControl/>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66ADBFEE">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根据投标人的管理体系进行评价：</w:t>
            </w:r>
          </w:p>
          <w:p w14:paraId="18C81D71">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1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①</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具有有效的质量管理体系认证证书的得1分；</w:t>
            </w:r>
          </w:p>
          <w:p w14:paraId="344BC25A">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2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②</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具有有效的环境管理体系认证证书的得1分；</w:t>
            </w:r>
          </w:p>
          <w:p w14:paraId="326041CA">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3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③</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具有有效的职业健康安全管理证书的得1分；</w:t>
            </w:r>
          </w:p>
          <w:p w14:paraId="385B10C1">
            <w:pPr>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fldChar w:fldCharType="begin"/>
            </w:r>
            <w:r>
              <w:rPr>
                <w:rFonts w:hint="eastAsia" w:ascii="宋体" w:hAnsi="宋体" w:cs="宋体"/>
                <w:snapToGrid w:val="0"/>
                <w:color w:val="auto"/>
                <w:kern w:val="0"/>
                <w:sz w:val="24"/>
                <w:szCs w:val="24"/>
                <w:highlight w:val="none"/>
              </w:rPr>
              <w:instrText xml:space="preserve"> = 4 \* GB3 \* MERGEFORMAT </w:instrText>
            </w:r>
            <w:r>
              <w:rPr>
                <w:rFonts w:hint="eastAsia" w:ascii="宋体" w:hAnsi="宋体" w:cs="宋体"/>
                <w:snapToGrid w:val="0"/>
                <w:color w:val="auto"/>
                <w:kern w:val="0"/>
                <w:sz w:val="24"/>
                <w:szCs w:val="24"/>
                <w:highlight w:val="none"/>
              </w:rPr>
              <w:fldChar w:fldCharType="separate"/>
            </w:r>
            <w:r>
              <w:rPr>
                <w:rFonts w:hint="eastAsia" w:ascii="宋体" w:hAnsi="宋体" w:cs="宋体"/>
                <w:snapToGrid w:val="0"/>
                <w:color w:val="auto"/>
                <w:kern w:val="0"/>
                <w:sz w:val="24"/>
                <w:szCs w:val="24"/>
                <w:highlight w:val="none"/>
              </w:rPr>
              <w:t>④</w:t>
            </w:r>
            <w:r>
              <w:rPr>
                <w:rFonts w:hint="eastAsia" w:ascii="宋体" w:hAnsi="宋体" w:cs="宋体"/>
                <w:snapToGrid w:val="0"/>
                <w:color w:val="auto"/>
                <w:kern w:val="0"/>
                <w:sz w:val="24"/>
                <w:szCs w:val="24"/>
                <w:highlight w:val="none"/>
              </w:rPr>
              <w:fldChar w:fldCharType="end"/>
            </w:r>
            <w:r>
              <w:rPr>
                <w:rFonts w:hint="eastAsia" w:ascii="宋体" w:hAnsi="宋体" w:cs="宋体"/>
                <w:snapToGrid w:val="0"/>
                <w:color w:val="auto"/>
                <w:kern w:val="0"/>
                <w:sz w:val="24"/>
                <w:szCs w:val="24"/>
                <w:highlight w:val="none"/>
              </w:rPr>
              <w:t>具有有效的食品安全管理体系认证证书的得1分。</w:t>
            </w:r>
          </w:p>
          <w:p w14:paraId="0C04B4F1">
            <w:pPr>
              <w:widowControl/>
              <w:adjustRightInd w:val="0"/>
              <w:snapToGrid w:val="0"/>
              <w:spacing w:line="360" w:lineRule="auto"/>
              <w:jc w:val="left"/>
              <w:rPr>
                <w:rFonts w:ascii="宋体" w:hAnsi="宋体"/>
                <w:color w:val="auto"/>
                <w:sz w:val="24"/>
                <w:szCs w:val="24"/>
                <w:highlight w:val="none"/>
              </w:rPr>
            </w:pPr>
            <w:r>
              <w:rPr>
                <w:rFonts w:hint="eastAsia" w:ascii="宋体" w:hAnsi="宋体" w:cs="宋体"/>
                <w:snapToGrid w:val="0"/>
                <w:color w:val="auto"/>
                <w:kern w:val="0"/>
                <w:sz w:val="24"/>
                <w:szCs w:val="24"/>
                <w:highlight w:val="none"/>
              </w:rPr>
              <w:t>本项满分</w:t>
            </w:r>
            <w:r>
              <w:rPr>
                <w:rFonts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rPr>
              <w:t>分。投标人须提供有效证书复印件及全国认证认可信息公共服务平台或国家认证认可监督管理委员会网站的证书查询信息截图，否则本项不得分。</w:t>
            </w:r>
          </w:p>
        </w:tc>
      </w:tr>
      <w:tr w14:paraId="73FB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right w:val="single" w:color="auto" w:sz="4" w:space="0"/>
            </w:tcBorders>
            <w:vAlign w:val="center"/>
          </w:tcPr>
          <w:p w14:paraId="26F498E0">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45" w:type="pct"/>
            <w:vAlign w:val="center"/>
          </w:tcPr>
          <w:p w14:paraId="683579BF">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00294CBB">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579EC93B">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根据投标人承诺</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年1月1日以来在国家市场监督管理总局关于食品安全抽查公布结果查询系统（https://spcjsac.gsxt.gov.cn/）的查询结果（按投标人名称查询）中未查询到不合格产品信息的得</w:t>
            </w:r>
            <w:r>
              <w:rPr>
                <w:rFonts w:hint="eastAsia" w:ascii="宋体" w:hAnsi="宋体"/>
                <w:color w:val="auto"/>
                <w:sz w:val="24"/>
                <w:szCs w:val="24"/>
                <w:highlight w:val="none"/>
              </w:rPr>
              <w:t>3</w:t>
            </w:r>
            <w:r>
              <w:rPr>
                <w:rFonts w:ascii="宋体" w:hAnsi="宋体"/>
                <w:color w:val="auto"/>
                <w:sz w:val="24"/>
                <w:szCs w:val="24"/>
                <w:highlight w:val="none"/>
              </w:rPr>
              <w:t>分，投标人须提供未查询到不合格产品的网页网址及承诺函（格式自拟），否则不得分。</w:t>
            </w:r>
          </w:p>
        </w:tc>
      </w:tr>
      <w:tr w14:paraId="74E0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right w:val="single" w:color="auto" w:sz="4" w:space="0"/>
            </w:tcBorders>
            <w:vAlign w:val="center"/>
          </w:tcPr>
          <w:p w14:paraId="7BDBD847">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45" w:type="pct"/>
            <w:vAlign w:val="center"/>
          </w:tcPr>
          <w:p w14:paraId="03E01E63">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74BDFC65">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2DF97038">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根据投标人自</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年1月1日（以合同签订时间为准）以来具有食材配送业绩的情况进行评价：每提供一份有效业绩证明材料的得1分，本项满分3分，未按下述要求完整提供或不满足的不得分。 投标人须同时提供以下四项有效证明文件：①该业绩的中标（成交）公告（提供相关网站中标（成交）公告的下载网页及其网址）； ②中标（成交）通知书</w:t>
            </w:r>
            <w:r>
              <w:rPr>
                <w:rFonts w:hint="eastAsia" w:ascii="宋体" w:hAnsi="宋体"/>
                <w:color w:val="auto"/>
                <w:sz w:val="24"/>
                <w:szCs w:val="24"/>
                <w:highlight w:val="none"/>
              </w:rPr>
              <w:t>复印</w:t>
            </w:r>
            <w:r>
              <w:rPr>
                <w:rFonts w:ascii="宋体" w:hAnsi="宋体"/>
                <w:color w:val="auto"/>
                <w:sz w:val="24"/>
                <w:szCs w:val="24"/>
                <w:highlight w:val="none"/>
              </w:rPr>
              <w:t>件； ③采购合同文本</w:t>
            </w:r>
            <w:r>
              <w:rPr>
                <w:rFonts w:hint="eastAsia" w:ascii="宋体" w:hAnsi="宋体"/>
                <w:color w:val="auto"/>
                <w:sz w:val="24"/>
                <w:szCs w:val="24"/>
                <w:highlight w:val="none"/>
              </w:rPr>
              <w:t>复印</w:t>
            </w:r>
            <w:r>
              <w:rPr>
                <w:rFonts w:ascii="宋体" w:hAnsi="宋体"/>
                <w:color w:val="auto"/>
                <w:sz w:val="24"/>
                <w:szCs w:val="24"/>
                <w:highlight w:val="none"/>
              </w:rPr>
              <w:t>件； ④能够证明该业绩项目已经采购人验收或考核合格（含阶段性验收或考核合格）的相关证明文件</w:t>
            </w:r>
            <w:r>
              <w:rPr>
                <w:rFonts w:hint="eastAsia" w:ascii="宋体" w:hAnsi="宋体"/>
                <w:color w:val="auto"/>
                <w:sz w:val="24"/>
                <w:szCs w:val="24"/>
                <w:highlight w:val="none"/>
              </w:rPr>
              <w:t>复印</w:t>
            </w:r>
            <w:r>
              <w:rPr>
                <w:rFonts w:ascii="宋体" w:hAnsi="宋体"/>
                <w:color w:val="auto"/>
                <w:sz w:val="24"/>
                <w:szCs w:val="24"/>
                <w:highlight w:val="none"/>
              </w:rPr>
              <w:t>件。同一项目不同阶段验收或考核只按1份计分，如未按照招标文件要求提供该</w:t>
            </w:r>
            <w:r>
              <w:rPr>
                <w:rFonts w:hint="eastAsia" w:ascii="宋体" w:hAnsi="宋体"/>
                <w:color w:val="auto"/>
                <w:sz w:val="24"/>
                <w:szCs w:val="24"/>
                <w:highlight w:val="none"/>
              </w:rPr>
              <w:t>项业绩完整资料的，评标委员会对该项业绩将不予采信。</w:t>
            </w:r>
          </w:p>
        </w:tc>
      </w:tr>
      <w:tr w14:paraId="58AD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right w:val="single" w:color="auto" w:sz="4" w:space="0"/>
            </w:tcBorders>
            <w:vAlign w:val="center"/>
          </w:tcPr>
          <w:p w14:paraId="4927B666">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45" w:type="pct"/>
            <w:vAlign w:val="center"/>
          </w:tcPr>
          <w:p w14:paraId="20FEE26F">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547" w:type="pct"/>
            <w:vAlign w:val="center"/>
          </w:tcPr>
          <w:p w14:paraId="7A61A834">
            <w:pPr>
              <w:widowControl/>
              <w:adjustRightInd w:val="0"/>
              <w:snapToGrid w:val="0"/>
              <w:spacing w:line="360" w:lineRule="auto"/>
              <w:jc w:val="center"/>
              <w:rPr>
                <w:rFonts w:ascii="宋体" w:hAnsi="宋体"/>
                <w:color w:val="auto"/>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3CC9ED0F">
            <w:pPr>
              <w:widowControl/>
              <w:adjustRightInd w:val="0"/>
              <w:snapToGri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根据投标人提供自</w:t>
            </w:r>
            <w:r>
              <w:rPr>
                <w:rFonts w:ascii="宋体" w:hAnsi="宋体"/>
                <w:color w:val="auto"/>
                <w:sz w:val="24"/>
                <w:szCs w:val="24"/>
                <w:highlight w:val="none"/>
              </w:rPr>
              <w:t>202</w:t>
            </w:r>
            <w:r>
              <w:rPr>
                <w:rFonts w:hint="eastAsia" w:ascii="宋体" w:hAnsi="宋体"/>
                <w:color w:val="auto"/>
                <w:sz w:val="24"/>
                <w:szCs w:val="24"/>
                <w:highlight w:val="none"/>
              </w:rPr>
              <w:t>3</w:t>
            </w:r>
            <w:r>
              <w:rPr>
                <w:rFonts w:ascii="宋体" w:hAnsi="宋体"/>
                <w:color w:val="auto"/>
                <w:sz w:val="24"/>
                <w:szCs w:val="24"/>
                <w:highlight w:val="none"/>
              </w:rPr>
              <w:t>年1月1日（以满意度情况出具日期为准）以来，已完成或正在履行的食材配送项目的用户满意度情况进行评价：每提供1份有效证明的得1分，本项满分</w:t>
            </w:r>
            <w:r>
              <w:rPr>
                <w:rFonts w:hint="eastAsia" w:ascii="宋体" w:hAnsi="宋体"/>
                <w:color w:val="auto"/>
                <w:sz w:val="24"/>
                <w:szCs w:val="24"/>
                <w:highlight w:val="none"/>
              </w:rPr>
              <w:t>4</w:t>
            </w:r>
            <w:r>
              <w:rPr>
                <w:rFonts w:ascii="宋体" w:hAnsi="宋体"/>
                <w:color w:val="auto"/>
                <w:sz w:val="24"/>
                <w:szCs w:val="24"/>
                <w:highlight w:val="none"/>
              </w:rPr>
              <w:t>分。投标人须同时提供业主方盖章的满意或好评情况材料（满意度情况表或评价意见书，相同业主单位出具的满意度情况材料只按1份计分）以及双方签订合同</w:t>
            </w:r>
            <w:r>
              <w:rPr>
                <w:rFonts w:hint="eastAsia" w:ascii="宋体" w:hAnsi="宋体"/>
                <w:color w:val="auto"/>
                <w:sz w:val="24"/>
                <w:szCs w:val="24"/>
                <w:highlight w:val="none"/>
              </w:rPr>
              <w:t>复印</w:t>
            </w:r>
            <w:r>
              <w:rPr>
                <w:rFonts w:ascii="宋体" w:hAnsi="宋体"/>
                <w:color w:val="auto"/>
                <w:sz w:val="24"/>
                <w:szCs w:val="24"/>
                <w:highlight w:val="none"/>
              </w:rPr>
              <w:t>件，未按上述要求完整提供或不满足不得分。（本项满意度情况评价与业绩项属于同一项目的不得重复计分）</w:t>
            </w:r>
          </w:p>
        </w:tc>
      </w:tr>
      <w:tr w14:paraId="673E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right w:val="single" w:color="auto" w:sz="4" w:space="0"/>
            </w:tcBorders>
            <w:vAlign w:val="center"/>
          </w:tcPr>
          <w:p w14:paraId="435A7DF5">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45" w:type="pct"/>
            <w:vAlign w:val="center"/>
          </w:tcPr>
          <w:p w14:paraId="15EAC65E">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3A516513">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4816941D">
            <w:pPr>
              <w:adjustRightInd w:val="0"/>
              <w:snapToGrid w:val="0"/>
              <w:spacing w:line="360" w:lineRule="auto"/>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根据</w:t>
            </w:r>
            <w:r>
              <w:rPr>
                <w:rFonts w:hint="eastAsia" w:ascii="宋体" w:hAnsi="宋体" w:cs="宋体"/>
                <w:color w:val="auto"/>
                <w:kern w:val="0"/>
                <w:sz w:val="24"/>
                <w:szCs w:val="24"/>
                <w:highlight w:val="none"/>
              </w:rPr>
              <w:t>投标人承诺为本项目购买“食品安全责任险”，</w:t>
            </w:r>
            <w:r>
              <w:rPr>
                <w:rFonts w:hint="eastAsia" w:ascii="宋体" w:hAnsi="宋体" w:cs="宋体"/>
                <w:color w:val="auto"/>
                <w:kern w:val="0"/>
                <w:sz w:val="24"/>
                <w:szCs w:val="24"/>
                <w:highlight w:val="none"/>
                <w:lang w:val="en-US" w:eastAsia="zh-CN"/>
              </w:rPr>
              <w:t>情况进行评价：</w:t>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val="en-US" w:eastAsia="zh-CN"/>
              </w:rPr>
              <w:t>承诺购买的</w:t>
            </w:r>
            <w:r>
              <w:rPr>
                <w:rFonts w:hint="eastAsia" w:ascii="宋体" w:hAnsi="宋体" w:cs="宋体"/>
                <w:color w:val="auto"/>
                <w:kern w:val="0"/>
                <w:sz w:val="24"/>
                <w:szCs w:val="24"/>
                <w:highlight w:val="none"/>
              </w:rPr>
              <w:t>保险额度</w:t>
            </w:r>
            <w:r>
              <w:rPr>
                <w:rFonts w:hint="eastAsia" w:ascii="宋体" w:hAnsi="宋体" w:cs="宋体"/>
                <w:color w:val="auto"/>
                <w:kern w:val="0"/>
                <w:sz w:val="24"/>
                <w:szCs w:val="24"/>
                <w:highlight w:val="none"/>
                <w:lang w:val="en-US" w:eastAsia="zh-CN"/>
              </w:rPr>
              <w:t>≥</w:t>
            </w:r>
            <w:r>
              <w:rPr>
                <w:rFonts w:ascii="宋体" w:hAnsi="宋体" w:cs="宋体"/>
                <w:color w:val="auto"/>
                <w:kern w:val="0"/>
                <w:sz w:val="24"/>
                <w:szCs w:val="24"/>
                <w:highlight w:val="none"/>
              </w:rPr>
              <w:t>2000万元</w:t>
            </w:r>
            <w:r>
              <w:rPr>
                <w:rFonts w:hint="eastAsia" w:ascii="宋体" w:hAnsi="宋体" w:cs="宋体"/>
                <w:color w:val="auto"/>
                <w:kern w:val="0"/>
                <w:sz w:val="24"/>
                <w:szCs w:val="24"/>
                <w:highlight w:val="none"/>
                <w:lang w:val="en-US" w:eastAsia="zh-CN"/>
              </w:rPr>
              <w:t>的得2分；2000万元＞承诺购买的</w:t>
            </w:r>
            <w:r>
              <w:rPr>
                <w:rFonts w:hint="eastAsia" w:ascii="宋体" w:hAnsi="宋体" w:cs="宋体"/>
                <w:color w:val="auto"/>
                <w:kern w:val="0"/>
                <w:sz w:val="24"/>
                <w:szCs w:val="24"/>
                <w:highlight w:val="none"/>
              </w:rPr>
              <w:t>保险额度</w:t>
            </w:r>
            <w:r>
              <w:rPr>
                <w:rFonts w:hint="eastAsia" w:ascii="宋体" w:hAnsi="宋体" w:cs="宋体"/>
                <w:color w:val="auto"/>
                <w:kern w:val="0"/>
                <w:sz w:val="24"/>
                <w:szCs w:val="24"/>
                <w:highlight w:val="none"/>
                <w:lang w:val="en-US" w:eastAsia="zh-CN"/>
              </w:rPr>
              <w:t>≥1</w:t>
            </w:r>
            <w:r>
              <w:rPr>
                <w:rFonts w:ascii="宋体" w:hAnsi="宋体" w:cs="宋体"/>
                <w:color w:val="auto"/>
                <w:kern w:val="0"/>
                <w:sz w:val="24"/>
                <w:szCs w:val="24"/>
                <w:highlight w:val="none"/>
              </w:rPr>
              <w:t>000万元</w:t>
            </w:r>
            <w:r>
              <w:rPr>
                <w:rFonts w:hint="eastAsia" w:ascii="宋体" w:hAnsi="宋体" w:cs="宋体"/>
                <w:color w:val="auto"/>
                <w:kern w:val="0"/>
                <w:sz w:val="24"/>
                <w:szCs w:val="24"/>
                <w:highlight w:val="none"/>
                <w:lang w:val="en-US" w:eastAsia="zh-CN"/>
              </w:rPr>
              <w:t>的得1分；</w:t>
            </w:r>
            <w:r>
              <w:rPr>
                <w:rFonts w:ascii="宋体" w:hAnsi="宋体" w:cs="宋体"/>
                <w:color w:val="auto"/>
                <w:kern w:val="0"/>
                <w:sz w:val="24"/>
                <w:szCs w:val="24"/>
                <w:highlight w:val="none"/>
              </w:rPr>
              <w:t>②同时承诺若</w:t>
            </w:r>
            <w:r>
              <w:rPr>
                <w:rFonts w:hint="eastAsia" w:ascii="宋体" w:hAnsi="宋体" w:cs="宋体"/>
                <w:color w:val="auto"/>
                <w:kern w:val="0"/>
                <w:sz w:val="24"/>
                <w:szCs w:val="24"/>
                <w:highlight w:val="none"/>
              </w:rPr>
              <w:t>出现</w:t>
            </w:r>
            <w:r>
              <w:rPr>
                <w:rFonts w:ascii="宋体" w:hAnsi="宋体" w:cs="宋体"/>
                <w:color w:val="auto"/>
                <w:kern w:val="0"/>
                <w:sz w:val="24"/>
                <w:szCs w:val="24"/>
                <w:highlight w:val="none"/>
              </w:rPr>
              <w:t>食品安全事故，每人赔偿额度至少达到20</w:t>
            </w:r>
            <w:r>
              <w:rPr>
                <w:rFonts w:hint="eastAsia" w:ascii="宋体" w:hAnsi="宋体" w:cs="宋体"/>
                <w:color w:val="auto"/>
                <w:kern w:val="0"/>
                <w:sz w:val="24"/>
                <w:szCs w:val="24"/>
                <w:highlight w:val="none"/>
              </w:rPr>
              <w:t>万元</w:t>
            </w:r>
            <w:r>
              <w:rPr>
                <w:rFonts w:ascii="宋体" w:hAnsi="宋体" w:cs="宋体"/>
                <w:color w:val="auto"/>
                <w:kern w:val="0"/>
                <w:sz w:val="24"/>
                <w:szCs w:val="24"/>
                <w:highlight w:val="none"/>
              </w:rPr>
              <w:t>及每次事件赔偿额度至少达到100</w:t>
            </w:r>
            <w:r>
              <w:rPr>
                <w:rFonts w:hint="eastAsia" w:ascii="宋体" w:hAnsi="宋体" w:cs="宋体"/>
                <w:color w:val="auto"/>
                <w:kern w:val="0"/>
                <w:sz w:val="24"/>
                <w:szCs w:val="24"/>
                <w:highlight w:val="none"/>
              </w:rPr>
              <w:t>万元</w:t>
            </w:r>
            <w:r>
              <w:rPr>
                <w:rFonts w:ascii="宋体" w:hAnsi="宋体" w:cs="宋体"/>
                <w:color w:val="auto"/>
                <w:kern w:val="0"/>
                <w:sz w:val="24"/>
                <w:szCs w:val="24"/>
                <w:highlight w:val="none"/>
              </w:rPr>
              <w:t>的可再加1分。本项满分3分，需提供承诺函，否则不得分。</w:t>
            </w:r>
          </w:p>
        </w:tc>
      </w:tr>
      <w:tr w14:paraId="37B8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right w:val="single" w:color="auto" w:sz="4" w:space="0"/>
            </w:tcBorders>
            <w:vAlign w:val="center"/>
          </w:tcPr>
          <w:p w14:paraId="25CE8552">
            <w:pPr>
              <w:widowControl/>
              <w:spacing w:before="60" w:beforeLines="25" w:after="60" w:afterLines="25" w:line="360" w:lineRule="auto"/>
              <w:ind w:right="-80" w:rightChars="-38"/>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45" w:type="pct"/>
            <w:vAlign w:val="center"/>
          </w:tcPr>
          <w:p w14:paraId="738A3176">
            <w:pPr>
              <w:widowControl/>
              <w:spacing w:before="60" w:beforeLines="25" w:after="60" w:afterLines="25"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547" w:type="pct"/>
            <w:vAlign w:val="center"/>
          </w:tcPr>
          <w:p w14:paraId="6A033851">
            <w:pPr>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是</w:t>
            </w:r>
          </w:p>
        </w:tc>
        <w:tc>
          <w:tcPr>
            <w:tcW w:w="3671" w:type="pct"/>
            <w:vAlign w:val="center"/>
          </w:tcPr>
          <w:p w14:paraId="1F03DE11">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投标人承诺，投标人及其分公司距本项目开标之日前五年内，未发生过食物中毒安全事故或因食品安全问题被行政处罚及公告的得3分，未承诺的不得分。</w:t>
            </w:r>
          </w:p>
        </w:tc>
      </w:tr>
    </w:tbl>
    <w:p w14:paraId="786D3A46">
      <w:pPr>
        <w:tabs>
          <w:tab w:val="left" w:pos="-1080"/>
          <w:tab w:val="left" w:pos="180"/>
          <w:tab w:val="left" w:pos="1080"/>
        </w:tabs>
        <w:spacing w:line="360" w:lineRule="auto"/>
        <w:rPr>
          <w:rFonts w:ascii="宋体" w:hAnsi="宋体" w:cs="宋体"/>
          <w:color w:val="auto"/>
          <w:sz w:val="24"/>
          <w:szCs w:val="24"/>
          <w:highlight w:val="none"/>
        </w:rPr>
      </w:pPr>
    </w:p>
    <w:p w14:paraId="62F634B5">
      <w:pPr>
        <w:tabs>
          <w:tab w:val="left" w:pos="-1080"/>
          <w:tab w:val="left" w:pos="180"/>
          <w:tab w:val="left" w:pos="1080"/>
        </w:tabs>
        <w:spacing w:line="360" w:lineRule="auto"/>
        <w:rPr>
          <w:rFonts w:ascii="宋体" w:hAnsi="宋体" w:cs="宋体"/>
          <w:color w:val="auto"/>
          <w:sz w:val="24"/>
          <w:szCs w:val="24"/>
          <w:highlight w:val="none"/>
        </w:rPr>
      </w:pPr>
    </w:p>
    <w:p w14:paraId="26A55306">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（三）价格评分（F3）：按15分评分法，评标委员会对各有效标投标报价（收费比例）进行审核确定评标价，并将最低有效标的评标价设为基准价，定其价格得分为15分。按公式：价格得分＝15</w:t>
      </w:r>
      <w:r>
        <w:rPr>
          <w:rFonts w:hint="eastAsia" w:ascii="宋体" w:hAnsi="宋体" w:cs="宋体"/>
          <w:color w:val="auto"/>
          <w:sz w:val="24"/>
          <w:szCs w:val="24"/>
          <w:highlight w:val="none"/>
        </w:rPr>
        <w:sym w:font="Symbol" w:char="00B4"/>
      </w:r>
      <w:r>
        <w:rPr>
          <w:rFonts w:hint="eastAsia" w:ascii="宋体" w:hAnsi="宋体" w:cs="宋体"/>
          <w:color w:val="auto"/>
          <w:sz w:val="24"/>
          <w:szCs w:val="24"/>
          <w:highlight w:val="none"/>
        </w:rPr>
        <w:t xml:space="preserve"> （基准价/各个通过审核的有效投标人的评标价）计算，由此算出各个通过审核的有效投标人的价格得分。</w:t>
      </w:r>
    </w:p>
    <w:p w14:paraId="4156C784">
      <w:pPr>
        <w:spacing w:line="360" w:lineRule="auto"/>
        <w:ind w:firstLine="480" w:firstLineChars="200"/>
        <w:rPr>
          <w:rFonts w:ascii="宋体" w:hAnsi="宋体" w:cs="宋体"/>
          <w:color w:val="auto"/>
          <w:sz w:val="24"/>
          <w:szCs w:val="24"/>
          <w:highlight w:val="none"/>
        </w:rPr>
      </w:pPr>
    </w:p>
    <w:p w14:paraId="58D47ED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备注：1、异常低价审查</w:t>
      </w:r>
    </w:p>
    <w:p w14:paraId="0DF39A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1.1政府采购评审中出现下列情形之一的，评标委员会应当启动异常低价投标审查程序：</w:t>
      </w:r>
    </w:p>
    <w:p w14:paraId="0EC7A8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（1）投标报价低于全部通过符合性审查投标人投标报价平均值</w:t>
      </w:r>
      <w:r>
        <w:rPr>
          <w:rFonts w:ascii="宋体" w:hAnsi="宋体" w:cs="宋体"/>
          <w:color w:val="auto"/>
          <w:sz w:val="24"/>
          <w:szCs w:val="24"/>
          <w:highlight w:val="none"/>
        </w:rPr>
        <w:t>65</w:t>
      </w:r>
      <w:r>
        <w:rPr>
          <w:rFonts w:hint="eastAsia" w:ascii="宋体" w:hAnsi="宋体" w:cs="宋体"/>
          <w:color w:val="auto"/>
          <w:sz w:val="24"/>
          <w:szCs w:val="24"/>
          <w:highlight w:val="none"/>
        </w:rPr>
        <w:t>%的，即投标报价＜全部通过符合性审查投标人投标报价平均值×</w:t>
      </w:r>
      <w:r>
        <w:rPr>
          <w:rFonts w:ascii="宋体" w:hAnsi="宋体" w:cs="宋体"/>
          <w:color w:val="auto"/>
          <w:sz w:val="24"/>
          <w:szCs w:val="24"/>
          <w:highlight w:val="none"/>
        </w:rPr>
        <w:t>65</w:t>
      </w:r>
      <w:r>
        <w:rPr>
          <w:rFonts w:hint="eastAsia" w:ascii="宋体" w:hAnsi="宋体" w:cs="宋体"/>
          <w:color w:val="auto"/>
          <w:sz w:val="24"/>
          <w:szCs w:val="24"/>
          <w:highlight w:val="none"/>
        </w:rPr>
        <w:t>%；</w:t>
      </w:r>
    </w:p>
    <w:p w14:paraId="56B3D5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（2）投标报价低于通过符合性审查的次低报价投标人投标报价</w:t>
      </w:r>
      <w:r>
        <w:rPr>
          <w:rFonts w:ascii="宋体" w:hAnsi="宋体" w:cs="宋体"/>
          <w:color w:val="auto"/>
          <w:sz w:val="24"/>
          <w:szCs w:val="24"/>
          <w:highlight w:val="none"/>
        </w:rPr>
        <w:t>65</w:t>
      </w:r>
      <w:r>
        <w:rPr>
          <w:rFonts w:hint="eastAsia" w:ascii="宋体" w:hAnsi="宋体" w:cs="宋体"/>
          <w:color w:val="auto"/>
          <w:sz w:val="24"/>
          <w:szCs w:val="24"/>
          <w:highlight w:val="none"/>
        </w:rPr>
        <w:t>%的，即投标报价＜通过符合性审查的次低报价投标人投标报价×6</w:t>
      </w:r>
      <w:r>
        <w:rPr>
          <w:rFonts w:ascii="宋体" w:hAnsi="宋体" w:cs="宋体"/>
          <w:color w:val="auto"/>
          <w:sz w:val="24"/>
          <w:szCs w:val="24"/>
          <w:highlight w:val="none"/>
        </w:rPr>
        <w:t>5</w:t>
      </w:r>
      <w:r>
        <w:rPr>
          <w:rFonts w:hint="eastAsia" w:ascii="宋体" w:hAnsi="宋体" w:cs="宋体"/>
          <w:color w:val="auto"/>
          <w:sz w:val="24"/>
          <w:szCs w:val="24"/>
          <w:highlight w:val="none"/>
        </w:rPr>
        <w:t>%；</w:t>
      </w:r>
    </w:p>
    <w:p w14:paraId="7D8874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（3）投标报价低于采购项目最高限价6</w:t>
      </w:r>
      <w:r>
        <w:rPr>
          <w:rFonts w:ascii="宋体" w:hAnsi="宋体" w:cs="宋体"/>
          <w:color w:val="auto"/>
          <w:sz w:val="24"/>
          <w:szCs w:val="24"/>
          <w:highlight w:val="none"/>
        </w:rPr>
        <w:t>5</w:t>
      </w:r>
      <w:r>
        <w:rPr>
          <w:rFonts w:hint="eastAsia" w:ascii="宋体" w:hAnsi="宋体" w:cs="宋体"/>
          <w:color w:val="auto"/>
          <w:sz w:val="24"/>
          <w:szCs w:val="24"/>
          <w:highlight w:val="none"/>
        </w:rPr>
        <w:t>%的，即投标报价＜采购项目最高限价×</w:t>
      </w:r>
      <w:r>
        <w:rPr>
          <w:rFonts w:ascii="宋体" w:hAnsi="宋体" w:cs="宋体"/>
          <w:color w:val="auto"/>
          <w:sz w:val="24"/>
          <w:szCs w:val="24"/>
          <w:highlight w:val="none"/>
        </w:rPr>
        <w:t>6</w:t>
      </w:r>
      <w:r>
        <w:rPr>
          <w:rFonts w:hint="eastAsia" w:ascii="宋体" w:hAnsi="宋体" w:cs="宋体"/>
          <w:color w:val="auto"/>
          <w:sz w:val="24"/>
          <w:szCs w:val="24"/>
          <w:highlight w:val="none"/>
        </w:rPr>
        <w:t>5%；</w:t>
      </w:r>
    </w:p>
    <w:p w14:paraId="349526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（4）评标委员会基于专业判断，认为投标人报价过低，有可能影响产品质量或者不能诚信履约的其他情形。</w:t>
      </w:r>
    </w:p>
    <w:p w14:paraId="6C609718">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8D410F4">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评标委员会依据专业经验，参考同类项目中标（成交）价格、 类似产品市场价格水平、行业人工费用标准、国家有关部门指导行业协会发布的行业平均成本等情况，对报价合理性进行判断。 投标供应商不能提供书面说明、证明材料，或者提供的书面说明、证明材料不能证明其报价合理性的，评标委员会应当将其作为无效投标处理。</w:t>
      </w:r>
    </w:p>
    <w:p w14:paraId="2B94ACC9">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CD56642">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异常低价投标审查的启动原因、审查意见和审查结果应当在评审报告中记录，并随供应商提供的相关书面说明及证明材料，以及评标委员会有关互联网浏览、查询历史一并归档。</w:t>
      </w:r>
    </w:p>
    <w:p w14:paraId="16B85879">
      <w:pPr>
        <w:widowControl/>
        <w:spacing w:line="360" w:lineRule="auto"/>
        <w:ind w:firstLine="480" w:firstLineChars="200"/>
        <w:jc w:val="left"/>
        <w:rPr>
          <w:rFonts w:ascii="宋体" w:hAnsi="宋体" w:cs="宋体"/>
          <w:color w:val="auto"/>
          <w:sz w:val="24"/>
          <w:szCs w:val="24"/>
          <w:highlight w:val="none"/>
        </w:rPr>
      </w:pPr>
    </w:p>
    <w:p w14:paraId="2DFC2661">
      <w:pPr>
        <w:tabs>
          <w:tab w:val="left" w:pos="-1080"/>
          <w:tab w:val="left" w:pos="180"/>
          <w:tab w:val="left" w:pos="108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（四）综合得分= F1+ F2 + F3 。</w:t>
      </w:r>
    </w:p>
    <w:p w14:paraId="7BA3BA81">
      <w:pPr>
        <w:spacing w:line="360" w:lineRule="auto"/>
        <w:rPr>
          <w:rFonts w:hAnsi="宋体" w:cs="宋体"/>
          <w:bCs/>
          <w:color w:val="auto"/>
          <w:sz w:val="24"/>
          <w:szCs w:val="24"/>
          <w:highlight w:val="none"/>
        </w:rPr>
        <w:sectPr>
          <w:pgSz w:w="11906" w:h="16838"/>
          <w:pgMar w:top="1440" w:right="1803" w:bottom="1440" w:left="1803" w:header="567" w:footer="567" w:gutter="0"/>
          <w:cols w:space="720" w:num="1"/>
          <w:docGrid w:linePitch="312" w:charSpace="0"/>
        </w:sectPr>
      </w:pPr>
      <w:r>
        <w:rPr>
          <w:rFonts w:hint="eastAsia" w:hAnsi="宋体" w:cs="宋体"/>
          <w:bCs/>
          <w:color w:val="auto"/>
          <w:sz w:val="24"/>
          <w:szCs w:val="24"/>
          <w:highlight w:val="none"/>
        </w:rPr>
        <w:t>备注：1、技术商务评分中涉及排名情况的评分由评标委员会根据各投标人投标文件的响应情况进行综合评议得出排名。</w:t>
      </w:r>
    </w:p>
    <w:p w14:paraId="3FDD6758">
      <w:pPr>
        <w:spacing w:line="360" w:lineRule="auto"/>
        <w:ind w:firstLine="0" w:firstLineChars="0"/>
        <w:jc w:val="center"/>
        <w:outlineLvl w:val="1"/>
        <w:rPr>
          <w:rFonts w:ascii="宋体" w:hAnsi="宋体" w:cs="宋体"/>
          <w:b/>
          <w:bCs/>
          <w:color w:val="auto"/>
          <w:sz w:val="24"/>
          <w:szCs w:val="24"/>
          <w:highlight w:val="none"/>
        </w:rPr>
      </w:pPr>
      <w:bookmarkStart w:id="49" w:name="_Toc1672"/>
      <w:bookmarkStart w:id="50" w:name="_Toc4292"/>
      <w:r>
        <w:rPr>
          <w:rFonts w:hint="eastAsia" w:ascii="宋体" w:hAnsi="宋体" w:cs="宋体"/>
          <w:b/>
          <w:bCs/>
          <w:color w:val="auto"/>
          <w:sz w:val="32"/>
          <w:szCs w:val="32"/>
          <w:highlight w:val="none"/>
        </w:rPr>
        <w:t>投标人须知前附表4：中小企业优惠办法</w:t>
      </w:r>
      <w:bookmarkEnd w:id="49"/>
      <w:r>
        <w:rPr>
          <w:rFonts w:hint="eastAsia" w:ascii="宋体" w:hAnsi="宋体" w:cs="宋体"/>
          <w:b/>
          <w:bCs/>
          <w:color w:val="auto"/>
          <w:sz w:val="32"/>
          <w:szCs w:val="32"/>
          <w:highlight w:val="none"/>
        </w:rPr>
        <w:t>（合同包一适用）</w:t>
      </w:r>
      <w:bookmarkEnd w:id="50"/>
    </w:p>
    <w:tbl>
      <w:tblPr>
        <w:tblStyle w:val="2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7"/>
        <w:gridCol w:w="6063"/>
      </w:tblGrid>
      <w:tr w14:paraId="26CD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vAlign w:val="center"/>
          </w:tcPr>
          <w:p w14:paraId="1BB3C996">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677" w:type="dxa"/>
            <w:vAlign w:val="center"/>
          </w:tcPr>
          <w:p w14:paraId="3A2221B2">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项目</w:t>
            </w:r>
          </w:p>
        </w:tc>
        <w:tc>
          <w:tcPr>
            <w:tcW w:w="6063" w:type="dxa"/>
            <w:vAlign w:val="center"/>
          </w:tcPr>
          <w:p w14:paraId="292F092A">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具体内容</w:t>
            </w:r>
          </w:p>
        </w:tc>
      </w:tr>
      <w:tr w14:paraId="4E55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14:paraId="66D4C265">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1</w:t>
            </w:r>
          </w:p>
        </w:tc>
        <w:tc>
          <w:tcPr>
            <w:tcW w:w="1677" w:type="dxa"/>
            <w:vAlign w:val="center"/>
          </w:tcPr>
          <w:p w14:paraId="7B8C100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本项目是否属于预留份额专门面向中小企业采购活动：</w:t>
            </w:r>
          </w:p>
        </w:tc>
        <w:tc>
          <w:tcPr>
            <w:tcW w:w="6063" w:type="dxa"/>
            <w:vAlign w:val="center"/>
          </w:tcPr>
          <w:p w14:paraId="6EB1645B">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合同一：□</w:t>
            </w:r>
            <w:r>
              <w:rPr>
                <w:rFonts w:hint="eastAsia" w:ascii="宋体" w:hAnsi="宋体" w:cs="宋体"/>
                <w:color w:val="auto"/>
                <w:sz w:val="24"/>
                <w:szCs w:val="24"/>
                <w:highlight w:val="none"/>
              </w:rPr>
              <w:t xml:space="preserve">是/ </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否</w:t>
            </w:r>
          </w:p>
          <w:p w14:paraId="57449405">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合同二：☑</w:t>
            </w:r>
            <w:r>
              <w:rPr>
                <w:rFonts w:hint="eastAsia" w:ascii="宋体" w:hAnsi="宋体" w:cs="宋体"/>
                <w:color w:val="auto"/>
                <w:sz w:val="24"/>
                <w:szCs w:val="24"/>
                <w:highlight w:val="none"/>
              </w:rPr>
              <w:t xml:space="preserve">是/ </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否</w:t>
            </w:r>
          </w:p>
          <w:p w14:paraId="36D2D682">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合同三：☑</w:t>
            </w:r>
            <w:r>
              <w:rPr>
                <w:rFonts w:hint="eastAsia" w:ascii="宋体" w:hAnsi="宋体" w:cs="宋体"/>
                <w:color w:val="auto"/>
                <w:sz w:val="24"/>
                <w:szCs w:val="24"/>
                <w:highlight w:val="none"/>
              </w:rPr>
              <w:t xml:space="preserve">是/ </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否</w:t>
            </w:r>
          </w:p>
          <w:p w14:paraId="229A6EE6">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【说明：合同包一适用以下中小企业优惠办法；</w:t>
            </w:r>
          </w:p>
          <w:p w14:paraId="4112EA1D">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合同包二、合同包三为专门面向中小微企业采购，不再执行以下中小企业优惠办法】</w:t>
            </w:r>
          </w:p>
        </w:tc>
      </w:tr>
      <w:tr w14:paraId="0474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14:paraId="0655777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2</w:t>
            </w:r>
          </w:p>
        </w:tc>
        <w:tc>
          <w:tcPr>
            <w:tcW w:w="1677" w:type="dxa"/>
            <w:vAlign w:val="center"/>
          </w:tcPr>
          <w:p w14:paraId="71F5089C">
            <w:pPr>
              <w:spacing w:line="360"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中小企业的认定标准</w:t>
            </w:r>
          </w:p>
        </w:tc>
        <w:tc>
          <w:tcPr>
            <w:tcW w:w="6063" w:type="dxa"/>
          </w:tcPr>
          <w:p w14:paraId="3FEB72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中小企业参加政府采购活动，应当出具《中小企业声明函》，否则不得享受相关中小企业扶持政策。</w:t>
            </w:r>
          </w:p>
          <w:p w14:paraId="387854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须满足以下条件，才能认定为中小企业</w:t>
            </w:r>
            <w:r>
              <w:rPr>
                <w:rFonts w:hint="eastAsia" w:ascii="宋体" w:hAnsi="宋体" w:cs="宋体"/>
                <w:b/>
                <w:color w:val="auto"/>
                <w:sz w:val="24"/>
                <w:szCs w:val="24"/>
                <w:highlight w:val="none"/>
              </w:rPr>
              <w:t>（含中型、小型、微型企业，下同）</w:t>
            </w:r>
            <w:r>
              <w:rPr>
                <w:rFonts w:hint="eastAsia" w:ascii="宋体" w:hAnsi="宋体" w:cs="宋体"/>
                <w:color w:val="auto"/>
                <w:sz w:val="24"/>
                <w:szCs w:val="24"/>
                <w:highlight w:val="none"/>
              </w:rPr>
              <w:t>：</w:t>
            </w:r>
          </w:p>
          <w:p w14:paraId="0F2CC9BC">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648D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vAlign w:val="center"/>
          </w:tcPr>
          <w:p w14:paraId="24184B83">
            <w:pPr>
              <w:widowControl/>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3</w:t>
            </w:r>
          </w:p>
        </w:tc>
        <w:tc>
          <w:tcPr>
            <w:tcW w:w="1677" w:type="dxa"/>
            <w:vAlign w:val="center"/>
          </w:tcPr>
          <w:p w14:paraId="2425308D">
            <w:pPr>
              <w:widowControl/>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优惠办法：</w:t>
            </w:r>
          </w:p>
        </w:tc>
        <w:tc>
          <w:tcPr>
            <w:tcW w:w="6063" w:type="dxa"/>
            <w:tcBorders>
              <w:bottom w:val="single" w:color="auto" w:sz="4" w:space="0"/>
            </w:tcBorders>
          </w:tcPr>
          <w:p w14:paraId="7589F9DF">
            <w:pPr>
              <w:spacing w:line="360" w:lineRule="auto"/>
              <w:ind w:left="-65" w:leftChars="-31" w:firstLine="12" w:firstLineChars="5"/>
              <w:rPr>
                <w:rFonts w:ascii="宋体" w:hAnsi="宋体" w:cs="宋体"/>
                <w:b/>
                <w:color w:val="auto"/>
                <w:sz w:val="24"/>
                <w:szCs w:val="24"/>
                <w:highlight w:val="none"/>
              </w:rPr>
            </w:pPr>
            <w:r>
              <w:rPr>
                <w:rFonts w:hint="eastAsia" w:ascii="宋体" w:hAnsi="宋体" w:cs="宋体"/>
                <w:b/>
                <w:color w:val="auto"/>
                <w:sz w:val="24"/>
                <w:szCs w:val="24"/>
                <w:highlight w:val="none"/>
              </w:rPr>
              <w:t>投标人为中小企业（含中型、小型、微型企业，下同）：</w:t>
            </w:r>
          </w:p>
          <w:p w14:paraId="6285161A">
            <w:pPr>
              <w:spacing w:line="360" w:lineRule="auto"/>
              <w:ind w:left="411"/>
              <w:rPr>
                <w:rFonts w:ascii="宋体" w:hAnsi="宋体" w:cs="宋体"/>
                <w:color w:val="auto"/>
                <w:sz w:val="24"/>
                <w:szCs w:val="24"/>
                <w:highlight w:val="none"/>
              </w:rPr>
            </w:pPr>
            <w:r>
              <w:rPr>
                <w:rFonts w:hint="eastAsia" w:ascii="宋体" w:hAnsi="宋体" w:cs="宋体"/>
                <w:color w:val="auto"/>
                <w:sz w:val="24"/>
                <w:szCs w:val="24"/>
                <w:highlight w:val="none"/>
              </w:rPr>
              <w:t>①投标保证金：全免</w:t>
            </w:r>
          </w:p>
          <w:p w14:paraId="0D562C78">
            <w:pPr>
              <w:spacing w:line="360" w:lineRule="auto"/>
              <w:ind w:left="-65" w:leftChars="-31" w:firstLine="491" w:firstLineChars="205"/>
              <w:rPr>
                <w:rFonts w:ascii="宋体" w:hAnsi="宋体" w:cs="宋体"/>
                <w:color w:val="auto"/>
                <w:sz w:val="24"/>
                <w:szCs w:val="24"/>
                <w:highlight w:val="none"/>
              </w:rPr>
            </w:pPr>
            <w:r>
              <w:rPr>
                <w:rFonts w:hint="eastAsia" w:ascii="宋体" w:hAnsi="宋体" w:cs="宋体"/>
                <w:color w:val="auto"/>
                <w:sz w:val="24"/>
                <w:szCs w:val="24"/>
                <w:highlight w:val="none"/>
              </w:rPr>
              <w:t>②履约保证金：按约定比例的50%支付（如果有的话）</w:t>
            </w:r>
          </w:p>
          <w:p w14:paraId="3EECD462">
            <w:pPr>
              <w:spacing w:line="360" w:lineRule="auto"/>
              <w:ind w:left="-65" w:leftChars="-31" w:firstLine="491" w:firstLineChars="205"/>
              <w:rPr>
                <w:rFonts w:ascii="宋体" w:hAnsi="宋体" w:cs="宋体"/>
                <w:color w:val="auto"/>
                <w:sz w:val="24"/>
                <w:szCs w:val="24"/>
                <w:highlight w:val="none"/>
              </w:rPr>
            </w:pPr>
            <w:r>
              <w:rPr>
                <w:rFonts w:hint="eastAsia" w:ascii="宋体" w:hAnsi="宋体" w:cs="宋体"/>
                <w:color w:val="auto"/>
                <w:sz w:val="24"/>
                <w:szCs w:val="24"/>
                <w:highlight w:val="none"/>
              </w:rPr>
              <w:t>③代理服务费：按招标文件规定的收费标准下调10%</w:t>
            </w:r>
          </w:p>
          <w:p w14:paraId="2181A3A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本项目的服务承接商为小微企业。</w:t>
            </w:r>
            <w:r>
              <w:rPr>
                <w:rFonts w:hint="eastAsia" w:ascii="宋体" w:hAnsi="宋体" w:cs="宋体"/>
                <w:color w:val="auto"/>
                <w:sz w:val="24"/>
                <w:szCs w:val="24"/>
                <w:highlight w:val="none"/>
              </w:rPr>
              <w:t>对其投标报价给予10%的扣除，扣除后的价格作为该投标人的评标价参与价格评分。</w:t>
            </w:r>
          </w:p>
          <w:p w14:paraId="5A60BF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联合体各方均为小型、微型企业的，联合体视同为小型、微型企业享受本办法第四条、第五条规定的扶持政策。</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组成联合体的大中型企业和其他自然人、法人或者其他组织，与小型、微型企业之间不得存在投资关系。</w:t>
            </w:r>
          </w:p>
          <w:p w14:paraId="6BEA7445">
            <w:pPr>
              <w:pStyle w:val="21"/>
              <w:numPr>
                <w:ilvl w:val="255"/>
                <w:numId w:val="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4D4D15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若本项目属于预留份额专门面向中小企业采购活动，不再执行价格评审优惠的扶持政策。</w:t>
            </w:r>
          </w:p>
        </w:tc>
      </w:tr>
      <w:tr w14:paraId="2CC2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43026CF3">
            <w:pPr>
              <w:widowControl/>
              <w:spacing w:line="360" w:lineRule="auto"/>
              <w:jc w:val="center"/>
              <w:rPr>
                <w:rFonts w:ascii="宋体" w:hAnsi="宋体" w:cs="宋体"/>
                <w:b/>
                <w:dstrike/>
                <w:color w:val="auto"/>
                <w:sz w:val="24"/>
                <w:szCs w:val="24"/>
                <w:highlight w:val="none"/>
              </w:rPr>
            </w:pPr>
            <w:r>
              <w:rPr>
                <w:rFonts w:hint="eastAsia" w:ascii="宋体" w:hAnsi="宋体" w:cs="宋体"/>
                <w:b/>
                <w:color w:val="auto"/>
                <w:sz w:val="24"/>
                <w:szCs w:val="24"/>
                <w:highlight w:val="none"/>
              </w:rPr>
              <w:t>4</w:t>
            </w:r>
          </w:p>
        </w:tc>
        <w:tc>
          <w:tcPr>
            <w:tcW w:w="1677" w:type="dxa"/>
            <w:vAlign w:val="center"/>
          </w:tcPr>
          <w:p w14:paraId="7FAD0CB5">
            <w:pPr>
              <w:pStyle w:val="18"/>
              <w:spacing w:before="0" w:beforeAutospacing="0" w:after="0" w:afterAutospacing="0" w:line="360" w:lineRule="auto"/>
              <w:rPr>
                <w:color w:val="auto"/>
                <w:highlight w:val="none"/>
              </w:rPr>
            </w:pPr>
            <w:r>
              <w:rPr>
                <w:rFonts w:hint="eastAsia"/>
                <w:color w:val="auto"/>
                <w:highlight w:val="none"/>
              </w:rPr>
              <w:t>本项目对应的中小企业划分标准所属批发业</w:t>
            </w:r>
            <w:r>
              <w:rPr>
                <w:rFonts w:hint="eastAsia"/>
                <w:color w:val="auto"/>
                <w:highlight w:val="none"/>
                <w:u w:val="single"/>
              </w:rPr>
              <w:t>。</w:t>
            </w:r>
          </w:p>
        </w:tc>
        <w:tc>
          <w:tcPr>
            <w:tcW w:w="6063" w:type="dxa"/>
            <w:tcBorders>
              <w:bottom w:val="single" w:color="auto" w:sz="4" w:space="0"/>
            </w:tcBorders>
          </w:tcPr>
          <w:p w14:paraId="35845633">
            <w:pPr>
              <w:spacing w:line="360" w:lineRule="auto"/>
              <w:rPr>
                <w:rFonts w:ascii="宋体" w:hAnsi="宋体" w:cs="宋体"/>
                <w:dstrike/>
                <w:color w:val="auto"/>
                <w:sz w:val="24"/>
                <w:szCs w:val="24"/>
                <w:highlight w:val="none"/>
                <w:u w:val="single"/>
              </w:rPr>
            </w:pPr>
            <w:r>
              <w:rPr>
                <w:rFonts w:hint="eastAsia" w:ascii="宋体" w:hAnsi="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3DFD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14:paraId="04DBA87F">
            <w:pPr>
              <w:widowControl/>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5</w:t>
            </w:r>
          </w:p>
        </w:tc>
        <w:tc>
          <w:tcPr>
            <w:tcW w:w="1677" w:type="dxa"/>
            <w:vAlign w:val="center"/>
          </w:tcPr>
          <w:p w14:paraId="4FA5FF99">
            <w:pPr>
              <w:widowControl/>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相关风险</w:t>
            </w:r>
          </w:p>
        </w:tc>
        <w:tc>
          <w:tcPr>
            <w:tcW w:w="6063" w:type="dxa"/>
            <w:tcBorders>
              <w:bottom w:val="single" w:color="auto" w:sz="4" w:space="0"/>
            </w:tcBorders>
          </w:tcPr>
          <w:p w14:paraId="2FD5C6B9">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一、经评标委员会评审，存在下列任一情况的，投标人将不被视为中小企业：</w:t>
            </w:r>
          </w:p>
          <w:p w14:paraId="2BC291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1.投标人不符合“工信部联企业〔2011〕300号”规定的中小企业标准的；</w:t>
            </w:r>
          </w:p>
          <w:p w14:paraId="58356AA7">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二、提供虚假声明后果：</w:t>
            </w:r>
          </w:p>
          <w:p w14:paraId="7D5650D9">
            <w:pPr>
              <w:widowControl/>
              <w:spacing w:line="360" w:lineRule="auto"/>
              <w:rPr>
                <w:rFonts w:ascii="宋体" w:hAnsi="宋体" w:cs="宋体"/>
                <w:b/>
                <w:i/>
                <w:color w:val="auto"/>
                <w:kern w:val="0"/>
                <w:sz w:val="24"/>
                <w:szCs w:val="24"/>
                <w:highlight w:val="none"/>
                <w:u w:val="single"/>
              </w:rPr>
            </w:pPr>
            <w:r>
              <w:rPr>
                <w:rFonts w:hint="eastAsia" w:ascii="宋体" w:hAnsi="宋体" w:cs="宋体"/>
                <w:color w:val="auto"/>
                <w:kern w:val="0"/>
                <w:sz w:val="24"/>
                <w:szCs w:val="24"/>
                <w:highlight w:val="none"/>
              </w:rPr>
              <w:t>投标人为取得中小企业身份而提供虚假声明，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采购人、招标代理机构将有关情况上报政府采购监管部门，由监管部门按有关规定对其进行相应处罚。采购人、招标代理机构</w:t>
            </w:r>
            <w:r>
              <w:rPr>
                <w:rFonts w:hint="eastAsia" w:ascii="宋体" w:hAnsi="宋体" w:cs="宋体"/>
                <w:color w:val="auto"/>
                <w:sz w:val="24"/>
                <w:szCs w:val="24"/>
                <w:highlight w:val="none"/>
              </w:rPr>
              <w:t>有权上报财政部门，建议财政部门将该投标人列入不良行为记录名单，在一至三年内禁止该投标人参加政府采购活动并予以通报。</w:t>
            </w:r>
            <w:r>
              <w:rPr>
                <w:rFonts w:hint="eastAsia" w:ascii="宋体" w:hAnsi="宋体" w:cs="宋体"/>
                <w:b/>
                <w:i/>
                <w:color w:val="auto"/>
                <w:kern w:val="0"/>
                <w:sz w:val="24"/>
                <w:szCs w:val="24"/>
                <w:highlight w:val="none"/>
                <w:u w:val="single"/>
              </w:rPr>
              <w:t>（提醒：如果不满足中小企业的认定标准，则不需要提供《中小企业声明函》，否则因此导致虚假应标的后果由投标人自行承担。）</w:t>
            </w:r>
          </w:p>
        </w:tc>
      </w:tr>
    </w:tbl>
    <w:p w14:paraId="32F4175C">
      <w:pPr>
        <w:spacing w:line="360" w:lineRule="auto"/>
        <w:rPr>
          <w:rFonts w:ascii="宋体" w:hAnsi="宋体" w:cs="宋体"/>
          <w:b/>
          <w:color w:val="auto"/>
          <w:sz w:val="24"/>
          <w:szCs w:val="24"/>
          <w:highlight w:val="none"/>
        </w:rPr>
      </w:pPr>
    </w:p>
    <w:p w14:paraId="7D233EE7">
      <w:pPr>
        <w:spacing w:line="360" w:lineRule="auto"/>
        <w:rPr>
          <w:rFonts w:ascii="宋体" w:hAnsi="宋体" w:cs="宋体"/>
          <w:b/>
          <w:bCs/>
          <w:color w:val="auto"/>
          <w:sz w:val="24"/>
          <w:szCs w:val="24"/>
          <w:highlight w:val="none"/>
        </w:rPr>
      </w:pPr>
    </w:p>
    <w:p w14:paraId="13E7A22E">
      <w:pPr>
        <w:spacing w:line="360" w:lineRule="auto"/>
        <w:rPr>
          <w:rFonts w:ascii="宋体" w:hAnsi="宋体" w:cs="宋体"/>
          <w:b/>
          <w:bCs/>
          <w:color w:val="auto"/>
          <w:sz w:val="24"/>
          <w:szCs w:val="24"/>
          <w:highlight w:val="none"/>
        </w:rPr>
      </w:pPr>
    </w:p>
    <w:p w14:paraId="1030B015">
      <w:pPr>
        <w:spacing w:line="360" w:lineRule="auto"/>
        <w:rPr>
          <w:rFonts w:ascii="宋体" w:hAnsi="宋体" w:cs="宋体"/>
          <w:b/>
          <w:bCs/>
          <w:color w:val="auto"/>
          <w:sz w:val="24"/>
          <w:szCs w:val="24"/>
          <w:highlight w:val="none"/>
        </w:rPr>
      </w:pPr>
    </w:p>
    <w:p w14:paraId="24055B30">
      <w:pPr>
        <w:spacing w:line="360" w:lineRule="auto"/>
        <w:rPr>
          <w:rFonts w:ascii="宋体" w:hAnsi="宋体" w:cs="宋体"/>
          <w:b/>
          <w:bCs/>
          <w:color w:val="auto"/>
          <w:sz w:val="24"/>
          <w:szCs w:val="24"/>
          <w:highlight w:val="none"/>
        </w:rPr>
      </w:pPr>
    </w:p>
    <w:p w14:paraId="6F5818D8">
      <w:pPr>
        <w:spacing w:line="360" w:lineRule="auto"/>
        <w:rPr>
          <w:rFonts w:ascii="宋体" w:hAnsi="宋体" w:cs="宋体"/>
          <w:b/>
          <w:bCs/>
          <w:color w:val="auto"/>
          <w:sz w:val="24"/>
          <w:szCs w:val="24"/>
          <w:highlight w:val="none"/>
        </w:rPr>
      </w:pPr>
    </w:p>
    <w:p w14:paraId="590C5AE8">
      <w:pPr>
        <w:spacing w:line="360" w:lineRule="auto"/>
        <w:rPr>
          <w:rFonts w:ascii="宋体" w:hAnsi="宋体" w:cs="宋体"/>
          <w:b/>
          <w:bCs/>
          <w:color w:val="auto"/>
          <w:sz w:val="24"/>
          <w:szCs w:val="24"/>
          <w:highlight w:val="none"/>
        </w:rPr>
      </w:pPr>
    </w:p>
    <w:p w14:paraId="3851B169">
      <w:pPr>
        <w:spacing w:line="360" w:lineRule="auto"/>
        <w:rPr>
          <w:rFonts w:ascii="宋体" w:hAnsi="宋体" w:cs="宋体"/>
          <w:b/>
          <w:bCs/>
          <w:color w:val="auto"/>
          <w:sz w:val="24"/>
          <w:szCs w:val="24"/>
          <w:highlight w:val="none"/>
        </w:rPr>
      </w:pPr>
    </w:p>
    <w:p w14:paraId="5CBA2FA4">
      <w:pPr>
        <w:spacing w:line="360" w:lineRule="auto"/>
        <w:rPr>
          <w:rFonts w:ascii="宋体" w:hAnsi="宋体" w:cs="宋体"/>
          <w:b/>
          <w:bCs/>
          <w:color w:val="auto"/>
          <w:sz w:val="24"/>
          <w:szCs w:val="24"/>
          <w:highlight w:val="none"/>
        </w:rPr>
      </w:pPr>
    </w:p>
    <w:p w14:paraId="4B3D7724">
      <w:pPr>
        <w:spacing w:line="360" w:lineRule="auto"/>
        <w:rPr>
          <w:rFonts w:ascii="宋体" w:hAnsi="宋体" w:cs="宋体"/>
          <w:b/>
          <w:bCs/>
          <w:color w:val="auto"/>
          <w:sz w:val="24"/>
          <w:szCs w:val="24"/>
          <w:highlight w:val="none"/>
        </w:rPr>
      </w:pPr>
    </w:p>
    <w:p w14:paraId="2C16E14B">
      <w:pPr>
        <w:spacing w:line="360" w:lineRule="auto"/>
        <w:rPr>
          <w:rFonts w:ascii="宋体" w:hAnsi="宋体" w:cs="宋体"/>
          <w:b/>
          <w:bCs/>
          <w:color w:val="auto"/>
          <w:sz w:val="24"/>
          <w:szCs w:val="24"/>
          <w:highlight w:val="none"/>
        </w:rPr>
      </w:pPr>
    </w:p>
    <w:p w14:paraId="358B4893">
      <w:pPr>
        <w:spacing w:line="360" w:lineRule="auto"/>
        <w:rPr>
          <w:rFonts w:ascii="宋体" w:hAnsi="宋体" w:cs="宋体"/>
          <w:b/>
          <w:bCs/>
          <w:color w:val="auto"/>
          <w:sz w:val="24"/>
          <w:szCs w:val="24"/>
          <w:highlight w:val="none"/>
        </w:rPr>
      </w:pPr>
    </w:p>
    <w:p w14:paraId="2E671F9E">
      <w:pPr>
        <w:spacing w:line="360" w:lineRule="auto"/>
        <w:rPr>
          <w:rFonts w:ascii="宋体" w:hAnsi="宋体" w:cs="宋体"/>
          <w:b/>
          <w:bCs/>
          <w:color w:val="auto"/>
          <w:sz w:val="24"/>
          <w:szCs w:val="24"/>
          <w:highlight w:val="none"/>
        </w:rPr>
      </w:pPr>
    </w:p>
    <w:p w14:paraId="37EB431E">
      <w:pPr>
        <w:spacing w:line="360" w:lineRule="auto"/>
        <w:rPr>
          <w:rFonts w:ascii="宋体" w:hAnsi="宋体" w:cs="宋体"/>
          <w:b/>
          <w:bCs/>
          <w:color w:val="auto"/>
          <w:sz w:val="24"/>
          <w:szCs w:val="24"/>
          <w:highlight w:val="none"/>
        </w:rPr>
      </w:pPr>
    </w:p>
    <w:p w14:paraId="3B8FD072">
      <w:pPr>
        <w:spacing w:line="360" w:lineRule="auto"/>
        <w:rPr>
          <w:rFonts w:ascii="宋体" w:hAnsi="宋体" w:cs="宋体"/>
          <w:b/>
          <w:bCs/>
          <w:color w:val="auto"/>
          <w:sz w:val="24"/>
          <w:szCs w:val="24"/>
          <w:highlight w:val="none"/>
        </w:rPr>
      </w:pPr>
    </w:p>
    <w:p w14:paraId="5F07D566">
      <w:pPr>
        <w:spacing w:line="360" w:lineRule="auto"/>
        <w:rPr>
          <w:rFonts w:ascii="宋体" w:hAnsi="宋体" w:cs="宋体"/>
          <w:b/>
          <w:bCs/>
          <w:color w:val="auto"/>
          <w:sz w:val="24"/>
          <w:szCs w:val="24"/>
          <w:highlight w:val="none"/>
        </w:rPr>
      </w:pPr>
    </w:p>
    <w:p w14:paraId="0D4805EF">
      <w:pPr>
        <w:spacing w:line="360" w:lineRule="auto"/>
        <w:jc w:val="center"/>
        <w:rPr>
          <w:rFonts w:ascii="宋体" w:hAnsi="宋体" w:cs="宋体"/>
          <w:b/>
          <w:color w:val="auto"/>
          <w:sz w:val="32"/>
          <w:szCs w:val="32"/>
          <w:highlight w:val="none"/>
        </w:rPr>
        <w:sectPr>
          <w:pgSz w:w="11906" w:h="16838"/>
          <w:pgMar w:top="1440" w:right="1803" w:bottom="1440" w:left="1803" w:header="567" w:footer="567" w:gutter="0"/>
          <w:cols w:space="720" w:num="1"/>
          <w:docGrid w:linePitch="312" w:charSpace="0"/>
        </w:sectPr>
      </w:pPr>
      <w:bookmarkStart w:id="51" w:name="OLE_LINK1"/>
    </w:p>
    <w:p w14:paraId="4EB5002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第二章    投标人须知           </w:t>
      </w:r>
    </w:p>
    <w:p w14:paraId="33EF5B7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bookmarkEnd w:id="51"/>
    <w:p w14:paraId="7834D25C">
      <w:pPr>
        <w:spacing w:line="360" w:lineRule="auto"/>
        <w:jc w:val="center"/>
        <w:outlineLvl w:val="1"/>
        <w:rPr>
          <w:rFonts w:ascii="宋体" w:hAnsi="宋体" w:cs="宋体"/>
          <w:b/>
          <w:color w:val="auto"/>
          <w:sz w:val="24"/>
          <w:szCs w:val="24"/>
          <w:highlight w:val="none"/>
        </w:rPr>
      </w:pPr>
      <w:bookmarkStart w:id="52" w:name="_Toc11148"/>
      <w:bookmarkStart w:id="53" w:name="_Toc1205"/>
      <w:r>
        <w:rPr>
          <w:rFonts w:hint="eastAsia" w:ascii="宋体" w:hAnsi="宋体" w:cs="宋体"/>
          <w:b/>
          <w:color w:val="auto"/>
          <w:sz w:val="32"/>
          <w:szCs w:val="32"/>
          <w:highlight w:val="none"/>
        </w:rPr>
        <w:t>一、说明</w:t>
      </w:r>
      <w:bookmarkEnd w:id="52"/>
      <w:bookmarkEnd w:id="53"/>
    </w:p>
    <w:p w14:paraId="03FD882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适用范围</w:t>
      </w:r>
    </w:p>
    <w:p w14:paraId="093343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1.1本招标文件仅适用于投标邀请中所叙述项目的服务类政府采购。</w:t>
      </w:r>
    </w:p>
    <w:p w14:paraId="7C03322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定义</w:t>
      </w:r>
    </w:p>
    <w:p w14:paraId="14826F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“采购人”系指本次采购项目的业主方。</w:t>
      </w:r>
    </w:p>
    <w:p w14:paraId="02AAEB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 “招标采购单位”系指组织本次招标活动的采购人或招标代理机构。</w:t>
      </w:r>
    </w:p>
    <w:p w14:paraId="3D111C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 “招标代理机构”系指本次招标采购项目活动组织方。</w:t>
      </w:r>
    </w:p>
    <w:p w14:paraId="723145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 “投标人”系指购买了本招标文件，且已经提交或者准备提交本次投标文件的服务商。</w:t>
      </w:r>
    </w:p>
    <w:p w14:paraId="0AAAD5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 “服务”系指维护、管理、安装、调试、技术协助、校准、培训以及其他类似的义务。</w:t>
      </w:r>
    </w:p>
    <w:p w14:paraId="67DDF770">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2.6“项目”系以合同包为单位。</w:t>
      </w:r>
    </w:p>
    <w:p w14:paraId="4C812317">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3. 合格的投标人</w:t>
      </w:r>
    </w:p>
    <w:p w14:paraId="63C1043E">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3.1凡有能力提供本招标文件所述服务的，具备《中华人民共和国政府采购法》第二十二条第一款规定的条件且符合本招标文件规定资格要求的境内服务商均可能成为合格的投标人。</w:t>
      </w:r>
    </w:p>
    <w:p w14:paraId="72AC4793">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投标人具备《中华人民共和国政府采购法》第二十二条第一款规定的条件，应提供以下材料：</w:t>
      </w:r>
    </w:p>
    <w:p w14:paraId="46EA5679">
      <w:pPr>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（1）法人或者其他组织的营业执照等证明文件，自然人的身份证明；</w:t>
      </w:r>
    </w:p>
    <w:p w14:paraId="495ADA2F">
      <w:pPr>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投标人是法人或者其他组织的应提供营业执照等证明文件，投标人是自然人的应提供有效的自然人身份证明。</w:t>
      </w:r>
    </w:p>
    <w:p w14:paraId="72B88AD9">
      <w:pPr>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（2）投标人已提供加载有统一社会信用代码营业执照的，视为已提供税务登记证和组织机构代码证。</w:t>
      </w:r>
    </w:p>
    <w:p w14:paraId="1DDABA07">
      <w:pPr>
        <w:spacing w:line="360" w:lineRule="auto"/>
        <w:ind w:firstLine="480"/>
        <w:rPr>
          <w:rFonts w:ascii="宋体" w:hAnsi="宋体" w:cs="宋体"/>
          <w:color w:val="auto"/>
          <w:sz w:val="24"/>
          <w:szCs w:val="24"/>
          <w:highlight w:val="none"/>
        </w:rPr>
      </w:pPr>
      <w:r>
        <w:rPr>
          <w:rFonts w:hint="eastAsia" w:ascii="宋体" w:hAnsi="宋体" w:cs="宋体"/>
          <w:b/>
          <w:color w:val="auto"/>
          <w:sz w:val="24"/>
          <w:szCs w:val="24"/>
          <w:highlight w:val="none"/>
        </w:rPr>
        <w:t>（3）按要求提供福建省政府采购供应商资格承诺函。</w:t>
      </w:r>
    </w:p>
    <w:p w14:paraId="05955D3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3.2投标人应遵守并符合中国的有关法律、法规和规章的规定，同时其投标服务也应符合中国的有关法律、法规和规章的规定。</w:t>
      </w:r>
    </w:p>
    <w:p w14:paraId="52F20021">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3.3一个投标人只能提交一个投标文件。如果投标人之间存在下列互为关联关系的情形之一的，不得同时参加本项目同一合同包投标：</w:t>
      </w:r>
    </w:p>
    <w:p w14:paraId="59AAEC2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(1)法定代表人、单位负责人为同一人或夫妻关系的不同投标人；</w:t>
      </w:r>
    </w:p>
    <w:p w14:paraId="6178A390">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(2)存在直接控股、管理关系的不同投标人；</w:t>
      </w:r>
    </w:p>
    <w:p w14:paraId="413B8AA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(3)均为同一家母公司直接或间接持股50％及以上的被投资公司。</w:t>
      </w:r>
    </w:p>
    <w:p w14:paraId="256CCA48">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14:paraId="08C56C3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3.5如本项目接受联合体投标，则两个或者两个以上投标人可以组成一个投标联合体，以一个投标人的身份投标。</w:t>
      </w:r>
    </w:p>
    <w:p w14:paraId="74F883C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722F9F38">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1D514B8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（3）项目如涉及资质要求，该部分内容应由联合体中具有该资质要求的投标人承担。联合体协议及签订的采购合同应包含此项内容。</w:t>
      </w:r>
    </w:p>
    <w:p w14:paraId="600C3C27">
      <w:pPr>
        <w:spacing w:line="360" w:lineRule="auto"/>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（4）联合体中有同类资质的投标人按照联合体分工承担相同工作的，应当按照资质等级较低的投标人确定资质等级。</w:t>
      </w:r>
    </w:p>
    <w:p w14:paraId="508C1B5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p w14:paraId="7185E9E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3.7投标代理人在同一个项目中只能接受一个投标人的委托参加投标。</w:t>
      </w:r>
    </w:p>
    <w:p w14:paraId="65BD7D8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3.8投标人存在下列情形之一的，将被认定为串通投标行为并作无效投标处理：</w:t>
      </w:r>
    </w:p>
    <w:p w14:paraId="4D65E493">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（1）投标人之间协商投标报价等投标文件的实质性内容；</w:t>
      </w:r>
    </w:p>
    <w:p w14:paraId="68A39AC0">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（2）投标人之间约定中标供应商；</w:t>
      </w:r>
    </w:p>
    <w:p w14:paraId="191EF040">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（3）投标人之间约定部分投标人放弃投标或者中标；</w:t>
      </w:r>
    </w:p>
    <w:p w14:paraId="1ABED3B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（4）属于同一集团、协会、商会等组织成员的投标人按照该组织要求协同投标；</w:t>
      </w:r>
    </w:p>
    <w:p w14:paraId="1687043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（5）投标人之间为谋取中标或者排斥特定投标人而采取的其他联合行动；</w:t>
      </w:r>
    </w:p>
    <w:p w14:paraId="78C95AFA">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（6）不同投标人的投标文件由同一单位或者个人编制；</w:t>
      </w:r>
    </w:p>
    <w:p w14:paraId="27DE0B5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（7）不同投标人委托同一单位或者个人办理投标事宜；</w:t>
      </w:r>
    </w:p>
    <w:p w14:paraId="49E27CCA">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（8）不同投标人的投标文件载明的项目管理成员或者联系人员为同一人；</w:t>
      </w:r>
    </w:p>
    <w:p w14:paraId="76D3E9F8">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（9）不同投标人的投标文件异常一致或者投标报价呈规律性差异；</w:t>
      </w:r>
    </w:p>
    <w:p w14:paraId="000CA52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（10）不同投标人的投标文件相互混装；</w:t>
      </w:r>
    </w:p>
    <w:p w14:paraId="51BEE836">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（11）不同投标人的投标保证金从同一单位或者个人的账户转出。</w:t>
      </w:r>
    </w:p>
    <w:p w14:paraId="548A2CD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（12）不同投标人的投标文件错、漏之处一致或雷同，且不能合理解释的；</w:t>
      </w:r>
    </w:p>
    <w:p w14:paraId="226B177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（13）不同的投标人的法定代表人、委托代理人等由同一个单位缴纳社会保险的；</w:t>
      </w:r>
    </w:p>
    <w:p w14:paraId="7BEE518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183CA09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（15）有关法律、法规或规章规定的其他串通投标行为。</w:t>
      </w:r>
    </w:p>
    <w:p w14:paraId="6DA6217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 投标费用</w:t>
      </w:r>
    </w:p>
    <w:p w14:paraId="07498E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投标人自行承担其参加投标所涉及的一切费用。</w:t>
      </w:r>
    </w:p>
    <w:p w14:paraId="143827A9">
      <w:pPr>
        <w:spacing w:line="360" w:lineRule="auto"/>
        <w:rPr>
          <w:rFonts w:ascii="宋体" w:hAnsi="宋体" w:cs="宋体"/>
          <w:color w:val="auto"/>
          <w:sz w:val="24"/>
          <w:szCs w:val="24"/>
          <w:highlight w:val="none"/>
        </w:rPr>
      </w:pPr>
    </w:p>
    <w:p w14:paraId="248E3462">
      <w:pPr>
        <w:spacing w:line="360" w:lineRule="auto"/>
        <w:jc w:val="center"/>
        <w:outlineLvl w:val="1"/>
        <w:rPr>
          <w:rFonts w:ascii="宋体" w:hAnsi="宋体" w:cs="宋体"/>
          <w:b/>
          <w:color w:val="auto"/>
          <w:sz w:val="24"/>
          <w:szCs w:val="24"/>
          <w:highlight w:val="none"/>
        </w:rPr>
      </w:pPr>
      <w:bookmarkStart w:id="54" w:name="_Toc31340"/>
      <w:bookmarkStart w:id="55" w:name="_Toc27896"/>
      <w:r>
        <w:rPr>
          <w:rFonts w:hint="eastAsia" w:ascii="宋体" w:hAnsi="宋体" w:cs="宋体"/>
          <w:b/>
          <w:color w:val="auto"/>
          <w:sz w:val="32"/>
          <w:szCs w:val="32"/>
          <w:highlight w:val="none"/>
        </w:rPr>
        <w:t>二、招标文件</w:t>
      </w:r>
      <w:bookmarkEnd w:id="54"/>
      <w:bookmarkEnd w:id="55"/>
    </w:p>
    <w:p w14:paraId="095ABAE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 招标文件的组成</w:t>
      </w:r>
    </w:p>
    <w:p w14:paraId="2D3A10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5.1招标文件用以阐明所需服务招标程序、内容和合同主要条款。招标文件由下述部分组成：</w:t>
      </w:r>
    </w:p>
    <w:p w14:paraId="3B67EE0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（1）投标邀请函</w:t>
      </w:r>
    </w:p>
    <w:p w14:paraId="417B45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（2）投标人须知 </w:t>
      </w:r>
    </w:p>
    <w:p w14:paraId="3B9597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（3）招标内容及要求</w:t>
      </w:r>
    </w:p>
    <w:p w14:paraId="003233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（4）合同主要条款</w:t>
      </w:r>
    </w:p>
    <w:p w14:paraId="677498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（5）投标文件格式</w:t>
      </w:r>
    </w:p>
    <w:p w14:paraId="60F39EA3">
      <w:pPr>
        <w:spacing w:line="360" w:lineRule="auto"/>
        <w:rPr>
          <w:rFonts w:ascii="宋体" w:hAnsi="宋体" w:cs="宋体"/>
          <w:color w:val="auto"/>
          <w:sz w:val="24"/>
          <w:szCs w:val="24"/>
          <w:highlight w:val="none"/>
        </w:rPr>
      </w:pPr>
      <w:bookmarkStart w:id="56" w:name="_Toc415567497"/>
      <w:bookmarkStart w:id="57" w:name="_Toc430488644"/>
      <w:bookmarkStart w:id="58" w:name="_Toc430422413"/>
      <w:bookmarkStart w:id="59" w:name="_Toc430492126"/>
      <w:bookmarkStart w:id="60" w:name="_Toc430489119"/>
      <w:bookmarkStart w:id="61" w:name="_Toc430490612"/>
      <w:bookmarkStart w:id="62" w:name="_Toc430488851"/>
      <w:r>
        <w:rPr>
          <w:rFonts w:hint="eastAsia" w:ascii="宋体" w:hAnsi="宋体" w:cs="宋体"/>
          <w:color w:val="auto"/>
          <w:sz w:val="24"/>
          <w:szCs w:val="24"/>
          <w:highlight w:val="none"/>
        </w:rPr>
        <w:t>6.</w:t>
      </w:r>
      <w:bookmarkEnd w:id="56"/>
      <w:bookmarkEnd w:id="57"/>
      <w:bookmarkEnd w:id="58"/>
      <w:bookmarkEnd w:id="59"/>
      <w:bookmarkEnd w:id="60"/>
      <w:bookmarkEnd w:id="61"/>
      <w:bookmarkEnd w:id="62"/>
      <w:r>
        <w:rPr>
          <w:rFonts w:hint="eastAsia" w:ascii="宋体" w:hAnsi="宋体" w:cs="宋体"/>
          <w:color w:val="auto"/>
          <w:sz w:val="24"/>
          <w:szCs w:val="24"/>
          <w:highlight w:val="none"/>
        </w:rPr>
        <w:t xml:space="preserve"> 招标文件的澄清及</w:t>
      </w:r>
      <w:r>
        <w:rPr>
          <w:rFonts w:hint="eastAsia" w:ascii="宋体" w:hAnsi="宋体" w:cs="宋体"/>
          <w:bCs/>
          <w:color w:val="auto"/>
          <w:sz w:val="24"/>
          <w:szCs w:val="24"/>
          <w:highlight w:val="none"/>
        </w:rPr>
        <w:t>修改</w:t>
      </w:r>
    </w:p>
    <w:p w14:paraId="0C8DEEC2">
      <w:pPr>
        <w:spacing w:line="360" w:lineRule="auto"/>
        <w:ind w:firstLine="480" w:firstLineChars="200"/>
        <w:rPr>
          <w:rFonts w:ascii="宋体" w:hAnsi="宋体" w:cs="宋体"/>
          <w:bCs/>
          <w:color w:val="auto"/>
          <w:sz w:val="24"/>
          <w:szCs w:val="24"/>
          <w:highlight w:val="none"/>
        </w:rPr>
      </w:pPr>
      <w:bookmarkStart w:id="63" w:name="_Toc14673"/>
      <w:bookmarkStart w:id="64" w:name="_Toc23342"/>
      <w:bookmarkStart w:id="65" w:name="_Toc2527"/>
      <w:bookmarkStart w:id="66" w:name="_Toc14186"/>
      <w:bookmarkStart w:id="67" w:name="_Toc1102"/>
      <w:bookmarkStart w:id="68" w:name="_Toc16853"/>
      <w:bookmarkStart w:id="69" w:name="_Toc1767"/>
      <w:bookmarkStart w:id="70" w:name="_Toc7334"/>
      <w:bookmarkStart w:id="71" w:name="_Toc1104"/>
      <w:r>
        <w:rPr>
          <w:rFonts w:hint="eastAsia" w:ascii="宋体" w:hAnsi="宋体" w:cs="宋体"/>
          <w:bCs/>
          <w:color w:val="auto"/>
          <w:sz w:val="24"/>
          <w:szCs w:val="24"/>
          <w:highlight w:val="none"/>
        </w:rPr>
        <w:t>6.1 投标人对招标文件如有疑点，可要求澄清。要求澄清应按投标邀请中载明的地址以书面形式（包括信函、传真、电子邮件，下同）通知招标代理机构。招标代理机构将视情况在投标截止时间15个日历日（如至原定截止时间不足15个日历日，则需延长开标时间）前将书面答复发给所有投标人，并在原采购信息发布媒体上发布更正公告。该澄清内容为招标文件的组成部分。</w:t>
      </w:r>
      <w:bookmarkEnd w:id="63"/>
      <w:bookmarkEnd w:id="64"/>
      <w:bookmarkEnd w:id="65"/>
      <w:bookmarkEnd w:id="66"/>
      <w:bookmarkEnd w:id="67"/>
      <w:bookmarkEnd w:id="68"/>
      <w:bookmarkEnd w:id="69"/>
      <w:bookmarkEnd w:id="70"/>
      <w:bookmarkEnd w:id="71"/>
    </w:p>
    <w:p w14:paraId="6AB4AD77">
      <w:pPr>
        <w:spacing w:line="360" w:lineRule="auto"/>
        <w:ind w:firstLine="480" w:firstLineChars="200"/>
        <w:rPr>
          <w:rFonts w:ascii="宋体" w:hAnsi="宋体" w:cs="宋体"/>
          <w:bCs/>
          <w:color w:val="auto"/>
          <w:sz w:val="24"/>
          <w:szCs w:val="24"/>
          <w:highlight w:val="none"/>
        </w:rPr>
      </w:pPr>
      <w:bookmarkStart w:id="72" w:name="_Toc5804"/>
      <w:bookmarkStart w:id="73" w:name="_Toc4269"/>
      <w:bookmarkStart w:id="74" w:name="_Toc32084"/>
      <w:bookmarkStart w:id="75" w:name="_Toc27561"/>
      <w:bookmarkStart w:id="76" w:name="_Toc26473"/>
      <w:bookmarkStart w:id="77" w:name="_Toc22329"/>
      <w:bookmarkStart w:id="78" w:name="_Toc4192"/>
      <w:bookmarkStart w:id="79" w:name="_Toc6231"/>
      <w:bookmarkStart w:id="80" w:name="_Toc20606"/>
      <w:r>
        <w:rPr>
          <w:rFonts w:hint="eastAsia" w:ascii="宋体" w:hAnsi="宋体" w:cs="宋体"/>
          <w:bCs/>
          <w:color w:val="auto"/>
          <w:sz w:val="24"/>
          <w:szCs w:val="24"/>
          <w:highlight w:val="none"/>
        </w:rPr>
        <w:t>6.2至投标截止时间15日（如至原定截止时间不足15个日历日，则需延长开标时间）前，招标代理机构可主动或依投标人要求澄清的问题修改招标文件，但应当在原信息发布媒体上发布更正公告，并以书面形式通知所有招标文件收受人，投标人在收到该通知后应当立即以传真形式予以确认。该修改内容为招标文件的组成部分，对投标人具有约束力。但本招标文件第6.3条规定的推迟投标截止时间和开标时间情形不受本条约束。</w:t>
      </w:r>
      <w:bookmarkEnd w:id="72"/>
      <w:bookmarkEnd w:id="73"/>
      <w:bookmarkEnd w:id="74"/>
      <w:bookmarkEnd w:id="75"/>
      <w:bookmarkEnd w:id="76"/>
      <w:bookmarkEnd w:id="77"/>
      <w:bookmarkEnd w:id="78"/>
      <w:bookmarkEnd w:id="79"/>
      <w:bookmarkEnd w:id="80"/>
    </w:p>
    <w:p w14:paraId="4C077E83">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6.3</w:t>
      </w:r>
      <w:r>
        <w:rPr>
          <w:rFonts w:hint="eastAsia" w:ascii="宋体" w:hAnsi="宋体" w:cs="宋体"/>
          <w:color w:val="auto"/>
          <w:sz w:val="24"/>
          <w:szCs w:val="24"/>
          <w:highlight w:val="none"/>
        </w:rPr>
        <w:t>为使投标人在准备投标文件时有合理的时间考虑投标文件的修改，招标</w:t>
      </w:r>
      <w:r>
        <w:rPr>
          <w:rFonts w:hint="eastAsia" w:ascii="宋体" w:hAnsi="宋体" w:cs="宋体"/>
          <w:bCs/>
          <w:color w:val="auto"/>
          <w:sz w:val="24"/>
          <w:szCs w:val="24"/>
          <w:highlight w:val="none"/>
        </w:rPr>
        <w:t>代理机构可酌情推迟投标截止时间和开标时间，但应当至少在投标截止时间3个日历日前将变更时间以书面形式通知所有招标文件收受人</w:t>
      </w:r>
      <w:r>
        <w:rPr>
          <w:rFonts w:hint="eastAsia" w:ascii="宋体" w:hAnsi="宋体" w:cs="宋体"/>
          <w:color w:val="auto"/>
          <w:sz w:val="24"/>
          <w:szCs w:val="24"/>
          <w:highlight w:val="none"/>
        </w:rPr>
        <w:t>，并在原采购信息发布媒体上发布更正公告。在此情况下，</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和投标人受投标截止期制约的所有权利和义务均应延长至新的截止日期。</w:t>
      </w:r>
    </w:p>
    <w:p w14:paraId="18E13AE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7.项目暂停</w:t>
      </w:r>
    </w:p>
    <w:p w14:paraId="52DAED9A">
      <w:pPr>
        <w:spacing w:line="360" w:lineRule="auto"/>
        <w:ind w:firstLine="480" w:firstLineChars="200"/>
        <w:rPr>
          <w:rFonts w:ascii="宋体" w:hAnsi="宋体" w:cs="宋体"/>
          <w:bCs/>
          <w:color w:val="auto"/>
          <w:sz w:val="24"/>
          <w:szCs w:val="24"/>
          <w:highlight w:val="none"/>
        </w:rPr>
      </w:pPr>
      <w:bookmarkStart w:id="81" w:name="_Toc15372"/>
      <w:bookmarkStart w:id="82" w:name="_Toc4671"/>
      <w:bookmarkStart w:id="83" w:name="_Toc8849"/>
      <w:bookmarkStart w:id="84" w:name="_Toc29387"/>
      <w:bookmarkStart w:id="85" w:name="_Toc26780"/>
      <w:bookmarkStart w:id="86" w:name="_Toc15076"/>
      <w:bookmarkStart w:id="87" w:name="_Toc4423"/>
      <w:bookmarkStart w:id="88" w:name="_Toc6991"/>
      <w:bookmarkStart w:id="89" w:name="_Toc17185"/>
      <w:r>
        <w:rPr>
          <w:rFonts w:hint="eastAsia" w:ascii="宋体" w:hAnsi="宋体" w:cs="宋体"/>
          <w:bCs/>
          <w:color w:val="auto"/>
          <w:sz w:val="24"/>
          <w:szCs w:val="24"/>
          <w:highlight w:val="none"/>
        </w:rPr>
        <w:t>7.1招标代理机构可以视采购具体情况，在投标截止时间前宣布项目暂停；并根据项目实际进度，另行通知项目重新启动。涉及招标文件修改的，应当在新确定的投标截止时间15个日历日前在原采购信息发布媒体上发布更正公告；仅涉及投标截止时间和开标时间更改的，应当至少在新确定的投标截止时间3个日历日前将变更时间在原采购信息发布媒体上发布变更公告。</w:t>
      </w:r>
      <w:bookmarkEnd w:id="81"/>
      <w:bookmarkEnd w:id="82"/>
      <w:bookmarkEnd w:id="83"/>
      <w:bookmarkEnd w:id="84"/>
      <w:bookmarkEnd w:id="85"/>
      <w:bookmarkEnd w:id="86"/>
      <w:bookmarkEnd w:id="87"/>
      <w:bookmarkEnd w:id="88"/>
      <w:bookmarkEnd w:id="89"/>
    </w:p>
    <w:p w14:paraId="1DE084FA">
      <w:pPr>
        <w:spacing w:line="360" w:lineRule="auto"/>
        <w:ind w:firstLine="480" w:firstLineChars="200"/>
        <w:rPr>
          <w:rFonts w:ascii="宋体" w:hAnsi="宋体" w:cs="宋体"/>
          <w:color w:val="auto"/>
          <w:sz w:val="24"/>
          <w:szCs w:val="24"/>
          <w:highlight w:val="none"/>
        </w:rPr>
      </w:pPr>
    </w:p>
    <w:p w14:paraId="2A8E8492">
      <w:pPr>
        <w:spacing w:line="360" w:lineRule="auto"/>
        <w:ind w:firstLine="480" w:firstLineChars="200"/>
        <w:rPr>
          <w:rFonts w:ascii="宋体" w:hAnsi="宋体" w:cs="宋体"/>
          <w:color w:val="auto"/>
          <w:sz w:val="24"/>
          <w:szCs w:val="24"/>
          <w:highlight w:val="none"/>
        </w:rPr>
      </w:pPr>
    </w:p>
    <w:p w14:paraId="67B704F2">
      <w:pPr>
        <w:spacing w:line="360" w:lineRule="auto"/>
        <w:jc w:val="center"/>
        <w:outlineLvl w:val="1"/>
        <w:rPr>
          <w:rFonts w:ascii="宋体" w:hAnsi="宋体" w:cs="宋体"/>
          <w:b/>
          <w:color w:val="auto"/>
          <w:sz w:val="24"/>
          <w:szCs w:val="24"/>
          <w:highlight w:val="none"/>
        </w:rPr>
      </w:pPr>
      <w:bookmarkStart w:id="90" w:name="_Toc13592"/>
      <w:bookmarkStart w:id="91" w:name="_Toc10496"/>
      <w:r>
        <w:rPr>
          <w:rFonts w:hint="eastAsia" w:ascii="宋体" w:hAnsi="宋体" w:cs="宋体"/>
          <w:b/>
          <w:color w:val="auto"/>
          <w:sz w:val="32"/>
          <w:szCs w:val="32"/>
          <w:highlight w:val="none"/>
        </w:rPr>
        <w:t>三、投标文件的编写</w:t>
      </w:r>
      <w:bookmarkEnd w:id="90"/>
      <w:bookmarkEnd w:id="91"/>
    </w:p>
    <w:p w14:paraId="1628297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 要求</w:t>
      </w:r>
    </w:p>
    <w:p w14:paraId="55ABA9B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p w14:paraId="74391DD1">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8.2除非有另外的规定，投标人可对招标服务一览表所列的全部合同包或部分合同包进行投标。招标采购单位不接受有任何可选择性的报价，每一种服务只能有一个报价，否则其投标将被拒绝。</w:t>
      </w:r>
    </w:p>
    <w:p w14:paraId="41E0DF8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 投标文件语言</w:t>
      </w:r>
    </w:p>
    <w:p w14:paraId="410FB86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9.1投标文件应用中文书写。投标文件中所附或所引用的文件不是中文时，应附中文译本。各种计量单位及符号应采用国际上统一使用的公制计量单位和符号。</w:t>
      </w:r>
    </w:p>
    <w:p w14:paraId="6D0F6C8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 投标文件的组成</w:t>
      </w:r>
    </w:p>
    <w:p w14:paraId="4855E3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10.1投标文件应包括下列部分：</w:t>
      </w:r>
    </w:p>
    <w:p w14:paraId="24036A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投标书</w:t>
      </w:r>
    </w:p>
    <w:p w14:paraId="376C7F9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开标一览表</w:t>
      </w:r>
    </w:p>
    <w:p w14:paraId="0F24F9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投标分项报价表</w:t>
      </w:r>
    </w:p>
    <w:p w14:paraId="6BE204A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项目说明一览表</w:t>
      </w:r>
    </w:p>
    <w:p w14:paraId="4318E1F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供货方案及质量保证措施</w:t>
      </w:r>
    </w:p>
    <w:p w14:paraId="51808B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6208E2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 投标人资格证明文件</w:t>
      </w:r>
    </w:p>
    <w:p w14:paraId="496E5C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 投标人提交的其他资料</w:t>
      </w:r>
    </w:p>
    <w:p w14:paraId="02BA79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 代理服务费承诺书</w:t>
      </w:r>
    </w:p>
    <w:p w14:paraId="1579F5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 投标保证金</w:t>
      </w:r>
    </w:p>
    <w:p w14:paraId="5A6A9A0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 投标有效期</w:t>
      </w:r>
    </w:p>
    <w:p w14:paraId="383A095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11.1投标文件从投标截止之日开始生效，在</w:t>
      </w:r>
      <w:r>
        <w:rPr>
          <w:rFonts w:hint="eastAsia" w:ascii="宋体" w:hAnsi="宋体" w:cs="宋体"/>
          <w:b/>
          <w:bCs/>
          <w:color w:val="auto"/>
          <w:sz w:val="24"/>
          <w:szCs w:val="24"/>
          <w:highlight w:val="none"/>
        </w:rPr>
        <w:t>投标人须知前附表1</w:t>
      </w:r>
      <w:r>
        <w:rPr>
          <w:rFonts w:hint="eastAsia" w:ascii="宋体" w:hAnsi="宋体" w:cs="宋体"/>
          <w:b/>
          <w:color w:val="auto"/>
          <w:sz w:val="24"/>
          <w:szCs w:val="24"/>
          <w:highlight w:val="none"/>
        </w:rPr>
        <w:t>第3项所规定的期限内保持有效。有效期不足将导致其投标文件被拒绝。</w:t>
      </w:r>
    </w:p>
    <w:p w14:paraId="34CE3F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FCB2D6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 投标保证金</w:t>
      </w:r>
    </w:p>
    <w:p w14:paraId="3C65B6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 投标保证金为投标文件的组成部分之一。</w:t>
      </w:r>
    </w:p>
    <w:p w14:paraId="711F20E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投标人应在提交投标文件之前向招标代理机构</w:t>
      </w:r>
      <w:r>
        <w:rPr>
          <w:rFonts w:hint="eastAsia" w:ascii="宋体" w:hAnsi="宋体" w:cs="宋体"/>
          <w:color w:val="auto"/>
          <w:sz w:val="24"/>
          <w:szCs w:val="24"/>
          <w:highlight w:val="none"/>
          <w:u w:val="single"/>
        </w:rPr>
        <w:t>指定的政府采购保证金专户</w:t>
      </w:r>
      <w:r>
        <w:rPr>
          <w:rFonts w:hint="eastAsia" w:ascii="宋体" w:hAnsi="宋体" w:cs="宋体"/>
          <w:color w:val="auto"/>
          <w:sz w:val="24"/>
          <w:szCs w:val="24"/>
          <w:highlight w:val="none"/>
        </w:rPr>
        <w:t>缴交投标保证金。联合体投标的，可以由联合体中的一方或者共同提交投标保证金，以一方名义提交投标保证金的，对联合体各方均具有约束力。</w:t>
      </w:r>
    </w:p>
    <w:p w14:paraId="3976C3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 投标保证金用于保护本次招标活动免受投标人的行为而引起的风险。</w:t>
      </w:r>
    </w:p>
    <w:p w14:paraId="57A202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12.4投标保证金以转账、电汇两种形式提交（不收取现金、现金支票，不能用个人卡在银联支付系统转账，否则作未提交保证金处理），投标保证金应在投标截止时间前到账。</w:t>
      </w:r>
    </w:p>
    <w:p w14:paraId="74DC6026">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12.5未按要求缴交投标保证金的投标，将被视为无效投标。</w:t>
      </w:r>
    </w:p>
    <w:p w14:paraId="79A026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12.6招标代理机构将在中标通知书发出之日起5个工作日内予以原额无息退还未中标供应商的投标保证金。</w:t>
      </w:r>
    </w:p>
    <w:p w14:paraId="636BAC2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12.7在中标供应商支付所有代理服务费并签订合同后5个工作日内，招标代理机构对中标供应商的投标保证金予以原额无息退还。</w:t>
      </w:r>
    </w:p>
    <w:p w14:paraId="6933B85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12.8投标保证金有效期应当与投标有效期一致。投标保证金产生的银行利息统一上缴市财政。</w:t>
      </w:r>
    </w:p>
    <w:p w14:paraId="167573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12.9 发生以下情形之一的，投标保证金将不予退还，</w:t>
      </w:r>
      <w:r>
        <w:rPr>
          <w:rFonts w:hint="eastAsia" w:ascii="宋体" w:hAnsi="宋体" w:cs="宋体"/>
          <w:color w:val="auto"/>
          <w:sz w:val="24"/>
          <w:szCs w:val="24"/>
          <w:highlight w:val="none"/>
          <w:u w:val="single"/>
        </w:rPr>
        <w:t>由招标代理机构上缴财政部门</w:t>
      </w:r>
      <w:r>
        <w:rPr>
          <w:rFonts w:hint="eastAsia" w:ascii="宋体" w:hAnsi="宋体" w:cs="宋体"/>
          <w:color w:val="auto"/>
          <w:sz w:val="24"/>
          <w:szCs w:val="24"/>
          <w:highlight w:val="none"/>
        </w:rPr>
        <w:t>：</w:t>
      </w:r>
    </w:p>
    <w:p w14:paraId="560F5EDA">
      <w:pPr>
        <w:pStyle w:val="5"/>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投标人在投标截止时间后，投标有效期内撤回投标；</w:t>
      </w:r>
    </w:p>
    <w:p w14:paraId="3B2CA1CB">
      <w:pPr>
        <w:spacing w:line="360" w:lineRule="auto"/>
        <w:ind w:left="239" w:leftChars="114"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（2）除因不可抗力或招标文件认可的情形外，中标供应商未能按本须知第22条规定签订合同的；</w:t>
      </w:r>
    </w:p>
    <w:p w14:paraId="69CFE0D4">
      <w:pPr>
        <w:spacing w:line="360" w:lineRule="auto"/>
        <w:ind w:left="707" w:leftChars="228" w:hanging="228" w:hangingChars="95"/>
        <w:rPr>
          <w:rFonts w:ascii="宋体" w:hAnsi="宋体" w:cs="宋体"/>
          <w:color w:val="auto"/>
          <w:sz w:val="24"/>
          <w:szCs w:val="24"/>
          <w:highlight w:val="none"/>
        </w:rPr>
      </w:pPr>
      <w:r>
        <w:rPr>
          <w:rFonts w:hint="eastAsia" w:ascii="宋体" w:hAnsi="宋体" w:cs="宋体"/>
          <w:color w:val="auto"/>
          <w:sz w:val="24"/>
          <w:szCs w:val="24"/>
          <w:highlight w:val="none"/>
        </w:rPr>
        <w:t>（3）中标供应商未按投标人须知前附表1规定缴纳代理服务费；</w:t>
      </w:r>
    </w:p>
    <w:p w14:paraId="0C4425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（4）以他人名义投标或者以其他方式弄虚作假，骗取中标的；</w:t>
      </w:r>
    </w:p>
    <w:p w14:paraId="73D6B29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（5）投标人在响应文件中提供虚假材料的；</w:t>
      </w:r>
    </w:p>
    <w:p w14:paraId="0DD396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（6）在禁止参加政府采购活动的处罚有效期内，仍参加政府采购活动的；</w:t>
      </w:r>
    </w:p>
    <w:p w14:paraId="3FCA77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（7）以不正当手段诋毁、排挤其他投标人的；</w:t>
      </w:r>
    </w:p>
    <w:p w14:paraId="7A63D9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（8）因本项目政府采购过程中的违法行为，受到行政处罚的；</w:t>
      </w:r>
    </w:p>
    <w:p w14:paraId="589C7D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（9）与采购人、其他投标人或者采购代理机构恶意串通的；</w:t>
      </w:r>
    </w:p>
    <w:p w14:paraId="38E0E3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（10）法律、法规、规章及本招标文件中规定的其他没收投标保证金的情形。</w:t>
      </w:r>
    </w:p>
    <w:p w14:paraId="3838C50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上述不予退还投标保证金的情形给招标采购单位造成损失的，相关责任人还应当承担赔偿责任。</w:t>
      </w:r>
    </w:p>
    <w:p w14:paraId="2A7CB08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 投标文件的格式</w:t>
      </w:r>
    </w:p>
    <w:p w14:paraId="5F9863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13.1投标人须编制由本须知第10条规定文件组成的投标文件正本一份，副本</w:t>
      </w:r>
      <w:r>
        <w:rPr>
          <w:rFonts w:hint="eastAsia" w:ascii="宋体" w:hAnsi="宋体" w:cs="宋体"/>
          <w:color w:val="auto"/>
          <w:sz w:val="24"/>
          <w:szCs w:val="24"/>
          <w:highlight w:val="none"/>
          <w:u w:val="single"/>
        </w:rPr>
        <w:t>四</w:t>
      </w:r>
      <w:r>
        <w:rPr>
          <w:rFonts w:hint="eastAsia" w:ascii="宋体" w:hAnsi="宋体" w:cs="宋体"/>
          <w:color w:val="auto"/>
          <w:sz w:val="24"/>
          <w:szCs w:val="24"/>
          <w:highlight w:val="none"/>
        </w:rPr>
        <w:t>份，正本用A4幅面纸张打印装订，副本可以用正本的完整复印件，并在封面标明“正本”、“副本”字样。正本与副本如有不一致，则以正本为准。</w:t>
      </w:r>
      <w:r>
        <w:rPr>
          <w:rFonts w:hint="eastAsia" w:ascii="宋体" w:hAnsi="宋体" w:cs="宋体"/>
          <w:b/>
          <w:color w:val="auto"/>
          <w:sz w:val="24"/>
          <w:szCs w:val="24"/>
          <w:highlight w:val="none"/>
        </w:rPr>
        <w:t>投标人须提供最终盖章签字投标文件扫描件刻录</w:t>
      </w:r>
      <w:r>
        <w:rPr>
          <w:rFonts w:ascii="宋体" w:hAnsi="宋体" w:cs="宋体"/>
          <w:b/>
          <w:color w:val="auto"/>
          <w:sz w:val="24"/>
          <w:szCs w:val="24"/>
          <w:highlight w:val="none"/>
        </w:rPr>
        <w:t>u盘（或光盘）2份。</w:t>
      </w:r>
    </w:p>
    <w:p w14:paraId="6E6756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13.2投标文件应由投标人的法定代表人或者其授权代表签字并加盖公章，如由后者签字，应提供“单位授权委托书”。 </w:t>
      </w:r>
    </w:p>
    <w:p w14:paraId="3BE26A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13.3除非有另外的规定或许可，投标使用货币为人民币。</w:t>
      </w:r>
    </w:p>
    <w:p w14:paraId="45D427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13.4投标人应提交证明其拟提供服务符合招标文件要求的技术响应文件，该文件可以是文字资料、图纸和数据，并须提供服务主要技术性能的详细描述。</w:t>
      </w:r>
    </w:p>
    <w:p w14:paraId="0B3FD3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13.5 投标文件的正本和全部副本均应使用不能擦去的墨料或墨水打印、书写或复印，并由法定代表人或其授权代表签署，盖投标人公章。</w:t>
      </w:r>
    </w:p>
    <w:p w14:paraId="6C94766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13.6全套投标文件应无涂改和行间插字，除非这些改动是根据招标代理机构的指示进行的，或者是为改正投标人造成的必须修改的错误而进行的。有改动时，修改处应当由法定代表人或授权代表签字证明或加盖投标人公章。 </w:t>
      </w:r>
    </w:p>
    <w:p w14:paraId="62610AF2">
      <w:pPr>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13.7未按本须知规定的格式填写投标文件、投标文件字迹模糊不清的，其投标将被拒绝。</w:t>
      </w:r>
    </w:p>
    <w:p w14:paraId="1C2868D7">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13.8所有资格证明文件复印件须加盖投标人公章。</w:t>
      </w:r>
    </w:p>
    <w:p w14:paraId="6D81937A">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13.9 投标人应将上述文件按顺序装订成册、打印页码，并编列投标文件目录、资料清单，由于装订不规范或编排顺序混乱而导致投标文件被误读或漏读，该投标可能被视为无效投标或承担不利的评标结果。</w:t>
      </w:r>
    </w:p>
    <w:p w14:paraId="31A12FCA">
      <w:pPr>
        <w:spacing w:line="360" w:lineRule="auto"/>
        <w:rPr>
          <w:rFonts w:ascii="宋体" w:hAnsi="宋体" w:cs="宋体"/>
          <w:color w:val="auto"/>
          <w:sz w:val="24"/>
          <w:szCs w:val="24"/>
          <w:highlight w:val="none"/>
        </w:rPr>
      </w:pPr>
    </w:p>
    <w:p w14:paraId="0880DDE0">
      <w:pPr>
        <w:spacing w:line="360" w:lineRule="auto"/>
        <w:jc w:val="center"/>
        <w:outlineLvl w:val="1"/>
        <w:rPr>
          <w:rFonts w:ascii="宋体" w:hAnsi="宋体" w:cs="宋体"/>
          <w:b/>
          <w:color w:val="auto"/>
          <w:sz w:val="24"/>
          <w:szCs w:val="24"/>
          <w:highlight w:val="none"/>
        </w:rPr>
      </w:pPr>
      <w:bookmarkStart w:id="92" w:name="_Toc12930"/>
      <w:bookmarkStart w:id="93" w:name="_Toc3277"/>
      <w:r>
        <w:rPr>
          <w:rFonts w:hint="eastAsia" w:ascii="宋体" w:hAnsi="宋体" w:cs="宋体"/>
          <w:b/>
          <w:color w:val="auto"/>
          <w:sz w:val="32"/>
          <w:szCs w:val="32"/>
          <w:highlight w:val="none"/>
        </w:rPr>
        <w:t>四、投标文件的提交</w:t>
      </w:r>
      <w:bookmarkEnd w:id="92"/>
      <w:bookmarkEnd w:id="93"/>
    </w:p>
    <w:p w14:paraId="58C8D22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14. 投标文件的密封、标记和递交</w:t>
      </w:r>
    </w:p>
    <w:p w14:paraId="7F68AE87">
      <w:pPr>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 xml:space="preserve">    14.1 投标人应将投标文件正本和全部副本分别用信封密封，并标明招标编号、投标人名称、投标服务名称及“正本”或“副本”字样。</w:t>
      </w:r>
      <w:r>
        <w:rPr>
          <w:rFonts w:hint="eastAsia" w:ascii="宋体" w:hAnsi="宋体" w:cs="宋体"/>
          <w:b/>
          <w:color w:val="auto"/>
          <w:sz w:val="24"/>
          <w:szCs w:val="24"/>
          <w:highlight w:val="none"/>
        </w:rPr>
        <w:t>投标文件未密封将导致其投标被拒绝。</w:t>
      </w:r>
    </w:p>
    <w:p w14:paraId="06D943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14.2 每一信封密封处应注明“于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之前（指招标邀请中规定的开标日期及时间）不准启封”的字样，并加盖投标人公章或由投标代表签字。</w:t>
      </w:r>
    </w:p>
    <w:p w14:paraId="4F2C4DF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14.3如果投标文件由邮局或专人送交，投标人应将投标文件按照本须知第14.1条至第14.2条的规定进行密封和标记后，按投标人须知前附表1注明的地址送至接收人。</w:t>
      </w:r>
    </w:p>
    <w:p w14:paraId="53A82D9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14.4如果未按上述规定进行密封和标记，招标代理机构将不承担由此造成的对投标文件的误投或提前拆封的责任。</w:t>
      </w:r>
    </w:p>
    <w:p w14:paraId="6B32BE19">
      <w:pPr>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 xml:space="preserve"> 14.5投标文件应在投标邀请中规定的截止时间前送达，迟到的投标文件为无效投标文件， 将被拒收。</w:t>
      </w:r>
    </w:p>
    <w:p w14:paraId="3B454C16">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14.6投标人在投标截止时间前，可以对所提交的投标文件进行修改或者撤回，并书面通知招标代理机构。修改的内容和撤回通知应当按本须知要求签署、盖章、密封，并作为投标文件的组成部分。</w:t>
      </w:r>
    </w:p>
    <w:p w14:paraId="76A563FA">
      <w:pPr>
        <w:spacing w:line="360" w:lineRule="auto"/>
        <w:ind w:firstLine="480"/>
        <w:rPr>
          <w:rFonts w:ascii="宋体" w:hAnsi="宋体" w:cs="宋体"/>
          <w:b/>
          <w:color w:val="auto"/>
          <w:sz w:val="24"/>
          <w:szCs w:val="24"/>
          <w:highlight w:val="none"/>
        </w:rPr>
      </w:pPr>
      <w:r>
        <w:rPr>
          <w:rFonts w:hint="eastAsia" w:ascii="宋体" w:hAnsi="宋体" w:cs="宋体"/>
          <w:b/>
          <w:color w:val="auto"/>
          <w:sz w:val="24"/>
          <w:szCs w:val="24"/>
          <w:highlight w:val="none"/>
        </w:rPr>
        <w:t>14.7投标人在投标截止时间后不得修改、撤回投标文件。投标人在投标截止时间后修改投标文件的，其投标将被拒绝。</w:t>
      </w:r>
    </w:p>
    <w:p w14:paraId="5F0F9D11">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14.8投标截止时间结束后参加投标的投标人不足3家的，本次招标程序终止，除采购任务取消情形外，招标采购单位将依法重新组织招标或者采取其他方式采购。</w:t>
      </w:r>
    </w:p>
    <w:p w14:paraId="1E97EFE5">
      <w:pPr>
        <w:spacing w:line="360" w:lineRule="auto"/>
        <w:ind w:firstLine="480" w:firstLineChars="200"/>
        <w:rPr>
          <w:rFonts w:ascii="宋体" w:hAnsi="宋体" w:cs="宋体"/>
          <w:color w:val="auto"/>
          <w:sz w:val="24"/>
          <w:szCs w:val="24"/>
          <w:highlight w:val="none"/>
        </w:rPr>
      </w:pPr>
    </w:p>
    <w:p w14:paraId="39E4A66F">
      <w:pPr>
        <w:spacing w:line="360" w:lineRule="auto"/>
        <w:jc w:val="center"/>
        <w:outlineLvl w:val="1"/>
        <w:rPr>
          <w:rFonts w:ascii="宋体" w:hAnsi="宋体" w:cs="宋体"/>
          <w:b/>
          <w:color w:val="auto"/>
          <w:sz w:val="24"/>
          <w:szCs w:val="24"/>
          <w:highlight w:val="none"/>
        </w:rPr>
      </w:pPr>
      <w:bookmarkStart w:id="94" w:name="_Toc30395"/>
      <w:bookmarkStart w:id="95" w:name="_Toc2069"/>
      <w:r>
        <w:rPr>
          <w:rFonts w:hint="eastAsia" w:ascii="宋体" w:hAnsi="宋体" w:cs="宋体"/>
          <w:b/>
          <w:color w:val="auto"/>
          <w:sz w:val="32"/>
          <w:szCs w:val="32"/>
          <w:highlight w:val="none"/>
        </w:rPr>
        <w:t>五、投标文件的评估和比较</w:t>
      </w:r>
      <w:bookmarkEnd w:id="94"/>
      <w:bookmarkEnd w:id="95"/>
    </w:p>
    <w:p w14:paraId="1EA0DB9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15．开标、评标时间</w:t>
      </w:r>
    </w:p>
    <w:p w14:paraId="6F3D0A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15.1 在投标人须知前附表1中所规定的时间、地点开标（如有推迟情形，以推迟后的时间、地点为准）。</w:t>
      </w:r>
    </w:p>
    <w:p w14:paraId="307D967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15.2开标由招标代理机构主持，邀请采购人、投标人和有关方面代表参加。投标人一般应派授权代表参加开标会，并办理签到手续。</w:t>
      </w:r>
    </w:p>
    <w:p w14:paraId="607F6D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15.3 开标时，由监标人或者投标人共同推举的代表检查投标文件的密封情况。采购代理机构对符合密封要求的投标文件按照提交投标文件时间的先后顺序（或者逆顺序）当场逐一拆封，由开标会主持人按规定宣唱“开标一览表”等规定内容。招标代理机构对唱标内容作开标记录，由投标人代表及相关人员签字确认。</w:t>
      </w:r>
    </w:p>
    <w:p w14:paraId="7A4B730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16．评标委员会</w:t>
      </w:r>
    </w:p>
    <w:p w14:paraId="0CD27E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16.1招标代理机构根据招标服务的特点依法组建评标委员会。评标委员会由技术、经济、法律方面的专家和采购人代表组成。成员为5人以上单数组成，专家人数不能少于2/3。在开标后的适当时间里由评标委员会对投标文件进行审查、质疑、评估和比较，并做出授予合同的建议。</w:t>
      </w:r>
    </w:p>
    <w:p w14:paraId="45DA23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 投标文件的初审</w:t>
      </w:r>
    </w:p>
    <w:p w14:paraId="580D25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对所有投标人的评估，都采用相同的程序和标准。评议过程将严格按照招标文件的要求和条件进行。对不同文字文本投标文件的解释发生异议的，以中文文本为准。</w:t>
      </w:r>
    </w:p>
    <w:p w14:paraId="47547D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有关投标文件的审查、澄清、评估和比较以及推荐中标候选人的一切情况都不得透露给任一投标人或与上述评标工作无关的人员。</w:t>
      </w:r>
    </w:p>
    <w:p w14:paraId="63E1784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投标人任何试图影响评委会对投标文件的评估、比较或者推荐候选人的行为，都将导致其投标按照无效投标处理，并被没收投标保证金。</w:t>
      </w:r>
    </w:p>
    <w:p w14:paraId="5A1A16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17.1招标采购单位依法对各投标文件进行资格性检查</w:t>
      </w:r>
    </w:p>
    <w:p w14:paraId="2091B2D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资格性检查。依据法律法规和招标文件的规定，在对投标文件详细评估之前，招标采购单位将依据投标人提交的投标文件按投标人须知前附表2所述的资格性要求对投标人进行资格审查， 以确定其是否具备投标资格。如果投标人不具备投标资格，不满足招标文件所规定的资格标准或提供资格证明文件不全的， 其投标将按照无效投标处理。合格投标人不足3家的，不得评标。</w:t>
      </w:r>
    </w:p>
    <w:p w14:paraId="5AE4F9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0CA757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（1）投标文件中开标一览表（报价表）内容与投标文件中相应内容不一致的，以开标一览表（报价表）为准；</w:t>
      </w:r>
    </w:p>
    <w:p w14:paraId="4704119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14:paraId="3C584D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（3）单价金额小数点或者百分比有明显错位的，以开标一览表的总价为准，并修改单价；</w:t>
      </w:r>
    </w:p>
    <w:p w14:paraId="5D1206D3">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w:t>
      </w:r>
    </w:p>
    <w:p w14:paraId="6260F8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同时出现两种以上不一致的，按照前款规定的顺序修正。对于投标文件中计算错误的内容，评标委员会应当以书面形式要求投标人作出必要的澄清、说明或者补正。</w:t>
      </w:r>
    </w:p>
    <w:p w14:paraId="2899EE98">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如果投标人不接受按上述方法对投标文件中的算术错误进行更正，其投标将按照无效投标处理并被没收投标保证金。</w:t>
      </w:r>
    </w:p>
    <w:p w14:paraId="3CBA9F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17.3符合性检查 </w:t>
      </w:r>
    </w:p>
    <w:p w14:paraId="5BB4E77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17.3.1评委会将对投标文件进行审查，以确定投标文件是否完整、有无计算上的错误、是否提交了投标保证金。</w:t>
      </w:r>
    </w:p>
    <w:p w14:paraId="5A65B0C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3188CC2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 (1) 未按规定提交投标保证金的；</w:t>
      </w:r>
    </w:p>
    <w:p w14:paraId="7430468E">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(2)投标有效期不满足招标文件要求的；</w:t>
      </w:r>
    </w:p>
    <w:p w14:paraId="74A5E9F3">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(3)投标内容与招标内容及要求有重大偏离或保留的；</w:t>
      </w:r>
    </w:p>
    <w:p w14:paraId="71DD332E">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(4)投标人提交的是可选择的报价；</w:t>
      </w:r>
    </w:p>
    <w:p w14:paraId="5CCFB8C7">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(5)投标人未按招标文件要求对投标进行分项报价；</w:t>
      </w:r>
    </w:p>
    <w:p w14:paraId="5E406690">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(6)投标文件中提供虚假或失实资料的；</w:t>
      </w:r>
    </w:p>
    <w:p w14:paraId="67CD9E4A">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(7)不符合招标文件中规定的其它实质性条款。</w:t>
      </w:r>
    </w:p>
    <w:p w14:paraId="3B3D8AC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评标委员会决定投标的响应性只根据投标文件本身的内容，而不寻求其他的外部证据。</w:t>
      </w:r>
    </w:p>
    <w:p w14:paraId="0F1A05CC">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17.3.3投标服务必须满足中华人民共和国相关法律法规及行业的强制性要求，否则该投标人的投标将按照无效投标处理。</w:t>
      </w:r>
    </w:p>
    <w:p w14:paraId="73513F99">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17.3.4采购人、招标代理机构有下列情形之一的，将被认定为采购人、招标代理机构与投标人有串通投标行为，该投标人投标作无效投标处理：</w:t>
      </w:r>
    </w:p>
    <w:p w14:paraId="7C39F6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（1）在开标前开启投标文件并将有关信息泄露给其他投标人；</w:t>
      </w:r>
    </w:p>
    <w:p w14:paraId="50E8147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（2）评审结果公告前，直接或者间接向投标人泄露评标委员会成员等信息；</w:t>
      </w:r>
    </w:p>
    <w:p w14:paraId="247CBE4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（3）明示或者暗示投标人压低或者抬高投标报价；</w:t>
      </w:r>
    </w:p>
    <w:p w14:paraId="43B79C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（4）授意投标人撤换、修改投标文件（按18条进行的澄清除外）；</w:t>
      </w:r>
    </w:p>
    <w:p w14:paraId="72FE0BA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（5）明示或者暗示投标人为特定投标人中标提供方便；</w:t>
      </w:r>
    </w:p>
    <w:p w14:paraId="205492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（6）为谋求特定投标人中标而采取的其他串通行为。</w:t>
      </w:r>
    </w:p>
    <w:p w14:paraId="77054930">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kern w:val="0"/>
          <w:sz w:val="24"/>
          <w:szCs w:val="24"/>
          <w:highlight w:val="none"/>
        </w:rPr>
        <w:t>17.3.5出现17.3.4情形之一的，作无效投标处理的</w:t>
      </w:r>
      <w:r>
        <w:rPr>
          <w:rFonts w:hint="eastAsia" w:ascii="宋体" w:hAnsi="宋体" w:cs="宋体"/>
          <w:b/>
          <w:color w:val="auto"/>
          <w:sz w:val="24"/>
          <w:szCs w:val="24"/>
          <w:highlight w:val="none"/>
        </w:rPr>
        <w:t>投标人的投标保证金将予以没收，招标代理机构有权上报财政部门取消其采购供应商资格、并按有关规定予以处罚。</w:t>
      </w:r>
    </w:p>
    <w:p w14:paraId="3E97913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18.投标文件的澄清</w:t>
      </w:r>
    </w:p>
    <w:p w14:paraId="34D9EDA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对投标文件中含义不明确、同类问题表述不一致或者有明显文字和计算错误的内容，评标委员会可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14:paraId="049A515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19. 比较与评价</w:t>
      </w:r>
    </w:p>
    <w:p w14:paraId="4E94C53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19.1评标委员会将按投标人须知前附表3所述评标方法与标准，对资格性检查和符合性检查合格的投标文件进行商务和技术评估，综合比较与评价。</w:t>
      </w:r>
    </w:p>
    <w:p w14:paraId="440A7F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19.2对漏（缺）报项的处理：招标文件中要求列入报价的费用（含配置、功能），漏（缺）报的视同已含在投标总价中。但在评标时取有效投标人该项最高报价加入漏（缺）报人的评标价进行评标。对多报项及赠送项的价格评标时不予核减也不予加分，全部进入评标价评议。</w:t>
      </w:r>
    </w:p>
    <w:p w14:paraId="4DA53EA5">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531F5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19.4评标委员会将按比较与评价最优在先原则， 排列评价顺序， 根据在投标人须知前附表3确定的中标候选人数量推荐出中标候选人。</w:t>
      </w:r>
    </w:p>
    <w:p w14:paraId="0DAB7C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19.5 在评标期间，若出现符合本须知规定的所有投标条件的投标人不足三家情形的，本次招标程序终止，除采购任务取消情形外，招标采购单位将依法重新组织招标或者采取其他方式采购。</w:t>
      </w:r>
    </w:p>
    <w:p w14:paraId="3D8798A5">
      <w:pPr>
        <w:spacing w:line="360" w:lineRule="auto"/>
        <w:ind w:firstLine="480" w:firstLineChars="200"/>
        <w:rPr>
          <w:rFonts w:ascii="宋体" w:hAnsi="宋体" w:cs="宋体"/>
          <w:color w:val="auto"/>
          <w:sz w:val="24"/>
          <w:szCs w:val="24"/>
          <w:highlight w:val="none"/>
        </w:rPr>
      </w:pPr>
    </w:p>
    <w:p w14:paraId="3302844D">
      <w:pPr>
        <w:spacing w:line="360" w:lineRule="auto"/>
        <w:jc w:val="center"/>
        <w:outlineLvl w:val="1"/>
        <w:rPr>
          <w:rFonts w:ascii="宋体" w:hAnsi="宋体" w:cs="宋体"/>
          <w:b/>
          <w:color w:val="auto"/>
          <w:sz w:val="24"/>
          <w:szCs w:val="24"/>
          <w:highlight w:val="none"/>
        </w:rPr>
      </w:pPr>
      <w:bookmarkStart w:id="96" w:name="_Toc28758"/>
      <w:bookmarkStart w:id="97" w:name="_Toc3357"/>
      <w:r>
        <w:rPr>
          <w:rFonts w:hint="eastAsia" w:ascii="宋体" w:hAnsi="宋体" w:cs="宋体"/>
          <w:b/>
          <w:color w:val="auto"/>
          <w:sz w:val="32"/>
          <w:szCs w:val="32"/>
          <w:highlight w:val="none"/>
        </w:rPr>
        <w:t>六、定标与签订合同</w:t>
      </w:r>
      <w:bookmarkEnd w:id="96"/>
      <w:bookmarkEnd w:id="97"/>
    </w:p>
    <w:p w14:paraId="39D6739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20.定标准则</w:t>
      </w:r>
    </w:p>
    <w:p w14:paraId="224251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20.1最低投标价不作为中标的保证。</w:t>
      </w:r>
    </w:p>
    <w:p w14:paraId="0FBACB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20.2投标人的投标文件符合招标文件要求，按招标文件确定评标方法、标准，经评委评审并推荐中标候选人。</w:t>
      </w:r>
    </w:p>
    <w:p w14:paraId="450C65F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 中标通知</w:t>
      </w:r>
    </w:p>
    <w:p w14:paraId="3245F0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21.1评标结束后，评标结果经采购人确认后，招标代理机构应自中标供应商确定之日起2个工作日内在《厦门招投标网》上对中标结果进行公告，同时招标代理机构向中标供应商发出中标通知书。中标通知书对采购人和中标供应商具有同等法律效力。中标通知书发出后，采购人改变中标结果，或者中标供应商放弃中标，应当承担相应的法律责任。 </w:t>
      </w:r>
    </w:p>
    <w:p w14:paraId="2DA4E1A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对中标公告有异议的，应当在中标公告发布之日起7个工作日内，以书面形式向招标代理机构提出质疑，并附送有关证明材料。采购人、招标代理机构应当在收到投标人书面质疑后7个工作日内，对质疑内容作出答复。提出质疑的投标人对采购人、招标代理机构的答复不满意或者采购人、招标代理机构未在规定时间内答复的，可以在答复期满后15个工作日内书面向财政部门提出投诉。</w:t>
      </w:r>
    </w:p>
    <w:p w14:paraId="4667DC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质疑处理过程中，招标代理机构和采购人有权要求被质疑人在规定时间内就质疑事项进行说明并提交相关材料（包括被质疑人投标文件中相关复印件的原件以及其他与质疑事项有关的文件等），被质疑人应当予以配合，否则将可能承担不利的处理后果。</w:t>
      </w:r>
    </w:p>
    <w:p w14:paraId="72194DE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人对中标结果的质疑应本着诚实信用、谁质疑谁举证的原则，对质疑所提供材料的真实性、合法性负责，若质疑人存在下列情形之一的，属于虚假、恶意质疑，招标代理机构有权依法驳回质疑，并有权同时将质疑人虚假、恶意质疑之事在厦门招投标网上进行通报、上报上级主管部门：（1）一年内三次以上质疑均查无实据的；（2）捏造事实或者提供虚假质疑材料的。</w:t>
      </w:r>
    </w:p>
    <w:p w14:paraId="6721A3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21.2招标代理机构应当在《中标通知书》发出的同时将落标通知书发送给未中标的其他投标人。</w:t>
      </w:r>
    </w:p>
    <w:p w14:paraId="2F6A8F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21.3《中标通知书》将作为签订《政府采购合同》的依据。《政府采购合同》签订后，《中标通知书》成为合同的一部分。</w:t>
      </w:r>
    </w:p>
    <w:p w14:paraId="5A42430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21.4 招标代理机构应当在中标通知书发出后5个工作日内退还未中标供应商的投标保证金（含保函），在采购人与中标供应商签订合同后5个工作日内，退还中标供应商的投标保证金。</w:t>
      </w:r>
    </w:p>
    <w:p w14:paraId="144101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22.签订合同</w:t>
      </w:r>
    </w:p>
    <w:p w14:paraId="350CA1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中标供应商必须凭中标通知书原件按招标文件的规定签订合同，并最迟应于合同签订前缴交代理服务费，否则，招标代理机构有权在厦门招投标网上对中标供应商“不按规定缴交代理服务费的行为”进行公示。若自公示之日起3个工作日内，中标供应商仍未缴交代理服务费的，招标代理机构有权按每日1%计取违约金。</w:t>
      </w:r>
    </w:p>
    <w:p w14:paraId="5330DE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采购人、中标供应商应当在《中标通知书》发出之日起30日内，根据招标文件确定的事项和中标供应商投标文件，参照本招标文件第四章《政府采购合同》文本签订合同。双方所签订的合同不得对招标文件和中标供应商投标文件作实质性修改。中标供应商无正当理由不与采购人签订合同的，其投标保证金和代理服务费将不予退还；情节严重的（如一年内累计两次及以上出现此类情形等），招标代理机构有权上报财政部门，并建议财政部门将其列入不良行为记录名单，在一至三年内禁止其参加政府采购活动并予以通报。采购人逾期不与中标供应商签订合同的，按政府采购的有关规定处理。</w:t>
      </w:r>
    </w:p>
    <w:p w14:paraId="2B0C45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在合同签订前，为保证合同顺利履行，采购人有权要求中标供应商提供相关材料以便合同签订，中标供应商应当予以配合。</w:t>
      </w:r>
    </w:p>
    <w:p w14:paraId="1121EEB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招标文件、招标文件的修改文件、中标供应商的投标文件、补充或修改的文件及澄清或承诺文件等，均为双方签订《政府采购合同》的组成部分，并与合同一并作为本招标文件所列采购项目的互补性法律文件，与合同具有同等法律效力。</w:t>
      </w:r>
    </w:p>
    <w:p w14:paraId="00F748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22.4采购人在合同履行中，需追加与合同标的相同的服务的，在不改变合同其他条款的前提下，可与中标供应商协商签订补充合同，但所有补充合同的采购金额不得超过原合同采购金额的10%。 </w:t>
      </w:r>
    </w:p>
    <w:p w14:paraId="428EF596">
      <w:pPr>
        <w:pStyle w:val="5"/>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22.5中标供应商因自身原因放弃中标项目、或不按照招标文件规定与采购人签订合同的、或因不可抗力或者自身原因不按合同履行的，采购人可以与排位在中标供应商之后第一位的中标候选供应商签订《政府采购合同》，以此类推。排位在中标供应商之后第一位的中标候选供应商应同意与采购人按不高于其投标报价签订《政府采购合同》。</w:t>
      </w:r>
    </w:p>
    <w:p w14:paraId="35802594">
      <w:pPr>
        <w:pStyle w:val="10"/>
        <w:pageBreakBefore/>
        <w:spacing w:line="360" w:lineRule="auto"/>
        <w:jc w:val="center"/>
        <w:outlineLvl w:val="0"/>
        <w:rPr>
          <w:rFonts w:hAnsi="宋体"/>
          <w:b/>
          <w:bCs/>
          <w:color w:val="auto"/>
          <w:sz w:val="32"/>
          <w:highlight w:val="none"/>
        </w:rPr>
      </w:pPr>
      <w:bookmarkStart w:id="98" w:name="_Toc20713"/>
      <w:bookmarkStart w:id="99" w:name="_Toc24608"/>
      <w:bookmarkStart w:id="100" w:name="_Toc522522863"/>
      <w:bookmarkStart w:id="101" w:name="_Toc17749"/>
      <w:r>
        <w:rPr>
          <w:rFonts w:hint="eastAsia" w:hAnsi="宋体"/>
          <w:b/>
          <w:bCs/>
          <w:color w:val="auto"/>
          <w:sz w:val="32"/>
          <w:highlight w:val="none"/>
        </w:rPr>
        <w:t>第三章  招标内容及要求</w:t>
      </w:r>
      <w:bookmarkEnd w:id="98"/>
      <w:bookmarkEnd w:id="99"/>
      <w:bookmarkEnd w:id="100"/>
      <w:bookmarkEnd w:id="101"/>
    </w:p>
    <w:p w14:paraId="1E99C361">
      <w:pPr>
        <w:pStyle w:val="11"/>
        <w:spacing w:after="0" w:line="360" w:lineRule="auto"/>
        <w:ind w:left="181" w:leftChars="86" w:right="-334" w:rightChars="-159"/>
        <w:rPr>
          <w:rFonts w:ascii="宋体" w:hAnsi="宋体" w:cs="宋体"/>
          <w:b/>
          <w:bCs/>
          <w:color w:val="auto"/>
          <w:sz w:val="24"/>
          <w:szCs w:val="24"/>
          <w:highlight w:val="none"/>
        </w:rPr>
      </w:pPr>
    </w:p>
    <w:p w14:paraId="042CD3A9">
      <w:pPr>
        <w:pStyle w:val="11"/>
        <w:spacing w:after="0" w:line="360" w:lineRule="auto"/>
        <w:ind w:left="181" w:leftChars="86" w:right="-334" w:rightChars="-159"/>
        <w:rPr>
          <w:rFonts w:ascii="宋体" w:hAnsi="宋体" w:cs="宋体"/>
          <w:b/>
          <w:bCs/>
          <w:color w:val="auto"/>
          <w:sz w:val="24"/>
          <w:szCs w:val="24"/>
          <w:highlight w:val="none"/>
        </w:rPr>
      </w:pPr>
      <w:r>
        <w:rPr>
          <w:rFonts w:hint="eastAsia" w:ascii="宋体" w:hAnsi="宋体" w:cs="宋体"/>
          <w:b/>
          <w:bCs/>
          <w:color w:val="auto"/>
          <w:sz w:val="24"/>
          <w:szCs w:val="24"/>
          <w:highlight w:val="none"/>
        </w:rPr>
        <w:t>提示说明：</w:t>
      </w:r>
    </w:p>
    <w:p w14:paraId="312B1599">
      <w:pPr>
        <w:pStyle w:val="11"/>
        <w:spacing w:after="0" w:line="360" w:lineRule="auto"/>
        <w:ind w:left="0"/>
        <w:rPr>
          <w:rFonts w:ascii="宋体" w:hAnsi="宋体" w:cs="宋体"/>
          <w:b/>
          <w:bCs/>
          <w:color w:val="auto"/>
          <w:sz w:val="24"/>
          <w:szCs w:val="24"/>
          <w:highlight w:val="none"/>
        </w:rPr>
      </w:pPr>
      <w:r>
        <w:rPr>
          <w:rFonts w:hint="eastAsia" w:ascii="宋体" w:hAnsi="宋体" w:cs="宋体"/>
          <w:b/>
          <w:bCs/>
          <w:color w:val="auto"/>
          <w:sz w:val="24"/>
          <w:szCs w:val="24"/>
          <w:highlight w:val="none"/>
        </w:rPr>
        <w:t>（1）全文中带有“</w:t>
      </w:r>
      <w:r>
        <w:rPr>
          <w:rFonts w:hint="eastAsia" w:ascii="宋体" w:hAnsi="宋体" w:cs="宋体"/>
          <w:iCs/>
          <w:color w:val="auto"/>
          <w:sz w:val="24"/>
          <w:szCs w:val="24"/>
          <w:highlight w:val="none"/>
        </w:rPr>
        <w:t>★</w:t>
      </w:r>
      <w:r>
        <w:rPr>
          <w:rFonts w:hint="eastAsia" w:ascii="宋体" w:hAnsi="宋体" w:cs="宋体"/>
          <w:b/>
          <w:bCs/>
          <w:color w:val="auto"/>
          <w:sz w:val="24"/>
          <w:szCs w:val="24"/>
          <w:highlight w:val="none"/>
        </w:rPr>
        <w:t>”的条款为关键性条款，对这些关键性条款的任何负偏离或不满足将导致该投标作无效投标处理。</w:t>
      </w:r>
      <w:r>
        <w:rPr>
          <w:rFonts w:hint="eastAsia" w:ascii="宋体" w:hAnsi="宋体" w:cs="宋体"/>
          <w:b/>
          <w:color w:val="auto"/>
          <w:sz w:val="24"/>
          <w:szCs w:val="24"/>
          <w:highlight w:val="none"/>
        </w:rPr>
        <w:t>投标人应对招标文件中的“</w:t>
      </w:r>
      <w:r>
        <w:rPr>
          <w:rFonts w:hint="eastAsia" w:ascii="宋体" w:hAnsi="宋体" w:cs="宋体"/>
          <w:iCs/>
          <w:color w:val="auto"/>
          <w:sz w:val="24"/>
          <w:szCs w:val="24"/>
          <w:highlight w:val="none"/>
        </w:rPr>
        <w:t>★</w:t>
      </w:r>
      <w:r>
        <w:rPr>
          <w:rFonts w:hint="eastAsia" w:ascii="宋体" w:hAnsi="宋体" w:cs="宋体"/>
          <w:b/>
          <w:color w:val="auto"/>
          <w:sz w:val="24"/>
          <w:szCs w:val="24"/>
          <w:highlight w:val="none"/>
        </w:rPr>
        <w:t>”号条款进行逐条响应，否则评标委员会对其投标做出不利评审，投标人必须自行承担责任。</w:t>
      </w:r>
    </w:p>
    <w:p w14:paraId="4F0A518D">
      <w:pPr>
        <w:pStyle w:val="11"/>
        <w:spacing w:after="0" w:line="360" w:lineRule="auto"/>
        <w:ind w:left="0"/>
        <w:rPr>
          <w:rFonts w:ascii="宋体" w:hAnsi="宋体" w:cs="宋体"/>
          <w:b/>
          <w:bCs/>
          <w:color w:val="auto"/>
          <w:sz w:val="24"/>
          <w:szCs w:val="24"/>
          <w:highlight w:val="none"/>
        </w:rPr>
      </w:pPr>
      <w:r>
        <w:rPr>
          <w:rFonts w:hint="eastAsia" w:ascii="宋体" w:hAnsi="宋体" w:cs="宋体"/>
          <w:b/>
          <w:bCs/>
          <w:color w:val="auto"/>
          <w:sz w:val="24"/>
          <w:szCs w:val="24"/>
          <w:highlight w:val="none"/>
        </w:rPr>
        <w:t>（2）本项目以合同包为单位，对于每个合同包，投标人必须完整地提供合同包要求的所有服务，否则该投标人针对该合同包的投标将按照无效投标处理。</w:t>
      </w:r>
    </w:p>
    <w:p w14:paraId="612511C9">
      <w:pPr>
        <w:pStyle w:val="11"/>
        <w:spacing w:after="0" w:line="360" w:lineRule="auto"/>
        <w:ind w:left="0" w:right="-334" w:rightChars="-159"/>
        <w:rPr>
          <w:rFonts w:ascii="宋体" w:hAnsi="宋体" w:cs="宋体"/>
          <w:b/>
          <w:bCs/>
          <w:color w:val="auto"/>
          <w:sz w:val="24"/>
          <w:szCs w:val="24"/>
          <w:highlight w:val="none"/>
        </w:rPr>
      </w:pPr>
      <w:r>
        <w:rPr>
          <w:rFonts w:hint="eastAsia" w:ascii="宋体" w:hAnsi="宋体" w:cs="宋体"/>
          <w:b/>
          <w:bCs/>
          <w:color w:val="auto"/>
          <w:sz w:val="24"/>
          <w:szCs w:val="24"/>
          <w:highlight w:val="none"/>
        </w:rPr>
        <w:t>（3）若招标文件第三章所述内容与其它部分的条款发生理解冲突，则以第三章所述内容为准；如招标文件发生变更，则相关条款的解释以更改通知为准。</w:t>
      </w:r>
    </w:p>
    <w:p w14:paraId="45878B54">
      <w:pPr>
        <w:pStyle w:val="11"/>
        <w:spacing w:after="0" w:line="360" w:lineRule="auto"/>
        <w:ind w:left="0"/>
        <w:rPr>
          <w:rFonts w:ascii="宋体" w:hAnsi="宋体" w:cs="宋体"/>
          <w:b/>
          <w:bCs/>
          <w:color w:val="auto"/>
          <w:sz w:val="24"/>
          <w:szCs w:val="24"/>
          <w:highlight w:val="none"/>
        </w:rPr>
      </w:pPr>
      <w:r>
        <w:rPr>
          <w:rFonts w:hint="eastAsia" w:ascii="宋体" w:hAnsi="宋体" w:cs="宋体"/>
          <w:b/>
          <w:bCs/>
          <w:color w:val="auto"/>
          <w:sz w:val="24"/>
          <w:szCs w:val="24"/>
          <w:highlight w:val="none"/>
        </w:rPr>
        <w:t>（4）经评标委员会认定要求澄清的证明文件必须在规定的时间内提供，否则其将不具有中标供应商的资格。</w:t>
      </w:r>
    </w:p>
    <w:p w14:paraId="4B2BC045">
      <w:pPr>
        <w:spacing w:line="360" w:lineRule="auto"/>
        <w:rPr>
          <w:rFonts w:ascii="宋体" w:hAnsi="宋体" w:cs="宋体"/>
          <w:b/>
          <w:color w:val="auto"/>
          <w:sz w:val="24"/>
          <w:szCs w:val="24"/>
          <w:highlight w:val="none"/>
        </w:rPr>
      </w:pPr>
      <w:r>
        <w:rPr>
          <w:rFonts w:hint="eastAsia" w:ascii="宋体" w:hAnsi="宋体" w:cs="宋体"/>
          <w:b/>
          <w:bCs/>
          <w:color w:val="auto"/>
          <w:sz w:val="24"/>
          <w:szCs w:val="24"/>
          <w:highlight w:val="none"/>
        </w:rPr>
        <w:t>（5）本项目实行网下购买招标文件，投标人必须按招标文件要求递交纸质投标文件。</w:t>
      </w:r>
    </w:p>
    <w:p w14:paraId="1C5CABB7">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（6）资格性证明文件请单独成册。</w:t>
      </w:r>
    </w:p>
    <w:p w14:paraId="070BA27C">
      <w:pPr>
        <w:pStyle w:val="11"/>
        <w:spacing w:after="0" w:line="360" w:lineRule="auto"/>
        <w:ind w:left="0"/>
        <w:rPr>
          <w:rFonts w:ascii="宋体" w:hAnsi="宋体" w:cs="宋体"/>
          <w:b/>
          <w:bCs/>
          <w:color w:val="auto"/>
          <w:sz w:val="24"/>
          <w:szCs w:val="24"/>
          <w:highlight w:val="none"/>
        </w:rPr>
      </w:pPr>
    </w:p>
    <w:p w14:paraId="705B6972">
      <w:pPr>
        <w:tabs>
          <w:tab w:val="left" w:pos="5130"/>
        </w:tabs>
        <w:spacing w:line="360" w:lineRule="auto"/>
        <w:ind w:firstLine="480" w:firstLineChars="200"/>
        <w:rPr>
          <w:rFonts w:ascii="宋体" w:hAnsi="宋体" w:cs="宋体"/>
          <w:color w:val="auto"/>
          <w:sz w:val="24"/>
          <w:szCs w:val="24"/>
          <w:highlight w:val="none"/>
        </w:rPr>
      </w:pPr>
    </w:p>
    <w:p w14:paraId="2A2C58BE">
      <w:pPr>
        <w:tabs>
          <w:tab w:val="left" w:pos="5130"/>
        </w:tabs>
        <w:spacing w:line="360" w:lineRule="auto"/>
        <w:ind w:firstLine="480" w:firstLineChars="200"/>
        <w:rPr>
          <w:rFonts w:ascii="宋体" w:hAnsi="宋体" w:cs="宋体"/>
          <w:color w:val="auto"/>
          <w:sz w:val="24"/>
          <w:szCs w:val="24"/>
          <w:highlight w:val="none"/>
        </w:rPr>
      </w:pPr>
    </w:p>
    <w:p w14:paraId="27A954DA">
      <w:pPr>
        <w:tabs>
          <w:tab w:val="left" w:pos="5130"/>
        </w:tabs>
        <w:spacing w:line="360" w:lineRule="auto"/>
        <w:ind w:firstLine="480" w:firstLineChars="200"/>
        <w:rPr>
          <w:rFonts w:ascii="宋体" w:hAnsi="宋体" w:cs="宋体"/>
          <w:color w:val="auto"/>
          <w:sz w:val="24"/>
          <w:szCs w:val="24"/>
          <w:highlight w:val="none"/>
        </w:rPr>
      </w:pPr>
    </w:p>
    <w:p w14:paraId="6F131283">
      <w:pPr>
        <w:tabs>
          <w:tab w:val="left" w:pos="5130"/>
        </w:tabs>
        <w:spacing w:line="360" w:lineRule="auto"/>
        <w:ind w:firstLine="480" w:firstLineChars="200"/>
        <w:rPr>
          <w:rFonts w:ascii="宋体" w:hAnsi="宋体" w:cs="宋体"/>
          <w:color w:val="auto"/>
          <w:sz w:val="24"/>
          <w:szCs w:val="24"/>
          <w:highlight w:val="none"/>
        </w:rPr>
      </w:pPr>
    </w:p>
    <w:p w14:paraId="088D7EE0">
      <w:pPr>
        <w:tabs>
          <w:tab w:val="left" w:pos="5130"/>
        </w:tabs>
        <w:spacing w:line="360" w:lineRule="auto"/>
        <w:ind w:firstLine="480" w:firstLineChars="200"/>
        <w:rPr>
          <w:rFonts w:ascii="宋体" w:hAnsi="宋体" w:cs="宋体"/>
          <w:color w:val="auto"/>
          <w:sz w:val="24"/>
          <w:szCs w:val="24"/>
          <w:highlight w:val="none"/>
        </w:rPr>
      </w:pPr>
    </w:p>
    <w:p w14:paraId="546E9BC6">
      <w:pPr>
        <w:tabs>
          <w:tab w:val="left" w:pos="5130"/>
        </w:tabs>
        <w:spacing w:line="360" w:lineRule="auto"/>
        <w:ind w:firstLine="480" w:firstLineChars="200"/>
        <w:rPr>
          <w:rFonts w:ascii="宋体" w:hAnsi="宋体" w:cs="宋体"/>
          <w:color w:val="auto"/>
          <w:sz w:val="24"/>
          <w:szCs w:val="24"/>
          <w:highlight w:val="none"/>
        </w:rPr>
      </w:pPr>
    </w:p>
    <w:p w14:paraId="26059B4F">
      <w:pPr>
        <w:tabs>
          <w:tab w:val="left" w:pos="5130"/>
        </w:tabs>
        <w:spacing w:line="360" w:lineRule="auto"/>
        <w:ind w:firstLine="240" w:firstLineChars="100"/>
        <w:rPr>
          <w:rFonts w:ascii="宋体" w:hAnsi="宋体" w:cs="宋体"/>
          <w:color w:val="auto"/>
          <w:sz w:val="24"/>
          <w:szCs w:val="24"/>
          <w:highlight w:val="none"/>
        </w:rPr>
      </w:pPr>
    </w:p>
    <w:p w14:paraId="4518BABF">
      <w:pPr>
        <w:tabs>
          <w:tab w:val="left" w:pos="5130"/>
        </w:tabs>
        <w:spacing w:line="360" w:lineRule="auto"/>
        <w:ind w:firstLine="480" w:firstLineChars="200"/>
        <w:rPr>
          <w:rFonts w:ascii="宋体" w:hAnsi="宋体" w:cs="宋体"/>
          <w:color w:val="auto"/>
          <w:sz w:val="24"/>
          <w:szCs w:val="24"/>
          <w:highlight w:val="none"/>
        </w:rPr>
      </w:pPr>
    </w:p>
    <w:p w14:paraId="3A94EE02">
      <w:pPr>
        <w:tabs>
          <w:tab w:val="left" w:pos="5130"/>
        </w:tabs>
        <w:spacing w:line="360" w:lineRule="auto"/>
        <w:rPr>
          <w:rFonts w:ascii="宋体" w:hAnsi="宋体" w:cs="宋体"/>
          <w:color w:val="auto"/>
          <w:sz w:val="24"/>
          <w:szCs w:val="24"/>
          <w:highlight w:val="none"/>
        </w:rPr>
      </w:pPr>
    </w:p>
    <w:p w14:paraId="03445CFA">
      <w:pPr>
        <w:tabs>
          <w:tab w:val="left" w:pos="5130"/>
        </w:tabs>
        <w:spacing w:line="360" w:lineRule="auto"/>
        <w:rPr>
          <w:rFonts w:ascii="宋体" w:hAnsi="宋体" w:cs="宋体"/>
          <w:color w:val="auto"/>
          <w:sz w:val="24"/>
          <w:szCs w:val="24"/>
          <w:highlight w:val="none"/>
        </w:rPr>
      </w:pPr>
    </w:p>
    <w:p w14:paraId="5E534E69">
      <w:pPr>
        <w:tabs>
          <w:tab w:val="left" w:pos="5130"/>
        </w:tabs>
        <w:spacing w:line="360" w:lineRule="auto"/>
        <w:rPr>
          <w:rFonts w:ascii="宋体" w:hAnsi="宋体" w:cs="宋体"/>
          <w:color w:val="auto"/>
          <w:sz w:val="24"/>
          <w:szCs w:val="24"/>
          <w:highlight w:val="none"/>
        </w:rPr>
      </w:pPr>
    </w:p>
    <w:p w14:paraId="43638EED">
      <w:pPr>
        <w:tabs>
          <w:tab w:val="left" w:pos="5130"/>
        </w:tabs>
        <w:spacing w:line="360" w:lineRule="auto"/>
        <w:rPr>
          <w:rFonts w:ascii="宋体" w:hAnsi="宋体" w:cs="宋体"/>
          <w:color w:val="auto"/>
          <w:sz w:val="24"/>
          <w:szCs w:val="24"/>
          <w:highlight w:val="none"/>
        </w:rPr>
      </w:pPr>
    </w:p>
    <w:p w14:paraId="09EEBCA7">
      <w:pPr>
        <w:tabs>
          <w:tab w:val="left" w:pos="5130"/>
        </w:tabs>
        <w:spacing w:line="360" w:lineRule="auto"/>
        <w:rPr>
          <w:rFonts w:ascii="宋体" w:hAnsi="宋体" w:cs="宋体"/>
          <w:color w:val="auto"/>
          <w:sz w:val="24"/>
          <w:szCs w:val="24"/>
          <w:highlight w:val="none"/>
        </w:rPr>
      </w:pPr>
    </w:p>
    <w:p w14:paraId="4BFDF887">
      <w:pPr>
        <w:spacing w:line="360" w:lineRule="auto"/>
        <w:outlineLvl w:val="1"/>
        <w:rPr>
          <w:rFonts w:ascii="宋体" w:hAnsi="宋体" w:cs="宋体"/>
          <w:b/>
          <w:color w:val="auto"/>
          <w:sz w:val="24"/>
          <w:szCs w:val="24"/>
          <w:highlight w:val="none"/>
        </w:rPr>
      </w:pPr>
      <w:bookmarkStart w:id="102" w:name="_Toc9823"/>
      <w:bookmarkStart w:id="103" w:name="_Toc774"/>
      <w:r>
        <w:rPr>
          <w:rFonts w:hint="eastAsia" w:ascii="宋体" w:hAnsi="宋体" w:cs="宋体"/>
          <w:b/>
          <w:color w:val="auto"/>
          <w:sz w:val="24"/>
          <w:szCs w:val="24"/>
          <w:highlight w:val="none"/>
        </w:rPr>
        <w:t>一、项目概况</w:t>
      </w:r>
      <w:bookmarkEnd w:id="102"/>
      <w:bookmarkEnd w:id="103"/>
    </w:p>
    <w:p w14:paraId="73CE19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1.项目背景</w:t>
      </w:r>
    </w:p>
    <w:p w14:paraId="0960C02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为中国人民银行厦门市分行食材采购，共分为三个合同包，为了确保项目实施质量，每个投标人最多只能中标本项目一个合同包，评审顺序依次为合同包一、合同包二、合同包三，若投标单位被推荐为某一合同包的第一中标候选人，则在后续</w:t>
      </w:r>
      <w:r>
        <w:rPr>
          <w:rFonts w:hint="eastAsia" w:ascii="宋体" w:hAnsi="宋体"/>
          <w:color w:val="auto"/>
          <w:sz w:val="24"/>
          <w:szCs w:val="24"/>
          <w:highlight w:val="none"/>
          <w:lang w:val="en-US" w:eastAsia="zh-CN"/>
        </w:rPr>
        <w:t>合同</w:t>
      </w:r>
      <w:r>
        <w:rPr>
          <w:rFonts w:hint="eastAsia" w:ascii="宋体" w:hAnsi="宋体"/>
          <w:color w:val="auto"/>
          <w:sz w:val="24"/>
          <w:szCs w:val="24"/>
          <w:highlight w:val="none"/>
        </w:rPr>
        <w:t>包的评标过程中，不再被推选为中标候选人，由得分次高的递补为第一中标候选人，但其有效报价仍参与后续采购包评标基准价的计算。</w:t>
      </w:r>
    </w:p>
    <w:p w14:paraId="201E8EAC">
      <w:pPr>
        <w:spacing w:line="360" w:lineRule="auto"/>
        <w:ind w:firstLine="480" w:firstLineChars="200"/>
        <w:rPr>
          <w:rFonts w:ascii="宋体" w:hAnsi="宋体"/>
          <w:color w:val="auto"/>
          <w:sz w:val="24"/>
          <w:szCs w:val="24"/>
          <w:highlight w:val="none"/>
          <w:lang w:val="zh-CN"/>
        </w:rPr>
      </w:pPr>
      <w:r>
        <w:rPr>
          <w:rFonts w:hint="eastAsia" w:ascii="宋体" w:hAnsi="宋体"/>
          <w:color w:val="auto"/>
          <w:sz w:val="24"/>
          <w:szCs w:val="24"/>
          <w:highlight w:val="none"/>
        </w:rPr>
        <w:t>2.服务期限：一年，</w:t>
      </w:r>
      <w:r>
        <w:rPr>
          <w:rFonts w:hint="eastAsia" w:ascii="宋体" w:hAnsi="宋体" w:cs="宋体"/>
          <w:b w:val="0"/>
          <w:bCs w:val="0"/>
          <w:color w:val="auto"/>
          <w:sz w:val="24"/>
          <w:szCs w:val="24"/>
          <w:highlight w:val="none"/>
          <w:lang w:val="en-US" w:eastAsia="zh-CN"/>
        </w:rPr>
        <w:t>预计服务时间为2026年6月1日至2027年5月31日。</w:t>
      </w:r>
      <w:r>
        <w:rPr>
          <w:rFonts w:hint="eastAsia" w:ascii="宋体" w:hAnsi="宋体"/>
          <w:color w:val="auto"/>
          <w:sz w:val="24"/>
          <w:szCs w:val="24"/>
          <w:highlight w:val="none"/>
        </w:rPr>
        <w:t>一年服务期满后，在预算资金有保障、服务价格不提高的前提下，中标人经采购人考核合格，可与采购人续签下一年度服务外包合同，最多续签2次。</w:t>
      </w:r>
    </w:p>
    <w:p w14:paraId="12238F0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3.项目范围：厦门市思明区展鸿路100号，翔安区黎林路1699号。</w:t>
      </w:r>
    </w:p>
    <w:p w14:paraId="7889FBBF">
      <w:pPr>
        <w:spacing w:line="360" w:lineRule="auto"/>
        <w:jc w:val="left"/>
        <w:outlineLvl w:val="1"/>
        <w:rPr>
          <w:rFonts w:ascii="宋体" w:hAnsi="宋体" w:cs="宋体"/>
          <w:color w:val="auto"/>
          <w:sz w:val="24"/>
          <w:szCs w:val="24"/>
          <w:highlight w:val="none"/>
        </w:rPr>
      </w:pPr>
      <w:bookmarkStart w:id="104" w:name="_Toc8729"/>
      <w:bookmarkStart w:id="105" w:name="_Toc25179"/>
      <w:r>
        <w:rPr>
          <w:rFonts w:hint="eastAsia" w:ascii="宋体" w:hAnsi="宋体" w:cs="宋体"/>
          <w:b/>
          <w:bCs/>
          <w:color w:val="auto"/>
          <w:sz w:val="24"/>
          <w:szCs w:val="24"/>
          <w:highlight w:val="none"/>
        </w:rPr>
        <w:t>二、技术商务要求</w:t>
      </w:r>
      <w:bookmarkEnd w:id="104"/>
      <w:bookmarkEnd w:id="105"/>
    </w:p>
    <w:p w14:paraId="48F72727">
      <w:pPr>
        <w:pStyle w:val="3"/>
        <w:spacing w:before="0" w:after="0" w:line="360" w:lineRule="auto"/>
        <w:ind w:firstLine="482" w:firstLineChars="200"/>
        <w:rPr>
          <w:rFonts w:hint="eastAsia" w:ascii="宋体" w:hAnsi="宋体" w:eastAsia="宋体" w:cs="宋体"/>
          <w:color w:val="auto"/>
          <w:sz w:val="24"/>
          <w:szCs w:val="24"/>
          <w:highlight w:val="none"/>
        </w:rPr>
      </w:pPr>
      <w:bookmarkStart w:id="106" w:name="_Toc20956"/>
      <w:bookmarkStart w:id="107" w:name="_Toc23676"/>
      <w:r>
        <w:rPr>
          <w:rFonts w:hint="eastAsia" w:ascii="宋体" w:hAnsi="宋体" w:eastAsia="宋体" w:cs="宋体"/>
          <w:color w:val="auto"/>
          <w:sz w:val="24"/>
          <w:szCs w:val="24"/>
          <w:highlight w:val="none"/>
        </w:rPr>
        <w:t>合同包一：肉类、海鲜类食品</w:t>
      </w:r>
      <w:bookmarkEnd w:id="106"/>
    </w:p>
    <w:p w14:paraId="53D31F4B">
      <w:pPr>
        <w:pStyle w:val="4"/>
        <w:spacing w:before="0" w:after="0" w:line="360" w:lineRule="auto"/>
        <w:rPr>
          <w:rFonts w:ascii="宋体" w:hAnsi="宋体" w:cs="宋体"/>
          <w:color w:val="auto"/>
          <w:sz w:val="24"/>
          <w:szCs w:val="24"/>
          <w:highlight w:val="none"/>
        </w:rPr>
      </w:pPr>
      <w:bookmarkStart w:id="108" w:name="_Toc6989"/>
      <w:r>
        <w:rPr>
          <w:rFonts w:hint="eastAsia" w:ascii="宋体" w:hAnsi="宋体" w:cs="宋体"/>
          <w:color w:val="auto"/>
          <w:sz w:val="24"/>
          <w:szCs w:val="24"/>
          <w:highlight w:val="none"/>
        </w:rPr>
        <w:t>（1）技术要求</w:t>
      </w:r>
      <w:bookmarkEnd w:id="108"/>
    </w:p>
    <w:p w14:paraId="71A2FAE4">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投标人应承诺所供应的食品均符合《中华人民共和国农产品质量安全法》《中华人民共和国食品安全法》《中华人民共和国动物防疫法》等相关规定及地方的相关法律法规要求，并在供货时提供第三方检测机构出具的具有CMA或CNAS标志的检测报告或合格证等证明材料复印件。</w:t>
      </w:r>
    </w:p>
    <w:p w14:paraId="265284FC">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★2.鲜畜禽类全部采用国产，来源于国家</w:t>
      </w:r>
      <w:r>
        <w:rPr>
          <w:rFonts w:hint="eastAsia" w:ascii="宋体" w:hAnsi="宋体" w:cs="宋体"/>
          <w:b/>
          <w:bCs/>
          <w:color w:val="auto"/>
          <w:kern w:val="0"/>
          <w:sz w:val="24"/>
          <w:szCs w:val="24"/>
          <w:highlight w:val="none"/>
          <w:lang w:eastAsia="zh-CN"/>
        </w:rPr>
        <w:t>指定</w:t>
      </w:r>
      <w:r>
        <w:rPr>
          <w:rFonts w:hint="eastAsia" w:ascii="宋体" w:hAnsi="宋体" w:cs="宋体"/>
          <w:b/>
          <w:bCs/>
          <w:color w:val="auto"/>
          <w:kern w:val="0"/>
          <w:sz w:val="24"/>
          <w:szCs w:val="24"/>
          <w:highlight w:val="none"/>
        </w:rPr>
        <w:t>的定点屠宰专门机构，为当日屠宰的新鲜肉品，无注水、色泽正常，鲜肉从屠宰场出库送到采购人指定地点的时间不超过</w:t>
      </w:r>
      <w:r>
        <w:rPr>
          <w:rFonts w:ascii="宋体" w:hAnsi="宋体" w:cs="宋体"/>
          <w:b/>
          <w:bCs/>
          <w:color w:val="auto"/>
          <w:kern w:val="0"/>
          <w:sz w:val="24"/>
          <w:szCs w:val="24"/>
          <w:highlight w:val="none"/>
        </w:rPr>
        <w:t>8小时</w:t>
      </w:r>
      <w:r>
        <w:rPr>
          <w:rFonts w:hint="eastAsia" w:ascii="宋体" w:hAnsi="宋体" w:cs="宋体"/>
          <w:b/>
          <w:bCs/>
          <w:color w:val="auto"/>
          <w:kern w:val="0"/>
          <w:sz w:val="24"/>
          <w:szCs w:val="24"/>
          <w:highlight w:val="none"/>
        </w:rPr>
        <w:t>，符合食品安全国家标准</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rPr>
        <w:t>需盖有动物检验检疫章</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rPr>
        <w:t>投标人需承诺于供货时提供厦门市畜禽产品检验合格证。</w:t>
      </w:r>
    </w:p>
    <w:p w14:paraId="33077730">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★3.投标人需承诺于供货时提供当日厦门市生鲜食品上市凭证。</w:t>
      </w:r>
    </w:p>
    <w:p w14:paraId="24D28F52">
      <w:pPr>
        <w:widowControl/>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★4.蛋类要求：投标人需承诺所提供产品符合最新“GB”食品安全国家标准，新鲜、无破损。恩诺沙星、环丙沙星、土霉素、金霉素、四环素等不得超过标准限值。</w:t>
      </w:r>
    </w:p>
    <w:p w14:paraId="48AB6042">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鲜畜禽肉要求：应保证来源于政府指定的定点屠宰专门机构，为当日屠宰的新鲜肉品，新鲜肉产品从屠宰场出库送到采购人指定地点的时间不超过8小时，并经肉检（卫生检疫部门）检验合格，新鲜、无注水、眼球饱满、晶体透亮、皮肤有光泽、表皮完整洁净。</w:t>
      </w:r>
    </w:p>
    <w:p w14:paraId="6EAB2813">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①新鲜猪肉要求：符合食品安全国家标准，肉品须表皮洁净、色泽正常、纹理清晰、肉质细腻，用手指压在瘦肉上的凹陷有能立即恢复，弹性好，按压无水迹。</w:t>
      </w:r>
    </w:p>
    <w:p w14:paraId="6BABFB3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②排骨：色泽正常、肉质细腻、无异味、无颈骨。</w:t>
      </w:r>
    </w:p>
    <w:p w14:paraId="2473B23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③瘦肉：表皮洁净、色泽正常、纹理清晰、肉质细腻、去骨、无异味、按压无水迹。</w:t>
      </w:r>
    </w:p>
    <w:p w14:paraId="4F19EC03">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④带皮五花（又称三层肉）：品质优良、花层清晰、表皮洁净、肥瘦适中、色泽正常、去骨、无异味、按压无水迹。</w:t>
      </w:r>
    </w:p>
    <w:p w14:paraId="10C852C5">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⑤无皮五花（又称三层肉）：品质优良、花层清晰、肥瘦适中、色泽正常、去骨、无异味、按压无水迹。</w:t>
      </w:r>
    </w:p>
    <w:p w14:paraId="513BD302">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⑥统装肉：符合食品安全国家标准、膘厚适中、色泽正常、无异味、按压无水迹。</w:t>
      </w:r>
    </w:p>
    <w:p w14:paraId="635C2D1E">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⑦新鲜牛肉要求：肌肉有光泽、红色均匀稍暗、脂肪洁白或呈淡黄色；外表微干或有风干膜、不黏手、弹性好；具有新鲜牛肉味儿、按压无水迹。</w:t>
      </w:r>
    </w:p>
    <w:p w14:paraId="2DA4E40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⑧新鲜羊肉要求：肌肉有光泽、红色均匀、脂肪洁白或淡黄色、质坚硬而脆。有明显的羊肉膻味。一用手指按压后的凹陷，能立即恢复原状。外表微干或有风干的膜，不粘手；按压无水迹。</w:t>
      </w:r>
    </w:p>
    <w:p w14:paraId="05BD35C2">
      <w:pPr>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海鲜类食品要求：</w:t>
      </w:r>
    </w:p>
    <w:p w14:paraId="7026621F">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ascii="宋体" w:hAnsi="宋体" w:cs="宋体"/>
          <w:color w:val="auto"/>
          <w:kern w:val="0"/>
          <w:sz w:val="24"/>
          <w:szCs w:val="24"/>
          <w:highlight w:val="none"/>
        </w:rPr>
        <w:t>淡水产品确保鲜活，不得送已死亡货物；冰鲜海产品</w:t>
      </w:r>
      <w:r>
        <w:rPr>
          <w:rFonts w:hint="eastAsia" w:ascii="宋体" w:hAnsi="宋体" w:cs="宋体"/>
          <w:color w:val="auto"/>
          <w:kern w:val="0"/>
          <w:sz w:val="24"/>
          <w:szCs w:val="24"/>
          <w:highlight w:val="none"/>
        </w:rPr>
        <w:t>新鲜、色泽正常、无异味，从产地到岸并加工后，送到采购人指定地点的时间不超过</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小时，且全程需专业冷链保障。</w:t>
      </w:r>
    </w:p>
    <w:p w14:paraId="06BC3D7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②所供水产品必须保证质量新鲜，且需要进行加工，即去鳞、去鳃、去肚和其它要求的加工方式，确保不带有泥土、杂质或腐坏，不能存在腐烂变质现象。</w:t>
      </w:r>
    </w:p>
    <w:p w14:paraId="020AC192">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.食材运输方式必须符合国家对食材运输的标准要求。</w:t>
      </w:r>
    </w:p>
    <w:p w14:paraId="6C717D3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8</w:t>
      </w:r>
      <w:r>
        <w:rPr>
          <w:rFonts w:hint="eastAsia" w:ascii="宋体" w:hAnsi="宋体" w:cs="宋体"/>
          <w:b/>
          <w:bCs/>
          <w:color w:val="auto"/>
          <w:kern w:val="0"/>
          <w:sz w:val="24"/>
          <w:szCs w:val="24"/>
          <w:highlight w:val="none"/>
        </w:rPr>
        <w:t>.投标人应承诺所有商品均为正规渠道进货，投标人需在投标文件中单独提供书面承诺。</w:t>
      </w:r>
    </w:p>
    <w:p w14:paraId="032C4905">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.配送要求</w:t>
      </w:r>
    </w:p>
    <w:p w14:paraId="1524EC8F">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9.1</w:t>
      </w:r>
      <w:r>
        <w:rPr>
          <w:rFonts w:hint="eastAsia" w:ascii="宋体" w:hAnsi="宋体" w:cs="宋体"/>
          <w:color w:val="auto"/>
          <w:kern w:val="0"/>
          <w:sz w:val="24"/>
          <w:szCs w:val="24"/>
          <w:highlight w:val="none"/>
        </w:rPr>
        <w:t>食品类商品投标人必须保证日常配送供应的商品没有污染、变质、变型、过期等现象，产品符合各类食品卫生标准，符合《中华人民共和国食品安全法》及相关质量法规的规定。</w:t>
      </w:r>
    </w:p>
    <w:p w14:paraId="20A5B15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w:t>
      </w:r>
      <w:r>
        <w:rPr>
          <w:rFonts w:hint="default" w:ascii="宋体" w:hAnsi="宋体" w:cs="宋体"/>
          <w:color w:val="auto"/>
          <w:kern w:val="0"/>
          <w:sz w:val="24"/>
          <w:szCs w:val="24"/>
          <w:highlight w:val="none"/>
          <w:lang w:val="en-US"/>
        </w:rPr>
        <w:t>2</w:t>
      </w:r>
      <w:r>
        <w:rPr>
          <w:rFonts w:hint="eastAsia" w:ascii="宋体" w:hAnsi="宋体" w:cs="宋体"/>
          <w:color w:val="auto"/>
          <w:kern w:val="0"/>
          <w:sz w:val="24"/>
          <w:szCs w:val="24"/>
          <w:highlight w:val="none"/>
        </w:rPr>
        <w:t>按照采购人订单、地点等要求送货，并根据采购人营业需要，能每天及时补货。</w:t>
      </w:r>
    </w:p>
    <w:p w14:paraId="7AC9BE45">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★9</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中标人应按照采购人的通知要求于每天上午6:30时前送到职工食堂指定地点。所送食材应足重足量。投标人接到采购人订单后应仔细核对货源情况，对无法按时供应的商品必须第一时间通知采购人。</w:t>
      </w:r>
    </w:p>
    <w:p w14:paraId="45B67FB7">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如需应急补货，投标人必须在3小时内送达采购人指定的地点。</w:t>
      </w:r>
    </w:p>
    <w:p w14:paraId="1EC085B4">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采购人于每日20时（北京时间）前以电话或书面形式向中标人报第二日的采购清单，清单内容含品名、单位、数量及有关特别说明或要求。</w:t>
      </w:r>
    </w:p>
    <w:p w14:paraId="166D3E9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采购人对每日配送的食材数（质）量进行检查验收，验收合格后在配送清单上签名，并当场在《采购情况登记本》登记每日采购详实情况，送货人和验收人双方签字作为评估和检查的依据。</w:t>
      </w:r>
    </w:p>
    <w:p w14:paraId="4099486D">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★9</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投标人对带骨头肉制品按采购人要求切块，投标人所配送商品质量等不符合采购人要求须进行退换处理的，投标人应立即协调各部门进行处理，且须在采购人要求的时间内补齐，不得由此延误采购人的供餐时间。由此产生的一切费用由投标人承担。</w:t>
      </w:r>
    </w:p>
    <w:p w14:paraId="3DF1AD87">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投标人应有固定的食材配送场所并有专业、稳定的配送团队和专业的运输工具，新鲜产品须采用冷链配送车辆配送。</w:t>
      </w:r>
    </w:p>
    <w:p w14:paraId="4B486336">
      <w:pPr>
        <w:widowControl/>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hint="eastAsia" w:ascii="宋体" w:hAnsi="宋体" w:cs="宋体"/>
          <w:color w:val="auto"/>
          <w:kern w:val="0"/>
          <w:sz w:val="24"/>
          <w:szCs w:val="24"/>
          <w:highlight w:val="none"/>
          <w:lang w:val="en-US" w:eastAsia="zh-CN"/>
        </w:rPr>
        <w:t>9投标人应承诺按规定进行食材留样，将留样食材冷藏保存四十八小时以上，以备追索与查验。</w:t>
      </w:r>
    </w:p>
    <w:p w14:paraId="4C8EC7A8">
      <w:pPr>
        <w:widowControl/>
        <w:spacing w:line="360" w:lineRule="auto"/>
        <w:ind w:firstLine="48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9.10</w:t>
      </w:r>
      <w:r>
        <w:rPr>
          <w:rFonts w:hint="eastAsia" w:ascii="宋体" w:hAnsi="宋体" w:cs="宋体"/>
          <w:color w:val="auto"/>
          <w:kern w:val="0"/>
          <w:sz w:val="24"/>
          <w:szCs w:val="24"/>
          <w:highlight w:val="none"/>
        </w:rPr>
        <w:t>投标人应承诺为本项目制定每日生鲜产品抽检计划，将高风险农药残留、食品重金属、甲醛等非法添加物纳入检测，在实施过程中，提供并保留至少3个月的自检报告或第三方检测机构出具的报告复印件，以备查验。投标人需针对以上内容提供书面承诺（格式自拟）。</w:t>
      </w:r>
    </w:p>
    <w:p w14:paraId="57EF8472">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.包装标准及数量、质量要求、费用负担</w:t>
      </w:r>
    </w:p>
    <w:p w14:paraId="54D21786">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配送食材要求以专业标准保护措施进行包装，保证安全无损。包装费用由中标人承担。</w:t>
      </w:r>
    </w:p>
    <w:p w14:paraId="656DD191">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货物数量、质量由采购人现场清点验收，在验收过程中如发现数量或质量问题，由中标人负责退换及处理。</w:t>
      </w:r>
    </w:p>
    <w:p w14:paraId="27528A83">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投标人必须对所提供的食材提供质量保证。</w:t>
      </w:r>
    </w:p>
    <w:p w14:paraId="68703481">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中标人所提供的食材，因产品质量或与要求不符，采购人提出退换的，中标人必须免费提供包换、包退服务。</w:t>
      </w:r>
    </w:p>
    <w:p w14:paraId="34548EDA">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中标人所提供的食材存在问题的，中标人必须在60分钟内及时更换食材且不得因此而影响采购人的供餐时间。</w:t>
      </w:r>
    </w:p>
    <w:p w14:paraId="2574399E">
      <w:pPr>
        <w:widowControl/>
        <w:spacing w:line="360" w:lineRule="auto"/>
        <w:ind w:firstLine="480"/>
        <w:jc w:val="left"/>
        <w:rPr>
          <w:rFonts w:hint="eastAsia" w:ascii="宋体" w:hAnsi="宋体" w:eastAsia="宋体" w:cs="宋体"/>
          <w:color w:val="auto"/>
          <w:kern w:val="0"/>
          <w:sz w:val="24"/>
          <w:szCs w:val="24"/>
          <w:highlight w:val="none"/>
          <w:lang w:val="en-US" w:eastAsia="zh-CN"/>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投标人应在投标文件中提供总体配送服务方案、食品卫生安全管理措施、食品安全质量保障措施、日常服务记录档案、检验检疫凭证、特别情况记录、单据等档案管理方案、紧急追加货物、出现不合格品、不满足采购人使用需求产品的退换预案、备用方案、临时任务、节假日、考评检查、重要或大型活动、防洪抗台突发事件的特殊保障方案</w:t>
      </w:r>
      <w:r>
        <w:rPr>
          <w:rFonts w:hint="eastAsia" w:ascii="宋体" w:hAnsi="宋体" w:cs="宋体"/>
          <w:color w:val="auto"/>
          <w:kern w:val="0"/>
          <w:sz w:val="24"/>
          <w:szCs w:val="24"/>
          <w:highlight w:val="none"/>
          <w:lang w:val="en-US" w:eastAsia="zh-CN"/>
        </w:rPr>
        <w:t>等。</w:t>
      </w:r>
    </w:p>
    <w:p w14:paraId="64125998">
      <w:pPr>
        <w:widowControl/>
        <w:spacing w:line="360" w:lineRule="auto"/>
        <w:ind w:firstLine="48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10.7投标人</w:t>
      </w:r>
      <w:r>
        <w:rPr>
          <w:rFonts w:hint="eastAsia" w:ascii="宋体" w:hAnsi="宋体" w:cs="宋体"/>
          <w:color w:val="auto"/>
          <w:kern w:val="0"/>
          <w:sz w:val="24"/>
          <w:szCs w:val="24"/>
          <w:highlight w:val="none"/>
        </w:rPr>
        <w:t>应对自有或签约的所投配送食材的生产基地情况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包括但不限于</w:t>
      </w:r>
      <w:r>
        <w:rPr>
          <w:rFonts w:hint="eastAsia" w:ascii="宋体" w:hAnsi="宋体" w:cs="宋体"/>
          <w:color w:val="auto"/>
          <w:kern w:val="0"/>
          <w:sz w:val="24"/>
          <w:szCs w:val="24"/>
          <w:highlight w:val="none"/>
        </w:rPr>
        <w:t>畜禽肉货源情况、鲜蛋货源情况、水产品货源情况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进行说明</w:t>
      </w:r>
      <w:r>
        <w:rPr>
          <w:rFonts w:hint="eastAsia" w:ascii="宋体" w:hAnsi="宋体" w:cs="宋体"/>
          <w:color w:val="auto"/>
          <w:kern w:val="0"/>
          <w:sz w:val="24"/>
          <w:szCs w:val="24"/>
          <w:highlight w:val="none"/>
          <w:lang w:eastAsia="zh-CN"/>
        </w:rPr>
        <w:t>。</w:t>
      </w:r>
    </w:p>
    <w:p w14:paraId="4D8D3D15">
      <w:pPr>
        <w:widowControl/>
        <w:tabs>
          <w:tab w:val="left" w:pos="0"/>
          <w:tab w:val="left" w:pos="426"/>
          <w:tab w:val="left" w:pos="851"/>
        </w:tabs>
        <w:spacing w:line="360" w:lineRule="auto"/>
        <w:ind w:left="-2" w:leftChars="-1" w:firstLine="566" w:firstLineChars="236"/>
        <w:jc w:val="left"/>
        <w:rPr>
          <w:rFonts w:hint="eastAsia" w:ascii="宋体" w:hAnsi="宋体" w:cs="宋体"/>
          <w:color w:val="auto"/>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sz w:val="24"/>
          <w:szCs w:val="24"/>
          <w:highlight w:val="none"/>
        </w:rPr>
        <w:t>投标人应有食材配送资质并具有固定的食品配送场所，在厦门市拥有固定的食品</w:t>
      </w:r>
      <w:r>
        <w:rPr>
          <w:rFonts w:hint="eastAsia" w:ascii="宋体" w:hAnsi="宋体" w:cs="宋体"/>
          <w:color w:val="auto"/>
          <w:kern w:val="0"/>
          <w:sz w:val="24"/>
          <w:szCs w:val="24"/>
          <w:highlight w:val="none"/>
        </w:rPr>
        <w:t>仓储场所（含冷冻、冷藏库）</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rPr>
        <w:t>提供仓库的产权证明或者租赁合同佐证并加盖投标人公章。投标人必须具备与配送商品相匹配的冷藏、保温设备和交通工具、容器、包装物，并保证所有用品用具符合行业配送要求及卫生标准。</w:t>
      </w:r>
    </w:p>
    <w:p w14:paraId="4C95C52F">
      <w:pPr>
        <w:widowControl/>
        <w:tabs>
          <w:tab w:val="left" w:pos="0"/>
          <w:tab w:val="left" w:pos="426"/>
          <w:tab w:val="left" w:pos="851"/>
        </w:tabs>
        <w:spacing w:line="360" w:lineRule="auto"/>
        <w:ind w:left="-2" w:leftChars="-1" w:firstLine="566" w:firstLineChars="236"/>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10.9</w:t>
      </w:r>
      <w:r>
        <w:rPr>
          <w:rFonts w:hint="eastAsia" w:ascii="宋体" w:hAnsi="宋体" w:cs="宋体"/>
          <w:color w:val="auto"/>
          <w:sz w:val="24"/>
          <w:szCs w:val="24"/>
          <w:highlight w:val="none"/>
        </w:rPr>
        <w:t>投标人应</w:t>
      </w:r>
      <w:r>
        <w:rPr>
          <w:rFonts w:hint="eastAsia" w:ascii="宋体" w:hAnsi="宋体" w:cs="宋体"/>
          <w:color w:val="auto"/>
          <w:sz w:val="24"/>
          <w:szCs w:val="24"/>
          <w:highlight w:val="none"/>
          <w:lang w:val="en-US" w:eastAsia="zh-CN"/>
        </w:rPr>
        <w:t>定期对食品仓储、运输车辆、运输用具进行消杀。</w:t>
      </w:r>
    </w:p>
    <w:p w14:paraId="5D2EE7FC">
      <w:pPr>
        <w:widowControl/>
        <w:tabs>
          <w:tab w:val="left" w:pos="0"/>
          <w:tab w:val="left" w:pos="426"/>
          <w:tab w:val="left" w:pos="851"/>
        </w:tabs>
        <w:spacing w:line="360" w:lineRule="auto"/>
        <w:ind w:left="-2" w:leftChars="-1" w:firstLine="566" w:firstLineChars="236"/>
        <w:jc w:val="left"/>
        <w:rPr>
          <w:rStyle w:val="29"/>
          <w:color w:val="auto"/>
          <w:highlight w:val="none"/>
        </w:rPr>
      </w:pPr>
      <w:r>
        <w:rPr>
          <w:rFonts w:hint="eastAsia" w:ascii="宋体" w:hAnsi="宋体" w:cs="宋体"/>
          <w:color w:val="auto"/>
          <w:sz w:val="24"/>
          <w:szCs w:val="24"/>
          <w:highlight w:val="none"/>
          <w:lang w:val="en-US" w:eastAsia="zh-CN"/>
        </w:rPr>
        <w:t>10.10</w:t>
      </w:r>
      <w:r>
        <w:rPr>
          <w:rFonts w:hint="eastAsia" w:ascii="宋体" w:hAnsi="宋体" w:cs="宋体"/>
          <w:color w:val="auto"/>
          <w:kern w:val="0"/>
          <w:sz w:val="24"/>
          <w:szCs w:val="24"/>
          <w:highlight w:val="none"/>
        </w:rPr>
        <w:t>投标人应在投标文件中提供食品的中毒事件及食品安全问题的预应急处理方案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并承诺在</w:t>
      </w:r>
      <w:r>
        <w:rPr>
          <w:rFonts w:hint="eastAsia" w:ascii="宋体" w:hAnsi="宋体" w:cs="宋体"/>
          <w:color w:val="auto"/>
          <w:sz w:val="24"/>
          <w:szCs w:val="24"/>
          <w:highlight w:val="none"/>
        </w:rPr>
        <w:t>质保期内如果由于中标产品质量问题造成的食物中毒事件，应在2小时内到达现场协调解决处理方案并承担与之相关的法律责任。</w:t>
      </w:r>
    </w:p>
    <w:p w14:paraId="2E0B3AA9">
      <w:pPr>
        <w:widowControl/>
        <w:tabs>
          <w:tab w:val="left" w:pos="0"/>
          <w:tab w:val="left" w:pos="426"/>
          <w:tab w:val="left" w:pos="851"/>
        </w:tabs>
        <w:spacing w:line="360" w:lineRule="auto"/>
        <w:ind w:left="-2" w:leftChars="-1" w:firstLine="566" w:firstLineChars="236"/>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10.11</w:t>
      </w:r>
      <w:r>
        <w:rPr>
          <w:rFonts w:hint="eastAsia" w:ascii="宋体" w:hAnsi="宋体" w:cs="宋体"/>
          <w:color w:val="auto"/>
          <w:sz w:val="24"/>
          <w:szCs w:val="24"/>
          <w:highlight w:val="none"/>
        </w:rPr>
        <w:t>中标人在合同期内应切实做到：保质保量准时送货，所供每批次产品，必须附产品检测报告和厦门市上市凭证。</w:t>
      </w:r>
    </w:p>
    <w:p w14:paraId="29A4741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中标人应制定完整管理制度，完成日常工作记录，原材料进货发票等生产活动单据凭证齐整完备，定期提交票据凭证，随时接受采购人及相关管理部门的检查，监督。作好项目供货记录、相关票据凭证，项目资料的整理、考核资料的整理等工作。根据采购人的要求定期不定期将全部有关技术文件、实施记录资料、时间段报表、及相关文档汇集成册交付采购单位。</w:t>
      </w:r>
    </w:p>
    <w:p w14:paraId="6758F393">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.投标人须承诺中标后完全按照采购人要求的食材供货。</w:t>
      </w:r>
    </w:p>
    <w:p w14:paraId="0428FEAE">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.如因不可抗力原因需要更换食材的，须征得采购人的同意。</w:t>
      </w:r>
    </w:p>
    <w:p w14:paraId="60798AF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.中标人在送货途中运输、保管所产生的费用由中标人承担。若交接前发生损毁的，其损失由中标人自行承担。</w:t>
      </w:r>
    </w:p>
    <w:p w14:paraId="28B31857">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.中标人须对其投标文件中提供各种证明文件、资料、说明、承诺的真实性、有效性负责。若中标人有虚假承诺的行为或实际情况与投标响应时所提供的材料不符，采购人有权取消其中标资格。</w:t>
      </w:r>
    </w:p>
    <w:p w14:paraId="452EE96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.人员、车辆、设施要求</w:t>
      </w:r>
    </w:p>
    <w:p w14:paraId="0FC8E7B1">
      <w:pPr>
        <w:widowControl/>
        <w:tabs>
          <w:tab w:val="left" w:pos="0"/>
          <w:tab w:val="left" w:pos="426"/>
          <w:tab w:val="left" w:pos="851"/>
        </w:tabs>
        <w:spacing w:line="360" w:lineRule="auto"/>
        <w:ind w:left="-2" w:leftChars="-1" w:firstLine="566" w:firstLineChars="236"/>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投标人应有专业、稳定的配送团队</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rPr>
        <w:t>至少为本项目配备1</w:t>
      </w:r>
      <w:r>
        <w:rPr>
          <w:rFonts w:hint="eastAsia" w:ascii="宋体" w:hAnsi="宋体" w:cs="宋体"/>
          <w:color w:val="auto"/>
          <w:kern w:val="0"/>
          <w:sz w:val="24"/>
          <w:szCs w:val="24"/>
          <w:highlight w:val="none"/>
          <w:lang w:val="en-US" w:eastAsia="zh-CN"/>
        </w:rPr>
        <w:t>个</w:t>
      </w:r>
      <w:r>
        <w:rPr>
          <w:rFonts w:hint="eastAsia" w:asciiTheme="minorEastAsia" w:hAnsiTheme="minorEastAsia" w:eastAsiaTheme="minorEastAsia" w:cstheme="minorEastAsia"/>
          <w:color w:val="auto"/>
          <w:sz w:val="24"/>
          <w:szCs w:val="24"/>
          <w:highlight w:val="none"/>
        </w:rPr>
        <w:t>采购、</w:t>
      </w:r>
      <w:r>
        <w:rPr>
          <w:rFonts w:hint="eastAsia" w:ascii="宋体" w:hAnsi="宋体" w:cs="宋体"/>
          <w:color w:val="auto"/>
          <w:kern w:val="0"/>
          <w:sz w:val="24"/>
          <w:szCs w:val="24"/>
          <w:highlight w:val="none"/>
        </w:rPr>
        <w:t>配送人员</w:t>
      </w:r>
      <w:r>
        <w:rPr>
          <w:rFonts w:hint="eastAsia" w:ascii="宋体" w:hAnsi="宋体" w:cs="宋体"/>
          <w:color w:val="auto"/>
          <w:kern w:val="0"/>
          <w:sz w:val="24"/>
          <w:szCs w:val="24"/>
          <w:highlight w:val="none"/>
          <w:lang w:eastAsia="zh-CN"/>
        </w:rPr>
        <w:t>，配备的人员</w:t>
      </w:r>
      <w:r>
        <w:rPr>
          <w:rFonts w:hint="eastAsia" w:ascii="宋体" w:hAnsi="宋体" w:cs="宋体"/>
          <w:color w:val="auto"/>
          <w:kern w:val="0"/>
          <w:sz w:val="24"/>
          <w:szCs w:val="24"/>
          <w:highlight w:val="none"/>
          <w:lang w:val="en-US" w:eastAsia="zh-CN"/>
        </w:rPr>
        <w:t>需</w:t>
      </w:r>
      <w:r>
        <w:rPr>
          <w:rFonts w:hint="eastAsia" w:ascii="宋体" w:hAnsi="宋体" w:cs="宋体"/>
          <w:color w:val="auto"/>
          <w:kern w:val="0"/>
          <w:sz w:val="24"/>
          <w:szCs w:val="24"/>
          <w:highlight w:val="none"/>
          <w:lang w:eastAsia="zh-CN"/>
        </w:rPr>
        <w:t>具有高级农产品食品检验员</w:t>
      </w:r>
      <w:r>
        <w:rPr>
          <w:rFonts w:hint="eastAsia" w:ascii="宋体" w:hAnsi="宋体" w:cs="宋体"/>
          <w:color w:val="auto"/>
          <w:kern w:val="0"/>
          <w:sz w:val="24"/>
          <w:szCs w:val="24"/>
          <w:highlight w:val="none"/>
          <w:lang w:val="en-US" w:eastAsia="zh-CN"/>
        </w:rPr>
        <w:t>证书。</w:t>
      </w:r>
      <w:r>
        <w:rPr>
          <w:rFonts w:hint="eastAsia" w:ascii="宋体" w:hAnsi="宋体" w:cs="宋体"/>
          <w:color w:val="auto"/>
          <w:sz w:val="24"/>
          <w:szCs w:val="24"/>
          <w:highlight w:val="none"/>
        </w:rPr>
        <w:t>投标人选配职工时，要做好人员审核工作，配送人员必须遵纪守法，无不良记录，持健康证上岗，按规定着装，配戴工作证。投标人应对服务本项目的专职配送人员配备情况进行说明。</w:t>
      </w:r>
    </w:p>
    <w:p w14:paraId="6E5B7EB3">
      <w:pPr>
        <w:widowControl/>
        <w:spacing w:line="360" w:lineRule="auto"/>
        <w:ind w:firstLine="45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投标人须具有符合卫生条件、车况良好、干净卫生的车辆配送，拥有正规合法的配送运输设备及车辆（</w:t>
      </w:r>
      <w:r>
        <w:rPr>
          <w:rFonts w:hint="eastAsia" w:ascii="宋体" w:hAnsi="宋体" w:cs="宋体"/>
          <w:color w:val="auto"/>
          <w:sz w:val="24"/>
          <w:szCs w:val="24"/>
          <w:highlight w:val="none"/>
          <w:lang w:val="en-US" w:eastAsia="zh-CN"/>
        </w:rPr>
        <w:t>冷藏</w:t>
      </w:r>
      <w:r>
        <w:rPr>
          <w:rFonts w:hint="eastAsia" w:ascii="宋体" w:hAnsi="宋体" w:cs="宋体"/>
          <w:color w:val="auto"/>
          <w:sz w:val="24"/>
          <w:szCs w:val="24"/>
          <w:highlight w:val="none"/>
        </w:rPr>
        <w:t>车或厢式货车各不少于一辆），运送车辆每天配送前须进行消毒并保证其配送运输车辆具备冷藏功能，确保所配送的副食品（特别是夏季）保持新鲜优质，并具有与配送商品相匹配的冷藏、保温设备和容器、包装物，并保证所有用品用具符合行业配送要求及卫生标准。</w:t>
      </w:r>
    </w:p>
    <w:p w14:paraId="409B48B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.3投标人应配备食品检验室且配备食品相关的检测仪器</w:t>
      </w:r>
      <w:r>
        <w:rPr>
          <w:rFonts w:hint="eastAsia" w:asciiTheme="minorEastAsia" w:hAnsiTheme="minorEastAsia" w:eastAsiaTheme="minorEastAsia" w:cstheme="minorEastAsia"/>
          <w:color w:val="auto"/>
          <w:kern w:val="0"/>
          <w:sz w:val="24"/>
          <w:szCs w:val="24"/>
          <w:highlight w:val="none"/>
        </w:rPr>
        <w:t>（检测内容至少包括①农药残留检测、②食品重金属检测、③甲醛等非法添加物检测）</w:t>
      </w:r>
      <w:r>
        <w:rPr>
          <w:rFonts w:hint="eastAsia" w:ascii="宋体" w:hAnsi="宋体" w:cs="宋体"/>
          <w:color w:val="auto"/>
          <w:kern w:val="0"/>
          <w:sz w:val="24"/>
          <w:szCs w:val="24"/>
          <w:highlight w:val="none"/>
        </w:rPr>
        <w:t>。</w:t>
      </w:r>
    </w:p>
    <w:p w14:paraId="0270B14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投标人应配备自有或第三方开发的APP或小程序或配送系统服务平台。</w:t>
      </w:r>
    </w:p>
    <w:p w14:paraId="1E8F0F2F">
      <w:pPr>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★1</w:t>
      </w:r>
      <w:r>
        <w:rPr>
          <w:rFonts w:ascii="宋体" w:hAnsi="宋体" w:cs="宋体"/>
          <w:b/>
          <w:bCs/>
          <w:color w:val="auto"/>
          <w:kern w:val="0"/>
          <w:sz w:val="24"/>
          <w:szCs w:val="24"/>
          <w:highlight w:val="none"/>
        </w:rPr>
        <w:t>7</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若中标人在合作期间有不可抗力（如疫情、不可抗力导致的货物短缺、极端气候影响等）出现而导致无法供应或因履约不合格被取消配送资格，可由其他合同包的中标人临时供应。采购人可选择同质最低价者供应。投标人需提供承诺函并加盖公章。</w:t>
      </w:r>
    </w:p>
    <w:p w14:paraId="271C3A45">
      <w:pPr>
        <w:spacing w:line="360" w:lineRule="auto"/>
        <w:ind w:firstLine="480" w:firstLineChars="200"/>
        <w:jc w:val="left"/>
        <w:rPr>
          <w:rFonts w:ascii="宋体" w:hAnsi="宋体" w:cs="宋体"/>
          <w:b/>
          <w:bCs/>
          <w:color w:val="auto"/>
          <w:kern w:val="0"/>
          <w:sz w:val="24"/>
          <w:szCs w:val="24"/>
          <w:highlight w:val="none"/>
        </w:rPr>
      </w:pPr>
      <w:r>
        <w:rPr>
          <w:rFonts w:hint="eastAsia" w:ascii="宋体" w:hAnsi="宋体" w:cs="宋体"/>
          <w:b w:val="0"/>
          <w:bCs w:val="0"/>
          <w:color w:val="auto"/>
          <w:kern w:val="0"/>
          <w:sz w:val="24"/>
          <w:szCs w:val="24"/>
          <w:highlight w:val="none"/>
          <w:lang w:val="en-US" w:eastAsia="zh-CN"/>
        </w:rPr>
        <w:t>18.投标人需具备将每日配送食材的食品追溯码发送到相应的食品追溯码平台上的能力（厦门市食品安全信息网https://spaq.scjg.xm.gov.cn:38087/xmspaq/jsp/login.jsp），并承诺中标后将每日配送的所有食材录入一品一码。</w:t>
      </w:r>
    </w:p>
    <w:p w14:paraId="7A96FB0E">
      <w:pPr>
        <w:pStyle w:val="4"/>
        <w:spacing w:before="0" w:after="0" w:line="360" w:lineRule="auto"/>
        <w:ind w:firstLine="482" w:firstLineChars="200"/>
        <w:jc w:val="left"/>
        <w:rPr>
          <w:rFonts w:ascii="宋体" w:hAnsi="宋体" w:cs="宋体"/>
          <w:color w:val="auto"/>
          <w:sz w:val="24"/>
          <w:szCs w:val="24"/>
          <w:highlight w:val="none"/>
        </w:rPr>
      </w:pPr>
      <w:bookmarkStart w:id="109" w:name="_Toc30137"/>
      <w:r>
        <w:rPr>
          <w:rFonts w:hint="eastAsia" w:ascii="宋体" w:hAnsi="宋体" w:cs="宋体"/>
          <w:color w:val="auto"/>
          <w:sz w:val="24"/>
          <w:szCs w:val="24"/>
          <w:highlight w:val="none"/>
        </w:rPr>
        <w:t>（2）商务要求</w:t>
      </w:r>
      <w:bookmarkEnd w:id="109"/>
    </w:p>
    <w:p w14:paraId="613AFDE6">
      <w:pPr>
        <w:tabs>
          <w:tab w:val="left" w:pos="0"/>
          <w:tab w:val="left" w:pos="426"/>
          <w:tab w:val="left" w:pos="851"/>
        </w:tabs>
        <w:spacing w:line="360" w:lineRule="auto"/>
        <w:ind w:left="-2" w:leftChars="-1" w:firstLine="569" w:firstLineChars="236"/>
        <w:rPr>
          <w:rFonts w:ascii="宋体" w:hAnsi="宋体" w:cs="宋体"/>
          <w:b/>
          <w:bCs/>
          <w:color w:val="auto"/>
          <w:sz w:val="24"/>
          <w:szCs w:val="24"/>
          <w:highlight w:val="none"/>
        </w:rPr>
      </w:pPr>
      <w:r>
        <w:rPr>
          <w:rFonts w:hint="eastAsia" w:ascii="宋体" w:hAnsi="宋体" w:cs="宋体"/>
          <w:b/>
          <w:bCs/>
          <w:color w:val="auto"/>
          <w:sz w:val="24"/>
          <w:szCs w:val="24"/>
          <w:highlight w:val="none"/>
        </w:rPr>
        <w:t>★1.投标人须书面承诺在供货期间，凡因所供货物质量问题造成食物中毒等后果的，中标人必须承担一切经济损失和法律责任。</w:t>
      </w:r>
    </w:p>
    <w:p w14:paraId="69919C9A">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2.投标人提供的服务标准、食品卫生执行标准、生产、包装、运输、安全标准及规范等必须符合国家、卫生及行业管理相关标准或规范要求，应在投标文件中提供详细实施方案、保障措施，提供相关证明文件。</w:t>
      </w:r>
    </w:p>
    <w:p w14:paraId="07F544ED">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3.投标人的服务应遵循专业、成熟、安全可靠的业务流程，应在投标文件中提供详细明确的服务方案，操作规范，服务流程，管理措施。投标人应在投标文件中明确需要相互配合的工作及交接的事务，投标文件未提及项目实施过程中涉及的均由投标人自行解决，且费用包含在报价中。</w:t>
      </w:r>
    </w:p>
    <w:p w14:paraId="570FE4DB">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4.供货商必须与采购人紧密配合，准确把握需求并快速响应采购人需求，配合采购人的监督管理、积极改进完善。如与需求不符，供货商必须按采购人要求期限内整改，否则采购人将依据投标文件及合同约定追究供货商责任。</w:t>
      </w:r>
    </w:p>
    <w:p w14:paraId="66FE566E">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5.投标人配备的工作人员应具有健康证及并依法缴交医社保，并有从事类似服务项目经验，服装统一整齐、洁净，文明工作，不违反采购人单位安全、卫生等管理制度。作息时间符合采购人要求，不得随意变更，确保符合服务承诺。供货商应加强进场工作人员的安全教育，相关人员人身安全事故责任均由供货商承担。</w:t>
      </w:r>
    </w:p>
    <w:p w14:paraId="5842B8A2">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6.投标人应制定完整管理制度，做好项目供货记录、留存相关票据凭证、提供产品来源渠道说明，定期进行项目资料的整理、考核资料的整理等工作，根据采购人的要求定期不定期将相关记录汇集成册交付采购人，随时接受采购人及相关管理部门的检查，监督。</w:t>
      </w:r>
    </w:p>
    <w:p w14:paraId="59D47E4E">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7.如果投标人提供产品的品质和价格无法达到采购人的要求时，采购人可以向其他中标人或商家进行采购。</w:t>
      </w:r>
    </w:p>
    <w:p w14:paraId="7AB15C87">
      <w:pPr>
        <w:tabs>
          <w:tab w:val="left" w:pos="0"/>
          <w:tab w:val="left" w:pos="426"/>
          <w:tab w:val="left" w:pos="851"/>
        </w:tabs>
        <w:spacing w:line="360" w:lineRule="auto"/>
        <w:ind w:left="-2" w:leftChars="-1" w:firstLine="569" w:firstLineChars="236"/>
        <w:rPr>
          <w:rFonts w:ascii="宋体" w:hAnsi="宋体" w:cs="宋体"/>
          <w:b/>
          <w:bCs/>
          <w:color w:val="auto"/>
          <w:sz w:val="24"/>
          <w:szCs w:val="24"/>
          <w:highlight w:val="none"/>
        </w:rPr>
      </w:pPr>
      <w:r>
        <w:rPr>
          <w:rFonts w:hint="eastAsia" w:ascii="宋体" w:hAnsi="宋体" w:cs="宋体"/>
          <w:b/>
          <w:bCs/>
          <w:color w:val="auto"/>
          <w:sz w:val="24"/>
          <w:szCs w:val="24"/>
          <w:highlight w:val="none"/>
        </w:rPr>
        <w:t>★8.投标人须书面承诺不得虚假应标，采购人若发现其存在虚假应标的有权终止合同，没收其全部履约保证金，并追究其违法违约责任。</w:t>
      </w:r>
    </w:p>
    <w:p w14:paraId="414CD49C">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9.投标人应明确投标产品及服务和招标要求存在正负偏离情况，对照招标文件要求，逐条说明所提供货物和服务已对采购人的技术、商务要求做出了实质性的响应，或申明与技术要求、商务要求条文的偏差和例外并列于偏离表中。特别对于有具体服务要求的，并提供重要技术条款逐条响应情况表。</w:t>
      </w:r>
    </w:p>
    <w:p w14:paraId="2F0C03AC">
      <w:pPr>
        <w:tabs>
          <w:tab w:val="left" w:pos="0"/>
          <w:tab w:val="left" w:pos="426"/>
          <w:tab w:val="left" w:pos="851"/>
        </w:tabs>
        <w:spacing w:line="360" w:lineRule="auto"/>
        <w:ind w:left="-2" w:leftChars="-1" w:firstLine="569" w:firstLineChars="236"/>
        <w:rPr>
          <w:rFonts w:ascii="宋体" w:hAnsi="宋体" w:cs="宋体"/>
          <w:b/>
          <w:bCs/>
          <w:color w:val="auto"/>
          <w:sz w:val="24"/>
          <w:szCs w:val="24"/>
          <w:highlight w:val="none"/>
        </w:rPr>
      </w:pPr>
      <w:r>
        <w:rPr>
          <w:rFonts w:hint="eastAsia" w:ascii="宋体" w:hAnsi="宋体" w:cs="宋体"/>
          <w:b/>
          <w:bCs/>
          <w:color w:val="auto"/>
          <w:sz w:val="24"/>
          <w:szCs w:val="24"/>
          <w:highlight w:val="none"/>
        </w:rPr>
        <w:t>以上证明文件均应加盖投标人公章。</w:t>
      </w:r>
    </w:p>
    <w:p w14:paraId="48442773">
      <w:pPr>
        <w:keepNext w:val="0"/>
        <w:keepLines w:val="0"/>
        <w:spacing w:line="360" w:lineRule="auto"/>
        <w:ind w:firstLine="482"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0</w:t>
      </w:r>
      <w:r>
        <w:rPr>
          <w:rFonts w:hint="eastAsia" w:ascii="宋体" w:hAnsi="宋体" w:cs="宋体"/>
          <w:b/>
          <w:color w:val="auto"/>
          <w:sz w:val="24"/>
          <w:szCs w:val="24"/>
          <w:highlight w:val="none"/>
        </w:rPr>
        <w:t>.验收条件及标准</w:t>
      </w:r>
    </w:p>
    <w:p w14:paraId="253DC042">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10.1</w:t>
      </w:r>
      <w:r>
        <w:rPr>
          <w:rFonts w:hint="eastAsia" w:ascii="宋体" w:hAnsi="宋体" w:cs="宋体"/>
          <w:color w:val="auto"/>
          <w:sz w:val="24"/>
          <w:szCs w:val="24"/>
          <w:highlight w:val="none"/>
        </w:rPr>
        <w:t>验收主体：</w:t>
      </w:r>
      <w:r>
        <w:rPr>
          <w:rFonts w:hint="eastAsia" w:ascii="宋体" w:hAnsi="宋体" w:cs="宋体"/>
          <w:color w:val="auto"/>
          <w:sz w:val="24"/>
          <w:szCs w:val="24"/>
          <w:highlight w:val="none"/>
          <w:lang w:val="en-US" w:eastAsia="zh-CN"/>
        </w:rPr>
        <w:t>采购人与中标供应商</w:t>
      </w:r>
      <w:r>
        <w:rPr>
          <w:rFonts w:hint="eastAsia" w:ascii="宋体" w:hAnsi="宋体" w:cs="宋体"/>
          <w:color w:val="auto"/>
          <w:sz w:val="24"/>
          <w:szCs w:val="24"/>
          <w:highlight w:val="none"/>
        </w:rPr>
        <w:t>双方指定负责食材验收的人员。</w:t>
      </w:r>
    </w:p>
    <w:p w14:paraId="2EC17F84">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10.2</w:t>
      </w:r>
      <w:r>
        <w:rPr>
          <w:rFonts w:hint="eastAsia" w:ascii="宋体" w:hAnsi="宋体" w:cs="宋体"/>
          <w:color w:val="auto"/>
          <w:sz w:val="24"/>
          <w:szCs w:val="24"/>
          <w:highlight w:val="none"/>
        </w:rPr>
        <w:t>验收时间：</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的每日配送服务进行验收，并将整改内容进行记录，同时向</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提出整改要求。</w:t>
      </w:r>
    </w:p>
    <w:p w14:paraId="4C1170D6">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10.3</w:t>
      </w:r>
      <w:r>
        <w:rPr>
          <w:rFonts w:hint="eastAsia" w:ascii="宋体" w:hAnsi="宋体" w:cs="宋体"/>
          <w:color w:val="auto"/>
          <w:sz w:val="24"/>
          <w:szCs w:val="24"/>
          <w:highlight w:val="none"/>
        </w:rPr>
        <w:t>验收方式：每日验收。按实际过磅重量，净重计量，不得供应破损、变质及有农药、激素残留的产品。</w:t>
      </w:r>
    </w:p>
    <w:p w14:paraId="0ED6FA91">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10.4</w:t>
      </w:r>
      <w:r>
        <w:rPr>
          <w:rFonts w:hint="eastAsia" w:ascii="宋体" w:hAnsi="宋体" w:cs="宋体"/>
          <w:color w:val="auto"/>
          <w:sz w:val="24"/>
          <w:szCs w:val="24"/>
          <w:highlight w:val="none"/>
        </w:rPr>
        <w:t>验收方法：</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订单将货物送至指定地点后，双方人员应及时对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货物进行验收。</w:t>
      </w:r>
    </w:p>
    <w:p w14:paraId="1B0B724F">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10.5</w:t>
      </w:r>
      <w:r>
        <w:rPr>
          <w:rFonts w:hint="eastAsia" w:ascii="宋体" w:hAnsi="宋体" w:cs="宋体"/>
          <w:color w:val="auto"/>
          <w:sz w:val="24"/>
          <w:szCs w:val="24"/>
          <w:highlight w:val="none"/>
        </w:rPr>
        <w:t>验收程序：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指定人员验收合格后，在</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的送货单上盖章或签名给予确认。</w:t>
      </w:r>
    </w:p>
    <w:p w14:paraId="76E53F04">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10.6</w:t>
      </w:r>
      <w:r>
        <w:rPr>
          <w:rFonts w:hint="eastAsia" w:ascii="宋体" w:hAnsi="宋体" w:cs="宋体"/>
          <w:color w:val="auto"/>
          <w:sz w:val="24"/>
          <w:szCs w:val="24"/>
          <w:highlight w:val="none"/>
        </w:rPr>
        <w:t>验收内容：对供应商提供的食材品种、规格、数量、质量等进行验收。</w:t>
      </w:r>
    </w:p>
    <w:p w14:paraId="7A5F635A">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10.7</w:t>
      </w:r>
      <w:r>
        <w:rPr>
          <w:rFonts w:hint="eastAsia" w:ascii="宋体" w:hAnsi="宋体" w:cs="宋体"/>
          <w:color w:val="auto"/>
          <w:sz w:val="24"/>
          <w:szCs w:val="24"/>
          <w:highlight w:val="none"/>
        </w:rPr>
        <w:t>验收标准：招标文件、投标文件、《中华人民共和国食品安全法》等法律法规及国家、地方（以使用地为准）、行业有关食品卫生、质量标准，均为验收</w:t>
      </w:r>
      <w:r>
        <w:rPr>
          <w:rFonts w:hint="eastAsia" w:ascii="宋体" w:hAnsi="宋体" w:cs="宋体"/>
          <w:color w:val="auto"/>
          <w:sz w:val="24"/>
          <w:szCs w:val="24"/>
          <w:highlight w:val="none"/>
          <w:lang w:val="en-US" w:eastAsia="zh-CN"/>
        </w:rPr>
        <w:t>标准</w:t>
      </w:r>
      <w:r>
        <w:rPr>
          <w:rFonts w:hint="eastAsia" w:ascii="宋体" w:hAnsi="宋体" w:cs="宋体"/>
          <w:color w:val="auto"/>
          <w:sz w:val="24"/>
          <w:szCs w:val="24"/>
          <w:highlight w:val="none"/>
        </w:rPr>
        <w:t>。</w:t>
      </w:r>
    </w:p>
    <w:p w14:paraId="720E4162">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10.8</w:t>
      </w:r>
      <w:r>
        <w:rPr>
          <w:rFonts w:hint="eastAsia" w:ascii="宋体" w:hAnsi="宋体" w:cs="宋体"/>
          <w:color w:val="auto"/>
          <w:sz w:val="24"/>
          <w:szCs w:val="24"/>
          <w:highlight w:val="none"/>
        </w:rPr>
        <w:t>验收责任：如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的指定人员对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供应的食材不进行验收，造成该食材损失的，该损失应由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承担。</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不得私自随意放置食材后自行离去，如因此发生食材数量、质量问题或食材遗失，该损失应由</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承担。在履约期间，若采购人对供货商所供货物质量产生异议，送政府质量部门检测。如不合格，检测费由供货商承担，并接受采购人处罚。</w:t>
      </w:r>
    </w:p>
    <w:p w14:paraId="45CB66A7">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10.9</w:t>
      </w:r>
      <w:r>
        <w:rPr>
          <w:rFonts w:hint="eastAsia" w:ascii="宋体" w:hAnsi="宋体" w:cs="宋体"/>
          <w:color w:val="auto"/>
          <w:sz w:val="24"/>
          <w:szCs w:val="24"/>
          <w:highlight w:val="none"/>
        </w:rPr>
        <w:t>考核要求：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根据每日验收记录以及整改情况，结合《厦门市分行食堂食材配送服务考核指标》按月对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进行考核；年度考核为取12个月考核得分的平均值，80分（含80分）以上为合格，80分以下为不合格。</w:t>
      </w:r>
    </w:p>
    <w:p w14:paraId="5AA800ED">
      <w:pPr>
        <w:keepNext w:val="0"/>
        <w:keepLines w:val="0"/>
        <w:spacing w:line="360" w:lineRule="auto"/>
        <w:ind w:firstLine="482"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.商务条件（以“★”标示的内容为不允许负偏离的实质性要求）</w:t>
      </w:r>
    </w:p>
    <w:p w14:paraId="7C7F8F1F">
      <w:pPr>
        <w:spacing w:line="360" w:lineRule="auto"/>
        <w:ind w:firstLine="48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.1服务地点：福建省厦门市思明区</w:t>
      </w:r>
      <w:r>
        <w:rPr>
          <w:rFonts w:hint="eastAsia" w:ascii="宋体" w:hAnsi="宋体" w:cs="宋体"/>
          <w:b w:val="0"/>
          <w:bCs w:val="0"/>
          <w:color w:val="auto"/>
          <w:sz w:val="24"/>
          <w:szCs w:val="24"/>
          <w:highlight w:val="none"/>
        </w:rPr>
        <w:t>展鸿路</w:t>
      </w:r>
      <w:r>
        <w:rPr>
          <w:rFonts w:ascii="宋体" w:hAnsi="宋体" w:cs="宋体"/>
          <w:b w:val="0"/>
          <w:bCs w:val="0"/>
          <w:color w:val="auto"/>
          <w:sz w:val="24"/>
          <w:szCs w:val="24"/>
          <w:highlight w:val="none"/>
        </w:rPr>
        <w:t>100号</w:t>
      </w:r>
      <w:r>
        <w:rPr>
          <w:rFonts w:hint="eastAsia" w:ascii="宋体" w:hAnsi="宋体" w:cs="宋体"/>
          <w:b w:val="0"/>
          <w:bCs w:val="0"/>
          <w:color w:val="auto"/>
          <w:sz w:val="24"/>
          <w:szCs w:val="24"/>
          <w:highlight w:val="none"/>
        </w:rPr>
        <w:t>和翔安区黎林路</w:t>
      </w:r>
      <w:r>
        <w:rPr>
          <w:rFonts w:ascii="宋体" w:hAnsi="宋体" w:cs="宋体"/>
          <w:b w:val="0"/>
          <w:bCs w:val="0"/>
          <w:color w:val="auto"/>
          <w:sz w:val="24"/>
          <w:szCs w:val="24"/>
          <w:highlight w:val="none"/>
        </w:rPr>
        <w:t>1699号</w:t>
      </w:r>
    </w:p>
    <w:p w14:paraId="5861C304">
      <w:pPr>
        <w:spacing w:line="360" w:lineRule="auto"/>
        <w:ind w:firstLine="480"/>
        <w:rPr>
          <w:rFonts w:hint="eastAsia" w:ascii="宋体" w:hAnsi="宋体"/>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.2服务期限：</w:t>
      </w:r>
      <w:r>
        <w:rPr>
          <w:rFonts w:hint="eastAsia" w:ascii="宋体" w:hAnsi="宋体"/>
          <w:color w:val="auto"/>
          <w:sz w:val="24"/>
          <w:szCs w:val="24"/>
          <w:highlight w:val="none"/>
        </w:rPr>
        <w:t>一年，</w:t>
      </w:r>
      <w:r>
        <w:rPr>
          <w:rFonts w:hint="eastAsia" w:ascii="宋体" w:hAnsi="宋体" w:cs="宋体"/>
          <w:b w:val="0"/>
          <w:bCs w:val="0"/>
          <w:color w:val="auto"/>
          <w:sz w:val="24"/>
          <w:szCs w:val="24"/>
          <w:highlight w:val="none"/>
          <w:lang w:val="en-US" w:eastAsia="zh-CN"/>
        </w:rPr>
        <w:t>预计服务时间为2026年6月1日至2027年5月31日。</w:t>
      </w:r>
      <w:r>
        <w:rPr>
          <w:rFonts w:hint="eastAsia" w:ascii="宋体" w:hAnsi="宋体"/>
          <w:color w:val="auto"/>
          <w:sz w:val="24"/>
          <w:szCs w:val="24"/>
          <w:highlight w:val="none"/>
        </w:rPr>
        <w:t>一年服务期满后，在预算资金有保障、服务价格不提高的前提下，中标人经采购人考核合格，可与采购人续签下一年度服务外包合同，最多续签2次。</w:t>
      </w:r>
    </w:p>
    <w:p w14:paraId="441FAD22">
      <w:pPr>
        <w:spacing w:line="360" w:lineRule="auto"/>
        <w:ind w:firstLine="48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合同履行中，采购人将对供货商进行考核，考核不合格或者发生合同解除情形的，采购人将不与供货商继续履行食材供应合同，且供货商应承担因此造成的一切经济和法律后果。</w:t>
      </w:r>
    </w:p>
    <w:p w14:paraId="4EC9CCC4">
      <w:pPr>
        <w:spacing w:line="360" w:lineRule="auto"/>
        <w:ind w:firstLine="480" w:firstLineChars="200"/>
        <w:rPr>
          <w:rFonts w:ascii="宋体" w:hAnsi="宋体" w:cs="宋体"/>
          <w:b/>
          <w:bCs/>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3付款方式：每月进行一次结算。结算周期届满后的次月10日前，供货商应向采购人提交结算清单、扣款事项及金额书面确认材料（如有）并附采购人签收及验收合格的凭证。该结算清单经采购人审核确认无误后，供货商开具的符合要求的等额增值税发票。采购人</w:t>
      </w:r>
      <w:r>
        <w:rPr>
          <w:rFonts w:hint="eastAsia" w:ascii="宋体" w:hAnsi="宋体" w:cs="宋体"/>
          <w:color w:val="auto"/>
          <w:sz w:val="24"/>
          <w:szCs w:val="24"/>
          <w:highlight w:val="none"/>
        </w:rPr>
        <w:t>将按国库支付流程付款，</w:t>
      </w:r>
      <w:r>
        <w:rPr>
          <w:rFonts w:hint="eastAsia" w:ascii="宋体" w:hAnsi="宋体" w:cs="宋体"/>
          <w:b w:val="0"/>
          <w:bCs w:val="0"/>
          <w:color w:val="auto"/>
          <w:sz w:val="24"/>
          <w:szCs w:val="24"/>
          <w:highlight w:val="none"/>
        </w:rPr>
        <w:t>收到发票后</w:t>
      </w:r>
      <w:r>
        <w:rPr>
          <w:rFonts w:hint="eastAsia" w:ascii="宋体" w:hAnsi="宋体" w:cs="宋体"/>
          <w:color w:val="auto"/>
          <w:sz w:val="24"/>
          <w:szCs w:val="24"/>
          <w:highlight w:val="none"/>
        </w:rPr>
        <w:t>原则上</w:t>
      </w:r>
      <w:r>
        <w:rPr>
          <w:rFonts w:hint="eastAsia" w:ascii="宋体" w:hAnsi="宋体" w:cs="宋体"/>
          <w:b w:val="0"/>
          <w:bCs w:val="0"/>
          <w:color w:val="auto"/>
          <w:sz w:val="24"/>
          <w:szCs w:val="24"/>
          <w:highlight w:val="none"/>
        </w:rPr>
        <w:t>十个工作日内支付结算货款。</w:t>
      </w:r>
      <w:r>
        <w:rPr>
          <w:rFonts w:hint="eastAsia" w:ascii="宋体" w:hAnsi="宋体" w:cs="宋体"/>
          <w:color w:val="auto"/>
          <w:sz w:val="24"/>
          <w:szCs w:val="24"/>
          <w:highlight w:val="none"/>
        </w:rPr>
        <w:t>中标人须充分知晓采购人财政资金的属性。若因采购人财政资金拨付不及时等相关原因导致采购人付款逾期，中标人同意该情形不视为采购人违约，不追究采购人的违约责任，且不得以此为由拒绝履行约定义务。</w:t>
      </w:r>
    </w:p>
    <w:p w14:paraId="50D0874F">
      <w:pPr>
        <w:spacing w:line="360" w:lineRule="auto"/>
        <w:ind w:firstLine="48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.4是否收取履约保证金：是。履约保证金百分比：1%。中标供应商应按照</w:t>
      </w:r>
      <w:r>
        <w:rPr>
          <w:rFonts w:hint="eastAsia" w:ascii="宋体" w:hAnsi="宋体" w:cs="宋体"/>
          <w:b w:val="0"/>
          <w:bCs w:val="0"/>
          <w:color w:val="auto"/>
          <w:sz w:val="24"/>
          <w:szCs w:val="24"/>
          <w:highlight w:val="none"/>
        </w:rPr>
        <w:t>合同包一年预算费用的</w:t>
      </w:r>
      <w:r>
        <w:rPr>
          <w:rFonts w:ascii="宋体" w:hAnsi="宋体" w:cs="宋体"/>
          <w:b w:val="0"/>
          <w:bCs w:val="0"/>
          <w:color w:val="auto"/>
          <w:sz w:val="24"/>
          <w:szCs w:val="24"/>
          <w:highlight w:val="none"/>
        </w:rPr>
        <w:t>1%缴纳履约保证金，用于履约保证和年度考核、合同违约情形的扣取。如因发生扣取事项导致履约保证金不足时，中标供应商应于15个工作日内向采购人补足相应款项，否则采购人有权从应付的结算费用中直接扣除；如未发生应扣取事项则相应款项继续留存作为下一年度履约保证金；待续签期限</w:t>
      </w:r>
      <w:r>
        <w:rPr>
          <w:rFonts w:hint="eastAsia" w:ascii="宋体" w:hAnsi="宋体" w:cs="宋体"/>
          <w:b w:val="0"/>
          <w:bCs w:val="0"/>
          <w:color w:val="auto"/>
          <w:sz w:val="24"/>
          <w:szCs w:val="24"/>
          <w:highlight w:val="none"/>
        </w:rPr>
        <w:t>届满后，双方对合同履约情况不存在争议的情况下，采购人在</w:t>
      </w:r>
      <w:r>
        <w:rPr>
          <w:rFonts w:ascii="宋体" w:hAnsi="宋体" w:cs="宋体"/>
          <w:b w:val="0"/>
          <w:bCs w:val="0"/>
          <w:color w:val="auto"/>
          <w:sz w:val="24"/>
          <w:szCs w:val="24"/>
          <w:highlight w:val="none"/>
        </w:rPr>
        <w:t>20个工作日内将履约保证金全额无息返还给中标供应商。说明：履约保证金允许供应商通过保函等非现金方式提供履约保证金。中标人为中小企业的履约保证金减半收取。</w:t>
      </w:r>
    </w:p>
    <w:p w14:paraId="1875704F">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.5是否邀请投标人参与验收：</w:t>
      </w:r>
      <w:r>
        <w:rPr>
          <w:rFonts w:hint="eastAsia" w:ascii="宋体" w:hAnsi="宋体" w:cs="宋体"/>
          <w:b w:val="0"/>
          <w:bCs w:val="0"/>
          <w:color w:val="auto"/>
          <w:sz w:val="24"/>
          <w:szCs w:val="24"/>
          <w:highlight w:val="none"/>
        </w:rPr>
        <w:t>否</w:t>
      </w:r>
    </w:p>
    <w:p w14:paraId="0337E259">
      <w:pPr>
        <w:spacing w:line="360" w:lineRule="auto"/>
        <w:ind w:firstLine="480" w:firstLineChars="200"/>
        <w:rPr>
          <w:rFonts w:ascii="宋体" w:hAnsi="宋体" w:cs="宋体"/>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2</w:t>
      </w:r>
      <w:r>
        <w:rPr>
          <w:rFonts w:ascii="宋体" w:hAnsi="宋体" w:cs="宋体"/>
          <w:b w:val="0"/>
          <w:bCs w:val="0"/>
          <w:color w:val="auto"/>
          <w:sz w:val="24"/>
          <w:szCs w:val="24"/>
          <w:highlight w:val="none"/>
        </w:rPr>
        <w:t>.违约处罚及合同解除</w:t>
      </w:r>
    </w:p>
    <w:p w14:paraId="31945376">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.1在整个供货期间，中标人若未按招标文件及合同规定条款履行职责，则按相关违约规定处理，违约情况包括但不局限于：</w:t>
      </w:r>
    </w:p>
    <w:p w14:paraId="7F65192C">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1.1供货商若不按采购人要求的数量供货，超过部分全部退回，不足部分由采购人另行采购，采购所需费用由供货商负责；供货商如不按时按量供货，影响采购人职工食堂正常运营的，每发生一次采购人将酌情从供货商履约保证金中扣除人民币1000-5000元。</w:t>
      </w:r>
    </w:p>
    <w:p w14:paraId="1039CC7C">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.1.2中标人若未根据采购人需求提供相应服务，且未在指定期限内整改的，每发生一次采购人将酌情从供货商履约保证金中扣除人民币1000-5000元。</w:t>
      </w:r>
    </w:p>
    <w:p w14:paraId="64885FD6">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.1.3供货商未按合同约定的时间或采购人需求交货的，每延误一天按该批次延误食材总价的0.05%计收违约金直至交货为止，并承担由此给采购人造成的一切责任。</w:t>
      </w:r>
    </w:p>
    <w:p w14:paraId="67340DDD">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.1.4供货质量无法达到招标文件、投标文件、厂家货物技术标准说明、《</w:t>
      </w:r>
      <w:r>
        <w:rPr>
          <w:rFonts w:hint="eastAsia" w:ascii="宋体" w:hAnsi="宋体" w:cs="宋体"/>
          <w:color w:val="auto"/>
          <w:sz w:val="24"/>
          <w:szCs w:val="24"/>
          <w:highlight w:val="none"/>
          <w:lang w:eastAsia="zh-CN"/>
        </w:rPr>
        <w:t>中华人民共和国食品安全法</w:t>
      </w:r>
      <w:r>
        <w:rPr>
          <w:rFonts w:hint="eastAsia" w:ascii="宋体" w:hAnsi="宋体" w:cs="宋体"/>
          <w:color w:val="auto"/>
          <w:sz w:val="24"/>
          <w:szCs w:val="24"/>
          <w:highlight w:val="none"/>
        </w:rPr>
        <w:t>》及国家有关食品卫生标准的质量标准规定要求及符合国家各项标准；质量抽检不合格；无法按厦门市“入市必登”系统要求提供当每批次所有产品的《上市凭证》。每发生一次以上情况，采购人将从供货商履约保证金中扣除该批次货物总价的百分之十（10%）。</w:t>
      </w:r>
    </w:p>
    <w:p w14:paraId="511299C0">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.1.5供货商配送车辆及人员未达到招投标文件及合同约定标准的，每发生一次采购人将酌情从供货商履约保证金中扣除人民币1000-5000元。</w:t>
      </w:r>
    </w:p>
    <w:p w14:paraId="4DD361B6">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.1.6采购人抽查供货商报价，若发现供货商的成交价高于大型商超（线上或线下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不参与本项目招投标活动）或农贸市场的销售价格，发生一次采购人将从供货商履约保证金中扣除该批次货物总价的百分之十（10%）。</w:t>
      </w:r>
    </w:p>
    <w:p w14:paraId="365E003F">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1.7供货商应认真做好结算清单梳理工作，确认结算金额与送货金额是否相符，采购人财务部门在审核过程中每发现数额等有差错一次，将按照就低原则进行货款支付并将酌情从供货商履约保证金中扣除人民币1000-5000元。</w:t>
      </w:r>
    </w:p>
    <w:p w14:paraId="4BD54F0E">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.1.8供货商不积极配合采购人做好验收工作、出入库、结算、接受内外部检查等，每发生一次采购人将酌情从供货商履约保证金中扣除人民币1000-5000元。</w:t>
      </w:r>
    </w:p>
    <w:p w14:paraId="33B4581F">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.1.9合同约定的其他情形：</w:t>
      </w:r>
    </w:p>
    <w:p w14:paraId="022BF075">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.2合同期间如出现以下情况，采购人可直接解除合同并没收履约保证金：</w:t>
      </w:r>
    </w:p>
    <w:p w14:paraId="152689BC">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.2.1供货商一个供货年度内违反前述1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.1.1-1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.1.9的情形累计达三次的，或影响采购人职工食堂正常运营的。</w:t>
      </w:r>
    </w:p>
    <w:p w14:paraId="30FAE4AF">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.2.2供货商在供货期间，因供货质量问题、供货商过失、过错等造成食物中毒等其他后果的。</w:t>
      </w:r>
    </w:p>
    <w:p w14:paraId="02C8EFAD">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.2.3法律法规规章、招投标文件、合同约定的其他情形。</w:t>
      </w:r>
    </w:p>
    <w:p w14:paraId="0FAC6E40">
      <w:pPr>
        <w:keepNext w:val="0"/>
        <w:keepLines w:val="0"/>
        <w:spacing w:line="360" w:lineRule="auto"/>
        <w:ind w:firstLine="482" w:firstLineChars="200"/>
        <w:jc w:val="both"/>
        <w:outlineLvl w:val="9"/>
        <w:rPr>
          <w:rFonts w:ascii="宋体" w:hAnsi="宋体" w:cs="宋体"/>
          <w:b/>
          <w:bCs/>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.其他事项（</w:t>
      </w:r>
      <w:r>
        <w:rPr>
          <w:rFonts w:hint="eastAsia" w:ascii="宋体" w:hAnsi="宋体" w:cs="宋体"/>
          <w:b/>
          <w:bCs/>
          <w:color w:val="auto"/>
          <w:sz w:val="24"/>
          <w:szCs w:val="24"/>
          <w:highlight w:val="none"/>
        </w:rPr>
        <w:t>商务响应要求）</w:t>
      </w:r>
    </w:p>
    <w:p w14:paraId="14A3A0A2">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.1投标人应尽可能地提供能证明其货物符合国家标准的相关证明文件（如权威部门对货物的鉴定证书、检测报告、安全、质量及环保认证等）。</w:t>
      </w:r>
    </w:p>
    <w:p w14:paraId="50A580CE">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.2投标人应尽可能地提供与供货服务有关的质量管理体系认证、环境管理体系认证、职业健康安全管理体系认证、食品安全管理体系认证证书等。</w:t>
      </w:r>
    </w:p>
    <w:p w14:paraId="4B3F42BF">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.3投标人应承诺2023年1月1日以来在国家市场监督管理总局关于食品安全抽查公布结果查询系统（https://spcjsac.gsxt.gov.cn/）的查询结果（按投标人名称查询）中未查询到不合格产品信息</w:t>
      </w:r>
      <w:r>
        <w:rPr>
          <w:rFonts w:hint="eastAsia" w:ascii="宋体" w:hAnsi="宋体" w:cs="宋体"/>
          <w:color w:val="auto"/>
          <w:sz w:val="24"/>
          <w:szCs w:val="24"/>
          <w:highlight w:val="none"/>
          <w:lang w:eastAsia="zh-CN"/>
        </w:rPr>
        <w:t>。</w:t>
      </w:r>
    </w:p>
    <w:p w14:paraId="2CE84C5A">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.4投标人应尽可能地提供2023年至今的企业信誉及财务状况等相关证明材料的有效复印件。</w:t>
      </w:r>
    </w:p>
    <w:p w14:paraId="46A0F909">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.5投标人应尽可能地提供安全生产管理制度、食品卫生管理制度、食品安全管理制度、食品从业人员管理等制度。</w:t>
      </w:r>
    </w:p>
    <w:p w14:paraId="3A997C97">
      <w:pPr>
        <w:tabs>
          <w:tab w:val="left" w:pos="0"/>
          <w:tab w:val="left" w:pos="426"/>
          <w:tab w:val="left" w:pos="851"/>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.6投标人应提供2023年至今（以合同签订时间为准）与所投合同包品目内容类似项目的经营业绩、经验</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lang w:eastAsia="zh-CN"/>
        </w:rPr>
        <w:t>用户满意度情况</w:t>
      </w:r>
      <w:r>
        <w:rPr>
          <w:rFonts w:hint="eastAsia" w:ascii="宋体" w:hAnsi="宋体" w:cs="宋体"/>
          <w:color w:val="auto"/>
          <w:sz w:val="24"/>
          <w:szCs w:val="24"/>
          <w:highlight w:val="none"/>
        </w:rPr>
        <w:t>的有效证明文件，原件备查。</w:t>
      </w:r>
    </w:p>
    <w:p w14:paraId="577387CF">
      <w:pPr>
        <w:tabs>
          <w:tab w:val="left" w:pos="0"/>
          <w:tab w:val="left" w:pos="426"/>
          <w:tab w:val="left" w:pos="851"/>
        </w:tabs>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13.7</w:t>
      </w:r>
      <w:r>
        <w:rPr>
          <w:rFonts w:hint="eastAsia" w:ascii="宋体" w:hAnsi="宋体" w:cs="宋体"/>
          <w:color w:val="auto"/>
          <w:sz w:val="24"/>
          <w:szCs w:val="24"/>
          <w:highlight w:val="none"/>
        </w:rPr>
        <w:t>投标人应承诺投标人及其分公司距本项目开标之日前五年内，未发生过食物中毒安全事故或因食品安全问题被行政处罚及公告</w:t>
      </w:r>
      <w:r>
        <w:rPr>
          <w:rFonts w:hint="eastAsia" w:ascii="宋体" w:hAnsi="宋体" w:cs="宋体"/>
          <w:color w:val="auto"/>
          <w:sz w:val="24"/>
          <w:szCs w:val="24"/>
          <w:highlight w:val="none"/>
          <w:lang w:eastAsia="zh-CN"/>
        </w:rPr>
        <w:t>。</w:t>
      </w:r>
    </w:p>
    <w:p w14:paraId="1A840ACD">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须根据本项目的特点提供以下材料（包括但不限于）投标书、开标一览表、资格证明材料、“★”号条款逐条响应情况表及承诺书、供货清单、供货方案及质量保证措施、技术规格和商务响应表、售后服务承诺等。</w:t>
      </w:r>
    </w:p>
    <w:p w14:paraId="374C0135">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以上证明文件均应加盖投标人公章。</w:t>
      </w:r>
    </w:p>
    <w:p w14:paraId="2BE4A6CE">
      <w:pPr>
        <w:keepNext w:val="0"/>
        <w:keepLines w:val="0"/>
        <w:spacing w:line="360" w:lineRule="auto"/>
        <w:ind w:firstLine="482"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.售后及增值服务</w:t>
      </w:r>
    </w:p>
    <w:p w14:paraId="4ABCA355">
      <w:pPr>
        <w:tabs>
          <w:tab w:val="left" w:pos="0"/>
          <w:tab w:val="left" w:pos="426"/>
          <w:tab w:val="left" w:pos="851"/>
        </w:tabs>
        <w:spacing w:line="360" w:lineRule="auto"/>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.1投标人应在投标文件中提出详细具体的售后服务条款、保障措施</w:t>
      </w:r>
      <w:r>
        <w:rPr>
          <w:rFonts w:hint="eastAsia" w:ascii="宋体" w:hAnsi="宋体" w:cs="宋体"/>
          <w:color w:val="auto"/>
          <w:sz w:val="24"/>
          <w:szCs w:val="24"/>
          <w:highlight w:val="none"/>
          <w:lang w:eastAsia="zh-CN"/>
        </w:rPr>
        <w:t>。</w:t>
      </w:r>
    </w:p>
    <w:p w14:paraId="18AA3101">
      <w:pPr>
        <w:tabs>
          <w:tab w:val="left" w:pos="0"/>
          <w:tab w:val="left" w:pos="426"/>
          <w:tab w:val="left" w:pos="851"/>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.2售后服务严格按照国家消费者协会三包法规定执行。包括但不限于退换货方案、对于不符合采购品质要求、不能通过验收的，采购人对食材品质存在疑虑等情形，在限定时间内免费退换、补齐等。</w:t>
      </w:r>
    </w:p>
    <w:p w14:paraId="420EFD10">
      <w:pPr>
        <w:tabs>
          <w:tab w:val="left" w:pos="0"/>
          <w:tab w:val="left" w:pos="426"/>
          <w:tab w:val="left" w:pos="851"/>
        </w:tabs>
        <w:spacing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14.3</w:t>
      </w:r>
      <w:r>
        <w:rPr>
          <w:rFonts w:hint="eastAsia" w:ascii="宋体" w:hAnsi="宋体" w:cs="宋体"/>
          <w:color w:val="auto"/>
          <w:sz w:val="24"/>
          <w:szCs w:val="24"/>
          <w:highlight w:val="none"/>
        </w:rPr>
        <w:t>投标人应承诺为本项目购买“食品安全责任险”</w:t>
      </w:r>
      <w:r>
        <w:rPr>
          <w:rFonts w:hint="eastAsia" w:ascii="宋体" w:hAnsi="宋体" w:cs="宋体"/>
          <w:color w:val="auto"/>
          <w:sz w:val="24"/>
          <w:szCs w:val="24"/>
          <w:highlight w:val="none"/>
          <w:lang w:eastAsia="zh-CN"/>
        </w:rPr>
        <w:t>。</w:t>
      </w:r>
    </w:p>
    <w:p w14:paraId="2156B981">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投标人应在投标文件中根据自身情况，结合采购人职工需求等，设计增值服务方案、条款及承诺。</w:t>
      </w:r>
    </w:p>
    <w:p w14:paraId="6F62DEC5">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投标人认为有利于采购人的其他优惠条款应单独列明。</w:t>
      </w:r>
    </w:p>
    <w:p w14:paraId="119CB92F">
      <w:pPr>
        <w:keepNext w:val="0"/>
        <w:keepLines w:val="0"/>
        <w:spacing w:line="360" w:lineRule="auto"/>
        <w:ind w:firstLine="482"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.风险承担与责任认定机制</w:t>
      </w:r>
    </w:p>
    <w:p w14:paraId="7F224185">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1中标人的服务人员与采购人不存在劳动关系，在为采购人服务期间发生的工伤风险、意外事故或作业安全问题引发的人身伤亡和财产损失，等赔偿责任及相关费用，解聘服务人员所需的经济补偿金等均由中标人自行承担。</w:t>
      </w:r>
    </w:p>
    <w:p w14:paraId="2D3BFF26">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.2治安事件的责任认定，以公安部门裁定为准；非治安事件的责任认定，由双方协商，协商不成的，以诉讼方式认定。</w:t>
      </w:r>
    </w:p>
    <w:p w14:paraId="5B7A07CC">
      <w:pPr>
        <w:spacing w:line="360" w:lineRule="auto"/>
        <w:ind w:left="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以上要求投标人应提供证明材料，并加盖投标人公章。</w:t>
      </w:r>
    </w:p>
    <w:p w14:paraId="505A2581">
      <w:pPr>
        <w:keepNext w:val="0"/>
        <w:keepLines w:val="0"/>
        <w:spacing w:line="360" w:lineRule="auto"/>
        <w:ind w:firstLine="482"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16</w:t>
      </w:r>
      <w:r>
        <w:rPr>
          <w:rFonts w:hint="eastAsia" w:ascii="宋体" w:hAnsi="宋体" w:cs="宋体"/>
          <w:b/>
          <w:color w:val="auto"/>
          <w:sz w:val="24"/>
          <w:szCs w:val="24"/>
          <w:highlight w:val="none"/>
        </w:rPr>
        <w:t>.投标报价</w:t>
      </w:r>
    </w:p>
    <w:p w14:paraId="24117CAE">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1投标报价为货物送达采购人指定地点，经采购人验收合格并交货完毕所有可能发生的费用，包括但不限于：食材费用、人工、材料、损耗、生产、检验检疫、运输、搬运、管理、保险、利润、包装、加工、设备折旧费、检测费、各种税费、售后服务、免费按时退换货服务、招标代理服务费等费用。如有遗漏，投标人应予补充，否则，一旦中标将认为投标人认同遗漏部分并免费提供。</w:t>
      </w:r>
    </w:p>
    <w:p w14:paraId="629F32F3">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.2本次投标报价统一采用收费比例方式报价，如中标，该收费比例即为中标收费比例，将作为签署合同时的计价依据。</w:t>
      </w:r>
    </w:p>
    <w:p w14:paraId="4B1C37A7">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val="en-US" w:eastAsia="zh-CN"/>
        </w:rPr>
        <w:t>16</w:t>
      </w:r>
      <w:r>
        <w:rPr>
          <w:rFonts w:hint="eastAsia" w:ascii="宋体" w:hAnsi="宋体" w:cs="宋体"/>
          <w:b/>
          <w:bCs/>
          <w:color w:val="auto"/>
          <w:sz w:val="24"/>
          <w:szCs w:val="32"/>
          <w:highlight w:val="none"/>
        </w:rPr>
        <w:t>.3基准价的确定方式：每月确定一次，即每月25日确定次月价格。投标人在市场调查价格的基础上进行报价，选择大型商超（朴朴、永辉、沃尔玛、天虹、大润发、麦德龙、夏商等）任选2-3家平均价作为基准价参考依据，以同类、同质商品的价格作为当期基准价，并提供商品价格调查截图。若在大型商超中无法找到相应的商品，则由双方根据市场行情确定基准价。采购人定期到大型商超（线上或线下）或农贸市场询价，监督审核每个周期的基准价。中标人的供货价格=该周期的基准价×中标收费比例。合同期限内，中标收费比例不再调整，投标人应自行核算项目正常、合法运作及使用所可能发生的一切费用。合同报价应包含产品价款、储存、途中运输装卸费、损耗费、人工费、保险及其它服务、税费等一切费用。投标人必须在投标文件中提供书面承诺接受以上条款。</w:t>
      </w:r>
    </w:p>
    <w:p w14:paraId="69237F5B">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.4投标人对本项目只能有一个报价，采购人不接受有选择的报价。</w:t>
      </w:r>
    </w:p>
    <w:p w14:paraId="663626EC">
      <w:pPr>
        <w:widowControl/>
        <w:tabs>
          <w:tab w:val="left" w:pos="0"/>
        </w:tabs>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iCs/>
          <w:color w:val="auto"/>
          <w:sz w:val="24"/>
          <w:szCs w:val="24"/>
          <w:highlight w:val="none"/>
        </w:rPr>
        <w:t>★</w:t>
      </w:r>
      <w:r>
        <w:rPr>
          <w:rFonts w:hint="eastAsia" w:ascii="宋体" w:hAnsi="宋体" w:cs="宋体"/>
          <w:b/>
          <w:bCs/>
          <w:iCs/>
          <w:color w:val="auto"/>
          <w:sz w:val="24"/>
          <w:szCs w:val="24"/>
          <w:highlight w:val="none"/>
          <w:lang w:val="en-US" w:eastAsia="zh-CN"/>
        </w:rPr>
        <w:t>16</w:t>
      </w:r>
      <w:r>
        <w:rPr>
          <w:rFonts w:hint="eastAsia" w:ascii="宋体" w:hAnsi="宋体" w:cs="宋体"/>
          <w:b/>
          <w:bCs/>
          <w:iCs/>
          <w:color w:val="auto"/>
          <w:sz w:val="24"/>
          <w:szCs w:val="24"/>
          <w:highlight w:val="none"/>
        </w:rPr>
        <w:t>.5本项目最高限价为100%，投标人的投标报价（即投标收费比例）不得高于100%，否则视为无效投标。</w:t>
      </w:r>
    </w:p>
    <w:p w14:paraId="42CF5B0E">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.6本次采购项目为整体采购，投标人应对项目合同包内的所有子项内容进行投标、不得拆分。</w:t>
      </w:r>
    </w:p>
    <w:p w14:paraId="268C93B5">
      <w:pPr>
        <w:spacing w:line="360" w:lineRule="auto"/>
        <w:ind w:firstLine="0" w:firstLineChars="0"/>
        <w:jc w:val="both"/>
        <w:outlineLvl w:val="9"/>
        <w:rPr>
          <w:rFonts w:ascii="宋体" w:hAnsi="宋体" w:cs="宋体"/>
          <w:color w:val="auto"/>
          <w:sz w:val="24"/>
          <w:szCs w:val="24"/>
          <w:highlight w:val="none"/>
        </w:rPr>
      </w:pPr>
    </w:p>
    <w:p w14:paraId="77169E95">
      <w:pPr>
        <w:pStyle w:val="3"/>
        <w:spacing w:before="0" w:after="0" w:line="360" w:lineRule="auto"/>
        <w:ind w:firstLine="482" w:firstLineChars="200"/>
        <w:jc w:val="left"/>
        <w:outlineLvl w:val="1"/>
        <w:rPr>
          <w:rFonts w:cs="宋体" w:asciiTheme="minorEastAsia" w:hAnsiTheme="minorEastAsia" w:eastAsiaTheme="minorEastAsia"/>
          <w:color w:val="auto"/>
          <w:sz w:val="24"/>
          <w:szCs w:val="24"/>
          <w:highlight w:val="none"/>
        </w:rPr>
      </w:pPr>
      <w:bookmarkStart w:id="110" w:name="_Toc16237"/>
      <w:r>
        <w:rPr>
          <w:rFonts w:hint="eastAsia" w:cs="宋体" w:asciiTheme="minorEastAsia" w:hAnsiTheme="minorEastAsia" w:eastAsiaTheme="minorEastAsia"/>
          <w:color w:val="auto"/>
          <w:sz w:val="24"/>
          <w:szCs w:val="24"/>
          <w:highlight w:val="none"/>
        </w:rPr>
        <w:t>合同包二：冻品、调味品、米面综合类食品</w:t>
      </w:r>
      <w:bookmarkEnd w:id="110"/>
    </w:p>
    <w:p w14:paraId="5152AA7E">
      <w:pPr>
        <w:pStyle w:val="4"/>
        <w:spacing w:before="0" w:after="0" w:line="360" w:lineRule="auto"/>
        <w:ind w:firstLine="482" w:firstLineChars="200"/>
        <w:jc w:val="left"/>
        <w:outlineLvl w:val="2"/>
        <w:rPr>
          <w:rFonts w:ascii="宋体" w:hAnsi="宋体" w:cs="宋体"/>
          <w:color w:val="auto"/>
          <w:sz w:val="24"/>
          <w:szCs w:val="24"/>
          <w:highlight w:val="none"/>
        </w:rPr>
      </w:pPr>
      <w:bookmarkStart w:id="111" w:name="_Toc8154"/>
      <w:r>
        <w:rPr>
          <w:rFonts w:hint="eastAsia" w:ascii="宋体" w:hAnsi="宋体" w:cs="宋体"/>
          <w:color w:val="auto"/>
          <w:sz w:val="24"/>
          <w:szCs w:val="24"/>
          <w:highlight w:val="none"/>
        </w:rPr>
        <w:t>（1）技术要求</w:t>
      </w:r>
      <w:bookmarkEnd w:id="111"/>
    </w:p>
    <w:p w14:paraId="34C9C20D">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投标人应承诺所供应的食品均符合《中华人民共和国农产品质量安全法》《中华人民共和国食品安全法》《中华人民共和国动物防疫法》等相关规定及地方的相关法律法规要求，并在供货时提供第三方检测机构出具的具有CMA或CNAS标志的检测报告或合格证等证明材料复印件。</w:t>
      </w:r>
    </w:p>
    <w:p w14:paraId="386C334C">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★2.投标人应承诺供货时提供当日厦门市食品上市凭证。</w:t>
      </w:r>
    </w:p>
    <w:p w14:paraId="53C40EC7">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3</w:t>
      </w:r>
      <w:r>
        <w:rPr>
          <w:rFonts w:hint="eastAsia" w:ascii="宋体" w:hAnsi="宋体" w:cs="宋体"/>
          <w:b/>
          <w:bCs/>
          <w:color w:val="auto"/>
          <w:kern w:val="0"/>
          <w:sz w:val="24"/>
          <w:szCs w:val="24"/>
          <w:highlight w:val="none"/>
        </w:rPr>
        <w:t>.供货商提供的商品实际剩余保质期不得低于商品总保质期的二分之一，包装干净、完好、无破损、标识完整清晰。投标人需在投标文件中单独提供书面承诺。</w:t>
      </w:r>
    </w:p>
    <w:p w14:paraId="0ABEFE21">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.投标人配送的所有货物需来自于正规企业，可在企查查等信息平台查询到相关信息。</w:t>
      </w:r>
    </w:p>
    <w:p w14:paraId="0AE4755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5.食材运输方式必须符合国家对食材运输的标准要求。</w:t>
      </w:r>
    </w:p>
    <w:p w14:paraId="69D85C17">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★6.投标人应承诺所有商品均为正规渠道进货，投标人需在投标文件中单独提供书面承诺。</w:t>
      </w:r>
    </w:p>
    <w:p w14:paraId="5052F491">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.食材要求：</w:t>
      </w:r>
    </w:p>
    <w:p w14:paraId="7FA0C6B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冻品要求</w:t>
      </w:r>
    </w:p>
    <w:p w14:paraId="5ABCF704">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冻品外包装需完整，无破损，无不封口现象，有生产日期。冻品在解冻后，发现质量问题需退货。符合国家绿色批发市场标准，应具备满足交易需要的冷冻贮藏设施。</w:t>
      </w:r>
    </w:p>
    <w:p w14:paraId="18C3ED38">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7.2</w:t>
      </w:r>
      <w:r>
        <w:rPr>
          <w:rFonts w:hint="eastAsia" w:ascii="宋体" w:hAnsi="宋体" w:cs="宋体"/>
          <w:color w:val="auto"/>
          <w:kern w:val="0"/>
          <w:sz w:val="24"/>
          <w:szCs w:val="24"/>
          <w:highlight w:val="none"/>
        </w:rPr>
        <w:t>米面粮油类</w:t>
      </w:r>
    </w:p>
    <w:p w14:paraId="0F93840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.2.1</w:t>
      </w:r>
      <w:r>
        <w:rPr>
          <w:rFonts w:hint="eastAsia" w:ascii="宋体" w:hAnsi="宋体" w:cs="宋体"/>
          <w:color w:val="auto"/>
          <w:kern w:val="0"/>
          <w:sz w:val="24"/>
          <w:szCs w:val="24"/>
          <w:highlight w:val="none"/>
        </w:rPr>
        <w:t>大米：须达国家GB1354-2018 大米国家标准及质量安全认证；不得提供陈年米，收割年限应为2025年至今；无异常色泽、具有纯正的香味，无霉味、无腐败、无掺杂、无沙石、无异味、无黄粒米；产品具备SC认证；包装袋上有注册商标，大米包装袋上印有大米品名、等级、数量、出厂名、厂家地址及其电话。</w:t>
      </w:r>
    </w:p>
    <w:p w14:paraId="01B8BC98">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.2.2</w:t>
      </w:r>
      <w:r>
        <w:rPr>
          <w:rFonts w:hint="eastAsia" w:ascii="宋体" w:hAnsi="宋体" w:cs="宋体"/>
          <w:color w:val="auto"/>
          <w:kern w:val="0"/>
          <w:sz w:val="24"/>
          <w:szCs w:val="24"/>
          <w:highlight w:val="none"/>
        </w:rPr>
        <w:t>米线面条：米线、鲜面条、干面条、饵丝；要求原材料不含非食品用化学物质、不掺假、不过期、不变质、不变味、无杂质、无毒害，符合国家食品行业的标准。</w:t>
      </w:r>
    </w:p>
    <w:p w14:paraId="5D48D3F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.2.3</w:t>
      </w:r>
      <w:r>
        <w:rPr>
          <w:rFonts w:hint="eastAsia" w:ascii="宋体" w:hAnsi="宋体" w:cs="宋体"/>
          <w:color w:val="auto"/>
          <w:kern w:val="0"/>
          <w:sz w:val="24"/>
          <w:szCs w:val="24"/>
          <w:highlight w:val="none"/>
        </w:rPr>
        <w:t>面粉类：筋力适中、粉质细腻、口感柔软、麦香味浓郁、口感好、不添加食品添加剂、成品色泽鲜亮蓬松。包装袋上有注册商 标，有检验合格证、生产日期和保质期。</w:t>
      </w:r>
    </w:p>
    <w:p w14:paraId="623D1193">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.2.4</w:t>
      </w:r>
      <w:r>
        <w:rPr>
          <w:rFonts w:hint="eastAsia" w:ascii="宋体" w:hAnsi="宋体" w:cs="宋体"/>
          <w:color w:val="auto"/>
          <w:kern w:val="0"/>
          <w:sz w:val="24"/>
          <w:szCs w:val="24"/>
          <w:highlight w:val="none"/>
        </w:rPr>
        <w:t>杂粮类：符合食品安全国家标准，新鲜，无变质，均在有效期内。</w:t>
      </w:r>
    </w:p>
    <w:p w14:paraId="73813AE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.2.5</w:t>
      </w:r>
      <w:r>
        <w:rPr>
          <w:rFonts w:hint="eastAsia" w:ascii="宋体" w:hAnsi="宋体" w:cs="宋体"/>
          <w:color w:val="auto"/>
          <w:kern w:val="0"/>
          <w:sz w:val="24"/>
          <w:szCs w:val="24"/>
          <w:highlight w:val="none"/>
        </w:rPr>
        <w:t>油脂：包括但不限于食用植物调和油（非转基因）及食用油（非转基因）等</w:t>
      </w:r>
    </w:p>
    <w:p w14:paraId="6D2A8ACF">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.2.5.1</w:t>
      </w:r>
      <w:r>
        <w:rPr>
          <w:rFonts w:hint="eastAsia" w:ascii="宋体" w:hAnsi="宋体" w:cs="宋体"/>
          <w:color w:val="auto"/>
          <w:kern w:val="0"/>
          <w:sz w:val="24"/>
          <w:szCs w:val="24"/>
          <w:highlight w:val="none"/>
        </w:rPr>
        <w:t>非散装一级食用植物调和油：符合《食品安全国家标准-植物油》（GB2716-2018）一级食用植物调和油（即“GB”标准），并拥有“SC”认证。清晰无浑浊、无异味、无污染、无变质，剩余保质期不少于三分之二。外包装完好，密封性良好，5L/桶，标明品名、品牌、生产厂家、生产日期、保质期、批号、执行标准、具有产品合格证。具有品牌商标。</w:t>
      </w:r>
    </w:p>
    <w:p w14:paraId="6F715513">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.2.5.2</w:t>
      </w:r>
      <w:r>
        <w:rPr>
          <w:rFonts w:hint="eastAsia" w:ascii="宋体" w:hAnsi="宋体" w:cs="宋体"/>
          <w:color w:val="auto"/>
          <w:kern w:val="0"/>
          <w:sz w:val="24"/>
          <w:szCs w:val="24"/>
          <w:highlight w:val="none"/>
        </w:rPr>
        <w:t>食用油（非转基因）：正规厂家生产，一级植物油（如菜籽油、花生油、玉米油、橄榄油、山茶油、棕榈油、芥花籽油、葵花籽油、大豆油、芝麻油、亚麻籽油（胡麻油）、葡萄籽油、核桃油等），符合《食品安全国家标准-植物油》（GB2716-2018）一级食用植物调和油（即“GB”标准），并拥有“SC”认证。油质金黄透亮，透明度高无杂质，无异味，天然健康，营养成分搭配合理，黄曲霉素不超过国家规定，不含抗氧化剂，不混合其他无效物质，不添加对人体健康有害物质。标明品名、品牌、生产厂家、生产日期、保质期、批号、执行标准、具有产品合格证。具有品牌商标。</w:t>
      </w:r>
    </w:p>
    <w:p w14:paraId="1DED554E">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调味品：符合食品安全国家标准，均在有效期内。外包装无污物、无泄漏，无胀袋或胖听或鼓盖现象，无变质发霉现象。色泽正常，具有该品种固有的香味，滋味无异味，油酱均匀的酱体或无结块的粉状固体，封口平整，无破包，夹包，漏包，无污染。</w:t>
      </w:r>
    </w:p>
    <w:p w14:paraId="4311BE76">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乳制品：符合食品安全国家标准，均在有效期内，且鲜奶上市日期不超过两天，冷藏酸奶日期不能超过一半保质期。</w:t>
      </w:r>
    </w:p>
    <w:p w14:paraId="0E089298">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.配送要求</w:t>
      </w:r>
    </w:p>
    <w:p w14:paraId="2014D9D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食品类商品投标人必须保证日常配送供应的商品没有污染、变质、变型、过期等现象，产品符合各类食品卫生标准，符合《中华人民共和国食品安全法》及相关质量法规的规定。</w:t>
      </w:r>
    </w:p>
    <w:p w14:paraId="54EAC8C3">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按照采购人订单、地点等要求送货，并根据采购人营业需要，能每天及时补货。</w:t>
      </w:r>
    </w:p>
    <w:p w14:paraId="4BB972D2">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中标人应按照采购人的通知要求于每天上午</w:t>
      </w:r>
      <w:r>
        <w:rPr>
          <w:rFonts w:ascii="宋体" w:hAnsi="宋体" w:cs="宋体"/>
          <w:b/>
          <w:bCs/>
          <w:color w:val="auto"/>
          <w:kern w:val="0"/>
          <w:sz w:val="24"/>
          <w:szCs w:val="24"/>
          <w:highlight w:val="none"/>
        </w:rPr>
        <w:t>6</w:t>
      </w: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30前送到职工食堂指定地点。所送食材应足重足量。投标人接到采购人订单后应仔细核对货源情况，对无法按时供应的商品必须第一时间通知采购人。</w:t>
      </w:r>
    </w:p>
    <w:p w14:paraId="1824396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如需应急补货，投标人必须在3小时内送达采购人指定的地点。</w:t>
      </w:r>
    </w:p>
    <w:p w14:paraId="337E10E4">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采购人于每日20时（北京时间）前以电话或书面形式向中标人报第二日的采购清单，清单内容含品名、单位、数量及有关特别说明或要求。</w:t>
      </w:r>
    </w:p>
    <w:p w14:paraId="59CC31E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采购人对每日配送的食材数（质）量进行检查验收，验收合格后在配送清单上签名，并当场在《采购情况登记本》登记每日采购详实情况，送货人和验收人双方签字作为评估和检查的依据。</w:t>
      </w:r>
    </w:p>
    <w:p w14:paraId="0DE2554E">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8.</w:t>
      </w:r>
      <w:r>
        <w:rPr>
          <w:rFonts w:hint="eastAsia" w:ascii="宋体" w:hAnsi="宋体" w:cs="宋体"/>
          <w:b/>
          <w:bCs/>
          <w:color w:val="auto"/>
          <w:kern w:val="0"/>
          <w:sz w:val="24"/>
          <w:szCs w:val="24"/>
          <w:highlight w:val="none"/>
          <w:lang w:eastAsia="zh-CN"/>
        </w:rPr>
        <w:t>7</w:t>
      </w:r>
      <w:r>
        <w:rPr>
          <w:rFonts w:hint="eastAsia" w:ascii="宋体" w:hAnsi="宋体" w:cs="宋体"/>
          <w:b/>
          <w:bCs/>
          <w:color w:val="auto"/>
          <w:kern w:val="0"/>
          <w:sz w:val="24"/>
          <w:szCs w:val="24"/>
          <w:highlight w:val="none"/>
        </w:rPr>
        <w:t>投标人所配送商品质量等不符合采购人要求须进行退换处理的，则该专人应立即协调中标人各部门进行处理，且须在采购人要求的时间内补齐，不得由此延误采购人的供餐时间。由此产生的一切费用由投标人承担。</w:t>
      </w:r>
    </w:p>
    <w:p w14:paraId="5B561AE1">
      <w:pPr>
        <w:widowControl/>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投标人应有固定的食材配送场所并有专业、稳定的配送团队和专业的运输工具，冻品须采用冷链配送车辆配送。</w:t>
      </w:r>
    </w:p>
    <w:p w14:paraId="74991BBA">
      <w:pPr>
        <w:widowControl/>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9投标人应承诺按规定进行食材留样，将留样食材冷藏保存四十八小时以上，以备追索与查验。</w:t>
      </w:r>
    </w:p>
    <w:p w14:paraId="711E74C9">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.包装标准及数量、质量要求、费用负担</w:t>
      </w:r>
    </w:p>
    <w:p w14:paraId="12A21B45">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配送食材要求以专业标准保护措施进行包装，保证安全无损。包装费用由中标人承担。</w:t>
      </w:r>
    </w:p>
    <w:p w14:paraId="214BB5D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货物数量、质量由采购人现场清点验收，在验收过程中如发现数量或质量问题，由中标人负责退换及处理。</w:t>
      </w:r>
    </w:p>
    <w:p w14:paraId="6BA8FA9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投标人必须对所提供的食材提供质量保证。</w:t>
      </w:r>
    </w:p>
    <w:p w14:paraId="2B02553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中标人所提供的食材，因产品质量或与要求不符，采购人提出退换的，中标人必须免费提供包换、包退服务。</w:t>
      </w:r>
    </w:p>
    <w:p w14:paraId="42817298">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中标人所提供的食材存在问题的，中标人必须在60分钟内及时更换食材且不得因此而影响采购人的供餐时间。</w:t>
      </w:r>
    </w:p>
    <w:p w14:paraId="410FB607">
      <w:pPr>
        <w:widowControl/>
        <w:spacing w:line="360" w:lineRule="auto"/>
        <w:ind w:firstLine="48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投标人应在投标文件中提供总体配送服务方案、食品卫生安全管理措施、食品安全质量保障措施、日常服务记录档案、检验检疫凭证、特别情况记录、单据等档案管理方案、紧急追加货物、出现不合格品、不满足采购人使用需求产品的退换预案、备用方案、临时任务、节假日、考评检查、重要或大型活动、防洪抗台突发事件的特殊保障方案</w:t>
      </w:r>
      <w:r>
        <w:rPr>
          <w:rFonts w:hint="eastAsia" w:ascii="宋体" w:hAnsi="宋体" w:cs="宋体"/>
          <w:color w:val="auto"/>
          <w:kern w:val="0"/>
          <w:sz w:val="24"/>
          <w:szCs w:val="24"/>
          <w:highlight w:val="none"/>
          <w:lang w:val="en-US" w:eastAsia="zh-CN"/>
        </w:rPr>
        <w:t>等。</w:t>
      </w:r>
    </w:p>
    <w:p w14:paraId="352138BC">
      <w:pPr>
        <w:widowControl/>
        <w:spacing w:line="360" w:lineRule="auto"/>
        <w:ind w:firstLine="48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9.7投标人</w:t>
      </w:r>
      <w:r>
        <w:rPr>
          <w:rFonts w:hint="eastAsia" w:ascii="宋体" w:hAnsi="宋体" w:cs="宋体"/>
          <w:color w:val="auto"/>
          <w:kern w:val="0"/>
          <w:sz w:val="24"/>
          <w:szCs w:val="24"/>
          <w:highlight w:val="none"/>
        </w:rPr>
        <w:t>应对自有或签约的所投配送食材的生产基地情况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包括但不限于</w:t>
      </w:r>
      <w:r>
        <w:rPr>
          <w:rFonts w:hint="eastAsia" w:ascii="宋体" w:hAnsi="宋体" w:cs="宋体"/>
          <w:color w:val="auto"/>
          <w:sz w:val="24"/>
          <w:szCs w:val="24"/>
          <w:highlight w:val="none"/>
        </w:rPr>
        <w:t>冻品货源情况</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干货调料品货源情况</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乳制品货源情况</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rPr>
        <w:t>成品粮货源情况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成品食用油货源情况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进行说明</w:t>
      </w:r>
      <w:r>
        <w:rPr>
          <w:rFonts w:hint="eastAsia" w:ascii="宋体" w:hAnsi="宋体" w:cs="宋体"/>
          <w:color w:val="auto"/>
          <w:kern w:val="0"/>
          <w:sz w:val="24"/>
          <w:szCs w:val="24"/>
          <w:highlight w:val="none"/>
          <w:lang w:eastAsia="zh-CN"/>
        </w:rPr>
        <w:t>。</w:t>
      </w:r>
    </w:p>
    <w:p w14:paraId="1D40BFCD">
      <w:pPr>
        <w:widowControl/>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sz w:val="24"/>
          <w:szCs w:val="24"/>
          <w:highlight w:val="none"/>
        </w:rPr>
        <w:t>投标人应有食材配送资质并具有固定的食品配送场所，在厦门市拥有固定的食品</w:t>
      </w:r>
      <w:r>
        <w:rPr>
          <w:rFonts w:hint="eastAsia" w:ascii="宋体" w:hAnsi="宋体" w:cs="宋体"/>
          <w:color w:val="auto"/>
          <w:kern w:val="0"/>
          <w:sz w:val="24"/>
          <w:szCs w:val="24"/>
          <w:highlight w:val="none"/>
        </w:rPr>
        <w:t>仓储场所（含冷冻、冷藏库）</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rPr>
        <w:t>提供仓库的产权证明或者租赁合同佐证并加盖投标人公章。投标人必须具备与配送商品相匹配的冷藏、保温设备和交通工具、容器、包装物，并保证所有用品用具符合行业配送要求及卫生标准。</w:t>
      </w:r>
    </w:p>
    <w:p w14:paraId="27938EE8">
      <w:pPr>
        <w:widowControl/>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9.9</w:t>
      </w:r>
      <w:r>
        <w:rPr>
          <w:rFonts w:hint="eastAsia" w:ascii="宋体" w:hAnsi="宋体" w:cs="宋体"/>
          <w:color w:val="auto"/>
          <w:sz w:val="24"/>
          <w:szCs w:val="24"/>
          <w:highlight w:val="none"/>
        </w:rPr>
        <w:t>投标人应</w:t>
      </w:r>
      <w:r>
        <w:rPr>
          <w:rFonts w:hint="eastAsia" w:ascii="宋体" w:hAnsi="宋体" w:cs="宋体"/>
          <w:color w:val="auto"/>
          <w:sz w:val="24"/>
          <w:szCs w:val="24"/>
          <w:highlight w:val="none"/>
          <w:lang w:val="en-US" w:eastAsia="zh-CN"/>
        </w:rPr>
        <w:t>定期对食品仓储、运输车辆、运输用具进行消杀。</w:t>
      </w:r>
    </w:p>
    <w:p w14:paraId="406EA09F">
      <w:pPr>
        <w:widowControl/>
        <w:spacing w:line="360" w:lineRule="auto"/>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9.10</w:t>
      </w:r>
      <w:r>
        <w:rPr>
          <w:rFonts w:hint="eastAsia" w:ascii="宋体" w:hAnsi="宋体" w:cs="宋体"/>
          <w:color w:val="auto"/>
          <w:kern w:val="0"/>
          <w:sz w:val="24"/>
          <w:szCs w:val="24"/>
          <w:highlight w:val="none"/>
        </w:rPr>
        <w:t>投标人应在投标文件中提供食品的中毒事件及食品安全问题的预应急处理方案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并承诺在</w:t>
      </w:r>
      <w:r>
        <w:rPr>
          <w:rFonts w:hint="eastAsia" w:cs="宋体" w:asciiTheme="minorEastAsia" w:hAnsiTheme="minorEastAsia" w:eastAsiaTheme="minorEastAsia"/>
          <w:color w:val="auto"/>
          <w:sz w:val="24"/>
          <w:szCs w:val="24"/>
          <w:highlight w:val="none"/>
        </w:rPr>
        <w:t>质保期内如果由于中标产品质量问题造成的食物中毒事件，应在</w:t>
      </w:r>
      <w:r>
        <w:rPr>
          <w:rFonts w:cs="宋体" w:asciiTheme="minorEastAsia" w:hAnsiTheme="minorEastAsia" w:eastAsiaTheme="minorEastAsia"/>
          <w:color w:val="auto"/>
          <w:sz w:val="24"/>
          <w:szCs w:val="24"/>
          <w:highlight w:val="none"/>
        </w:rPr>
        <w:t>2小时内到达现场协调解决处理方案并承担与之相关的法律责任。</w:t>
      </w:r>
    </w:p>
    <w:p w14:paraId="5A649E05">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中标人应制定完整管理制度，完成日常工作记录，原材料进货发票等生产活动单据凭证齐整完备，定期提交票据凭证，随时接受采购人及相关管理部门的检查，监督。作好项目供货记录、相关票据凭证，项目资料的整理、考核资料的整理等工作。根据采购人的要求定期不定期将全部有关技术文件、实施记录资料、时间段报表、及相关文档汇集成册交付采购单位。</w:t>
      </w:r>
    </w:p>
    <w:p w14:paraId="2F0047D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.投标人须承诺中标后完全按照采购人要求的食材供货。</w:t>
      </w:r>
    </w:p>
    <w:p w14:paraId="50CF0453">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.如因不可抗力原因需要更换食材的，须征得采购人的同意。</w:t>
      </w:r>
    </w:p>
    <w:p w14:paraId="21EDDBEA">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.中标人在送货途中运输、保管所产生的费用由中标人承担。若交接前发生损毁的，其损失由中标人自行承担。</w:t>
      </w:r>
    </w:p>
    <w:p w14:paraId="2339D43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.中标人须对其投标文件中提供各种证明文件、资料、说明、承诺的真实性、有效性负责。若中标人有虚假承诺的行为或实际情况与投标响应时所提供的材料不符，采购人有权取消其中标资格。</w:t>
      </w:r>
    </w:p>
    <w:p w14:paraId="3422241D">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、人员、车辆、设施要求</w:t>
      </w:r>
    </w:p>
    <w:p w14:paraId="4B8BAC34">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投标人应有专业、稳定的配送团队</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rPr>
        <w:t>至少为本项目配备1</w:t>
      </w:r>
      <w:r>
        <w:rPr>
          <w:rFonts w:hint="eastAsia" w:ascii="宋体" w:hAnsi="宋体" w:cs="宋体"/>
          <w:color w:val="auto"/>
          <w:kern w:val="0"/>
          <w:sz w:val="24"/>
          <w:szCs w:val="24"/>
          <w:highlight w:val="none"/>
          <w:lang w:val="en-US" w:eastAsia="zh-CN"/>
        </w:rPr>
        <w:t>个</w:t>
      </w:r>
      <w:r>
        <w:rPr>
          <w:rFonts w:hint="eastAsia" w:asciiTheme="minorEastAsia" w:hAnsiTheme="minorEastAsia" w:eastAsiaTheme="minorEastAsia" w:cstheme="minorEastAsia"/>
          <w:color w:val="auto"/>
          <w:sz w:val="24"/>
          <w:szCs w:val="24"/>
          <w:highlight w:val="none"/>
        </w:rPr>
        <w:t>采购、</w:t>
      </w:r>
      <w:r>
        <w:rPr>
          <w:rFonts w:hint="eastAsia" w:ascii="宋体" w:hAnsi="宋体" w:cs="宋体"/>
          <w:color w:val="auto"/>
          <w:kern w:val="0"/>
          <w:sz w:val="24"/>
          <w:szCs w:val="24"/>
          <w:highlight w:val="none"/>
        </w:rPr>
        <w:t>配送人员</w:t>
      </w:r>
      <w:r>
        <w:rPr>
          <w:rFonts w:hint="eastAsia" w:ascii="宋体" w:hAnsi="宋体" w:cs="宋体"/>
          <w:color w:val="auto"/>
          <w:kern w:val="0"/>
          <w:sz w:val="24"/>
          <w:szCs w:val="24"/>
          <w:highlight w:val="none"/>
          <w:lang w:eastAsia="zh-CN"/>
        </w:rPr>
        <w:t>，配备的人员</w:t>
      </w:r>
      <w:r>
        <w:rPr>
          <w:rFonts w:hint="eastAsia" w:ascii="宋体" w:hAnsi="宋体" w:cs="宋体"/>
          <w:color w:val="auto"/>
          <w:kern w:val="0"/>
          <w:sz w:val="24"/>
          <w:szCs w:val="24"/>
          <w:highlight w:val="none"/>
          <w:lang w:val="en-US" w:eastAsia="zh-CN"/>
        </w:rPr>
        <w:t>需</w:t>
      </w:r>
      <w:r>
        <w:rPr>
          <w:rFonts w:hint="eastAsia" w:ascii="宋体" w:hAnsi="宋体" w:cs="宋体"/>
          <w:color w:val="auto"/>
          <w:kern w:val="0"/>
          <w:sz w:val="24"/>
          <w:szCs w:val="24"/>
          <w:highlight w:val="none"/>
          <w:lang w:eastAsia="zh-CN"/>
        </w:rPr>
        <w:t>具有高级农产品食品检验员</w:t>
      </w:r>
      <w:r>
        <w:rPr>
          <w:rFonts w:hint="eastAsia" w:ascii="宋体" w:hAnsi="宋体" w:cs="宋体"/>
          <w:color w:val="auto"/>
          <w:kern w:val="0"/>
          <w:sz w:val="24"/>
          <w:szCs w:val="24"/>
          <w:highlight w:val="none"/>
          <w:lang w:val="en-US" w:eastAsia="zh-CN"/>
        </w:rPr>
        <w:t>证书。</w:t>
      </w:r>
      <w:r>
        <w:rPr>
          <w:rFonts w:hint="eastAsia" w:ascii="宋体" w:hAnsi="宋体" w:cs="宋体"/>
          <w:color w:val="auto"/>
          <w:sz w:val="24"/>
          <w:szCs w:val="24"/>
          <w:highlight w:val="none"/>
        </w:rPr>
        <w:t>投标人选配职工时，要做好人员审核工作，配送人员必须遵纪守法，无不良记录，持健康证上岗，按规定着装，配戴工作证。投标人应对服务本项目的专职配送人员配备情况进行说明。</w:t>
      </w:r>
    </w:p>
    <w:p w14:paraId="1B5A878A">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投标人须具有符合卫生条件、车况良好、干净卫生的车辆配送，拥有正规合法的配送运输设备及车辆（</w:t>
      </w:r>
      <w:r>
        <w:rPr>
          <w:rFonts w:hint="eastAsia" w:ascii="宋体" w:hAnsi="宋体" w:cs="宋体"/>
          <w:color w:val="auto"/>
          <w:sz w:val="24"/>
          <w:szCs w:val="24"/>
          <w:highlight w:val="none"/>
          <w:lang w:val="en-US" w:eastAsia="zh-CN"/>
        </w:rPr>
        <w:t>冷藏</w:t>
      </w:r>
      <w:r>
        <w:rPr>
          <w:rFonts w:hint="eastAsia" w:ascii="宋体" w:hAnsi="宋体" w:cs="宋体"/>
          <w:color w:val="auto"/>
          <w:sz w:val="24"/>
          <w:szCs w:val="24"/>
          <w:highlight w:val="none"/>
        </w:rPr>
        <w:t>车或厢式货车各不少于一辆），运送车辆每天配送前须进行消毒并保证其配送运输车辆具备冷藏功能，确保所配送的副食品（特别是夏季）保持新鲜优质，并具有与配送商品相匹配的冷藏、保温设备和容器、包装物，并保证所有用品用具符合行业配送要求及卫生标准。</w:t>
      </w:r>
    </w:p>
    <w:p w14:paraId="686E8E7E">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投标人应配备食品检验室且配备食品相关的检测仪器</w:t>
      </w:r>
      <w:r>
        <w:rPr>
          <w:rFonts w:hint="eastAsia" w:asciiTheme="minorEastAsia" w:hAnsiTheme="minorEastAsia" w:eastAsiaTheme="minorEastAsia" w:cstheme="minorEastAsia"/>
          <w:color w:val="auto"/>
          <w:kern w:val="0"/>
          <w:sz w:val="24"/>
          <w:szCs w:val="24"/>
          <w:highlight w:val="none"/>
        </w:rPr>
        <w:t>（检测内容至少包括①农药残留检测、②食品重金属检测、③甲醛等非法添加物检测）</w:t>
      </w:r>
      <w:r>
        <w:rPr>
          <w:rFonts w:hint="eastAsia" w:ascii="宋体" w:hAnsi="宋体" w:cs="宋体"/>
          <w:color w:val="auto"/>
          <w:kern w:val="0"/>
          <w:sz w:val="24"/>
          <w:szCs w:val="24"/>
          <w:highlight w:val="none"/>
        </w:rPr>
        <w:t>。</w:t>
      </w:r>
    </w:p>
    <w:p w14:paraId="0A070AD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投标人应配备自有或第三方开发的APP或小程序或配送系统服务平台。</w:t>
      </w:r>
    </w:p>
    <w:p w14:paraId="548AC9F6">
      <w:pPr>
        <w:widowControl/>
        <w:spacing w:line="360" w:lineRule="auto"/>
        <w:ind w:firstLine="480"/>
        <w:jc w:val="left"/>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16.若中标人在合作期间有不可抗力（如疫情、不可抗力导致的货物短缺、极端气候影响等）出现而导致无法供应或因履约不合格被取消配送资格，可由其他合同包的中标人临时供应。采购人可选择同质最低价者供应。投标人需提供承诺函并加盖公章。</w:t>
      </w:r>
    </w:p>
    <w:p w14:paraId="302C0EB4">
      <w:pPr>
        <w:widowControl/>
        <w:spacing w:line="360" w:lineRule="auto"/>
        <w:ind w:firstLine="480"/>
        <w:jc w:val="left"/>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17.投标人需具备将每日配送食材的食品追溯码发送到相应的食品追溯码平台上的能力（厦门市食品安全信息网https://spaq.scjg.xm.gov.cn:38087/xmspaq/jsp/login.jsp），并承诺中标后将每日配送的所有食材录入一品一码。</w:t>
      </w:r>
    </w:p>
    <w:p w14:paraId="7C0B6AC3">
      <w:pPr>
        <w:pStyle w:val="4"/>
        <w:spacing w:before="0" w:after="0" w:line="360" w:lineRule="auto"/>
        <w:ind w:firstLine="482" w:firstLineChars="200"/>
        <w:jc w:val="left"/>
        <w:outlineLvl w:val="2"/>
        <w:rPr>
          <w:rFonts w:ascii="宋体" w:hAnsi="宋体" w:cs="宋体"/>
          <w:color w:val="auto"/>
          <w:sz w:val="24"/>
          <w:szCs w:val="24"/>
          <w:highlight w:val="none"/>
        </w:rPr>
      </w:pPr>
      <w:bookmarkStart w:id="112" w:name="_Toc11428"/>
      <w:r>
        <w:rPr>
          <w:rFonts w:hint="eastAsia" w:ascii="宋体" w:hAnsi="宋体" w:cs="宋体"/>
          <w:color w:val="auto"/>
          <w:sz w:val="24"/>
          <w:szCs w:val="24"/>
          <w:highlight w:val="none"/>
        </w:rPr>
        <w:t>（2）商务要求</w:t>
      </w:r>
      <w:bookmarkEnd w:id="112"/>
    </w:p>
    <w:p w14:paraId="42AE480F">
      <w:pPr>
        <w:tabs>
          <w:tab w:val="left" w:pos="0"/>
          <w:tab w:val="left" w:pos="426"/>
          <w:tab w:val="left" w:pos="851"/>
        </w:tabs>
        <w:spacing w:line="360" w:lineRule="auto"/>
        <w:ind w:left="-2" w:leftChars="-1" w:firstLine="569" w:firstLineChars="236"/>
        <w:rPr>
          <w:rFonts w:ascii="宋体" w:hAnsi="宋体" w:cs="宋体"/>
          <w:b/>
          <w:bCs/>
          <w:color w:val="auto"/>
          <w:sz w:val="24"/>
          <w:szCs w:val="24"/>
          <w:highlight w:val="none"/>
        </w:rPr>
      </w:pPr>
      <w:r>
        <w:rPr>
          <w:rFonts w:hint="eastAsia" w:ascii="宋体" w:hAnsi="宋体" w:cs="宋体"/>
          <w:b/>
          <w:bCs/>
          <w:color w:val="auto"/>
          <w:sz w:val="24"/>
          <w:szCs w:val="24"/>
          <w:highlight w:val="none"/>
        </w:rPr>
        <w:t>★1.投标人须书面承诺在供货期间，凡因所供货物质量问题造成食物中毒等后果的，中标人必须承担一切经济损失和法律责任。</w:t>
      </w:r>
    </w:p>
    <w:p w14:paraId="0E8A9625">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2.投标人提供的服务标准、食品卫生执行标准、生产、包装、运输、安全标准及规范等必须符合国家、卫生及行业管理相关标准或规范要求，应在投标文件中提供详细实施方案、保障措施，提供相关证明文件。</w:t>
      </w:r>
    </w:p>
    <w:p w14:paraId="2ECBAE4E">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3.投标人的服务应遵循专业、成熟、安全可靠的业务流程，应在投标文件中提供详细明确的服务方案，操作规范，服务流程，管理措施。投标人应在投标文件中明确需要相互配合的工作及交接的事务，投标文件未提及项目实施过程中涉及的均由投标人自行解决，且费用包含在报价中。</w:t>
      </w:r>
    </w:p>
    <w:p w14:paraId="7A5714D6">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4.供货商必须与采购人紧密配合，准确把握需求并快速响应采购人需求，配合采购人的监督管理、积极改进完善。如与需求不符，供货商必须按采购人要求期限内整改，否则采购人将依据投标文件及合同约定追究供货商责任。</w:t>
      </w:r>
    </w:p>
    <w:p w14:paraId="798B37B2">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5.投标人配备的工作人员应具有健康证及并依法缴交医社保，并有从事类似服务项目经验，服装统一整齐、洁净，文明工作，不违反采购人单位安全、卫生等管理制度。作息时间符合采购人要求，不得随意变更，确保符合服务承诺。供货商应加强进场工作人员的安全教育，相关人员人身安全事故责任均由供货商承担。</w:t>
      </w:r>
    </w:p>
    <w:p w14:paraId="1C247276">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6.投标人应制定完整管理制度，做好项目供货记录、留存相关票据凭证、提供产品来源渠道说明，定期进行项目资料的整理、考核资料的整理等工作，根据采购人的要求定期不定期将相关记录汇集成册交付采购人，随时接受采购人及相关管理部门的检查，监督。</w:t>
      </w:r>
    </w:p>
    <w:p w14:paraId="470C110E">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7.如果投标人提供产品的品质和价格无法达到采购人的要求时，采购人可以向其他中标人或商家进行采购。</w:t>
      </w:r>
    </w:p>
    <w:p w14:paraId="67A29E69">
      <w:pPr>
        <w:tabs>
          <w:tab w:val="left" w:pos="0"/>
          <w:tab w:val="left" w:pos="426"/>
          <w:tab w:val="left" w:pos="851"/>
        </w:tabs>
        <w:spacing w:line="360" w:lineRule="auto"/>
        <w:ind w:left="0" w:lef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★8.投标人须书面承诺不得虚假应标，采购人若发现其存在虚假应标的有权终止合同，没收其全部履约保证金，并追究其违法违约责任。</w:t>
      </w:r>
    </w:p>
    <w:p w14:paraId="0EDD17C0">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投标人应明确投标产品及服务和招标要求存在正负偏离情况，对照招标文件要求，逐条说明所提供货物和服务已对采购人的技术、商务要求做出了实质性的响应，或申明与技术要求、商务要求条文的偏差和例外并列于偏离表中。特别对于有具体服务要求的，并提供重要技术条款逐条响应情况表。</w:t>
      </w:r>
    </w:p>
    <w:p w14:paraId="3A488508">
      <w:pPr>
        <w:tabs>
          <w:tab w:val="left" w:pos="0"/>
          <w:tab w:val="left" w:pos="426"/>
          <w:tab w:val="left" w:pos="851"/>
        </w:tabs>
        <w:spacing w:line="360" w:lineRule="auto"/>
        <w:ind w:left="0" w:lef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以上证明文件均应加盖投标人公章。</w:t>
      </w:r>
    </w:p>
    <w:p w14:paraId="4D917C0F">
      <w:pPr>
        <w:keepNext w:val="0"/>
        <w:keepLines w:val="0"/>
        <w:spacing w:line="360" w:lineRule="auto"/>
        <w:ind w:firstLine="482" w:firstLineChars="200"/>
        <w:jc w:val="both"/>
        <w:outlineLvl w:val="9"/>
        <w:rPr>
          <w:rFonts w:cs="宋体" w:asciiTheme="minorEastAsia" w:hAnsiTheme="minorEastAsia" w:eastAsiaTheme="minorEastAsia"/>
          <w:b/>
          <w:color w:val="auto"/>
          <w:sz w:val="24"/>
          <w:szCs w:val="24"/>
          <w:highlight w:val="none"/>
        </w:rPr>
      </w:pPr>
      <w:r>
        <w:rPr>
          <w:rFonts w:cs="宋体" w:asciiTheme="minorEastAsia" w:hAnsiTheme="minorEastAsia" w:eastAsiaTheme="minorEastAsia"/>
          <w:b/>
          <w:color w:val="auto"/>
          <w:sz w:val="24"/>
          <w:szCs w:val="24"/>
          <w:highlight w:val="none"/>
        </w:rPr>
        <w:t>1</w:t>
      </w:r>
      <w:r>
        <w:rPr>
          <w:rFonts w:hint="eastAsia" w:cs="宋体" w:asciiTheme="minorEastAsia" w:hAnsiTheme="minorEastAsia" w:eastAsiaTheme="minorEastAsia"/>
          <w:b/>
          <w:color w:val="auto"/>
          <w:sz w:val="24"/>
          <w:szCs w:val="24"/>
          <w:highlight w:val="none"/>
          <w:lang w:val="en-US" w:eastAsia="zh-CN"/>
        </w:rPr>
        <w:t>0</w:t>
      </w:r>
      <w:r>
        <w:rPr>
          <w:rFonts w:hint="eastAsia" w:cs="宋体" w:asciiTheme="minorEastAsia" w:hAnsiTheme="minorEastAsia" w:eastAsiaTheme="minorEastAsia"/>
          <w:b/>
          <w:color w:val="auto"/>
          <w:sz w:val="24"/>
          <w:szCs w:val="24"/>
          <w:highlight w:val="none"/>
        </w:rPr>
        <w:t>.验收条件及标准</w:t>
      </w:r>
    </w:p>
    <w:p w14:paraId="6AB620FC">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10.1</w:t>
      </w:r>
      <w:r>
        <w:rPr>
          <w:rFonts w:hint="eastAsia" w:ascii="宋体" w:hAnsi="宋体" w:cs="宋体"/>
          <w:color w:val="auto"/>
          <w:sz w:val="24"/>
          <w:szCs w:val="24"/>
          <w:highlight w:val="none"/>
        </w:rPr>
        <w:t>验收主体：</w:t>
      </w:r>
      <w:r>
        <w:rPr>
          <w:rFonts w:hint="eastAsia" w:ascii="宋体" w:hAnsi="宋体" w:cs="宋体"/>
          <w:color w:val="auto"/>
          <w:sz w:val="24"/>
          <w:szCs w:val="24"/>
          <w:highlight w:val="none"/>
          <w:lang w:val="en-US" w:eastAsia="zh-CN"/>
        </w:rPr>
        <w:t>采购人与中标供应商</w:t>
      </w:r>
      <w:r>
        <w:rPr>
          <w:rFonts w:hint="eastAsia" w:ascii="宋体" w:hAnsi="宋体" w:cs="宋体"/>
          <w:color w:val="auto"/>
          <w:sz w:val="24"/>
          <w:szCs w:val="24"/>
          <w:highlight w:val="none"/>
        </w:rPr>
        <w:t>双方指定负责食材验收的人员。</w:t>
      </w:r>
    </w:p>
    <w:p w14:paraId="0FEE579C">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10.2</w:t>
      </w:r>
      <w:r>
        <w:rPr>
          <w:rFonts w:hint="eastAsia" w:ascii="宋体" w:hAnsi="宋体" w:cs="宋体"/>
          <w:color w:val="auto"/>
          <w:sz w:val="24"/>
          <w:szCs w:val="24"/>
          <w:highlight w:val="none"/>
        </w:rPr>
        <w:t>验收时间：</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的每日配送服务进行验收，并将整改内容进行记录，同时向</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提出整改要求。</w:t>
      </w:r>
    </w:p>
    <w:p w14:paraId="7E905ABD">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10.3</w:t>
      </w:r>
      <w:r>
        <w:rPr>
          <w:rFonts w:hint="eastAsia" w:ascii="宋体" w:hAnsi="宋体" w:cs="宋体"/>
          <w:color w:val="auto"/>
          <w:sz w:val="24"/>
          <w:szCs w:val="24"/>
          <w:highlight w:val="none"/>
        </w:rPr>
        <w:t>验收方式：每日验收。按实际过磅重量，净重计量，不得供应破损、变质及有农药、激素残留的产品。</w:t>
      </w:r>
    </w:p>
    <w:p w14:paraId="2346A53A">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10.4</w:t>
      </w:r>
      <w:r>
        <w:rPr>
          <w:rFonts w:hint="eastAsia" w:ascii="宋体" w:hAnsi="宋体" w:cs="宋体"/>
          <w:color w:val="auto"/>
          <w:sz w:val="24"/>
          <w:szCs w:val="24"/>
          <w:highlight w:val="none"/>
        </w:rPr>
        <w:t>验收方法：</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订单将货物送至指定地点后，双方人员应及时对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货物进行验收。</w:t>
      </w:r>
    </w:p>
    <w:p w14:paraId="4EAA416F">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10.5</w:t>
      </w:r>
      <w:r>
        <w:rPr>
          <w:rFonts w:hint="eastAsia" w:ascii="宋体" w:hAnsi="宋体" w:cs="宋体"/>
          <w:color w:val="auto"/>
          <w:sz w:val="24"/>
          <w:szCs w:val="24"/>
          <w:highlight w:val="none"/>
        </w:rPr>
        <w:t>验收程序：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指定人员验收合格后，在</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的送货单上盖章或签名给予确认。</w:t>
      </w:r>
    </w:p>
    <w:p w14:paraId="43DE093F">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10.6</w:t>
      </w:r>
      <w:r>
        <w:rPr>
          <w:rFonts w:hint="eastAsia" w:ascii="宋体" w:hAnsi="宋体" w:cs="宋体"/>
          <w:color w:val="auto"/>
          <w:sz w:val="24"/>
          <w:szCs w:val="24"/>
          <w:highlight w:val="none"/>
        </w:rPr>
        <w:t>验收内容：对供应商提供的食材品种、规格、数量、质量等进行验收。</w:t>
      </w:r>
    </w:p>
    <w:p w14:paraId="04B551D5">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10.7</w:t>
      </w:r>
      <w:r>
        <w:rPr>
          <w:rFonts w:hint="eastAsia" w:ascii="宋体" w:hAnsi="宋体" w:cs="宋体"/>
          <w:color w:val="auto"/>
          <w:sz w:val="24"/>
          <w:szCs w:val="24"/>
          <w:highlight w:val="none"/>
        </w:rPr>
        <w:t>验收标准：招标文件、投标文件、《中华人民共和国食品安全法》等法律法规及国家、地方（以使用地为准）、行业有关食品卫生、质量标准，均为验收</w:t>
      </w:r>
      <w:r>
        <w:rPr>
          <w:rFonts w:hint="eastAsia" w:ascii="宋体" w:hAnsi="宋体" w:cs="宋体"/>
          <w:color w:val="auto"/>
          <w:sz w:val="24"/>
          <w:szCs w:val="24"/>
          <w:highlight w:val="none"/>
          <w:lang w:val="en-US" w:eastAsia="zh-CN"/>
        </w:rPr>
        <w:t>标准</w:t>
      </w:r>
      <w:r>
        <w:rPr>
          <w:rFonts w:hint="eastAsia" w:ascii="宋体" w:hAnsi="宋体" w:cs="宋体"/>
          <w:color w:val="auto"/>
          <w:sz w:val="24"/>
          <w:szCs w:val="24"/>
          <w:highlight w:val="none"/>
        </w:rPr>
        <w:t>。</w:t>
      </w:r>
    </w:p>
    <w:p w14:paraId="742B02B6">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10.8</w:t>
      </w:r>
      <w:r>
        <w:rPr>
          <w:rFonts w:hint="eastAsia" w:ascii="宋体" w:hAnsi="宋体" w:cs="宋体"/>
          <w:color w:val="auto"/>
          <w:sz w:val="24"/>
          <w:szCs w:val="24"/>
          <w:highlight w:val="none"/>
        </w:rPr>
        <w:t>验收责任：如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的指定人员对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供应的食材不进行验收，造成该食材损失的，该损失应由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承担。</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不得私自随意放置食材后自行离去，如因此发生食材数量、质量问题或食材遗失，该损失应由</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承担。在履约期间，若采购人对供货商所供货物质量产生异议，送政府质量部门检测。如不合格，检测费由供货商承担，并接受采购人处罚。</w:t>
      </w:r>
    </w:p>
    <w:p w14:paraId="0CCD9988">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10.9</w:t>
      </w:r>
      <w:r>
        <w:rPr>
          <w:rFonts w:hint="eastAsia" w:ascii="宋体" w:hAnsi="宋体" w:cs="宋体"/>
          <w:color w:val="auto"/>
          <w:sz w:val="24"/>
          <w:szCs w:val="24"/>
          <w:highlight w:val="none"/>
        </w:rPr>
        <w:t>考核要求：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根据每日验收记录以及整改情况，结合《厦门市分行食堂食材配送服务考核指标》按月对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进行考核；年度考核为取12个月考核得分的平均值，80分（含80分）以上为合格，80分以下为不合格。</w:t>
      </w:r>
    </w:p>
    <w:p w14:paraId="1E98730D">
      <w:pPr>
        <w:keepNext w:val="0"/>
        <w:keepLines w:val="0"/>
        <w:spacing w:line="360" w:lineRule="auto"/>
        <w:ind w:firstLine="482" w:firstLineChars="200"/>
        <w:jc w:val="both"/>
        <w:outlineLvl w:val="9"/>
        <w:rPr>
          <w:rFonts w:cs="宋体" w:asciiTheme="minorEastAsia" w:hAnsiTheme="minorEastAsia" w:eastAsiaTheme="minorEastAsia"/>
          <w:b/>
          <w:color w:val="auto"/>
          <w:sz w:val="24"/>
          <w:szCs w:val="24"/>
          <w:highlight w:val="none"/>
        </w:rPr>
      </w:pPr>
      <w:r>
        <w:rPr>
          <w:rFonts w:cs="宋体" w:asciiTheme="minorEastAsia" w:hAnsiTheme="minorEastAsia" w:eastAsiaTheme="minorEastAsia"/>
          <w:b/>
          <w:color w:val="auto"/>
          <w:sz w:val="24"/>
          <w:szCs w:val="24"/>
          <w:highlight w:val="none"/>
        </w:rPr>
        <w:t>1</w:t>
      </w:r>
      <w:r>
        <w:rPr>
          <w:rFonts w:hint="eastAsia" w:cs="宋体" w:asciiTheme="minorEastAsia" w:hAnsiTheme="minorEastAsia" w:eastAsiaTheme="minorEastAsia"/>
          <w:b/>
          <w:color w:val="auto"/>
          <w:sz w:val="24"/>
          <w:szCs w:val="24"/>
          <w:highlight w:val="none"/>
          <w:lang w:val="en-US" w:eastAsia="zh-CN"/>
        </w:rPr>
        <w:t>1</w:t>
      </w:r>
      <w:r>
        <w:rPr>
          <w:rFonts w:cs="宋体" w:asciiTheme="minorEastAsia" w:hAnsiTheme="minorEastAsia" w:eastAsiaTheme="minorEastAsia"/>
          <w:b/>
          <w:color w:val="auto"/>
          <w:sz w:val="24"/>
          <w:szCs w:val="24"/>
          <w:highlight w:val="none"/>
        </w:rPr>
        <w:t>.商务条件（以“★”标示的内容为不允许负偏离的实质性要求）</w:t>
      </w:r>
    </w:p>
    <w:p w14:paraId="632E04A4">
      <w:pPr>
        <w:spacing w:line="360" w:lineRule="auto"/>
        <w:ind w:firstLine="480" w:firstLineChars="200"/>
        <w:rPr>
          <w:rFonts w:cs="宋体" w:asciiTheme="minorEastAsia" w:hAnsiTheme="minorEastAsia" w:eastAsiaTheme="minorEastAsia"/>
          <w:b w:val="0"/>
          <w:bCs w:val="0"/>
          <w:color w:val="auto"/>
          <w:sz w:val="24"/>
          <w:szCs w:val="24"/>
          <w:highlight w:val="none"/>
        </w:rPr>
      </w:pPr>
      <w:r>
        <w:rPr>
          <w:rFonts w:cs="宋体" w:asciiTheme="minorEastAsia" w:hAnsiTheme="minorEastAsia" w:eastAsiaTheme="minorEastAsia"/>
          <w:b w:val="0"/>
          <w:bCs w:val="0"/>
          <w:color w:val="auto"/>
          <w:sz w:val="24"/>
          <w:szCs w:val="24"/>
          <w:highlight w:val="none"/>
        </w:rPr>
        <w:t>1</w:t>
      </w:r>
      <w:r>
        <w:rPr>
          <w:rFonts w:hint="eastAsia" w:cs="宋体" w:asciiTheme="minorEastAsia" w:hAnsiTheme="minorEastAsia" w:eastAsiaTheme="minorEastAsia"/>
          <w:b w:val="0"/>
          <w:bCs w:val="0"/>
          <w:color w:val="auto"/>
          <w:sz w:val="24"/>
          <w:szCs w:val="24"/>
          <w:highlight w:val="none"/>
          <w:lang w:val="en-US" w:eastAsia="zh-CN"/>
        </w:rPr>
        <w:t>1</w:t>
      </w:r>
      <w:r>
        <w:rPr>
          <w:rFonts w:cs="宋体" w:asciiTheme="minorEastAsia" w:hAnsiTheme="minorEastAsia" w:eastAsiaTheme="minorEastAsia"/>
          <w:b w:val="0"/>
          <w:bCs w:val="0"/>
          <w:color w:val="auto"/>
          <w:sz w:val="24"/>
          <w:szCs w:val="24"/>
          <w:highlight w:val="none"/>
        </w:rPr>
        <w:t xml:space="preserve">.1 </w:t>
      </w:r>
      <w:r>
        <w:rPr>
          <w:rFonts w:hint="eastAsia" w:cs="宋体" w:asciiTheme="minorEastAsia" w:hAnsiTheme="minorEastAsia" w:eastAsiaTheme="minorEastAsia"/>
          <w:b w:val="0"/>
          <w:bCs w:val="0"/>
          <w:color w:val="auto"/>
          <w:sz w:val="24"/>
          <w:szCs w:val="24"/>
          <w:highlight w:val="none"/>
        </w:rPr>
        <w:t>服务地点：福建省厦门市思明区展鸿路</w:t>
      </w:r>
      <w:r>
        <w:rPr>
          <w:rFonts w:cs="宋体" w:asciiTheme="minorEastAsia" w:hAnsiTheme="minorEastAsia" w:eastAsiaTheme="minorEastAsia"/>
          <w:b w:val="0"/>
          <w:bCs w:val="0"/>
          <w:color w:val="auto"/>
          <w:sz w:val="24"/>
          <w:szCs w:val="24"/>
          <w:highlight w:val="none"/>
        </w:rPr>
        <w:t>100号</w:t>
      </w:r>
      <w:r>
        <w:rPr>
          <w:rFonts w:hint="eastAsia" w:cs="宋体" w:asciiTheme="minorEastAsia" w:hAnsiTheme="minorEastAsia" w:eastAsiaTheme="minorEastAsia"/>
          <w:b w:val="0"/>
          <w:bCs w:val="0"/>
          <w:color w:val="auto"/>
          <w:sz w:val="24"/>
          <w:szCs w:val="24"/>
          <w:highlight w:val="none"/>
        </w:rPr>
        <w:t>和翔安区黎林路</w:t>
      </w:r>
      <w:r>
        <w:rPr>
          <w:rFonts w:cs="宋体" w:asciiTheme="minorEastAsia" w:hAnsiTheme="minorEastAsia" w:eastAsiaTheme="minorEastAsia"/>
          <w:b w:val="0"/>
          <w:bCs w:val="0"/>
          <w:color w:val="auto"/>
          <w:sz w:val="24"/>
          <w:szCs w:val="24"/>
          <w:highlight w:val="none"/>
        </w:rPr>
        <w:t>1699号</w:t>
      </w:r>
    </w:p>
    <w:p w14:paraId="2FD9E5C5">
      <w:pPr>
        <w:spacing w:line="360" w:lineRule="auto"/>
        <w:ind w:firstLine="480" w:firstLineChars="200"/>
        <w:rPr>
          <w:rFonts w:hint="eastAsia" w:ascii="宋体" w:hAnsi="宋体"/>
          <w:color w:val="auto"/>
          <w:sz w:val="24"/>
          <w:szCs w:val="24"/>
          <w:highlight w:val="none"/>
        </w:rPr>
      </w:pPr>
      <w:r>
        <w:rPr>
          <w:rFonts w:cs="宋体" w:asciiTheme="minorEastAsia" w:hAnsiTheme="minorEastAsia" w:eastAsiaTheme="minorEastAsia"/>
          <w:b w:val="0"/>
          <w:bCs w:val="0"/>
          <w:color w:val="auto"/>
          <w:sz w:val="24"/>
          <w:szCs w:val="24"/>
          <w:highlight w:val="none"/>
        </w:rPr>
        <w:t>1</w:t>
      </w:r>
      <w:r>
        <w:rPr>
          <w:rFonts w:hint="eastAsia" w:cs="宋体" w:asciiTheme="minorEastAsia" w:hAnsiTheme="minorEastAsia" w:eastAsiaTheme="minorEastAsia"/>
          <w:b w:val="0"/>
          <w:bCs w:val="0"/>
          <w:color w:val="auto"/>
          <w:sz w:val="24"/>
          <w:szCs w:val="24"/>
          <w:highlight w:val="none"/>
          <w:lang w:val="en-US" w:eastAsia="zh-CN"/>
        </w:rPr>
        <w:t>1</w:t>
      </w:r>
      <w:r>
        <w:rPr>
          <w:rFonts w:cs="宋体" w:asciiTheme="minorEastAsia" w:hAnsiTheme="minorEastAsia" w:eastAsiaTheme="minorEastAsia"/>
          <w:b w:val="0"/>
          <w:bCs w:val="0"/>
          <w:color w:val="auto"/>
          <w:sz w:val="24"/>
          <w:szCs w:val="24"/>
          <w:highlight w:val="none"/>
        </w:rPr>
        <w:t xml:space="preserve">.2 </w:t>
      </w:r>
      <w:r>
        <w:rPr>
          <w:rFonts w:hint="eastAsia" w:cs="宋体" w:asciiTheme="minorEastAsia" w:hAnsiTheme="minorEastAsia" w:eastAsiaTheme="minorEastAsia"/>
          <w:b w:val="0"/>
          <w:bCs w:val="0"/>
          <w:color w:val="auto"/>
          <w:sz w:val="24"/>
          <w:szCs w:val="24"/>
          <w:highlight w:val="none"/>
        </w:rPr>
        <w:t>服务期限：</w:t>
      </w:r>
      <w:r>
        <w:rPr>
          <w:rFonts w:hint="eastAsia" w:ascii="宋体" w:hAnsi="宋体"/>
          <w:color w:val="auto"/>
          <w:sz w:val="24"/>
          <w:szCs w:val="24"/>
          <w:highlight w:val="none"/>
        </w:rPr>
        <w:t>一年，</w:t>
      </w:r>
      <w:r>
        <w:rPr>
          <w:rFonts w:hint="eastAsia" w:ascii="宋体" w:hAnsi="宋体" w:cs="宋体"/>
          <w:b w:val="0"/>
          <w:bCs w:val="0"/>
          <w:color w:val="auto"/>
          <w:sz w:val="24"/>
          <w:szCs w:val="24"/>
          <w:highlight w:val="none"/>
          <w:lang w:val="en-US" w:eastAsia="zh-CN"/>
        </w:rPr>
        <w:t>预计服务时间为2026年6月1日至2027年5月31日。</w:t>
      </w:r>
      <w:r>
        <w:rPr>
          <w:rFonts w:hint="eastAsia" w:ascii="宋体" w:hAnsi="宋体"/>
          <w:color w:val="auto"/>
          <w:sz w:val="24"/>
          <w:szCs w:val="24"/>
          <w:highlight w:val="none"/>
        </w:rPr>
        <w:t>一年服务期满后，在预算资金有保障、服务价格不提高的前提下，中标人经采购人考核合格，可与采购人续签下一年度服务外包合同，最多续签2次。</w:t>
      </w:r>
    </w:p>
    <w:p w14:paraId="4BBA9D15">
      <w:pPr>
        <w:spacing w:line="360" w:lineRule="auto"/>
        <w:ind w:firstLine="480" w:firstLineChars="200"/>
        <w:rPr>
          <w:rFonts w:cs="宋体" w:asciiTheme="minorEastAsia" w:hAnsiTheme="minorEastAsia" w:eastAsiaTheme="minorEastAsia"/>
          <w:b w:val="0"/>
          <w:bCs w:val="0"/>
          <w:color w:val="auto"/>
          <w:sz w:val="24"/>
          <w:szCs w:val="24"/>
          <w:highlight w:val="none"/>
        </w:rPr>
      </w:pPr>
      <w:r>
        <w:rPr>
          <w:rFonts w:hint="eastAsia" w:cs="宋体" w:asciiTheme="minorEastAsia" w:hAnsiTheme="minorEastAsia" w:eastAsiaTheme="minorEastAsia"/>
          <w:b w:val="0"/>
          <w:bCs w:val="0"/>
          <w:color w:val="auto"/>
          <w:sz w:val="24"/>
          <w:szCs w:val="24"/>
          <w:highlight w:val="none"/>
        </w:rPr>
        <w:t>合同履行中，采购人将对供货商进行考核，考核不合格或者发生合同解除情形的，采购人将不与供货商继续履行食材供应合同，且供货商应承担因此造成的一切经济和法律后果。</w:t>
      </w:r>
    </w:p>
    <w:p w14:paraId="213416D7">
      <w:pPr>
        <w:spacing w:line="360" w:lineRule="auto"/>
        <w:ind w:firstLine="480" w:firstLineChars="200"/>
        <w:rPr>
          <w:rFonts w:cs="宋体" w:asciiTheme="minorEastAsia" w:hAnsiTheme="minorEastAsia" w:eastAsiaTheme="minorEastAsia"/>
          <w:b w:val="0"/>
          <w:bCs w:val="0"/>
          <w:color w:val="auto"/>
          <w:sz w:val="24"/>
          <w:szCs w:val="24"/>
          <w:highlight w:val="none"/>
        </w:rPr>
      </w:pPr>
      <w:r>
        <w:rPr>
          <w:rFonts w:cs="宋体" w:asciiTheme="minorEastAsia" w:hAnsiTheme="minorEastAsia" w:eastAsiaTheme="minorEastAsia"/>
          <w:b w:val="0"/>
          <w:bCs w:val="0"/>
          <w:color w:val="auto"/>
          <w:sz w:val="24"/>
          <w:szCs w:val="24"/>
          <w:highlight w:val="none"/>
        </w:rPr>
        <w:t>1</w:t>
      </w:r>
      <w:r>
        <w:rPr>
          <w:rFonts w:hint="eastAsia" w:cs="宋体" w:asciiTheme="minorEastAsia" w:hAnsiTheme="minorEastAsia" w:eastAsiaTheme="minorEastAsia"/>
          <w:b w:val="0"/>
          <w:bCs w:val="0"/>
          <w:color w:val="auto"/>
          <w:sz w:val="24"/>
          <w:szCs w:val="24"/>
          <w:highlight w:val="none"/>
          <w:lang w:val="en-US" w:eastAsia="zh-CN"/>
        </w:rPr>
        <w:t>1</w:t>
      </w:r>
      <w:r>
        <w:rPr>
          <w:rFonts w:cs="宋体" w:asciiTheme="minorEastAsia" w:hAnsiTheme="minorEastAsia" w:eastAsiaTheme="minorEastAsia"/>
          <w:b w:val="0"/>
          <w:bCs w:val="0"/>
          <w:color w:val="auto"/>
          <w:sz w:val="24"/>
          <w:szCs w:val="24"/>
          <w:highlight w:val="none"/>
        </w:rPr>
        <w:t xml:space="preserve">.3 </w:t>
      </w:r>
      <w:r>
        <w:rPr>
          <w:rFonts w:hint="eastAsia" w:cs="宋体" w:asciiTheme="minorEastAsia" w:hAnsiTheme="minorEastAsia" w:eastAsiaTheme="minorEastAsia"/>
          <w:b w:val="0"/>
          <w:bCs w:val="0"/>
          <w:color w:val="auto"/>
          <w:sz w:val="24"/>
          <w:szCs w:val="24"/>
          <w:highlight w:val="none"/>
        </w:rPr>
        <w:t>付款方式：每月进行一次结算。结算周期届满后的次月</w:t>
      </w:r>
      <w:r>
        <w:rPr>
          <w:rFonts w:cs="宋体" w:asciiTheme="minorEastAsia" w:hAnsiTheme="minorEastAsia" w:eastAsiaTheme="minorEastAsia"/>
          <w:b w:val="0"/>
          <w:bCs w:val="0"/>
          <w:color w:val="auto"/>
          <w:sz w:val="24"/>
          <w:szCs w:val="24"/>
          <w:highlight w:val="none"/>
        </w:rPr>
        <w:t>10日前，供货商应向采购人提交结算清单、扣款事项及金额书面确认材料（如有）并附采购人签收及验收合格的凭证。该结算清单经采购人审核确认无误后，供货商开具的符</w:t>
      </w:r>
      <w:r>
        <w:rPr>
          <w:rFonts w:hint="eastAsia" w:cs="宋体" w:asciiTheme="minorEastAsia" w:hAnsiTheme="minorEastAsia" w:eastAsiaTheme="minorEastAsia"/>
          <w:b w:val="0"/>
          <w:bCs w:val="0"/>
          <w:color w:val="auto"/>
          <w:sz w:val="24"/>
          <w:szCs w:val="24"/>
          <w:highlight w:val="none"/>
        </w:rPr>
        <w:t>合要求的等额增值税发票。采购人</w:t>
      </w:r>
      <w:r>
        <w:rPr>
          <w:rFonts w:hint="eastAsia" w:ascii="宋体" w:hAnsi="宋体" w:cs="宋体"/>
          <w:color w:val="auto"/>
          <w:sz w:val="24"/>
          <w:szCs w:val="24"/>
          <w:highlight w:val="none"/>
        </w:rPr>
        <w:t>将按国库支付流程付款，</w:t>
      </w:r>
      <w:r>
        <w:rPr>
          <w:rFonts w:hint="eastAsia" w:cs="宋体" w:asciiTheme="minorEastAsia" w:hAnsiTheme="minorEastAsia" w:eastAsiaTheme="minorEastAsia"/>
          <w:b w:val="0"/>
          <w:bCs w:val="0"/>
          <w:color w:val="auto"/>
          <w:sz w:val="24"/>
          <w:szCs w:val="24"/>
          <w:highlight w:val="none"/>
        </w:rPr>
        <w:t>收到发票后原则上十个工作日内支付结算货款。</w:t>
      </w:r>
      <w:r>
        <w:rPr>
          <w:rFonts w:hint="eastAsia" w:cs="宋体" w:asciiTheme="minorEastAsia" w:hAnsiTheme="minorEastAsia" w:eastAsiaTheme="minorEastAsia"/>
          <w:color w:val="auto"/>
          <w:sz w:val="24"/>
          <w:szCs w:val="24"/>
          <w:highlight w:val="none"/>
        </w:rPr>
        <w:t>中标人须充分知晓采购人财政资金的属性。若因采购人财政资金拨付不及时等相关原因导致采购人付款逾期，中标人同意该情形不视为采购人违约，不追究采购人的违约责任，且不得以此为由拒绝履行约定义务。</w:t>
      </w:r>
    </w:p>
    <w:p w14:paraId="7AFCD689">
      <w:pPr>
        <w:spacing w:line="360" w:lineRule="auto"/>
        <w:ind w:firstLine="480" w:firstLineChars="200"/>
        <w:rPr>
          <w:rFonts w:cs="宋体" w:asciiTheme="minorEastAsia" w:hAnsiTheme="minorEastAsia" w:eastAsiaTheme="minorEastAsia"/>
          <w:b w:val="0"/>
          <w:bCs w:val="0"/>
          <w:color w:val="auto"/>
          <w:sz w:val="24"/>
          <w:szCs w:val="24"/>
          <w:highlight w:val="none"/>
        </w:rPr>
      </w:pPr>
      <w:r>
        <w:rPr>
          <w:rFonts w:cs="宋体" w:asciiTheme="minorEastAsia" w:hAnsiTheme="minorEastAsia" w:eastAsiaTheme="minorEastAsia"/>
          <w:b w:val="0"/>
          <w:bCs w:val="0"/>
          <w:color w:val="auto"/>
          <w:sz w:val="24"/>
          <w:szCs w:val="24"/>
          <w:highlight w:val="none"/>
        </w:rPr>
        <w:t>1</w:t>
      </w:r>
      <w:r>
        <w:rPr>
          <w:rFonts w:hint="eastAsia" w:cs="宋体" w:asciiTheme="minorEastAsia" w:hAnsiTheme="minorEastAsia" w:eastAsiaTheme="minorEastAsia"/>
          <w:b w:val="0"/>
          <w:bCs w:val="0"/>
          <w:color w:val="auto"/>
          <w:sz w:val="24"/>
          <w:szCs w:val="24"/>
          <w:highlight w:val="none"/>
          <w:lang w:val="en-US" w:eastAsia="zh-CN"/>
        </w:rPr>
        <w:t>1</w:t>
      </w:r>
      <w:r>
        <w:rPr>
          <w:rFonts w:cs="宋体" w:asciiTheme="minorEastAsia" w:hAnsiTheme="minorEastAsia" w:eastAsiaTheme="minorEastAsia"/>
          <w:b w:val="0"/>
          <w:bCs w:val="0"/>
          <w:color w:val="auto"/>
          <w:sz w:val="24"/>
          <w:szCs w:val="24"/>
          <w:highlight w:val="none"/>
        </w:rPr>
        <w:t>.4是否收取履约保证金：是。履约保证金百分比：1%。中标供应商应按照</w:t>
      </w:r>
      <w:r>
        <w:rPr>
          <w:rFonts w:hint="eastAsia" w:cs="宋体" w:asciiTheme="minorEastAsia" w:hAnsiTheme="minorEastAsia" w:eastAsiaTheme="minorEastAsia"/>
          <w:b w:val="0"/>
          <w:bCs w:val="0"/>
          <w:color w:val="auto"/>
          <w:sz w:val="24"/>
          <w:szCs w:val="24"/>
          <w:highlight w:val="none"/>
        </w:rPr>
        <w:t>合同包一年预算费用的</w:t>
      </w:r>
      <w:r>
        <w:rPr>
          <w:rFonts w:cs="宋体" w:asciiTheme="minorEastAsia" w:hAnsiTheme="minorEastAsia" w:eastAsiaTheme="minorEastAsia"/>
          <w:b w:val="0"/>
          <w:bCs w:val="0"/>
          <w:color w:val="auto"/>
          <w:sz w:val="24"/>
          <w:szCs w:val="24"/>
          <w:highlight w:val="none"/>
        </w:rPr>
        <w:t>1%缴纳履约保证金，用于履约保证和年度考核、合同违约情形的扣取。如因发生扣取事项导致履约保证金不足时，中标供应商应于15个工作日内向采购人补足相应款项，否则采购人有权从应付的结算费用中直接扣除；如未发生应扣取事项则相应款项继续留存作为下一年度履约保证金；待续签期限届满后，双方对合同履约情况不存在争议的情况下，采购人在20个工作日内将履约保证金全额无息返还给中标供应商。说明：履约保证金允许供应商通过保函等非现金方式提供履约保证金。中标人为中小企业的履约保证金减半收取。</w:t>
      </w:r>
    </w:p>
    <w:p w14:paraId="688857E4">
      <w:pPr>
        <w:spacing w:line="360" w:lineRule="auto"/>
        <w:ind w:firstLine="480" w:firstLineChars="200"/>
        <w:rPr>
          <w:rFonts w:cs="宋体" w:asciiTheme="minorEastAsia" w:hAnsiTheme="minorEastAsia" w:eastAsiaTheme="minorEastAsia"/>
          <w:b w:val="0"/>
          <w:bCs w:val="0"/>
          <w:color w:val="auto"/>
          <w:sz w:val="24"/>
          <w:szCs w:val="24"/>
          <w:highlight w:val="none"/>
        </w:rPr>
      </w:pPr>
      <w:r>
        <w:rPr>
          <w:rFonts w:cs="宋体" w:asciiTheme="minorEastAsia" w:hAnsiTheme="minorEastAsia" w:eastAsiaTheme="minorEastAsia"/>
          <w:b w:val="0"/>
          <w:bCs w:val="0"/>
          <w:color w:val="auto"/>
          <w:sz w:val="24"/>
          <w:szCs w:val="24"/>
          <w:highlight w:val="none"/>
        </w:rPr>
        <w:t>1</w:t>
      </w:r>
      <w:r>
        <w:rPr>
          <w:rFonts w:hint="eastAsia" w:cs="宋体" w:asciiTheme="minorEastAsia" w:hAnsiTheme="minorEastAsia" w:eastAsiaTheme="minorEastAsia"/>
          <w:b w:val="0"/>
          <w:bCs w:val="0"/>
          <w:color w:val="auto"/>
          <w:sz w:val="24"/>
          <w:szCs w:val="24"/>
          <w:highlight w:val="none"/>
          <w:lang w:val="en-US" w:eastAsia="zh-CN"/>
        </w:rPr>
        <w:t>1</w:t>
      </w:r>
      <w:r>
        <w:rPr>
          <w:rFonts w:cs="宋体" w:asciiTheme="minorEastAsia" w:hAnsiTheme="minorEastAsia" w:eastAsiaTheme="minorEastAsia"/>
          <w:b w:val="0"/>
          <w:bCs w:val="0"/>
          <w:color w:val="auto"/>
          <w:sz w:val="24"/>
          <w:szCs w:val="24"/>
          <w:highlight w:val="none"/>
        </w:rPr>
        <w:t xml:space="preserve">.5 </w:t>
      </w:r>
      <w:r>
        <w:rPr>
          <w:rFonts w:hint="eastAsia" w:cs="宋体" w:asciiTheme="minorEastAsia" w:hAnsiTheme="minorEastAsia" w:eastAsiaTheme="minorEastAsia"/>
          <w:b w:val="0"/>
          <w:bCs w:val="0"/>
          <w:color w:val="auto"/>
          <w:sz w:val="24"/>
          <w:szCs w:val="24"/>
          <w:highlight w:val="none"/>
        </w:rPr>
        <w:t>是否邀请投标人参与验收：否</w:t>
      </w:r>
    </w:p>
    <w:p w14:paraId="1CD33171">
      <w:pPr>
        <w:spacing w:line="360" w:lineRule="auto"/>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b w:val="0"/>
          <w:bCs w:val="0"/>
          <w:color w:val="auto"/>
          <w:sz w:val="24"/>
          <w:szCs w:val="24"/>
          <w:highlight w:val="none"/>
        </w:rPr>
        <w:t>1</w:t>
      </w:r>
      <w:r>
        <w:rPr>
          <w:rFonts w:hint="eastAsia" w:cs="宋体" w:asciiTheme="minorEastAsia" w:hAnsiTheme="minorEastAsia" w:eastAsiaTheme="minorEastAsia"/>
          <w:b w:val="0"/>
          <w:bCs w:val="0"/>
          <w:color w:val="auto"/>
          <w:sz w:val="24"/>
          <w:szCs w:val="24"/>
          <w:highlight w:val="none"/>
          <w:lang w:val="en-US" w:eastAsia="zh-CN"/>
        </w:rPr>
        <w:t>2</w:t>
      </w:r>
      <w:r>
        <w:rPr>
          <w:rFonts w:cs="宋体" w:asciiTheme="minorEastAsia" w:hAnsiTheme="minorEastAsia" w:eastAsiaTheme="minorEastAsia"/>
          <w:b w:val="0"/>
          <w:bCs w:val="0"/>
          <w:color w:val="auto"/>
          <w:sz w:val="24"/>
          <w:szCs w:val="24"/>
          <w:highlight w:val="none"/>
        </w:rPr>
        <w:t>.</w:t>
      </w:r>
      <w:r>
        <w:rPr>
          <w:rFonts w:hint="eastAsia" w:cs="宋体" w:asciiTheme="minorEastAsia" w:hAnsiTheme="minorEastAsia" w:eastAsiaTheme="minorEastAsia"/>
          <w:b w:val="0"/>
          <w:bCs w:val="0"/>
          <w:color w:val="auto"/>
          <w:sz w:val="24"/>
          <w:szCs w:val="24"/>
          <w:highlight w:val="none"/>
        </w:rPr>
        <w:t>违约处罚及合同解除</w:t>
      </w:r>
    </w:p>
    <w:p w14:paraId="7FF61F96">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 xml:space="preserve">.1 </w:t>
      </w:r>
      <w:r>
        <w:rPr>
          <w:rFonts w:hint="eastAsia" w:cs="宋体" w:asciiTheme="minorEastAsia" w:hAnsiTheme="minorEastAsia" w:eastAsiaTheme="minorEastAsia"/>
          <w:color w:val="auto"/>
          <w:sz w:val="24"/>
          <w:szCs w:val="24"/>
          <w:highlight w:val="none"/>
        </w:rPr>
        <w:t>在整个供货期间，中标人若未按招标文件及合同规定条款履行职责，则按相关违约规定处理，违约情况包括但不局限于：</w:t>
      </w:r>
    </w:p>
    <w:p w14:paraId="6B326876">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.1.1供货商若不按采购人要求的数量供货，超过部分全部退回，不足部分由采购人另行采购，采购所需费用由供货商负责；供货商如不按时按量供货，影响采购人职工食堂正常运营的，每发生一次采购人将</w:t>
      </w:r>
      <w:r>
        <w:rPr>
          <w:rFonts w:hint="eastAsia" w:cs="宋体" w:asciiTheme="minorEastAsia" w:hAnsiTheme="minorEastAsia" w:eastAsiaTheme="minorEastAsia"/>
          <w:color w:val="auto"/>
          <w:sz w:val="24"/>
          <w:szCs w:val="24"/>
          <w:highlight w:val="none"/>
        </w:rPr>
        <w:t>酌情从供货商履约保证金中扣除人民币</w:t>
      </w:r>
      <w:r>
        <w:rPr>
          <w:rFonts w:cs="宋体" w:asciiTheme="minorEastAsia" w:hAnsiTheme="minorEastAsia" w:eastAsiaTheme="minorEastAsia"/>
          <w:color w:val="auto"/>
          <w:sz w:val="24"/>
          <w:szCs w:val="24"/>
          <w:highlight w:val="none"/>
        </w:rPr>
        <w:t>1000-5000元。</w:t>
      </w:r>
    </w:p>
    <w:p w14:paraId="3ABC47DA">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.1.2中标人若未根据采购人需求提供相应服务，且未在指定期限内整改的，每发生一次采购人将</w:t>
      </w:r>
      <w:r>
        <w:rPr>
          <w:rFonts w:hint="eastAsia" w:cs="宋体" w:asciiTheme="minorEastAsia" w:hAnsiTheme="minorEastAsia" w:eastAsiaTheme="minorEastAsia"/>
          <w:color w:val="auto"/>
          <w:sz w:val="24"/>
          <w:szCs w:val="24"/>
          <w:highlight w:val="none"/>
        </w:rPr>
        <w:t>酌情从供货商履约保证金中扣除人民币</w:t>
      </w:r>
      <w:r>
        <w:rPr>
          <w:rFonts w:cs="宋体" w:asciiTheme="minorEastAsia" w:hAnsiTheme="minorEastAsia" w:eastAsiaTheme="minorEastAsia"/>
          <w:color w:val="auto"/>
          <w:sz w:val="24"/>
          <w:szCs w:val="24"/>
          <w:highlight w:val="none"/>
        </w:rPr>
        <w:t>1000-5000元。</w:t>
      </w:r>
    </w:p>
    <w:p w14:paraId="1FA28ED0">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.1.3供货商未按合同约定的时间或采购人需求交货的，</w:t>
      </w:r>
      <w:r>
        <w:rPr>
          <w:rFonts w:hint="eastAsia" w:ascii="宋体" w:hAnsi="宋体" w:cs="宋体"/>
          <w:color w:val="auto"/>
          <w:sz w:val="24"/>
          <w:szCs w:val="24"/>
          <w:highlight w:val="none"/>
        </w:rPr>
        <w:t>每延误一天按该批次延误食材总价的0.05%计收违约金直至交货为止</w:t>
      </w:r>
      <w:r>
        <w:rPr>
          <w:rFonts w:hint="eastAsia" w:cs="宋体" w:asciiTheme="minorEastAsia" w:hAnsiTheme="minorEastAsia" w:eastAsiaTheme="minorEastAsia"/>
          <w:color w:val="auto"/>
          <w:sz w:val="24"/>
          <w:szCs w:val="24"/>
          <w:highlight w:val="none"/>
        </w:rPr>
        <w:t>，并承担由此给采购人造成的一切责任。</w:t>
      </w:r>
    </w:p>
    <w:p w14:paraId="7BC988D7">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.1.4供货质量无法达到招标文件、投标文件、厂家货物技术标准说明、《</w:t>
      </w:r>
      <w:r>
        <w:rPr>
          <w:rFonts w:hint="eastAsia" w:cs="宋体" w:asciiTheme="minorEastAsia" w:hAnsiTheme="minorEastAsia" w:eastAsiaTheme="minorEastAsia"/>
          <w:color w:val="auto"/>
          <w:sz w:val="24"/>
          <w:szCs w:val="24"/>
          <w:highlight w:val="none"/>
          <w:lang w:eastAsia="zh-CN"/>
        </w:rPr>
        <w:t>中华人民共和国食品安全法</w:t>
      </w:r>
      <w:r>
        <w:rPr>
          <w:rFonts w:cs="宋体" w:asciiTheme="minorEastAsia" w:hAnsiTheme="minorEastAsia" w:eastAsiaTheme="minorEastAsia"/>
          <w:color w:val="auto"/>
          <w:sz w:val="24"/>
          <w:szCs w:val="24"/>
          <w:highlight w:val="none"/>
        </w:rPr>
        <w:t>》及国家有关食品卫生标准的质量标准规定要求及符合国家各项标准；质量抽检不合格；无法按厦门市“入市必登”系统要求提供当每批次所有产品的《上市凭证》。每发生一次以上情况，采购人将从供货商履约保证金中扣除该批次货物总价的百分之十（10%）。</w:t>
      </w:r>
    </w:p>
    <w:p w14:paraId="4F01165F">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.1.5供货商配送车辆及人员未达到招投标文件及合同约定标准的，每发生一次采购人将</w:t>
      </w:r>
      <w:r>
        <w:rPr>
          <w:rFonts w:hint="eastAsia" w:cs="宋体" w:asciiTheme="minorEastAsia" w:hAnsiTheme="minorEastAsia" w:eastAsiaTheme="minorEastAsia"/>
          <w:color w:val="auto"/>
          <w:sz w:val="24"/>
          <w:szCs w:val="24"/>
          <w:highlight w:val="none"/>
        </w:rPr>
        <w:t>酌情从供货商履约保证金中扣除人民币</w:t>
      </w:r>
      <w:r>
        <w:rPr>
          <w:rFonts w:cs="宋体" w:asciiTheme="minorEastAsia" w:hAnsiTheme="minorEastAsia" w:eastAsiaTheme="minorEastAsia"/>
          <w:color w:val="auto"/>
          <w:sz w:val="24"/>
          <w:szCs w:val="24"/>
          <w:highlight w:val="none"/>
        </w:rPr>
        <w:t>1000-5000元。</w:t>
      </w:r>
    </w:p>
    <w:p w14:paraId="63292B3F">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.1.6采购人抽查供货商报价，若发现供货商的成交价高于</w:t>
      </w:r>
      <w:r>
        <w:rPr>
          <w:rFonts w:hint="eastAsia" w:ascii="宋体" w:hAnsi="宋体" w:cs="宋体"/>
          <w:color w:val="auto"/>
          <w:sz w:val="24"/>
          <w:szCs w:val="24"/>
          <w:highlight w:val="none"/>
        </w:rPr>
        <w:t>大型商超（线上或线下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不参与本项目招投标活动）或农贸市场</w:t>
      </w:r>
      <w:r>
        <w:rPr>
          <w:rFonts w:cs="宋体" w:asciiTheme="minorEastAsia" w:hAnsiTheme="minorEastAsia" w:eastAsiaTheme="minorEastAsia"/>
          <w:color w:val="auto"/>
          <w:sz w:val="24"/>
          <w:szCs w:val="24"/>
          <w:highlight w:val="none"/>
        </w:rPr>
        <w:t>的销售价格，发生一次采购人将从供货商履约保证金中扣除该批次货物总价的百分之十（10%）。</w:t>
      </w:r>
    </w:p>
    <w:p w14:paraId="7C0E056F">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.1.7供货商应认真做好结算清单梳理工作，确认结算金额与送货金额是否相符，采购人财务部门在审核过程中每发现数额等有差错一次，将按照就低原则进行货款支付并将</w:t>
      </w:r>
      <w:r>
        <w:rPr>
          <w:rFonts w:hint="eastAsia" w:cs="宋体" w:asciiTheme="minorEastAsia" w:hAnsiTheme="minorEastAsia" w:eastAsiaTheme="minorEastAsia"/>
          <w:color w:val="auto"/>
          <w:sz w:val="24"/>
          <w:szCs w:val="24"/>
          <w:highlight w:val="none"/>
        </w:rPr>
        <w:t>酌情从供货商履约保证金中扣除人民币</w:t>
      </w:r>
      <w:r>
        <w:rPr>
          <w:rFonts w:cs="宋体" w:asciiTheme="minorEastAsia" w:hAnsiTheme="minorEastAsia" w:eastAsiaTheme="minorEastAsia"/>
          <w:color w:val="auto"/>
          <w:sz w:val="24"/>
          <w:szCs w:val="24"/>
          <w:highlight w:val="none"/>
        </w:rPr>
        <w:t>1000-5000元。</w:t>
      </w:r>
    </w:p>
    <w:p w14:paraId="7917D6C2">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.1.8供货商不积极配合采购人做好验收工作、出入库、结算、接受内外部检查等，每发生一次采购人将</w:t>
      </w:r>
      <w:r>
        <w:rPr>
          <w:rFonts w:hint="eastAsia" w:cs="宋体" w:asciiTheme="minorEastAsia" w:hAnsiTheme="minorEastAsia" w:eastAsiaTheme="minorEastAsia"/>
          <w:color w:val="auto"/>
          <w:sz w:val="24"/>
          <w:szCs w:val="24"/>
          <w:highlight w:val="none"/>
        </w:rPr>
        <w:t>酌情从供货商履约保证金中扣除人民币</w:t>
      </w:r>
      <w:r>
        <w:rPr>
          <w:rFonts w:cs="宋体" w:asciiTheme="minorEastAsia" w:hAnsiTheme="minorEastAsia" w:eastAsiaTheme="minorEastAsia"/>
          <w:color w:val="auto"/>
          <w:sz w:val="24"/>
          <w:szCs w:val="24"/>
          <w:highlight w:val="none"/>
        </w:rPr>
        <w:t>1000-5000元。</w:t>
      </w:r>
    </w:p>
    <w:p w14:paraId="0F4EB520">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.1.9合同约定的其他情形：</w:t>
      </w:r>
    </w:p>
    <w:p w14:paraId="13DF37FB">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.2合同期间如出现以下情况，采购人可直接解除合同并没收履约保证金：</w:t>
      </w:r>
    </w:p>
    <w:p w14:paraId="33220F17">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.2.1供货商一个供货年度内违反前述</w:t>
      </w:r>
      <w:r>
        <w:rPr>
          <w:rFonts w:hint="eastAsia"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.1.1-</w:t>
      </w:r>
      <w:r>
        <w:rPr>
          <w:rFonts w:hint="eastAsia"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.1.9的情形累计达三次的，或影响采购人职工食堂正常运营的。</w:t>
      </w:r>
    </w:p>
    <w:p w14:paraId="4E947F7A">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.2.2供货商在供货期间，因供货质量问题、供货商过失、过错等造成食物中毒等其他后果的。</w:t>
      </w:r>
    </w:p>
    <w:p w14:paraId="539D7FA8">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2</w:t>
      </w:r>
      <w:r>
        <w:rPr>
          <w:rFonts w:cs="宋体" w:asciiTheme="minorEastAsia" w:hAnsiTheme="minorEastAsia" w:eastAsiaTheme="minorEastAsia"/>
          <w:color w:val="auto"/>
          <w:sz w:val="24"/>
          <w:szCs w:val="24"/>
          <w:highlight w:val="none"/>
        </w:rPr>
        <w:t>.2.3法律法规规章、招投标文件、合同约定的其他情形。</w:t>
      </w:r>
    </w:p>
    <w:p w14:paraId="4B4E8ACE">
      <w:pPr>
        <w:spacing w:line="360" w:lineRule="auto"/>
        <w:ind w:firstLine="482" w:firstLineChars="200"/>
        <w:rPr>
          <w:rFonts w:cs="宋体" w:asciiTheme="minorEastAsia" w:hAnsiTheme="minorEastAsia" w:eastAsiaTheme="minorEastAsia"/>
          <w:b/>
          <w:bCs/>
          <w:color w:val="auto"/>
          <w:sz w:val="24"/>
          <w:szCs w:val="24"/>
          <w:highlight w:val="none"/>
        </w:rPr>
      </w:pPr>
      <w:r>
        <w:rPr>
          <w:rFonts w:cs="宋体" w:asciiTheme="minorEastAsia" w:hAnsiTheme="minorEastAsia" w:eastAsiaTheme="minorEastAsia"/>
          <w:b/>
          <w:color w:val="auto"/>
          <w:sz w:val="24"/>
          <w:szCs w:val="24"/>
          <w:highlight w:val="none"/>
        </w:rPr>
        <w:t>1</w:t>
      </w:r>
      <w:r>
        <w:rPr>
          <w:rFonts w:hint="eastAsia" w:cs="宋体" w:asciiTheme="minorEastAsia" w:hAnsiTheme="minorEastAsia" w:eastAsiaTheme="minorEastAsia"/>
          <w:b/>
          <w:color w:val="auto"/>
          <w:sz w:val="24"/>
          <w:szCs w:val="24"/>
          <w:highlight w:val="none"/>
          <w:lang w:val="en-US" w:eastAsia="zh-CN"/>
        </w:rPr>
        <w:t>3.</w:t>
      </w:r>
      <w:r>
        <w:rPr>
          <w:rFonts w:hint="eastAsia" w:cs="宋体" w:asciiTheme="minorEastAsia" w:hAnsiTheme="minorEastAsia" w:eastAsiaTheme="minorEastAsia"/>
          <w:b/>
          <w:color w:val="auto"/>
          <w:sz w:val="24"/>
          <w:szCs w:val="24"/>
          <w:highlight w:val="none"/>
        </w:rPr>
        <w:t>其他事项（</w:t>
      </w:r>
      <w:r>
        <w:rPr>
          <w:rFonts w:hint="eastAsia" w:cs="宋体" w:asciiTheme="minorEastAsia" w:hAnsiTheme="minorEastAsia" w:eastAsiaTheme="minorEastAsia"/>
          <w:b/>
          <w:bCs/>
          <w:color w:val="auto"/>
          <w:sz w:val="24"/>
          <w:szCs w:val="24"/>
          <w:highlight w:val="none"/>
        </w:rPr>
        <w:t>商务响应要求）</w:t>
      </w:r>
    </w:p>
    <w:p w14:paraId="4D470171">
      <w:pPr>
        <w:spacing w:line="360" w:lineRule="auto"/>
        <w:ind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.1</w:t>
      </w:r>
      <w:r>
        <w:rPr>
          <w:rFonts w:cs="宋体" w:asciiTheme="minorEastAsia" w:hAnsiTheme="minorEastAsia" w:eastAsiaTheme="minorEastAsia"/>
          <w:b/>
          <w:bCs/>
          <w:color w:val="auto"/>
          <w:sz w:val="24"/>
          <w:szCs w:val="24"/>
          <w:highlight w:val="none"/>
        </w:rPr>
        <w:t xml:space="preserve"> </w:t>
      </w:r>
      <w:r>
        <w:rPr>
          <w:rFonts w:hint="eastAsia" w:cs="宋体" w:asciiTheme="minorEastAsia" w:hAnsiTheme="minorEastAsia" w:eastAsiaTheme="minorEastAsia"/>
          <w:color w:val="auto"/>
          <w:sz w:val="24"/>
          <w:szCs w:val="24"/>
          <w:highlight w:val="none"/>
        </w:rPr>
        <w:t>投标人应尽可能地提供能证明其货物符合国家标准的相关证明文件（如权威部门对货物的鉴定证书、检测报告、安全、质量及环保认证等）。</w:t>
      </w:r>
    </w:p>
    <w:p w14:paraId="51B93C4E">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.2投标人应尽可能地提供与供货服务有关的质量管理体系认证、环境管理体系认证、职业健康安全管理体系认证、食品安全管理体系认证证书等。</w:t>
      </w:r>
    </w:p>
    <w:p w14:paraId="2779025F">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投标人应承诺2023年1月1日以来在国家市场监督管理总局关于食品安全抽查公布结果查询系统（https://spcjsac.gsxt.gov.cn/）的查询结果（按投标人名称查询）中未查询到不合格产品信息。</w:t>
      </w:r>
    </w:p>
    <w:p w14:paraId="4541E19F">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.4投标人应尽可能地提供2023年至今的企业信誉及财务状况等相关证明</w:t>
      </w:r>
      <w:r>
        <w:rPr>
          <w:rFonts w:hint="eastAsia" w:cs="宋体" w:asciiTheme="minorEastAsia" w:hAnsiTheme="minorEastAsia" w:eastAsiaTheme="minorEastAsia"/>
          <w:color w:val="auto"/>
          <w:sz w:val="24"/>
          <w:szCs w:val="24"/>
          <w:highlight w:val="none"/>
        </w:rPr>
        <w:t>材料的有效复印件。</w:t>
      </w:r>
    </w:p>
    <w:p w14:paraId="0E332C53">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.5投标人应尽可能地提供安全生产管理制度、食品卫生管理制度、食品安全管理制度、食品从业人员管理等制度。</w:t>
      </w:r>
    </w:p>
    <w:p w14:paraId="5B203078">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.6投标人应提供2023年至今（以合同签订时间为准）与所投合同包品目内容类似项目的经营业绩、经验</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lang w:eastAsia="zh-CN"/>
        </w:rPr>
        <w:t>用户满意度情况</w:t>
      </w:r>
      <w:r>
        <w:rPr>
          <w:rFonts w:cs="宋体" w:asciiTheme="minorEastAsia" w:hAnsiTheme="minorEastAsia" w:eastAsiaTheme="minorEastAsia"/>
          <w:color w:val="auto"/>
          <w:sz w:val="24"/>
          <w:szCs w:val="24"/>
          <w:highlight w:val="none"/>
        </w:rPr>
        <w:t>的有效证明文件，原件备查。</w:t>
      </w:r>
    </w:p>
    <w:p w14:paraId="37653232">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rPr>
        <w:t>.7投标人应承诺投标人及其分公司距本项目开标之日前五年内，未发生过食物中毒安全事故或因食品安全问题被行政处罚及公告。</w:t>
      </w:r>
    </w:p>
    <w:p w14:paraId="2997BD5F">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3</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8</w:t>
      </w:r>
      <w:r>
        <w:rPr>
          <w:rFonts w:cs="宋体" w:asciiTheme="minorEastAsia" w:hAnsiTheme="minorEastAsia" w:eastAsiaTheme="minorEastAsia"/>
          <w:color w:val="auto"/>
          <w:sz w:val="24"/>
          <w:szCs w:val="24"/>
          <w:highlight w:val="none"/>
        </w:rPr>
        <w:t>投标人须根据本项目的特点提供以下材料（包括但不限于）投标书、开标一览表、</w:t>
      </w:r>
      <w:r>
        <w:rPr>
          <w:rFonts w:hint="eastAsia" w:cs="宋体" w:asciiTheme="minorEastAsia" w:hAnsiTheme="minorEastAsia" w:eastAsiaTheme="minorEastAsia"/>
          <w:color w:val="auto"/>
          <w:sz w:val="24"/>
          <w:szCs w:val="24"/>
          <w:highlight w:val="none"/>
        </w:rPr>
        <w:t>资格证明材料、“★”号条款逐条响应情况表及承诺书、供货清单、供货方案及质量保证措施、技术规格和商务响应表、售后服务承诺等。</w:t>
      </w:r>
    </w:p>
    <w:p w14:paraId="4AC0476C">
      <w:pPr>
        <w:spacing w:line="360" w:lineRule="auto"/>
        <w:ind w:firstLine="482"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color w:val="auto"/>
          <w:sz w:val="24"/>
          <w:szCs w:val="24"/>
          <w:highlight w:val="none"/>
        </w:rPr>
        <w:t>以上证明文件均应加盖投标人公章。</w:t>
      </w:r>
    </w:p>
    <w:p w14:paraId="7637F236">
      <w:pPr>
        <w:keepNext w:val="0"/>
        <w:keepLines w:val="0"/>
        <w:spacing w:line="360" w:lineRule="auto"/>
        <w:ind w:firstLine="482" w:firstLineChars="200"/>
        <w:jc w:val="both"/>
        <w:outlineLvl w:val="9"/>
        <w:rPr>
          <w:rFonts w:cs="宋体" w:asciiTheme="minorEastAsia" w:hAnsiTheme="minorEastAsia" w:eastAsiaTheme="minorEastAsia"/>
          <w:b/>
          <w:color w:val="auto"/>
          <w:sz w:val="24"/>
          <w:szCs w:val="24"/>
          <w:highlight w:val="none"/>
        </w:rPr>
      </w:pPr>
      <w:r>
        <w:rPr>
          <w:rFonts w:cs="宋体" w:asciiTheme="minorEastAsia" w:hAnsiTheme="minorEastAsia" w:eastAsiaTheme="minorEastAsia"/>
          <w:b/>
          <w:color w:val="auto"/>
          <w:sz w:val="24"/>
          <w:szCs w:val="24"/>
          <w:highlight w:val="none"/>
        </w:rPr>
        <w:t>1</w:t>
      </w:r>
      <w:r>
        <w:rPr>
          <w:rFonts w:hint="eastAsia" w:cs="宋体" w:asciiTheme="minorEastAsia" w:hAnsiTheme="minorEastAsia" w:eastAsiaTheme="minorEastAsia"/>
          <w:b/>
          <w:color w:val="auto"/>
          <w:sz w:val="24"/>
          <w:szCs w:val="24"/>
          <w:highlight w:val="none"/>
          <w:lang w:val="en-US" w:eastAsia="zh-CN"/>
        </w:rPr>
        <w:t>4</w:t>
      </w:r>
      <w:r>
        <w:rPr>
          <w:rFonts w:hint="eastAsia" w:cs="宋体" w:asciiTheme="minorEastAsia" w:hAnsiTheme="minorEastAsia" w:eastAsiaTheme="minorEastAsia"/>
          <w:b/>
          <w:color w:val="auto"/>
          <w:sz w:val="24"/>
          <w:szCs w:val="24"/>
          <w:highlight w:val="none"/>
        </w:rPr>
        <w:t>.售后及增值服务</w:t>
      </w:r>
    </w:p>
    <w:p w14:paraId="53638EBB">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4</w:t>
      </w:r>
      <w:r>
        <w:rPr>
          <w:rFonts w:cs="宋体" w:asciiTheme="minorEastAsia" w:hAnsiTheme="minorEastAsia" w:eastAsiaTheme="minorEastAsia"/>
          <w:color w:val="auto"/>
          <w:sz w:val="24"/>
          <w:szCs w:val="24"/>
          <w:highlight w:val="none"/>
        </w:rPr>
        <w:t>.1投标人应在投标文件中提出详细具体的售后服务条款、保障措施，最少应响应以下内容：</w:t>
      </w:r>
    </w:p>
    <w:p w14:paraId="3233698F">
      <w:pPr>
        <w:spacing w:line="360" w:lineRule="auto"/>
        <w:ind w:left="0" w:leftChars="0" w:firstLine="480" w:firstLineChars="200"/>
        <w:rPr>
          <w:rFonts w:hint="eastAsia"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4</w:t>
      </w:r>
      <w:r>
        <w:rPr>
          <w:rFonts w:cs="宋体" w:asciiTheme="minorEastAsia" w:hAnsiTheme="minorEastAsia" w:eastAsiaTheme="minorEastAsia"/>
          <w:color w:val="auto"/>
          <w:sz w:val="24"/>
          <w:szCs w:val="24"/>
          <w:highlight w:val="none"/>
        </w:rPr>
        <w:t>.2售后服务严格按照国家消费者协会三包法规定执行。包括但不限于退换</w:t>
      </w:r>
      <w:r>
        <w:rPr>
          <w:rFonts w:hint="eastAsia" w:cs="宋体" w:asciiTheme="minorEastAsia" w:hAnsiTheme="minorEastAsia" w:eastAsiaTheme="minorEastAsia"/>
          <w:color w:val="auto"/>
          <w:sz w:val="24"/>
          <w:szCs w:val="24"/>
          <w:highlight w:val="none"/>
        </w:rPr>
        <w:t>货方案、对于不符合采购品质要求、不能通过验收的，采购人对食材品质存在疑虑等情形，在限定时间内免费退换、补齐等。</w:t>
      </w:r>
    </w:p>
    <w:p w14:paraId="19B9F523">
      <w:pPr>
        <w:spacing w:line="360" w:lineRule="auto"/>
        <w:ind w:left="0" w:leftChars="0"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.3投标人应承诺为本项目购买“食品安全责任险”。</w:t>
      </w:r>
    </w:p>
    <w:p w14:paraId="4044DFA4">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4</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4</w:t>
      </w:r>
      <w:r>
        <w:rPr>
          <w:rFonts w:cs="宋体" w:asciiTheme="minorEastAsia" w:hAnsiTheme="minorEastAsia" w:eastAsiaTheme="minorEastAsia"/>
          <w:color w:val="auto"/>
          <w:sz w:val="24"/>
          <w:szCs w:val="24"/>
          <w:highlight w:val="none"/>
        </w:rPr>
        <w:t>投标人应在投标文件中根据自身情况</w:t>
      </w:r>
      <w:r>
        <w:rPr>
          <w:rFonts w:hint="eastAsia" w:cs="宋体" w:asciiTheme="minorEastAsia" w:hAnsiTheme="minorEastAsia" w:eastAsiaTheme="minorEastAsia"/>
          <w:color w:val="auto"/>
          <w:sz w:val="24"/>
          <w:szCs w:val="24"/>
          <w:highlight w:val="none"/>
        </w:rPr>
        <w:t>，结合采购人职工需求等，设计增值服务方案、条款及承诺。</w:t>
      </w:r>
    </w:p>
    <w:p w14:paraId="7B1AE98E">
      <w:pPr>
        <w:spacing w:line="360" w:lineRule="auto"/>
        <w:ind w:left="0" w:leftChars="0" w:firstLine="480" w:firstLineChars="200"/>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val="en-US" w:eastAsia="zh-CN"/>
        </w:rPr>
        <w:t>4</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val="en-US" w:eastAsia="zh-CN"/>
        </w:rPr>
        <w:t>5</w:t>
      </w:r>
      <w:r>
        <w:rPr>
          <w:rFonts w:cs="宋体" w:asciiTheme="minorEastAsia" w:hAnsiTheme="minorEastAsia" w:eastAsiaTheme="minorEastAsia"/>
          <w:color w:val="auto"/>
          <w:sz w:val="24"/>
          <w:szCs w:val="24"/>
          <w:highlight w:val="none"/>
        </w:rPr>
        <w:t>投标人认为有利于采购人的其他优惠条款应单独列明。</w:t>
      </w:r>
    </w:p>
    <w:p w14:paraId="405A2A51">
      <w:pPr>
        <w:keepNext w:val="0"/>
        <w:keepLines w:val="0"/>
        <w:spacing w:line="360" w:lineRule="auto"/>
        <w:ind w:firstLine="482" w:firstLineChars="200"/>
        <w:jc w:val="both"/>
        <w:outlineLvl w:val="9"/>
        <w:rPr>
          <w:rFonts w:cs="宋体" w:asciiTheme="minorEastAsia" w:hAnsiTheme="minorEastAsia" w:eastAsiaTheme="minorEastAsia"/>
          <w:b/>
          <w:color w:val="auto"/>
          <w:sz w:val="24"/>
          <w:szCs w:val="24"/>
          <w:highlight w:val="none"/>
        </w:rPr>
      </w:pPr>
      <w:r>
        <w:rPr>
          <w:rFonts w:cs="宋体" w:asciiTheme="minorEastAsia" w:hAnsiTheme="minorEastAsia" w:eastAsiaTheme="minorEastAsia"/>
          <w:b/>
          <w:color w:val="auto"/>
          <w:sz w:val="24"/>
          <w:szCs w:val="24"/>
          <w:highlight w:val="none"/>
        </w:rPr>
        <w:t>1</w:t>
      </w:r>
      <w:r>
        <w:rPr>
          <w:rFonts w:hint="eastAsia" w:cs="宋体" w:asciiTheme="minorEastAsia" w:hAnsiTheme="minorEastAsia" w:eastAsiaTheme="minorEastAsia"/>
          <w:b/>
          <w:color w:val="auto"/>
          <w:sz w:val="24"/>
          <w:szCs w:val="24"/>
          <w:highlight w:val="none"/>
          <w:lang w:val="en-US" w:eastAsia="zh-CN"/>
        </w:rPr>
        <w:t>5</w:t>
      </w:r>
      <w:r>
        <w:rPr>
          <w:rFonts w:cs="宋体" w:asciiTheme="minorEastAsia" w:hAnsiTheme="minorEastAsia" w:eastAsiaTheme="minorEastAsia"/>
          <w:b/>
          <w:color w:val="auto"/>
          <w:sz w:val="24"/>
          <w:szCs w:val="24"/>
          <w:highlight w:val="none"/>
        </w:rPr>
        <w:t>.风险承担与责任认定机制</w:t>
      </w:r>
    </w:p>
    <w:p w14:paraId="676C390C">
      <w:pPr>
        <w:widowControl w:val="0"/>
        <w:spacing w:line="360" w:lineRule="auto"/>
        <w:ind w:firstLine="480" w:firstLineChars="200"/>
        <w:jc w:val="both"/>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lang w:val="en-US" w:eastAsia="zh-CN"/>
        </w:rPr>
        <w:t>5</w:t>
      </w:r>
      <w:r>
        <w:rPr>
          <w:rFonts w:cs="宋体" w:asciiTheme="minorEastAsia" w:hAnsiTheme="minorEastAsia" w:eastAsiaTheme="minorEastAsia"/>
          <w:color w:val="auto"/>
          <w:kern w:val="0"/>
          <w:sz w:val="24"/>
          <w:szCs w:val="24"/>
          <w:highlight w:val="none"/>
        </w:rPr>
        <w:t>.1中标人的服务人员与采购人不存在劳动关系，在为采购人服务期间发生的工伤风险、意外事故或作业安全问题引发的人身伤亡和财产损失，等赔偿责任及相关费用，解聘服务人员所需的经济补偿金等均由中标人自行承担。</w:t>
      </w:r>
    </w:p>
    <w:p w14:paraId="1325EEE5">
      <w:pPr>
        <w:widowControl w:val="0"/>
        <w:spacing w:line="360" w:lineRule="auto"/>
        <w:ind w:firstLine="480" w:firstLineChars="200"/>
        <w:jc w:val="both"/>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lang w:val="en-US" w:eastAsia="zh-CN"/>
        </w:rPr>
        <w:t>5</w:t>
      </w:r>
      <w:r>
        <w:rPr>
          <w:rFonts w:cs="宋体" w:asciiTheme="minorEastAsia" w:hAnsiTheme="minorEastAsia" w:eastAsiaTheme="minorEastAsia"/>
          <w:color w:val="auto"/>
          <w:kern w:val="0"/>
          <w:sz w:val="24"/>
          <w:szCs w:val="24"/>
          <w:highlight w:val="none"/>
        </w:rPr>
        <w:t>.2治安事件的责任认定，以公安部门裁定为准；</w:t>
      </w:r>
      <w:r>
        <w:rPr>
          <w:rFonts w:hint="eastAsia" w:cs="宋体" w:asciiTheme="minorEastAsia" w:hAnsiTheme="minorEastAsia" w:eastAsiaTheme="minorEastAsia"/>
          <w:color w:val="auto"/>
          <w:kern w:val="0"/>
          <w:sz w:val="24"/>
          <w:szCs w:val="24"/>
          <w:highlight w:val="none"/>
        </w:rPr>
        <w:t>非治安事件的责任认定，由双方协商，协商不成的，以诉讼方式认定。</w:t>
      </w:r>
    </w:p>
    <w:p w14:paraId="52859840">
      <w:pPr>
        <w:spacing w:line="360" w:lineRule="auto"/>
        <w:ind w:left="0"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以上要求投标人应提供</w:t>
      </w:r>
      <w:r>
        <w:rPr>
          <w:rFonts w:hint="eastAsia" w:ascii="宋体" w:hAnsi="宋体" w:cs="宋体"/>
          <w:b/>
          <w:bCs/>
          <w:color w:val="auto"/>
          <w:sz w:val="24"/>
          <w:szCs w:val="24"/>
          <w:highlight w:val="none"/>
        </w:rPr>
        <w:t>证明材料</w:t>
      </w:r>
      <w:r>
        <w:rPr>
          <w:rFonts w:hint="eastAsia" w:cs="宋体" w:asciiTheme="minorEastAsia" w:hAnsiTheme="minorEastAsia" w:eastAsiaTheme="minorEastAsia"/>
          <w:b/>
          <w:bCs/>
          <w:color w:val="auto"/>
          <w:sz w:val="24"/>
          <w:szCs w:val="24"/>
          <w:highlight w:val="none"/>
        </w:rPr>
        <w:t>，并加盖投标人公章。</w:t>
      </w:r>
    </w:p>
    <w:p w14:paraId="6637AA28">
      <w:pPr>
        <w:keepNext w:val="0"/>
        <w:keepLines w:val="0"/>
        <w:spacing w:line="360" w:lineRule="auto"/>
        <w:ind w:firstLine="482" w:firstLineChars="200"/>
        <w:jc w:val="both"/>
        <w:outlineLvl w:val="9"/>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lang w:eastAsia="zh-CN"/>
        </w:rPr>
        <w:t>1</w:t>
      </w:r>
      <w:r>
        <w:rPr>
          <w:rFonts w:hint="eastAsia" w:cs="宋体" w:asciiTheme="minorEastAsia" w:hAnsiTheme="minorEastAsia" w:eastAsiaTheme="minorEastAsia"/>
          <w:b/>
          <w:color w:val="auto"/>
          <w:sz w:val="24"/>
          <w:szCs w:val="24"/>
          <w:highlight w:val="none"/>
          <w:lang w:val="en-US" w:eastAsia="zh-CN"/>
        </w:rPr>
        <w:t>6</w:t>
      </w:r>
      <w:r>
        <w:rPr>
          <w:rFonts w:cs="宋体" w:asciiTheme="minorEastAsia" w:hAnsiTheme="minorEastAsia" w:eastAsiaTheme="minorEastAsia"/>
          <w:b/>
          <w:color w:val="auto"/>
          <w:sz w:val="24"/>
          <w:szCs w:val="24"/>
          <w:highlight w:val="none"/>
        </w:rPr>
        <w:t>.投标报价</w:t>
      </w:r>
    </w:p>
    <w:p w14:paraId="0B918624">
      <w:pPr>
        <w:widowControl w:val="0"/>
        <w:spacing w:line="360" w:lineRule="auto"/>
        <w:ind w:firstLine="480" w:firstLineChars="200"/>
        <w:jc w:val="both"/>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eastAsia="zh-CN"/>
        </w:rPr>
        <w:t>1</w:t>
      </w:r>
      <w:r>
        <w:rPr>
          <w:rFonts w:hint="eastAsia" w:cs="宋体" w:asciiTheme="minorEastAsia" w:hAnsiTheme="minorEastAsia" w:eastAsiaTheme="minorEastAsia"/>
          <w:color w:val="auto"/>
          <w:kern w:val="0"/>
          <w:sz w:val="24"/>
          <w:szCs w:val="24"/>
          <w:highlight w:val="none"/>
          <w:lang w:val="en-US" w:eastAsia="zh-CN"/>
        </w:rPr>
        <w:t>6</w:t>
      </w:r>
      <w:r>
        <w:rPr>
          <w:rFonts w:cs="宋体" w:asciiTheme="minorEastAsia" w:hAnsiTheme="minorEastAsia" w:eastAsiaTheme="minorEastAsia"/>
          <w:color w:val="auto"/>
          <w:kern w:val="0"/>
          <w:sz w:val="24"/>
          <w:szCs w:val="24"/>
          <w:highlight w:val="none"/>
        </w:rPr>
        <w:t>.1投标报价为货物送达采购人指定地点，经采购人验收合格并交货完毕所有可能发生的费用，包括但不限于：</w:t>
      </w:r>
      <w:r>
        <w:rPr>
          <w:rFonts w:hint="eastAsia" w:cs="宋体" w:asciiTheme="minorEastAsia" w:hAnsiTheme="minorEastAsia" w:eastAsiaTheme="minorEastAsia"/>
          <w:color w:val="auto"/>
          <w:kern w:val="0"/>
          <w:sz w:val="24"/>
          <w:szCs w:val="24"/>
          <w:highlight w:val="none"/>
        </w:rPr>
        <w:t>食材费用、人工、材料、损耗、生产、检验检疫、运输、搬运、管理、保险、利润、包装、加工、设备折旧费、检测费、各种税费、售后服务、免费按时退换货服务、招标代理服务费等费用。如有遗漏，投标人应予补充，否则，一旦中标将认为投标人认同遗漏部分并免费提供。</w:t>
      </w:r>
    </w:p>
    <w:p w14:paraId="54E62848">
      <w:pPr>
        <w:widowControl w:val="0"/>
        <w:spacing w:line="360" w:lineRule="auto"/>
        <w:ind w:firstLine="480" w:firstLineChars="200"/>
        <w:jc w:val="both"/>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eastAsia="zh-CN"/>
        </w:rPr>
        <w:t>1</w:t>
      </w:r>
      <w:r>
        <w:rPr>
          <w:rFonts w:hint="eastAsia" w:cs="宋体" w:asciiTheme="minorEastAsia" w:hAnsiTheme="minorEastAsia" w:eastAsiaTheme="minorEastAsia"/>
          <w:color w:val="auto"/>
          <w:kern w:val="0"/>
          <w:sz w:val="24"/>
          <w:szCs w:val="24"/>
          <w:highlight w:val="none"/>
          <w:lang w:val="en-US" w:eastAsia="zh-CN"/>
        </w:rPr>
        <w:t>6</w:t>
      </w:r>
      <w:r>
        <w:rPr>
          <w:rFonts w:cs="宋体" w:asciiTheme="minorEastAsia" w:hAnsiTheme="minorEastAsia" w:eastAsiaTheme="minorEastAsia"/>
          <w:color w:val="auto"/>
          <w:kern w:val="0"/>
          <w:sz w:val="24"/>
          <w:szCs w:val="24"/>
          <w:highlight w:val="none"/>
        </w:rPr>
        <w:t>.2本次投标报价统一采用收费比例方式报价，如中标，该收费比例即为中标收费比例，将作为签署合同时的计价依据。</w:t>
      </w:r>
    </w:p>
    <w:p w14:paraId="72C2B5E1">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eastAsia="zh-CN"/>
        </w:rPr>
        <w:t>1</w:t>
      </w:r>
      <w:r>
        <w:rPr>
          <w:rFonts w:hint="eastAsia" w:ascii="宋体" w:hAnsi="宋体" w:cs="宋体"/>
          <w:b/>
          <w:bCs/>
          <w:color w:val="auto"/>
          <w:sz w:val="24"/>
          <w:szCs w:val="32"/>
          <w:highlight w:val="none"/>
          <w:lang w:val="en-US" w:eastAsia="zh-CN"/>
        </w:rPr>
        <w:t>6</w:t>
      </w:r>
      <w:r>
        <w:rPr>
          <w:rFonts w:hint="eastAsia" w:ascii="宋体" w:hAnsi="宋体" w:cs="宋体"/>
          <w:b/>
          <w:bCs/>
          <w:color w:val="auto"/>
          <w:sz w:val="24"/>
          <w:szCs w:val="32"/>
          <w:highlight w:val="none"/>
        </w:rPr>
        <w:t>.3基准价的确定方式：每月确定一次，即每月25日确定次月价格。投标人在市场调查价格的基础上进行报价，选择大型商超（朴朴、永辉、沃尔玛、天虹、大润发、麦德龙、夏商等）任选2-3家平均价作为基准价参考依据，以同类、同质商品的价格作为当期基准价，并提供商品价格调查截图。若在大型商超中无法找到相应的商品，则由双方根据市场行情确定基准价。采购人定期到大型商超（线上或线下）或农贸市场询价，监督审核每个周期的基准价。中标人的供货价格=该周期的基准价×中标收费比例。合同期限内，中标收费比例不再调整，投标人应自行核算项目正常、合法运作及使用所可能发生的一切费用。合同报价应包含产品价款、储存、途中运输装卸费、损耗费、人工费、保险及其它服务、税费等一切费用。投标人必须在投标文件中提供书面承诺接受以上条款。</w:t>
      </w:r>
    </w:p>
    <w:p w14:paraId="6044B4C1">
      <w:pPr>
        <w:widowControl w:val="0"/>
        <w:spacing w:line="360" w:lineRule="auto"/>
        <w:ind w:firstLine="480" w:firstLineChars="200"/>
        <w:jc w:val="both"/>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eastAsia="zh-CN"/>
        </w:rPr>
        <w:t>1</w:t>
      </w:r>
      <w:r>
        <w:rPr>
          <w:rFonts w:hint="eastAsia" w:cs="宋体" w:asciiTheme="minorEastAsia" w:hAnsiTheme="minorEastAsia" w:eastAsiaTheme="minorEastAsia"/>
          <w:color w:val="auto"/>
          <w:kern w:val="0"/>
          <w:sz w:val="24"/>
          <w:szCs w:val="24"/>
          <w:highlight w:val="none"/>
          <w:lang w:val="en-US" w:eastAsia="zh-CN"/>
        </w:rPr>
        <w:t>6</w:t>
      </w:r>
      <w:r>
        <w:rPr>
          <w:rFonts w:cs="宋体" w:asciiTheme="minorEastAsia" w:hAnsiTheme="minorEastAsia" w:eastAsiaTheme="minorEastAsia"/>
          <w:color w:val="auto"/>
          <w:kern w:val="0"/>
          <w:sz w:val="24"/>
          <w:szCs w:val="24"/>
          <w:highlight w:val="none"/>
        </w:rPr>
        <w:t>.4投标人对本项目只能有一个报价，采购人不接受有选择的报价。</w:t>
      </w:r>
    </w:p>
    <w:p w14:paraId="729C7DB5">
      <w:pPr>
        <w:widowControl w:val="0"/>
        <w:spacing w:line="360" w:lineRule="auto"/>
        <w:ind w:firstLine="482" w:firstLineChars="200"/>
        <w:jc w:val="both"/>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iCs/>
          <w:color w:val="auto"/>
          <w:sz w:val="24"/>
          <w:szCs w:val="24"/>
          <w:highlight w:val="none"/>
        </w:rPr>
        <w:t>★</w:t>
      </w:r>
      <w:r>
        <w:rPr>
          <w:rFonts w:hint="eastAsia" w:cs="宋体" w:asciiTheme="minorEastAsia" w:hAnsiTheme="minorEastAsia" w:eastAsiaTheme="minorEastAsia"/>
          <w:b/>
          <w:bCs/>
          <w:iCs/>
          <w:color w:val="auto"/>
          <w:sz w:val="24"/>
          <w:szCs w:val="24"/>
          <w:highlight w:val="none"/>
          <w:lang w:eastAsia="zh-CN"/>
        </w:rPr>
        <w:t>1</w:t>
      </w:r>
      <w:r>
        <w:rPr>
          <w:rFonts w:hint="eastAsia" w:cs="宋体" w:asciiTheme="minorEastAsia" w:hAnsiTheme="minorEastAsia" w:eastAsiaTheme="minorEastAsia"/>
          <w:b/>
          <w:bCs/>
          <w:iCs/>
          <w:color w:val="auto"/>
          <w:sz w:val="24"/>
          <w:szCs w:val="24"/>
          <w:highlight w:val="none"/>
          <w:lang w:val="en-US" w:eastAsia="zh-CN"/>
        </w:rPr>
        <w:t>6</w:t>
      </w:r>
      <w:r>
        <w:rPr>
          <w:rFonts w:hint="eastAsia" w:cs="宋体" w:asciiTheme="minorEastAsia" w:hAnsiTheme="minorEastAsia" w:eastAsiaTheme="minorEastAsia"/>
          <w:b/>
          <w:bCs/>
          <w:iCs/>
          <w:color w:val="auto"/>
          <w:sz w:val="24"/>
          <w:szCs w:val="24"/>
          <w:highlight w:val="none"/>
        </w:rPr>
        <w:t>.5本项目最高限价为100%，投标人的投标报价（即投标收费比例）不得高于100%，否则视为无效投标。</w:t>
      </w:r>
    </w:p>
    <w:p w14:paraId="23253780">
      <w:pPr>
        <w:widowControl w:val="0"/>
        <w:spacing w:line="360" w:lineRule="auto"/>
        <w:ind w:firstLine="480" w:firstLineChars="200"/>
        <w:jc w:val="both"/>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eastAsia="zh-CN"/>
        </w:rPr>
        <w:t>1</w:t>
      </w:r>
      <w:r>
        <w:rPr>
          <w:rFonts w:hint="eastAsia" w:cs="宋体" w:asciiTheme="minorEastAsia" w:hAnsiTheme="minorEastAsia" w:eastAsiaTheme="minorEastAsia"/>
          <w:color w:val="auto"/>
          <w:kern w:val="0"/>
          <w:sz w:val="24"/>
          <w:szCs w:val="24"/>
          <w:highlight w:val="none"/>
          <w:lang w:val="en-US" w:eastAsia="zh-CN"/>
        </w:rPr>
        <w:t>6</w:t>
      </w:r>
      <w:r>
        <w:rPr>
          <w:rFonts w:cs="宋体" w:asciiTheme="minorEastAsia" w:hAnsiTheme="minorEastAsia" w:eastAsiaTheme="minorEastAsia"/>
          <w:color w:val="auto"/>
          <w:kern w:val="0"/>
          <w:sz w:val="24"/>
          <w:szCs w:val="24"/>
          <w:highlight w:val="none"/>
        </w:rPr>
        <w:t>.6本次采购项目为整体采购</w:t>
      </w:r>
      <w:r>
        <w:rPr>
          <w:rFonts w:hint="eastAsia" w:cs="宋体" w:asciiTheme="minorEastAsia" w:hAnsiTheme="minorEastAsia" w:eastAsiaTheme="minorEastAsia"/>
          <w:color w:val="auto"/>
          <w:kern w:val="0"/>
          <w:sz w:val="24"/>
          <w:szCs w:val="24"/>
          <w:highlight w:val="none"/>
        </w:rPr>
        <w:t>，投标人应对项目合同包内的所有子项内容进行投标、不得拆分。</w:t>
      </w:r>
    </w:p>
    <w:p w14:paraId="57EDC4C3">
      <w:pPr>
        <w:spacing w:line="560" w:lineRule="exact"/>
        <w:jc w:val="left"/>
        <w:rPr>
          <w:rFonts w:ascii="宋体" w:hAnsi="宋体" w:cs="宋体"/>
          <w:color w:val="auto"/>
          <w:sz w:val="24"/>
          <w:szCs w:val="24"/>
          <w:highlight w:val="none"/>
        </w:rPr>
      </w:pPr>
    </w:p>
    <w:p w14:paraId="024FE827">
      <w:pPr>
        <w:pStyle w:val="3"/>
        <w:spacing w:before="0" w:after="0" w:line="360" w:lineRule="auto"/>
        <w:ind w:firstLine="482" w:firstLineChars="200"/>
        <w:rPr>
          <w:rFonts w:cs="宋体" w:asciiTheme="minorEastAsia" w:hAnsiTheme="minorEastAsia" w:eastAsiaTheme="minorEastAsia"/>
          <w:color w:val="auto"/>
          <w:sz w:val="24"/>
          <w:szCs w:val="24"/>
          <w:highlight w:val="none"/>
        </w:rPr>
      </w:pPr>
      <w:bookmarkStart w:id="113" w:name="_Toc2048"/>
      <w:r>
        <w:rPr>
          <w:rFonts w:hint="eastAsia" w:cs="宋体" w:asciiTheme="minorEastAsia" w:hAnsiTheme="minorEastAsia" w:eastAsiaTheme="minorEastAsia"/>
          <w:iCs/>
          <w:color w:val="auto"/>
          <w:sz w:val="24"/>
          <w:szCs w:val="24"/>
          <w:highlight w:val="none"/>
        </w:rPr>
        <w:t>合同包三：</w:t>
      </w:r>
      <w:r>
        <w:rPr>
          <w:rFonts w:hint="eastAsia" w:cs="宋体" w:asciiTheme="minorEastAsia" w:hAnsiTheme="minorEastAsia" w:eastAsiaTheme="minorEastAsia"/>
          <w:color w:val="auto"/>
          <w:sz w:val="24"/>
          <w:szCs w:val="24"/>
          <w:highlight w:val="none"/>
        </w:rPr>
        <w:t>蔬菜水果类食品</w:t>
      </w:r>
      <w:bookmarkEnd w:id="113"/>
    </w:p>
    <w:p w14:paraId="1A336BAC">
      <w:pPr>
        <w:pStyle w:val="4"/>
        <w:spacing w:before="0" w:after="0" w:line="360" w:lineRule="auto"/>
        <w:ind w:firstLine="482" w:firstLineChars="200"/>
        <w:rPr>
          <w:rFonts w:ascii="宋体" w:hAnsi="宋体" w:cs="宋体"/>
          <w:color w:val="auto"/>
          <w:sz w:val="24"/>
          <w:szCs w:val="24"/>
          <w:highlight w:val="none"/>
        </w:rPr>
      </w:pPr>
      <w:bookmarkStart w:id="114" w:name="_Toc3312"/>
      <w:r>
        <w:rPr>
          <w:rFonts w:hint="eastAsia" w:ascii="宋体" w:hAnsi="宋体" w:cs="宋体"/>
          <w:color w:val="auto"/>
          <w:sz w:val="24"/>
          <w:szCs w:val="24"/>
          <w:highlight w:val="none"/>
        </w:rPr>
        <w:t>（1）技术要求</w:t>
      </w:r>
      <w:bookmarkEnd w:id="114"/>
    </w:p>
    <w:p w14:paraId="132A501C">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投标人应承诺所供应的食品均符合《中华人民共和国农产品质量安全法》《中华人民共和国食品安全法》《中华人民共和国动物防疫法》等相关规定及地方的相关法律法规要求，并在供货时提供第三方检测机构出具的具有CMA或CNAS标志的检测报告或合格证等证明材料复印件。</w:t>
      </w:r>
    </w:p>
    <w:p w14:paraId="0EF1D302">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★2.投标人需承诺于供货时提供当日厦门市食品上市凭证。</w:t>
      </w:r>
    </w:p>
    <w:p w14:paraId="5B52CF5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3.生鲜蔬菜品质损坏率不得超过5%。</w:t>
      </w:r>
    </w:p>
    <w:p w14:paraId="665EDC1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4.采购人自行随机抽查产品后书面通知中标人，中标人每周需提供已盖章（供应商公章）的采购人抽查到的产品的农药残留检测数据复印件。</w:t>
      </w:r>
    </w:p>
    <w:p w14:paraId="14D57B1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5.食材运输方式必须符合国家对食材运输的标准要求。</w:t>
      </w:r>
    </w:p>
    <w:p w14:paraId="4E23E022">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★6.投标人应承诺所有商品均为正规渠道进货，投标人需在投标文件中单独提供书面承诺。</w:t>
      </w:r>
    </w:p>
    <w:p w14:paraId="3EB62CC6">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7.食材要求</w:t>
      </w:r>
    </w:p>
    <w:p w14:paraId="06F12762">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蔬菜类</w:t>
      </w:r>
    </w:p>
    <w:p w14:paraId="02C1092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蔬菜必须是当季各类新鲜蔬菜以及大棚种植蔬菜，蔬菜须确保新鲜、青嫩、干净、无虫、无杂质、无杂草、无泥土、无枯叶、无黄叶、无老叶、无浸水泡水或注水。须48小时内采摘供应，原菜须保证菜面干净、无明显泥土、码放整齐、无破损、大小基本统一、不得过熟或欠熟；净菜须保证菜面完全干净、无泥土、按统一标准加工、码放整齐、无须二次处理可以直接进行熟加工。净菜率不得低于95%，不得含有残留农药或污染物，须提供合格蔬菜农药残留检测报告。</w:t>
      </w:r>
    </w:p>
    <w:p w14:paraId="2F60F27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新鲜是指各类蔬菜无腐烂、变质、无臭水伤味、无糟软状态，尤其是黄、绿豆芽、鲜菌类应保持应有的新鲜度。</w:t>
      </w:r>
    </w:p>
    <w:p w14:paraId="4EAD9F6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青嫩是指绝大多数蔬菜（除冬瓜、南瓜等外）不但青而且嫩；豆角类及葫芦瓜等要保持青色，外壳不能呈白色；茄子紫色，其浅色部分不能超过每根茄子长度的五分之一；青菜类和白菜类的外叶折断时不能有丝相连不断连的现象；苦瓜、丝瓜等折而易断，籽嫩而不硬；鲜蒜叶子不黄，头部与杆部一般大小相同。</w:t>
      </w:r>
    </w:p>
    <w:p w14:paraId="28623EFA">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干净、无杂质、无杂草、无泥土泛指各类蔬菜，特别是根（块）茎类的蔬菜不能有泥巴，鲜蒜、香葱、香菜、洋葱等的根部要干净。</w:t>
      </w:r>
    </w:p>
    <w:p w14:paraId="463CC928">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无枯叶、无黄叶、无老叶主要指青菜、白菜类要见白，不能有老叶，花菜不能有青杆，鲜蒜、香葱的杆部应该见白。</w:t>
      </w:r>
    </w:p>
    <w:p w14:paraId="0AA22B4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无浸水、泡水或注水主要指白菜类（含花菜）、瓜果类、鲜菌类及根（块）茎类蔬菜不能浸水、泡水或注水。</w:t>
      </w:r>
    </w:p>
    <w:p w14:paraId="171BA7A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.1.7</w:t>
      </w:r>
      <w:r>
        <w:rPr>
          <w:rFonts w:hint="eastAsia" w:ascii="宋体" w:hAnsi="宋体" w:cs="宋体"/>
          <w:color w:val="auto"/>
          <w:kern w:val="0"/>
          <w:sz w:val="24"/>
          <w:szCs w:val="24"/>
          <w:highlight w:val="none"/>
        </w:rPr>
        <w:t>带叶子的蔬菜（如大白菜、包菜、天津白等），要求没有烂叶、黄叶、叶片不全、坏菜心等。叶面光泽，外观整齐、无折断或碎物。闻其味，正常为泥土味，蔬菜味香，若有刺鼻的异味、农药味、腐烂味等，则为不合格。</w:t>
      </w:r>
    </w:p>
    <w:p w14:paraId="148E799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.1.8</w:t>
      </w:r>
      <w:r>
        <w:rPr>
          <w:rFonts w:hint="eastAsia" w:ascii="宋体" w:hAnsi="宋体" w:cs="宋体"/>
          <w:color w:val="auto"/>
          <w:kern w:val="0"/>
          <w:sz w:val="24"/>
          <w:szCs w:val="24"/>
          <w:highlight w:val="none"/>
        </w:rPr>
        <w:t>瓜果类蔬菜（白萝卜、冬瓜、南瓜、茄子等），果面光泽，看是否有明显的腐烂状。瓜果外观整齐、无折断或碎物。果肉结构为多水、色鲜、有光泽，如果果肉结构水少，有霉变、黑心、木渣等情形，则为不合格。</w:t>
      </w:r>
    </w:p>
    <w:p w14:paraId="3D9D22AD">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水果类：当季各类水果，须48小时内采摘供应</w:t>
      </w:r>
    </w:p>
    <w:p w14:paraId="6F7F0C8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.1果形完整、未软化、新鲜；每个果实重量在100至150克左右，大小基本统一；</w:t>
      </w:r>
    </w:p>
    <w:p w14:paraId="26B0139F">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外形完好，无影响消费的腐烂变质；</w:t>
      </w:r>
    </w:p>
    <w:p w14:paraId="63C6F54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清洁，基本不含可见异物；无坏死斑块；无明显的机械伤；基本无虫害；无冷害；无异常的外部水分，但冷藏取出后的冷凝水除外；</w:t>
      </w:r>
    </w:p>
    <w:p w14:paraId="30E02D2E">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无异常气味和味道，发育充分，达到适当的成熟度，不得过熟或欠熟。</w:t>
      </w:r>
    </w:p>
    <w:p w14:paraId="48BAB888">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8.配送要求</w:t>
      </w:r>
    </w:p>
    <w:p w14:paraId="0FF15533">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w:t>
      </w:r>
      <w:r>
        <w:rPr>
          <w:rFonts w:ascii="宋体" w:hAnsi="宋体" w:cs="宋体"/>
          <w:b/>
          <w:bCs/>
          <w:color w:val="auto"/>
          <w:kern w:val="0"/>
          <w:sz w:val="24"/>
          <w:szCs w:val="24"/>
          <w:highlight w:val="none"/>
        </w:rPr>
        <w:t>.</w:t>
      </w:r>
      <w:r>
        <w:rPr>
          <w:rFonts w:hint="default" w:ascii="宋体" w:hAnsi="宋体" w:cs="宋体"/>
          <w:b/>
          <w:bCs/>
          <w:color w:val="auto"/>
          <w:kern w:val="0"/>
          <w:sz w:val="24"/>
          <w:szCs w:val="24"/>
          <w:highlight w:val="none"/>
          <w:lang w:val="en-US"/>
        </w:rPr>
        <w:t>1</w:t>
      </w:r>
      <w:r>
        <w:rPr>
          <w:rFonts w:hint="eastAsia" w:ascii="宋体" w:hAnsi="宋体" w:cs="宋体"/>
          <w:b/>
          <w:bCs/>
          <w:color w:val="auto"/>
          <w:kern w:val="0"/>
          <w:sz w:val="24"/>
          <w:szCs w:val="24"/>
          <w:highlight w:val="none"/>
        </w:rPr>
        <w:t>投标人必须承诺保证日常配送供应的食品类商品没有污染、变质、变型、过期等现象，产品符合各类食品卫生标准，符合《中华人民共和国食品安全法》及相关质量法规的规定。</w:t>
      </w:r>
    </w:p>
    <w:p w14:paraId="4EA63706">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按照采购人订单、地点等要求送货，并根据采购人营业需要，能每天及时补货。</w:t>
      </w:r>
    </w:p>
    <w:p w14:paraId="4D5EAB4E">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中标人应按照采购人的通知要求于每天上午6:30前送到职工食堂指定地点。所送食材应足重足量。投标人接到采购人订单后应仔细核对货源情况，对无法按时供应的商品必须第一时间通知采购人。</w:t>
      </w:r>
    </w:p>
    <w:p w14:paraId="13E3D979">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如需应急补货，投标人必须在3小时内送达采购人指定的地点。</w:t>
      </w:r>
    </w:p>
    <w:p w14:paraId="13281295">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采购人于每日20时（北京时间）前以电话或书面形式向中标人报第二日的采购清单，清单内容含品名、单位、数量及有关特别说明或要求。</w:t>
      </w:r>
    </w:p>
    <w:p w14:paraId="67A7CA2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采购人对每日配送的食材数（质）量进行检查验收，验收合格后在配送清单上签名，并当场在《采购情况登记本》登记每日采购详实情况，送货人和验收人双方签字作为评估和检查的依据。</w:t>
      </w:r>
    </w:p>
    <w:p w14:paraId="5A003452">
      <w:pPr>
        <w:widowControl/>
        <w:spacing w:line="360" w:lineRule="auto"/>
        <w:ind w:firstLine="48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★8</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投标人所配送商品质量等不符合采购人要求须进行退换处理的，投标人应立即协调各部门进行处理，且须在采购人要求的时间内补齐，不得由此延误采购人的供餐时间。由此产生的一切费用由投标人承担。</w:t>
      </w:r>
    </w:p>
    <w:p w14:paraId="2A66917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投标人应有固定的食材配送场所并有专业、稳定的配送团队和专业的运输工具。</w:t>
      </w:r>
    </w:p>
    <w:p w14:paraId="6C8FDA8E">
      <w:pPr>
        <w:widowControl/>
        <w:spacing w:line="360" w:lineRule="auto"/>
        <w:ind w:firstLine="48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w:t>
      </w:r>
      <w:r>
        <w:rPr>
          <w:rFonts w:hint="eastAsia" w:ascii="宋体" w:hAnsi="宋体" w:cs="宋体"/>
          <w:color w:val="auto"/>
          <w:kern w:val="0"/>
          <w:sz w:val="24"/>
          <w:szCs w:val="24"/>
          <w:highlight w:val="none"/>
          <w:lang w:val="en-US" w:eastAsia="zh-CN"/>
        </w:rPr>
        <w:t>9投标人应承诺按规定进行食材留样，将留样食材冷藏保存四十八小时以上，以备追索与查验。</w:t>
      </w:r>
    </w:p>
    <w:p w14:paraId="4145E36D">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8.10</w:t>
      </w:r>
      <w:r>
        <w:rPr>
          <w:rFonts w:hint="eastAsia" w:asciiTheme="minorEastAsia" w:hAnsiTheme="minorEastAsia" w:eastAsiaTheme="minorEastAsia" w:cstheme="minorEastAsia"/>
          <w:color w:val="auto"/>
          <w:sz w:val="24"/>
          <w:szCs w:val="24"/>
          <w:highlight w:val="none"/>
        </w:rPr>
        <w:t>投标人应承诺为本项目制定每日生鲜产品抽检计划，将高风险农药残留、食品重金属、甲醛等非法添加物纳入检测，在实施过程中，提供并保留至少3个月的自检报告或第三方检测机构出具的报告复印件，以备查验。</w:t>
      </w:r>
      <w:r>
        <w:rPr>
          <w:rFonts w:hint="eastAsia" w:ascii="宋体" w:hAnsi="宋体" w:cs="宋体"/>
          <w:color w:val="auto"/>
          <w:kern w:val="0"/>
          <w:sz w:val="24"/>
          <w:szCs w:val="24"/>
          <w:highlight w:val="none"/>
        </w:rPr>
        <w:t>投标人需针对以上内容提供书面承诺（格式自拟）。</w:t>
      </w:r>
    </w:p>
    <w:p w14:paraId="687C163B">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9.包装标准及数量、质量要求、费用负担</w:t>
      </w:r>
    </w:p>
    <w:p w14:paraId="75C64924">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9.1</w:t>
      </w:r>
      <w:r>
        <w:rPr>
          <w:rFonts w:hint="eastAsia" w:ascii="宋体" w:hAnsi="宋体" w:cs="宋体"/>
          <w:color w:val="auto"/>
          <w:kern w:val="0"/>
          <w:sz w:val="24"/>
          <w:szCs w:val="24"/>
          <w:highlight w:val="none"/>
        </w:rPr>
        <w:t>配送食材要求以专业标准保护措施进行包装，保证安全无损。包装费用由中标人承担。</w:t>
      </w:r>
    </w:p>
    <w:p w14:paraId="75832E00">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9.2</w:t>
      </w:r>
      <w:r>
        <w:rPr>
          <w:rFonts w:hint="eastAsia" w:ascii="宋体" w:hAnsi="宋体" w:cs="宋体"/>
          <w:color w:val="auto"/>
          <w:kern w:val="0"/>
          <w:sz w:val="24"/>
          <w:szCs w:val="24"/>
          <w:highlight w:val="none"/>
        </w:rPr>
        <w:t>货物数量、质量由采购人现场清点验收，在验收过程中如发现数量或质量问题，由中标人负责退换及处理。</w:t>
      </w:r>
    </w:p>
    <w:p w14:paraId="239192C0">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9.3</w:t>
      </w:r>
      <w:r>
        <w:rPr>
          <w:rFonts w:hint="eastAsia" w:ascii="宋体" w:hAnsi="宋体" w:cs="宋体"/>
          <w:color w:val="auto"/>
          <w:kern w:val="0"/>
          <w:sz w:val="24"/>
          <w:szCs w:val="24"/>
          <w:highlight w:val="none"/>
        </w:rPr>
        <w:t>投标人必须对所提供的食材提供质量保证。</w:t>
      </w:r>
    </w:p>
    <w:p w14:paraId="4D81FE2A">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9.4</w:t>
      </w:r>
      <w:r>
        <w:rPr>
          <w:rFonts w:hint="eastAsia" w:ascii="宋体" w:hAnsi="宋体" w:cs="宋体"/>
          <w:color w:val="auto"/>
          <w:kern w:val="0"/>
          <w:sz w:val="24"/>
          <w:szCs w:val="24"/>
          <w:highlight w:val="none"/>
        </w:rPr>
        <w:t>中标人所提供的食材，因产品质量或与要求不符，采购人提出退换的，中标人必须免费提供包换、包退服务。</w:t>
      </w:r>
    </w:p>
    <w:p w14:paraId="7F2F93F8">
      <w:pPr>
        <w:widowControl/>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9.5</w:t>
      </w:r>
      <w:r>
        <w:rPr>
          <w:rFonts w:hint="eastAsia" w:ascii="宋体" w:hAnsi="宋体" w:cs="宋体"/>
          <w:color w:val="auto"/>
          <w:kern w:val="0"/>
          <w:sz w:val="24"/>
          <w:szCs w:val="24"/>
          <w:highlight w:val="none"/>
        </w:rPr>
        <w:t>中标人所提供的食材存在问题的，中标人必须在60分钟内及时更换食材且不得因此而影响采购人的供餐时间。</w:t>
      </w:r>
    </w:p>
    <w:p w14:paraId="7AC31EA9">
      <w:pPr>
        <w:widowControl/>
        <w:spacing w:line="360" w:lineRule="auto"/>
        <w:ind w:firstLine="480"/>
        <w:jc w:val="left"/>
        <w:rPr>
          <w:rFonts w:hint="eastAsia" w:ascii="宋体" w:hAnsi="宋体" w:cs="宋体"/>
          <w:color w:val="auto"/>
          <w:kern w:val="0"/>
          <w:sz w:val="24"/>
          <w:szCs w:val="24"/>
          <w:highlight w:val="none"/>
          <w:lang w:val="en-US" w:eastAsia="zh-CN"/>
        </w:rPr>
      </w:pPr>
      <w:r>
        <w:rPr>
          <w:rFonts w:ascii="宋体" w:hAnsi="宋体" w:cs="宋体"/>
          <w:color w:val="auto"/>
          <w:kern w:val="0"/>
          <w:sz w:val="24"/>
          <w:szCs w:val="24"/>
          <w:highlight w:val="none"/>
        </w:rPr>
        <w:t>9.6</w:t>
      </w:r>
      <w:r>
        <w:rPr>
          <w:rFonts w:hint="eastAsia" w:ascii="宋体" w:hAnsi="宋体" w:cs="宋体"/>
          <w:color w:val="auto"/>
          <w:kern w:val="0"/>
          <w:sz w:val="24"/>
          <w:szCs w:val="24"/>
          <w:highlight w:val="none"/>
        </w:rPr>
        <w:t>投标人应在投标文件中提供总体配送服务方案、食品卫生安全管理措施、食品安全质量保障措施、日常服务记录档案、检验检疫凭证、特别情况记录、单据等档案管理方案、紧急追加货物、出现不合格品、不满足采购人使用需求产品的退换预案、备用方案、临时任务、节假日、考评检查、重要或大型活动、防洪抗台突发事件的特殊保障方案</w:t>
      </w:r>
      <w:r>
        <w:rPr>
          <w:rFonts w:hint="eastAsia" w:ascii="宋体" w:hAnsi="宋体" w:cs="宋体"/>
          <w:color w:val="auto"/>
          <w:kern w:val="0"/>
          <w:sz w:val="24"/>
          <w:szCs w:val="24"/>
          <w:highlight w:val="none"/>
          <w:lang w:val="en-US" w:eastAsia="zh-CN"/>
        </w:rPr>
        <w:t>等。</w:t>
      </w:r>
    </w:p>
    <w:p w14:paraId="27D59AF7">
      <w:pPr>
        <w:widowControl/>
        <w:spacing w:line="360" w:lineRule="auto"/>
        <w:ind w:firstLine="48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9.7投标人</w:t>
      </w:r>
      <w:r>
        <w:rPr>
          <w:rFonts w:hint="eastAsia" w:ascii="宋体" w:hAnsi="宋体" w:cs="宋体"/>
          <w:color w:val="auto"/>
          <w:kern w:val="0"/>
          <w:sz w:val="24"/>
          <w:szCs w:val="24"/>
          <w:highlight w:val="none"/>
        </w:rPr>
        <w:t>应对自有或签约的所投配送食材的生产基地情况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包括但不限于</w:t>
      </w:r>
      <w:r>
        <w:rPr>
          <w:rFonts w:hint="eastAsia" w:ascii="宋体" w:hAnsi="宋体" w:cs="宋体"/>
          <w:color w:val="auto"/>
          <w:sz w:val="24"/>
          <w:szCs w:val="24"/>
          <w:highlight w:val="none"/>
        </w:rPr>
        <w:t>蔬菜货源情况</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水果货源情况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进行说明</w:t>
      </w:r>
      <w:r>
        <w:rPr>
          <w:rFonts w:hint="eastAsia" w:ascii="宋体" w:hAnsi="宋体" w:cs="宋体"/>
          <w:color w:val="auto"/>
          <w:kern w:val="0"/>
          <w:sz w:val="24"/>
          <w:szCs w:val="24"/>
          <w:highlight w:val="none"/>
          <w:lang w:eastAsia="zh-CN"/>
        </w:rPr>
        <w:t>。</w:t>
      </w:r>
    </w:p>
    <w:p w14:paraId="1798CCE4">
      <w:pPr>
        <w:widowControl/>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sz w:val="24"/>
          <w:szCs w:val="24"/>
          <w:highlight w:val="none"/>
        </w:rPr>
        <w:t>投标人应有食材配送资质并具有固定的食品配送场所，在厦门市拥有固定的食品</w:t>
      </w:r>
      <w:r>
        <w:rPr>
          <w:rFonts w:hint="eastAsia" w:ascii="宋体" w:hAnsi="宋体" w:cs="宋体"/>
          <w:color w:val="auto"/>
          <w:kern w:val="0"/>
          <w:sz w:val="24"/>
          <w:szCs w:val="24"/>
          <w:highlight w:val="none"/>
        </w:rPr>
        <w:t>仓储场所（含</w:t>
      </w:r>
      <w:r>
        <w:rPr>
          <w:rFonts w:ascii="宋体" w:hAnsi="宋体" w:cs="宋体"/>
          <w:color w:val="auto"/>
          <w:kern w:val="0"/>
          <w:sz w:val="24"/>
          <w:szCs w:val="24"/>
          <w:highlight w:val="none"/>
        </w:rPr>
        <w:t>划分蔬菜、水果保鲜区</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分拣区、净菜加工区、食品检验等功能区域</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冷冻库、冷藏库）</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rPr>
        <w:t>提供仓库的产权证明或者租赁合同</w:t>
      </w:r>
      <w:r>
        <w:rPr>
          <w:rFonts w:hint="eastAsia" w:ascii="宋体" w:hAnsi="宋体" w:cs="宋体"/>
          <w:color w:val="auto"/>
          <w:sz w:val="24"/>
          <w:szCs w:val="24"/>
          <w:highlight w:val="none"/>
          <w:lang w:eastAsia="zh-CN"/>
        </w:rPr>
        <w:t>、</w:t>
      </w:r>
      <w:r>
        <w:rPr>
          <w:rFonts w:ascii="宋体" w:hAnsi="宋体" w:cs="宋体"/>
          <w:color w:val="auto"/>
          <w:kern w:val="0"/>
          <w:sz w:val="24"/>
          <w:szCs w:val="24"/>
          <w:highlight w:val="none"/>
        </w:rPr>
        <w:t>各区域图片并注明具体功能</w:t>
      </w:r>
      <w:r>
        <w:rPr>
          <w:rFonts w:hint="eastAsia" w:ascii="宋体" w:hAnsi="宋体" w:cs="宋体"/>
          <w:color w:val="auto"/>
          <w:kern w:val="0"/>
          <w:sz w:val="24"/>
          <w:szCs w:val="24"/>
          <w:highlight w:val="none"/>
          <w:lang w:val="en-US" w:eastAsia="zh-CN"/>
        </w:rPr>
        <w:t>予以</w:t>
      </w:r>
      <w:r>
        <w:rPr>
          <w:rFonts w:hint="eastAsia" w:ascii="宋体" w:hAnsi="宋体" w:cs="宋体"/>
          <w:color w:val="auto"/>
          <w:sz w:val="24"/>
          <w:szCs w:val="24"/>
          <w:highlight w:val="none"/>
        </w:rPr>
        <w:t>佐证并加盖投标人公章。投标人必须具备与配送商品相匹配的冷藏、保温设备和交通工具、容器、包装物，并保证所有用品用具符合行业配送要求及卫生标准。</w:t>
      </w:r>
    </w:p>
    <w:p w14:paraId="6411C7F3">
      <w:pPr>
        <w:widowControl/>
        <w:spacing w:line="360" w:lineRule="auto"/>
        <w:ind w:firstLine="48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9.9</w:t>
      </w:r>
      <w:r>
        <w:rPr>
          <w:rFonts w:hint="eastAsia" w:ascii="宋体" w:hAnsi="宋体" w:cs="宋体"/>
          <w:color w:val="auto"/>
          <w:sz w:val="24"/>
          <w:szCs w:val="24"/>
          <w:highlight w:val="none"/>
        </w:rPr>
        <w:t>投标人应</w:t>
      </w:r>
      <w:r>
        <w:rPr>
          <w:rFonts w:hint="eastAsia" w:ascii="宋体" w:hAnsi="宋体" w:cs="宋体"/>
          <w:color w:val="auto"/>
          <w:sz w:val="24"/>
          <w:szCs w:val="24"/>
          <w:highlight w:val="none"/>
          <w:lang w:val="en-US" w:eastAsia="zh-CN"/>
        </w:rPr>
        <w:t>定期对食品仓储、运输车辆、运输用具进行消杀。</w:t>
      </w:r>
    </w:p>
    <w:p w14:paraId="59691701">
      <w:pPr>
        <w:widowControl/>
        <w:spacing w:line="360" w:lineRule="auto"/>
        <w:ind w:firstLine="48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9.10</w:t>
      </w:r>
      <w:r>
        <w:rPr>
          <w:rFonts w:hint="eastAsia" w:ascii="宋体" w:hAnsi="宋体" w:cs="宋体"/>
          <w:color w:val="auto"/>
          <w:kern w:val="0"/>
          <w:sz w:val="24"/>
          <w:szCs w:val="24"/>
          <w:highlight w:val="none"/>
        </w:rPr>
        <w:t>投标人应在投标文件中提供食品的中毒事件及食品安全问题的预应急处理方案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并承诺在</w:t>
      </w:r>
      <w:r>
        <w:rPr>
          <w:rFonts w:hint="eastAsia" w:ascii="宋体" w:hAnsi="宋体" w:cs="宋体"/>
          <w:color w:val="auto"/>
          <w:sz w:val="24"/>
          <w:szCs w:val="24"/>
          <w:highlight w:val="none"/>
        </w:rPr>
        <w:t>质保期内如果由于中标产品质量问题造成的食物中毒事件，应在2小时内到达现场协调解决处理方案并承担与之相关的法律责任。</w:t>
      </w:r>
    </w:p>
    <w:p w14:paraId="4C361390">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中标人应制定完整的管理制度，完成日常工作记录，原材料进货发票等生产活动单据凭证齐整完备，定期提交票据凭证，随时接受采购人及相关管理部门的检查，监督。作好项目供货记录、相关票据凭证，项目资料的整理、考核资料的整理等工作。根据采购人的要求定期不定期将全部有关技术文件、实施记录资料、时间段报表、及相关文档汇集成册交付采购单位。</w:t>
      </w:r>
    </w:p>
    <w:p w14:paraId="2F7B5C08">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11.投标人须承诺中标后完全按照采购人要求的食材供货。</w:t>
      </w:r>
    </w:p>
    <w:p w14:paraId="11814412">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12.如因不可抗力原因需要更换食材的，须征得采购人的同意。</w:t>
      </w:r>
    </w:p>
    <w:p w14:paraId="16632962">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13.中标人在送货途中运输、保管所产生的费用由中标人承担。若交接前发生损毁的，其损失由中标人自行承担。</w:t>
      </w:r>
    </w:p>
    <w:p w14:paraId="0C6F4C45">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14.中标人须对其投标文件中提供各种证明文件、资料、说明、承诺的真实性、有效性负责。若中标人有虚假承诺的行为或实际情况与投标响应时所提供的材料不符，采购人有权取消其中标资格。</w:t>
      </w:r>
    </w:p>
    <w:p w14:paraId="7D36493C">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15.人员、车辆、设施要求</w:t>
      </w:r>
    </w:p>
    <w:p w14:paraId="6E9AFC45">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w:t>
      </w:r>
      <w:r>
        <w:rPr>
          <w:rFonts w:hint="eastAsia" w:ascii="宋体" w:hAnsi="宋体" w:cs="宋体"/>
          <w:color w:val="auto"/>
          <w:sz w:val="24"/>
          <w:szCs w:val="24"/>
          <w:highlight w:val="none"/>
        </w:rPr>
        <w:t>投标人应有专业、稳定的配送团队</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rPr>
        <w:t>至少为本项目配备1</w:t>
      </w:r>
      <w:r>
        <w:rPr>
          <w:rFonts w:hint="eastAsia" w:ascii="宋体" w:hAnsi="宋体" w:cs="宋体"/>
          <w:color w:val="auto"/>
          <w:kern w:val="0"/>
          <w:sz w:val="24"/>
          <w:szCs w:val="24"/>
          <w:highlight w:val="none"/>
          <w:lang w:val="en-US" w:eastAsia="zh-CN"/>
        </w:rPr>
        <w:t>个</w:t>
      </w:r>
      <w:r>
        <w:rPr>
          <w:rFonts w:hint="eastAsia" w:asciiTheme="minorEastAsia" w:hAnsiTheme="minorEastAsia" w:eastAsiaTheme="minorEastAsia" w:cstheme="minorEastAsia"/>
          <w:color w:val="auto"/>
          <w:sz w:val="24"/>
          <w:szCs w:val="24"/>
          <w:highlight w:val="none"/>
        </w:rPr>
        <w:t>采购、</w:t>
      </w:r>
      <w:r>
        <w:rPr>
          <w:rFonts w:hint="eastAsia" w:ascii="宋体" w:hAnsi="宋体" w:cs="宋体"/>
          <w:color w:val="auto"/>
          <w:kern w:val="0"/>
          <w:sz w:val="24"/>
          <w:szCs w:val="24"/>
          <w:highlight w:val="none"/>
        </w:rPr>
        <w:t>配送人员</w:t>
      </w:r>
      <w:r>
        <w:rPr>
          <w:rFonts w:hint="eastAsia" w:ascii="宋体" w:hAnsi="宋体" w:cs="宋体"/>
          <w:color w:val="auto"/>
          <w:kern w:val="0"/>
          <w:sz w:val="24"/>
          <w:szCs w:val="24"/>
          <w:highlight w:val="none"/>
          <w:lang w:eastAsia="zh-CN"/>
        </w:rPr>
        <w:t>，配备的人员</w:t>
      </w:r>
      <w:r>
        <w:rPr>
          <w:rFonts w:hint="eastAsia" w:ascii="宋体" w:hAnsi="宋体" w:cs="宋体"/>
          <w:color w:val="auto"/>
          <w:kern w:val="0"/>
          <w:sz w:val="24"/>
          <w:szCs w:val="24"/>
          <w:highlight w:val="none"/>
          <w:lang w:val="en-US" w:eastAsia="zh-CN"/>
        </w:rPr>
        <w:t>需</w:t>
      </w:r>
      <w:r>
        <w:rPr>
          <w:rFonts w:hint="eastAsia" w:ascii="宋体" w:hAnsi="宋体" w:cs="宋体"/>
          <w:color w:val="auto"/>
          <w:kern w:val="0"/>
          <w:sz w:val="24"/>
          <w:szCs w:val="24"/>
          <w:highlight w:val="none"/>
          <w:lang w:eastAsia="zh-CN"/>
        </w:rPr>
        <w:t>具有高级农产品食品检验员</w:t>
      </w:r>
      <w:r>
        <w:rPr>
          <w:rFonts w:hint="eastAsia" w:ascii="宋体" w:hAnsi="宋体" w:cs="宋体"/>
          <w:color w:val="auto"/>
          <w:kern w:val="0"/>
          <w:sz w:val="24"/>
          <w:szCs w:val="24"/>
          <w:highlight w:val="none"/>
          <w:lang w:val="en-US" w:eastAsia="zh-CN"/>
        </w:rPr>
        <w:t>证书。</w:t>
      </w:r>
      <w:r>
        <w:rPr>
          <w:rFonts w:hint="eastAsia" w:ascii="宋体" w:hAnsi="宋体" w:cs="宋体"/>
          <w:color w:val="auto"/>
          <w:sz w:val="24"/>
          <w:szCs w:val="24"/>
          <w:highlight w:val="none"/>
        </w:rPr>
        <w:t>投标人选配职工时，要做好人员审核工作，配送人员必须遵纪守法，无不良记录，持健康证上岗，按规定着装，配戴工作证。投标人应对服务本项目的专职配送人员配备情况进行说明。</w:t>
      </w:r>
    </w:p>
    <w:p w14:paraId="2F5AB207">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w:t>
      </w:r>
      <w:r>
        <w:rPr>
          <w:rFonts w:hint="eastAsia" w:ascii="宋体" w:hAnsi="宋体" w:cs="宋体"/>
          <w:color w:val="auto"/>
          <w:sz w:val="24"/>
          <w:szCs w:val="24"/>
          <w:highlight w:val="none"/>
        </w:rPr>
        <w:t>投标人须具有符合卫生条件、车况良好、干净卫生的车辆配送，拥有正规合法的配送运输设备及车辆（</w:t>
      </w:r>
      <w:r>
        <w:rPr>
          <w:rFonts w:hint="eastAsia" w:ascii="宋体" w:hAnsi="宋体" w:cs="宋体"/>
          <w:color w:val="auto"/>
          <w:sz w:val="24"/>
          <w:szCs w:val="24"/>
          <w:highlight w:val="none"/>
          <w:lang w:val="en-US" w:eastAsia="zh-CN"/>
        </w:rPr>
        <w:t>冷藏</w:t>
      </w:r>
      <w:r>
        <w:rPr>
          <w:rFonts w:hint="eastAsia" w:ascii="宋体" w:hAnsi="宋体" w:cs="宋体"/>
          <w:color w:val="auto"/>
          <w:sz w:val="24"/>
          <w:szCs w:val="24"/>
          <w:highlight w:val="none"/>
        </w:rPr>
        <w:t>车或厢式货车各不少于一辆），运送车辆每天配送前须进行消毒并保证其配送运输车辆具备冷藏功能，确保所配送的副食品（特别是夏季）保持新鲜优质，并具有与配送商品相匹配的冷藏、保温设备和容器、包装物，并保证所有用品用具符合行业配送要求及卫生标准。</w:t>
      </w:r>
    </w:p>
    <w:p w14:paraId="45C22C34">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15.3投标人应配备</w:t>
      </w:r>
      <w:r>
        <w:rPr>
          <w:rFonts w:ascii="宋体" w:hAnsi="宋体" w:cs="宋体"/>
          <w:color w:val="auto"/>
          <w:kern w:val="0"/>
          <w:sz w:val="24"/>
          <w:szCs w:val="24"/>
          <w:highlight w:val="none"/>
        </w:rPr>
        <w:t>蔬菜、水果保鲜区</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分拣区、净菜加工区、食品检验等功能区域</w:t>
      </w:r>
      <w:r>
        <w:rPr>
          <w:rFonts w:hint="eastAsia" w:ascii="宋体" w:hAnsi="宋体" w:cs="宋体"/>
          <w:color w:val="auto"/>
          <w:kern w:val="0"/>
          <w:sz w:val="24"/>
          <w:szCs w:val="24"/>
          <w:highlight w:val="none"/>
        </w:rPr>
        <w:t>。</w:t>
      </w:r>
    </w:p>
    <w:p w14:paraId="56CEF312">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投标人应配备食品检验室且配备食品相关的检测仪器</w:t>
      </w:r>
      <w:r>
        <w:rPr>
          <w:rFonts w:hint="eastAsia" w:asciiTheme="minorEastAsia" w:hAnsiTheme="minorEastAsia" w:eastAsiaTheme="minorEastAsia" w:cstheme="minorEastAsia"/>
          <w:color w:val="auto"/>
          <w:kern w:val="0"/>
          <w:sz w:val="24"/>
          <w:szCs w:val="24"/>
          <w:highlight w:val="none"/>
        </w:rPr>
        <w:t>（检测内容至少包括①农药残留检测、②食品重金属检测、③甲醛等非法添加物检测）</w:t>
      </w:r>
      <w:r>
        <w:rPr>
          <w:rFonts w:hint="eastAsia" w:ascii="宋体" w:hAnsi="宋体" w:cs="宋体"/>
          <w:color w:val="auto"/>
          <w:kern w:val="0"/>
          <w:sz w:val="24"/>
          <w:szCs w:val="24"/>
          <w:highlight w:val="none"/>
        </w:rPr>
        <w:t>。</w:t>
      </w:r>
    </w:p>
    <w:p w14:paraId="5F7A1C21">
      <w:pPr>
        <w:widowControl/>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投标人应配备自有或第三方开发的APP或小程序或配送系统服务平台。</w:t>
      </w:r>
    </w:p>
    <w:p w14:paraId="3278F920">
      <w:pPr>
        <w:widowControl/>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rPr>
        <w:t>★16.若中标人在合作期间有不可抗力（如疫情、不可抗力导致的货物短缺、极端气候影响等）出现而导致无法供应或因履约不合格被取消配送资格，可由其他合同包的中标人临时供应。采购人可选择同质最低价者供应。投标人需提供承诺函并加盖公章。</w:t>
      </w:r>
    </w:p>
    <w:p w14:paraId="42BDBABA">
      <w:pPr>
        <w:spacing w:line="360" w:lineRule="auto"/>
        <w:ind w:firstLine="480" w:firstLineChars="200"/>
        <w:rPr>
          <w:rFonts w:hint="default" w:ascii="宋体" w:hAnsi="宋体" w:eastAsia="宋体" w:cs="宋体"/>
          <w:iCs/>
          <w:color w:val="auto"/>
          <w:sz w:val="24"/>
          <w:szCs w:val="24"/>
          <w:highlight w:val="none"/>
          <w:lang w:val="en-US" w:eastAsia="zh-CN"/>
        </w:rPr>
      </w:pPr>
      <w:r>
        <w:rPr>
          <w:rFonts w:hint="eastAsia" w:ascii="宋体" w:hAnsi="宋体" w:cs="宋体"/>
          <w:iCs/>
          <w:color w:val="auto"/>
          <w:sz w:val="24"/>
          <w:szCs w:val="24"/>
          <w:highlight w:val="none"/>
          <w:lang w:val="en-US" w:eastAsia="zh-CN"/>
        </w:rPr>
        <w:t>17.</w:t>
      </w:r>
      <w:r>
        <w:rPr>
          <w:rFonts w:hint="eastAsia" w:ascii="宋体" w:hAnsi="宋体" w:cs="宋体"/>
          <w:b w:val="0"/>
          <w:bCs w:val="0"/>
          <w:color w:val="auto"/>
          <w:kern w:val="0"/>
          <w:sz w:val="24"/>
          <w:szCs w:val="24"/>
          <w:highlight w:val="none"/>
          <w:lang w:val="en-US" w:eastAsia="zh-CN"/>
        </w:rPr>
        <w:t>投标人需具备将每日配送食材的食品追溯码发送到相应的食品追溯码平台上的能力（厦门市食品安全信息网https://spaq.scjg.xm.gov.cn:38087/xmspaq/jsp/login.jsp），并承诺中标后将每日配送的所有食材录入一品一码。</w:t>
      </w:r>
    </w:p>
    <w:p w14:paraId="596420FF">
      <w:pPr>
        <w:pStyle w:val="4"/>
        <w:spacing w:before="0" w:after="0" w:line="360" w:lineRule="auto"/>
        <w:ind w:firstLine="482" w:firstLineChars="200"/>
        <w:jc w:val="left"/>
        <w:rPr>
          <w:rFonts w:ascii="宋体" w:hAnsi="宋体" w:cs="宋体"/>
          <w:color w:val="auto"/>
          <w:sz w:val="24"/>
          <w:szCs w:val="24"/>
          <w:highlight w:val="none"/>
        </w:rPr>
      </w:pPr>
      <w:bookmarkStart w:id="115" w:name="_Toc9350"/>
      <w:r>
        <w:rPr>
          <w:rFonts w:hint="eastAsia" w:ascii="宋体" w:hAnsi="宋体" w:cs="宋体"/>
          <w:color w:val="auto"/>
          <w:sz w:val="24"/>
          <w:szCs w:val="24"/>
          <w:highlight w:val="none"/>
        </w:rPr>
        <w:t>（2）商务要求</w:t>
      </w:r>
      <w:bookmarkEnd w:id="115"/>
    </w:p>
    <w:p w14:paraId="0D02F558">
      <w:pPr>
        <w:tabs>
          <w:tab w:val="left" w:pos="0"/>
          <w:tab w:val="left" w:pos="426"/>
          <w:tab w:val="left" w:pos="851"/>
        </w:tabs>
        <w:spacing w:line="360" w:lineRule="auto"/>
        <w:ind w:left="-2" w:leftChars="-1" w:firstLine="569" w:firstLineChars="236"/>
        <w:rPr>
          <w:rFonts w:ascii="宋体" w:hAnsi="宋体" w:cs="宋体"/>
          <w:b/>
          <w:bCs/>
          <w:color w:val="auto"/>
          <w:sz w:val="24"/>
          <w:szCs w:val="24"/>
          <w:highlight w:val="none"/>
        </w:rPr>
      </w:pPr>
      <w:r>
        <w:rPr>
          <w:rFonts w:hint="eastAsia" w:ascii="宋体" w:hAnsi="宋体" w:cs="宋体"/>
          <w:b/>
          <w:bCs/>
          <w:color w:val="auto"/>
          <w:sz w:val="24"/>
          <w:szCs w:val="24"/>
          <w:highlight w:val="none"/>
        </w:rPr>
        <w:t>★1.投标人须书面承诺在供货期间，凡因所供货物质量问题造成食物中毒等后果的，中标人必须承担一切经济损失和法律责任。</w:t>
      </w:r>
    </w:p>
    <w:p w14:paraId="76575811">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2.投标人提供的服务标准、食品卫生执行标准、生产、包装、运输、安全标准及规范等必须符合国家、卫生及行业管理相关标准或规范要求，应在投标文件中提供详细实施方案、保障措施，提供相关证明文件。</w:t>
      </w:r>
    </w:p>
    <w:p w14:paraId="0B21E229">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3.投标人的服务应遵循专业、成熟、安全可靠的业务流程，应在投标文件中提供详细明确的服务方案，操作规范，服务流程，管理措施。投标人应在投标文件中明确需要相互配合的工作及交接的事务，投标文件未提及项目实施过程中涉及的均由投标人自行解决，且费用包含在报价中。</w:t>
      </w:r>
    </w:p>
    <w:p w14:paraId="649E6C9B">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4.供货商必须与采购人紧密配合，准确把握需求并快速响应采购人需求，配合采购人的监督管理、积极改进完善。如与需求不符，供货商必须按采购人要求期限内整改，否则采购人将依据投标文件及合同约定追究供货商责任。</w:t>
      </w:r>
    </w:p>
    <w:p w14:paraId="47312E8D">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5.投标人配备的工作人员应具有健康证及并依法缴交医社保，并有从事类似服务项目经验，服装统一整齐、洁净，文明工作，不违反采购人单位安全、卫生等管理制度。作息时间符合采购人要求，不得随意变更，确保符合服务承诺。供货商应加强进场工作人员的安全教育，相关人员人身安全事故责任均由供货商承担。</w:t>
      </w:r>
    </w:p>
    <w:p w14:paraId="5E0D9C51">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6.投标人应制定完整的管理制度，做好项目供货记录、留存相关票据凭证、提供产品来源渠道说明，定期进行项目资料的整理、考核资料的整理等工作，根据采购人的要求定期不定期将相关记录汇集成册交付采购人，随时接受采购人及相关管理部门的检查，监督。</w:t>
      </w:r>
    </w:p>
    <w:p w14:paraId="667A9B52">
      <w:pPr>
        <w:tabs>
          <w:tab w:val="left" w:pos="0"/>
          <w:tab w:val="left" w:pos="426"/>
          <w:tab w:val="left" w:pos="851"/>
        </w:tabs>
        <w:spacing w:line="360" w:lineRule="auto"/>
        <w:ind w:left="-2" w:leftChars="-1"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7.如果投标人提供产品的品质和价格无法达到采购人的要求时，采购人可以向其他中标人或商家进行采购。</w:t>
      </w:r>
    </w:p>
    <w:p w14:paraId="1DC97FB9">
      <w:pPr>
        <w:tabs>
          <w:tab w:val="left" w:pos="0"/>
          <w:tab w:val="left" w:pos="426"/>
          <w:tab w:val="left" w:pos="851"/>
        </w:tabs>
        <w:spacing w:line="360" w:lineRule="auto"/>
        <w:ind w:left="0" w:lef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★8.投标人须书面承诺不得虚假应标，采购人若发现其存在虚假应标的有权终止合同，没收其全部履约保证金，并追究其违法违约责任。</w:t>
      </w:r>
    </w:p>
    <w:p w14:paraId="6D84A8D2">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投标人应明确投标产品及服务和招标要求存在正负偏离情况，对照招标文件要求，逐条说明所提供货物和服务已对采购人的技术、商务要求做出了实质性的响应，或申明与技术要求、商务要求条文的偏差和例外并列于偏离表中。特别对于有具体服务要求的，并提供重要技术条款逐条响应情况表。</w:t>
      </w:r>
    </w:p>
    <w:p w14:paraId="0EA92F6A">
      <w:pPr>
        <w:tabs>
          <w:tab w:val="left" w:pos="0"/>
          <w:tab w:val="left" w:pos="426"/>
          <w:tab w:val="left" w:pos="851"/>
        </w:tabs>
        <w:spacing w:line="360" w:lineRule="auto"/>
        <w:ind w:left="0" w:lef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以上证明文件均应加盖投标人公章。</w:t>
      </w:r>
    </w:p>
    <w:p w14:paraId="11E4A872">
      <w:pPr>
        <w:keepNext w:val="0"/>
        <w:keepLines w:val="0"/>
        <w:tabs>
          <w:tab w:val="left" w:pos="0"/>
          <w:tab w:val="left" w:pos="426"/>
          <w:tab w:val="left" w:pos="851"/>
        </w:tabs>
        <w:spacing w:line="360" w:lineRule="auto"/>
        <w:ind w:left="0" w:leftChars="0" w:firstLine="482" w:firstLineChars="200"/>
        <w:jc w:val="both"/>
        <w:outlineLvl w:val="9"/>
        <w:rPr>
          <w:rFonts w:ascii="宋体" w:hAnsi="宋体" w:cs="宋体"/>
          <w:b/>
          <w:color w:val="auto"/>
          <w:sz w:val="24"/>
          <w:szCs w:val="24"/>
          <w:highlight w:val="none"/>
        </w:rPr>
      </w:pPr>
      <w:bookmarkStart w:id="116" w:name="_Toc37963482"/>
      <w:bookmarkStart w:id="117" w:name="_Toc28886593"/>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0</w:t>
      </w:r>
      <w:r>
        <w:rPr>
          <w:rFonts w:hint="eastAsia" w:ascii="宋体" w:hAnsi="宋体" w:cs="宋体"/>
          <w:b/>
          <w:color w:val="auto"/>
          <w:sz w:val="24"/>
          <w:szCs w:val="24"/>
          <w:highlight w:val="none"/>
        </w:rPr>
        <w:t>.验收条件及标准</w:t>
      </w:r>
      <w:bookmarkEnd w:id="116"/>
    </w:p>
    <w:p w14:paraId="4CED069D">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10.1</w:t>
      </w:r>
      <w:r>
        <w:rPr>
          <w:rFonts w:hint="eastAsia" w:ascii="宋体" w:hAnsi="宋体" w:cs="宋体"/>
          <w:color w:val="auto"/>
          <w:sz w:val="24"/>
          <w:szCs w:val="24"/>
          <w:highlight w:val="none"/>
        </w:rPr>
        <w:t>验收主体：</w:t>
      </w:r>
      <w:r>
        <w:rPr>
          <w:rFonts w:hint="eastAsia" w:ascii="宋体" w:hAnsi="宋体" w:cs="宋体"/>
          <w:color w:val="auto"/>
          <w:sz w:val="24"/>
          <w:szCs w:val="24"/>
          <w:highlight w:val="none"/>
          <w:lang w:val="en-US" w:eastAsia="zh-CN"/>
        </w:rPr>
        <w:t>采购人与中标供应商</w:t>
      </w:r>
      <w:r>
        <w:rPr>
          <w:rFonts w:hint="eastAsia" w:ascii="宋体" w:hAnsi="宋体" w:cs="宋体"/>
          <w:color w:val="auto"/>
          <w:sz w:val="24"/>
          <w:szCs w:val="24"/>
          <w:highlight w:val="none"/>
        </w:rPr>
        <w:t>双方指定负责食材验收的人员。</w:t>
      </w:r>
    </w:p>
    <w:p w14:paraId="3CF73B2A">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10.2</w:t>
      </w:r>
      <w:r>
        <w:rPr>
          <w:rFonts w:hint="eastAsia" w:ascii="宋体" w:hAnsi="宋体" w:cs="宋体"/>
          <w:color w:val="auto"/>
          <w:sz w:val="24"/>
          <w:szCs w:val="24"/>
          <w:highlight w:val="none"/>
        </w:rPr>
        <w:t>验收时间：</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的每日配送服务进行验收，并将整改内容进行记录，同时向</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提出整改要求。</w:t>
      </w:r>
    </w:p>
    <w:p w14:paraId="455687D4">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10.3</w:t>
      </w:r>
      <w:r>
        <w:rPr>
          <w:rFonts w:hint="eastAsia" w:ascii="宋体" w:hAnsi="宋体" w:cs="宋体"/>
          <w:color w:val="auto"/>
          <w:sz w:val="24"/>
          <w:szCs w:val="24"/>
          <w:highlight w:val="none"/>
        </w:rPr>
        <w:t>验收方式：每日验收。按实际过磅重量，净重计量，不得供应破损、变质及有农药、激素残留的产品。</w:t>
      </w:r>
    </w:p>
    <w:p w14:paraId="502DEC5C">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10.4</w:t>
      </w:r>
      <w:r>
        <w:rPr>
          <w:rFonts w:hint="eastAsia" w:ascii="宋体" w:hAnsi="宋体" w:cs="宋体"/>
          <w:color w:val="auto"/>
          <w:sz w:val="24"/>
          <w:szCs w:val="24"/>
          <w:highlight w:val="none"/>
        </w:rPr>
        <w:t>验收方法：</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订单将货物送至指定地点后，双方人员应及时对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货物进行验收。</w:t>
      </w:r>
    </w:p>
    <w:p w14:paraId="4EF68174">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10.5</w:t>
      </w:r>
      <w:r>
        <w:rPr>
          <w:rFonts w:hint="eastAsia" w:ascii="宋体" w:hAnsi="宋体" w:cs="宋体"/>
          <w:color w:val="auto"/>
          <w:sz w:val="24"/>
          <w:szCs w:val="24"/>
          <w:highlight w:val="none"/>
        </w:rPr>
        <w:t>验收程序：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指定人员验收合格后，在</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的送货单上盖章或签名给予确认。</w:t>
      </w:r>
    </w:p>
    <w:p w14:paraId="343CCBA1">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10.6</w:t>
      </w:r>
      <w:r>
        <w:rPr>
          <w:rFonts w:hint="eastAsia" w:ascii="宋体" w:hAnsi="宋体" w:cs="宋体"/>
          <w:color w:val="auto"/>
          <w:sz w:val="24"/>
          <w:szCs w:val="24"/>
          <w:highlight w:val="none"/>
        </w:rPr>
        <w:t>验收内容：对供应商提供的食材品种、规格、数量、质量等进行验收。</w:t>
      </w:r>
    </w:p>
    <w:p w14:paraId="7BFACDF9">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10.7</w:t>
      </w:r>
      <w:r>
        <w:rPr>
          <w:rFonts w:hint="eastAsia" w:ascii="宋体" w:hAnsi="宋体" w:cs="宋体"/>
          <w:color w:val="auto"/>
          <w:sz w:val="24"/>
          <w:szCs w:val="24"/>
          <w:highlight w:val="none"/>
        </w:rPr>
        <w:t>验收标准：招标文件、投标文件、《中华人民共和国食品安全法》等法律法规及国家、地方（以使用地为准）、行业有关食品卫生、质量标准，均为验收</w:t>
      </w:r>
      <w:r>
        <w:rPr>
          <w:rFonts w:hint="eastAsia" w:ascii="宋体" w:hAnsi="宋体" w:cs="宋体"/>
          <w:color w:val="auto"/>
          <w:sz w:val="24"/>
          <w:szCs w:val="24"/>
          <w:highlight w:val="none"/>
          <w:lang w:val="en-US" w:eastAsia="zh-CN"/>
        </w:rPr>
        <w:t>标准</w:t>
      </w:r>
      <w:r>
        <w:rPr>
          <w:rFonts w:hint="eastAsia" w:ascii="宋体" w:hAnsi="宋体" w:cs="宋体"/>
          <w:color w:val="auto"/>
          <w:sz w:val="24"/>
          <w:szCs w:val="24"/>
          <w:highlight w:val="none"/>
        </w:rPr>
        <w:t>。</w:t>
      </w:r>
    </w:p>
    <w:p w14:paraId="4F8AEBC1">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10.8</w:t>
      </w:r>
      <w:r>
        <w:rPr>
          <w:rFonts w:hint="eastAsia" w:ascii="宋体" w:hAnsi="宋体" w:cs="宋体"/>
          <w:color w:val="auto"/>
          <w:sz w:val="24"/>
          <w:szCs w:val="24"/>
          <w:highlight w:val="none"/>
        </w:rPr>
        <w:t>验收责任：如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的指定人员对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供应的食材不进行验收，造成该食材损失的，该损失应由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承担。</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不得私自随意放置食材后自行离去，如因此发生食材数量、质量问题或食材遗失，该损失应由</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承担。在履约期间，若采购人对供货商所供货物质量产生异议，送政府质量部门检测。如不合格，检测费由供货商承担，并接受采购人处罚。</w:t>
      </w:r>
    </w:p>
    <w:p w14:paraId="1FBF240F">
      <w:pPr>
        <w:tabs>
          <w:tab w:val="left" w:pos="0"/>
          <w:tab w:val="left" w:pos="426"/>
          <w:tab w:val="left" w:pos="851"/>
        </w:tabs>
        <w:spacing w:line="360" w:lineRule="auto"/>
        <w:ind w:left="-2" w:leftChars="-1"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10.9</w:t>
      </w:r>
      <w:r>
        <w:rPr>
          <w:rFonts w:hint="eastAsia" w:ascii="宋体" w:hAnsi="宋体" w:cs="宋体"/>
          <w:color w:val="auto"/>
          <w:sz w:val="24"/>
          <w:szCs w:val="24"/>
          <w:highlight w:val="none"/>
        </w:rPr>
        <w:t>考核要求：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根据每日验收记录以及整改情况，结合《厦门市分行食堂食材配送服务考核指标》按月对</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进行考核；年度考核为取12个月考核得分的平均值，80分（含80分）以上为合格，80分以下为不合格。</w:t>
      </w:r>
    </w:p>
    <w:bookmarkEnd w:id="117"/>
    <w:p w14:paraId="5EB1D394">
      <w:pPr>
        <w:keepNext w:val="0"/>
        <w:keepLines w:val="0"/>
        <w:tabs>
          <w:tab w:val="left" w:pos="0"/>
          <w:tab w:val="left" w:pos="426"/>
          <w:tab w:val="left" w:pos="851"/>
        </w:tabs>
        <w:spacing w:line="360" w:lineRule="auto"/>
        <w:ind w:left="0" w:leftChars="0" w:firstLine="482" w:firstLineChars="200"/>
        <w:jc w:val="both"/>
        <w:outlineLvl w:val="9"/>
        <w:rPr>
          <w:rFonts w:ascii="宋体" w:hAnsi="宋体" w:cs="宋体"/>
          <w:b/>
          <w:color w:val="auto"/>
          <w:sz w:val="24"/>
          <w:szCs w:val="24"/>
          <w:highlight w:val="none"/>
        </w:rPr>
      </w:pPr>
      <w:bookmarkStart w:id="118" w:name="_Toc77239300"/>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.商务条件（以“★”标示的内容为不允许负偏离的实质性要求）</w:t>
      </w:r>
      <w:bookmarkEnd w:id="118"/>
    </w:p>
    <w:p w14:paraId="3E694CB8">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.1服务地点：福建省厦门市思明区</w:t>
      </w:r>
      <w:r>
        <w:rPr>
          <w:rFonts w:hint="eastAsia" w:ascii="宋体" w:hAnsi="宋体" w:cs="宋体"/>
          <w:b w:val="0"/>
          <w:bCs w:val="0"/>
          <w:color w:val="auto"/>
          <w:sz w:val="24"/>
          <w:szCs w:val="24"/>
          <w:highlight w:val="none"/>
        </w:rPr>
        <w:t>展鸿路</w:t>
      </w:r>
      <w:r>
        <w:rPr>
          <w:rFonts w:ascii="宋体" w:hAnsi="宋体" w:cs="宋体"/>
          <w:b w:val="0"/>
          <w:bCs w:val="0"/>
          <w:color w:val="auto"/>
          <w:sz w:val="24"/>
          <w:szCs w:val="24"/>
          <w:highlight w:val="none"/>
        </w:rPr>
        <w:t>100号</w:t>
      </w:r>
      <w:r>
        <w:rPr>
          <w:rFonts w:hint="eastAsia" w:ascii="宋体" w:hAnsi="宋体" w:cs="宋体"/>
          <w:b w:val="0"/>
          <w:bCs w:val="0"/>
          <w:color w:val="auto"/>
          <w:sz w:val="24"/>
          <w:szCs w:val="24"/>
          <w:highlight w:val="none"/>
        </w:rPr>
        <w:t>和翔安区黎林路</w:t>
      </w:r>
      <w:r>
        <w:rPr>
          <w:rFonts w:ascii="宋体" w:hAnsi="宋体" w:cs="宋体"/>
          <w:b w:val="0"/>
          <w:bCs w:val="0"/>
          <w:color w:val="auto"/>
          <w:sz w:val="24"/>
          <w:szCs w:val="24"/>
          <w:highlight w:val="none"/>
        </w:rPr>
        <w:t>1699号</w:t>
      </w:r>
    </w:p>
    <w:p w14:paraId="0874CAB7">
      <w:pPr>
        <w:spacing w:line="360" w:lineRule="auto"/>
        <w:ind w:firstLine="480" w:firstLineChars="200"/>
        <w:rPr>
          <w:rFonts w:hint="eastAsia" w:ascii="宋体" w:hAnsi="宋体"/>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.2服务期限：</w:t>
      </w:r>
      <w:r>
        <w:rPr>
          <w:rFonts w:hint="eastAsia" w:ascii="宋体" w:hAnsi="宋体"/>
          <w:color w:val="auto"/>
          <w:sz w:val="24"/>
          <w:szCs w:val="24"/>
          <w:highlight w:val="none"/>
        </w:rPr>
        <w:t>一年，</w:t>
      </w:r>
      <w:r>
        <w:rPr>
          <w:rFonts w:hint="eastAsia" w:ascii="宋体" w:hAnsi="宋体" w:cs="宋体"/>
          <w:b w:val="0"/>
          <w:bCs w:val="0"/>
          <w:color w:val="auto"/>
          <w:sz w:val="24"/>
          <w:szCs w:val="24"/>
          <w:highlight w:val="none"/>
          <w:lang w:val="en-US" w:eastAsia="zh-CN"/>
        </w:rPr>
        <w:t>预计服务时间为2026年6月1日至2027年5月31日。</w:t>
      </w:r>
      <w:r>
        <w:rPr>
          <w:rFonts w:hint="eastAsia" w:ascii="宋体" w:hAnsi="宋体"/>
          <w:color w:val="auto"/>
          <w:sz w:val="24"/>
          <w:szCs w:val="24"/>
          <w:highlight w:val="none"/>
        </w:rPr>
        <w:t>一年服务期满后，在预算资金有保障、服务价格不提高的前提下，中标人经采购人考核合格，可与采购人续签下一年度服务外包合同，最多续签2次。</w:t>
      </w:r>
    </w:p>
    <w:p w14:paraId="72E87BBD">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合同履行中，采购人将对供货商进行考核，考核不合格或者发生合同解除情形的，采购人将不与供货商继续履行食材供应合同，且供货商应承担因此造成的一切经济和法律后果。</w:t>
      </w:r>
    </w:p>
    <w:p w14:paraId="76FF0A8F">
      <w:pPr>
        <w:spacing w:line="360" w:lineRule="auto"/>
        <w:ind w:firstLine="480" w:firstLineChars="200"/>
        <w:rPr>
          <w:rFonts w:ascii="宋体" w:hAnsi="宋体" w:cs="宋体"/>
          <w:b/>
          <w:bCs/>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3付款方式：每月进行一次结算。结算周期届满后的次月10日前，供货商应向采购人提交结算清单、扣款事项及金额书面确认材料（如有）并附采购人签收及验收合格的凭证。该结算清单经采购人审核确认无误后，供货商开具的符合要求的等额增值税发票。采购人</w:t>
      </w:r>
      <w:r>
        <w:rPr>
          <w:rFonts w:hint="eastAsia" w:ascii="宋体" w:hAnsi="宋体" w:cs="宋体"/>
          <w:color w:val="auto"/>
          <w:sz w:val="24"/>
          <w:szCs w:val="24"/>
          <w:highlight w:val="none"/>
        </w:rPr>
        <w:t>将按国库支付流程付款，</w:t>
      </w:r>
      <w:r>
        <w:rPr>
          <w:rFonts w:hint="eastAsia" w:ascii="宋体" w:hAnsi="宋体" w:cs="宋体"/>
          <w:b w:val="0"/>
          <w:bCs w:val="0"/>
          <w:color w:val="auto"/>
          <w:sz w:val="24"/>
          <w:szCs w:val="24"/>
          <w:highlight w:val="none"/>
        </w:rPr>
        <w:t>收到发票后原则上十个工作日内支付结算货款。</w:t>
      </w:r>
      <w:r>
        <w:rPr>
          <w:rFonts w:hint="eastAsia" w:ascii="宋体" w:hAnsi="宋体" w:cs="宋体"/>
          <w:color w:val="auto"/>
          <w:sz w:val="24"/>
          <w:szCs w:val="24"/>
          <w:highlight w:val="none"/>
        </w:rPr>
        <w:t>中标人须充分知晓采购人财政资金的属性。若因采购人财政资金拨付不及时等相关原因导致采购人付款逾期，中标人同意该情形不视为采购人违约，不追究采购人的违约责任，且不得以此为由拒绝履行约定义务。</w:t>
      </w:r>
    </w:p>
    <w:p w14:paraId="13A425D8">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.4是否收取履约保证金：是。履约保证金百分比：1%。中标供应商应按照</w:t>
      </w:r>
      <w:r>
        <w:rPr>
          <w:rFonts w:hint="eastAsia" w:ascii="宋体" w:hAnsi="宋体" w:cs="宋体"/>
          <w:b w:val="0"/>
          <w:bCs w:val="0"/>
          <w:color w:val="auto"/>
          <w:sz w:val="24"/>
          <w:szCs w:val="24"/>
          <w:highlight w:val="none"/>
        </w:rPr>
        <w:t>合同包一年预算费用的</w:t>
      </w:r>
      <w:r>
        <w:rPr>
          <w:rFonts w:ascii="宋体" w:hAnsi="宋体" w:cs="宋体"/>
          <w:b w:val="0"/>
          <w:bCs w:val="0"/>
          <w:color w:val="auto"/>
          <w:sz w:val="24"/>
          <w:szCs w:val="24"/>
          <w:highlight w:val="none"/>
        </w:rPr>
        <w:t>1%缴纳履约保证金，用于履约保证和年度考核、合同违约情形的扣取。如因发生扣取事项导致履约保证金不足时，中标供应商应于15个工作日内向采购人补足相应款项，否则采购人有权从应付的结算费用中直接扣除；如未发生应扣取事项则相应款项继续留存作为下一年度履约保证金；待续签期限届满后，双方对合同履约情况不存在争议的情况下，采购人在20个工作日内将履约保证金全额无息返还给中标供应商。说明：履约保证金允许供应商通过保函等非现金方式提供履约保证金。中标人为中小企业的履约保证金减半收取。</w:t>
      </w:r>
    </w:p>
    <w:p w14:paraId="376BE695">
      <w:pPr>
        <w:spacing w:line="360" w:lineRule="auto"/>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ascii="宋体" w:hAnsi="宋体" w:cs="宋体"/>
          <w:b w:val="0"/>
          <w:bCs w:val="0"/>
          <w:color w:val="auto"/>
          <w:sz w:val="24"/>
          <w:szCs w:val="24"/>
          <w:highlight w:val="none"/>
        </w:rPr>
        <w:t>.5是否邀请投标人参与验收：</w:t>
      </w:r>
      <w:r>
        <w:rPr>
          <w:rFonts w:hint="eastAsia" w:ascii="宋体" w:hAnsi="宋体" w:cs="宋体"/>
          <w:b w:val="0"/>
          <w:bCs w:val="0"/>
          <w:color w:val="auto"/>
          <w:sz w:val="24"/>
          <w:szCs w:val="24"/>
          <w:highlight w:val="none"/>
        </w:rPr>
        <w:t>否</w:t>
      </w:r>
    </w:p>
    <w:p w14:paraId="66B0D8E5">
      <w:pPr>
        <w:tabs>
          <w:tab w:val="left" w:pos="0"/>
          <w:tab w:val="left" w:pos="426"/>
          <w:tab w:val="left" w:pos="851"/>
        </w:tabs>
        <w:spacing w:line="360" w:lineRule="auto"/>
        <w:ind w:left="0" w:leftChars="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.违约处罚及合同解除</w:t>
      </w:r>
    </w:p>
    <w:p w14:paraId="35C9C437">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.1在整个供货期间，中标人若未按招标文件及合同规定条款履行职责，则按相关违约规定处理，违约情况包括但不局限于：</w:t>
      </w:r>
    </w:p>
    <w:p w14:paraId="0A602432">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1.1供货商若不按采购人要求的数量供货，超过部分全部退回，不足部分由采购人另行采购，采购所需费用由供货商负责；供货商如不按时按量供货，影响采购人职工食堂正常运营的，每发生一次采购人将酌情从供货商履约保证金中扣除人民币1000-5000元。</w:t>
      </w:r>
    </w:p>
    <w:p w14:paraId="7FA01E19">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.1.2中标人若未根据采购人需求提供相应服务，且未在指定期限内整改的，每发生一次采购人将酌情从供货商履约保证金中扣除人民币1000-5000元。</w:t>
      </w:r>
    </w:p>
    <w:p w14:paraId="2FD7BAAA">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.1.3供货商未按合同约定的时间或采购人需求交货的，每延误一天按该批次延误食材总价的0.05%计收违约金直至交货为止，并承担由此给采购人造成的一切责任。</w:t>
      </w:r>
    </w:p>
    <w:p w14:paraId="6F2207AF">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.1.4供货质量无法达到招标文件、投标文件、厂家货物技术标准说明、《</w:t>
      </w:r>
      <w:r>
        <w:rPr>
          <w:rFonts w:hint="eastAsia" w:ascii="宋体" w:hAnsi="宋体" w:cs="宋体"/>
          <w:color w:val="auto"/>
          <w:sz w:val="24"/>
          <w:szCs w:val="24"/>
          <w:highlight w:val="none"/>
          <w:lang w:eastAsia="zh-CN"/>
        </w:rPr>
        <w:t>中华人民共和国食品安全法</w:t>
      </w:r>
      <w:r>
        <w:rPr>
          <w:rFonts w:hint="eastAsia" w:ascii="宋体" w:hAnsi="宋体" w:cs="宋体"/>
          <w:color w:val="auto"/>
          <w:sz w:val="24"/>
          <w:szCs w:val="24"/>
          <w:highlight w:val="none"/>
        </w:rPr>
        <w:t>》及国家有关食品卫生标准的质量标准规定要求及符合国家各项标准；质量抽检不合格；无法按厦门市“入市必登”系统要求提供当每批次所有产品的《上市凭证》。每发生一次以上情况，采购人将从供货商履约保证金中扣除该批次货物总价的百分之十（10%）。</w:t>
      </w:r>
    </w:p>
    <w:p w14:paraId="3319C55C">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.1.5供货商配送车辆及人员未达到招投标文件及合同约定标准的，每发生一次采购人将酌情从供货商履约保证金中扣除人民币1000-5000元。</w:t>
      </w:r>
    </w:p>
    <w:p w14:paraId="6DDE1917">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.1.6采购人抽查供货商报价，若发现供货商的成交价高于大型商超（线上或线下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不参与本项目招投标活动）或农贸市场的销售价格，发生一次采购人将从供货商履约保证金中扣除该批次货物总价的百分之十（10%）。</w:t>
      </w:r>
    </w:p>
    <w:p w14:paraId="015CBB51">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1.7供货商应认真做好结算清单梳理工作，确认结算金额与送货金额是否相符，采购人财务部门在审核过程中每发现数额等有差错一次，将按照就低原则进行货款支付并将酌情从供货商履约保证金中扣除人民币1000-5000元。</w:t>
      </w:r>
    </w:p>
    <w:p w14:paraId="582DB543">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.1.8供货商不积极配合采购人做好验收工作、出入库、结算、接受内外部检查等，每发生一次采购人将酌情从供货商履约保证金中扣除人民币1000-5000元。</w:t>
      </w:r>
    </w:p>
    <w:p w14:paraId="6361B408">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.1.9合同约定的其他情形：</w:t>
      </w:r>
    </w:p>
    <w:p w14:paraId="16558BC1">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.2合同期间如出现以下情况，采购人可直接解除合同并没收履约保证金：</w:t>
      </w:r>
    </w:p>
    <w:p w14:paraId="4F653758">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.2.1供货商一个供货年度内违反前述1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.1.1-1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.1.9的情形累计达三次的，或影响采购人职工食堂正常运营的。</w:t>
      </w:r>
    </w:p>
    <w:p w14:paraId="335D138F">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.2.2供货商在供货期间，因供货质量问题、供货商过失、过错等造成食物中毒等其他后果的。</w:t>
      </w:r>
    </w:p>
    <w:p w14:paraId="09C24E0C">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bookmarkStart w:id="119" w:name="_Hlk131771898"/>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w:t>
      </w:r>
      <w:bookmarkEnd w:id="119"/>
      <w:r>
        <w:rPr>
          <w:rFonts w:hint="eastAsia" w:ascii="宋体" w:hAnsi="宋体" w:cs="宋体"/>
          <w:color w:val="auto"/>
          <w:sz w:val="24"/>
          <w:szCs w:val="24"/>
          <w:highlight w:val="none"/>
        </w:rPr>
        <w:t>3法律法规规章、招投标文件、合同约定的其他情形。</w:t>
      </w:r>
    </w:p>
    <w:p w14:paraId="09B558E6">
      <w:pPr>
        <w:keepNext w:val="0"/>
        <w:keepLines w:val="0"/>
        <w:tabs>
          <w:tab w:val="left" w:pos="0"/>
          <w:tab w:val="left" w:pos="426"/>
          <w:tab w:val="left" w:pos="851"/>
        </w:tabs>
        <w:spacing w:line="360" w:lineRule="auto"/>
        <w:ind w:left="0" w:leftChars="0" w:firstLine="482"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rPr>
        <w:t>.其他事项</w:t>
      </w:r>
      <w:bookmarkStart w:id="120" w:name="_Toc531597924"/>
      <w:bookmarkStart w:id="121" w:name="_Toc495686417"/>
      <w:r>
        <w:rPr>
          <w:rFonts w:hint="eastAsia" w:ascii="宋体" w:hAnsi="宋体" w:cs="宋体"/>
          <w:b/>
          <w:color w:val="auto"/>
          <w:sz w:val="24"/>
          <w:szCs w:val="24"/>
          <w:highlight w:val="none"/>
        </w:rPr>
        <w:t>（商务响应要求</w:t>
      </w:r>
      <w:bookmarkEnd w:id="120"/>
      <w:bookmarkEnd w:id="121"/>
      <w:r>
        <w:rPr>
          <w:rFonts w:hint="eastAsia" w:ascii="宋体" w:hAnsi="宋体" w:cs="宋体"/>
          <w:b/>
          <w:color w:val="auto"/>
          <w:sz w:val="24"/>
          <w:szCs w:val="24"/>
          <w:highlight w:val="none"/>
        </w:rPr>
        <w:t>）</w:t>
      </w:r>
    </w:p>
    <w:p w14:paraId="02342194">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.1投标人应尽可能地提供能证明其货物符合国家标准的相关证明文件（如权威部门对货物的鉴定证书、检测报告、安全、质量及环保认证等）。</w:t>
      </w:r>
    </w:p>
    <w:p w14:paraId="7C6AE41E">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.2投标人应尽可能地提供与供货服务有关的质量管理体系认证、环境管理体系认证、职业健康安全管理体系认证、食品安全管理体系认证证书等。</w:t>
      </w:r>
    </w:p>
    <w:p w14:paraId="65091B3E">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.3投标人应承诺2023年1月1日以来在国家市场监督管理总局关于食品安全抽查公布结果查询系统（https://spcjsac.gsxt.gov.cn/）的查询结果（按投标人名称查询）中未查询到不合格产品信息。</w:t>
      </w:r>
    </w:p>
    <w:p w14:paraId="79D027E2">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.4投标人应尽可能地提供2023年至今的企业信誉及财务状况等相关证明材料的有效复印件。</w:t>
      </w:r>
    </w:p>
    <w:p w14:paraId="202C4612">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.5投标人应尽可能地提供安全生产管理制度、食品卫生管理制度、食品安全管理制度、食品从业人员管理等制度。</w:t>
      </w:r>
    </w:p>
    <w:p w14:paraId="20CDC010">
      <w:pPr>
        <w:tabs>
          <w:tab w:val="left" w:pos="0"/>
          <w:tab w:val="left" w:pos="426"/>
          <w:tab w:val="left" w:pos="851"/>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.6投标人应提供2023年至今（以合同签订时间为准）与所投合同包品目内容类似项目的经营业绩、经验</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lang w:eastAsia="zh-CN"/>
        </w:rPr>
        <w:t>用户满意度情况</w:t>
      </w:r>
      <w:r>
        <w:rPr>
          <w:rFonts w:hint="eastAsia" w:ascii="宋体" w:hAnsi="宋体" w:cs="宋体"/>
          <w:color w:val="auto"/>
          <w:sz w:val="24"/>
          <w:szCs w:val="24"/>
          <w:highlight w:val="none"/>
        </w:rPr>
        <w:t>的有效证明文件，原件备查。</w:t>
      </w:r>
    </w:p>
    <w:p w14:paraId="0DBFC500">
      <w:pPr>
        <w:tabs>
          <w:tab w:val="left" w:pos="0"/>
          <w:tab w:val="left" w:pos="426"/>
          <w:tab w:val="left" w:pos="851"/>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.7投标人应承诺投标人及其分公司距本项目开标之日前五年内，未发生过食物中毒安全事故或因食品安全问题被行政处罚及公告。</w:t>
      </w:r>
    </w:p>
    <w:p w14:paraId="103A7526">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须根据本项目的特点提供以下材料（包括但不限于）投标书、开标一览表、资格证明材料、“★”号条款逐条响应情况表及承诺书、供货清单、供货方案及质量保证措施、技术规格和商务响应表、售后服务承诺等。</w:t>
      </w:r>
    </w:p>
    <w:p w14:paraId="6D61DC82">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以上证明文件均应加盖投标人公章。</w:t>
      </w:r>
    </w:p>
    <w:p w14:paraId="1E602412">
      <w:pPr>
        <w:keepNext w:val="0"/>
        <w:keepLines w:val="0"/>
        <w:tabs>
          <w:tab w:val="left" w:pos="0"/>
          <w:tab w:val="left" w:pos="426"/>
          <w:tab w:val="left" w:pos="851"/>
        </w:tabs>
        <w:spacing w:line="360" w:lineRule="auto"/>
        <w:ind w:firstLine="482" w:firstLineChars="200"/>
        <w:jc w:val="both"/>
        <w:outlineLvl w:val="9"/>
        <w:rPr>
          <w:rFonts w:ascii="宋体" w:hAnsi="宋体" w:cs="宋体"/>
          <w:b/>
          <w:color w:val="auto"/>
          <w:sz w:val="24"/>
          <w:szCs w:val="24"/>
          <w:highlight w:val="none"/>
        </w:rPr>
      </w:pPr>
      <w:bookmarkStart w:id="122" w:name="_Toc37963486"/>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.售后及增值服务</w:t>
      </w:r>
      <w:bookmarkEnd w:id="122"/>
    </w:p>
    <w:p w14:paraId="76466267">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.1.投标人应在投标文件中提出详细具体的售后服务条款、保障措施，最少应响应以下内容：</w:t>
      </w:r>
    </w:p>
    <w:p w14:paraId="035C9810">
      <w:pPr>
        <w:tabs>
          <w:tab w:val="left" w:pos="0"/>
          <w:tab w:val="left" w:pos="426"/>
          <w:tab w:val="left" w:pos="851"/>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.2售后服务严格按照国家消费者协会三包法规定执行。包括但不限于退换货方案、对于不符合采购品质要求、不能通过验收的，采购人对食材品质存在疑虑等情形，在限定时间内免费退换、补齐等。</w:t>
      </w:r>
    </w:p>
    <w:p w14:paraId="0F347343">
      <w:pPr>
        <w:tabs>
          <w:tab w:val="left" w:pos="0"/>
          <w:tab w:val="left" w:pos="426"/>
          <w:tab w:val="left" w:pos="851"/>
        </w:tabs>
        <w:spacing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14.3</w:t>
      </w:r>
      <w:r>
        <w:rPr>
          <w:rFonts w:hint="eastAsia" w:ascii="宋体" w:hAnsi="宋体" w:cs="宋体"/>
          <w:color w:val="auto"/>
          <w:sz w:val="24"/>
          <w:szCs w:val="24"/>
          <w:highlight w:val="none"/>
        </w:rPr>
        <w:t>投标人应承诺为本项目购买“食品安全责任险”</w:t>
      </w:r>
      <w:r>
        <w:rPr>
          <w:rFonts w:hint="eastAsia" w:ascii="宋体" w:hAnsi="宋体" w:cs="宋体"/>
          <w:color w:val="auto"/>
          <w:sz w:val="24"/>
          <w:szCs w:val="24"/>
          <w:highlight w:val="none"/>
          <w:lang w:eastAsia="zh-CN"/>
        </w:rPr>
        <w:t>。</w:t>
      </w:r>
    </w:p>
    <w:p w14:paraId="136B1C9F">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投标人应在投标文件中根据自身情况，结合采购人职工需求等，设计增值服务方案、条款及承诺。</w:t>
      </w:r>
    </w:p>
    <w:p w14:paraId="0A0594EC">
      <w:pPr>
        <w:tabs>
          <w:tab w:val="left" w:pos="0"/>
          <w:tab w:val="left" w:pos="426"/>
          <w:tab w:val="left" w:pos="851"/>
        </w:tabs>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投标人认为有利于采购人的其他优惠条款应单独列明。</w:t>
      </w:r>
    </w:p>
    <w:p w14:paraId="70E0D1A0">
      <w:pPr>
        <w:keepNext w:val="0"/>
        <w:keepLines w:val="0"/>
        <w:tabs>
          <w:tab w:val="left" w:pos="0"/>
          <w:tab w:val="left" w:pos="426"/>
          <w:tab w:val="left" w:pos="851"/>
        </w:tabs>
        <w:spacing w:line="360" w:lineRule="auto"/>
        <w:ind w:firstLine="482" w:firstLineChars="200"/>
        <w:jc w:val="both"/>
        <w:outlineLvl w:val="9"/>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.风险承担与责任认定机制</w:t>
      </w:r>
    </w:p>
    <w:p w14:paraId="46B7F7B3">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1中标人的服务人员与采购人不存在劳动关系，在为采购人服务期间发生的工伤风险、意外事故或作业安全问题引发的人身伤亡和财产损失，等赔偿责任及相关费用，解聘服务人员所需的经济补偿金等均由中标人自行承担。</w:t>
      </w:r>
    </w:p>
    <w:p w14:paraId="25C571BC">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.2治安事件的责任认定，以公安部门裁定为准；非治安事件的责任认定，由双方协商，协商不成的，以诉讼方式认定。</w:t>
      </w:r>
    </w:p>
    <w:p w14:paraId="4EE3D108">
      <w:pPr>
        <w:spacing w:line="360" w:lineRule="auto"/>
        <w:ind w:left="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以上要求投标人应提供证明材料，并加盖投标人公章。</w:t>
      </w:r>
    </w:p>
    <w:p w14:paraId="05C7AC20">
      <w:pPr>
        <w:keepNext w:val="0"/>
        <w:keepLines w:val="0"/>
        <w:tabs>
          <w:tab w:val="left" w:pos="0"/>
          <w:tab w:val="left" w:pos="426"/>
          <w:tab w:val="left" w:pos="851"/>
        </w:tabs>
        <w:spacing w:line="360" w:lineRule="auto"/>
        <w:ind w:firstLine="482" w:firstLineChars="200"/>
        <w:jc w:val="both"/>
        <w:outlineLvl w:val="9"/>
        <w:rPr>
          <w:rFonts w:ascii="宋体" w:hAnsi="宋体" w:cs="宋体"/>
          <w:b/>
          <w:color w:val="auto"/>
          <w:sz w:val="24"/>
          <w:szCs w:val="24"/>
          <w:highlight w:val="none"/>
        </w:rPr>
      </w:pPr>
      <w:bookmarkStart w:id="123" w:name="_Toc531597926"/>
      <w:bookmarkStart w:id="124" w:name="_Toc495686420"/>
      <w:r>
        <w:rPr>
          <w:rFonts w:hint="eastAsia" w:ascii="宋体" w:hAnsi="宋体" w:cs="宋体"/>
          <w:b/>
          <w:color w:val="auto"/>
          <w:sz w:val="24"/>
          <w:szCs w:val="24"/>
          <w:highlight w:val="none"/>
          <w:lang w:val="en-US" w:eastAsia="zh-CN"/>
        </w:rPr>
        <w:t>16</w:t>
      </w:r>
      <w:r>
        <w:rPr>
          <w:rFonts w:hint="eastAsia" w:ascii="宋体" w:hAnsi="宋体" w:cs="宋体"/>
          <w:b/>
          <w:color w:val="auto"/>
          <w:sz w:val="24"/>
          <w:szCs w:val="24"/>
          <w:highlight w:val="none"/>
        </w:rPr>
        <w:t>.投标报价</w:t>
      </w:r>
      <w:bookmarkEnd w:id="123"/>
      <w:bookmarkEnd w:id="124"/>
    </w:p>
    <w:p w14:paraId="6044E908">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1投标报价为货物送达采购人指定地点，经采购人验收合格并交货完毕所有可能发生的费用，包括但不限于：食材费用、人工、材料、损耗、生产、检验检疫、运输、搬运、管理、保险、利润、包装、加工、设备折旧费、检测费、各种税费、售后服务、免费按时退换货服务、招标代理服务费等费用。如有遗漏，投标人应予补充，否则，一旦中标将认为投标人认同遗漏部分并免费提供。</w:t>
      </w:r>
    </w:p>
    <w:p w14:paraId="7F0301EC">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.2本次投标报价统一采用收费比例方式报价，如中标，该收费比例即为中标收费比例，将作为签署合同时的计价依据。</w:t>
      </w:r>
    </w:p>
    <w:p w14:paraId="4727416F">
      <w:pPr>
        <w:spacing w:line="360" w:lineRule="auto"/>
        <w:ind w:firstLine="482" w:firstLineChars="200"/>
        <w:rPr>
          <w:rFonts w:ascii="宋体" w:hAnsi="宋体" w:cs="宋体"/>
          <w:b/>
          <w:bCs/>
          <w:color w:val="auto"/>
          <w:sz w:val="24"/>
          <w:szCs w:val="32"/>
          <w:highlight w:val="none"/>
        </w:rPr>
      </w:pPr>
      <w:r>
        <w:rPr>
          <w:rFonts w:hint="eastAsia" w:ascii="宋体" w:hAnsi="宋体" w:cs="宋体"/>
          <w:b/>
          <w:bCs/>
          <w:color w:val="auto"/>
          <w:sz w:val="24"/>
          <w:szCs w:val="32"/>
          <w:highlight w:val="none"/>
        </w:rPr>
        <w:t>★</w:t>
      </w:r>
      <w:r>
        <w:rPr>
          <w:rFonts w:hint="eastAsia" w:ascii="宋体" w:hAnsi="宋体" w:cs="宋体"/>
          <w:b/>
          <w:bCs/>
          <w:color w:val="auto"/>
          <w:sz w:val="24"/>
          <w:szCs w:val="32"/>
          <w:highlight w:val="none"/>
          <w:lang w:val="en-US" w:eastAsia="zh-CN"/>
        </w:rPr>
        <w:t>16</w:t>
      </w:r>
      <w:r>
        <w:rPr>
          <w:rFonts w:hint="eastAsia" w:ascii="宋体" w:hAnsi="宋体" w:cs="宋体"/>
          <w:b/>
          <w:bCs/>
          <w:color w:val="auto"/>
          <w:sz w:val="24"/>
          <w:szCs w:val="32"/>
          <w:highlight w:val="none"/>
        </w:rPr>
        <w:t>.3基准价的确定方式：每月确定一次，即每月25日确定次月价格。投标人在市场调查价格的基础上进行报价，选择大型商超（朴朴、永辉、沃尔玛、天虹、大润发、麦德龙、夏商等）任选2-3家平均价作为基准价参考依据，以同类、同质商品的价格作为当期基准价，并提供商品价格调查截图。若在大型商超中无法找到相应的商品，则由双方根据市场行情确定基准价。采购人定期到大型商超（线上或线下）或农贸市场询价，监督审核每个周期的基准价。中标人的供货价格=该周期的基准价×中标收费比例。合同期限内，中标收费比例不再调整，投标人应自行核算项目正常、合法运作及使用所可能发生的一切费用。合同报价应包含产品价款、储存、途中运输装卸费、损耗费、人工费、保险及其它服务、税费等一切费用。投标人必须在投标文件中提供书面承诺接受以上条款。</w:t>
      </w:r>
    </w:p>
    <w:p w14:paraId="6BA9BB92">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.4投标人对本项目只能有一个报价，采购人不接受有选择的报价。</w:t>
      </w:r>
    </w:p>
    <w:p w14:paraId="225C9146">
      <w:pPr>
        <w:widowControl/>
        <w:tabs>
          <w:tab w:val="left" w:pos="0"/>
        </w:tabs>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iCs/>
          <w:color w:val="auto"/>
          <w:sz w:val="24"/>
          <w:szCs w:val="24"/>
          <w:highlight w:val="none"/>
        </w:rPr>
        <w:t>★</w:t>
      </w:r>
      <w:r>
        <w:rPr>
          <w:rFonts w:hint="eastAsia" w:ascii="宋体" w:hAnsi="宋体" w:cs="宋体"/>
          <w:b/>
          <w:bCs/>
          <w:iCs/>
          <w:color w:val="auto"/>
          <w:sz w:val="24"/>
          <w:szCs w:val="24"/>
          <w:highlight w:val="none"/>
          <w:lang w:val="en-US" w:eastAsia="zh-CN"/>
        </w:rPr>
        <w:t>16</w:t>
      </w:r>
      <w:r>
        <w:rPr>
          <w:rFonts w:hint="eastAsia" w:ascii="宋体" w:hAnsi="宋体" w:cs="宋体"/>
          <w:b/>
          <w:bCs/>
          <w:iCs/>
          <w:color w:val="auto"/>
          <w:sz w:val="24"/>
          <w:szCs w:val="24"/>
          <w:highlight w:val="none"/>
        </w:rPr>
        <w:t>.5本项目最高限价为100%，投标人的投标报价（即投标收费比例）不得高于100%，否则视为无效投标。</w:t>
      </w:r>
    </w:p>
    <w:p w14:paraId="009A1DD9">
      <w:pPr>
        <w:widowControl/>
        <w:tabs>
          <w:tab w:val="left" w:pos="0"/>
        </w:tabs>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.6本次采购项目为整体采购，投标人应对项目合同包内的所有子项内容进行投标、不得拆分。</w:t>
      </w:r>
    </w:p>
    <w:bookmarkEnd w:id="107"/>
    <w:p w14:paraId="0547AA7B">
      <w:pPr>
        <w:jc w:val="center"/>
        <w:rPr>
          <w:rFonts w:hAnsi="宋体"/>
          <w:b/>
          <w:bCs/>
          <w:color w:val="auto"/>
          <w:sz w:val="32"/>
          <w:highlight w:val="none"/>
        </w:rPr>
      </w:pPr>
      <w:bookmarkStart w:id="125" w:name="_Toc21503"/>
      <w:bookmarkStart w:id="126" w:name="_Toc24970"/>
      <w:bookmarkStart w:id="127" w:name="_Toc17680"/>
      <w:bookmarkStart w:id="128" w:name="_Toc28004"/>
      <w:bookmarkStart w:id="129" w:name="_Toc16058"/>
    </w:p>
    <w:p w14:paraId="49A749DD">
      <w:pPr>
        <w:spacing w:line="360" w:lineRule="auto"/>
        <w:jc w:val="center"/>
        <w:outlineLvl w:val="0"/>
        <w:rPr>
          <w:rFonts w:hAnsi="宋体"/>
          <w:b/>
          <w:bCs/>
          <w:color w:val="auto"/>
          <w:sz w:val="32"/>
          <w:highlight w:val="none"/>
        </w:rPr>
        <w:sectPr>
          <w:headerReference r:id="rId9" w:type="default"/>
          <w:footerReference r:id="rId10" w:type="default"/>
          <w:pgSz w:w="11907" w:h="16840"/>
          <w:pgMar w:top="1361" w:right="1752" w:bottom="1440" w:left="1752" w:header="851" w:footer="992" w:gutter="0"/>
          <w:cols w:space="720" w:num="1"/>
        </w:sectPr>
      </w:pPr>
      <w:bookmarkStart w:id="130" w:name="_Toc30940"/>
    </w:p>
    <w:p w14:paraId="7F939850">
      <w:pPr>
        <w:pStyle w:val="10"/>
        <w:spacing w:line="360" w:lineRule="auto"/>
        <w:jc w:val="center"/>
        <w:outlineLvl w:val="0"/>
        <w:rPr>
          <w:rFonts w:hAnsi="宋体" w:cs="宋体"/>
          <w:b/>
          <w:bCs/>
          <w:color w:val="auto"/>
          <w:sz w:val="32"/>
          <w:szCs w:val="32"/>
          <w:highlight w:val="none"/>
        </w:rPr>
      </w:pPr>
      <w:bookmarkStart w:id="131" w:name="_Toc26695"/>
      <w:r>
        <w:rPr>
          <w:rFonts w:hint="eastAsia" w:hAnsi="宋体"/>
          <w:b/>
          <w:bCs/>
          <w:color w:val="auto"/>
          <w:sz w:val="32"/>
          <w:highlight w:val="none"/>
        </w:rPr>
        <w:t>第四章  政府采购合同</w:t>
      </w:r>
      <w:bookmarkEnd w:id="125"/>
      <w:bookmarkEnd w:id="126"/>
      <w:bookmarkEnd w:id="127"/>
      <w:bookmarkEnd w:id="128"/>
      <w:bookmarkEnd w:id="129"/>
      <w:bookmarkEnd w:id="130"/>
      <w:bookmarkEnd w:id="131"/>
    </w:p>
    <w:tbl>
      <w:tblPr>
        <w:tblStyle w:val="22"/>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14:paraId="68B3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8099" w:type="dxa"/>
          </w:tcPr>
          <w:p w14:paraId="7265907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785CC2BD">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但不得与招标文件、投标文件的实质性内容相背离。</w:t>
            </w:r>
          </w:p>
        </w:tc>
      </w:tr>
    </w:tbl>
    <w:p w14:paraId="022269DB">
      <w:pPr>
        <w:spacing w:line="360" w:lineRule="auto"/>
        <w:ind w:left="-284"/>
        <w:rPr>
          <w:rFonts w:ascii="宋体" w:hAnsi="宋体" w:cs="宋体"/>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 xml:space="preserve">   </w:t>
      </w:r>
    </w:p>
    <w:p w14:paraId="7C46A6F0">
      <w:pPr>
        <w:pStyle w:val="52"/>
        <w:spacing w:line="600" w:lineRule="exact"/>
        <w:jc w:val="center"/>
        <w:rPr>
          <w:rFonts w:ascii="仿宋_GB2312" w:eastAsia="仿宋_GB2312"/>
          <w:b/>
          <w:bCs/>
          <w:color w:val="auto"/>
          <w:sz w:val="36"/>
          <w:szCs w:val="36"/>
          <w:highlight w:val="none"/>
        </w:rPr>
      </w:pPr>
      <w:r>
        <w:rPr>
          <w:rFonts w:hint="eastAsia" w:ascii="宋体" w:hAnsi="宋体" w:cs="宋体"/>
          <w:color w:val="auto"/>
          <w:sz w:val="18"/>
          <w:szCs w:val="18"/>
          <w:highlight w:val="none"/>
        </w:rPr>
        <w:t xml:space="preserve">  </w:t>
      </w:r>
      <w:r>
        <w:rPr>
          <w:rFonts w:hint="eastAsia" w:ascii="仿宋_GB2312" w:eastAsia="仿宋_GB2312"/>
          <w:b/>
          <w:bCs/>
          <w:color w:val="auto"/>
          <w:sz w:val="36"/>
          <w:szCs w:val="36"/>
          <w:highlight w:val="none"/>
        </w:rPr>
        <w:t>中国人民银行厦门市分行</w:t>
      </w:r>
    </w:p>
    <w:p w14:paraId="4E0F9B9D">
      <w:pPr>
        <w:pStyle w:val="52"/>
        <w:spacing w:line="600" w:lineRule="exact"/>
        <w:jc w:val="center"/>
        <w:rPr>
          <w:rFonts w:ascii="仿宋_GB2312" w:eastAsia="仿宋_GB2312"/>
          <w:b/>
          <w:bCs/>
          <w:color w:val="auto"/>
          <w:sz w:val="36"/>
          <w:szCs w:val="36"/>
          <w:highlight w:val="none"/>
        </w:rPr>
      </w:pPr>
      <w:r>
        <w:rPr>
          <w:rFonts w:hint="eastAsia" w:ascii="仿宋_GB2312" w:eastAsia="仿宋_GB2312"/>
          <w:b/>
          <w:bCs/>
          <w:color w:val="auto"/>
          <w:sz w:val="36"/>
          <w:szCs w:val="36"/>
          <w:highlight w:val="none"/>
        </w:rPr>
        <w:t>食材采购合同</w:t>
      </w:r>
    </w:p>
    <w:p w14:paraId="00C405CF">
      <w:pPr>
        <w:pStyle w:val="52"/>
        <w:spacing w:line="600" w:lineRule="exact"/>
        <w:rPr>
          <w:rFonts w:ascii="仿宋_GB2312" w:eastAsia="仿宋_GB2312"/>
          <w:b/>
          <w:bCs/>
          <w:color w:val="auto"/>
          <w:sz w:val="32"/>
          <w:szCs w:val="32"/>
          <w:highlight w:val="none"/>
        </w:rPr>
      </w:pPr>
    </w:p>
    <w:p w14:paraId="6E018DC8">
      <w:pPr>
        <w:pStyle w:val="52"/>
        <w:spacing w:line="360" w:lineRule="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甲 方：</w:t>
      </w:r>
    </w:p>
    <w:p w14:paraId="28025416">
      <w:pPr>
        <w:pStyle w:val="52"/>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乙 方：</w:t>
      </w:r>
    </w:p>
    <w:p w14:paraId="382A31B0">
      <w:pPr>
        <w:pStyle w:val="52"/>
        <w:spacing w:line="360" w:lineRule="auto"/>
        <w:rPr>
          <w:rFonts w:ascii="仿宋_GB2312" w:hAnsi="仿宋_GB2312" w:eastAsia="仿宋_GB2312" w:cs="仿宋_GB2312"/>
          <w:color w:val="auto"/>
          <w:sz w:val="28"/>
          <w:szCs w:val="28"/>
          <w:highlight w:val="none"/>
        </w:rPr>
      </w:pPr>
    </w:p>
    <w:p w14:paraId="5F58FA28">
      <w:pPr>
        <w:pStyle w:val="52"/>
        <w:spacing w:line="360" w:lineRule="auto"/>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通过公开招标方式，确认乙方为甲方食堂定点服务供货商之一。为了双方严格履行各自职责，遵照《中华人民共和国政府采购法》及其实施条例、《中华人民共和国民法典》等法律法规及其他有关规定，甲、乙双方在平等、自愿、协商一致的基础上，达成如下合同：</w:t>
      </w:r>
    </w:p>
    <w:p w14:paraId="362CF955">
      <w:pPr>
        <w:pStyle w:val="52"/>
        <w:spacing w:line="360" w:lineRule="auto"/>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w:t>
      </w:r>
      <w:r>
        <w:rPr>
          <w:rFonts w:hint="eastAsia" w:ascii="仿宋_GB2312" w:hAnsi="仿宋_GB2312" w:eastAsia="仿宋_GB2312" w:cs="仿宋_GB2312"/>
          <w:b/>
          <w:color w:val="auto"/>
          <w:sz w:val="28"/>
          <w:szCs w:val="28"/>
          <w:highlight w:val="none"/>
        </w:rPr>
        <w:t>供货内容</w:t>
      </w:r>
    </w:p>
    <w:p w14:paraId="75056601">
      <w:pPr>
        <w:pStyle w:val="52"/>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甲方向乙方采购</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等食堂原材料。</w:t>
      </w:r>
    </w:p>
    <w:p w14:paraId="163778CC">
      <w:pPr>
        <w:pStyle w:val="52"/>
        <w:spacing w:line="360" w:lineRule="auto"/>
        <w:ind w:left="1" w:firstLine="562"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二、供货地点</w:t>
      </w:r>
    </w:p>
    <w:p w14:paraId="2079F7EB">
      <w:pPr>
        <w:pStyle w:val="52"/>
        <w:spacing w:line="360" w:lineRule="auto"/>
        <w:ind w:left="1"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中国人民银行厦门市分行食堂指定区域（厦门市思明区展鸿路100号和</w:t>
      </w:r>
      <w:r>
        <w:rPr>
          <w:rFonts w:hint="eastAsia" w:ascii="仿宋_GB2312" w:hAnsi="仿宋_GB2312" w:eastAsia="仿宋_GB2312" w:cs="仿宋_GB2312"/>
          <w:color w:val="auto"/>
          <w:sz w:val="28"/>
          <w:szCs w:val="28"/>
          <w:highlight w:val="none"/>
          <w:lang w:val="zh-CN"/>
        </w:rPr>
        <w:t>翔安区黎林路1699号</w:t>
      </w:r>
      <w:r>
        <w:rPr>
          <w:rFonts w:hint="eastAsia" w:ascii="仿宋_GB2312" w:hAnsi="仿宋_GB2312" w:eastAsia="仿宋_GB2312" w:cs="仿宋_GB2312"/>
          <w:color w:val="auto"/>
          <w:sz w:val="28"/>
          <w:szCs w:val="28"/>
          <w:highlight w:val="none"/>
        </w:rPr>
        <w:t>）。</w:t>
      </w:r>
    </w:p>
    <w:p w14:paraId="33543CB7">
      <w:pPr>
        <w:pStyle w:val="52"/>
        <w:spacing w:line="360" w:lineRule="auto"/>
        <w:ind w:left="1" w:firstLine="562"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三、合同期限</w:t>
      </w:r>
    </w:p>
    <w:p w14:paraId="0EC7D595">
      <w:pPr>
        <w:pStyle w:val="52"/>
        <w:spacing w:line="360" w:lineRule="auto"/>
        <w:ind w:left="1" w:firstLine="560" w:firstLineChars="200"/>
        <w:rPr>
          <w:rFonts w:hint="eastAsia" w:ascii="仿宋_GB2312" w:hAnsi="仿宋_GB2312" w:eastAsia="宋体"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本合同服务期限为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rPr>
        <w:t>年，自</w:t>
      </w:r>
      <w:r>
        <w:rPr>
          <w:rFonts w:hint="eastAsia" w:ascii="仿宋_GB2312" w:hAnsi="仿宋_GB2312" w:eastAsia="仿宋_GB2312" w:cs="仿宋_GB2312"/>
          <w:color w:val="auto"/>
          <w:sz w:val="28"/>
          <w:szCs w:val="28"/>
          <w:highlight w:val="none"/>
          <w:u w:val="single"/>
        </w:rPr>
        <w:t xml:space="preserve">    年  月  日至    年  月  日</w:t>
      </w:r>
      <w:r>
        <w:rPr>
          <w:rFonts w:hint="eastAsia" w:ascii="仿宋_GB2312" w:hAnsi="仿宋_GB2312" w:eastAsia="仿宋_GB2312" w:cs="仿宋_GB2312"/>
          <w:color w:val="auto"/>
          <w:sz w:val="28"/>
          <w:szCs w:val="28"/>
          <w:highlight w:val="none"/>
        </w:rPr>
        <w:t>止。一年服务期满后，在预算资金有保障、服务价格不提高的前提下，中标人经采购人考核</w:t>
      </w:r>
      <w:r>
        <w:rPr>
          <w:rFonts w:hint="eastAsia" w:ascii="仿宋_GB2312" w:hAnsi="仿宋_GB2312" w:eastAsia="仿宋_GB2312" w:cs="仿宋_GB2312"/>
          <w:color w:val="auto"/>
          <w:sz w:val="28"/>
          <w:szCs w:val="28"/>
          <w:highlight w:val="none"/>
          <w:lang w:eastAsia="zh-CN"/>
        </w:rPr>
        <w:t>（考核表详见附件《厦门市分行食堂食材配送服务考核指标》）</w:t>
      </w:r>
      <w:r>
        <w:rPr>
          <w:rFonts w:hint="eastAsia" w:ascii="仿宋_GB2312" w:hAnsi="仿宋_GB2312" w:eastAsia="仿宋_GB2312" w:cs="仿宋_GB2312"/>
          <w:color w:val="auto"/>
          <w:sz w:val="28"/>
          <w:szCs w:val="28"/>
          <w:highlight w:val="none"/>
        </w:rPr>
        <w:t>合格，可与采购人续签下一年度服务外包合同，最多续签2次。</w:t>
      </w:r>
      <w:r>
        <w:rPr>
          <w:rFonts w:hint="eastAsia" w:ascii="仿宋_GB2312" w:hAnsi="仿宋_GB2312" w:eastAsia="仿宋_GB2312" w:cs="仿宋_GB2312"/>
          <w:color w:val="auto"/>
          <w:sz w:val="28"/>
          <w:szCs w:val="28"/>
          <w:highlight w:val="none"/>
          <w:lang w:eastAsia="zh-CN"/>
        </w:rPr>
        <w:t>因乙方违约、服务质量不达标或其他依照本合同约定足以影响合同目的实现的情形，甲方有权提前解除本合同，且不视为甲方违约。</w:t>
      </w:r>
    </w:p>
    <w:p w14:paraId="334CB120">
      <w:pPr>
        <w:pStyle w:val="52"/>
        <w:spacing w:line="360" w:lineRule="auto"/>
        <w:ind w:firstLine="562"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四、供货数量及供货时间</w:t>
      </w:r>
    </w:p>
    <w:p w14:paraId="52A48B14">
      <w:pPr>
        <w:pStyle w:val="52"/>
        <w:spacing w:line="360" w:lineRule="auto"/>
        <w:ind w:firstLine="55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  供货数量及供货时间视甲方食堂的需求而定。甲方于每个供货日前一日的20时（北京时间）前，以电话或书面形式通知乙方供货日当日的食材采购需求，需求内容含食材的品名、规格、数量及有关特别说明或要求等，乙方须在指定时间前（详见附件）将食材送达甲方食堂，运送费用由乙方承担。乙方如未按甲方通知的食材采购需求供应食材，对于不符合要求的部分甲方有权退回，或要求乙方及时补齐，不得影响甲方食堂正常运营。</w:t>
      </w:r>
    </w:p>
    <w:p w14:paraId="0E3F1D17">
      <w:pPr>
        <w:widowControl/>
        <w:spacing w:line="360" w:lineRule="auto"/>
        <w:ind w:firstLine="48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4.2  </w:t>
      </w:r>
      <w:r>
        <w:rPr>
          <w:rFonts w:hint="eastAsia" w:ascii="仿宋_GB2312" w:hAnsi="仿宋_GB2312" w:eastAsia="仿宋_GB2312" w:cs="仿宋_GB2312"/>
          <w:color w:val="auto"/>
          <w:kern w:val="0"/>
          <w:sz w:val="28"/>
          <w:szCs w:val="28"/>
          <w:highlight w:val="none"/>
        </w:rPr>
        <w:t>乙方所配送</w:t>
      </w:r>
      <w:r>
        <w:rPr>
          <w:rFonts w:hint="eastAsia" w:ascii="仿宋_GB2312" w:hAnsi="仿宋_GB2312" w:eastAsia="仿宋_GB2312" w:cs="仿宋_GB2312"/>
          <w:color w:val="auto"/>
          <w:sz w:val="28"/>
          <w:szCs w:val="28"/>
          <w:highlight w:val="none"/>
        </w:rPr>
        <w:t>食材</w:t>
      </w:r>
      <w:r>
        <w:rPr>
          <w:rFonts w:hint="eastAsia" w:ascii="仿宋_GB2312" w:hAnsi="仿宋_GB2312" w:eastAsia="仿宋_GB2312" w:cs="仿宋_GB2312"/>
          <w:color w:val="auto"/>
          <w:kern w:val="0"/>
          <w:sz w:val="28"/>
          <w:szCs w:val="28"/>
          <w:highlight w:val="none"/>
        </w:rPr>
        <w:t>不符合甲方要求须进行退换处理的，乙方送货专人应立即协调乙方各部门对</w:t>
      </w:r>
      <w:r>
        <w:rPr>
          <w:rFonts w:hint="eastAsia" w:ascii="仿宋_GB2312" w:hAnsi="仿宋_GB2312" w:eastAsia="仿宋_GB2312" w:cs="仿宋_GB2312"/>
          <w:color w:val="auto"/>
          <w:sz w:val="28"/>
          <w:szCs w:val="28"/>
          <w:highlight w:val="none"/>
        </w:rPr>
        <w:t>不符合要求的部分</w:t>
      </w:r>
      <w:r>
        <w:rPr>
          <w:rFonts w:hint="eastAsia" w:ascii="仿宋_GB2312" w:hAnsi="仿宋_GB2312" w:eastAsia="仿宋_GB2312" w:cs="仿宋_GB2312"/>
          <w:color w:val="auto"/>
          <w:kern w:val="0"/>
          <w:sz w:val="28"/>
          <w:szCs w:val="28"/>
          <w:highlight w:val="none"/>
        </w:rPr>
        <w:t>进行退换处理，乙方须在甲方提出退换处理要求后的1小时内及时退换食材，且不得因此而影响甲方的供餐时间，由此产生的一切费用由乙方承担；如乙方无法满足甲方需求，甲方有权通知其他供货商供货，由此产生的额外费用由乙方承担。</w:t>
      </w:r>
    </w:p>
    <w:p w14:paraId="458941F1">
      <w:pPr>
        <w:pStyle w:val="52"/>
        <w:spacing w:line="360" w:lineRule="auto"/>
        <w:ind w:firstLine="55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  如遇甲方提出临时食材采购需求，乙方应积极响应。如需应急增补食材，乙方必须在甲方提出临时食材采购需求后的3小时内送达甲方指定的地点。如乙方无法满足甲方提出的临时食材采购需求，甲方有权通知其他供货商供货，由此产生的额外费用由乙方承担。</w:t>
      </w:r>
    </w:p>
    <w:p w14:paraId="1AFE4037">
      <w:pPr>
        <w:pStyle w:val="52"/>
        <w:spacing w:line="360" w:lineRule="auto"/>
        <w:ind w:firstLine="555"/>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4.4  若</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在合作期间有不可抗力（如疫情、不可抗力导致的货物短缺、极端气候影响等）出现而导致无法供应或因履约不合格被取消配送资格，</w:t>
      </w:r>
      <w:r>
        <w:rPr>
          <w:rFonts w:hint="eastAsia" w:ascii="仿宋_GB2312" w:hAnsi="仿宋_GB2312" w:eastAsia="仿宋_GB2312" w:cs="仿宋_GB2312"/>
          <w:color w:val="auto"/>
          <w:sz w:val="28"/>
          <w:szCs w:val="28"/>
          <w:highlight w:val="none"/>
        </w:rPr>
        <w:t>甲方有权通知</w:t>
      </w:r>
      <w:r>
        <w:rPr>
          <w:rFonts w:hint="eastAsia" w:ascii="仿宋_GB2312" w:hAnsi="仿宋_GB2312" w:eastAsia="仿宋_GB2312" w:cs="仿宋_GB2312"/>
          <w:color w:val="auto"/>
          <w:sz w:val="28"/>
          <w:szCs w:val="28"/>
          <w:highlight w:val="none"/>
          <w:lang w:val="en-US" w:eastAsia="zh-CN"/>
        </w:rPr>
        <w:t>其他合同包的中标人临时供应。</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可选择同质最低价者供应。</w:t>
      </w:r>
    </w:p>
    <w:p w14:paraId="2FE38CDB">
      <w:pPr>
        <w:pStyle w:val="52"/>
        <w:spacing w:line="360" w:lineRule="auto"/>
        <w:ind w:firstLine="55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rPr>
        <w:t xml:space="preserve">  乙方应保证有固定的食材配送场所并有专业、稳定的配送团队和专业的运输工具，新鲜产品须采用专业配送车辆配送，不得影响甲方食堂正常运营。</w:t>
      </w:r>
    </w:p>
    <w:p w14:paraId="3A71BF2B">
      <w:pPr>
        <w:pStyle w:val="52"/>
        <w:spacing w:line="360" w:lineRule="auto"/>
        <w:ind w:left="561"/>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五、供货质量要求及食材运输</w:t>
      </w:r>
    </w:p>
    <w:p w14:paraId="3E67E3DE">
      <w:pPr>
        <w:widowControl/>
        <w:spacing w:line="360" w:lineRule="auto"/>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5.1  乙方所供应的每批次食材均应符合《中华人民共和国农产品质量安全法》《中华人民共和国食品安全法》《中华人民共和国动物防疫法》等相关规定及地方的相关法律、法规要求，并附相关证明凭证。乙方</w:t>
      </w:r>
      <w:r>
        <w:rPr>
          <w:rFonts w:hint="eastAsia" w:ascii="仿宋_GB2312" w:hAnsi="仿宋_GB2312" w:eastAsia="仿宋_GB2312" w:cs="仿宋_GB2312"/>
          <w:color w:val="auto"/>
          <w:sz w:val="28"/>
          <w:szCs w:val="28"/>
          <w:highlight w:val="none"/>
        </w:rPr>
        <w:t>不得供应污染、变质、变型、过期的食材；不得供应农药、激素残留超标的食材。配送的所有</w:t>
      </w:r>
      <w:r>
        <w:rPr>
          <w:rFonts w:hint="eastAsia" w:ascii="仿宋_GB2312" w:hAnsi="仿宋_GB2312" w:eastAsia="仿宋_GB2312" w:cs="仿宋_GB2312"/>
          <w:color w:val="auto"/>
          <w:kern w:val="0"/>
          <w:sz w:val="28"/>
          <w:szCs w:val="28"/>
          <w:highlight w:val="none"/>
        </w:rPr>
        <w:t>食材的实际剩余保质期不得低于商品总保质期的二分之一，包装干净、完好、无破损、标识完整清晰。</w:t>
      </w:r>
    </w:p>
    <w:p w14:paraId="64A48F40">
      <w:pPr>
        <w:widowControl/>
        <w:spacing w:line="360" w:lineRule="auto"/>
        <w:ind w:firstLine="560" w:firstLineChars="20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5.2  乙方应保证食材运输方式必须符合国家、</w:t>
      </w:r>
      <w:r>
        <w:rPr>
          <w:rFonts w:hint="eastAsia" w:ascii="仿宋_GB2312" w:hAnsi="宋体" w:eastAsia="仿宋_GB2312"/>
          <w:color w:val="auto"/>
          <w:kern w:val="0"/>
          <w:sz w:val="28"/>
          <w:szCs w:val="28"/>
          <w:highlight w:val="none"/>
        </w:rPr>
        <w:t>地方（以使用地为准）、行业</w:t>
      </w:r>
      <w:r>
        <w:rPr>
          <w:rFonts w:hint="eastAsia" w:ascii="仿宋_GB2312" w:hAnsi="仿宋_GB2312" w:eastAsia="仿宋_GB2312" w:cs="仿宋_GB2312"/>
          <w:color w:val="auto"/>
          <w:kern w:val="0"/>
          <w:sz w:val="28"/>
          <w:szCs w:val="28"/>
          <w:highlight w:val="none"/>
        </w:rPr>
        <w:t>对食材运输的标准要求。配送的所有食材均需来自于正规企业，可在企查查等信息平台查询到相关信息。</w:t>
      </w:r>
    </w:p>
    <w:p w14:paraId="52EEA227">
      <w:pPr>
        <w:widowControl/>
        <w:spacing w:line="360" w:lineRule="auto"/>
        <w:ind w:firstLine="560" w:firstLineChars="200"/>
        <w:rPr>
          <w:rFonts w:ascii="仿宋_GB2312" w:hAnsi="宋体" w:eastAsia="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5.3  乙方配送食材</w:t>
      </w:r>
      <w:r>
        <w:rPr>
          <w:rFonts w:hint="eastAsia" w:ascii="仿宋_GB2312" w:hAnsi="宋体" w:eastAsia="仿宋_GB2312"/>
          <w:color w:val="auto"/>
          <w:kern w:val="0"/>
          <w:sz w:val="28"/>
          <w:szCs w:val="28"/>
          <w:highlight w:val="none"/>
        </w:rPr>
        <w:t>必须符合国家相应质量标准、行业标准、地方标准（以使用地相关标准为准），必须是原厂原包装。没有原厂包装的，乙方应按国家规定标准或有利于保护</w:t>
      </w:r>
      <w:r>
        <w:rPr>
          <w:rFonts w:hint="eastAsia" w:ascii="仿宋_GB2312" w:hAnsi="仿宋_GB2312" w:eastAsia="仿宋_GB2312" w:cs="仿宋_GB2312"/>
          <w:color w:val="auto"/>
          <w:kern w:val="0"/>
          <w:sz w:val="28"/>
          <w:szCs w:val="28"/>
          <w:highlight w:val="none"/>
        </w:rPr>
        <w:t>食材</w:t>
      </w:r>
      <w:r>
        <w:rPr>
          <w:rFonts w:hint="eastAsia" w:ascii="仿宋_GB2312" w:hAnsi="宋体" w:eastAsia="仿宋_GB2312"/>
          <w:color w:val="auto"/>
          <w:kern w:val="0"/>
          <w:sz w:val="28"/>
          <w:szCs w:val="28"/>
          <w:highlight w:val="none"/>
        </w:rPr>
        <w:t>的措施进行包装。该包装应适应于远距离运输、防潮、防震等，以确保该</w:t>
      </w:r>
      <w:r>
        <w:rPr>
          <w:rFonts w:hint="eastAsia" w:ascii="仿宋_GB2312" w:hAnsi="仿宋_GB2312" w:eastAsia="仿宋_GB2312" w:cs="仿宋_GB2312"/>
          <w:color w:val="auto"/>
          <w:kern w:val="0"/>
          <w:sz w:val="28"/>
          <w:szCs w:val="28"/>
          <w:highlight w:val="none"/>
        </w:rPr>
        <w:t>食材</w:t>
      </w:r>
      <w:r>
        <w:rPr>
          <w:rFonts w:hint="eastAsia" w:ascii="仿宋_GB2312" w:hAnsi="宋体" w:eastAsia="仿宋_GB2312"/>
          <w:color w:val="auto"/>
          <w:kern w:val="0"/>
          <w:sz w:val="28"/>
          <w:szCs w:val="28"/>
          <w:highlight w:val="none"/>
        </w:rPr>
        <w:t>安全无损运抵供货地点。由于乙方包装不当引起的</w:t>
      </w:r>
      <w:r>
        <w:rPr>
          <w:rFonts w:hint="eastAsia" w:ascii="仿宋_GB2312" w:hAnsi="仿宋_GB2312" w:eastAsia="仿宋_GB2312" w:cs="仿宋_GB2312"/>
          <w:color w:val="auto"/>
          <w:kern w:val="0"/>
          <w:sz w:val="28"/>
          <w:szCs w:val="28"/>
          <w:highlight w:val="none"/>
        </w:rPr>
        <w:t>食材</w:t>
      </w:r>
      <w:r>
        <w:rPr>
          <w:rFonts w:hint="eastAsia" w:ascii="仿宋_GB2312" w:hAnsi="宋体" w:eastAsia="仿宋_GB2312"/>
          <w:color w:val="auto"/>
          <w:kern w:val="0"/>
          <w:sz w:val="28"/>
          <w:szCs w:val="28"/>
          <w:highlight w:val="none"/>
        </w:rPr>
        <w:t>毁损均由乙方承担，甲方有权拒收毁损</w:t>
      </w:r>
      <w:r>
        <w:rPr>
          <w:rFonts w:hint="eastAsia" w:ascii="仿宋_GB2312" w:hAnsi="仿宋_GB2312" w:eastAsia="仿宋_GB2312" w:cs="仿宋_GB2312"/>
          <w:color w:val="auto"/>
          <w:kern w:val="0"/>
          <w:sz w:val="28"/>
          <w:szCs w:val="28"/>
          <w:highlight w:val="none"/>
        </w:rPr>
        <w:t>食材</w:t>
      </w:r>
      <w:r>
        <w:rPr>
          <w:rFonts w:hint="eastAsia" w:ascii="仿宋_GB2312" w:hAnsi="宋体" w:eastAsia="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rPr>
        <w:t>包装费用由乙方承担。</w:t>
      </w:r>
    </w:p>
    <w:p w14:paraId="4621AD14">
      <w:pPr>
        <w:widowControl/>
        <w:spacing w:line="360" w:lineRule="auto"/>
        <w:ind w:firstLine="560" w:firstLineChars="200"/>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kern w:val="0"/>
          <w:sz w:val="28"/>
          <w:szCs w:val="28"/>
          <w:highlight w:val="none"/>
        </w:rPr>
        <w:t xml:space="preserve">5.4  </w:t>
      </w:r>
      <w:r>
        <w:rPr>
          <w:rFonts w:hint="eastAsia" w:ascii="仿宋_GB2312" w:hAnsi="仿宋_GB2312" w:eastAsia="仿宋_GB2312" w:cs="仿宋_GB2312"/>
          <w:color w:val="auto"/>
          <w:sz w:val="28"/>
          <w:szCs w:val="28"/>
          <w:highlight w:val="none"/>
        </w:rPr>
        <w:t>如甲方对乙方所供食材质量产生异议，甲乙双方应共同将该食材送政府食品安全检测部门进行检测。如不合格，乙方除应承担检测费用外，还应当赔偿因此所造成的甲方全部损失并接受甲方处罚。</w:t>
      </w:r>
    </w:p>
    <w:p w14:paraId="0FF7F037">
      <w:pPr>
        <w:spacing w:line="360" w:lineRule="auto"/>
        <w:ind w:firstLine="551" w:firstLineChars="196"/>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color w:val="auto"/>
          <w:sz w:val="28"/>
          <w:szCs w:val="28"/>
          <w:highlight w:val="none"/>
        </w:rPr>
        <w:t>六、食材</w:t>
      </w:r>
      <w:r>
        <w:rPr>
          <w:rFonts w:hint="eastAsia" w:ascii="仿宋_GB2312" w:hAnsi="仿宋_GB2312" w:eastAsia="仿宋_GB2312" w:cs="仿宋_GB2312"/>
          <w:b/>
          <w:bCs/>
          <w:color w:val="auto"/>
          <w:kern w:val="0"/>
          <w:sz w:val="28"/>
          <w:szCs w:val="28"/>
          <w:highlight w:val="none"/>
        </w:rPr>
        <w:t>验收</w:t>
      </w:r>
    </w:p>
    <w:p w14:paraId="418F6D94">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6.1  验收主体：甲乙双方指定负责食材验收的人员。</w:t>
      </w:r>
    </w:p>
    <w:p w14:paraId="512E3051">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6.2  </w:t>
      </w:r>
      <w:r>
        <w:rPr>
          <w:rFonts w:hint="eastAsia" w:ascii="仿宋_GB2312" w:hAnsi="仿宋_GB2312" w:eastAsia="仿宋_GB2312" w:cs="仿宋_GB2312"/>
          <w:color w:val="auto"/>
          <w:kern w:val="0"/>
          <w:sz w:val="28"/>
          <w:szCs w:val="28"/>
          <w:highlight w:val="none"/>
        </w:rPr>
        <w:t>验收时间：甲方对乙方的每日配送服务进行验收，并将整改内容进行记录，同时向乙方提出整改要求。</w:t>
      </w:r>
    </w:p>
    <w:p w14:paraId="1F6034BB">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6.3  </w:t>
      </w:r>
      <w:r>
        <w:rPr>
          <w:rFonts w:hint="eastAsia" w:ascii="仿宋_GB2312" w:hAnsi="仿宋_GB2312" w:eastAsia="仿宋_GB2312" w:cs="仿宋_GB2312"/>
          <w:color w:val="auto"/>
          <w:kern w:val="0"/>
          <w:sz w:val="28"/>
          <w:szCs w:val="28"/>
          <w:highlight w:val="none"/>
        </w:rPr>
        <w:t>验收方式：每日验收。按实际过磅重量，净重计量，不得供应破损、变质及有农药、激素残留的产品。</w:t>
      </w:r>
    </w:p>
    <w:p w14:paraId="51D6F17F">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6.4  </w:t>
      </w:r>
      <w:r>
        <w:rPr>
          <w:rFonts w:hint="eastAsia" w:ascii="仿宋_GB2312" w:hAnsi="仿宋_GB2312" w:eastAsia="仿宋_GB2312" w:cs="仿宋_GB2312"/>
          <w:color w:val="auto"/>
          <w:kern w:val="0"/>
          <w:sz w:val="28"/>
          <w:szCs w:val="28"/>
          <w:highlight w:val="none"/>
        </w:rPr>
        <w:t>验收方法：乙方按照甲方订单将货物送至指定地点后，双方人员应及时对乙方货物进行验收。</w:t>
      </w:r>
    </w:p>
    <w:p w14:paraId="14D3D26A">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6.5  </w:t>
      </w:r>
      <w:r>
        <w:rPr>
          <w:rFonts w:hint="eastAsia" w:ascii="仿宋_GB2312" w:hAnsi="仿宋_GB2312" w:eastAsia="仿宋_GB2312" w:cs="仿宋_GB2312"/>
          <w:color w:val="auto"/>
          <w:kern w:val="0"/>
          <w:sz w:val="28"/>
          <w:szCs w:val="28"/>
          <w:highlight w:val="none"/>
        </w:rPr>
        <w:t>验收程序：甲方指定人员验收合格后，在乙方的送货单上盖章或签名给予确认。</w:t>
      </w:r>
    </w:p>
    <w:p w14:paraId="4E54C482">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6.6  </w:t>
      </w:r>
      <w:r>
        <w:rPr>
          <w:rFonts w:hint="eastAsia" w:ascii="仿宋_GB2312" w:hAnsi="仿宋_GB2312" w:eastAsia="仿宋_GB2312" w:cs="仿宋_GB2312"/>
          <w:color w:val="auto"/>
          <w:kern w:val="0"/>
          <w:sz w:val="28"/>
          <w:szCs w:val="28"/>
          <w:highlight w:val="none"/>
        </w:rPr>
        <w:t>验收内容：对供应商提供的食材品种、规格、数量、质量等进行验收。</w:t>
      </w:r>
    </w:p>
    <w:p w14:paraId="17585B1D">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6.7  </w:t>
      </w:r>
      <w:r>
        <w:rPr>
          <w:rFonts w:hint="eastAsia" w:ascii="仿宋_GB2312" w:hAnsi="仿宋_GB2312" w:eastAsia="仿宋_GB2312" w:cs="仿宋_GB2312"/>
          <w:color w:val="auto"/>
          <w:kern w:val="0"/>
          <w:sz w:val="28"/>
          <w:szCs w:val="28"/>
          <w:highlight w:val="none"/>
        </w:rPr>
        <w:t>验收标准：招标文件、投标文件、《中华人民共和国食品安全法》等法律法规及国家、地方（以使用地为准）、行业有关食品卫生、质量标准，均为验收</w:t>
      </w:r>
      <w:r>
        <w:rPr>
          <w:rFonts w:hint="eastAsia" w:ascii="仿宋_GB2312" w:hAnsi="仿宋_GB2312" w:eastAsia="仿宋_GB2312" w:cs="仿宋_GB2312"/>
          <w:color w:val="auto"/>
          <w:kern w:val="0"/>
          <w:sz w:val="28"/>
          <w:szCs w:val="28"/>
          <w:highlight w:val="none"/>
          <w:lang w:val="en-US" w:eastAsia="zh-CN"/>
        </w:rPr>
        <w:t>标准</w:t>
      </w:r>
      <w:r>
        <w:rPr>
          <w:rFonts w:hint="eastAsia" w:ascii="仿宋_GB2312" w:hAnsi="仿宋_GB2312" w:eastAsia="仿宋_GB2312" w:cs="仿宋_GB2312"/>
          <w:color w:val="auto"/>
          <w:kern w:val="0"/>
          <w:sz w:val="28"/>
          <w:szCs w:val="28"/>
          <w:highlight w:val="none"/>
        </w:rPr>
        <w:t>。</w:t>
      </w:r>
    </w:p>
    <w:p w14:paraId="32D0E79E">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6.8  </w:t>
      </w:r>
      <w:r>
        <w:rPr>
          <w:rFonts w:hint="eastAsia" w:ascii="仿宋_GB2312" w:hAnsi="仿宋_GB2312" w:eastAsia="仿宋_GB2312" w:cs="仿宋_GB2312"/>
          <w:color w:val="auto"/>
          <w:kern w:val="0"/>
          <w:sz w:val="28"/>
          <w:szCs w:val="28"/>
          <w:highlight w:val="none"/>
        </w:rPr>
        <w:t>验收责任：如甲方的指定人员对乙方供应的食材不进行验收，造成该食材损失的，该损失应由甲方承担。乙方不得私自随意放置食材后自行离去，如因此发生食材数量、质量问题或食材遗失，该损失应由乙方承担。在履约期间，若甲方对供货商所供货物质量产生异议，送政府质量部门检测。如不合格，检测费由乙方承担，并接受甲方处罚。</w:t>
      </w:r>
    </w:p>
    <w:p w14:paraId="07A37096">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6.9  </w:t>
      </w:r>
      <w:r>
        <w:rPr>
          <w:rFonts w:hint="eastAsia" w:ascii="仿宋_GB2312" w:hAnsi="仿宋_GB2312" w:eastAsia="仿宋_GB2312" w:cs="仿宋_GB2312"/>
          <w:color w:val="auto"/>
          <w:kern w:val="0"/>
          <w:sz w:val="28"/>
          <w:szCs w:val="28"/>
          <w:highlight w:val="none"/>
        </w:rPr>
        <w:t>考核要求：甲方根据每日验收记录以及整改情况，结合《厦门市分行食堂食材配送服务考核指标》按月对乙方进行考核；年度考核为取12个月考核得分的平均值，80分（含80分）以上为合格，80分以下为不合格。</w:t>
      </w:r>
    </w:p>
    <w:p w14:paraId="40925053">
      <w:pPr>
        <w:spacing w:line="360" w:lineRule="auto"/>
        <w:ind w:firstLine="551" w:firstLineChars="196"/>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七、履约保证金</w:t>
      </w:r>
    </w:p>
    <w:p w14:paraId="2F8FF5F6">
      <w:pPr>
        <w:pStyle w:val="52"/>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  乙方需提交人民币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）作为本合同期限内的履约保证金。</w:t>
      </w:r>
      <w:r>
        <w:rPr>
          <w:rFonts w:hint="eastAsia" w:ascii="仿宋_GB2312" w:hAnsi="Times New Roman" w:eastAsia="仿宋_GB2312" w:cs="Times New Roman"/>
          <w:color w:val="auto"/>
          <w:kern w:val="0"/>
          <w:sz w:val="28"/>
          <w:szCs w:val="28"/>
          <w:highlight w:val="none"/>
          <w:lang w:eastAsia="zh-CN"/>
        </w:rPr>
        <w:t>【</w:t>
      </w:r>
      <w:r>
        <w:rPr>
          <w:rFonts w:hint="eastAsia" w:ascii="仿宋_GB2312" w:hAnsi="Times New Roman" w:eastAsia="仿宋_GB2312" w:cs="Times New Roman"/>
          <w:color w:val="auto"/>
          <w:kern w:val="0"/>
          <w:sz w:val="28"/>
          <w:szCs w:val="28"/>
          <w:highlight w:val="none"/>
          <w:lang w:val="en-US" w:eastAsia="zh-CN"/>
        </w:rPr>
        <w:t>若乙方为中小企业，履约保证金按约定比例的50%支付】</w:t>
      </w:r>
    </w:p>
    <w:p w14:paraId="12C67106">
      <w:pPr>
        <w:pStyle w:val="52"/>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  如本合同期限届满、未发生应扣款事项且符合合同续签等相应条件，则该履约保证金留存作为下一年度履约保证金（如因发生扣款事项导致履约保证金不足人民币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时，乙方应于十五个工作日内补足相应款项，否则甲方有权从应付的食材费用中直接扣除）。合同总服务期限届满时（如依据本合同16.4条款延长服务期限，则至延长服务期限届满时），经甲方监督、考核或第三方评估，未发生扣款事项，则甲方在二十个工作日内将履约保证金全额无息返还至乙方。</w:t>
      </w:r>
    </w:p>
    <w:p w14:paraId="6B11EC1E">
      <w:pPr>
        <w:pStyle w:val="52"/>
        <w:spacing w:line="360" w:lineRule="auto"/>
        <w:ind w:firstLine="560"/>
        <w:rPr>
          <w:rFonts w:ascii="仿宋_GB2312" w:hAnsi="仿宋_GB2312" w:eastAsia="仿宋_GB2312" w:cs="仿宋_GB2312"/>
          <w:color w:val="auto"/>
          <w:sz w:val="28"/>
          <w:szCs w:val="28"/>
          <w:highlight w:val="none"/>
          <w:shd w:val="clear" w:color="auto" w:fill="FFFFFF" w:themeFill="background1"/>
        </w:rPr>
      </w:pPr>
      <w:r>
        <w:rPr>
          <w:rFonts w:hint="eastAsia" w:ascii="仿宋_GB2312" w:hAnsi="仿宋_GB2312" w:eastAsia="仿宋_GB2312" w:cs="仿宋_GB2312"/>
          <w:color w:val="auto"/>
          <w:sz w:val="28"/>
          <w:szCs w:val="28"/>
          <w:highlight w:val="none"/>
          <w:shd w:val="clear" w:color="auto" w:fill="FFFFFF" w:themeFill="background1"/>
        </w:rPr>
        <w:t>7.3  履约保证金以转账方式缴交至甲方食堂以下账户</w:t>
      </w:r>
    </w:p>
    <w:p w14:paraId="399C9ED7">
      <w:pPr>
        <w:pStyle w:val="52"/>
        <w:spacing w:line="360" w:lineRule="auto"/>
        <w:ind w:firstLine="560"/>
        <w:rPr>
          <w:rFonts w:ascii="仿宋_GB2312" w:hAnsi="仿宋_GB2312" w:eastAsia="仿宋_GB2312" w:cs="仿宋_GB2312"/>
          <w:color w:val="auto"/>
          <w:sz w:val="28"/>
          <w:szCs w:val="28"/>
          <w:highlight w:val="none"/>
          <w:shd w:val="clear" w:color="auto" w:fill="FFFFFF" w:themeFill="background1"/>
        </w:rPr>
      </w:pPr>
      <w:r>
        <w:rPr>
          <w:rFonts w:hint="eastAsia" w:ascii="仿宋_GB2312" w:hAnsi="仿宋_GB2312" w:eastAsia="仿宋_GB2312" w:cs="仿宋_GB2312"/>
          <w:color w:val="auto"/>
          <w:sz w:val="28"/>
          <w:szCs w:val="28"/>
          <w:highlight w:val="none"/>
          <w:shd w:val="clear" w:color="auto" w:fill="FFFFFF" w:themeFill="background1"/>
        </w:rPr>
        <w:t xml:space="preserve">账户名称： </w:t>
      </w:r>
    </w:p>
    <w:p w14:paraId="5168D34A">
      <w:pPr>
        <w:pStyle w:val="52"/>
        <w:spacing w:line="360" w:lineRule="auto"/>
        <w:ind w:firstLine="560"/>
        <w:rPr>
          <w:rFonts w:ascii="仿宋_GB2312" w:hAnsi="仿宋_GB2312" w:eastAsia="仿宋_GB2312" w:cs="仿宋_GB2312"/>
          <w:color w:val="auto"/>
          <w:sz w:val="28"/>
          <w:szCs w:val="28"/>
          <w:highlight w:val="none"/>
          <w:shd w:val="clear" w:color="auto" w:fill="FFFFFF" w:themeFill="background1"/>
        </w:rPr>
      </w:pPr>
      <w:r>
        <w:rPr>
          <w:rFonts w:hint="eastAsia" w:ascii="仿宋_GB2312" w:hAnsi="仿宋_GB2312" w:eastAsia="仿宋_GB2312" w:cs="仿宋_GB2312"/>
          <w:color w:val="auto"/>
          <w:sz w:val="28"/>
          <w:szCs w:val="28"/>
          <w:highlight w:val="none"/>
          <w:shd w:val="clear" w:color="auto" w:fill="FFFFFF" w:themeFill="background1"/>
        </w:rPr>
        <w:t xml:space="preserve">开户银行： </w:t>
      </w:r>
    </w:p>
    <w:p w14:paraId="2049C6AF">
      <w:pPr>
        <w:pStyle w:val="52"/>
        <w:spacing w:line="360" w:lineRule="auto"/>
        <w:ind w:firstLine="560"/>
        <w:rPr>
          <w:rFonts w:ascii="仿宋_GB2312" w:hAnsi="仿宋_GB2312" w:eastAsia="仿宋_GB2312" w:cs="仿宋_GB2312"/>
          <w:color w:val="auto"/>
          <w:sz w:val="28"/>
          <w:szCs w:val="28"/>
          <w:highlight w:val="none"/>
          <w:shd w:val="clear" w:color="auto" w:fill="FFFFFF" w:themeFill="background1"/>
        </w:rPr>
      </w:pPr>
      <w:r>
        <w:rPr>
          <w:rFonts w:hint="eastAsia" w:ascii="仿宋_GB2312" w:hAnsi="仿宋_GB2312" w:eastAsia="仿宋_GB2312" w:cs="仿宋_GB2312"/>
          <w:color w:val="auto"/>
          <w:sz w:val="28"/>
          <w:szCs w:val="28"/>
          <w:highlight w:val="none"/>
          <w:shd w:val="clear" w:color="auto" w:fill="FFFFFF" w:themeFill="background1"/>
        </w:rPr>
        <w:t xml:space="preserve">银行账号： </w:t>
      </w:r>
    </w:p>
    <w:p w14:paraId="6982FBFC">
      <w:pPr>
        <w:pStyle w:val="52"/>
        <w:spacing w:line="360" w:lineRule="auto"/>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八、报价方式</w:t>
      </w:r>
    </w:p>
    <w:p w14:paraId="333F7694">
      <w:pPr>
        <w:pStyle w:val="53"/>
        <w:spacing w:line="360" w:lineRule="auto"/>
        <w:ind w:firstLine="50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  报价周期：每月确定一次</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合同生效后第一个月起，乙方根据甲方提供的食材供货清单（甲方可以根据实际情况调整）</w:t>
      </w:r>
      <w:r>
        <w:rPr>
          <w:rFonts w:hint="eastAsia" w:ascii="仿宋_GB2312" w:hAnsi="仿宋_GB2312" w:eastAsia="仿宋_GB2312" w:cs="仿宋_GB2312"/>
          <w:color w:val="auto"/>
          <w:highlight w:val="none"/>
          <w:lang w:val="en-US" w:eastAsia="zh-CN"/>
        </w:rPr>
        <w:t>于上个</w:t>
      </w:r>
      <w:r>
        <w:rPr>
          <w:rFonts w:hint="eastAsia" w:ascii="仿宋_GB2312" w:hAnsi="仿宋_GB2312" w:eastAsia="仿宋_GB2312" w:cs="仿宋_GB2312"/>
          <w:color w:val="auto"/>
          <w:highlight w:val="none"/>
        </w:rPr>
        <w:t>月25日确定</w:t>
      </w:r>
      <w:r>
        <w:rPr>
          <w:rFonts w:hint="eastAsia" w:ascii="仿宋_GB2312" w:hAnsi="仿宋_GB2312" w:eastAsia="仿宋_GB2312" w:cs="仿宋_GB2312"/>
          <w:color w:val="auto"/>
          <w:highlight w:val="none"/>
          <w:lang w:val="en-US" w:eastAsia="zh-CN"/>
        </w:rPr>
        <w:t>并</w:t>
      </w:r>
      <w:r>
        <w:rPr>
          <w:rFonts w:hint="eastAsia" w:ascii="仿宋_GB2312" w:hAnsi="仿宋_GB2312" w:eastAsia="仿宋_GB2312" w:cs="仿宋_GB2312"/>
          <w:color w:val="auto"/>
          <w:highlight w:val="none"/>
        </w:rPr>
        <w:t>报送食材基准单价；由于食材价格波动较大，为保障甲乙双方合法权益，报价周期可由双方另行商议。</w:t>
      </w:r>
    </w:p>
    <w:p w14:paraId="5DB7178B">
      <w:pPr>
        <w:pStyle w:val="53"/>
        <w:spacing w:line="360" w:lineRule="auto"/>
        <w:ind w:firstLine="50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8.2  基准单价：</w:t>
      </w:r>
      <w:r>
        <w:rPr>
          <w:rFonts w:hint="eastAsia" w:ascii="仿宋_GB2312" w:hAnsi="仿宋_GB2312" w:eastAsia="仿宋_GB2312" w:cs="仿宋_GB2312"/>
          <w:color w:val="auto"/>
          <w:highlight w:val="none"/>
          <w:lang w:val="en-US" w:eastAsia="zh-CN"/>
        </w:rPr>
        <w:t>乙方</w:t>
      </w:r>
      <w:r>
        <w:rPr>
          <w:rFonts w:hint="eastAsia" w:ascii="仿宋_GB2312" w:hAnsi="仿宋_GB2312" w:eastAsia="仿宋_GB2312" w:cs="仿宋_GB2312"/>
          <w:color w:val="auto"/>
          <w:highlight w:val="none"/>
        </w:rPr>
        <w:t>在市场调查价格的基础上进行报价，选择大型商超（朴朴、永辉、沃尔玛、天虹、大润发、麦德龙、夏商等）任选2-3家平均价作为基准单价参考依据，以同类、同质商品的价格作为当期基准单价，并提供商品价格调查截图。若在大型商超中无法找到相应的商品，则由双方根据市场行情确定基准单价。</w:t>
      </w:r>
      <w:r>
        <w:rPr>
          <w:rFonts w:hint="eastAsia" w:ascii="仿宋_GB2312" w:hAnsi="仿宋_GB2312" w:eastAsia="仿宋_GB2312" w:cs="仿宋_GB2312"/>
          <w:color w:val="auto"/>
          <w:highlight w:val="none"/>
          <w:lang w:val="en-US" w:eastAsia="zh-CN"/>
        </w:rPr>
        <w:t>甲方</w:t>
      </w:r>
      <w:r>
        <w:rPr>
          <w:rFonts w:hint="eastAsia" w:ascii="仿宋_GB2312" w:hAnsi="仿宋_GB2312" w:eastAsia="仿宋_GB2312" w:cs="仿宋_GB2312"/>
          <w:color w:val="auto"/>
          <w:highlight w:val="none"/>
        </w:rPr>
        <w:t>定期到大型商超（线上或线下）或农贸市场询价，监督审核每个周期的基准单价。</w:t>
      </w:r>
    </w:p>
    <w:p w14:paraId="55B03EAE">
      <w:pPr>
        <w:pStyle w:val="53"/>
        <w:spacing w:line="360" w:lineRule="auto"/>
        <w:ind w:firstLine="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8.3  乙方供货折扣率：</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2C9ACC56">
      <w:pPr>
        <w:pStyle w:val="53"/>
        <w:spacing w:line="360" w:lineRule="auto"/>
        <w:ind w:firstLine="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8.4  结算价确定方式：基准单价*供货折扣率。</w:t>
      </w:r>
    </w:p>
    <w:p w14:paraId="7DE29811">
      <w:pPr>
        <w:pStyle w:val="52"/>
        <w:snapToGrid w:val="0"/>
        <w:spacing w:line="360" w:lineRule="auto"/>
        <w:ind w:firstLine="557" w:firstLineChars="198"/>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九、结算方式</w:t>
      </w:r>
    </w:p>
    <w:p w14:paraId="02CC07C5">
      <w:pPr>
        <w:pStyle w:val="52"/>
        <w:snapToGrid w:val="0"/>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  结算周期：每月进行一次结算。</w:t>
      </w:r>
    </w:p>
    <w:p w14:paraId="1C6414D1">
      <w:pPr>
        <w:pStyle w:val="52"/>
        <w:snapToGrid w:val="0"/>
        <w:spacing w:line="360" w:lineRule="auto"/>
        <w:ind w:firstLine="560"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9.2  结算时间：结算周期届满后的次月10日前，甲乙双方核对送货单等材料确认供货费用。乙方开具符合要求的发票，甲方食堂于收到发票后</w:t>
      </w:r>
      <w:r>
        <w:rPr>
          <w:rFonts w:hint="eastAsia" w:ascii="仿宋_GB2312" w:hAnsi="仿宋_GB2312" w:eastAsia="仿宋_GB2312" w:cs="仿宋_GB2312"/>
          <w:color w:val="auto"/>
          <w:sz w:val="28"/>
          <w:szCs w:val="28"/>
          <w:highlight w:val="none"/>
          <w:u w:val="single"/>
        </w:rPr>
        <w:t xml:space="preserve"> 十个工作日 </w:t>
      </w:r>
      <w:r>
        <w:rPr>
          <w:rFonts w:hint="eastAsia" w:ascii="仿宋_GB2312" w:hAnsi="仿宋_GB2312" w:eastAsia="仿宋_GB2312" w:cs="仿宋_GB2312"/>
          <w:color w:val="auto"/>
          <w:sz w:val="28"/>
          <w:szCs w:val="28"/>
          <w:highlight w:val="none"/>
        </w:rPr>
        <w:t>内将款项转至乙方以下账户。</w:t>
      </w:r>
    </w:p>
    <w:p w14:paraId="685CEE8A">
      <w:pPr>
        <w:pStyle w:val="52"/>
        <w:spacing w:line="360" w:lineRule="auto"/>
        <w:ind w:firstLine="618" w:firstLineChars="221"/>
        <w:rPr>
          <w:rFonts w:ascii="仿宋_GB2312" w:eastAsia="仿宋_GB2312"/>
          <w:color w:val="auto"/>
          <w:sz w:val="28"/>
          <w:szCs w:val="28"/>
          <w:highlight w:val="none"/>
        </w:rPr>
      </w:pPr>
      <w:r>
        <w:rPr>
          <w:rFonts w:hint="eastAsia" w:ascii="仿宋_GB2312" w:eastAsia="仿宋_GB2312"/>
          <w:color w:val="auto"/>
          <w:sz w:val="28"/>
          <w:szCs w:val="28"/>
          <w:highlight w:val="none"/>
        </w:rPr>
        <w:t>账户名称：</w:t>
      </w:r>
    </w:p>
    <w:p w14:paraId="1C30F2E8">
      <w:pPr>
        <w:pStyle w:val="52"/>
        <w:spacing w:line="360" w:lineRule="auto"/>
        <w:ind w:firstLine="618" w:firstLineChars="221"/>
        <w:rPr>
          <w:rFonts w:ascii="仿宋_GB2312" w:eastAsia="仿宋_GB2312"/>
          <w:color w:val="auto"/>
          <w:sz w:val="28"/>
          <w:szCs w:val="28"/>
          <w:highlight w:val="none"/>
        </w:rPr>
      </w:pPr>
      <w:r>
        <w:rPr>
          <w:rFonts w:hint="eastAsia" w:ascii="仿宋_GB2312" w:eastAsia="仿宋_GB2312"/>
          <w:color w:val="auto"/>
          <w:sz w:val="28"/>
          <w:szCs w:val="28"/>
          <w:highlight w:val="none"/>
        </w:rPr>
        <w:t>开户银行：</w:t>
      </w:r>
    </w:p>
    <w:p w14:paraId="785E5AA3">
      <w:pPr>
        <w:pStyle w:val="52"/>
        <w:spacing w:line="360" w:lineRule="auto"/>
        <w:ind w:firstLine="618" w:firstLineChars="221"/>
        <w:rPr>
          <w:rFonts w:ascii="仿宋_GB2312" w:eastAsia="仿宋_GB2312"/>
          <w:color w:val="auto"/>
          <w:sz w:val="28"/>
          <w:szCs w:val="28"/>
          <w:highlight w:val="none"/>
        </w:rPr>
      </w:pPr>
      <w:r>
        <w:rPr>
          <w:rFonts w:hint="eastAsia" w:ascii="仿宋_GB2312" w:eastAsia="仿宋_GB2312"/>
          <w:color w:val="auto"/>
          <w:sz w:val="28"/>
          <w:szCs w:val="28"/>
          <w:highlight w:val="none"/>
        </w:rPr>
        <w:t>银行账号：</w:t>
      </w:r>
    </w:p>
    <w:p w14:paraId="3CBA6425">
      <w:pPr>
        <w:spacing w:line="360" w:lineRule="auto"/>
        <w:ind w:firstLine="560" w:firstLineChars="200"/>
        <w:rPr>
          <w:rStyle w:val="29"/>
          <w:color w:val="auto"/>
          <w:highlight w:val="none"/>
        </w:rPr>
      </w:pPr>
      <w:r>
        <w:rPr>
          <w:rFonts w:hint="eastAsia" w:ascii="仿宋_GB2312" w:hAnsi="宋体" w:eastAsia="仿宋_GB2312"/>
          <w:color w:val="auto"/>
          <w:kern w:val="0"/>
          <w:sz w:val="28"/>
          <w:szCs w:val="28"/>
          <w:highlight w:val="none"/>
        </w:rPr>
        <w:t>因乙方原因未能提供合法有效的发票致使甲方无法按时付款的，由乙方自行承担相应损失，不得视为甲方违约。</w:t>
      </w:r>
      <w:r>
        <w:rPr>
          <w:rStyle w:val="24"/>
          <w:rFonts w:hint="eastAsia" w:ascii="仿宋_GB2312" w:hAnsi="仿宋_GB2312" w:eastAsia="仿宋_GB2312" w:cs="仿宋_GB2312"/>
          <w:color w:val="auto"/>
          <w:kern w:val="0"/>
          <w:sz w:val="28"/>
          <w:szCs w:val="28"/>
          <w:highlight w:val="none"/>
        </w:rPr>
        <w:t>乙方须充分知晓甲方财政资金的属性。若因甲方财政资金拨付不及时等相关原因导致甲方付款逾期，乙方同意该情形不视为甲方违约，不追究甲方的违约责任，且不得以此为由拒绝履行约定义务。</w:t>
      </w:r>
    </w:p>
    <w:p w14:paraId="68AC421E">
      <w:pPr>
        <w:spacing w:line="360" w:lineRule="auto"/>
        <w:ind w:firstLine="560" w:firstLineChars="200"/>
        <w:rPr>
          <w:rFonts w:ascii="仿宋_GB2312" w:eastAsia="仿宋_GB2312"/>
          <w:color w:val="auto"/>
          <w:sz w:val="28"/>
          <w:szCs w:val="28"/>
          <w:highlight w:val="none"/>
        </w:rPr>
      </w:pPr>
    </w:p>
    <w:p w14:paraId="595B569D">
      <w:pPr>
        <w:pStyle w:val="52"/>
        <w:spacing w:line="360" w:lineRule="auto"/>
        <w:ind w:left="561"/>
        <w:rPr>
          <w:rFonts w:ascii="仿宋_GB2312" w:hAnsi="仿宋_GB2312" w:eastAsia="仿宋_GB2312" w:cs="仿宋_GB2312"/>
          <w:b/>
          <w:bCs/>
          <w:color w:val="auto"/>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bCs/>
          <w:color w:val="auto"/>
          <w:sz w:val="28"/>
          <w:szCs w:val="28"/>
          <w:highlight w:val="none"/>
        </w:rPr>
        <w:t>违约责任</w:t>
      </w:r>
    </w:p>
    <w:p w14:paraId="367AA13A">
      <w:pPr>
        <w:autoSpaceDE w:val="0"/>
        <w:autoSpaceDN w:val="0"/>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w:t>
      </w:r>
      <w:r>
        <w:rPr>
          <w:rFonts w:hint="eastAsia" w:ascii="仿宋_GB2312" w:hAnsi="仿宋_GB2312" w:eastAsia="仿宋_GB2312" w:cs="仿宋_GB2312"/>
          <w:color w:val="auto"/>
          <w:sz w:val="28"/>
          <w:szCs w:val="28"/>
          <w:highlight w:val="none"/>
        </w:rPr>
        <w:t>0</w:t>
      </w:r>
      <w:r>
        <w:rPr>
          <w:rFonts w:hint="eastAsia" w:ascii="仿宋_GB2312" w:hAnsi="仿宋_GB2312" w:eastAsia="仿宋_GB2312" w:cs="仿宋_GB2312"/>
          <w:color w:val="auto"/>
          <w:sz w:val="28"/>
          <w:szCs w:val="28"/>
          <w:highlight w:val="none"/>
          <w:lang w:val="zh-CN"/>
        </w:rPr>
        <w:t>.1  合同期间如出现以下情况，乙方可依法追究甲方相应违约责任：</w:t>
      </w:r>
    </w:p>
    <w:p w14:paraId="19114D54">
      <w:pPr>
        <w:autoSpaceDE w:val="0"/>
        <w:autoSpaceDN w:val="0"/>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w:t>
      </w:r>
      <w:r>
        <w:rPr>
          <w:rFonts w:hint="eastAsia" w:ascii="仿宋_GB2312" w:hAnsi="仿宋_GB2312" w:eastAsia="仿宋_GB2312" w:cs="仿宋_GB2312"/>
          <w:color w:val="auto"/>
          <w:sz w:val="28"/>
          <w:szCs w:val="28"/>
          <w:highlight w:val="none"/>
        </w:rPr>
        <w:t>0</w:t>
      </w:r>
      <w:r>
        <w:rPr>
          <w:rFonts w:hint="eastAsia" w:ascii="仿宋_GB2312" w:hAnsi="仿宋_GB2312" w:eastAsia="仿宋_GB2312" w:cs="仿宋_GB2312"/>
          <w:color w:val="auto"/>
          <w:sz w:val="28"/>
          <w:szCs w:val="28"/>
          <w:highlight w:val="none"/>
          <w:lang w:val="zh-CN"/>
        </w:rPr>
        <w:t>.1.1  甲方违反本合同食材验收约定，乙方有权要求甲方在一定期限内解决，逾期未解决，乙方有权要求甲方按该批次食材总价的10%支付违约金；造成乙方经济损失的，甲方应给予乙方经济赔偿。</w:t>
      </w:r>
    </w:p>
    <w:p w14:paraId="505940F7">
      <w:pPr>
        <w:autoSpaceDE w:val="0"/>
        <w:autoSpaceDN w:val="0"/>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w:t>
      </w:r>
      <w:r>
        <w:rPr>
          <w:rFonts w:hint="eastAsia" w:ascii="仿宋_GB2312" w:hAnsi="仿宋_GB2312" w:eastAsia="仿宋_GB2312" w:cs="仿宋_GB2312"/>
          <w:color w:val="auto"/>
          <w:sz w:val="28"/>
          <w:szCs w:val="28"/>
          <w:highlight w:val="none"/>
        </w:rPr>
        <w:t>0</w:t>
      </w:r>
      <w:r>
        <w:rPr>
          <w:rFonts w:hint="eastAsia" w:ascii="仿宋_GB2312" w:hAnsi="仿宋_GB2312" w:eastAsia="仿宋_GB2312" w:cs="仿宋_GB2312"/>
          <w:color w:val="auto"/>
          <w:sz w:val="28"/>
          <w:szCs w:val="28"/>
          <w:highlight w:val="none"/>
          <w:lang w:val="zh-CN"/>
        </w:rPr>
        <w:t>.1.2  甲方未按合同约定时间支付供货费用的，甲方应当自合同约定支付供货费用最后一日之次日起每日按照应当支付供货费用的</w:t>
      </w:r>
      <w:r>
        <w:rPr>
          <w:rFonts w:hint="eastAsia" w:ascii="仿宋_GB2312" w:hAnsi="仿宋_GB2312" w:eastAsia="仿宋_GB2312" w:cs="仿宋_GB2312"/>
          <w:color w:val="auto"/>
          <w:sz w:val="28"/>
          <w:szCs w:val="28"/>
          <w:highlight w:val="none"/>
          <w:u w:val="single"/>
          <w:lang w:val="zh-CN"/>
        </w:rPr>
        <w:t xml:space="preserve"> 1 %</w:t>
      </w:r>
      <w:r>
        <w:rPr>
          <w:rFonts w:hint="eastAsia" w:ascii="仿宋_GB2312" w:hAnsi="仿宋_GB2312" w:eastAsia="仿宋_GB2312" w:cs="仿宋_GB2312"/>
          <w:color w:val="auto"/>
          <w:sz w:val="28"/>
          <w:szCs w:val="28"/>
          <w:highlight w:val="none"/>
          <w:lang w:val="zh-CN"/>
        </w:rPr>
        <w:t>向甲方支付违约金，违约金最多不超过本合同总金额的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zh-CN"/>
        </w:rPr>
        <w:t xml:space="preserve">10% </w:t>
      </w:r>
      <w:r>
        <w:rPr>
          <w:rFonts w:hint="eastAsia" w:ascii="仿宋_GB2312" w:hAnsi="仿宋_GB2312" w:eastAsia="仿宋_GB2312" w:cs="仿宋_GB2312"/>
          <w:color w:val="auto"/>
          <w:sz w:val="28"/>
          <w:szCs w:val="28"/>
          <w:highlight w:val="none"/>
          <w:lang w:val="zh-CN"/>
        </w:rPr>
        <w:t>。</w:t>
      </w:r>
    </w:p>
    <w:p w14:paraId="66A2521C">
      <w:pPr>
        <w:pStyle w:val="11"/>
        <w:tabs>
          <w:tab w:val="left" w:pos="0"/>
          <w:tab w:val="left" w:pos="851"/>
          <w:tab w:val="left" w:pos="938"/>
        </w:tabs>
        <w:spacing w:after="0" w:line="360" w:lineRule="auto"/>
        <w:ind w:left="0" w:firstLine="560" w:firstLineChars="200"/>
        <w:rPr>
          <w:rFonts w:ascii="仿宋_GB2312" w:hAnsi="仿宋_GB2312" w:eastAsia="仿宋_GB2312" w:cs="仿宋_GB2312"/>
          <w:color w:val="auto"/>
          <w:kern w:val="0"/>
          <w:sz w:val="28"/>
          <w:szCs w:val="40"/>
          <w:highlight w:val="none"/>
        </w:rPr>
      </w:pPr>
      <w:r>
        <w:rPr>
          <w:rFonts w:ascii="仿宋_GB2312" w:hAnsi="仿宋_GB2312" w:eastAsia="仿宋_GB2312" w:cs="仿宋_GB2312"/>
          <w:color w:val="auto"/>
          <w:sz w:val="28"/>
          <w:szCs w:val="40"/>
          <w:highlight w:val="none"/>
          <w:lang w:val="zh-CN"/>
        </w:rPr>
        <w:t>10.2  在整个供货期间，乙方如未按招投标文件及本合同约定条款履行职责，甲方可依法追究乙方相应违约责任</w:t>
      </w:r>
      <w:r>
        <w:rPr>
          <w:rFonts w:ascii="仿宋_GB2312" w:hAnsi="仿宋_GB2312" w:eastAsia="仿宋_GB2312" w:cs="仿宋_GB2312"/>
          <w:color w:val="auto"/>
          <w:kern w:val="0"/>
          <w:sz w:val="28"/>
          <w:szCs w:val="40"/>
          <w:highlight w:val="none"/>
        </w:rPr>
        <w:t>，违约情况包括但不局限于：</w:t>
      </w:r>
    </w:p>
    <w:p w14:paraId="2496DF38">
      <w:pPr>
        <w:pStyle w:val="11"/>
        <w:tabs>
          <w:tab w:val="left" w:pos="0"/>
          <w:tab w:val="left" w:pos="851"/>
          <w:tab w:val="left" w:pos="938"/>
        </w:tabs>
        <w:spacing w:after="0" w:line="360" w:lineRule="auto"/>
        <w:ind w:left="0" w:firstLine="560" w:firstLineChars="200"/>
        <w:rPr>
          <w:rFonts w:ascii="仿宋_GB2312" w:hAnsi="仿宋_GB2312" w:eastAsia="仿宋_GB2312" w:cs="仿宋_GB2312"/>
          <w:color w:val="auto"/>
          <w:kern w:val="0"/>
          <w:sz w:val="28"/>
          <w:szCs w:val="40"/>
          <w:highlight w:val="none"/>
        </w:rPr>
      </w:pPr>
      <w:r>
        <w:rPr>
          <w:rFonts w:ascii="仿宋_GB2312" w:hAnsi="仿宋_GB2312" w:eastAsia="仿宋_GB2312" w:cs="仿宋_GB2312"/>
          <w:color w:val="auto"/>
          <w:kern w:val="0"/>
          <w:sz w:val="28"/>
          <w:szCs w:val="40"/>
          <w:highlight w:val="none"/>
        </w:rPr>
        <w:t>10.2.1  乙方所供应食材未按照甲方</w:t>
      </w:r>
      <w:r>
        <w:rPr>
          <w:rFonts w:ascii="仿宋_GB2312" w:hAnsi="仿宋_GB2312" w:eastAsia="仿宋_GB2312" w:cs="仿宋_GB2312"/>
          <w:color w:val="auto"/>
          <w:sz w:val="28"/>
          <w:szCs w:val="40"/>
          <w:highlight w:val="none"/>
        </w:rPr>
        <w:t>食材采购需求</w:t>
      </w:r>
      <w:r>
        <w:rPr>
          <w:rFonts w:ascii="仿宋_GB2312" w:hAnsi="仿宋_GB2312" w:eastAsia="仿宋_GB2312" w:cs="仿宋_GB2312"/>
          <w:color w:val="auto"/>
          <w:kern w:val="0"/>
          <w:sz w:val="28"/>
          <w:szCs w:val="40"/>
          <w:highlight w:val="none"/>
        </w:rPr>
        <w:t>的数量、质量、时间等进行，未按照甲方要求提供相应配送人员及车辆，不配合验收，不配合做好结算工作，结算价格超过本周期报价，未根据甲方需求提供相应服务且未在指定期限内整改等，甲方有权选择以下几种方式中的一种或多种追究乙方违约责任：（1）对相关食材将按退、换货处理；（2）从乙方履约保证金中扣除人民币1000至5000元/次；（3）按该批次食材总价的</w:t>
      </w:r>
      <w:r>
        <w:rPr>
          <w:rFonts w:ascii="仿宋_GB2312" w:hAnsi="仿宋_GB2312" w:eastAsia="仿宋_GB2312" w:cs="仿宋_GB2312"/>
          <w:color w:val="auto"/>
          <w:kern w:val="0"/>
          <w:sz w:val="28"/>
          <w:szCs w:val="40"/>
          <w:highlight w:val="none"/>
          <w:u w:val="single"/>
        </w:rPr>
        <w:t xml:space="preserve"> 10% </w:t>
      </w:r>
      <w:r>
        <w:rPr>
          <w:rFonts w:ascii="仿宋_GB2312" w:hAnsi="仿宋_GB2312" w:eastAsia="仿宋_GB2312" w:cs="仿宋_GB2312"/>
          <w:color w:val="auto"/>
          <w:kern w:val="0"/>
          <w:sz w:val="28"/>
          <w:szCs w:val="40"/>
          <w:highlight w:val="none"/>
        </w:rPr>
        <w:t>计收违约金；（4）延误交货的每延误一天按延误食材总价的</w:t>
      </w:r>
      <w:r>
        <w:rPr>
          <w:rFonts w:ascii="仿宋_GB2312" w:hAnsi="仿宋_GB2312" w:eastAsia="仿宋_GB2312" w:cs="仿宋_GB2312"/>
          <w:color w:val="auto"/>
          <w:kern w:val="0"/>
          <w:sz w:val="28"/>
          <w:szCs w:val="40"/>
          <w:highlight w:val="none"/>
          <w:u w:val="single"/>
        </w:rPr>
        <w:t xml:space="preserve"> </w:t>
      </w:r>
      <w:r>
        <w:rPr>
          <w:rFonts w:hint="eastAsia" w:ascii="仿宋_GB2312" w:hAnsi="仿宋_GB2312" w:eastAsia="仿宋_GB2312" w:cs="仿宋_GB2312"/>
          <w:color w:val="auto"/>
          <w:kern w:val="0"/>
          <w:sz w:val="28"/>
          <w:szCs w:val="40"/>
          <w:highlight w:val="none"/>
          <w:u w:val="single"/>
        </w:rPr>
        <w:t>0.05%</w:t>
      </w:r>
      <w:r>
        <w:rPr>
          <w:rFonts w:ascii="仿宋_GB2312" w:hAnsi="仿宋_GB2312" w:eastAsia="仿宋_GB2312" w:cs="仿宋_GB2312"/>
          <w:color w:val="auto"/>
          <w:kern w:val="0"/>
          <w:sz w:val="28"/>
          <w:szCs w:val="40"/>
          <w:highlight w:val="none"/>
          <w:u w:val="single"/>
        </w:rPr>
        <w:t xml:space="preserve"> </w:t>
      </w:r>
      <w:r>
        <w:rPr>
          <w:rFonts w:ascii="仿宋_GB2312" w:hAnsi="仿宋_GB2312" w:eastAsia="仿宋_GB2312" w:cs="仿宋_GB2312"/>
          <w:color w:val="auto"/>
          <w:kern w:val="0"/>
          <w:sz w:val="28"/>
          <w:szCs w:val="40"/>
          <w:highlight w:val="none"/>
        </w:rPr>
        <w:t>计收违约金，并承担由此给甲方造成的一切损失。</w:t>
      </w:r>
    </w:p>
    <w:p w14:paraId="21B6E514">
      <w:pPr>
        <w:pStyle w:val="53"/>
        <w:spacing w:line="360" w:lineRule="auto"/>
        <w:ind w:firstLine="504"/>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10.2.2  甲方如发现乙方的基准单价高于经甲方确认的厦门地区大型商超其同类、同质商品销售价格的平均价格。发生一次，甲方将从乙方履约保证金中扣除自本供货周期首日至发现之日供货食材总价的</w:t>
      </w:r>
      <w:r>
        <w:rPr>
          <w:rFonts w:hint="eastAsia" w:ascii="仿宋_GB2312" w:hAnsi="仿宋_GB2312" w:eastAsia="仿宋_GB2312" w:cs="仿宋_GB2312"/>
          <w:color w:val="auto"/>
          <w:highlight w:val="none"/>
          <w:u w:val="single"/>
        </w:rPr>
        <w:t xml:space="preserve"> 10% </w:t>
      </w:r>
      <w:r>
        <w:rPr>
          <w:rFonts w:hint="eastAsia" w:ascii="仿宋_GB2312" w:hAnsi="仿宋_GB2312" w:eastAsia="仿宋_GB2312" w:cs="仿宋_GB2312"/>
          <w:color w:val="auto"/>
          <w:highlight w:val="none"/>
        </w:rPr>
        <w:t>。</w:t>
      </w:r>
    </w:p>
    <w:p w14:paraId="16F3B716">
      <w:pPr>
        <w:pStyle w:val="11"/>
        <w:tabs>
          <w:tab w:val="left" w:pos="0"/>
          <w:tab w:val="left" w:pos="851"/>
          <w:tab w:val="left" w:pos="938"/>
          <w:tab w:val="left" w:pos="1134"/>
        </w:tabs>
        <w:spacing w:after="0" w:line="360" w:lineRule="auto"/>
        <w:ind w:left="0" w:firstLine="560" w:firstLineChars="200"/>
        <w:rPr>
          <w:rFonts w:ascii="仿宋_GB2312" w:hAnsi="仿宋_GB2312" w:eastAsia="仿宋_GB2312" w:cs="仿宋_GB2312"/>
          <w:color w:val="auto"/>
          <w:kern w:val="0"/>
          <w:sz w:val="28"/>
          <w:szCs w:val="40"/>
          <w:highlight w:val="none"/>
        </w:rPr>
      </w:pPr>
      <w:r>
        <w:rPr>
          <w:rFonts w:ascii="仿宋_GB2312" w:hAnsi="仿宋_GB2312" w:eastAsia="仿宋_GB2312" w:cs="仿宋_GB2312"/>
          <w:color w:val="auto"/>
          <w:kern w:val="0"/>
          <w:sz w:val="28"/>
          <w:szCs w:val="40"/>
          <w:highlight w:val="none"/>
        </w:rPr>
        <w:t>10.2.3  如乙方未按照合同约定及时向甲方提交履约保证金，甲方有权延迟支付供货费用；此外，乙方应当自合同约定提交履约保证金最后一日之次日起按照应当提交履约保证金的</w:t>
      </w:r>
      <w:r>
        <w:rPr>
          <w:rFonts w:ascii="仿宋_GB2312" w:hAnsi="仿宋_GB2312" w:eastAsia="仿宋_GB2312" w:cs="仿宋_GB2312"/>
          <w:color w:val="auto"/>
          <w:kern w:val="0"/>
          <w:sz w:val="28"/>
          <w:szCs w:val="40"/>
          <w:highlight w:val="none"/>
          <w:u w:val="single"/>
        </w:rPr>
        <w:t xml:space="preserve"> 1 %</w:t>
      </w:r>
      <w:r>
        <w:rPr>
          <w:rFonts w:ascii="仿宋_GB2312" w:hAnsi="仿宋_GB2312" w:eastAsia="仿宋_GB2312" w:cs="仿宋_GB2312"/>
          <w:color w:val="auto"/>
          <w:kern w:val="0"/>
          <w:sz w:val="28"/>
          <w:szCs w:val="40"/>
          <w:highlight w:val="none"/>
        </w:rPr>
        <w:t>向甲方支付违约金，违约金最多不超过本合同总金额的</w:t>
      </w:r>
      <w:r>
        <w:rPr>
          <w:rFonts w:ascii="仿宋_GB2312" w:hAnsi="仿宋_GB2312" w:eastAsia="仿宋_GB2312" w:cs="仿宋_GB2312"/>
          <w:color w:val="auto"/>
          <w:kern w:val="0"/>
          <w:sz w:val="28"/>
          <w:szCs w:val="40"/>
          <w:highlight w:val="none"/>
          <w:u w:val="single"/>
        </w:rPr>
        <w:t xml:space="preserve"> 10% </w:t>
      </w:r>
      <w:r>
        <w:rPr>
          <w:rFonts w:ascii="仿宋_GB2312" w:hAnsi="仿宋_GB2312" w:eastAsia="仿宋_GB2312" w:cs="仿宋_GB2312"/>
          <w:color w:val="auto"/>
          <w:kern w:val="0"/>
          <w:sz w:val="28"/>
          <w:szCs w:val="40"/>
          <w:highlight w:val="none"/>
        </w:rPr>
        <w:t>。</w:t>
      </w:r>
    </w:p>
    <w:p w14:paraId="7BCE2E27">
      <w:pPr>
        <w:pStyle w:val="11"/>
        <w:tabs>
          <w:tab w:val="left" w:pos="0"/>
          <w:tab w:val="left" w:pos="851"/>
          <w:tab w:val="left" w:pos="938"/>
          <w:tab w:val="left" w:pos="1134"/>
        </w:tabs>
        <w:spacing w:after="0" w:line="360" w:lineRule="auto"/>
        <w:ind w:left="0" w:firstLine="560" w:firstLineChars="200"/>
        <w:rPr>
          <w:rFonts w:ascii="仿宋_GB2312" w:hAnsi="仿宋_GB2312" w:eastAsia="仿宋_GB2312" w:cs="仿宋_GB2312"/>
          <w:color w:val="auto"/>
          <w:kern w:val="0"/>
          <w:sz w:val="28"/>
          <w:szCs w:val="40"/>
          <w:highlight w:val="none"/>
        </w:rPr>
      </w:pPr>
      <w:r>
        <w:rPr>
          <w:rFonts w:ascii="仿宋_GB2312" w:hAnsi="仿宋_GB2312" w:eastAsia="仿宋_GB2312" w:cs="仿宋_GB2312"/>
          <w:color w:val="auto"/>
          <w:kern w:val="0"/>
          <w:sz w:val="28"/>
          <w:szCs w:val="40"/>
          <w:highlight w:val="none"/>
        </w:rPr>
        <w:t>10.2.4  招投标文件、合同约定的其他情形。</w:t>
      </w:r>
    </w:p>
    <w:p w14:paraId="29670869">
      <w:pPr>
        <w:pStyle w:val="11"/>
        <w:tabs>
          <w:tab w:val="left" w:pos="0"/>
          <w:tab w:val="left" w:pos="851"/>
          <w:tab w:val="left" w:pos="938"/>
        </w:tabs>
        <w:spacing w:after="0" w:line="360" w:lineRule="auto"/>
        <w:ind w:left="0" w:firstLine="560" w:firstLineChars="200"/>
        <w:rPr>
          <w:rFonts w:ascii="仿宋_GB2312" w:hAnsi="仿宋_GB2312" w:eastAsia="仿宋_GB2312" w:cs="仿宋_GB2312"/>
          <w:color w:val="auto"/>
          <w:kern w:val="0"/>
          <w:sz w:val="28"/>
          <w:szCs w:val="40"/>
          <w:highlight w:val="none"/>
        </w:rPr>
      </w:pPr>
      <w:r>
        <w:rPr>
          <w:rFonts w:ascii="仿宋_GB2312" w:hAnsi="仿宋_GB2312" w:eastAsia="仿宋_GB2312" w:cs="仿宋_GB2312"/>
          <w:color w:val="auto"/>
          <w:kern w:val="0"/>
          <w:sz w:val="28"/>
          <w:szCs w:val="40"/>
          <w:highlight w:val="none"/>
        </w:rPr>
        <w:t>10.3  合同期间如出现以下情况，甲方可不予返还履约保证金并直接终止合同，并依法追究乙方相应法律责任：</w:t>
      </w:r>
    </w:p>
    <w:p w14:paraId="73042964">
      <w:pPr>
        <w:pStyle w:val="11"/>
        <w:tabs>
          <w:tab w:val="left" w:pos="0"/>
          <w:tab w:val="left" w:pos="851"/>
          <w:tab w:val="left" w:pos="938"/>
          <w:tab w:val="left" w:pos="1140"/>
          <w:tab w:val="left" w:pos="1176"/>
        </w:tabs>
        <w:spacing w:after="0" w:line="360" w:lineRule="auto"/>
        <w:ind w:left="0" w:firstLine="560" w:firstLineChars="200"/>
        <w:rPr>
          <w:rFonts w:ascii="仿宋_GB2312" w:hAnsi="仿宋_GB2312" w:eastAsia="仿宋_GB2312" w:cs="仿宋_GB2312"/>
          <w:color w:val="auto"/>
          <w:kern w:val="0"/>
          <w:sz w:val="28"/>
          <w:szCs w:val="40"/>
          <w:highlight w:val="none"/>
        </w:rPr>
      </w:pPr>
      <w:r>
        <w:rPr>
          <w:rFonts w:ascii="仿宋_GB2312" w:hAnsi="仿宋_GB2312" w:eastAsia="仿宋_GB2312" w:cs="仿宋_GB2312"/>
          <w:color w:val="auto"/>
          <w:kern w:val="0"/>
          <w:sz w:val="28"/>
          <w:szCs w:val="40"/>
          <w:highlight w:val="none"/>
        </w:rPr>
        <w:t>10.3.1  因乙方所供应食材存在质量问题、或因乙方过失、过错等原因造成食物中毒等后果的。</w:t>
      </w:r>
    </w:p>
    <w:p w14:paraId="412F6DB8">
      <w:pPr>
        <w:pStyle w:val="11"/>
        <w:tabs>
          <w:tab w:val="left" w:pos="0"/>
          <w:tab w:val="left" w:pos="851"/>
          <w:tab w:val="left" w:pos="938"/>
          <w:tab w:val="left" w:pos="1140"/>
          <w:tab w:val="left" w:pos="1176"/>
        </w:tabs>
        <w:spacing w:after="0" w:line="360" w:lineRule="auto"/>
        <w:ind w:left="0" w:firstLine="560" w:firstLineChars="200"/>
        <w:rPr>
          <w:rFonts w:ascii="仿宋_GB2312" w:hAnsi="仿宋_GB2312" w:eastAsia="仿宋_GB2312" w:cs="仿宋_GB2312"/>
          <w:color w:val="auto"/>
          <w:kern w:val="0"/>
          <w:sz w:val="28"/>
          <w:szCs w:val="40"/>
          <w:highlight w:val="none"/>
        </w:rPr>
      </w:pPr>
      <w:r>
        <w:rPr>
          <w:rFonts w:ascii="仿宋_GB2312" w:hAnsi="仿宋_GB2312" w:eastAsia="仿宋_GB2312" w:cs="仿宋_GB2312"/>
          <w:color w:val="auto"/>
          <w:kern w:val="0"/>
          <w:sz w:val="28"/>
          <w:szCs w:val="40"/>
          <w:highlight w:val="none"/>
        </w:rPr>
        <w:t>10.3.2  法律法规规章、招投标文件、合同约定的其他情形。</w:t>
      </w:r>
    </w:p>
    <w:p w14:paraId="197546D4">
      <w:pPr>
        <w:pStyle w:val="11"/>
        <w:tabs>
          <w:tab w:val="left" w:pos="0"/>
          <w:tab w:val="left" w:pos="851"/>
          <w:tab w:val="left" w:pos="938"/>
          <w:tab w:val="left" w:pos="1140"/>
          <w:tab w:val="left" w:pos="1176"/>
        </w:tabs>
        <w:spacing w:after="0" w:line="360" w:lineRule="auto"/>
        <w:ind w:left="0" w:firstLine="560" w:firstLineChars="200"/>
        <w:rPr>
          <w:rFonts w:ascii="仿宋_GB2312" w:hAnsi="仿宋_GB2312" w:eastAsia="仿宋_GB2312" w:cs="仿宋_GB2312"/>
          <w:color w:val="auto"/>
          <w:sz w:val="28"/>
          <w:szCs w:val="40"/>
          <w:highlight w:val="none"/>
        </w:rPr>
      </w:pPr>
      <w:r>
        <w:rPr>
          <w:rFonts w:ascii="仿宋_GB2312" w:hAnsi="仿宋_GB2312" w:eastAsia="仿宋_GB2312" w:cs="仿宋_GB2312"/>
          <w:color w:val="auto"/>
          <w:kern w:val="0"/>
          <w:sz w:val="28"/>
          <w:szCs w:val="40"/>
          <w:highlight w:val="none"/>
        </w:rPr>
        <w:t>10.4  合同履行过程中，如发生应扣款事项，双方需及时对扣款金额及内容进行书面确认。如乙方延迟或拒绝确认的，则以甲方膳食委员会或第三方评估确定的扣款事项为准，甲方有权从履约保证金中扣除相应款项。当乙方扣款事项超过所缴纳的履约保证金时，甲方有权从乙方供货费用中扣除超出部分，并要求乙方补足履约保证金。</w:t>
      </w:r>
    </w:p>
    <w:p w14:paraId="722EEBF2">
      <w:pPr>
        <w:spacing w:line="360" w:lineRule="auto"/>
        <w:ind w:firstLine="562" w:firstLineChars="200"/>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十一、保密条款</w:t>
      </w:r>
    </w:p>
    <w:p w14:paraId="656C75DC">
      <w:pPr>
        <w:pStyle w:val="11"/>
        <w:tabs>
          <w:tab w:val="left" w:pos="0"/>
          <w:tab w:val="left" w:pos="851"/>
          <w:tab w:val="left" w:pos="938"/>
          <w:tab w:val="left" w:pos="1140"/>
          <w:tab w:val="left" w:pos="1176"/>
        </w:tabs>
        <w:spacing w:after="0" w:line="360" w:lineRule="auto"/>
        <w:ind w:left="0" w:firstLine="560" w:firstLineChars="200"/>
        <w:rPr>
          <w:rFonts w:ascii="仿宋_GB2312" w:hAnsi="仿宋_GB2312" w:eastAsia="仿宋_GB2312" w:cs="仿宋_GB2312"/>
          <w:color w:val="auto"/>
          <w:sz w:val="28"/>
          <w:szCs w:val="40"/>
          <w:highlight w:val="none"/>
        </w:rPr>
      </w:pPr>
      <w:r>
        <w:rPr>
          <w:rFonts w:ascii="仿宋_GB2312" w:hAnsi="仿宋_GB2312" w:eastAsia="仿宋_GB2312" w:cs="仿宋_GB2312"/>
          <w:color w:val="auto"/>
          <w:sz w:val="28"/>
          <w:szCs w:val="40"/>
          <w:highlight w:val="none"/>
        </w:rPr>
        <w:t>双方应严格遵守保密制度，不得泄露合同履行过程中知悉的国家秘密、工作秘密、商业秘密、个人隐私以及其他不应公开的信息。除法律要求或事先取得另一方的书面许可，任何一方均不得将其披露给第三方，或用于本合同以外的用途。</w:t>
      </w:r>
      <w:r>
        <w:rPr>
          <w:rFonts w:ascii="仿宋_GB2312" w:hAnsi="仿宋_GB2312" w:eastAsia="仿宋_GB2312" w:cs="仿宋_GB2312"/>
          <w:color w:val="auto"/>
          <w:kern w:val="0"/>
          <w:sz w:val="28"/>
          <w:szCs w:val="40"/>
          <w:highlight w:val="none"/>
        </w:rPr>
        <w:t>如违反上述约定并产生不良后果，守约方有权要求违约方承担相应法律后果。</w:t>
      </w:r>
    </w:p>
    <w:p w14:paraId="39CC49CE">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十二、不可抗力</w:t>
      </w:r>
    </w:p>
    <w:p w14:paraId="480931C0">
      <w:pPr>
        <w:pStyle w:val="11"/>
        <w:tabs>
          <w:tab w:val="left" w:pos="0"/>
          <w:tab w:val="left" w:pos="851"/>
          <w:tab w:val="left" w:pos="938"/>
          <w:tab w:val="left" w:pos="1140"/>
          <w:tab w:val="left" w:pos="1176"/>
        </w:tabs>
        <w:spacing w:after="0" w:line="360" w:lineRule="auto"/>
        <w:ind w:left="0" w:firstLine="560" w:firstLineChars="200"/>
        <w:rPr>
          <w:rFonts w:ascii="仿宋_GB2312" w:hAnsi="仿宋_GB2312" w:eastAsia="仿宋_GB2312" w:cs="仿宋_GB2312"/>
          <w:color w:val="auto"/>
          <w:sz w:val="28"/>
          <w:szCs w:val="40"/>
          <w:highlight w:val="none"/>
        </w:rPr>
      </w:pPr>
      <w:r>
        <w:rPr>
          <w:rFonts w:ascii="仿宋_GB2312" w:hAnsi="仿宋_GB2312" w:eastAsia="仿宋_GB2312" w:cs="仿宋_GB2312"/>
          <w:color w:val="auto"/>
          <w:sz w:val="28"/>
          <w:szCs w:val="40"/>
          <w:highlight w:val="none"/>
        </w:rPr>
        <w:t>本合同所称不可抗力是指不能预见、不能避免且不能克服的客观情况。在不可抗力影响下，受阻一方可暂时停止执行本合同的受阻部分。同时，受阻一方应立即书面通知另一方，并提供书面证明。因受阻一方未及时书面通知导致损失扩大的，损失扩大部分的违约责任由受阻一方承担。当不可抗力事件持续的时间超过</w:t>
      </w:r>
      <w:r>
        <w:rPr>
          <w:rFonts w:ascii="仿宋_GB2312" w:hAnsi="仿宋_GB2312" w:eastAsia="仿宋_GB2312" w:cs="仿宋_GB2312"/>
          <w:color w:val="auto"/>
          <w:sz w:val="28"/>
          <w:szCs w:val="40"/>
          <w:highlight w:val="none"/>
          <w:u w:val="single"/>
        </w:rPr>
        <w:t xml:space="preserve"> 十五个工作日 </w:t>
      </w:r>
      <w:r>
        <w:rPr>
          <w:rFonts w:ascii="仿宋_GB2312" w:hAnsi="仿宋_GB2312" w:eastAsia="仿宋_GB2312" w:cs="仿宋_GB2312"/>
          <w:color w:val="auto"/>
          <w:sz w:val="28"/>
          <w:szCs w:val="40"/>
          <w:highlight w:val="none"/>
        </w:rPr>
        <w:t>时，双方可就解除本合同及其未尽事宜进行协商处理；如协商不成，任何一方均有权解除本合同。</w:t>
      </w:r>
    </w:p>
    <w:p w14:paraId="3D4206AB">
      <w:pPr>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十三、法律适用和争议解决</w:t>
      </w:r>
    </w:p>
    <w:p w14:paraId="00FA77B6">
      <w:pPr>
        <w:pStyle w:val="52"/>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  本合同适用中华人民共和国（不含香港特别行政区、澳门特别行政区和台湾地区）法律。</w:t>
      </w:r>
    </w:p>
    <w:p w14:paraId="2B2C5E5E">
      <w:pPr>
        <w:pStyle w:val="52"/>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13.2  因履行本合同发生的或与本合同有关的一切争议，双方应先友好协商解决，如经协商</w:t>
      </w:r>
      <w:r>
        <w:rPr>
          <w:rFonts w:hint="eastAsia" w:ascii="仿宋_GB2312" w:hAnsi="仿宋_GB2312" w:eastAsia="仿宋_GB2312" w:cs="仿宋_GB2312"/>
          <w:color w:val="auto"/>
          <w:sz w:val="28"/>
          <w:szCs w:val="28"/>
          <w:highlight w:val="none"/>
          <w:u w:val="single"/>
        </w:rPr>
        <w:t xml:space="preserve"> 二十个工作日 </w:t>
      </w:r>
      <w:r>
        <w:rPr>
          <w:rFonts w:hint="eastAsia" w:ascii="仿宋_GB2312" w:hAnsi="仿宋_GB2312" w:eastAsia="仿宋_GB2312" w:cs="仿宋_GB2312"/>
          <w:color w:val="auto"/>
          <w:sz w:val="28"/>
          <w:szCs w:val="28"/>
          <w:highlight w:val="none"/>
        </w:rPr>
        <w:t>内仍不能解决，双方均有权向甲方所在地有管辖权的人民法院提起诉讼。违约方应承担守约方因此而支出的诉讼费、律师费、保全费等费用。</w:t>
      </w:r>
    </w:p>
    <w:p w14:paraId="65F94F7F">
      <w:pPr>
        <w:pStyle w:val="52"/>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13.3  争议解决期间，除争议事项外，双方应继续履行本合同。</w:t>
      </w:r>
    </w:p>
    <w:p w14:paraId="6171A5DB">
      <w:pPr>
        <w:pStyle w:val="52"/>
        <w:spacing w:line="360" w:lineRule="auto"/>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十四、通知和送达</w:t>
      </w:r>
    </w:p>
    <w:p w14:paraId="627A94B3">
      <w:pPr>
        <w:spacing w:line="360" w:lineRule="auto"/>
        <w:ind w:firstLine="560" w:firstLineChars="200"/>
        <w:rPr>
          <w:rFonts w:ascii="仿宋_GB2312" w:hAnsi="仿宋_GB2312" w:eastAsia="仿宋_GB2312" w:cs="仿宋_GB2312"/>
          <w:color w:val="auto"/>
          <w:kern w:val="0"/>
          <w:sz w:val="28"/>
          <w:szCs w:val="28"/>
          <w:highlight w:val="none"/>
          <w:shd w:val="clear" w:color="auto" w:fill="FFFFFF"/>
        </w:rPr>
      </w:pPr>
      <w:r>
        <w:rPr>
          <w:rFonts w:hint="eastAsia" w:ascii="仿宋_GB2312" w:hAnsi="仿宋_GB2312" w:eastAsia="仿宋_GB2312" w:cs="仿宋_GB2312"/>
          <w:color w:val="auto"/>
          <w:kern w:val="0"/>
          <w:sz w:val="28"/>
          <w:szCs w:val="28"/>
          <w:highlight w:val="none"/>
          <w:shd w:val="clear" w:color="auto" w:fill="FFFFFF"/>
        </w:rPr>
        <w:t>甲乙双方往来的相关通知，除书面函件外，甲乙双方也可以电话</w:t>
      </w:r>
      <w:r>
        <w:rPr>
          <w:rFonts w:hint="eastAsia" w:ascii="仿宋_GB2312" w:hAnsi="仿宋_GB2312" w:eastAsia="仿宋_GB2312" w:cs="仿宋_GB2312"/>
          <w:color w:val="auto"/>
          <w:kern w:val="0"/>
          <w:sz w:val="28"/>
          <w:szCs w:val="28"/>
          <w:highlight w:val="none"/>
        </w:rPr>
        <w:t>、传真、邮件、微信等</w:t>
      </w:r>
      <w:r>
        <w:rPr>
          <w:rFonts w:hint="eastAsia" w:ascii="仿宋_GB2312" w:hAnsi="仿宋_GB2312" w:eastAsia="仿宋_GB2312" w:cs="仿宋_GB2312"/>
          <w:color w:val="auto"/>
          <w:kern w:val="0"/>
          <w:sz w:val="28"/>
          <w:szCs w:val="28"/>
          <w:highlight w:val="none"/>
          <w:shd w:val="clear" w:color="auto" w:fill="FFFFFF"/>
        </w:rPr>
        <w:t>形式通知。甲方与乙方在本合同载明电话号码或书面告知电话号码的接通记录</w:t>
      </w:r>
      <w:r>
        <w:rPr>
          <w:rFonts w:hint="eastAsia" w:ascii="仿宋_GB2312" w:hAnsi="仿宋_GB2312" w:eastAsia="仿宋_GB2312" w:cs="仿宋_GB2312"/>
          <w:color w:val="auto"/>
          <w:kern w:val="0"/>
          <w:sz w:val="28"/>
          <w:szCs w:val="28"/>
          <w:highlight w:val="none"/>
        </w:rPr>
        <w:t>、传真记录、微信记录等</w:t>
      </w:r>
      <w:r>
        <w:rPr>
          <w:rFonts w:hint="eastAsia" w:ascii="仿宋_GB2312" w:hAnsi="仿宋_GB2312" w:eastAsia="仿宋_GB2312" w:cs="仿宋_GB2312"/>
          <w:color w:val="auto"/>
          <w:kern w:val="0"/>
          <w:sz w:val="28"/>
          <w:szCs w:val="28"/>
          <w:highlight w:val="none"/>
          <w:shd w:val="clear" w:color="auto" w:fill="FFFFFF"/>
        </w:rPr>
        <w:t>，视为已通知对方。甲乙双方确认，本合同载明的地址作为送达与本合同有关的各类通知、文件以及发生纠纷时相关文件及法律文书的送达地址。送达地址适用范围包括非诉阶段和争议进入民事诉讼程序后的一审、二审、再审、执行以及督促程序，法院可直接通过邮寄或其他方式送达法律文书。送达地址不准确、送达地址变更后未及时书面告知合同相对方和法院（若争议已经进入司法程序解决）、拒收或指定的接收人拒绝签收等原因，导致相关文件或法律文书未能被一方实际接收的，邮寄送达的，以文书退回之日视为送达之日。</w:t>
      </w:r>
    </w:p>
    <w:p w14:paraId="12BBEE55">
      <w:pPr>
        <w:spacing w:line="360" w:lineRule="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甲方                 </w:t>
      </w:r>
      <w:r>
        <w:rPr>
          <w:rFonts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rPr>
        <w:t xml:space="preserve">  乙方</w:t>
      </w:r>
    </w:p>
    <w:p w14:paraId="6F0D3A6F">
      <w:pPr>
        <w:spacing w:line="360" w:lineRule="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联系人：            </w:t>
      </w:r>
      <w:r>
        <w:rPr>
          <w:rFonts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rPr>
        <w:t xml:space="preserve">          联系人：</w:t>
      </w:r>
    </w:p>
    <w:p w14:paraId="059A7AAD">
      <w:pPr>
        <w:spacing w:line="360" w:lineRule="auto"/>
        <w:rPr>
          <w:rFonts w:ascii="仿宋_GB2312" w:hAnsi="Times New Roman" w:eastAsia="仿宋_GB2312"/>
          <w:color w:val="auto"/>
          <w:kern w:val="0"/>
          <w:sz w:val="24"/>
          <w:szCs w:val="24"/>
          <w:highlight w:val="none"/>
        </w:rPr>
      </w:pPr>
      <w:r>
        <w:rPr>
          <w:rFonts w:hint="eastAsia" w:ascii="仿宋_GB2312" w:hAnsi="Times New Roman" w:eastAsia="仿宋_GB2312"/>
          <w:color w:val="auto"/>
          <w:kern w:val="0"/>
          <w:sz w:val="24"/>
          <w:szCs w:val="24"/>
          <w:highlight w:val="none"/>
        </w:rPr>
        <w:t>联系电话：                        联系电话：</w:t>
      </w:r>
    </w:p>
    <w:p w14:paraId="317CA0EE">
      <w:pPr>
        <w:spacing w:line="360" w:lineRule="auto"/>
        <w:rPr>
          <w:rFonts w:ascii="仿宋_GB2312" w:hAnsi="仿宋_GB2312" w:eastAsia="仿宋_GB2312" w:cs="仿宋_GB2312"/>
          <w:color w:val="auto"/>
          <w:kern w:val="0"/>
          <w:sz w:val="24"/>
          <w:szCs w:val="24"/>
          <w:highlight w:val="none"/>
        </w:rPr>
      </w:pPr>
      <w:r>
        <w:rPr>
          <w:rFonts w:hint="eastAsia" w:ascii="仿宋_GB2312" w:hAnsi="Times New Roman" w:eastAsia="仿宋_GB2312"/>
          <w:color w:val="auto"/>
          <w:kern w:val="0"/>
          <w:sz w:val="24"/>
          <w:szCs w:val="24"/>
          <w:highlight w:val="none"/>
        </w:rPr>
        <w:t>地址：                            地址：</w:t>
      </w:r>
    </w:p>
    <w:p w14:paraId="791CEE65">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rPr>
        <w:t>十五、</w:t>
      </w:r>
      <w:r>
        <w:rPr>
          <w:rFonts w:hint="eastAsia" w:ascii="仿宋_GB2312" w:hAnsi="仿宋_GB2312" w:eastAsia="仿宋_GB2312" w:cs="仿宋_GB2312"/>
          <w:b/>
          <w:bCs/>
          <w:color w:val="auto"/>
          <w:sz w:val="28"/>
          <w:szCs w:val="28"/>
          <w:highlight w:val="none"/>
        </w:rPr>
        <w:t>反商业贿赂</w:t>
      </w:r>
    </w:p>
    <w:p w14:paraId="441A8C3B">
      <w:pPr>
        <w:spacing w:line="360" w:lineRule="auto"/>
        <w:ind w:firstLine="562"/>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双方确认熟悉并了解合同签订地和履行地关于禁止贿赂的商业政策，并同意遵守这些政策。任何一方不得为了获取利益以任何名义宴请对方的员工、代表或向对方的上述人员赠送财物或其他好处。实施商业贿赂的一方将承担相应法律后果，且另一方有权以此为由随时终止本合同；因商业贿赂致使对方遭受的任何损失，实施商业贿赂的一方应当予以赔偿。</w:t>
      </w:r>
    </w:p>
    <w:p w14:paraId="39A47AFD">
      <w:pPr>
        <w:spacing w:line="360" w:lineRule="auto"/>
        <w:ind w:firstLine="551" w:firstLineChars="196"/>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十六、附则</w:t>
      </w:r>
    </w:p>
    <w:p w14:paraId="0AB4FB82">
      <w:pPr>
        <w:spacing w:line="360" w:lineRule="auto"/>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16.1  本合同一式陆份，甲乙双方各执叁份，具有同等法律效力。</w:t>
      </w:r>
    </w:p>
    <w:p w14:paraId="06E6030C">
      <w:pPr>
        <w:spacing w:line="360" w:lineRule="auto"/>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16.2  本合同自甲乙双方</w:t>
      </w:r>
      <w:r>
        <w:rPr>
          <w:rFonts w:hint="eastAsia" w:ascii="仿宋_GB2312" w:hAnsi="仿宋_GB2312" w:eastAsia="仿宋_GB2312" w:cs="仿宋_GB2312"/>
          <w:color w:val="auto"/>
          <w:kern w:val="0"/>
          <w:sz w:val="28"/>
          <w:szCs w:val="28"/>
          <w:highlight w:val="none"/>
        </w:rPr>
        <w:t>负责人、法定代表人或授权代表人签字并</w:t>
      </w:r>
      <w:r>
        <w:rPr>
          <w:rFonts w:hint="eastAsia" w:ascii="仿宋_GB2312" w:hAnsi="仿宋_GB2312" w:eastAsia="仿宋_GB2312" w:cs="仿宋_GB2312"/>
          <w:color w:val="auto"/>
          <w:sz w:val="28"/>
          <w:szCs w:val="28"/>
          <w:highlight w:val="none"/>
        </w:rPr>
        <w:t>加盖公章/合同专用章之日起生效。</w:t>
      </w:r>
    </w:p>
    <w:p w14:paraId="0C832B1A">
      <w:pPr>
        <w:pStyle w:val="52"/>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16.3  本合同包含附件</w:t>
      </w:r>
      <w:r>
        <w:rPr>
          <w:rFonts w:hint="eastAsia" w:ascii="仿宋_GB2312" w:hAnsi="仿宋_GB2312" w:eastAsia="仿宋_GB2312" w:cs="仿宋_GB2312"/>
          <w:color w:val="auto"/>
          <w:sz w:val="28"/>
          <w:szCs w:val="28"/>
          <w:highlight w:val="none"/>
          <w:u w:val="single"/>
        </w:rPr>
        <w:t xml:space="preserve"> 壹 </w:t>
      </w:r>
      <w:r>
        <w:rPr>
          <w:rFonts w:hint="eastAsia" w:ascii="仿宋_GB2312" w:hAnsi="仿宋_GB2312" w:eastAsia="仿宋_GB2312" w:cs="仿宋_GB2312"/>
          <w:color w:val="auto"/>
          <w:sz w:val="28"/>
          <w:szCs w:val="28"/>
          <w:highlight w:val="none"/>
        </w:rPr>
        <w:t>个，作为本合同不可分割的一部分，与本合同正文具有同等法律效力</w:t>
      </w:r>
      <w:r>
        <w:rPr>
          <w:rFonts w:hint="eastAsia"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sz w:val="28"/>
          <w:szCs w:val="28"/>
          <w:highlight w:val="none"/>
        </w:rPr>
        <w:t>本项目招标文件、投标文件均为本合同的有效组成部分及制定本合同的重要依据，与本合同具有同等法律效力。</w:t>
      </w:r>
    </w:p>
    <w:p w14:paraId="771F86C7">
      <w:pPr>
        <w:spacing w:line="360" w:lineRule="auto"/>
        <w:ind w:firstLine="56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16.4  若甲方未能在合同期限届满后接管食堂食材采购工作，甲乙双方需于合同期限届满日前协商延长服务相关事宜。乙方应配合甲方维持正常运营至甲方接管，期间产生的费用参照本合同标准执行。</w:t>
      </w:r>
      <w:r>
        <w:rPr>
          <w:rFonts w:hint="eastAsia" w:ascii="仿宋_GB2312" w:hAnsi="仿宋_GB2312" w:eastAsia="仿宋_GB2312" w:cs="仿宋_GB2312"/>
          <w:color w:val="auto"/>
          <w:kern w:val="0"/>
          <w:sz w:val="28"/>
          <w:szCs w:val="28"/>
          <w:highlight w:val="none"/>
        </w:rPr>
        <w:t>若乙方不配合造成甲方经济损失的，乙方应给予甲方经济赔偿。</w:t>
      </w:r>
    </w:p>
    <w:p w14:paraId="6E2F5347">
      <w:pPr>
        <w:autoSpaceDE w:val="0"/>
        <w:autoSpaceDN w:val="0"/>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kern w:val="0"/>
          <w:sz w:val="28"/>
          <w:szCs w:val="28"/>
          <w:highlight w:val="none"/>
        </w:rPr>
        <w:t xml:space="preserve">16.5  </w:t>
      </w:r>
      <w:r>
        <w:rPr>
          <w:rFonts w:hint="eastAsia" w:ascii="仿宋_GB2312" w:hAnsi="仿宋_GB2312" w:eastAsia="仿宋_GB2312" w:cs="仿宋_GB2312"/>
          <w:color w:val="auto"/>
          <w:sz w:val="28"/>
          <w:szCs w:val="28"/>
          <w:highlight w:val="none"/>
        </w:rPr>
        <w:t>乙方自签订本合同之日起</w:t>
      </w:r>
      <w:r>
        <w:rPr>
          <w:rFonts w:hint="eastAsia" w:ascii="仿宋_GB2312" w:hAnsi="仿宋_GB2312" w:eastAsia="仿宋_GB2312" w:cs="仿宋_GB2312"/>
          <w:color w:val="auto"/>
          <w:sz w:val="28"/>
          <w:szCs w:val="28"/>
          <w:highlight w:val="none"/>
          <w:u w:val="single"/>
        </w:rPr>
        <w:t xml:space="preserve"> 十个工作日 </w:t>
      </w:r>
      <w:r>
        <w:rPr>
          <w:rFonts w:hint="eastAsia" w:ascii="仿宋_GB2312" w:hAnsi="仿宋_GB2312" w:eastAsia="仿宋_GB2312" w:cs="仿宋_GB2312"/>
          <w:color w:val="auto"/>
          <w:sz w:val="28"/>
          <w:szCs w:val="28"/>
          <w:highlight w:val="none"/>
        </w:rPr>
        <w:t>内按照投标文件承诺完成针对本项目投保事宜，并及时将相关投保材料送达甲方。</w:t>
      </w:r>
      <w:r>
        <w:rPr>
          <w:rFonts w:hint="eastAsia" w:ascii="仿宋_GB2312" w:hAnsi="仿宋_GB2312" w:eastAsia="仿宋_GB2312" w:cs="仿宋_GB2312"/>
          <w:color w:val="auto"/>
          <w:sz w:val="28"/>
          <w:szCs w:val="28"/>
          <w:highlight w:val="none"/>
          <w:lang w:val="zh-CN"/>
        </w:rPr>
        <w:t>若乙方未按照合同约定完成投保事宜，甲方有权</w:t>
      </w:r>
      <w:r>
        <w:rPr>
          <w:rFonts w:hint="eastAsia" w:ascii="仿宋_GB2312" w:hAnsi="仿宋_GB2312" w:eastAsia="仿宋_GB2312" w:cs="仿宋_GB2312"/>
          <w:color w:val="auto"/>
          <w:sz w:val="28"/>
          <w:szCs w:val="28"/>
          <w:highlight w:val="none"/>
        </w:rPr>
        <w:t>解除合同</w:t>
      </w:r>
      <w:r>
        <w:rPr>
          <w:rFonts w:hint="eastAsia" w:ascii="仿宋_GB2312" w:hAnsi="仿宋_GB2312" w:eastAsia="仿宋_GB2312" w:cs="仿宋_GB2312"/>
          <w:color w:val="auto"/>
          <w:sz w:val="28"/>
          <w:szCs w:val="28"/>
          <w:highlight w:val="none"/>
          <w:lang w:val="zh-CN"/>
        </w:rPr>
        <w:t>。</w:t>
      </w:r>
    </w:p>
    <w:p w14:paraId="3682F012">
      <w:pPr>
        <w:spacing w:line="360" w:lineRule="auto"/>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16.6  未尽事宜双方可协商一致，签订补充合同，补充合同与本合同具有同等法律效力。本合同及补充合同中未约定的事宜，均遵照中华人民共和国有关法律、法规和规章执行。</w:t>
      </w:r>
    </w:p>
    <w:p w14:paraId="3B4E048B">
      <w:pPr>
        <w:pageBreakBefore w:val="0"/>
        <w:spacing w:line="6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（以下无正文）</w:t>
      </w:r>
    </w:p>
    <w:p w14:paraId="6B9DF750">
      <w:pPr>
        <w:pageBreakBefore w:val="0"/>
        <w:spacing w:line="600" w:lineRule="exact"/>
        <w:jc w:val="center"/>
        <w:rPr>
          <w:rFonts w:ascii="仿宋_GB2312" w:hAnsi="仿宋_GB2312" w:eastAsia="仿宋_GB2312" w:cs="仿宋_GB2312"/>
          <w:color w:val="auto"/>
          <w:sz w:val="28"/>
          <w:szCs w:val="28"/>
          <w:highlight w:val="none"/>
        </w:rPr>
      </w:pPr>
    </w:p>
    <w:p w14:paraId="553A709C">
      <w:pPr>
        <w:pageBreakBefore w:val="0"/>
        <w:spacing w:line="600" w:lineRule="exact"/>
        <w:jc w:val="center"/>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签署页</w:t>
      </w:r>
    </w:p>
    <w:p w14:paraId="40EAD9F7">
      <w:pPr>
        <w:spacing w:line="60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 方：                              乙 方：</w:t>
      </w:r>
    </w:p>
    <w:p w14:paraId="0C2ED3FB">
      <w:pPr>
        <w:spacing w:line="60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地址：                               地址：</w:t>
      </w:r>
    </w:p>
    <w:p w14:paraId="142CB4D1">
      <w:pPr>
        <w:spacing w:line="60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负责人或授权代表人：                 法定代表人或授权代表人：</w:t>
      </w:r>
    </w:p>
    <w:p w14:paraId="7838FAB7">
      <w:pPr>
        <w:spacing w:line="60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Cs w:val="21"/>
          <w:highlight w:val="none"/>
        </w:rPr>
        <w:t>日 期：    年  月</w:t>
      </w:r>
      <w:r>
        <w:rPr>
          <w:rFonts w:ascii="仿宋_GB2312" w:hAnsi="仿宋_GB2312" w:eastAsia="仿宋_GB2312" w:cs="仿宋_GB2312"/>
          <w:color w:val="auto"/>
          <w:kern w:val="0"/>
          <w:szCs w:val="21"/>
          <w:highlight w:val="none"/>
        </w:rPr>
        <w:t xml:space="preserve">   </w:t>
      </w:r>
      <w:r>
        <w:rPr>
          <w:rFonts w:hint="eastAsia" w:ascii="仿宋_GB2312" w:hAnsi="仿宋_GB2312" w:eastAsia="仿宋_GB2312" w:cs="仿宋_GB2312"/>
          <w:color w:val="auto"/>
          <w:kern w:val="0"/>
          <w:szCs w:val="21"/>
          <w:highlight w:val="none"/>
        </w:rPr>
        <w:t>日               日 期：    年  月</w:t>
      </w:r>
      <w:r>
        <w:rPr>
          <w:rFonts w:ascii="仿宋_GB2312" w:hAnsi="仿宋_GB2312" w:eastAsia="仿宋_GB2312" w:cs="仿宋_GB2312"/>
          <w:color w:val="auto"/>
          <w:kern w:val="0"/>
          <w:szCs w:val="21"/>
          <w:highlight w:val="none"/>
        </w:rPr>
        <w:t xml:space="preserve">   </w:t>
      </w:r>
      <w:r>
        <w:rPr>
          <w:rFonts w:hint="eastAsia" w:ascii="仿宋_GB2312" w:hAnsi="仿宋_GB2312" w:eastAsia="仿宋_GB2312" w:cs="仿宋_GB2312"/>
          <w:color w:val="auto"/>
          <w:kern w:val="0"/>
          <w:szCs w:val="21"/>
          <w:highlight w:val="none"/>
        </w:rPr>
        <w:t>日</w:t>
      </w:r>
    </w:p>
    <w:p w14:paraId="49A4127D">
      <w:pPr>
        <w:pageBreakBefore/>
        <w:spacing w:line="600" w:lineRule="exact"/>
        <w:rPr>
          <w:rFonts w:ascii="仿宋_GB2312" w:hAnsi="仿宋_GB2312" w:eastAsia="仿宋_GB2312" w:cs="仿宋_GB2312"/>
          <w:color w:val="auto"/>
          <w:sz w:val="28"/>
          <w:szCs w:val="28"/>
          <w:highlight w:val="none"/>
        </w:rPr>
      </w:pPr>
    </w:p>
    <w:tbl>
      <w:tblPr>
        <w:tblStyle w:val="22"/>
        <w:tblW w:w="9357" w:type="dxa"/>
        <w:tblInd w:w="-318" w:type="dxa"/>
        <w:tblLayout w:type="fixed"/>
        <w:tblCellMar>
          <w:top w:w="0" w:type="dxa"/>
          <w:left w:w="108" w:type="dxa"/>
          <w:bottom w:w="0" w:type="dxa"/>
          <w:right w:w="108" w:type="dxa"/>
        </w:tblCellMar>
      </w:tblPr>
      <w:tblGrid>
        <w:gridCol w:w="921"/>
        <w:gridCol w:w="1554"/>
        <w:gridCol w:w="5889"/>
        <w:gridCol w:w="667"/>
        <w:gridCol w:w="326"/>
      </w:tblGrid>
      <w:tr w14:paraId="49980896">
        <w:tblPrEx>
          <w:tblCellMar>
            <w:top w:w="0" w:type="dxa"/>
            <w:left w:w="108" w:type="dxa"/>
            <w:bottom w:w="0" w:type="dxa"/>
            <w:right w:w="108" w:type="dxa"/>
          </w:tblCellMar>
        </w:tblPrEx>
        <w:trPr>
          <w:trHeight w:val="285" w:hRule="atLeast"/>
        </w:trPr>
        <w:tc>
          <w:tcPr>
            <w:tcW w:w="2475" w:type="dxa"/>
            <w:gridSpan w:val="2"/>
            <w:tcBorders>
              <w:top w:val="nil"/>
              <w:left w:val="nil"/>
              <w:bottom w:val="nil"/>
              <w:right w:val="nil"/>
            </w:tcBorders>
            <w:vAlign w:val="bottom"/>
          </w:tcPr>
          <w:p w14:paraId="03AB5388">
            <w:pPr>
              <w:widowControl/>
              <w:spacing w:line="600" w:lineRule="exact"/>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附件</w:t>
            </w:r>
          </w:p>
        </w:tc>
        <w:tc>
          <w:tcPr>
            <w:tcW w:w="6556" w:type="dxa"/>
            <w:gridSpan w:val="2"/>
            <w:tcBorders>
              <w:top w:val="nil"/>
              <w:left w:val="nil"/>
              <w:bottom w:val="nil"/>
              <w:right w:val="nil"/>
            </w:tcBorders>
            <w:vAlign w:val="bottom"/>
          </w:tcPr>
          <w:p w14:paraId="15D021D4">
            <w:pPr>
              <w:widowControl/>
              <w:spacing w:line="600" w:lineRule="exact"/>
              <w:jc w:val="left"/>
              <w:rPr>
                <w:rFonts w:ascii="仿宋_GB2312" w:hAnsi="仿宋_GB2312" w:eastAsia="仿宋_GB2312" w:cs="仿宋_GB2312"/>
                <w:color w:val="auto"/>
                <w:kern w:val="0"/>
                <w:sz w:val="28"/>
                <w:szCs w:val="28"/>
                <w:highlight w:val="none"/>
              </w:rPr>
            </w:pPr>
          </w:p>
        </w:tc>
        <w:tc>
          <w:tcPr>
            <w:tcW w:w="326" w:type="dxa"/>
            <w:tcBorders>
              <w:top w:val="nil"/>
              <w:left w:val="nil"/>
              <w:bottom w:val="nil"/>
              <w:right w:val="nil"/>
            </w:tcBorders>
            <w:vAlign w:val="bottom"/>
          </w:tcPr>
          <w:p w14:paraId="2887B32E">
            <w:pPr>
              <w:widowControl/>
              <w:spacing w:line="600" w:lineRule="exact"/>
              <w:jc w:val="center"/>
              <w:rPr>
                <w:rFonts w:ascii="仿宋_GB2312" w:hAnsi="仿宋_GB2312" w:eastAsia="仿宋_GB2312" w:cs="仿宋_GB2312"/>
                <w:color w:val="auto"/>
                <w:kern w:val="0"/>
                <w:sz w:val="28"/>
                <w:szCs w:val="28"/>
                <w:highlight w:val="none"/>
              </w:rPr>
            </w:pPr>
          </w:p>
        </w:tc>
      </w:tr>
      <w:tr w14:paraId="6FD244C2">
        <w:tblPrEx>
          <w:tblCellMar>
            <w:top w:w="0" w:type="dxa"/>
            <w:left w:w="108" w:type="dxa"/>
            <w:bottom w:w="0" w:type="dxa"/>
            <w:right w:w="108" w:type="dxa"/>
          </w:tblCellMar>
        </w:tblPrEx>
        <w:trPr>
          <w:trHeight w:val="450" w:hRule="atLeast"/>
        </w:trPr>
        <w:tc>
          <w:tcPr>
            <w:tcW w:w="9357" w:type="dxa"/>
            <w:gridSpan w:val="5"/>
            <w:tcBorders>
              <w:top w:val="nil"/>
              <w:left w:val="nil"/>
              <w:bottom w:val="nil"/>
              <w:right w:val="nil"/>
            </w:tcBorders>
            <w:vAlign w:val="bottom"/>
          </w:tcPr>
          <w:p w14:paraId="19E8BA1E">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30"/>
                <w:szCs w:val="30"/>
                <w:highlight w:val="none"/>
              </w:rPr>
              <w:t>厦门市分行食堂食材配送服务考核指标</w:t>
            </w:r>
          </w:p>
        </w:tc>
      </w:tr>
      <w:tr w14:paraId="0452C7D8">
        <w:tblPrEx>
          <w:tblCellMar>
            <w:top w:w="0" w:type="dxa"/>
            <w:left w:w="108" w:type="dxa"/>
            <w:bottom w:w="0" w:type="dxa"/>
            <w:right w:w="108" w:type="dxa"/>
          </w:tblCellMar>
        </w:tblPrEx>
        <w:trPr>
          <w:trHeight w:val="285" w:hRule="atLeast"/>
        </w:trPr>
        <w:tc>
          <w:tcPr>
            <w:tcW w:w="921" w:type="dxa"/>
            <w:tcBorders>
              <w:top w:val="nil"/>
              <w:left w:val="nil"/>
              <w:bottom w:val="nil"/>
              <w:right w:val="nil"/>
            </w:tcBorders>
            <w:vAlign w:val="bottom"/>
          </w:tcPr>
          <w:p w14:paraId="3F485DA6">
            <w:pPr>
              <w:widowControl/>
              <w:spacing w:line="600" w:lineRule="exact"/>
              <w:jc w:val="left"/>
              <w:rPr>
                <w:rFonts w:ascii="仿宋_GB2312" w:hAnsi="仿宋_GB2312" w:eastAsia="仿宋_GB2312" w:cs="仿宋_GB2312"/>
                <w:color w:val="auto"/>
                <w:kern w:val="0"/>
                <w:sz w:val="24"/>
                <w:szCs w:val="24"/>
                <w:highlight w:val="none"/>
              </w:rPr>
            </w:pPr>
          </w:p>
        </w:tc>
        <w:tc>
          <w:tcPr>
            <w:tcW w:w="1554" w:type="dxa"/>
            <w:tcBorders>
              <w:top w:val="nil"/>
              <w:left w:val="nil"/>
              <w:bottom w:val="nil"/>
              <w:right w:val="nil"/>
            </w:tcBorders>
            <w:vAlign w:val="bottom"/>
          </w:tcPr>
          <w:p w14:paraId="78584F2B">
            <w:pPr>
              <w:widowControl/>
              <w:spacing w:line="600" w:lineRule="exact"/>
              <w:jc w:val="left"/>
              <w:rPr>
                <w:rFonts w:ascii="仿宋_GB2312" w:hAnsi="仿宋_GB2312" w:eastAsia="仿宋_GB2312" w:cs="仿宋_GB2312"/>
                <w:color w:val="auto"/>
                <w:kern w:val="0"/>
                <w:sz w:val="24"/>
                <w:szCs w:val="24"/>
                <w:highlight w:val="none"/>
              </w:rPr>
            </w:pPr>
          </w:p>
        </w:tc>
        <w:tc>
          <w:tcPr>
            <w:tcW w:w="5889" w:type="dxa"/>
            <w:tcBorders>
              <w:top w:val="nil"/>
              <w:left w:val="nil"/>
              <w:bottom w:val="nil"/>
              <w:right w:val="nil"/>
            </w:tcBorders>
            <w:vAlign w:val="bottom"/>
          </w:tcPr>
          <w:p w14:paraId="4BD5597B">
            <w:pPr>
              <w:widowControl/>
              <w:spacing w:line="600" w:lineRule="exact"/>
              <w:jc w:val="left"/>
              <w:rPr>
                <w:rFonts w:ascii="仿宋_GB2312" w:hAnsi="仿宋_GB2312" w:eastAsia="仿宋_GB2312" w:cs="仿宋_GB2312"/>
                <w:color w:val="auto"/>
                <w:kern w:val="0"/>
                <w:sz w:val="24"/>
                <w:szCs w:val="24"/>
                <w:highlight w:val="none"/>
              </w:rPr>
            </w:pPr>
          </w:p>
        </w:tc>
        <w:tc>
          <w:tcPr>
            <w:tcW w:w="993" w:type="dxa"/>
            <w:gridSpan w:val="2"/>
            <w:tcBorders>
              <w:top w:val="nil"/>
              <w:left w:val="nil"/>
              <w:bottom w:val="nil"/>
              <w:right w:val="nil"/>
            </w:tcBorders>
            <w:vAlign w:val="bottom"/>
          </w:tcPr>
          <w:p w14:paraId="0B1FFE4C">
            <w:pPr>
              <w:widowControl/>
              <w:spacing w:line="600" w:lineRule="exact"/>
              <w:jc w:val="center"/>
              <w:rPr>
                <w:rFonts w:ascii="仿宋_GB2312" w:hAnsi="仿宋_GB2312" w:eastAsia="仿宋_GB2312" w:cs="仿宋_GB2312"/>
                <w:color w:val="auto"/>
                <w:kern w:val="0"/>
                <w:sz w:val="24"/>
                <w:szCs w:val="24"/>
                <w:highlight w:val="none"/>
              </w:rPr>
            </w:pPr>
          </w:p>
        </w:tc>
      </w:tr>
      <w:tr w14:paraId="7F660BD5">
        <w:tblPrEx>
          <w:tblCellMar>
            <w:top w:w="0" w:type="dxa"/>
            <w:left w:w="108" w:type="dxa"/>
            <w:bottom w:w="0" w:type="dxa"/>
            <w:right w:w="108" w:type="dxa"/>
          </w:tblCellMar>
        </w:tblPrEx>
        <w:trPr>
          <w:trHeight w:val="1005" w:hRule="atLeast"/>
        </w:trPr>
        <w:tc>
          <w:tcPr>
            <w:tcW w:w="921" w:type="dxa"/>
            <w:tcBorders>
              <w:top w:val="single" w:color="auto" w:sz="4" w:space="0"/>
              <w:left w:val="single" w:color="auto" w:sz="4" w:space="0"/>
              <w:bottom w:val="single" w:color="auto" w:sz="4" w:space="0"/>
              <w:right w:val="single" w:color="auto" w:sz="4" w:space="0"/>
            </w:tcBorders>
            <w:vAlign w:val="center"/>
          </w:tcPr>
          <w:p w14:paraId="7D408BC9">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序号</w:t>
            </w:r>
          </w:p>
        </w:tc>
        <w:tc>
          <w:tcPr>
            <w:tcW w:w="1554" w:type="dxa"/>
            <w:tcBorders>
              <w:top w:val="single" w:color="auto" w:sz="4" w:space="0"/>
              <w:left w:val="nil"/>
              <w:bottom w:val="single" w:color="auto" w:sz="4" w:space="0"/>
              <w:right w:val="single" w:color="auto" w:sz="4" w:space="0"/>
            </w:tcBorders>
            <w:vAlign w:val="center"/>
          </w:tcPr>
          <w:p w14:paraId="319315EB">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考核内容</w:t>
            </w:r>
          </w:p>
        </w:tc>
        <w:tc>
          <w:tcPr>
            <w:tcW w:w="5889" w:type="dxa"/>
            <w:tcBorders>
              <w:top w:val="single" w:color="auto" w:sz="4" w:space="0"/>
              <w:left w:val="nil"/>
              <w:bottom w:val="single" w:color="auto" w:sz="4" w:space="0"/>
              <w:right w:val="single" w:color="auto" w:sz="4" w:space="0"/>
            </w:tcBorders>
            <w:vAlign w:val="center"/>
          </w:tcPr>
          <w:p w14:paraId="49B326F0">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考核指标</w:t>
            </w:r>
          </w:p>
        </w:tc>
        <w:tc>
          <w:tcPr>
            <w:tcW w:w="993" w:type="dxa"/>
            <w:gridSpan w:val="2"/>
            <w:tcBorders>
              <w:top w:val="single" w:color="auto" w:sz="4" w:space="0"/>
              <w:left w:val="nil"/>
              <w:bottom w:val="single" w:color="auto" w:sz="4" w:space="0"/>
              <w:right w:val="single" w:color="auto" w:sz="4" w:space="0"/>
            </w:tcBorders>
            <w:vAlign w:val="center"/>
          </w:tcPr>
          <w:p w14:paraId="466DBB07">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扣分（分/次）</w:t>
            </w:r>
          </w:p>
        </w:tc>
      </w:tr>
      <w:tr w14:paraId="068A4E7D">
        <w:tblPrEx>
          <w:tblCellMar>
            <w:top w:w="0" w:type="dxa"/>
            <w:left w:w="108" w:type="dxa"/>
            <w:bottom w:w="0" w:type="dxa"/>
            <w:right w:w="108" w:type="dxa"/>
          </w:tblCellMar>
        </w:tblPrEx>
        <w:trPr>
          <w:trHeight w:val="1065" w:hRule="atLeast"/>
        </w:trPr>
        <w:tc>
          <w:tcPr>
            <w:tcW w:w="921" w:type="dxa"/>
            <w:tcBorders>
              <w:top w:val="nil"/>
              <w:left w:val="single" w:color="auto" w:sz="4" w:space="0"/>
              <w:bottom w:val="single" w:color="auto" w:sz="4" w:space="0"/>
              <w:right w:val="single" w:color="auto" w:sz="4" w:space="0"/>
            </w:tcBorders>
            <w:vAlign w:val="center"/>
          </w:tcPr>
          <w:p w14:paraId="142FFBFE">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1554" w:type="dxa"/>
            <w:tcBorders>
              <w:top w:val="nil"/>
              <w:left w:val="nil"/>
              <w:bottom w:val="single" w:color="auto" w:sz="4" w:space="0"/>
              <w:right w:val="single" w:color="auto" w:sz="4" w:space="0"/>
            </w:tcBorders>
            <w:vAlign w:val="center"/>
          </w:tcPr>
          <w:p w14:paraId="4E8880EA">
            <w:pPr>
              <w:widowControl/>
              <w:spacing w:line="6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配送时间</w:t>
            </w:r>
          </w:p>
        </w:tc>
        <w:tc>
          <w:tcPr>
            <w:tcW w:w="5889" w:type="dxa"/>
            <w:tcBorders>
              <w:top w:val="nil"/>
              <w:left w:val="nil"/>
              <w:bottom w:val="single" w:color="auto" w:sz="4" w:space="0"/>
              <w:right w:val="single" w:color="auto" w:sz="4" w:space="0"/>
            </w:tcBorders>
            <w:vAlign w:val="center"/>
          </w:tcPr>
          <w:p w14:paraId="1981C7CF">
            <w:pPr>
              <w:pStyle w:val="52"/>
              <w:spacing w:line="40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食材配送，未在甲方指定的时间内送达（蔬菜水果需于6:30之前送达；肉类、海鲜需于6:30之前送达；冻品、粮油及调味品需于6:30之前送达），临时加送的食材未能在甲方下单后3小时内送达，且影响甲方食堂正常运营的情况。</w:t>
            </w:r>
          </w:p>
        </w:tc>
        <w:tc>
          <w:tcPr>
            <w:tcW w:w="993" w:type="dxa"/>
            <w:gridSpan w:val="2"/>
            <w:tcBorders>
              <w:top w:val="nil"/>
              <w:left w:val="nil"/>
              <w:bottom w:val="single" w:color="auto" w:sz="4" w:space="0"/>
              <w:right w:val="single" w:color="auto" w:sz="4" w:space="0"/>
            </w:tcBorders>
            <w:vAlign w:val="center"/>
          </w:tcPr>
          <w:p w14:paraId="06992BAC">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r>
      <w:tr w14:paraId="74A1057B">
        <w:tblPrEx>
          <w:tblCellMar>
            <w:top w:w="0" w:type="dxa"/>
            <w:left w:w="108" w:type="dxa"/>
            <w:bottom w:w="0" w:type="dxa"/>
            <w:right w:w="108" w:type="dxa"/>
          </w:tblCellMar>
        </w:tblPrEx>
        <w:trPr>
          <w:trHeight w:val="1455" w:hRule="atLeast"/>
        </w:trPr>
        <w:tc>
          <w:tcPr>
            <w:tcW w:w="921" w:type="dxa"/>
            <w:tcBorders>
              <w:top w:val="nil"/>
              <w:left w:val="single" w:color="auto" w:sz="4" w:space="0"/>
              <w:bottom w:val="single" w:color="auto" w:sz="4" w:space="0"/>
              <w:right w:val="single" w:color="auto" w:sz="4" w:space="0"/>
            </w:tcBorders>
            <w:vAlign w:val="center"/>
          </w:tcPr>
          <w:p w14:paraId="4FB5D042">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1554" w:type="dxa"/>
            <w:tcBorders>
              <w:top w:val="nil"/>
              <w:left w:val="nil"/>
              <w:bottom w:val="single" w:color="auto" w:sz="4" w:space="0"/>
              <w:right w:val="single" w:color="auto" w:sz="4" w:space="0"/>
            </w:tcBorders>
            <w:vAlign w:val="center"/>
          </w:tcPr>
          <w:p w14:paraId="0041F525">
            <w:pPr>
              <w:widowControl/>
              <w:spacing w:line="6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供货价格</w:t>
            </w:r>
          </w:p>
        </w:tc>
        <w:tc>
          <w:tcPr>
            <w:tcW w:w="5889" w:type="dxa"/>
            <w:tcBorders>
              <w:top w:val="nil"/>
              <w:left w:val="nil"/>
              <w:bottom w:val="single" w:color="auto" w:sz="4" w:space="0"/>
              <w:right w:val="single" w:color="auto" w:sz="4" w:space="0"/>
            </w:tcBorders>
            <w:vAlign w:val="center"/>
          </w:tcPr>
          <w:p w14:paraId="39067EF6">
            <w:pPr>
              <w:widowControl/>
              <w:spacing w:line="4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基准单价高于大型商超（朴朴、永辉、沃尔玛、天虹、大润发、麦德龙、夏商等）任选2-3家</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以</w:t>
            </w:r>
            <w:r>
              <w:rPr>
                <w:rFonts w:hint="eastAsia" w:ascii="仿宋_GB2312" w:hAnsi="仿宋_GB2312" w:eastAsia="仿宋_GB2312" w:cs="仿宋_GB2312"/>
                <w:color w:val="auto"/>
                <w:kern w:val="0"/>
                <w:sz w:val="24"/>
                <w:szCs w:val="24"/>
                <w:highlight w:val="none"/>
              </w:rPr>
              <w:t>同类、同质商品销售价格的平均价格的情况。</w:t>
            </w:r>
          </w:p>
        </w:tc>
        <w:tc>
          <w:tcPr>
            <w:tcW w:w="993" w:type="dxa"/>
            <w:gridSpan w:val="2"/>
            <w:tcBorders>
              <w:top w:val="nil"/>
              <w:left w:val="nil"/>
              <w:bottom w:val="single" w:color="auto" w:sz="4" w:space="0"/>
              <w:right w:val="single" w:color="auto" w:sz="4" w:space="0"/>
            </w:tcBorders>
            <w:vAlign w:val="center"/>
          </w:tcPr>
          <w:p w14:paraId="11CFB1A1">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r>
      <w:tr w14:paraId="00F71438">
        <w:tblPrEx>
          <w:tblCellMar>
            <w:top w:w="0" w:type="dxa"/>
            <w:left w:w="108" w:type="dxa"/>
            <w:bottom w:w="0" w:type="dxa"/>
            <w:right w:w="108" w:type="dxa"/>
          </w:tblCellMar>
        </w:tblPrEx>
        <w:trPr>
          <w:trHeight w:val="1230" w:hRule="atLeast"/>
        </w:trPr>
        <w:tc>
          <w:tcPr>
            <w:tcW w:w="921" w:type="dxa"/>
            <w:tcBorders>
              <w:top w:val="nil"/>
              <w:left w:val="single" w:color="auto" w:sz="4" w:space="0"/>
              <w:bottom w:val="single" w:color="auto" w:sz="4" w:space="0"/>
              <w:right w:val="single" w:color="auto" w:sz="4" w:space="0"/>
            </w:tcBorders>
            <w:vAlign w:val="center"/>
          </w:tcPr>
          <w:p w14:paraId="55F66B70">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1554" w:type="dxa"/>
            <w:tcBorders>
              <w:top w:val="nil"/>
              <w:left w:val="nil"/>
              <w:bottom w:val="single" w:color="auto" w:sz="4" w:space="0"/>
              <w:right w:val="single" w:color="auto" w:sz="4" w:space="0"/>
            </w:tcBorders>
            <w:vAlign w:val="center"/>
          </w:tcPr>
          <w:p w14:paraId="4AD098C3">
            <w:pPr>
              <w:widowControl/>
              <w:spacing w:line="6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食材品质</w:t>
            </w:r>
          </w:p>
        </w:tc>
        <w:tc>
          <w:tcPr>
            <w:tcW w:w="5889" w:type="dxa"/>
            <w:tcBorders>
              <w:top w:val="nil"/>
              <w:left w:val="nil"/>
              <w:bottom w:val="nil"/>
              <w:right w:val="nil"/>
            </w:tcBorders>
            <w:vAlign w:val="center"/>
          </w:tcPr>
          <w:p w14:paraId="65CDC65C">
            <w:pPr>
              <w:widowControl/>
              <w:spacing w:line="4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每批次食材没有提供符合食品卫生标准的相关证明凭证，</w:t>
            </w:r>
            <w:r>
              <w:rPr>
                <w:rFonts w:hint="eastAsia" w:ascii="仿宋_GB2312" w:hAnsi="仿宋_GB2312" w:eastAsia="仿宋_GB2312" w:cs="仿宋_GB2312"/>
                <w:color w:val="auto"/>
                <w:kern w:val="0"/>
                <w:sz w:val="24"/>
                <w:szCs w:val="24"/>
                <w:highlight w:val="none"/>
              </w:rPr>
              <w:t>或</w:t>
            </w:r>
            <w:r>
              <w:rPr>
                <w:rFonts w:hint="eastAsia" w:ascii="仿宋_GB2312" w:hAnsi="仿宋_GB2312" w:eastAsia="仿宋_GB2312" w:cs="仿宋_GB2312"/>
                <w:color w:val="auto"/>
                <w:sz w:val="24"/>
                <w:szCs w:val="24"/>
                <w:highlight w:val="none"/>
              </w:rPr>
              <w:t>出现</w:t>
            </w:r>
            <w:r>
              <w:rPr>
                <w:rFonts w:hint="eastAsia" w:ascii="仿宋_GB2312" w:hAnsi="仿宋_GB2312" w:eastAsia="仿宋_GB2312" w:cs="仿宋_GB2312"/>
                <w:color w:val="auto"/>
                <w:kern w:val="0"/>
                <w:sz w:val="24"/>
                <w:szCs w:val="24"/>
                <w:highlight w:val="none"/>
              </w:rPr>
              <w:t>过期、变质、变味等质量问题的情况。</w:t>
            </w:r>
          </w:p>
        </w:tc>
        <w:tc>
          <w:tcPr>
            <w:tcW w:w="993" w:type="dxa"/>
            <w:gridSpan w:val="2"/>
            <w:tcBorders>
              <w:top w:val="nil"/>
              <w:left w:val="single" w:color="auto" w:sz="4" w:space="0"/>
              <w:bottom w:val="single" w:color="auto" w:sz="4" w:space="0"/>
              <w:right w:val="single" w:color="auto" w:sz="4" w:space="0"/>
            </w:tcBorders>
            <w:vAlign w:val="center"/>
          </w:tcPr>
          <w:p w14:paraId="1F361B8A">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r>
      <w:tr w14:paraId="4F41719B">
        <w:tblPrEx>
          <w:tblCellMar>
            <w:top w:w="0" w:type="dxa"/>
            <w:left w:w="108" w:type="dxa"/>
            <w:bottom w:w="0" w:type="dxa"/>
            <w:right w:w="108" w:type="dxa"/>
          </w:tblCellMar>
        </w:tblPrEx>
        <w:trPr>
          <w:trHeight w:val="1170" w:hRule="atLeast"/>
        </w:trPr>
        <w:tc>
          <w:tcPr>
            <w:tcW w:w="921" w:type="dxa"/>
            <w:tcBorders>
              <w:top w:val="nil"/>
              <w:left w:val="single" w:color="auto" w:sz="4" w:space="0"/>
              <w:bottom w:val="single" w:color="auto" w:sz="4" w:space="0"/>
              <w:right w:val="single" w:color="auto" w:sz="4" w:space="0"/>
            </w:tcBorders>
            <w:vAlign w:val="center"/>
          </w:tcPr>
          <w:p w14:paraId="3F02EE08">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p>
        </w:tc>
        <w:tc>
          <w:tcPr>
            <w:tcW w:w="1554" w:type="dxa"/>
            <w:tcBorders>
              <w:top w:val="nil"/>
              <w:left w:val="nil"/>
              <w:bottom w:val="single" w:color="auto" w:sz="4" w:space="0"/>
              <w:right w:val="single" w:color="auto" w:sz="4" w:space="0"/>
            </w:tcBorders>
            <w:vAlign w:val="center"/>
          </w:tcPr>
          <w:p w14:paraId="6A7FDC0F">
            <w:pPr>
              <w:widowControl/>
              <w:spacing w:line="6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食材数量、品种和规格</w:t>
            </w:r>
          </w:p>
        </w:tc>
        <w:tc>
          <w:tcPr>
            <w:tcW w:w="5889" w:type="dxa"/>
            <w:tcBorders>
              <w:top w:val="single" w:color="auto" w:sz="4" w:space="0"/>
              <w:left w:val="nil"/>
              <w:bottom w:val="single" w:color="auto" w:sz="4" w:space="0"/>
              <w:right w:val="single" w:color="auto" w:sz="4" w:space="0"/>
            </w:tcBorders>
            <w:vAlign w:val="center"/>
          </w:tcPr>
          <w:p w14:paraId="1453703A">
            <w:pPr>
              <w:widowControl/>
              <w:spacing w:line="4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食材数量、品种和规格没有按照甲方要求供应，存在弄虚作假的情况。</w:t>
            </w:r>
          </w:p>
        </w:tc>
        <w:tc>
          <w:tcPr>
            <w:tcW w:w="993" w:type="dxa"/>
            <w:gridSpan w:val="2"/>
            <w:tcBorders>
              <w:top w:val="nil"/>
              <w:left w:val="nil"/>
              <w:bottom w:val="single" w:color="auto" w:sz="4" w:space="0"/>
              <w:right w:val="single" w:color="auto" w:sz="4" w:space="0"/>
            </w:tcBorders>
            <w:vAlign w:val="center"/>
          </w:tcPr>
          <w:p w14:paraId="25819125">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r>
      <w:tr w14:paraId="3CB8D1B7">
        <w:tblPrEx>
          <w:tblCellMar>
            <w:top w:w="0" w:type="dxa"/>
            <w:left w:w="108" w:type="dxa"/>
            <w:bottom w:w="0" w:type="dxa"/>
            <w:right w:w="108" w:type="dxa"/>
          </w:tblCellMar>
        </w:tblPrEx>
        <w:trPr>
          <w:trHeight w:val="1290" w:hRule="atLeast"/>
        </w:trPr>
        <w:tc>
          <w:tcPr>
            <w:tcW w:w="921" w:type="dxa"/>
            <w:tcBorders>
              <w:top w:val="nil"/>
              <w:left w:val="single" w:color="auto" w:sz="4" w:space="0"/>
              <w:bottom w:val="single" w:color="auto" w:sz="4" w:space="0"/>
              <w:right w:val="single" w:color="auto" w:sz="4" w:space="0"/>
            </w:tcBorders>
            <w:vAlign w:val="center"/>
          </w:tcPr>
          <w:p w14:paraId="1AC8C595">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1554" w:type="dxa"/>
            <w:tcBorders>
              <w:top w:val="nil"/>
              <w:left w:val="nil"/>
              <w:bottom w:val="single" w:color="auto" w:sz="4" w:space="0"/>
              <w:right w:val="single" w:color="auto" w:sz="4" w:space="0"/>
            </w:tcBorders>
            <w:vAlign w:val="center"/>
          </w:tcPr>
          <w:p w14:paraId="14271E30">
            <w:pPr>
              <w:widowControl/>
              <w:spacing w:line="6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安全事故</w:t>
            </w:r>
          </w:p>
        </w:tc>
        <w:tc>
          <w:tcPr>
            <w:tcW w:w="5889" w:type="dxa"/>
            <w:tcBorders>
              <w:top w:val="nil"/>
              <w:left w:val="nil"/>
              <w:bottom w:val="single" w:color="auto" w:sz="4" w:space="0"/>
              <w:right w:val="single" w:color="auto" w:sz="4" w:space="0"/>
            </w:tcBorders>
            <w:vAlign w:val="center"/>
          </w:tcPr>
          <w:p w14:paraId="49F63131">
            <w:pPr>
              <w:widowControl/>
              <w:spacing w:line="400" w:lineRule="exact"/>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经政府食品安全检测部门认定，由于所供应的食材造成食物中毒等重大安全事故的情况。</w:t>
            </w:r>
          </w:p>
        </w:tc>
        <w:tc>
          <w:tcPr>
            <w:tcW w:w="993" w:type="dxa"/>
            <w:gridSpan w:val="2"/>
            <w:tcBorders>
              <w:top w:val="nil"/>
              <w:left w:val="nil"/>
              <w:bottom w:val="single" w:color="auto" w:sz="4" w:space="0"/>
              <w:right w:val="single" w:color="auto" w:sz="4" w:space="0"/>
            </w:tcBorders>
            <w:vAlign w:val="center"/>
          </w:tcPr>
          <w:p w14:paraId="2F7E27EB">
            <w:pPr>
              <w:widowControl/>
              <w:spacing w:line="600" w:lineRule="exact"/>
              <w:jc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100</w:t>
            </w:r>
          </w:p>
        </w:tc>
      </w:tr>
      <w:tr w14:paraId="1A8ECFB7">
        <w:tblPrEx>
          <w:tblCellMar>
            <w:top w:w="0" w:type="dxa"/>
            <w:left w:w="108" w:type="dxa"/>
            <w:bottom w:w="0" w:type="dxa"/>
            <w:right w:w="108" w:type="dxa"/>
          </w:tblCellMar>
        </w:tblPrEx>
        <w:trPr>
          <w:trHeight w:val="1525" w:hRule="atLeast"/>
        </w:trPr>
        <w:tc>
          <w:tcPr>
            <w:tcW w:w="9357" w:type="dxa"/>
            <w:gridSpan w:val="5"/>
            <w:tcBorders>
              <w:top w:val="single" w:color="auto" w:sz="4" w:space="0"/>
              <w:left w:val="single" w:color="auto" w:sz="4" w:space="0"/>
              <w:bottom w:val="single" w:color="auto" w:sz="4" w:space="0"/>
              <w:right w:val="single" w:color="000000" w:sz="4" w:space="0"/>
            </w:tcBorders>
            <w:vAlign w:val="center"/>
          </w:tcPr>
          <w:p w14:paraId="597CEB81">
            <w:pPr>
              <w:widowControl/>
              <w:adjustRightInd w:val="0"/>
              <w:snapToGrid w:val="0"/>
              <w:spacing w:line="500" w:lineRule="exact"/>
              <w:ind w:firstLine="480" w:firstLineChars="20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备注：计分采用百分制，满分为100分。按月考核，年度考核为取12个月考核得分的平均值，80分（含80分）以上为合格，80分以下为不合格。</w:t>
            </w:r>
          </w:p>
        </w:tc>
      </w:tr>
    </w:tbl>
    <w:p w14:paraId="6F12C607">
      <w:pPr>
        <w:spacing w:line="600" w:lineRule="exact"/>
        <w:rPr>
          <w:color w:val="auto"/>
          <w:highlight w:val="none"/>
        </w:rPr>
      </w:pPr>
    </w:p>
    <w:p w14:paraId="33BB4287">
      <w:pPr>
        <w:pStyle w:val="10"/>
        <w:pageBreakBefore/>
        <w:jc w:val="center"/>
        <w:outlineLvl w:val="0"/>
        <w:rPr>
          <w:rFonts w:hAnsi="宋体"/>
          <w:b/>
          <w:bCs/>
          <w:color w:val="auto"/>
          <w:sz w:val="32"/>
          <w:highlight w:val="none"/>
        </w:rPr>
      </w:pPr>
      <w:bookmarkStart w:id="132" w:name="_Toc17508"/>
      <w:bookmarkStart w:id="133" w:name="_Toc21563"/>
      <w:bookmarkStart w:id="134" w:name="_Toc12314"/>
      <w:bookmarkStart w:id="135" w:name="_Toc16139"/>
      <w:bookmarkStart w:id="136" w:name="_Toc28187"/>
      <w:bookmarkStart w:id="137" w:name="_Toc21268"/>
      <w:bookmarkStart w:id="138" w:name="_Toc10284"/>
      <w:r>
        <w:rPr>
          <w:rFonts w:hint="eastAsia" w:hAnsi="宋体"/>
          <w:b/>
          <w:bCs/>
          <w:color w:val="auto"/>
          <w:sz w:val="32"/>
          <w:highlight w:val="none"/>
        </w:rPr>
        <w:t>第五章  投标文件格式</w:t>
      </w:r>
      <w:bookmarkEnd w:id="132"/>
      <w:bookmarkEnd w:id="133"/>
      <w:bookmarkEnd w:id="134"/>
      <w:bookmarkEnd w:id="135"/>
      <w:bookmarkEnd w:id="136"/>
      <w:bookmarkEnd w:id="137"/>
      <w:bookmarkEnd w:id="138"/>
    </w:p>
    <w:p w14:paraId="5DA01822">
      <w:pPr>
        <w:pStyle w:val="48"/>
        <w:spacing w:line="360" w:lineRule="auto"/>
        <w:rPr>
          <w:rFonts w:hAnsi="宋体" w:cs="宋体"/>
          <w:color w:val="auto"/>
          <w:highlight w:val="none"/>
        </w:rPr>
      </w:pPr>
    </w:p>
    <w:p w14:paraId="442EB93D">
      <w:pPr>
        <w:pStyle w:val="48"/>
        <w:spacing w:line="360" w:lineRule="auto"/>
        <w:rPr>
          <w:rFonts w:hAnsi="宋体" w:cs="宋体"/>
          <w:color w:val="auto"/>
          <w:highlight w:val="none"/>
        </w:rPr>
      </w:pPr>
    </w:p>
    <w:p w14:paraId="162240B7">
      <w:pPr>
        <w:pStyle w:val="48"/>
        <w:spacing w:line="360" w:lineRule="auto"/>
        <w:rPr>
          <w:rFonts w:hAnsi="宋体" w:cs="宋体"/>
          <w:color w:val="auto"/>
          <w:highlight w:val="none"/>
        </w:rPr>
      </w:pPr>
    </w:p>
    <w:p w14:paraId="41AA46F4">
      <w:pPr>
        <w:pStyle w:val="48"/>
        <w:spacing w:line="360" w:lineRule="auto"/>
        <w:rPr>
          <w:rFonts w:hAnsi="宋体" w:cs="宋体"/>
          <w:color w:val="auto"/>
          <w:highlight w:val="none"/>
        </w:rPr>
      </w:pPr>
    </w:p>
    <w:p w14:paraId="7BE9C9C2">
      <w:pPr>
        <w:pStyle w:val="48"/>
        <w:spacing w:line="360" w:lineRule="auto"/>
        <w:rPr>
          <w:rFonts w:hAnsi="宋体" w:cs="宋体"/>
          <w:color w:val="auto"/>
          <w:highlight w:val="none"/>
        </w:rPr>
      </w:pPr>
      <w:r>
        <w:rPr>
          <w:rFonts w:hint="eastAsia" w:hAnsi="宋体" w:cs="宋体"/>
          <w:color w:val="auto"/>
          <w:highlight w:val="none"/>
        </w:rPr>
        <w:t xml:space="preserve">  </w:t>
      </w:r>
    </w:p>
    <w:tbl>
      <w:tblPr>
        <w:tblStyle w:val="22"/>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C16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0BA93E0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007E9578">
            <w:pPr>
              <w:spacing w:line="360" w:lineRule="auto"/>
              <w:ind w:right="13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《投标文件格式》是投标人的部分投标文件格式和签订合同时所需文件的格式。投标人应参照这些格式文件制作投标文件，否则后果由投标人自行承担。</w:t>
            </w:r>
          </w:p>
        </w:tc>
      </w:tr>
    </w:tbl>
    <w:p w14:paraId="22CCAAF6">
      <w:pPr>
        <w:pStyle w:val="5"/>
        <w:spacing w:line="360" w:lineRule="auto"/>
        <w:rPr>
          <w:rFonts w:ascii="宋体" w:hAnsi="宋体" w:cs="宋体"/>
          <w:b/>
          <w:bCs/>
          <w:color w:val="auto"/>
          <w:sz w:val="24"/>
          <w:szCs w:val="24"/>
          <w:highlight w:val="none"/>
        </w:rPr>
      </w:pPr>
    </w:p>
    <w:p w14:paraId="03C09377">
      <w:pPr>
        <w:pStyle w:val="5"/>
        <w:spacing w:line="360" w:lineRule="auto"/>
        <w:rPr>
          <w:rFonts w:ascii="宋体" w:hAnsi="宋体" w:cs="宋体"/>
          <w:b/>
          <w:bCs/>
          <w:color w:val="auto"/>
          <w:sz w:val="24"/>
          <w:szCs w:val="24"/>
          <w:highlight w:val="none"/>
        </w:rPr>
      </w:pPr>
    </w:p>
    <w:p w14:paraId="73E91DF9">
      <w:pPr>
        <w:pStyle w:val="5"/>
        <w:spacing w:line="360" w:lineRule="auto"/>
        <w:rPr>
          <w:rFonts w:ascii="宋体" w:hAnsi="宋体" w:cs="宋体"/>
          <w:b/>
          <w:bCs/>
          <w:color w:val="auto"/>
          <w:sz w:val="24"/>
          <w:szCs w:val="24"/>
          <w:highlight w:val="none"/>
        </w:rPr>
      </w:pPr>
    </w:p>
    <w:p w14:paraId="45DEF8BD">
      <w:pPr>
        <w:pStyle w:val="5"/>
        <w:spacing w:line="360" w:lineRule="auto"/>
        <w:rPr>
          <w:rFonts w:ascii="宋体" w:hAnsi="宋体" w:cs="宋体"/>
          <w:b/>
          <w:bCs/>
          <w:color w:val="auto"/>
          <w:sz w:val="24"/>
          <w:szCs w:val="24"/>
          <w:highlight w:val="none"/>
        </w:rPr>
      </w:pPr>
    </w:p>
    <w:p w14:paraId="11B4FB2C">
      <w:pPr>
        <w:pStyle w:val="5"/>
        <w:spacing w:line="360" w:lineRule="auto"/>
        <w:rPr>
          <w:rFonts w:ascii="宋体" w:hAnsi="宋体" w:cs="宋体"/>
          <w:b/>
          <w:bCs/>
          <w:color w:val="auto"/>
          <w:sz w:val="24"/>
          <w:szCs w:val="24"/>
          <w:highlight w:val="none"/>
        </w:rPr>
      </w:pPr>
    </w:p>
    <w:p w14:paraId="0FAAF22F">
      <w:pPr>
        <w:pStyle w:val="5"/>
        <w:spacing w:line="360" w:lineRule="auto"/>
        <w:rPr>
          <w:rFonts w:ascii="宋体" w:hAnsi="宋体" w:cs="宋体"/>
          <w:b/>
          <w:bCs/>
          <w:color w:val="auto"/>
          <w:sz w:val="24"/>
          <w:szCs w:val="24"/>
          <w:highlight w:val="none"/>
        </w:rPr>
      </w:pPr>
    </w:p>
    <w:p w14:paraId="26DAF854">
      <w:pPr>
        <w:pStyle w:val="5"/>
        <w:spacing w:line="360" w:lineRule="auto"/>
        <w:rPr>
          <w:rFonts w:ascii="宋体" w:hAnsi="宋体" w:cs="宋体"/>
          <w:b/>
          <w:bCs/>
          <w:color w:val="auto"/>
          <w:sz w:val="24"/>
          <w:szCs w:val="24"/>
          <w:highlight w:val="none"/>
        </w:rPr>
      </w:pPr>
    </w:p>
    <w:p w14:paraId="2BD21E23">
      <w:pPr>
        <w:pStyle w:val="5"/>
        <w:spacing w:line="360" w:lineRule="auto"/>
        <w:rPr>
          <w:rFonts w:ascii="宋体" w:hAnsi="宋体" w:cs="宋体"/>
          <w:b/>
          <w:bCs/>
          <w:color w:val="auto"/>
          <w:sz w:val="24"/>
          <w:szCs w:val="24"/>
          <w:highlight w:val="none"/>
        </w:rPr>
      </w:pPr>
    </w:p>
    <w:p w14:paraId="2B24ABE8">
      <w:pPr>
        <w:pStyle w:val="5"/>
        <w:spacing w:line="360" w:lineRule="auto"/>
        <w:rPr>
          <w:rFonts w:ascii="宋体" w:hAnsi="宋体" w:cs="宋体"/>
          <w:b/>
          <w:bCs/>
          <w:color w:val="auto"/>
          <w:sz w:val="24"/>
          <w:szCs w:val="24"/>
          <w:highlight w:val="none"/>
        </w:rPr>
      </w:pPr>
    </w:p>
    <w:p w14:paraId="01247864">
      <w:pPr>
        <w:pStyle w:val="5"/>
        <w:spacing w:line="360" w:lineRule="auto"/>
        <w:rPr>
          <w:rFonts w:ascii="宋体" w:hAnsi="宋体" w:cs="宋体"/>
          <w:b/>
          <w:bCs/>
          <w:color w:val="auto"/>
          <w:sz w:val="24"/>
          <w:szCs w:val="24"/>
          <w:highlight w:val="none"/>
        </w:rPr>
      </w:pPr>
    </w:p>
    <w:p w14:paraId="26854F4C">
      <w:pPr>
        <w:pStyle w:val="5"/>
        <w:spacing w:line="360" w:lineRule="auto"/>
        <w:rPr>
          <w:rFonts w:ascii="宋体" w:hAnsi="宋体" w:cs="宋体"/>
          <w:b/>
          <w:bCs/>
          <w:color w:val="auto"/>
          <w:sz w:val="24"/>
          <w:szCs w:val="24"/>
          <w:highlight w:val="none"/>
        </w:rPr>
      </w:pPr>
    </w:p>
    <w:p w14:paraId="342E0911">
      <w:pPr>
        <w:pStyle w:val="5"/>
        <w:spacing w:line="360" w:lineRule="auto"/>
        <w:rPr>
          <w:rFonts w:ascii="宋体" w:hAnsi="宋体" w:cs="宋体"/>
          <w:b/>
          <w:bCs/>
          <w:color w:val="auto"/>
          <w:sz w:val="24"/>
          <w:szCs w:val="24"/>
          <w:highlight w:val="none"/>
        </w:rPr>
      </w:pPr>
    </w:p>
    <w:p w14:paraId="170638E1">
      <w:pPr>
        <w:pStyle w:val="5"/>
        <w:spacing w:line="360" w:lineRule="auto"/>
        <w:rPr>
          <w:rFonts w:ascii="宋体" w:hAnsi="宋体" w:cs="宋体"/>
          <w:b/>
          <w:bCs/>
          <w:color w:val="auto"/>
          <w:sz w:val="24"/>
          <w:szCs w:val="24"/>
          <w:highlight w:val="none"/>
        </w:rPr>
      </w:pPr>
    </w:p>
    <w:p w14:paraId="2A85B90A">
      <w:pPr>
        <w:pStyle w:val="5"/>
        <w:spacing w:line="360" w:lineRule="auto"/>
        <w:rPr>
          <w:rFonts w:ascii="宋体" w:hAnsi="宋体" w:cs="宋体"/>
          <w:b/>
          <w:bCs/>
          <w:color w:val="auto"/>
          <w:sz w:val="24"/>
          <w:szCs w:val="24"/>
          <w:highlight w:val="none"/>
        </w:rPr>
      </w:pPr>
    </w:p>
    <w:p w14:paraId="5BD59765">
      <w:pPr>
        <w:pStyle w:val="5"/>
        <w:spacing w:line="360" w:lineRule="auto"/>
        <w:rPr>
          <w:rFonts w:ascii="宋体" w:hAnsi="宋体" w:cs="宋体"/>
          <w:b/>
          <w:bCs/>
          <w:color w:val="auto"/>
          <w:sz w:val="24"/>
          <w:szCs w:val="24"/>
          <w:highlight w:val="none"/>
        </w:rPr>
      </w:pPr>
    </w:p>
    <w:p w14:paraId="3759BD88">
      <w:pPr>
        <w:pStyle w:val="5"/>
        <w:spacing w:line="360" w:lineRule="auto"/>
        <w:rPr>
          <w:rFonts w:ascii="宋体" w:hAnsi="宋体" w:cs="宋体"/>
          <w:b/>
          <w:bCs/>
          <w:color w:val="auto"/>
          <w:sz w:val="24"/>
          <w:szCs w:val="24"/>
          <w:highlight w:val="none"/>
        </w:rPr>
      </w:pPr>
    </w:p>
    <w:p w14:paraId="19EADAE7">
      <w:pPr>
        <w:pStyle w:val="5"/>
        <w:spacing w:line="360" w:lineRule="auto"/>
        <w:rPr>
          <w:rFonts w:ascii="宋体" w:hAnsi="宋体" w:cs="宋体"/>
          <w:b/>
          <w:bCs/>
          <w:color w:val="auto"/>
          <w:sz w:val="24"/>
          <w:szCs w:val="24"/>
          <w:highlight w:val="none"/>
        </w:rPr>
      </w:pPr>
    </w:p>
    <w:p w14:paraId="44BF8B85">
      <w:pPr>
        <w:pStyle w:val="5"/>
        <w:spacing w:line="360" w:lineRule="auto"/>
        <w:rPr>
          <w:rFonts w:ascii="宋体" w:hAnsi="宋体" w:cs="宋体"/>
          <w:b/>
          <w:bCs/>
          <w:color w:val="auto"/>
          <w:sz w:val="24"/>
          <w:szCs w:val="24"/>
          <w:highlight w:val="none"/>
        </w:rPr>
      </w:pPr>
    </w:p>
    <w:p w14:paraId="7928EBC2">
      <w:pPr>
        <w:pStyle w:val="5"/>
        <w:spacing w:line="360" w:lineRule="auto"/>
        <w:rPr>
          <w:rFonts w:ascii="宋体" w:hAnsi="宋体" w:cs="宋体"/>
          <w:b/>
          <w:bCs/>
          <w:color w:val="auto"/>
          <w:sz w:val="24"/>
          <w:szCs w:val="24"/>
          <w:highlight w:val="none"/>
        </w:rPr>
      </w:pPr>
    </w:p>
    <w:p w14:paraId="5A95A0D1">
      <w:pPr>
        <w:pStyle w:val="5"/>
        <w:spacing w:line="360" w:lineRule="auto"/>
        <w:rPr>
          <w:rFonts w:ascii="宋体" w:hAnsi="宋体"/>
          <w:b/>
          <w:bCs/>
          <w:color w:val="auto"/>
          <w:sz w:val="36"/>
          <w:highlight w:val="none"/>
        </w:rPr>
      </w:pPr>
    </w:p>
    <w:p w14:paraId="7DEA7807">
      <w:pPr>
        <w:spacing w:line="360" w:lineRule="auto"/>
        <w:jc w:val="center"/>
        <w:rPr>
          <w:rFonts w:ascii="宋体" w:hAnsi="宋体"/>
          <w:b/>
          <w:color w:val="auto"/>
          <w:sz w:val="72"/>
          <w:highlight w:val="none"/>
        </w:rPr>
      </w:pPr>
    </w:p>
    <w:p w14:paraId="7D3A76D6">
      <w:pPr>
        <w:spacing w:line="360" w:lineRule="auto"/>
        <w:jc w:val="center"/>
        <w:rPr>
          <w:rFonts w:ascii="宋体" w:hAnsi="宋体"/>
          <w:b/>
          <w:color w:val="auto"/>
          <w:sz w:val="72"/>
          <w:highlight w:val="none"/>
        </w:rPr>
      </w:pPr>
      <w:r>
        <w:rPr>
          <w:rFonts w:hint="eastAsia" w:ascii="宋体" w:hAnsi="宋体"/>
          <w:b/>
          <w:color w:val="auto"/>
          <w:sz w:val="72"/>
          <w:highlight w:val="none"/>
        </w:rPr>
        <w:t>政府采购项目</w:t>
      </w:r>
    </w:p>
    <w:p w14:paraId="61DB5F56">
      <w:pPr>
        <w:spacing w:line="360" w:lineRule="auto"/>
        <w:jc w:val="center"/>
        <w:rPr>
          <w:rFonts w:ascii="宋体" w:hAnsi="宋体"/>
          <w:b/>
          <w:color w:val="auto"/>
          <w:sz w:val="72"/>
          <w:highlight w:val="none"/>
        </w:rPr>
      </w:pPr>
      <w:r>
        <w:rPr>
          <w:rFonts w:hint="eastAsia" w:ascii="宋体" w:hAnsi="宋体"/>
          <w:b/>
          <w:color w:val="auto"/>
          <w:sz w:val="72"/>
          <w:highlight w:val="none"/>
        </w:rPr>
        <w:t>投</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14:paraId="01F93261">
      <w:pPr>
        <w:spacing w:line="360" w:lineRule="auto"/>
        <w:rPr>
          <w:rFonts w:ascii="宋体" w:hAnsi="宋体"/>
          <w:b/>
          <w:color w:val="auto"/>
          <w:sz w:val="36"/>
          <w:highlight w:val="none"/>
        </w:rPr>
      </w:pPr>
    </w:p>
    <w:p w14:paraId="5D0C17C7">
      <w:pPr>
        <w:spacing w:line="360" w:lineRule="auto"/>
        <w:jc w:val="center"/>
        <w:rPr>
          <w:rFonts w:ascii="宋体" w:hAnsi="宋体"/>
          <w:b/>
          <w:color w:val="auto"/>
          <w:sz w:val="36"/>
          <w:highlight w:val="none"/>
        </w:rPr>
      </w:pPr>
    </w:p>
    <w:p w14:paraId="48738470">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w:t>
      </w:r>
      <w:r>
        <w:rPr>
          <w:rFonts w:ascii="宋体" w:hAnsi="宋体"/>
          <w:b/>
          <w:color w:val="auto"/>
          <w:sz w:val="36"/>
          <w:highlight w:val="none"/>
          <w:u w:val="single"/>
        </w:rPr>
        <w:t xml:space="preserve">               </w:t>
      </w:r>
    </w:p>
    <w:p w14:paraId="718464DD">
      <w:pPr>
        <w:spacing w:line="360" w:lineRule="auto"/>
        <w:ind w:firstLine="1084" w:firstLineChars="300"/>
        <w:rPr>
          <w:rFonts w:ascii="宋体" w:hAnsi="宋体"/>
          <w:b/>
          <w:color w:val="auto"/>
          <w:sz w:val="36"/>
          <w:highlight w:val="none"/>
          <w:u w:val="single"/>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ascii="宋体" w:hAnsi="宋体"/>
          <w:b/>
          <w:color w:val="auto"/>
          <w:sz w:val="36"/>
          <w:highlight w:val="none"/>
          <w:u w:val="single"/>
        </w:rPr>
        <w:t xml:space="preserve">               </w:t>
      </w:r>
    </w:p>
    <w:p w14:paraId="42ECE754">
      <w:pPr>
        <w:spacing w:line="360" w:lineRule="auto"/>
        <w:rPr>
          <w:rFonts w:ascii="宋体" w:hAnsi="宋体"/>
          <w:b/>
          <w:color w:val="auto"/>
          <w:sz w:val="36"/>
          <w:highlight w:val="none"/>
        </w:rPr>
      </w:pPr>
      <w:r>
        <w:rPr>
          <w:rFonts w:hint="eastAsia" w:ascii="宋体" w:hAnsi="宋体"/>
          <w:b/>
          <w:color w:val="auto"/>
          <w:sz w:val="36"/>
          <w:highlight w:val="none"/>
        </w:rPr>
        <w:t xml:space="preserve">      合  同   包：</w:t>
      </w:r>
      <w:r>
        <w:rPr>
          <w:rFonts w:ascii="宋体" w:hAnsi="宋体"/>
          <w:b/>
          <w:color w:val="auto"/>
          <w:sz w:val="36"/>
          <w:highlight w:val="none"/>
          <w:u w:val="single"/>
        </w:rPr>
        <w:t xml:space="preserve">               </w:t>
      </w:r>
      <w:r>
        <w:rPr>
          <w:rFonts w:hint="eastAsia" w:ascii="宋体" w:hAnsi="宋体"/>
          <w:b/>
          <w:color w:val="auto"/>
          <w:sz w:val="36"/>
          <w:highlight w:val="none"/>
        </w:rPr>
        <w:t xml:space="preserve">               </w:t>
      </w:r>
    </w:p>
    <w:p w14:paraId="523214F4">
      <w:pPr>
        <w:spacing w:line="360" w:lineRule="auto"/>
        <w:rPr>
          <w:rFonts w:ascii="宋体" w:hAnsi="宋体"/>
          <w:b/>
          <w:color w:val="auto"/>
          <w:sz w:val="36"/>
          <w:highlight w:val="none"/>
        </w:rPr>
      </w:pPr>
    </w:p>
    <w:p w14:paraId="756CF1E1">
      <w:pPr>
        <w:spacing w:line="360" w:lineRule="auto"/>
        <w:rPr>
          <w:rFonts w:ascii="宋体" w:hAnsi="宋体"/>
          <w:b/>
          <w:color w:val="auto"/>
          <w:sz w:val="36"/>
          <w:highlight w:val="none"/>
        </w:rPr>
      </w:pPr>
    </w:p>
    <w:p w14:paraId="67C91329">
      <w:pPr>
        <w:spacing w:line="360" w:lineRule="auto"/>
        <w:rPr>
          <w:rFonts w:ascii="宋体" w:hAnsi="宋体"/>
          <w:b/>
          <w:color w:val="auto"/>
          <w:sz w:val="36"/>
          <w:highlight w:val="none"/>
        </w:rPr>
      </w:pPr>
    </w:p>
    <w:p w14:paraId="6BFBCBB6">
      <w:pPr>
        <w:spacing w:line="360" w:lineRule="auto"/>
        <w:rPr>
          <w:rFonts w:ascii="宋体" w:hAnsi="宋体"/>
          <w:b/>
          <w:color w:val="auto"/>
          <w:sz w:val="36"/>
          <w:highlight w:val="none"/>
        </w:rPr>
      </w:pPr>
    </w:p>
    <w:p w14:paraId="5DEBDC28">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ascii="宋体" w:hAnsi="宋体"/>
          <w:b/>
          <w:color w:val="auto"/>
          <w:sz w:val="36"/>
          <w:highlight w:val="none"/>
          <w:u w:val="single"/>
        </w:rPr>
        <w:t xml:space="preserve">               </w:t>
      </w:r>
    </w:p>
    <w:p w14:paraId="47A3A2DF">
      <w:pPr>
        <w:spacing w:line="360" w:lineRule="auto"/>
        <w:rPr>
          <w:rFonts w:ascii="宋体" w:hAnsi="宋体"/>
          <w:b/>
          <w:color w:val="auto"/>
          <w:sz w:val="36"/>
          <w:highlight w:val="none"/>
        </w:rPr>
      </w:pPr>
      <w:r>
        <w:rPr>
          <w:rFonts w:hint="eastAsia" w:ascii="宋体" w:hAnsi="宋体"/>
          <w:b/>
          <w:color w:val="auto"/>
          <w:sz w:val="36"/>
          <w:highlight w:val="none"/>
        </w:rPr>
        <w:t xml:space="preserve">       日      期 ：</w:t>
      </w:r>
      <w:r>
        <w:rPr>
          <w:rFonts w:ascii="宋体" w:hAnsi="宋体"/>
          <w:b/>
          <w:color w:val="auto"/>
          <w:sz w:val="36"/>
          <w:highlight w:val="none"/>
          <w:u w:val="single"/>
        </w:rPr>
        <w:t xml:space="preserve">               </w:t>
      </w:r>
    </w:p>
    <w:p w14:paraId="6DC12CD6">
      <w:pPr>
        <w:pStyle w:val="49"/>
        <w:spacing w:line="360" w:lineRule="auto"/>
        <w:outlineLvl w:val="9"/>
        <w:rPr>
          <w:rFonts w:hAnsi="宋体"/>
          <w:b/>
          <w:color w:val="auto"/>
          <w:sz w:val="24"/>
          <w:highlight w:val="none"/>
        </w:rPr>
      </w:pPr>
    </w:p>
    <w:p w14:paraId="55DD278A">
      <w:pPr>
        <w:pStyle w:val="49"/>
        <w:spacing w:line="360" w:lineRule="auto"/>
        <w:outlineLvl w:val="9"/>
        <w:rPr>
          <w:rFonts w:hAnsi="宋体"/>
          <w:b/>
          <w:color w:val="auto"/>
          <w:sz w:val="24"/>
          <w:highlight w:val="none"/>
        </w:rPr>
      </w:pPr>
    </w:p>
    <w:p w14:paraId="551BB517">
      <w:pPr>
        <w:pStyle w:val="49"/>
        <w:spacing w:line="360" w:lineRule="auto"/>
        <w:outlineLvl w:val="9"/>
        <w:rPr>
          <w:rFonts w:hAnsi="宋体"/>
          <w:b/>
          <w:color w:val="auto"/>
          <w:sz w:val="24"/>
          <w:highlight w:val="none"/>
        </w:rPr>
      </w:pPr>
    </w:p>
    <w:p w14:paraId="2BB22051">
      <w:pPr>
        <w:pStyle w:val="5"/>
        <w:spacing w:line="360" w:lineRule="auto"/>
        <w:ind w:firstLine="660" w:firstLineChars="275"/>
        <w:rPr>
          <w:rFonts w:ascii="宋体" w:hAnsi="宋体"/>
          <w:color w:val="auto"/>
          <w:sz w:val="24"/>
          <w:szCs w:val="24"/>
          <w:highlight w:val="none"/>
        </w:rPr>
      </w:pPr>
    </w:p>
    <w:p w14:paraId="66FAEC80">
      <w:pPr>
        <w:pStyle w:val="5"/>
        <w:spacing w:line="360" w:lineRule="auto"/>
        <w:ind w:firstLine="0"/>
        <w:jc w:val="center"/>
        <w:rPr>
          <w:rFonts w:ascii="宋体" w:hAnsi="宋体" w:cs="宋体"/>
          <w:b/>
          <w:bCs/>
          <w:color w:val="auto"/>
          <w:sz w:val="24"/>
          <w:szCs w:val="24"/>
          <w:highlight w:val="none"/>
        </w:rPr>
      </w:pPr>
      <w:r>
        <w:rPr>
          <w:rFonts w:hint="eastAsia" w:ascii="宋体" w:hAnsi="宋体" w:cs="宋体"/>
          <w:b/>
          <w:bCs/>
          <w:color w:val="auto"/>
          <w:sz w:val="32"/>
          <w:szCs w:val="32"/>
          <w:highlight w:val="none"/>
        </w:rPr>
        <w:t>目    录</w:t>
      </w:r>
    </w:p>
    <w:p w14:paraId="246201BD">
      <w:pPr>
        <w:spacing w:line="360" w:lineRule="auto"/>
        <w:rPr>
          <w:rFonts w:ascii="宋体" w:hAnsi="宋体" w:cs="宋体"/>
          <w:color w:val="auto"/>
          <w:sz w:val="24"/>
          <w:szCs w:val="24"/>
          <w:highlight w:val="none"/>
        </w:rPr>
      </w:pPr>
    </w:p>
    <w:p w14:paraId="231BD83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 投 标 书</w:t>
      </w:r>
    </w:p>
    <w:p w14:paraId="1697ED2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 开标一览表</w:t>
      </w:r>
    </w:p>
    <w:p w14:paraId="0A3E97F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 投标分项报价表</w:t>
      </w:r>
    </w:p>
    <w:p w14:paraId="68CEB98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 项目说明一览表</w:t>
      </w:r>
    </w:p>
    <w:p w14:paraId="4D9E994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5. 供货方案及质量保证措施 </w:t>
      </w:r>
    </w:p>
    <w:p w14:paraId="16F2739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 技术规格和商务响应表</w:t>
      </w:r>
    </w:p>
    <w:p w14:paraId="55D7709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 投标人的资格证明文件</w:t>
      </w:r>
    </w:p>
    <w:p w14:paraId="42FDF9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资格声明</w:t>
      </w:r>
    </w:p>
    <w:p w14:paraId="47513E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投标人的资格声明</w:t>
      </w:r>
    </w:p>
    <w:p w14:paraId="0A9CC3CD">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单位授权书</w:t>
      </w:r>
    </w:p>
    <w:p w14:paraId="5595C46F">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单位营业执照、税务登记证</w:t>
      </w:r>
    </w:p>
    <w:p w14:paraId="0D932E3D">
      <w:pPr>
        <w:numPr>
          <w:ilvl w:val="0"/>
          <w:numId w:val="5"/>
        </w:numPr>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售后服务承诺</w:t>
      </w:r>
    </w:p>
    <w:p w14:paraId="192878A1">
      <w:pPr>
        <w:numPr>
          <w:ilvl w:val="0"/>
          <w:numId w:val="5"/>
        </w:numPr>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代理服务费承诺书</w:t>
      </w:r>
    </w:p>
    <w:p w14:paraId="7BBD3C88">
      <w:pPr>
        <w:spacing w:line="360" w:lineRule="auto"/>
        <w:rPr>
          <w:rFonts w:ascii="宋体" w:hAnsi="宋体" w:cs="宋体"/>
          <w:b/>
          <w:color w:val="auto"/>
          <w:sz w:val="24"/>
          <w:szCs w:val="24"/>
          <w:highlight w:val="none"/>
        </w:rPr>
      </w:pPr>
    </w:p>
    <w:p w14:paraId="2D7DD34F">
      <w:pPr>
        <w:spacing w:line="360" w:lineRule="auto"/>
        <w:rPr>
          <w:rFonts w:ascii="宋体" w:hAnsi="宋体" w:cs="宋体"/>
          <w:b/>
          <w:color w:val="auto"/>
          <w:sz w:val="24"/>
          <w:szCs w:val="24"/>
          <w:highlight w:val="none"/>
        </w:rPr>
      </w:pPr>
    </w:p>
    <w:p w14:paraId="7CD6F0A5">
      <w:pPr>
        <w:pStyle w:val="49"/>
        <w:spacing w:line="360" w:lineRule="auto"/>
        <w:jc w:val="left"/>
        <w:outlineLvl w:val="9"/>
        <w:rPr>
          <w:rFonts w:hAnsi="宋体" w:cs="宋体"/>
          <w:color w:val="auto"/>
          <w:sz w:val="24"/>
          <w:szCs w:val="24"/>
          <w:highlight w:val="none"/>
        </w:rPr>
      </w:pPr>
    </w:p>
    <w:p w14:paraId="45D4F291">
      <w:pPr>
        <w:pStyle w:val="49"/>
        <w:spacing w:line="360" w:lineRule="auto"/>
        <w:jc w:val="left"/>
        <w:outlineLvl w:val="9"/>
        <w:rPr>
          <w:rFonts w:hAnsi="宋体" w:cs="宋体"/>
          <w:color w:val="auto"/>
          <w:sz w:val="24"/>
          <w:szCs w:val="24"/>
          <w:highlight w:val="none"/>
        </w:rPr>
      </w:pPr>
    </w:p>
    <w:p w14:paraId="1D28EED7">
      <w:pPr>
        <w:pStyle w:val="49"/>
        <w:spacing w:line="360" w:lineRule="auto"/>
        <w:jc w:val="left"/>
        <w:outlineLvl w:val="9"/>
        <w:rPr>
          <w:rFonts w:hAnsi="宋体" w:cs="宋体"/>
          <w:color w:val="auto"/>
          <w:sz w:val="24"/>
          <w:szCs w:val="24"/>
          <w:highlight w:val="none"/>
        </w:rPr>
      </w:pPr>
    </w:p>
    <w:p w14:paraId="6D4757DB">
      <w:pPr>
        <w:pStyle w:val="49"/>
        <w:spacing w:line="360" w:lineRule="auto"/>
        <w:jc w:val="left"/>
        <w:outlineLvl w:val="9"/>
        <w:rPr>
          <w:rFonts w:hAnsi="宋体" w:cs="宋体"/>
          <w:color w:val="auto"/>
          <w:sz w:val="24"/>
          <w:szCs w:val="24"/>
          <w:highlight w:val="none"/>
        </w:rPr>
      </w:pPr>
    </w:p>
    <w:p w14:paraId="69E72D3D">
      <w:pPr>
        <w:pStyle w:val="49"/>
        <w:spacing w:line="360" w:lineRule="auto"/>
        <w:jc w:val="left"/>
        <w:outlineLvl w:val="9"/>
        <w:rPr>
          <w:rFonts w:hAnsi="宋体" w:cs="宋体"/>
          <w:color w:val="auto"/>
          <w:sz w:val="24"/>
          <w:szCs w:val="24"/>
          <w:highlight w:val="none"/>
        </w:rPr>
      </w:pPr>
    </w:p>
    <w:p w14:paraId="6559DEE4">
      <w:pPr>
        <w:pStyle w:val="49"/>
        <w:spacing w:line="360" w:lineRule="auto"/>
        <w:jc w:val="left"/>
        <w:outlineLvl w:val="9"/>
        <w:rPr>
          <w:rFonts w:hAnsi="宋体" w:cs="宋体"/>
          <w:color w:val="auto"/>
          <w:sz w:val="24"/>
          <w:szCs w:val="24"/>
          <w:highlight w:val="none"/>
        </w:rPr>
      </w:pPr>
    </w:p>
    <w:p w14:paraId="46C5EF4F">
      <w:pPr>
        <w:pStyle w:val="49"/>
        <w:spacing w:line="360" w:lineRule="auto"/>
        <w:jc w:val="left"/>
        <w:outlineLvl w:val="9"/>
        <w:rPr>
          <w:rFonts w:hAnsi="宋体" w:cs="宋体"/>
          <w:color w:val="auto"/>
          <w:sz w:val="24"/>
          <w:szCs w:val="24"/>
          <w:highlight w:val="none"/>
        </w:rPr>
      </w:pPr>
    </w:p>
    <w:p w14:paraId="317E37AE">
      <w:pPr>
        <w:pStyle w:val="49"/>
        <w:spacing w:line="360" w:lineRule="auto"/>
        <w:jc w:val="left"/>
        <w:outlineLvl w:val="9"/>
        <w:rPr>
          <w:rFonts w:hAnsi="宋体" w:cs="宋体"/>
          <w:color w:val="auto"/>
          <w:sz w:val="24"/>
          <w:szCs w:val="24"/>
          <w:highlight w:val="none"/>
        </w:rPr>
      </w:pPr>
    </w:p>
    <w:p w14:paraId="4286B7BA">
      <w:pPr>
        <w:pStyle w:val="49"/>
        <w:spacing w:line="360" w:lineRule="auto"/>
        <w:jc w:val="left"/>
        <w:outlineLvl w:val="9"/>
        <w:rPr>
          <w:rFonts w:hAnsi="宋体" w:cs="宋体"/>
          <w:color w:val="auto"/>
          <w:sz w:val="24"/>
          <w:szCs w:val="24"/>
          <w:highlight w:val="none"/>
        </w:rPr>
      </w:pPr>
    </w:p>
    <w:p w14:paraId="4BA3F9EF">
      <w:pPr>
        <w:pStyle w:val="49"/>
        <w:spacing w:line="360" w:lineRule="auto"/>
        <w:jc w:val="left"/>
        <w:outlineLvl w:val="9"/>
        <w:rPr>
          <w:rFonts w:hAnsi="宋体" w:cs="宋体"/>
          <w:color w:val="auto"/>
          <w:sz w:val="24"/>
          <w:szCs w:val="24"/>
          <w:highlight w:val="none"/>
        </w:rPr>
      </w:pPr>
    </w:p>
    <w:p w14:paraId="4CDAB930">
      <w:pPr>
        <w:pStyle w:val="49"/>
        <w:spacing w:line="360" w:lineRule="auto"/>
        <w:jc w:val="left"/>
        <w:outlineLvl w:val="9"/>
        <w:rPr>
          <w:rFonts w:hAnsi="宋体" w:cs="宋体"/>
          <w:color w:val="auto"/>
          <w:sz w:val="24"/>
          <w:szCs w:val="24"/>
          <w:highlight w:val="none"/>
        </w:rPr>
      </w:pPr>
    </w:p>
    <w:p w14:paraId="76556279">
      <w:pPr>
        <w:pStyle w:val="49"/>
        <w:spacing w:line="360" w:lineRule="auto"/>
        <w:jc w:val="left"/>
        <w:outlineLvl w:val="9"/>
        <w:rPr>
          <w:rFonts w:hAnsi="宋体" w:cs="宋体"/>
          <w:color w:val="auto"/>
          <w:sz w:val="24"/>
          <w:szCs w:val="24"/>
          <w:highlight w:val="none"/>
        </w:rPr>
      </w:pPr>
    </w:p>
    <w:p w14:paraId="52251179">
      <w:pPr>
        <w:pStyle w:val="49"/>
        <w:spacing w:line="360" w:lineRule="auto"/>
        <w:jc w:val="center"/>
        <w:outlineLvl w:val="9"/>
        <w:rPr>
          <w:rFonts w:hAnsi="宋体" w:cs="宋体"/>
          <w:b/>
          <w:color w:val="auto"/>
          <w:sz w:val="32"/>
          <w:szCs w:val="32"/>
          <w:highlight w:val="none"/>
        </w:rPr>
        <w:sectPr>
          <w:pgSz w:w="11907" w:h="16840"/>
          <w:pgMar w:top="1361" w:right="1752" w:bottom="1440" w:left="1752" w:header="851" w:footer="992" w:gutter="0"/>
          <w:cols w:space="720" w:num="1"/>
        </w:sectPr>
      </w:pPr>
      <w:bookmarkStart w:id="139" w:name="_Toc15271"/>
      <w:bookmarkStart w:id="140" w:name="_Toc11084"/>
      <w:bookmarkStart w:id="141" w:name="_Toc7761"/>
      <w:bookmarkStart w:id="142" w:name="_Toc32404"/>
      <w:bookmarkStart w:id="143" w:name="_Toc17000"/>
      <w:bookmarkStart w:id="144" w:name="_Toc31563"/>
      <w:bookmarkStart w:id="145" w:name="_Toc2400"/>
      <w:bookmarkStart w:id="146" w:name="_Toc24272"/>
      <w:bookmarkStart w:id="147" w:name="_Toc10694"/>
    </w:p>
    <w:p w14:paraId="3D706F8B">
      <w:pPr>
        <w:pStyle w:val="49"/>
        <w:spacing w:line="360" w:lineRule="auto"/>
        <w:jc w:val="center"/>
        <w:outlineLvl w:val="1"/>
        <w:rPr>
          <w:rFonts w:hAnsi="宋体" w:cs="宋体"/>
          <w:color w:val="auto"/>
          <w:sz w:val="24"/>
          <w:szCs w:val="24"/>
          <w:highlight w:val="none"/>
        </w:rPr>
      </w:pPr>
      <w:bookmarkStart w:id="148" w:name="_Toc2357"/>
      <w:bookmarkStart w:id="149" w:name="_Toc9499"/>
      <w:r>
        <w:rPr>
          <w:rFonts w:hint="eastAsia" w:hAnsi="宋体" w:cs="宋体"/>
          <w:b/>
          <w:color w:val="auto"/>
          <w:sz w:val="32"/>
          <w:szCs w:val="32"/>
          <w:highlight w:val="none"/>
        </w:rPr>
        <w:t>一、投 标 书</w:t>
      </w:r>
      <w:bookmarkEnd w:id="139"/>
      <w:bookmarkEnd w:id="140"/>
      <w:bookmarkEnd w:id="141"/>
      <w:bookmarkEnd w:id="142"/>
      <w:bookmarkEnd w:id="143"/>
      <w:bookmarkEnd w:id="144"/>
      <w:bookmarkEnd w:id="145"/>
      <w:bookmarkEnd w:id="146"/>
      <w:bookmarkEnd w:id="147"/>
      <w:bookmarkEnd w:id="148"/>
      <w:bookmarkEnd w:id="149"/>
    </w:p>
    <w:p w14:paraId="01500C9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p>
    <w:p w14:paraId="607E814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根据贵方为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项目的投标邀请（招标编号：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），本签字代表</w:t>
      </w:r>
      <w:r>
        <w:rPr>
          <w:rFonts w:hint="eastAsia" w:ascii="宋体" w:hAnsi="宋体" w:cs="宋体"/>
          <w:color w:val="auto"/>
          <w:sz w:val="24"/>
          <w:szCs w:val="24"/>
          <w:highlight w:val="none"/>
          <w:u w:val="single"/>
        </w:rPr>
        <w:t>（全名、职务）</w:t>
      </w:r>
      <w:r>
        <w:rPr>
          <w:rFonts w:hint="eastAsia" w:ascii="宋体" w:hAnsi="宋体" w:cs="宋体"/>
          <w:color w:val="auto"/>
          <w:sz w:val="24"/>
          <w:szCs w:val="24"/>
          <w:highlight w:val="none"/>
        </w:rPr>
        <w:t>正式授权并代表投标人</w:t>
      </w:r>
      <w:r>
        <w:rPr>
          <w:rFonts w:hint="eastAsia" w:ascii="宋体" w:hAnsi="宋体" w:cs="宋体"/>
          <w:color w:val="auto"/>
          <w:sz w:val="24"/>
          <w:szCs w:val="24"/>
          <w:highlight w:val="none"/>
          <w:u w:val="single"/>
        </w:rPr>
        <w:t>（投标人名称、地址）</w:t>
      </w:r>
      <w:r>
        <w:rPr>
          <w:rFonts w:hint="eastAsia" w:ascii="宋体" w:hAnsi="宋体" w:cs="宋体"/>
          <w:color w:val="auto"/>
          <w:sz w:val="24"/>
          <w:szCs w:val="24"/>
          <w:highlight w:val="none"/>
        </w:rPr>
        <w:t>提交下述文件正本一份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副本</w:t>
      </w:r>
      <w:r>
        <w:rPr>
          <w:rFonts w:hint="eastAsia" w:ascii="宋体" w:hAnsi="宋体" w:cs="宋体"/>
          <w:color w:val="auto"/>
          <w:sz w:val="24"/>
          <w:szCs w:val="24"/>
          <w:highlight w:val="none"/>
          <w:u w:val="single"/>
        </w:rPr>
        <w:t>四</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val="en-US" w:eastAsia="zh-CN"/>
        </w:rPr>
        <w:t>和</w:t>
      </w:r>
      <w:r>
        <w:rPr>
          <w:rFonts w:hint="eastAsia" w:ascii="宋体" w:hAnsi="宋体" w:cs="宋体"/>
          <w:b w:val="0"/>
          <w:bCs/>
          <w:color w:val="auto"/>
          <w:sz w:val="24"/>
          <w:szCs w:val="24"/>
          <w:highlight w:val="none"/>
        </w:rPr>
        <w:t>最终盖章签字投标文件扫描件刻录</w:t>
      </w:r>
      <w:r>
        <w:rPr>
          <w:rFonts w:ascii="宋体" w:hAnsi="宋体" w:cs="宋体"/>
          <w:b w:val="0"/>
          <w:bCs/>
          <w:color w:val="auto"/>
          <w:sz w:val="24"/>
          <w:szCs w:val="24"/>
          <w:highlight w:val="none"/>
        </w:rPr>
        <w:t>u盘（或光盘）2份</w:t>
      </w:r>
      <w:r>
        <w:rPr>
          <w:rFonts w:ascii="宋体" w:hAnsi="宋体" w:cs="宋体"/>
          <w:b/>
          <w:color w:val="auto"/>
          <w:sz w:val="24"/>
          <w:szCs w:val="24"/>
          <w:highlight w:val="none"/>
        </w:rPr>
        <w:t>。</w:t>
      </w:r>
    </w:p>
    <w:p w14:paraId="10C5DF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开标一览表</w:t>
      </w:r>
    </w:p>
    <w:p w14:paraId="026E07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投标分项报价表</w:t>
      </w:r>
    </w:p>
    <w:p w14:paraId="0581A4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项目说明一览表</w:t>
      </w:r>
    </w:p>
    <w:p w14:paraId="385F3F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 供货方案及质量保证措施 </w:t>
      </w:r>
    </w:p>
    <w:p w14:paraId="475F0D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技术规格和商务响应表</w:t>
      </w:r>
    </w:p>
    <w:p w14:paraId="459E6828">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 投标人资格证明文件</w:t>
      </w:r>
    </w:p>
    <w:p w14:paraId="62AA450C">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 售后服务承诺</w:t>
      </w:r>
    </w:p>
    <w:p w14:paraId="77CE571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(8) 代理服务费承诺书</w:t>
      </w:r>
    </w:p>
    <w:p w14:paraId="458FB57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(9) 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方式提供的金额为人民币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元的投标保证金。</w:t>
      </w:r>
    </w:p>
    <w:p w14:paraId="26C3C97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据此函，签字代表宣布同意如下：</w:t>
      </w:r>
    </w:p>
    <w:p w14:paraId="7E4AB5DA">
      <w:pPr>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1.投标人已详细审查全部招标文件，包括修改文件（如有的话）和有关附件，将自行承担因对全部招标文件理解不正确或误解而产生的相应后果。</w:t>
      </w:r>
    </w:p>
    <w:p w14:paraId="6EE81ED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2.投标人保证遵守招标文件的全部规定，投标人所提交的材料中所含的信息均为真实、准确、完整，且不具有任何误导性。</w:t>
      </w:r>
    </w:p>
    <w:p w14:paraId="27831FB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3.投标人将按招标文件的规定履行合同责任和义务。</w:t>
      </w:r>
    </w:p>
    <w:p w14:paraId="00F5654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4.本投标文件自开标日起投标有效期为：在招标文件投标人须知前附表1第3项所规定的期限内保持有效。</w:t>
      </w:r>
    </w:p>
    <w:p w14:paraId="75DDDEA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5.如果发生招标文件第二章投标人须知第12条所述情况，则同意招标代理机构不予退还投标保证金。</w:t>
      </w:r>
    </w:p>
    <w:p w14:paraId="0ACCC2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6.投标人同意按照招标代理机构要求提供与其投标有关的一切数据或资料，完全理解贵方不一定要接受最低的报价或收到的任何投标。</w:t>
      </w:r>
    </w:p>
    <w:p w14:paraId="66E92C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 与本投标有关的一切正式往来通讯请寄：</w:t>
      </w:r>
    </w:p>
    <w:p w14:paraId="2369FFB8">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地址：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p>
    <w:p w14:paraId="36F4CE95">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电话：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 </w:t>
      </w:r>
      <w:r>
        <w:rPr>
          <w:rFonts w:hint="eastAsia" w:ascii="宋体" w:hAnsi="宋体" w:cs="宋体"/>
          <w:color w:val="auto"/>
          <w:sz w:val="24"/>
          <w:szCs w:val="24"/>
          <w:highlight w:val="none"/>
          <w:u w:val="single"/>
        </w:rPr>
        <w:t xml:space="preserve">                 </w:t>
      </w:r>
    </w:p>
    <w:p w14:paraId="26875723">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投标人代表签字： </w:t>
      </w:r>
      <w:r>
        <w:rPr>
          <w:rFonts w:hint="eastAsia" w:ascii="宋体" w:hAnsi="宋体" w:cs="宋体"/>
          <w:color w:val="auto"/>
          <w:sz w:val="24"/>
          <w:szCs w:val="24"/>
          <w:highlight w:val="none"/>
          <w:u w:val="single"/>
        </w:rPr>
        <w:t xml:space="preserve">                </w:t>
      </w:r>
    </w:p>
    <w:p w14:paraId="3406CC6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投标人（全称并加盖公章）：</w:t>
      </w:r>
      <w:r>
        <w:rPr>
          <w:rFonts w:hint="eastAsia" w:ascii="宋体" w:hAnsi="宋体" w:cs="宋体"/>
          <w:color w:val="auto"/>
          <w:sz w:val="24"/>
          <w:szCs w:val="24"/>
          <w:highlight w:val="none"/>
          <w:u w:val="single"/>
        </w:rPr>
        <w:t xml:space="preserve">                       </w:t>
      </w:r>
    </w:p>
    <w:p w14:paraId="78B96F2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日  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3B07E91">
      <w:pPr>
        <w:spacing w:line="360" w:lineRule="auto"/>
        <w:rPr>
          <w:rFonts w:ascii="宋体" w:hAnsi="宋体" w:cs="宋体"/>
          <w:color w:val="auto"/>
          <w:sz w:val="24"/>
          <w:szCs w:val="24"/>
          <w:highlight w:val="none"/>
        </w:rPr>
      </w:pPr>
    </w:p>
    <w:p w14:paraId="5140F72B">
      <w:pPr>
        <w:spacing w:line="360" w:lineRule="auto"/>
        <w:rPr>
          <w:rFonts w:ascii="宋体" w:hAnsi="宋体" w:cs="宋体"/>
          <w:color w:val="auto"/>
          <w:sz w:val="24"/>
          <w:szCs w:val="24"/>
          <w:highlight w:val="none"/>
        </w:rPr>
      </w:pPr>
    </w:p>
    <w:p w14:paraId="0A541401">
      <w:pPr>
        <w:spacing w:line="360" w:lineRule="auto"/>
        <w:rPr>
          <w:rFonts w:ascii="宋体" w:hAnsi="宋体" w:cs="宋体"/>
          <w:color w:val="auto"/>
          <w:sz w:val="24"/>
          <w:szCs w:val="24"/>
          <w:highlight w:val="none"/>
        </w:rPr>
      </w:pPr>
    </w:p>
    <w:p w14:paraId="6873F6E5">
      <w:pPr>
        <w:spacing w:line="360" w:lineRule="auto"/>
        <w:rPr>
          <w:rFonts w:ascii="宋体" w:hAnsi="宋体" w:cs="宋体"/>
          <w:color w:val="auto"/>
          <w:sz w:val="24"/>
          <w:szCs w:val="24"/>
          <w:highlight w:val="none"/>
        </w:rPr>
      </w:pPr>
    </w:p>
    <w:p w14:paraId="514AFCCF">
      <w:pPr>
        <w:spacing w:line="360" w:lineRule="auto"/>
        <w:rPr>
          <w:rFonts w:ascii="宋体" w:hAnsi="宋体" w:cs="宋体"/>
          <w:color w:val="auto"/>
          <w:sz w:val="24"/>
          <w:szCs w:val="24"/>
          <w:highlight w:val="none"/>
        </w:rPr>
      </w:pPr>
    </w:p>
    <w:p w14:paraId="42E616FD">
      <w:pPr>
        <w:spacing w:line="360" w:lineRule="auto"/>
        <w:rPr>
          <w:rFonts w:ascii="宋体" w:hAnsi="宋体" w:cs="宋体"/>
          <w:color w:val="auto"/>
          <w:sz w:val="24"/>
          <w:szCs w:val="24"/>
          <w:highlight w:val="none"/>
        </w:rPr>
      </w:pPr>
    </w:p>
    <w:p w14:paraId="123FB16E">
      <w:pPr>
        <w:spacing w:line="360" w:lineRule="auto"/>
        <w:rPr>
          <w:rFonts w:ascii="宋体" w:hAnsi="宋体" w:cs="宋体"/>
          <w:color w:val="auto"/>
          <w:sz w:val="24"/>
          <w:szCs w:val="24"/>
          <w:highlight w:val="none"/>
        </w:rPr>
      </w:pPr>
    </w:p>
    <w:p w14:paraId="3DC9258E">
      <w:pPr>
        <w:spacing w:line="360" w:lineRule="auto"/>
        <w:rPr>
          <w:rFonts w:ascii="宋体" w:hAnsi="宋体" w:cs="宋体"/>
          <w:color w:val="auto"/>
          <w:sz w:val="24"/>
          <w:szCs w:val="24"/>
          <w:highlight w:val="none"/>
        </w:rPr>
      </w:pPr>
    </w:p>
    <w:p w14:paraId="549236CD">
      <w:pPr>
        <w:spacing w:line="360" w:lineRule="auto"/>
        <w:rPr>
          <w:rFonts w:ascii="宋体" w:hAnsi="宋体" w:cs="宋体"/>
          <w:color w:val="auto"/>
          <w:sz w:val="24"/>
          <w:szCs w:val="24"/>
          <w:highlight w:val="none"/>
        </w:rPr>
      </w:pPr>
    </w:p>
    <w:p w14:paraId="5F20AC4D">
      <w:pPr>
        <w:spacing w:line="360" w:lineRule="auto"/>
        <w:rPr>
          <w:rFonts w:ascii="宋体" w:hAnsi="宋体" w:cs="宋体"/>
          <w:color w:val="auto"/>
          <w:sz w:val="24"/>
          <w:szCs w:val="24"/>
          <w:highlight w:val="none"/>
        </w:rPr>
      </w:pPr>
    </w:p>
    <w:p w14:paraId="76C9261C">
      <w:pPr>
        <w:spacing w:line="360" w:lineRule="auto"/>
        <w:rPr>
          <w:rFonts w:ascii="宋体" w:hAnsi="宋体" w:cs="宋体"/>
          <w:color w:val="auto"/>
          <w:sz w:val="24"/>
          <w:szCs w:val="24"/>
          <w:highlight w:val="none"/>
        </w:rPr>
      </w:pPr>
    </w:p>
    <w:p w14:paraId="3C50406A">
      <w:pPr>
        <w:spacing w:line="360" w:lineRule="auto"/>
        <w:rPr>
          <w:rFonts w:ascii="宋体" w:hAnsi="宋体" w:cs="宋体"/>
          <w:color w:val="auto"/>
          <w:sz w:val="24"/>
          <w:szCs w:val="24"/>
          <w:highlight w:val="none"/>
        </w:rPr>
      </w:pPr>
    </w:p>
    <w:p w14:paraId="24151E5E">
      <w:pPr>
        <w:spacing w:line="360" w:lineRule="auto"/>
        <w:rPr>
          <w:rFonts w:ascii="宋体" w:hAnsi="宋体" w:cs="宋体"/>
          <w:color w:val="auto"/>
          <w:sz w:val="24"/>
          <w:szCs w:val="24"/>
          <w:highlight w:val="none"/>
        </w:rPr>
        <w:sectPr>
          <w:pgSz w:w="11907" w:h="16840"/>
          <w:pgMar w:top="1361" w:right="1752" w:bottom="1440" w:left="1752" w:header="851" w:footer="992" w:gutter="0"/>
          <w:cols w:space="720" w:num="1"/>
        </w:sectPr>
      </w:pPr>
    </w:p>
    <w:p w14:paraId="456A7392">
      <w:pPr>
        <w:pStyle w:val="49"/>
        <w:spacing w:line="360" w:lineRule="auto"/>
        <w:ind w:firstLine="5140" w:firstLineChars="1600"/>
        <w:outlineLvl w:val="1"/>
        <w:rPr>
          <w:rFonts w:hAnsi="宋体" w:cs="宋体"/>
          <w:b/>
          <w:color w:val="auto"/>
          <w:sz w:val="24"/>
          <w:szCs w:val="24"/>
          <w:highlight w:val="none"/>
        </w:rPr>
      </w:pPr>
      <w:bookmarkStart w:id="150" w:name="_Toc27089"/>
      <w:bookmarkStart w:id="151" w:name="_Toc28160"/>
      <w:bookmarkStart w:id="152" w:name="_Toc27830"/>
      <w:bookmarkStart w:id="153" w:name="_Toc2783"/>
      <w:bookmarkStart w:id="154" w:name="_Toc5418"/>
      <w:bookmarkStart w:id="155" w:name="_Toc13967"/>
      <w:bookmarkStart w:id="156" w:name="_Toc8769"/>
      <w:bookmarkStart w:id="157" w:name="_Toc31298"/>
      <w:bookmarkStart w:id="158" w:name="_Toc29558"/>
      <w:bookmarkStart w:id="159" w:name="_Toc22216"/>
      <w:bookmarkStart w:id="160" w:name="_Toc5984"/>
      <w:r>
        <w:rPr>
          <w:rFonts w:hint="eastAsia" w:hAnsi="宋体" w:cs="宋体"/>
          <w:b/>
          <w:color w:val="auto"/>
          <w:sz w:val="32"/>
          <w:szCs w:val="32"/>
          <w:highlight w:val="none"/>
        </w:rPr>
        <w:t>二、开标一览表</w:t>
      </w:r>
      <w:bookmarkEnd w:id="150"/>
      <w:bookmarkEnd w:id="151"/>
      <w:bookmarkEnd w:id="152"/>
      <w:bookmarkEnd w:id="153"/>
      <w:bookmarkEnd w:id="154"/>
      <w:bookmarkEnd w:id="155"/>
      <w:bookmarkEnd w:id="156"/>
      <w:bookmarkEnd w:id="157"/>
      <w:bookmarkEnd w:id="158"/>
      <w:bookmarkEnd w:id="159"/>
      <w:bookmarkEnd w:id="160"/>
    </w:p>
    <w:p w14:paraId="44F9E80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投标人（全称并加盖公章）：                              招标编号：               货币单位：</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5"/>
        <w:gridCol w:w="3328"/>
        <w:gridCol w:w="1203"/>
        <w:gridCol w:w="1571"/>
        <w:gridCol w:w="1212"/>
        <w:gridCol w:w="3225"/>
        <w:gridCol w:w="1155"/>
      </w:tblGrid>
      <w:tr w14:paraId="4637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6" w:type="pct"/>
            <w:vAlign w:val="center"/>
          </w:tcPr>
          <w:p w14:paraId="7797D362">
            <w:pPr>
              <w:spacing w:line="360" w:lineRule="auto"/>
              <w:jc w:val="center"/>
              <w:rPr>
                <w:rFonts w:ascii="宋体" w:hAnsi="宋体" w:cs="宋体"/>
                <w:color w:val="auto"/>
                <w:sz w:val="24"/>
                <w:szCs w:val="24"/>
                <w:highlight w:val="none"/>
                <w:u w:val="single"/>
              </w:rPr>
            </w:pPr>
            <w:r>
              <w:rPr>
                <w:rFonts w:hint="eastAsia" w:ascii="宋体" w:hAnsi="宋体" w:cs="宋体"/>
                <w:bCs/>
                <w:color w:val="auto"/>
                <w:sz w:val="24"/>
                <w:szCs w:val="24"/>
                <w:highlight w:val="none"/>
              </w:rPr>
              <w:t>合同包</w:t>
            </w:r>
          </w:p>
        </w:tc>
        <w:tc>
          <w:tcPr>
            <w:tcW w:w="1167" w:type="pct"/>
            <w:vAlign w:val="center"/>
          </w:tcPr>
          <w:p w14:paraId="72607624">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服务名称</w:t>
            </w:r>
          </w:p>
        </w:tc>
        <w:tc>
          <w:tcPr>
            <w:tcW w:w="422" w:type="pct"/>
            <w:vAlign w:val="center"/>
          </w:tcPr>
          <w:p w14:paraId="5349C888">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数量</w:t>
            </w:r>
          </w:p>
        </w:tc>
        <w:tc>
          <w:tcPr>
            <w:tcW w:w="551" w:type="pct"/>
            <w:vAlign w:val="center"/>
          </w:tcPr>
          <w:p w14:paraId="028A434C">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服务商</w:t>
            </w:r>
          </w:p>
        </w:tc>
        <w:tc>
          <w:tcPr>
            <w:tcW w:w="425" w:type="pct"/>
            <w:vAlign w:val="center"/>
          </w:tcPr>
          <w:p w14:paraId="41C58474">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服务期限</w:t>
            </w:r>
          </w:p>
        </w:tc>
        <w:tc>
          <w:tcPr>
            <w:tcW w:w="1131" w:type="pct"/>
            <w:vAlign w:val="center"/>
          </w:tcPr>
          <w:p w14:paraId="146EBD1E">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收费比例（%）</w:t>
            </w:r>
          </w:p>
        </w:tc>
        <w:tc>
          <w:tcPr>
            <w:tcW w:w="405" w:type="pct"/>
            <w:vAlign w:val="center"/>
          </w:tcPr>
          <w:p w14:paraId="712C3FE3">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14:paraId="7E0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6" w:type="pct"/>
            <w:vAlign w:val="center"/>
          </w:tcPr>
          <w:p w14:paraId="42B4685F">
            <w:pPr>
              <w:spacing w:line="360" w:lineRule="auto"/>
              <w:jc w:val="center"/>
              <w:rPr>
                <w:rFonts w:ascii="宋体" w:hAnsi="宋体" w:cs="宋体"/>
                <w:bCs/>
                <w:color w:val="auto"/>
                <w:sz w:val="24"/>
                <w:szCs w:val="24"/>
                <w:highlight w:val="none"/>
              </w:rPr>
            </w:pPr>
          </w:p>
        </w:tc>
        <w:tc>
          <w:tcPr>
            <w:tcW w:w="1167" w:type="pct"/>
            <w:vAlign w:val="center"/>
          </w:tcPr>
          <w:p w14:paraId="7439E47C">
            <w:pPr>
              <w:spacing w:line="360" w:lineRule="auto"/>
              <w:jc w:val="center"/>
              <w:rPr>
                <w:rFonts w:ascii="宋体" w:hAnsi="宋体" w:cs="宋体"/>
                <w:bCs/>
                <w:color w:val="auto"/>
                <w:sz w:val="24"/>
                <w:szCs w:val="24"/>
                <w:highlight w:val="none"/>
              </w:rPr>
            </w:pPr>
          </w:p>
        </w:tc>
        <w:tc>
          <w:tcPr>
            <w:tcW w:w="422" w:type="pct"/>
            <w:vAlign w:val="center"/>
          </w:tcPr>
          <w:p w14:paraId="6EEC802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1批</w:t>
            </w:r>
          </w:p>
        </w:tc>
        <w:tc>
          <w:tcPr>
            <w:tcW w:w="551" w:type="pct"/>
          </w:tcPr>
          <w:p w14:paraId="0236F051">
            <w:pPr>
              <w:spacing w:line="360" w:lineRule="auto"/>
              <w:jc w:val="center"/>
              <w:rPr>
                <w:rFonts w:ascii="宋体" w:hAnsi="宋体" w:cs="宋体"/>
                <w:bCs/>
                <w:color w:val="auto"/>
                <w:sz w:val="24"/>
                <w:szCs w:val="24"/>
                <w:highlight w:val="none"/>
              </w:rPr>
            </w:pPr>
          </w:p>
        </w:tc>
        <w:tc>
          <w:tcPr>
            <w:tcW w:w="425" w:type="pct"/>
            <w:vAlign w:val="center"/>
          </w:tcPr>
          <w:p w14:paraId="18401F0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1年</w:t>
            </w:r>
          </w:p>
        </w:tc>
        <w:tc>
          <w:tcPr>
            <w:tcW w:w="1131" w:type="pct"/>
            <w:vAlign w:val="center"/>
          </w:tcPr>
          <w:p w14:paraId="7AD89C39">
            <w:pPr>
              <w:spacing w:line="360" w:lineRule="auto"/>
              <w:jc w:val="center"/>
              <w:rPr>
                <w:rFonts w:ascii="宋体" w:hAnsi="宋体" w:cs="宋体"/>
                <w:color w:val="auto"/>
                <w:sz w:val="24"/>
                <w:szCs w:val="24"/>
                <w:highlight w:val="none"/>
              </w:rPr>
            </w:pPr>
          </w:p>
        </w:tc>
        <w:tc>
          <w:tcPr>
            <w:tcW w:w="405" w:type="pct"/>
          </w:tcPr>
          <w:p w14:paraId="2D25815F">
            <w:pPr>
              <w:spacing w:line="360" w:lineRule="auto"/>
              <w:jc w:val="center"/>
              <w:rPr>
                <w:rFonts w:ascii="宋体" w:hAnsi="宋体" w:cs="宋体"/>
                <w:bCs/>
                <w:color w:val="auto"/>
                <w:sz w:val="24"/>
                <w:szCs w:val="24"/>
                <w:highlight w:val="none"/>
              </w:rPr>
            </w:pPr>
          </w:p>
        </w:tc>
      </w:tr>
    </w:tbl>
    <w:p w14:paraId="0476B1C5">
      <w:pPr>
        <w:widowControl/>
        <w:spacing w:line="360" w:lineRule="auto"/>
        <w:jc w:val="left"/>
        <w:rPr>
          <w:rFonts w:ascii="宋体" w:hAnsi="宋体" w:cs="宋体"/>
          <w:color w:val="auto"/>
          <w:sz w:val="24"/>
          <w:szCs w:val="24"/>
          <w:highlight w:val="none"/>
        </w:rPr>
        <w:sectPr>
          <w:footerReference r:id="rId11" w:type="default"/>
          <w:pgSz w:w="16840" w:h="11907" w:orient="landscape"/>
          <w:pgMar w:top="1752" w:right="1361" w:bottom="1752" w:left="1440" w:header="851" w:footer="992" w:gutter="0"/>
          <w:cols w:space="720" w:num="1"/>
        </w:sectPr>
      </w:pPr>
    </w:p>
    <w:p w14:paraId="2A284ACB">
      <w:pPr>
        <w:spacing w:line="360" w:lineRule="auto"/>
        <w:ind w:firstLine="2560" w:firstLineChars="800"/>
        <w:outlineLvl w:val="1"/>
        <w:rPr>
          <w:rFonts w:ascii="宋体" w:hAnsi="宋体" w:cs="宋体"/>
          <w:color w:val="auto"/>
          <w:sz w:val="24"/>
          <w:szCs w:val="24"/>
          <w:highlight w:val="none"/>
        </w:rPr>
      </w:pPr>
      <w:bookmarkStart w:id="161" w:name="_Toc26996"/>
      <w:bookmarkStart w:id="162" w:name="_Toc4515"/>
      <w:r>
        <w:rPr>
          <w:rFonts w:hint="eastAsia" w:ascii="宋体" w:hAnsi="宋体" w:cs="宋体"/>
          <w:b/>
          <w:color w:val="auto"/>
          <w:sz w:val="32"/>
          <w:szCs w:val="32"/>
          <w:highlight w:val="none"/>
        </w:rPr>
        <w:t>三、供货清单</w:t>
      </w:r>
      <w:bookmarkEnd w:id="161"/>
      <w:bookmarkEnd w:id="162"/>
    </w:p>
    <w:p w14:paraId="7E3AF255">
      <w:pPr>
        <w:spacing w:line="360" w:lineRule="auto"/>
        <w:rPr>
          <w:rFonts w:ascii="宋体" w:hAnsi="宋体" w:cs="宋体"/>
          <w:color w:val="auto"/>
          <w:sz w:val="24"/>
          <w:szCs w:val="24"/>
          <w:highlight w:val="none"/>
        </w:rPr>
      </w:pPr>
    </w:p>
    <w:p w14:paraId="53DA658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投标人名称：             招标编号：               货币单位： </w:t>
      </w:r>
    </w:p>
    <w:p w14:paraId="64F816A0">
      <w:pPr>
        <w:spacing w:line="360" w:lineRule="auto"/>
        <w:rPr>
          <w:rFonts w:ascii="宋体" w:hAnsi="宋体" w:cs="宋体"/>
          <w:color w:val="auto"/>
          <w:sz w:val="24"/>
          <w:szCs w:val="24"/>
          <w:highlight w:val="none"/>
        </w:rPr>
      </w:pPr>
    </w:p>
    <w:p w14:paraId="3CBA52E5">
      <w:pPr>
        <w:widowControl/>
        <w:spacing w:line="360" w:lineRule="auto"/>
        <w:jc w:val="left"/>
        <w:rPr>
          <w:rFonts w:ascii="宋体" w:hAnsi="宋体" w:cs="宋体"/>
          <w:color w:val="auto"/>
          <w:sz w:val="24"/>
          <w:szCs w:val="24"/>
          <w:highlight w:val="none"/>
        </w:rPr>
        <w:sectPr>
          <w:footerReference r:id="rId12" w:type="default"/>
          <w:type w:val="nextColumn"/>
          <w:pgSz w:w="11907" w:h="16840"/>
          <w:pgMar w:top="1440" w:right="1752" w:bottom="1440" w:left="1752" w:header="851" w:footer="992" w:gutter="0"/>
          <w:cols w:space="720" w:num="1"/>
          <w:docGrid w:type="linesAndChars" w:linePitch="323" w:charSpace="-2"/>
        </w:sectPr>
      </w:pPr>
    </w:p>
    <w:p w14:paraId="20C69792">
      <w:pPr>
        <w:spacing w:line="360" w:lineRule="auto"/>
        <w:jc w:val="center"/>
        <w:outlineLvl w:val="1"/>
        <w:rPr>
          <w:rFonts w:ascii="宋体" w:hAnsi="宋体" w:cs="宋体"/>
          <w:color w:val="auto"/>
          <w:sz w:val="24"/>
          <w:szCs w:val="24"/>
          <w:highlight w:val="none"/>
        </w:rPr>
      </w:pPr>
      <w:bookmarkStart w:id="163" w:name="_Toc241"/>
      <w:bookmarkStart w:id="164" w:name="_Toc24205"/>
      <w:r>
        <w:rPr>
          <w:rFonts w:hint="eastAsia" w:ascii="宋体" w:hAnsi="宋体" w:cs="宋体"/>
          <w:b/>
          <w:color w:val="auto"/>
          <w:sz w:val="32"/>
          <w:szCs w:val="32"/>
          <w:highlight w:val="none"/>
        </w:rPr>
        <w:t>四、项目说明一览表</w:t>
      </w:r>
      <w:bookmarkEnd w:id="163"/>
      <w:bookmarkEnd w:id="164"/>
    </w:p>
    <w:p w14:paraId="792C27E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（按投标合同包下品目号类别分别填写）</w:t>
      </w:r>
    </w:p>
    <w:p w14:paraId="06E2B9E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                                      招标编号：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282"/>
        <w:gridCol w:w="1545"/>
        <w:gridCol w:w="1460"/>
        <w:gridCol w:w="1260"/>
        <w:gridCol w:w="2160"/>
        <w:gridCol w:w="1440"/>
        <w:gridCol w:w="3628"/>
      </w:tblGrid>
      <w:tr w14:paraId="4DE0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01" w:type="dxa"/>
            <w:tcBorders>
              <w:top w:val="single" w:color="auto" w:sz="4" w:space="0"/>
              <w:left w:val="single" w:color="auto" w:sz="4" w:space="0"/>
              <w:bottom w:val="single" w:color="auto" w:sz="4" w:space="0"/>
              <w:right w:val="single" w:color="auto" w:sz="4" w:space="0"/>
            </w:tcBorders>
            <w:vAlign w:val="center"/>
          </w:tcPr>
          <w:p w14:paraId="6D6D4A3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合同包号</w:t>
            </w:r>
          </w:p>
        </w:tc>
        <w:tc>
          <w:tcPr>
            <w:tcW w:w="1282" w:type="dxa"/>
            <w:tcBorders>
              <w:top w:val="single" w:color="auto" w:sz="4" w:space="0"/>
              <w:left w:val="single" w:color="auto" w:sz="4" w:space="0"/>
              <w:bottom w:val="single" w:color="auto" w:sz="4" w:space="0"/>
              <w:right w:val="single" w:color="auto" w:sz="4" w:space="0"/>
            </w:tcBorders>
            <w:vAlign w:val="center"/>
          </w:tcPr>
          <w:p w14:paraId="43280F16">
            <w:pPr>
              <w:spacing w:line="360" w:lineRule="auto"/>
              <w:rPr>
                <w:rFonts w:ascii="宋体" w:hAnsi="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A74292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460" w:type="dxa"/>
            <w:tcBorders>
              <w:top w:val="single" w:color="auto" w:sz="4" w:space="0"/>
              <w:left w:val="single" w:color="auto" w:sz="4" w:space="0"/>
              <w:bottom w:val="single" w:color="auto" w:sz="4" w:space="0"/>
              <w:right w:val="single" w:color="auto" w:sz="4" w:space="0"/>
            </w:tcBorders>
            <w:vAlign w:val="center"/>
          </w:tcPr>
          <w:p w14:paraId="666B20B2">
            <w:pPr>
              <w:spacing w:line="360" w:lineRule="auto"/>
              <w:rPr>
                <w:rFonts w:ascii="宋体" w:hAnsi="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4AB88B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服务商</w:t>
            </w:r>
          </w:p>
        </w:tc>
        <w:tc>
          <w:tcPr>
            <w:tcW w:w="2160" w:type="dxa"/>
            <w:tcBorders>
              <w:top w:val="single" w:color="auto" w:sz="4" w:space="0"/>
              <w:left w:val="single" w:color="auto" w:sz="4" w:space="0"/>
              <w:bottom w:val="single" w:color="auto" w:sz="4" w:space="0"/>
              <w:right w:val="single" w:color="auto" w:sz="4" w:space="0"/>
            </w:tcBorders>
            <w:vAlign w:val="center"/>
          </w:tcPr>
          <w:p w14:paraId="3A8C196A">
            <w:pPr>
              <w:spacing w:line="360" w:lineRule="auto"/>
              <w:rPr>
                <w:rFonts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F89B92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3628" w:type="dxa"/>
            <w:tcBorders>
              <w:top w:val="single" w:color="auto" w:sz="4" w:space="0"/>
              <w:left w:val="single" w:color="auto" w:sz="4" w:space="0"/>
              <w:bottom w:val="single" w:color="auto" w:sz="4" w:space="0"/>
              <w:right w:val="single" w:color="auto" w:sz="4" w:space="0"/>
            </w:tcBorders>
            <w:vAlign w:val="center"/>
          </w:tcPr>
          <w:p w14:paraId="41290833">
            <w:pPr>
              <w:spacing w:line="360" w:lineRule="auto"/>
              <w:rPr>
                <w:rFonts w:ascii="宋体" w:hAnsi="宋体" w:cs="宋体"/>
                <w:color w:val="auto"/>
                <w:sz w:val="24"/>
                <w:szCs w:val="24"/>
                <w:highlight w:val="none"/>
              </w:rPr>
            </w:pPr>
          </w:p>
        </w:tc>
      </w:tr>
      <w:tr w14:paraId="6DEC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Borders>
              <w:top w:val="single" w:color="auto" w:sz="4" w:space="0"/>
              <w:left w:val="single" w:color="auto" w:sz="4" w:space="0"/>
              <w:bottom w:val="single" w:color="auto" w:sz="4" w:space="0"/>
              <w:right w:val="single" w:color="auto" w:sz="4" w:space="0"/>
            </w:tcBorders>
          </w:tcPr>
          <w:p w14:paraId="3125A83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详细性能说明</w:t>
            </w:r>
          </w:p>
        </w:tc>
      </w:tr>
    </w:tbl>
    <w:p w14:paraId="1862F963">
      <w:pPr>
        <w:widowControl/>
        <w:spacing w:line="360" w:lineRule="auto"/>
        <w:jc w:val="left"/>
        <w:rPr>
          <w:rFonts w:ascii="宋体" w:hAnsi="宋体" w:cs="宋体"/>
          <w:color w:val="auto"/>
          <w:sz w:val="24"/>
          <w:szCs w:val="24"/>
          <w:highlight w:val="none"/>
        </w:rPr>
        <w:sectPr>
          <w:pgSz w:w="16840" w:h="11907" w:orient="landscape"/>
          <w:pgMar w:top="1752" w:right="1440" w:bottom="1752" w:left="1440" w:header="851" w:footer="992" w:gutter="0"/>
          <w:cols w:space="720" w:num="1"/>
          <w:docGrid w:type="lines" w:linePitch="323" w:charSpace="0"/>
        </w:sectPr>
      </w:pPr>
    </w:p>
    <w:p w14:paraId="42A51715">
      <w:pPr>
        <w:tabs>
          <w:tab w:val="left" w:pos="0"/>
          <w:tab w:val="left" w:pos="567"/>
        </w:tabs>
        <w:spacing w:line="360" w:lineRule="auto"/>
        <w:contextualSpacing/>
        <w:jc w:val="center"/>
        <w:outlineLvl w:val="1"/>
        <w:rPr>
          <w:rFonts w:ascii="宋体" w:hAnsi="宋体" w:cs="宋体"/>
          <w:b/>
          <w:color w:val="auto"/>
          <w:sz w:val="24"/>
          <w:szCs w:val="24"/>
          <w:highlight w:val="none"/>
        </w:rPr>
      </w:pPr>
      <w:bookmarkStart w:id="165" w:name="_Toc23067"/>
      <w:bookmarkStart w:id="166" w:name="_Toc25817"/>
      <w:bookmarkStart w:id="167" w:name="_Toc11114"/>
      <w:bookmarkStart w:id="168" w:name="_Toc7803"/>
      <w:bookmarkStart w:id="169" w:name="_Toc11312"/>
      <w:bookmarkStart w:id="170" w:name="_Toc23587"/>
      <w:bookmarkStart w:id="171" w:name="_Toc95"/>
      <w:bookmarkStart w:id="172" w:name="_Toc18418"/>
      <w:bookmarkStart w:id="173" w:name="_Toc17959"/>
      <w:bookmarkStart w:id="174" w:name="_Toc16176"/>
      <w:bookmarkStart w:id="175" w:name="_Toc8715"/>
      <w:r>
        <w:rPr>
          <w:rFonts w:hint="eastAsia" w:hAnsi="宋体" w:cs="宋体"/>
          <w:b/>
          <w:color w:val="auto"/>
          <w:sz w:val="32"/>
          <w:szCs w:val="32"/>
          <w:highlight w:val="none"/>
        </w:rPr>
        <w:t>五、</w:t>
      </w:r>
      <w:bookmarkEnd w:id="165"/>
      <w:r>
        <w:rPr>
          <w:rFonts w:hint="eastAsia" w:ascii="宋体" w:hAnsi="宋体" w:cs="宋体"/>
          <w:b/>
          <w:color w:val="auto"/>
          <w:sz w:val="32"/>
          <w:szCs w:val="32"/>
          <w:highlight w:val="none"/>
        </w:rPr>
        <w:t>供货方案及质量保证措施</w:t>
      </w:r>
      <w:bookmarkEnd w:id="166"/>
    </w:p>
    <w:p w14:paraId="324C6CC4">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招标编号：</w:t>
      </w:r>
      <w:r>
        <w:rPr>
          <w:rFonts w:hint="eastAsia" w:ascii="宋体" w:hAnsi="宋体" w:cs="宋体"/>
          <w:color w:val="auto"/>
          <w:sz w:val="24"/>
          <w:szCs w:val="24"/>
          <w:highlight w:val="none"/>
          <w:u w:val="single"/>
        </w:rPr>
        <w:t xml:space="preserve">                </w:t>
      </w:r>
    </w:p>
    <w:p w14:paraId="70208C9F">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合 同 包：</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EB1A9BA">
      <w:pPr>
        <w:spacing w:line="360" w:lineRule="auto"/>
        <w:ind w:firstLine="4200" w:firstLineChars="1750"/>
        <w:rPr>
          <w:rFonts w:ascii="宋体" w:hAnsi="宋体" w:cs="宋体"/>
          <w:color w:val="auto"/>
          <w:sz w:val="24"/>
          <w:szCs w:val="24"/>
          <w:highlight w:val="none"/>
        </w:rPr>
      </w:pPr>
    </w:p>
    <w:p w14:paraId="3A957E16">
      <w:pPr>
        <w:spacing w:line="360" w:lineRule="auto"/>
        <w:ind w:firstLine="4200" w:firstLineChars="1750"/>
        <w:rPr>
          <w:rFonts w:ascii="宋体" w:hAnsi="宋体" w:cs="宋体"/>
          <w:color w:val="auto"/>
          <w:sz w:val="24"/>
          <w:szCs w:val="24"/>
          <w:highlight w:val="none"/>
        </w:rPr>
      </w:pPr>
    </w:p>
    <w:p w14:paraId="0D43EB43">
      <w:pPr>
        <w:spacing w:line="360" w:lineRule="auto"/>
        <w:ind w:firstLine="4200" w:firstLineChars="1750"/>
        <w:rPr>
          <w:rFonts w:ascii="宋体" w:hAnsi="宋体" w:cs="宋体"/>
          <w:color w:val="auto"/>
          <w:sz w:val="24"/>
          <w:szCs w:val="24"/>
          <w:highlight w:val="none"/>
        </w:rPr>
      </w:pPr>
    </w:p>
    <w:p w14:paraId="607EEF24">
      <w:pPr>
        <w:spacing w:line="360" w:lineRule="auto"/>
        <w:ind w:firstLine="4200" w:firstLineChars="1750"/>
        <w:rPr>
          <w:rFonts w:ascii="宋体" w:hAnsi="宋体" w:cs="宋体"/>
          <w:color w:val="auto"/>
          <w:sz w:val="24"/>
          <w:szCs w:val="24"/>
          <w:highlight w:val="none"/>
        </w:rPr>
      </w:pPr>
    </w:p>
    <w:p w14:paraId="074BE1C9">
      <w:pPr>
        <w:spacing w:line="360" w:lineRule="auto"/>
        <w:ind w:firstLine="4200" w:firstLineChars="1750"/>
        <w:rPr>
          <w:rFonts w:ascii="宋体" w:hAnsi="宋体" w:cs="宋体"/>
          <w:color w:val="auto"/>
          <w:sz w:val="24"/>
          <w:szCs w:val="24"/>
          <w:highlight w:val="none"/>
        </w:rPr>
      </w:pPr>
    </w:p>
    <w:p w14:paraId="535207DA">
      <w:pPr>
        <w:spacing w:line="360" w:lineRule="auto"/>
        <w:ind w:firstLine="4200" w:firstLineChars="1750"/>
        <w:rPr>
          <w:rFonts w:ascii="宋体" w:hAnsi="宋体" w:cs="宋体"/>
          <w:color w:val="auto"/>
          <w:sz w:val="24"/>
          <w:szCs w:val="24"/>
          <w:highlight w:val="none"/>
        </w:rPr>
      </w:pPr>
    </w:p>
    <w:p w14:paraId="1D42A2EF">
      <w:pPr>
        <w:spacing w:line="360" w:lineRule="auto"/>
        <w:ind w:firstLine="4200" w:firstLineChars="1750"/>
        <w:rPr>
          <w:rFonts w:ascii="宋体" w:hAnsi="宋体" w:cs="宋体"/>
          <w:color w:val="auto"/>
          <w:sz w:val="24"/>
          <w:szCs w:val="24"/>
          <w:highlight w:val="none"/>
        </w:rPr>
      </w:pPr>
    </w:p>
    <w:p w14:paraId="096F20ED">
      <w:pPr>
        <w:spacing w:line="360" w:lineRule="auto"/>
        <w:ind w:firstLine="4200" w:firstLineChars="1750"/>
        <w:rPr>
          <w:rFonts w:ascii="宋体" w:hAnsi="宋体" w:cs="宋体"/>
          <w:color w:val="auto"/>
          <w:sz w:val="24"/>
          <w:szCs w:val="24"/>
          <w:highlight w:val="none"/>
        </w:rPr>
      </w:pPr>
      <w:r>
        <w:rPr>
          <w:rFonts w:hint="eastAsia" w:ascii="宋体" w:hAnsi="宋体" w:cs="宋体"/>
          <w:color w:val="auto"/>
          <w:sz w:val="24"/>
          <w:szCs w:val="24"/>
          <w:highlight w:val="none"/>
        </w:rPr>
        <w:t>投标人代表签字：</w:t>
      </w:r>
      <w:r>
        <w:rPr>
          <w:rFonts w:hint="eastAsia" w:ascii="宋体" w:hAnsi="宋体" w:cs="宋体"/>
          <w:color w:val="auto"/>
          <w:sz w:val="24"/>
          <w:szCs w:val="24"/>
          <w:highlight w:val="none"/>
          <w:u w:val="single"/>
        </w:rPr>
        <w:t xml:space="preserve">                  </w:t>
      </w:r>
    </w:p>
    <w:p w14:paraId="2CFEE788">
      <w:pPr>
        <w:spacing w:line="360" w:lineRule="auto"/>
        <w:ind w:firstLine="4200" w:firstLineChars="1750"/>
        <w:rPr>
          <w:rFonts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bookmarkEnd w:id="167"/>
    <w:bookmarkEnd w:id="168"/>
    <w:bookmarkEnd w:id="169"/>
    <w:bookmarkEnd w:id="170"/>
    <w:bookmarkEnd w:id="171"/>
    <w:bookmarkEnd w:id="172"/>
    <w:bookmarkEnd w:id="173"/>
    <w:bookmarkEnd w:id="174"/>
    <w:bookmarkEnd w:id="175"/>
    <w:p w14:paraId="03ACACCE">
      <w:pPr>
        <w:pStyle w:val="49"/>
        <w:spacing w:line="360" w:lineRule="auto"/>
        <w:jc w:val="center"/>
        <w:outlineLvl w:val="1"/>
        <w:rPr>
          <w:rFonts w:hAnsi="宋体" w:cs="宋体"/>
          <w:b/>
          <w:bCs/>
          <w:color w:val="auto"/>
          <w:sz w:val="32"/>
          <w:szCs w:val="32"/>
          <w:highlight w:val="none"/>
        </w:rPr>
        <w:sectPr>
          <w:type w:val="nextColumn"/>
          <w:pgSz w:w="11907" w:h="16840"/>
          <w:pgMar w:top="1440" w:right="1752" w:bottom="1440" w:left="1752" w:header="851" w:footer="992" w:gutter="0"/>
          <w:cols w:space="720" w:num="1"/>
          <w:docGrid w:type="linesAndChars" w:linePitch="323" w:charSpace="-2"/>
        </w:sectPr>
      </w:pPr>
    </w:p>
    <w:p w14:paraId="701CB0AD">
      <w:pPr>
        <w:pStyle w:val="49"/>
        <w:spacing w:line="360" w:lineRule="auto"/>
        <w:jc w:val="center"/>
        <w:outlineLvl w:val="1"/>
        <w:rPr>
          <w:rFonts w:hAnsi="宋体" w:cs="宋体"/>
          <w:color w:val="auto"/>
          <w:sz w:val="24"/>
          <w:szCs w:val="24"/>
          <w:highlight w:val="none"/>
          <w:u w:val="single"/>
        </w:rPr>
      </w:pPr>
      <w:bookmarkStart w:id="176" w:name="_Toc31080"/>
      <w:bookmarkStart w:id="177" w:name="_Toc8534"/>
      <w:bookmarkStart w:id="178" w:name="_Toc25247"/>
      <w:bookmarkStart w:id="179" w:name="_Toc22447"/>
      <w:bookmarkStart w:id="180" w:name="_Toc25431"/>
      <w:bookmarkStart w:id="181" w:name="_Toc6682"/>
      <w:bookmarkStart w:id="182" w:name="_Toc11566"/>
      <w:bookmarkStart w:id="183" w:name="_Toc23573"/>
      <w:bookmarkStart w:id="184" w:name="_Toc14601"/>
      <w:bookmarkStart w:id="185" w:name="_Toc11470"/>
      <w:bookmarkStart w:id="186" w:name="_Toc1021"/>
      <w:r>
        <w:rPr>
          <w:rFonts w:hint="eastAsia" w:hAnsi="宋体" w:cs="宋体"/>
          <w:b/>
          <w:bCs/>
          <w:color w:val="auto"/>
          <w:sz w:val="32"/>
          <w:szCs w:val="32"/>
          <w:highlight w:val="none"/>
        </w:rPr>
        <w:t>六、技术规格和商务响应表</w:t>
      </w:r>
      <w:bookmarkEnd w:id="176"/>
      <w:bookmarkEnd w:id="177"/>
      <w:bookmarkEnd w:id="178"/>
      <w:bookmarkEnd w:id="179"/>
      <w:bookmarkEnd w:id="180"/>
      <w:bookmarkEnd w:id="181"/>
      <w:bookmarkEnd w:id="182"/>
      <w:bookmarkEnd w:id="183"/>
      <w:bookmarkEnd w:id="184"/>
      <w:bookmarkEnd w:id="185"/>
      <w:bookmarkEnd w:id="186"/>
    </w:p>
    <w:p w14:paraId="5381E4C0">
      <w:pPr>
        <w:pStyle w:val="49"/>
        <w:spacing w:line="360" w:lineRule="auto"/>
        <w:ind w:left="1"/>
        <w:outlineLvl w:val="9"/>
        <w:rPr>
          <w:rFonts w:hAnsi="宋体" w:cs="宋体"/>
          <w:color w:val="auto"/>
          <w:sz w:val="24"/>
          <w:szCs w:val="24"/>
          <w:highlight w:val="none"/>
        </w:rPr>
      </w:pPr>
      <w:bookmarkStart w:id="187" w:name="_Toc12921"/>
      <w:bookmarkStart w:id="188" w:name="_Toc26023"/>
      <w:bookmarkStart w:id="189" w:name="_Toc24908"/>
      <w:bookmarkStart w:id="190" w:name="_Toc29178"/>
      <w:bookmarkStart w:id="191" w:name="_Toc24268"/>
      <w:bookmarkStart w:id="192" w:name="_Toc20077"/>
      <w:bookmarkStart w:id="193" w:name="_Toc8344"/>
      <w:bookmarkStart w:id="194" w:name="_Toc23697"/>
      <w:bookmarkStart w:id="195" w:name="_Toc9485"/>
      <w:r>
        <w:rPr>
          <w:rFonts w:hint="eastAsia" w:hAnsi="宋体" w:cs="宋体"/>
          <w:color w:val="auto"/>
          <w:sz w:val="24"/>
          <w:szCs w:val="24"/>
          <w:highlight w:val="none"/>
        </w:rPr>
        <w:t>投标人（全称并加盖公章）：                         招标编号</w:t>
      </w:r>
      <w:bookmarkEnd w:id="187"/>
      <w:bookmarkEnd w:id="188"/>
      <w:bookmarkEnd w:id="189"/>
      <w:bookmarkEnd w:id="190"/>
      <w:bookmarkEnd w:id="191"/>
      <w:bookmarkEnd w:id="192"/>
      <w:bookmarkEnd w:id="193"/>
      <w:bookmarkEnd w:id="194"/>
      <w:bookmarkEnd w:id="195"/>
      <w:r>
        <w:rPr>
          <w:rFonts w:hint="eastAsia" w:hAnsi="宋体" w:cs="宋体"/>
          <w:color w:val="auto"/>
          <w:sz w:val="24"/>
          <w:szCs w:val="24"/>
          <w:highlight w:val="none"/>
        </w:rPr>
        <w:t>：</w:t>
      </w:r>
      <w:r>
        <w:rPr>
          <w:rFonts w:hint="eastAsia" w:hAnsi="宋体" w:cs="宋体"/>
          <w:color w:val="auto"/>
          <w:sz w:val="24"/>
          <w:szCs w:val="24"/>
          <w:highlight w:val="none"/>
        </w:rPr>
        <w:tab/>
      </w:r>
    </w:p>
    <w:tbl>
      <w:tblPr>
        <w:tblStyle w:val="2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81"/>
        <w:gridCol w:w="1156"/>
        <w:gridCol w:w="1330"/>
        <w:gridCol w:w="1330"/>
        <w:gridCol w:w="1855"/>
        <w:gridCol w:w="981"/>
      </w:tblGrid>
      <w:tr w14:paraId="7280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885" w:type="dxa"/>
            <w:gridSpan w:val="4"/>
            <w:tcBorders>
              <w:top w:val="single" w:color="auto" w:sz="4" w:space="0"/>
              <w:left w:val="single" w:color="auto" w:sz="4" w:space="0"/>
              <w:bottom w:val="single" w:color="auto" w:sz="4" w:space="0"/>
              <w:right w:val="single" w:color="auto" w:sz="4" w:space="0"/>
            </w:tcBorders>
            <w:vAlign w:val="center"/>
          </w:tcPr>
          <w:p w14:paraId="0B39426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招标要求</w:t>
            </w:r>
          </w:p>
        </w:tc>
        <w:tc>
          <w:tcPr>
            <w:tcW w:w="4166" w:type="dxa"/>
            <w:gridSpan w:val="3"/>
            <w:tcBorders>
              <w:top w:val="single" w:color="auto" w:sz="4" w:space="0"/>
              <w:left w:val="single" w:color="auto" w:sz="4" w:space="0"/>
              <w:bottom w:val="single" w:color="auto" w:sz="4" w:space="0"/>
              <w:right w:val="single" w:color="auto" w:sz="4" w:space="0"/>
            </w:tcBorders>
            <w:vAlign w:val="center"/>
          </w:tcPr>
          <w:p w14:paraId="28E572E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投标响应</w:t>
            </w:r>
          </w:p>
        </w:tc>
      </w:tr>
      <w:tr w14:paraId="47B7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18" w:type="dxa"/>
            <w:tcBorders>
              <w:top w:val="single" w:color="auto" w:sz="4" w:space="0"/>
              <w:left w:val="single" w:color="auto" w:sz="4" w:space="0"/>
              <w:bottom w:val="single" w:color="auto" w:sz="4" w:space="0"/>
              <w:right w:val="single" w:color="auto" w:sz="4" w:space="0"/>
            </w:tcBorders>
            <w:vAlign w:val="center"/>
          </w:tcPr>
          <w:p w14:paraId="57C58DF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合同包/品目号</w:t>
            </w:r>
          </w:p>
        </w:tc>
        <w:tc>
          <w:tcPr>
            <w:tcW w:w="981" w:type="dxa"/>
            <w:tcBorders>
              <w:top w:val="single" w:color="auto" w:sz="4" w:space="0"/>
              <w:left w:val="single" w:color="auto" w:sz="4" w:space="0"/>
              <w:bottom w:val="single" w:color="auto" w:sz="4" w:space="0"/>
              <w:right w:val="single" w:color="auto" w:sz="4" w:space="0"/>
            </w:tcBorders>
            <w:vAlign w:val="center"/>
          </w:tcPr>
          <w:p w14:paraId="25C8ED7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156" w:type="dxa"/>
            <w:tcBorders>
              <w:top w:val="single" w:color="auto" w:sz="4" w:space="0"/>
              <w:left w:val="single" w:color="auto" w:sz="4" w:space="0"/>
              <w:bottom w:val="single" w:color="auto" w:sz="4" w:space="0"/>
              <w:right w:val="single" w:color="auto" w:sz="4" w:space="0"/>
            </w:tcBorders>
            <w:vAlign w:val="center"/>
          </w:tcPr>
          <w:p w14:paraId="0F70AF5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规格条目号</w:t>
            </w:r>
          </w:p>
        </w:tc>
        <w:tc>
          <w:tcPr>
            <w:tcW w:w="1330" w:type="dxa"/>
            <w:tcBorders>
              <w:top w:val="single" w:color="auto" w:sz="4" w:space="0"/>
              <w:left w:val="single" w:color="auto" w:sz="4" w:space="0"/>
              <w:bottom w:val="single" w:color="auto" w:sz="4" w:space="0"/>
              <w:right w:val="single" w:color="auto" w:sz="4" w:space="0"/>
            </w:tcBorders>
            <w:vAlign w:val="center"/>
          </w:tcPr>
          <w:p w14:paraId="0B290BB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招标文件要求</w:t>
            </w:r>
          </w:p>
        </w:tc>
        <w:tc>
          <w:tcPr>
            <w:tcW w:w="1330" w:type="dxa"/>
            <w:tcBorders>
              <w:top w:val="single" w:color="auto" w:sz="4" w:space="0"/>
              <w:left w:val="single" w:color="auto" w:sz="4" w:space="0"/>
              <w:bottom w:val="single" w:color="auto" w:sz="4" w:space="0"/>
              <w:right w:val="single" w:color="auto" w:sz="4" w:space="0"/>
            </w:tcBorders>
            <w:vAlign w:val="center"/>
          </w:tcPr>
          <w:p w14:paraId="6EF2C9B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投标响应情况</w:t>
            </w:r>
          </w:p>
        </w:tc>
        <w:tc>
          <w:tcPr>
            <w:tcW w:w="1855" w:type="dxa"/>
            <w:tcBorders>
              <w:top w:val="single" w:color="auto" w:sz="4" w:space="0"/>
              <w:left w:val="single" w:color="auto" w:sz="4" w:space="0"/>
              <w:bottom w:val="single" w:color="auto" w:sz="4" w:space="0"/>
              <w:right w:val="single" w:color="auto" w:sz="4" w:space="0"/>
            </w:tcBorders>
            <w:vAlign w:val="center"/>
          </w:tcPr>
          <w:p w14:paraId="37BB713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投标响应对应的页码</w:t>
            </w:r>
          </w:p>
        </w:tc>
        <w:tc>
          <w:tcPr>
            <w:tcW w:w="981" w:type="dxa"/>
            <w:tcBorders>
              <w:top w:val="single" w:color="auto" w:sz="4" w:space="0"/>
              <w:left w:val="single" w:color="auto" w:sz="4" w:space="0"/>
              <w:bottom w:val="single" w:color="auto" w:sz="4" w:space="0"/>
              <w:right w:val="single" w:color="auto" w:sz="4" w:space="0"/>
            </w:tcBorders>
            <w:vAlign w:val="center"/>
          </w:tcPr>
          <w:p w14:paraId="5C194CF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2EAC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tcPr>
          <w:p w14:paraId="4DC9D0CF">
            <w:pPr>
              <w:spacing w:line="360" w:lineRule="auto"/>
              <w:rPr>
                <w:rFonts w:ascii="宋体" w:hAnsi="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tcPr>
          <w:p w14:paraId="4AF45C40">
            <w:pPr>
              <w:spacing w:line="360" w:lineRule="auto"/>
              <w:rPr>
                <w:rFonts w:ascii="宋体" w:hAnsi="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tcPr>
          <w:p w14:paraId="1A7BDDC3">
            <w:pPr>
              <w:spacing w:line="360" w:lineRule="auto"/>
              <w:rPr>
                <w:rFonts w:ascii="宋体" w:hAnsi="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tcPr>
          <w:p w14:paraId="1DB7ABF9">
            <w:pPr>
              <w:spacing w:line="360" w:lineRule="auto"/>
              <w:rPr>
                <w:rFonts w:ascii="宋体" w:hAnsi="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tcPr>
          <w:p w14:paraId="18755502">
            <w:pPr>
              <w:spacing w:line="360" w:lineRule="auto"/>
              <w:rPr>
                <w:rFonts w:ascii="宋体" w:hAnsi="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1552D734">
            <w:pPr>
              <w:spacing w:line="360" w:lineRule="auto"/>
              <w:rPr>
                <w:rFonts w:ascii="宋体" w:hAnsi="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tcPr>
          <w:p w14:paraId="439F9797">
            <w:pPr>
              <w:spacing w:line="360" w:lineRule="auto"/>
              <w:rPr>
                <w:rFonts w:ascii="宋体" w:hAnsi="宋体" w:cs="宋体"/>
                <w:color w:val="auto"/>
                <w:sz w:val="24"/>
                <w:szCs w:val="24"/>
                <w:highlight w:val="none"/>
              </w:rPr>
            </w:pPr>
          </w:p>
        </w:tc>
      </w:tr>
      <w:tr w14:paraId="07BE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tcPr>
          <w:p w14:paraId="27CF2EAA">
            <w:pPr>
              <w:spacing w:line="360" w:lineRule="auto"/>
              <w:rPr>
                <w:rFonts w:ascii="宋体" w:hAnsi="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tcPr>
          <w:p w14:paraId="2A2705D7">
            <w:pPr>
              <w:spacing w:line="360" w:lineRule="auto"/>
              <w:rPr>
                <w:rFonts w:ascii="宋体" w:hAnsi="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tcPr>
          <w:p w14:paraId="6B8502CF">
            <w:pPr>
              <w:spacing w:line="360" w:lineRule="auto"/>
              <w:rPr>
                <w:rFonts w:ascii="宋体" w:hAnsi="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tcPr>
          <w:p w14:paraId="7D87C609">
            <w:pPr>
              <w:spacing w:line="360" w:lineRule="auto"/>
              <w:rPr>
                <w:rFonts w:ascii="宋体" w:hAnsi="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tcPr>
          <w:p w14:paraId="29462B5A">
            <w:pPr>
              <w:spacing w:line="360" w:lineRule="auto"/>
              <w:rPr>
                <w:rFonts w:ascii="宋体" w:hAnsi="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469D9C40">
            <w:pPr>
              <w:spacing w:line="360" w:lineRule="auto"/>
              <w:rPr>
                <w:rFonts w:ascii="宋体" w:hAnsi="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tcPr>
          <w:p w14:paraId="2A296476">
            <w:pPr>
              <w:spacing w:line="360" w:lineRule="auto"/>
              <w:rPr>
                <w:rFonts w:ascii="宋体" w:hAnsi="宋体" w:cs="宋体"/>
                <w:color w:val="auto"/>
                <w:sz w:val="24"/>
                <w:szCs w:val="24"/>
                <w:highlight w:val="none"/>
              </w:rPr>
            </w:pPr>
          </w:p>
        </w:tc>
      </w:tr>
      <w:tr w14:paraId="18C3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tcPr>
          <w:p w14:paraId="5B2786A8">
            <w:pPr>
              <w:spacing w:line="360" w:lineRule="auto"/>
              <w:rPr>
                <w:rFonts w:ascii="宋体" w:hAnsi="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tcPr>
          <w:p w14:paraId="4862F1FA">
            <w:pPr>
              <w:spacing w:line="360" w:lineRule="auto"/>
              <w:rPr>
                <w:rFonts w:ascii="宋体" w:hAnsi="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tcPr>
          <w:p w14:paraId="5281D6D5">
            <w:pPr>
              <w:spacing w:line="360" w:lineRule="auto"/>
              <w:rPr>
                <w:rFonts w:ascii="宋体" w:hAnsi="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tcPr>
          <w:p w14:paraId="486E132F">
            <w:pPr>
              <w:spacing w:line="360" w:lineRule="auto"/>
              <w:rPr>
                <w:rFonts w:ascii="宋体" w:hAnsi="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tcPr>
          <w:p w14:paraId="2EEC93D4">
            <w:pPr>
              <w:spacing w:line="360" w:lineRule="auto"/>
              <w:rPr>
                <w:rFonts w:ascii="宋体" w:hAnsi="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tcPr>
          <w:p w14:paraId="095E2F25">
            <w:pPr>
              <w:spacing w:line="360" w:lineRule="auto"/>
              <w:rPr>
                <w:rFonts w:ascii="宋体" w:hAnsi="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tcPr>
          <w:p w14:paraId="24C81426">
            <w:pPr>
              <w:spacing w:line="360" w:lineRule="auto"/>
              <w:rPr>
                <w:rFonts w:ascii="宋体" w:hAnsi="宋体" w:cs="宋体"/>
                <w:color w:val="auto"/>
                <w:sz w:val="24"/>
                <w:szCs w:val="24"/>
                <w:highlight w:val="none"/>
              </w:rPr>
            </w:pPr>
          </w:p>
        </w:tc>
      </w:tr>
      <w:tr w14:paraId="3B7E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51" w:type="dxa"/>
            <w:gridSpan w:val="7"/>
            <w:tcBorders>
              <w:top w:val="single" w:color="auto" w:sz="4" w:space="0"/>
              <w:left w:val="single" w:color="auto" w:sz="4" w:space="0"/>
              <w:bottom w:val="single" w:color="auto" w:sz="4" w:space="0"/>
              <w:right w:val="single" w:color="auto" w:sz="4" w:space="0"/>
            </w:tcBorders>
          </w:tcPr>
          <w:p w14:paraId="16FE2098">
            <w:pPr>
              <w:spacing w:line="360" w:lineRule="auto"/>
              <w:rPr>
                <w:rFonts w:cs="宋体"/>
                <w:color w:val="auto"/>
                <w:sz w:val="24"/>
                <w:szCs w:val="28"/>
                <w:highlight w:val="none"/>
              </w:rPr>
            </w:pPr>
            <w:r>
              <w:rPr>
                <w:rFonts w:hint="eastAsia" w:cs="宋体"/>
                <w:color w:val="auto"/>
                <w:sz w:val="24"/>
                <w:szCs w:val="28"/>
                <w:highlight w:val="none"/>
              </w:rPr>
              <w:t>投标人承诺：</w:t>
            </w:r>
            <w:r>
              <w:rPr>
                <w:rFonts w:hint="eastAsia" w:cs="宋体"/>
                <w:b/>
                <w:bCs/>
                <w:color w:val="auto"/>
                <w:sz w:val="24"/>
                <w:szCs w:val="28"/>
                <w:highlight w:val="none"/>
                <w:u w:val="single"/>
              </w:rPr>
              <w:t>本投标人接受招标文件全部★号条款及其他条款的要求，中标后不再提出异议。</w:t>
            </w:r>
            <w:r>
              <w:rPr>
                <w:rFonts w:hint="eastAsia" w:cs="宋体"/>
                <w:color w:val="auto"/>
                <w:sz w:val="24"/>
                <w:szCs w:val="28"/>
                <w:highlight w:val="none"/>
              </w:rPr>
              <w:t>本投标人提交的投标文件若与招标文件的技术、商务部分要求存在不同（正、负偏离）的，均已在上述偏离表中逐条列明，</w:t>
            </w:r>
            <w:r>
              <w:rPr>
                <w:rFonts w:hint="eastAsia" w:cs="宋体"/>
                <w:b/>
                <w:bCs/>
                <w:color w:val="auto"/>
                <w:sz w:val="24"/>
                <w:szCs w:val="28"/>
                <w:highlight w:val="none"/>
                <w:u w:val="single"/>
              </w:rPr>
              <w:t>除上述偏离表的内容外，本投标人接受招标文件全部★号条款及其他条款的要求，中标后不再提出异议，</w:t>
            </w:r>
            <w:r>
              <w:rPr>
                <w:rFonts w:hint="eastAsia" w:cs="宋体"/>
                <w:color w:val="auto"/>
                <w:sz w:val="24"/>
                <w:szCs w:val="28"/>
                <w:highlight w:val="none"/>
                <w:u w:val="single"/>
              </w:rPr>
              <w:t>本</w:t>
            </w:r>
            <w:r>
              <w:rPr>
                <w:rFonts w:hint="eastAsia" w:cs="宋体"/>
                <w:color w:val="auto"/>
                <w:sz w:val="24"/>
                <w:szCs w:val="28"/>
                <w:highlight w:val="none"/>
              </w:rPr>
              <w:t>投标人在中标后再提出不能满足招标文件要求的，采购人有权取消本投标人投标资格或者单方解除合同，所造成的一切责任和损失由本投标人承担。</w:t>
            </w:r>
          </w:p>
          <w:p w14:paraId="11B81391">
            <w:pPr>
              <w:spacing w:line="360" w:lineRule="auto"/>
              <w:rPr>
                <w:rFonts w:ascii="宋体" w:hAnsi="宋体" w:cs="宋体"/>
                <w:color w:val="auto"/>
                <w:sz w:val="24"/>
                <w:szCs w:val="24"/>
                <w:highlight w:val="none"/>
              </w:rPr>
            </w:pPr>
            <w:r>
              <w:rPr>
                <w:rFonts w:hint="eastAsia" w:cs="宋体"/>
                <w:color w:val="auto"/>
                <w:sz w:val="24"/>
                <w:szCs w:val="28"/>
                <w:highlight w:val="none"/>
              </w:rPr>
              <w:t>投标人</w:t>
            </w:r>
            <w:r>
              <w:rPr>
                <w:rFonts w:hint="eastAsia" w:hAnsi="宋体" w:cs="宋体"/>
                <w:color w:val="auto"/>
                <w:sz w:val="24"/>
                <w:szCs w:val="24"/>
                <w:highlight w:val="none"/>
              </w:rPr>
              <w:t>（全称并加盖公章）</w:t>
            </w:r>
            <w:r>
              <w:rPr>
                <w:rFonts w:hint="eastAsia" w:cs="宋体"/>
                <w:color w:val="auto"/>
                <w:sz w:val="24"/>
                <w:szCs w:val="28"/>
                <w:highlight w:val="none"/>
              </w:rPr>
              <w:t>：</w:t>
            </w:r>
          </w:p>
        </w:tc>
      </w:tr>
    </w:tbl>
    <w:p w14:paraId="0B797BE1">
      <w:pPr>
        <w:spacing w:line="360" w:lineRule="auto"/>
        <w:rPr>
          <w:rFonts w:ascii="宋体" w:hAnsi="宋体" w:cs="宋体"/>
          <w:color w:val="auto"/>
          <w:sz w:val="24"/>
          <w:szCs w:val="24"/>
          <w:highlight w:val="none"/>
        </w:rPr>
      </w:pPr>
    </w:p>
    <w:p w14:paraId="5D94C6B1">
      <w:pPr>
        <w:spacing w:line="360" w:lineRule="auto"/>
        <w:rPr>
          <w:rFonts w:ascii="宋体" w:hAnsi="宋体" w:cs="宋体"/>
          <w:color w:val="auto"/>
          <w:sz w:val="24"/>
          <w:szCs w:val="24"/>
          <w:highlight w:val="none"/>
        </w:rPr>
      </w:pPr>
    </w:p>
    <w:p w14:paraId="5711CFEA">
      <w:pPr>
        <w:spacing w:line="360" w:lineRule="auto"/>
        <w:rPr>
          <w:rFonts w:ascii="宋体" w:hAnsi="宋体" w:cs="宋体"/>
          <w:color w:val="auto"/>
          <w:sz w:val="24"/>
          <w:szCs w:val="24"/>
          <w:highlight w:val="none"/>
        </w:rPr>
      </w:pPr>
    </w:p>
    <w:p w14:paraId="73751CAA">
      <w:pPr>
        <w:spacing w:line="360" w:lineRule="auto"/>
        <w:rPr>
          <w:rFonts w:ascii="宋体" w:hAnsi="宋体" w:cs="宋体"/>
          <w:color w:val="auto"/>
          <w:sz w:val="24"/>
          <w:szCs w:val="24"/>
          <w:highlight w:val="none"/>
        </w:rPr>
      </w:pPr>
    </w:p>
    <w:p w14:paraId="2562149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投标人代表签字： </w:t>
      </w:r>
      <w:r>
        <w:rPr>
          <w:rFonts w:hint="eastAsia" w:ascii="宋体" w:hAnsi="宋体" w:cs="宋体"/>
          <w:color w:val="auto"/>
          <w:sz w:val="24"/>
          <w:szCs w:val="24"/>
          <w:highlight w:val="none"/>
          <w:u w:val="single"/>
        </w:rPr>
        <w:t xml:space="preserve">           </w:t>
      </w:r>
    </w:p>
    <w:p w14:paraId="73998312">
      <w:pPr>
        <w:spacing w:line="360" w:lineRule="auto"/>
        <w:rPr>
          <w:rFonts w:ascii="宋体" w:hAnsi="宋体" w:cs="宋体"/>
          <w:color w:val="auto"/>
          <w:sz w:val="24"/>
          <w:szCs w:val="24"/>
          <w:highlight w:val="none"/>
        </w:rPr>
      </w:pPr>
    </w:p>
    <w:p w14:paraId="24C90009">
      <w:pPr>
        <w:spacing w:line="360" w:lineRule="auto"/>
        <w:jc w:val="center"/>
        <w:rPr>
          <w:rFonts w:ascii="宋体" w:hAnsi="宋体" w:cs="宋体"/>
          <w:color w:val="auto"/>
          <w:sz w:val="24"/>
          <w:szCs w:val="24"/>
          <w:highlight w:val="none"/>
        </w:rPr>
        <w:sectPr>
          <w:pgSz w:w="11907" w:h="16840"/>
          <w:pgMar w:top="1440" w:right="1752" w:bottom="1440" w:left="1752" w:header="851" w:footer="992" w:gutter="0"/>
          <w:cols w:space="720" w:num="1"/>
          <w:docGrid w:type="linesAndChars" w:linePitch="323" w:charSpace="-2"/>
        </w:sectPr>
      </w:pPr>
      <w:r>
        <w:rPr>
          <w:rFonts w:hint="eastAsia" w:ascii="宋体" w:hAnsi="宋体" w:cs="宋体"/>
          <w:color w:val="auto"/>
          <w:sz w:val="24"/>
          <w:szCs w:val="24"/>
          <w:highlight w:val="none"/>
        </w:rPr>
        <w:br w:type="page"/>
      </w:r>
    </w:p>
    <w:p w14:paraId="389B0CA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“★”号条款逐条响应情况表及承诺书</w:t>
      </w:r>
    </w:p>
    <w:p w14:paraId="2CD427A9">
      <w:pPr>
        <w:spacing w:line="360" w:lineRule="auto"/>
        <w:jc w:val="center"/>
        <w:rPr>
          <w:rFonts w:ascii="宋体" w:hAnsi="宋体" w:cs="宋体"/>
          <w:b/>
          <w:color w:val="auto"/>
          <w:sz w:val="32"/>
          <w:szCs w:val="32"/>
          <w:highlight w:val="none"/>
        </w:rPr>
      </w:pPr>
    </w:p>
    <w:p w14:paraId="3837E658">
      <w:pPr>
        <w:spacing w:line="360" w:lineRule="auto"/>
        <w:jc w:val="center"/>
        <w:rPr>
          <w:rFonts w:ascii="宋体" w:hAnsi="宋体" w:cs="宋体"/>
          <w:b/>
          <w:color w:val="auto"/>
          <w:sz w:val="32"/>
          <w:szCs w:val="32"/>
          <w:highlight w:val="none"/>
        </w:rPr>
      </w:pPr>
    </w:p>
    <w:p w14:paraId="7F2BED24">
      <w:pPr>
        <w:spacing w:line="360" w:lineRule="auto"/>
        <w:jc w:val="center"/>
        <w:rPr>
          <w:rFonts w:ascii="宋体" w:hAnsi="宋体" w:cs="宋体"/>
          <w:b/>
          <w:color w:val="auto"/>
          <w:sz w:val="32"/>
          <w:szCs w:val="32"/>
          <w:highlight w:val="none"/>
        </w:rPr>
      </w:pPr>
    </w:p>
    <w:p w14:paraId="306ED438">
      <w:pPr>
        <w:spacing w:line="360" w:lineRule="auto"/>
        <w:jc w:val="center"/>
        <w:rPr>
          <w:rFonts w:ascii="宋体" w:hAnsi="宋体" w:cs="宋体"/>
          <w:b/>
          <w:color w:val="auto"/>
          <w:sz w:val="32"/>
          <w:szCs w:val="32"/>
          <w:highlight w:val="none"/>
        </w:rPr>
      </w:pPr>
    </w:p>
    <w:p w14:paraId="1D19BC51">
      <w:pPr>
        <w:spacing w:line="360" w:lineRule="auto"/>
        <w:jc w:val="center"/>
        <w:rPr>
          <w:rFonts w:ascii="宋体" w:hAnsi="宋体" w:cs="宋体"/>
          <w:b/>
          <w:color w:val="auto"/>
          <w:sz w:val="32"/>
          <w:szCs w:val="32"/>
          <w:highlight w:val="none"/>
        </w:rPr>
        <w:sectPr>
          <w:pgSz w:w="11907" w:h="16840"/>
          <w:pgMar w:top="1440" w:right="1752" w:bottom="1440" w:left="1752" w:header="851" w:footer="992" w:gutter="0"/>
          <w:cols w:space="720" w:num="1"/>
          <w:docGrid w:type="linesAndChars" w:linePitch="323" w:charSpace="-2"/>
        </w:sectPr>
      </w:pPr>
      <w:r>
        <w:rPr>
          <w:rFonts w:hint="eastAsia" w:ascii="宋体" w:hAnsi="宋体" w:cs="宋体"/>
          <w:color w:val="auto"/>
          <w:sz w:val="24"/>
          <w:szCs w:val="24"/>
          <w:highlight w:val="none"/>
        </w:rPr>
        <w:t>注：1、</w:t>
      </w:r>
      <w:r>
        <w:rPr>
          <w:rFonts w:hint="eastAsia" w:ascii="宋体" w:hAnsi="宋体" w:cs="宋体"/>
          <w:color w:val="auto"/>
          <w:kern w:val="0"/>
          <w:sz w:val="24"/>
          <w:szCs w:val="24"/>
          <w:highlight w:val="none"/>
        </w:rPr>
        <w:t>投标人应对招标文件中的“</w:t>
      </w:r>
      <w:r>
        <w:rPr>
          <w:rFonts w:hint="eastAsia" w:ascii="宋体" w:hAnsi="宋体" w:cs="宋体"/>
          <w:iCs/>
          <w:color w:val="auto"/>
          <w:sz w:val="24"/>
          <w:szCs w:val="24"/>
          <w:highlight w:val="none"/>
        </w:rPr>
        <w:t>★</w:t>
      </w:r>
      <w:r>
        <w:rPr>
          <w:rFonts w:hint="eastAsia" w:ascii="宋体" w:hAnsi="宋体" w:cs="宋体"/>
          <w:color w:val="auto"/>
          <w:kern w:val="0"/>
          <w:sz w:val="24"/>
          <w:szCs w:val="24"/>
          <w:highlight w:val="none"/>
        </w:rPr>
        <w:t>”号条款进行逐条响应，否则评标委员会对其投标做出不利评审，投标人必须自行承担责任</w:t>
      </w:r>
      <w:r>
        <w:rPr>
          <w:rFonts w:hint="eastAsia" w:ascii="宋体" w:hAnsi="宋体" w:cs="宋体"/>
          <w:color w:val="auto"/>
          <w:sz w:val="24"/>
          <w:szCs w:val="24"/>
          <w:highlight w:val="none"/>
        </w:rPr>
        <w:t>。投标人存在弄虚作假行为的，将依法承担相应的法律责任。</w:t>
      </w:r>
    </w:p>
    <w:p w14:paraId="29FDDEAA">
      <w:pPr>
        <w:spacing w:line="360" w:lineRule="auto"/>
        <w:jc w:val="center"/>
        <w:outlineLvl w:val="1"/>
        <w:rPr>
          <w:rFonts w:ascii="宋体" w:hAnsi="宋体" w:cs="宋体"/>
          <w:color w:val="auto"/>
          <w:sz w:val="32"/>
          <w:szCs w:val="32"/>
          <w:highlight w:val="none"/>
        </w:rPr>
      </w:pPr>
      <w:bookmarkStart w:id="196" w:name="_Toc28316"/>
      <w:bookmarkStart w:id="197" w:name="_Toc23771"/>
      <w:r>
        <w:rPr>
          <w:rFonts w:hint="eastAsia" w:ascii="宋体" w:hAnsi="宋体" w:cs="宋体"/>
          <w:b/>
          <w:color w:val="auto"/>
          <w:sz w:val="32"/>
          <w:szCs w:val="32"/>
          <w:highlight w:val="none"/>
        </w:rPr>
        <w:t>七、投标人的资格证明文件</w:t>
      </w:r>
      <w:bookmarkEnd w:id="196"/>
      <w:bookmarkEnd w:id="197"/>
    </w:p>
    <w:p w14:paraId="0EEA83D2">
      <w:pPr>
        <w:pStyle w:val="49"/>
        <w:spacing w:line="360" w:lineRule="auto"/>
        <w:outlineLvl w:val="9"/>
        <w:rPr>
          <w:rFonts w:hAnsi="宋体" w:cs="宋体"/>
          <w:color w:val="auto"/>
          <w:sz w:val="32"/>
          <w:szCs w:val="32"/>
          <w:highlight w:val="none"/>
        </w:rPr>
      </w:pPr>
    </w:p>
    <w:p w14:paraId="413BEBE1">
      <w:pPr>
        <w:spacing w:line="360" w:lineRule="auto"/>
        <w:jc w:val="center"/>
        <w:rPr>
          <w:rFonts w:ascii="宋体" w:hAnsi="宋体" w:cs="宋体"/>
          <w:color w:val="auto"/>
          <w:sz w:val="24"/>
          <w:szCs w:val="24"/>
          <w:highlight w:val="none"/>
        </w:rPr>
      </w:pPr>
      <w:r>
        <w:rPr>
          <w:rFonts w:hint="eastAsia" w:ascii="宋体" w:hAnsi="宋体" w:cs="宋体"/>
          <w:b/>
          <w:color w:val="auto"/>
          <w:sz w:val="32"/>
          <w:szCs w:val="32"/>
          <w:highlight w:val="none"/>
        </w:rPr>
        <w:t>关于资格的声明函</w:t>
      </w:r>
    </w:p>
    <w:p w14:paraId="5C46AE81">
      <w:pPr>
        <w:spacing w:line="360" w:lineRule="auto"/>
        <w:jc w:val="center"/>
        <w:rPr>
          <w:rFonts w:ascii="宋体" w:hAnsi="宋体" w:cs="宋体"/>
          <w:color w:val="auto"/>
          <w:sz w:val="24"/>
          <w:szCs w:val="24"/>
          <w:highlight w:val="none"/>
        </w:rPr>
      </w:pPr>
    </w:p>
    <w:p w14:paraId="54EFCB9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2C5A5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（招标编号）投标邀请，本签字人愿意参加投标，提供招标文件“招标服务及要求”中规定的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（合同包/品目号）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（服务名称），并证明提交的下列文件和说明是准确的和真实的。</w:t>
      </w:r>
    </w:p>
    <w:p w14:paraId="3F920F6F">
      <w:pPr>
        <w:spacing w:line="360" w:lineRule="auto"/>
        <w:ind w:firstLine="480" w:firstLineChars="200"/>
        <w:rPr>
          <w:rFonts w:ascii="宋体" w:hAnsi="宋体" w:cs="宋体"/>
          <w:color w:val="auto"/>
          <w:sz w:val="24"/>
          <w:szCs w:val="24"/>
          <w:highlight w:val="none"/>
        </w:rPr>
      </w:pPr>
    </w:p>
    <w:p w14:paraId="4A47FD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1．本签字人确认资格文件中的说明以及投标文件中所有提交的文件和材料是真实的、准确的。</w:t>
      </w:r>
    </w:p>
    <w:p w14:paraId="03263F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2．我方的资格声明正本一份，副本</w:t>
      </w:r>
      <w:r>
        <w:rPr>
          <w:rFonts w:hint="eastAsia" w:ascii="宋体" w:hAnsi="宋体" w:cs="宋体"/>
          <w:color w:val="auto"/>
          <w:sz w:val="24"/>
          <w:szCs w:val="24"/>
          <w:highlight w:val="none"/>
          <w:u w:val="single"/>
        </w:rPr>
        <w:t>四</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，最终盖章签字投标文件扫描件刻录u盘（或光盘）2份</w:t>
      </w:r>
      <w:r>
        <w:rPr>
          <w:rFonts w:hint="eastAsia" w:ascii="宋体" w:hAnsi="宋体" w:cs="宋体"/>
          <w:color w:val="auto"/>
          <w:sz w:val="24"/>
          <w:szCs w:val="24"/>
          <w:highlight w:val="none"/>
        </w:rPr>
        <w:t>，随投标文件一同递交。</w:t>
      </w:r>
    </w:p>
    <w:p w14:paraId="1EB3F2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6B5F46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C0E515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14B61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3F781C1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p>
    <w:p w14:paraId="45C9E4C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 话/传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94FE78D">
      <w:pPr>
        <w:spacing w:line="360" w:lineRule="auto"/>
        <w:jc w:val="center"/>
        <w:rPr>
          <w:rFonts w:ascii="宋体" w:hAnsi="宋体" w:cs="宋体"/>
          <w:b/>
          <w:color w:val="auto"/>
          <w:sz w:val="24"/>
          <w:szCs w:val="24"/>
          <w:highlight w:val="none"/>
        </w:rPr>
      </w:pPr>
      <w:r>
        <w:rPr>
          <w:rFonts w:hint="eastAsia" w:ascii="宋体" w:hAnsi="宋体" w:cs="宋体"/>
          <w:color w:val="auto"/>
          <w:sz w:val="24"/>
          <w:szCs w:val="24"/>
          <w:highlight w:val="none"/>
        </w:rPr>
        <w:t xml:space="preserve">投标人代表签字：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747A282">
      <w:pPr>
        <w:spacing w:line="360" w:lineRule="auto"/>
        <w:rPr>
          <w:rFonts w:ascii="宋体" w:hAnsi="宋体" w:cs="宋体"/>
          <w:b/>
          <w:color w:val="auto"/>
          <w:sz w:val="24"/>
          <w:szCs w:val="24"/>
          <w:highlight w:val="none"/>
        </w:rPr>
      </w:pPr>
    </w:p>
    <w:p w14:paraId="73089F15">
      <w:pPr>
        <w:spacing w:line="360" w:lineRule="auto"/>
        <w:jc w:val="center"/>
        <w:rPr>
          <w:rFonts w:ascii="宋体" w:hAnsi="宋体" w:cs="宋体"/>
          <w:b/>
          <w:color w:val="auto"/>
          <w:sz w:val="24"/>
          <w:szCs w:val="24"/>
          <w:highlight w:val="none"/>
        </w:rPr>
      </w:pPr>
    </w:p>
    <w:p w14:paraId="1145E227">
      <w:pPr>
        <w:widowControl/>
        <w:spacing w:line="360" w:lineRule="auto"/>
        <w:jc w:val="left"/>
        <w:rPr>
          <w:rFonts w:ascii="宋体" w:hAnsi="宋体" w:cs="宋体"/>
          <w:color w:val="auto"/>
          <w:sz w:val="24"/>
          <w:szCs w:val="24"/>
          <w:highlight w:val="none"/>
        </w:rPr>
        <w:sectPr>
          <w:pgSz w:w="11907" w:h="16840"/>
          <w:pgMar w:top="1440" w:right="1752" w:bottom="1440" w:left="1752" w:header="851" w:footer="992" w:gutter="0"/>
          <w:cols w:space="720" w:num="1"/>
          <w:docGrid w:type="linesAndChars" w:linePitch="323" w:charSpace="-2"/>
        </w:sectPr>
      </w:pPr>
    </w:p>
    <w:p w14:paraId="10E721EA">
      <w:pPr>
        <w:spacing w:line="360" w:lineRule="auto"/>
        <w:jc w:val="center"/>
        <w:rPr>
          <w:rFonts w:ascii="宋体" w:hAnsi="宋体" w:cs="宋体"/>
          <w:color w:val="auto"/>
          <w:sz w:val="24"/>
          <w:szCs w:val="24"/>
          <w:highlight w:val="none"/>
        </w:rPr>
      </w:pPr>
      <w:r>
        <w:rPr>
          <w:rFonts w:hint="eastAsia" w:ascii="宋体" w:hAnsi="宋体" w:cs="宋体"/>
          <w:b/>
          <w:color w:val="auto"/>
          <w:sz w:val="32"/>
          <w:szCs w:val="32"/>
          <w:highlight w:val="none"/>
        </w:rPr>
        <w:t>投标人的资格声明</w:t>
      </w:r>
    </w:p>
    <w:p w14:paraId="0538762B">
      <w:pPr>
        <w:spacing w:line="360" w:lineRule="auto"/>
        <w:jc w:val="center"/>
        <w:rPr>
          <w:rFonts w:ascii="宋体" w:hAnsi="宋体" w:cs="宋体"/>
          <w:color w:val="auto"/>
          <w:sz w:val="24"/>
          <w:szCs w:val="24"/>
          <w:highlight w:val="none"/>
        </w:rPr>
      </w:pPr>
    </w:p>
    <w:p w14:paraId="03588F6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1．投标人概况：                                   </w:t>
      </w:r>
    </w:p>
    <w:p w14:paraId="603FDC8C">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Ａ．投标人名称：</w:t>
      </w:r>
      <w:r>
        <w:rPr>
          <w:rFonts w:hint="eastAsia" w:ascii="宋体" w:hAnsi="宋体" w:cs="宋体"/>
          <w:color w:val="auto"/>
          <w:sz w:val="24"/>
          <w:szCs w:val="24"/>
          <w:highlight w:val="none"/>
          <w:u w:val="single"/>
        </w:rPr>
        <w:t xml:space="preserve">                               </w:t>
      </w:r>
    </w:p>
    <w:p w14:paraId="2A769F9F">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Ｂ．注册地址：</w:t>
      </w:r>
      <w:r>
        <w:rPr>
          <w:rFonts w:hint="eastAsia" w:ascii="宋体" w:hAnsi="宋体" w:cs="宋体"/>
          <w:color w:val="auto"/>
          <w:sz w:val="24"/>
          <w:szCs w:val="24"/>
          <w:highlight w:val="none"/>
          <w:u w:val="single"/>
        </w:rPr>
        <w:t xml:space="preserve">                                 </w:t>
      </w:r>
    </w:p>
    <w:p w14:paraId="1F38778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w:t>
      </w:r>
      <w:r>
        <w:rPr>
          <w:rFonts w:hint="eastAsia" w:ascii="宋体" w:hAnsi="宋体" w:cs="宋体"/>
          <w:color w:val="auto"/>
          <w:sz w:val="24"/>
          <w:szCs w:val="24"/>
          <w:highlight w:val="none"/>
          <w:u w:val="single"/>
        </w:rPr>
        <w:t xml:space="preserve">         </w:t>
      </w:r>
    </w:p>
    <w:p w14:paraId="7B342F90">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Ｃ．成立或注册日期：</w:t>
      </w:r>
      <w:r>
        <w:rPr>
          <w:rFonts w:hint="eastAsia" w:ascii="宋体" w:hAnsi="宋体" w:cs="宋体"/>
          <w:color w:val="auto"/>
          <w:sz w:val="24"/>
          <w:szCs w:val="24"/>
          <w:highlight w:val="none"/>
          <w:u w:val="single"/>
        </w:rPr>
        <w:t xml:space="preserve">                      </w:t>
      </w:r>
    </w:p>
    <w:p w14:paraId="3F52CAC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Ｄ．法定代表人：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（姓名、职务）</w:t>
      </w:r>
    </w:p>
    <w:p w14:paraId="29B5AB32">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实收资本：</w:t>
      </w:r>
      <w:r>
        <w:rPr>
          <w:rFonts w:hint="eastAsia" w:ascii="宋体" w:hAnsi="宋体" w:cs="宋体"/>
          <w:color w:val="auto"/>
          <w:sz w:val="24"/>
          <w:szCs w:val="24"/>
          <w:highlight w:val="none"/>
          <w:u w:val="single"/>
        </w:rPr>
        <w:t xml:space="preserve">                    </w:t>
      </w:r>
    </w:p>
    <w:p w14:paraId="362F6C5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其中 国家资本：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法人资本：</w:t>
      </w:r>
      <w:r>
        <w:rPr>
          <w:rFonts w:hint="eastAsia" w:ascii="宋体" w:hAnsi="宋体" w:cs="宋体"/>
          <w:color w:val="auto"/>
          <w:sz w:val="24"/>
          <w:szCs w:val="24"/>
          <w:highlight w:val="none"/>
          <w:u w:val="single"/>
        </w:rPr>
        <w:t xml:space="preserve">           </w:t>
      </w:r>
    </w:p>
    <w:p w14:paraId="4F31CDB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个人资本：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外商资本：</w:t>
      </w:r>
      <w:r>
        <w:rPr>
          <w:rFonts w:hint="eastAsia" w:ascii="宋体" w:hAnsi="宋体" w:cs="宋体"/>
          <w:color w:val="auto"/>
          <w:sz w:val="24"/>
          <w:szCs w:val="24"/>
          <w:highlight w:val="none"/>
          <w:u w:val="single"/>
        </w:rPr>
        <w:t xml:space="preserve">           </w:t>
      </w:r>
    </w:p>
    <w:p w14:paraId="62163C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Ｅ．最近资产负债表（到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0B6744B2">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（1）固定资产合计：</w:t>
      </w:r>
      <w:r>
        <w:rPr>
          <w:rFonts w:hint="eastAsia" w:ascii="宋体" w:hAnsi="宋体" w:cs="宋体"/>
          <w:color w:val="auto"/>
          <w:sz w:val="24"/>
          <w:szCs w:val="24"/>
          <w:highlight w:val="none"/>
          <w:u w:val="single"/>
        </w:rPr>
        <w:t xml:space="preserve">                   </w:t>
      </w:r>
    </w:p>
    <w:p w14:paraId="66296A9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（2）流动资产合计：</w:t>
      </w:r>
      <w:r>
        <w:rPr>
          <w:rFonts w:hint="eastAsia" w:ascii="宋体" w:hAnsi="宋体" w:cs="宋体"/>
          <w:color w:val="auto"/>
          <w:sz w:val="24"/>
          <w:szCs w:val="24"/>
          <w:highlight w:val="none"/>
          <w:u w:val="single"/>
        </w:rPr>
        <w:t xml:space="preserve">                   </w:t>
      </w:r>
    </w:p>
    <w:p w14:paraId="3023922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（3）长期负债合计：</w:t>
      </w:r>
      <w:r>
        <w:rPr>
          <w:rFonts w:hint="eastAsia" w:ascii="宋体" w:hAnsi="宋体" w:cs="宋体"/>
          <w:color w:val="auto"/>
          <w:sz w:val="24"/>
          <w:szCs w:val="24"/>
          <w:highlight w:val="none"/>
          <w:u w:val="single"/>
        </w:rPr>
        <w:t xml:space="preserve">                   </w:t>
      </w:r>
    </w:p>
    <w:p w14:paraId="3A37BE3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（4）流动负债合计：</w:t>
      </w:r>
      <w:r>
        <w:rPr>
          <w:rFonts w:hint="eastAsia" w:ascii="宋体" w:hAnsi="宋体" w:cs="宋体"/>
          <w:color w:val="auto"/>
          <w:sz w:val="24"/>
          <w:szCs w:val="24"/>
          <w:highlight w:val="none"/>
          <w:u w:val="single"/>
        </w:rPr>
        <w:t xml:space="preserve">                   </w:t>
      </w:r>
    </w:p>
    <w:p w14:paraId="677B4B8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Ｆ．最近损益表（到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3E5D7C6A">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(1)本年（期）利润总额累计：</w:t>
      </w:r>
      <w:r>
        <w:rPr>
          <w:rFonts w:hint="eastAsia" w:ascii="宋体" w:hAnsi="宋体" w:cs="宋体"/>
          <w:color w:val="auto"/>
          <w:sz w:val="24"/>
          <w:szCs w:val="24"/>
          <w:highlight w:val="none"/>
          <w:u w:val="single"/>
        </w:rPr>
        <w:t xml:space="preserve">            </w:t>
      </w:r>
    </w:p>
    <w:p w14:paraId="29107E1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(2)本年（期）净利润累计： </w:t>
      </w:r>
      <w:r>
        <w:rPr>
          <w:rFonts w:hint="eastAsia" w:ascii="宋体" w:hAnsi="宋体" w:cs="宋体"/>
          <w:color w:val="auto"/>
          <w:sz w:val="24"/>
          <w:szCs w:val="24"/>
          <w:highlight w:val="none"/>
          <w:u w:val="single"/>
        </w:rPr>
        <w:t xml:space="preserve">             </w:t>
      </w:r>
    </w:p>
    <w:p w14:paraId="6A33AA4D">
      <w:pPr>
        <w:spacing w:line="360" w:lineRule="auto"/>
        <w:rPr>
          <w:rFonts w:ascii="宋体" w:hAnsi="宋体" w:cs="宋体"/>
          <w:color w:val="auto"/>
          <w:sz w:val="24"/>
          <w:szCs w:val="24"/>
          <w:highlight w:val="none"/>
        </w:rPr>
      </w:pPr>
    </w:p>
    <w:p w14:paraId="7B3CDE9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2．我方在此声明，我方具备并满足下列各项条款的规定。本声明如有虚假或不实之处，我方将失去合格投标人资格且我方的投标保证金将不予退还。</w:t>
      </w:r>
    </w:p>
    <w:p w14:paraId="7A02F7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（1）具有独立承担民事责任的能力； </w:t>
      </w:r>
    </w:p>
    <w:p w14:paraId="2C507A4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（2）具有良好的商业信誉和健全的财务会计制度； </w:t>
      </w:r>
    </w:p>
    <w:p w14:paraId="50C4A6E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（3）具有履行合同所必需的设备和专业技术能力； </w:t>
      </w:r>
    </w:p>
    <w:p w14:paraId="785595F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（4）有依法缴纳税收和社会保障资金的良好记录； </w:t>
      </w:r>
    </w:p>
    <w:p w14:paraId="3CBC199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（5）近三年内，在经营活动中没有重大违法记录。 </w:t>
      </w:r>
    </w:p>
    <w:p w14:paraId="49DFEAA5">
      <w:pPr>
        <w:spacing w:line="360" w:lineRule="auto"/>
        <w:rPr>
          <w:rFonts w:ascii="宋体" w:hAnsi="宋体" w:cs="宋体"/>
          <w:color w:val="auto"/>
          <w:sz w:val="24"/>
          <w:szCs w:val="24"/>
          <w:highlight w:val="none"/>
        </w:rPr>
      </w:pPr>
    </w:p>
    <w:p w14:paraId="753CF11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3．最近三年投标服务在国内主要用户的名称和地址：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2A6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74AB7D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14:paraId="73B88F2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销售服务名称、规格</w:t>
            </w:r>
          </w:p>
        </w:tc>
        <w:tc>
          <w:tcPr>
            <w:tcW w:w="1045" w:type="dxa"/>
            <w:tcBorders>
              <w:top w:val="single" w:color="auto" w:sz="4" w:space="0"/>
              <w:left w:val="single" w:color="auto" w:sz="4" w:space="0"/>
              <w:bottom w:val="single" w:color="auto" w:sz="4" w:space="0"/>
              <w:right w:val="single" w:color="auto" w:sz="4" w:space="0"/>
            </w:tcBorders>
          </w:tcPr>
          <w:p w14:paraId="130D9CA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14:paraId="730D4A1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tcPr>
          <w:p w14:paraId="62465F8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运行状况</w:t>
            </w:r>
          </w:p>
        </w:tc>
      </w:tr>
      <w:tr w14:paraId="41B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149273E0">
            <w:pPr>
              <w:spacing w:line="360" w:lineRule="auto"/>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1969C73F">
            <w:pPr>
              <w:spacing w:line="360" w:lineRule="auto"/>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38CEF0C">
            <w:pPr>
              <w:spacing w:line="360" w:lineRule="auto"/>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0CDE2E39">
            <w:pPr>
              <w:spacing w:line="360" w:lineRule="auto"/>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852D7A8">
            <w:pPr>
              <w:spacing w:line="360" w:lineRule="auto"/>
              <w:rPr>
                <w:rFonts w:ascii="宋体" w:hAnsi="宋体" w:cs="宋体"/>
                <w:color w:val="auto"/>
                <w:sz w:val="24"/>
                <w:szCs w:val="24"/>
                <w:highlight w:val="none"/>
              </w:rPr>
            </w:pPr>
          </w:p>
        </w:tc>
      </w:tr>
      <w:tr w14:paraId="7DED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4038D8DC">
            <w:pPr>
              <w:spacing w:line="360" w:lineRule="auto"/>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72D701AA">
            <w:pPr>
              <w:spacing w:line="360" w:lineRule="auto"/>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69ECC5CA">
            <w:pPr>
              <w:spacing w:line="360" w:lineRule="auto"/>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5DAB8D9F">
            <w:pPr>
              <w:spacing w:line="360" w:lineRule="auto"/>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1E76451">
            <w:pPr>
              <w:spacing w:line="360" w:lineRule="auto"/>
              <w:rPr>
                <w:rFonts w:ascii="宋体" w:hAnsi="宋体" w:cs="宋体"/>
                <w:color w:val="auto"/>
                <w:sz w:val="24"/>
                <w:szCs w:val="24"/>
                <w:highlight w:val="none"/>
              </w:rPr>
            </w:pPr>
          </w:p>
        </w:tc>
      </w:tr>
      <w:tr w14:paraId="180D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5A4D467">
            <w:pPr>
              <w:spacing w:line="360" w:lineRule="auto"/>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1C20EA24">
            <w:pPr>
              <w:spacing w:line="360" w:lineRule="auto"/>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373D767B">
            <w:pPr>
              <w:spacing w:line="360" w:lineRule="auto"/>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447DA389">
            <w:pPr>
              <w:spacing w:line="360" w:lineRule="auto"/>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0C0DB80">
            <w:pPr>
              <w:spacing w:line="360" w:lineRule="auto"/>
              <w:rPr>
                <w:rFonts w:ascii="宋体" w:hAnsi="宋体" w:cs="宋体"/>
                <w:color w:val="auto"/>
                <w:sz w:val="24"/>
                <w:szCs w:val="24"/>
                <w:highlight w:val="none"/>
              </w:rPr>
            </w:pPr>
          </w:p>
        </w:tc>
      </w:tr>
      <w:tr w14:paraId="4904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5305F56">
            <w:pPr>
              <w:spacing w:line="360" w:lineRule="auto"/>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0F92C07B">
            <w:pPr>
              <w:spacing w:line="360" w:lineRule="auto"/>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639233A2">
            <w:pPr>
              <w:spacing w:line="360" w:lineRule="auto"/>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3BE62B8D">
            <w:pPr>
              <w:spacing w:line="360" w:lineRule="auto"/>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4EC4FD80">
            <w:pPr>
              <w:spacing w:line="360" w:lineRule="auto"/>
              <w:rPr>
                <w:rFonts w:ascii="宋体" w:hAnsi="宋体" w:cs="宋体"/>
                <w:color w:val="auto"/>
                <w:sz w:val="24"/>
                <w:szCs w:val="24"/>
                <w:highlight w:val="none"/>
              </w:rPr>
            </w:pPr>
          </w:p>
        </w:tc>
      </w:tr>
      <w:tr w14:paraId="041F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90A64DC">
            <w:pPr>
              <w:spacing w:line="360" w:lineRule="auto"/>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4A0A4E36">
            <w:pPr>
              <w:spacing w:line="360" w:lineRule="auto"/>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64CAE13C">
            <w:pPr>
              <w:spacing w:line="360" w:lineRule="auto"/>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63933F80">
            <w:pPr>
              <w:spacing w:line="360" w:lineRule="auto"/>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72C3833">
            <w:pPr>
              <w:spacing w:line="360" w:lineRule="auto"/>
              <w:rPr>
                <w:rFonts w:ascii="宋体" w:hAnsi="宋体" w:cs="宋体"/>
                <w:color w:val="auto"/>
                <w:sz w:val="24"/>
                <w:szCs w:val="24"/>
                <w:highlight w:val="none"/>
              </w:rPr>
            </w:pPr>
          </w:p>
        </w:tc>
      </w:tr>
      <w:tr w14:paraId="18B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69AB7351">
            <w:pPr>
              <w:spacing w:line="360" w:lineRule="auto"/>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0CE8A5D8">
            <w:pPr>
              <w:spacing w:line="360" w:lineRule="auto"/>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43139A9">
            <w:pPr>
              <w:spacing w:line="360" w:lineRule="auto"/>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6FA51928">
            <w:pPr>
              <w:spacing w:line="360" w:lineRule="auto"/>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26638185">
            <w:pPr>
              <w:spacing w:line="360" w:lineRule="auto"/>
              <w:rPr>
                <w:rFonts w:ascii="宋体" w:hAnsi="宋体" w:cs="宋体"/>
                <w:color w:val="auto"/>
                <w:sz w:val="24"/>
                <w:szCs w:val="24"/>
                <w:highlight w:val="none"/>
              </w:rPr>
            </w:pPr>
          </w:p>
        </w:tc>
      </w:tr>
    </w:tbl>
    <w:p w14:paraId="1680903B">
      <w:pPr>
        <w:spacing w:line="360" w:lineRule="auto"/>
        <w:rPr>
          <w:rFonts w:ascii="宋体" w:hAnsi="宋体" w:cs="宋体"/>
          <w:color w:val="auto"/>
          <w:sz w:val="24"/>
          <w:szCs w:val="24"/>
          <w:highlight w:val="none"/>
        </w:rPr>
      </w:pPr>
    </w:p>
    <w:p w14:paraId="2E4FE7E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 单位营业执照、税务登记证见附件。</w:t>
      </w:r>
    </w:p>
    <w:p w14:paraId="674BCC1D">
      <w:pPr>
        <w:spacing w:line="360" w:lineRule="auto"/>
        <w:rPr>
          <w:rFonts w:ascii="宋体" w:hAnsi="宋体" w:cs="宋体"/>
          <w:color w:val="auto"/>
          <w:sz w:val="24"/>
          <w:szCs w:val="24"/>
          <w:highlight w:val="none"/>
        </w:rPr>
      </w:pPr>
    </w:p>
    <w:p w14:paraId="5711AF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就我方全部所知，兹证明上述声明是真实、正确的，并已提供了全部现有资料和数据，我方同意根据贵方要求出示文件予以证实。</w:t>
      </w:r>
    </w:p>
    <w:p w14:paraId="03A47610">
      <w:pPr>
        <w:spacing w:line="360" w:lineRule="auto"/>
        <w:rPr>
          <w:rFonts w:ascii="宋体" w:hAnsi="宋体" w:cs="宋体"/>
          <w:color w:val="auto"/>
          <w:sz w:val="24"/>
          <w:szCs w:val="24"/>
          <w:highlight w:val="none"/>
        </w:rPr>
      </w:pPr>
    </w:p>
    <w:p w14:paraId="7B9F150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投标人（全称并加盖公章）：</w:t>
      </w:r>
      <w:r>
        <w:rPr>
          <w:rFonts w:hint="eastAsia" w:ascii="宋体" w:hAnsi="宋体" w:cs="宋体"/>
          <w:color w:val="auto"/>
          <w:sz w:val="24"/>
          <w:szCs w:val="24"/>
          <w:highlight w:val="none"/>
          <w:u w:val="single"/>
        </w:rPr>
        <w:t xml:space="preserve">                   </w:t>
      </w:r>
    </w:p>
    <w:p w14:paraId="12B27425">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投标人代表签字：</w:t>
      </w:r>
      <w:r>
        <w:rPr>
          <w:rFonts w:hint="eastAsia" w:ascii="宋体" w:hAnsi="宋体" w:cs="宋体"/>
          <w:color w:val="auto"/>
          <w:sz w:val="24"/>
          <w:szCs w:val="24"/>
          <w:highlight w:val="none"/>
          <w:u w:val="single"/>
        </w:rPr>
        <w:t xml:space="preserve">                            </w:t>
      </w:r>
    </w:p>
    <w:p w14:paraId="317CF5E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653F86D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p>
    <w:p w14:paraId="4E18FEB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6317013C">
      <w:pPr>
        <w:spacing w:line="360" w:lineRule="auto"/>
        <w:rPr>
          <w:rFonts w:ascii="宋体" w:hAnsi="宋体" w:cs="宋体"/>
          <w:color w:val="auto"/>
          <w:sz w:val="24"/>
          <w:szCs w:val="24"/>
          <w:highlight w:val="none"/>
        </w:rPr>
      </w:pPr>
    </w:p>
    <w:p w14:paraId="25C600AB">
      <w:pPr>
        <w:spacing w:line="360" w:lineRule="auto"/>
        <w:rPr>
          <w:rFonts w:ascii="宋体" w:hAnsi="宋体" w:cs="宋体"/>
          <w:color w:val="auto"/>
          <w:sz w:val="24"/>
          <w:szCs w:val="24"/>
          <w:highlight w:val="none"/>
        </w:rPr>
      </w:pPr>
    </w:p>
    <w:p w14:paraId="56E28E31">
      <w:pPr>
        <w:pStyle w:val="49"/>
        <w:spacing w:line="360" w:lineRule="auto"/>
        <w:outlineLvl w:val="9"/>
        <w:rPr>
          <w:rFonts w:hAnsi="宋体" w:cs="宋体"/>
          <w:color w:val="auto"/>
          <w:sz w:val="24"/>
          <w:szCs w:val="24"/>
          <w:highlight w:val="none"/>
        </w:rPr>
      </w:pPr>
    </w:p>
    <w:p w14:paraId="08247CC7">
      <w:pPr>
        <w:pStyle w:val="49"/>
        <w:spacing w:line="360" w:lineRule="auto"/>
        <w:outlineLvl w:val="9"/>
        <w:rPr>
          <w:rFonts w:hAnsi="宋体" w:cs="宋体"/>
          <w:color w:val="auto"/>
          <w:sz w:val="24"/>
          <w:szCs w:val="24"/>
          <w:highlight w:val="none"/>
        </w:rPr>
      </w:pPr>
    </w:p>
    <w:p w14:paraId="1C834656">
      <w:pPr>
        <w:pStyle w:val="49"/>
        <w:spacing w:line="360" w:lineRule="auto"/>
        <w:outlineLvl w:val="9"/>
        <w:rPr>
          <w:rFonts w:hAnsi="宋体" w:cs="宋体"/>
          <w:color w:val="auto"/>
          <w:sz w:val="24"/>
          <w:szCs w:val="24"/>
          <w:highlight w:val="none"/>
        </w:rPr>
      </w:pPr>
    </w:p>
    <w:p w14:paraId="15EEB06C">
      <w:pPr>
        <w:pStyle w:val="49"/>
        <w:spacing w:line="360" w:lineRule="auto"/>
        <w:outlineLvl w:val="9"/>
        <w:rPr>
          <w:rFonts w:hAnsi="宋体" w:cs="宋体"/>
          <w:color w:val="auto"/>
          <w:sz w:val="24"/>
          <w:szCs w:val="24"/>
          <w:highlight w:val="none"/>
        </w:rPr>
      </w:pPr>
    </w:p>
    <w:p w14:paraId="3AD77C6B">
      <w:pPr>
        <w:pStyle w:val="49"/>
        <w:spacing w:line="360" w:lineRule="auto"/>
        <w:outlineLvl w:val="9"/>
        <w:rPr>
          <w:rFonts w:hAnsi="宋体" w:cs="宋体"/>
          <w:color w:val="auto"/>
          <w:sz w:val="24"/>
          <w:szCs w:val="24"/>
          <w:highlight w:val="none"/>
        </w:rPr>
      </w:pPr>
    </w:p>
    <w:p w14:paraId="530F923F">
      <w:pPr>
        <w:pStyle w:val="49"/>
        <w:spacing w:line="360" w:lineRule="auto"/>
        <w:outlineLvl w:val="9"/>
        <w:rPr>
          <w:rFonts w:hAnsi="宋体" w:cs="宋体"/>
          <w:color w:val="auto"/>
          <w:sz w:val="24"/>
          <w:szCs w:val="24"/>
          <w:highlight w:val="none"/>
        </w:rPr>
      </w:pPr>
    </w:p>
    <w:p w14:paraId="62BF060A">
      <w:pPr>
        <w:pStyle w:val="49"/>
        <w:spacing w:line="360" w:lineRule="auto"/>
        <w:jc w:val="center"/>
        <w:outlineLvl w:val="9"/>
        <w:rPr>
          <w:rFonts w:hAnsi="宋体" w:cs="宋体"/>
          <w:color w:val="auto"/>
          <w:sz w:val="24"/>
          <w:szCs w:val="24"/>
          <w:highlight w:val="none"/>
        </w:rPr>
      </w:pPr>
      <w:r>
        <w:rPr>
          <w:rFonts w:hint="eastAsia" w:hAnsi="宋体" w:cs="宋体"/>
          <w:color w:val="auto"/>
          <w:sz w:val="24"/>
          <w:szCs w:val="24"/>
          <w:highlight w:val="none"/>
        </w:rPr>
        <w:br w:type="page"/>
      </w:r>
      <w:bookmarkStart w:id="198" w:name="_Toc12018"/>
      <w:bookmarkStart w:id="199" w:name="_Toc23219"/>
      <w:bookmarkStart w:id="200" w:name="_Toc163"/>
      <w:bookmarkStart w:id="201" w:name="_Toc30246"/>
      <w:bookmarkStart w:id="202" w:name="_Toc21384"/>
      <w:bookmarkStart w:id="203" w:name="_Toc12557"/>
      <w:bookmarkStart w:id="204" w:name="_Toc25833"/>
      <w:bookmarkStart w:id="205" w:name="_Toc11465"/>
      <w:bookmarkStart w:id="206" w:name="_Toc22151"/>
      <w:r>
        <w:rPr>
          <w:rFonts w:hint="eastAsia" w:hAnsi="宋体" w:cs="宋体"/>
          <w:b/>
          <w:color w:val="auto"/>
          <w:sz w:val="32"/>
          <w:szCs w:val="32"/>
          <w:highlight w:val="none"/>
        </w:rPr>
        <w:t>单位授权书</w:t>
      </w:r>
      <w:bookmarkEnd w:id="198"/>
      <w:bookmarkEnd w:id="199"/>
      <w:bookmarkEnd w:id="200"/>
      <w:bookmarkEnd w:id="201"/>
      <w:bookmarkEnd w:id="202"/>
      <w:bookmarkEnd w:id="203"/>
      <w:bookmarkEnd w:id="204"/>
      <w:bookmarkEnd w:id="205"/>
      <w:bookmarkEnd w:id="206"/>
    </w:p>
    <w:p w14:paraId="1A425C8D">
      <w:pPr>
        <w:pStyle w:val="49"/>
        <w:spacing w:line="360" w:lineRule="auto"/>
        <w:jc w:val="center"/>
        <w:outlineLvl w:val="9"/>
        <w:rPr>
          <w:rFonts w:hAnsi="宋体" w:cs="宋体"/>
          <w:color w:val="auto"/>
          <w:sz w:val="24"/>
          <w:szCs w:val="24"/>
          <w:highlight w:val="none"/>
        </w:rPr>
      </w:pPr>
    </w:p>
    <w:p w14:paraId="54480A4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（招标代理机构）   </w:t>
      </w:r>
      <w:r>
        <w:rPr>
          <w:rFonts w:hint="eastAsia" w:ascii="宋体" w:hAnsi="宋体" w:cs="宋体"/>
          <w:color w:val="auto"/>
          <w:sz w:val="24"/>
          <w:szCs w:val="24"/>
          <w:highlight w:val="none"/>
        </w:rPr>
        <w:t>：</w:t>
      </w:r>
    </w:p>
    <w:p w14:paraId="7FD117FE">
      <w:pPr>
        <w:pStyle w:val="10"/>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u w:val="single"/>
        </w:rPr>
        <w:t>（投标人全称）</w:t>
      </w:r>
      <w:r>
        <w:rPr>
          <w:rFonts w:hint="eastAsia" w:hAnsi="宋体" w:cs="宋体"/>
          <w:color w:val="auto"/>
          <w:sz w:val="24"/>
          <w:szCs w:val="24"/>
          <w:highlight w:val="none"/>
        </w:rPr>
        <w:t>授权</w:t>
      </w:r>
      <w:r>
        <w:rPr>
          <w:rFonts w:hint="eastAsia" w:hAnsi="宋体" w:cs="宋体"/>
          <w:color w:val="auto"/>
          <w:sz w:val="24"/>
          <w:szCs w:val="24"/>
          <w:highlight w:val="none"/>
          <w:u w:val="single"/>
        </w:rPr>
        <w:t xml:space="preserve">  （投标人代表姓名）</w:t>
      </w:r>
      <w:r>
        <w:rPr>
          <w:rFonts w:hint="eastAsia" w:hAnsi="宋体" w:cs="宋体"/>
          <w:color w:val="auto"/>
          <w:sz w:val="24"/>
          <w:szCs w:val="24"/>
          <w:highlight w:val="none"/>
        </w:rPr>
        <w:t>为投标人代表，代表本公司参加贵司组织的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项目（招标编号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23F76E9">
      <w:pPr>
        <w:pStyle w:val="10"/>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本授权书自出具之日起生效。</w:t>
      </w:r>
    </w:p>
    <w:p w14:paraId="7BC8D12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p>
    <w:p w14:paraId="33BC7A4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部门：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76058A1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详细通讯地址：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14:paraId="1758606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附：被授权人身份证件</w:t>
      </w:r>
    </w:p>
    <w:p w14:paraId="646CD822">
      <w:pPr>
        <w:spacing w:line="360" w:lineRule="auto"/>
        <w:ind w:firstLine="4080" w:firstLineChars="1700"/>
        <w:rPr>
          <w:rFonts w:ascii="宋体" w:hAnsi="宋体" w:cs="宋体"/>
          <w:color w:val="auto"/>
          <w:sz w:val="24"/>
          <w:szCs w:val="24"/>
          <w:highlight w:val="none"/>
        </w:rPr>
      </w:pPr>
      <w:r>
        <w:rPr>
          <w:rFonts w:hint="eastAsia" w:ascii="宋体" w:hAnsi="宋体" w:cs="宋体"/>
          <w:color w:val="auto"/>
          <w:sz w:val="24"/>
          <w:szCs w:val="24"/>
          <w:highlight w:val="none"/>
        </w:rPr>
        <w:t>授权方</w:t>
      </w:r>
    </w:p>
    <w:p w14:paraId="322A0282">
      <w:pPr>
        <w:spacing w:line="360" w:lineRule="auto"/>
        <w:rPr>
          <w:rFonts w:ascii="宋体" w:hAnsi="宋体" w:cs="宋体"/>
          <w:color w:val="auto"/>
          <w:sz w:val="24"/>
          <w:szCs w:val="24"/>
          <w:highlight w:val="none"/>
        </w:rPr>
      </w:pPr>
    </w:p>
    <w:p w14:paraId="17034435">
      <w:pPr>
        <w:spacing w:line="360" w:lineRule="auto"/>
        <w:ind w:left="4670" w:leftChars="1938" w:hanging="600" w:hangingChars="250"/>
        <w:rPr>
          <w:rFonts w:ascii="宋体" w:hAnsi="宋体" w:cs="宋体"/>
          <w:color w:val="auto"/>
          <w:sz w:val="24"/>
          <w:szCs w:val="24"/>
          <w:highlight w:val="none"/>
        </w:rPr>
      </w:pPr>
      <w:r>
        <w:rPr>
          <w:rFonts w:hint="eastAsia" w:ascii="宋体" w:hAnsi="宋体" w:cs="宋体"/>
          <w:color w:val="auto"/>
          <w:sz w:val="24"/>
          <w:szCs w:val="24"/>
          <w:highlight w:val="none"/>
        </w:rPr>
        <w:t>投标人（全称并加盖公章）：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7EF8388E">
      <w:pPr>
        <w:spacing w:line="360" w:lineRule="auto"/>
        <w:rPr>
          <w:rFonts w:ascii="宋体" w:hAnsi="宋体" w:cs="宋体"/>
          <w:color w:val="auto"/>
          <w:sz w:val="24"/>
          <w:szCs w:val="24"/>
          <w:highlight w:val="none"/>
        </w:rPr>
      </w:pPr>
    </w:p>
    <w:p w14:paraId="0F8A3565">
      <w:pPr>
        <w:spacing w:line="360" w:lineRule="auto"/>
        <w:ind w:firstLine="4080" w:firstLineChars="1700"/>
        <w:rPr>
          <w:rFonts w:ascii="宋体" w:hAnsi="宋体" w:cs="宋体"/>
          <w:color w:val="auto"/>
          <w:sz w:val="24"/>
          <w:szCs w:val="24"/>
          <w:highlight w:val="none"/>
        </w:rPr>
      </w:pPr>
      <w:r>
        <w:rPr>
          <w:rFonts w:hint="eastAsia" w:ascii="宋体" w:hAnsi="宋体" w:cs="宋体"/>
          <w:color w:val="auto"/>
          <w:sz w:val="24"/>
          <w:szCs w:val="24"/>
          <w:highlight w:val="none"/>
        </w:rPr>
        <w:t>接受授权方</w:t>
      </w:r>
    </w:p>
    <w:p w14:paraId="7F3E1932">
      <w:pPr>
        <w:spacing w:line="360" w:lineRule="auto"/>
        <w:ind w:firstLine="4320" w:firstLineChars="1800"/>
        <w:rPr>
          <w:rFonts w:ascii="宋体" w:hAnsi="宋体" w:cs="宋体"/>
          <w:color w:val="auto"/>
          <w:sz w:val="24"/>
          <w:szCs w:val="24"/>
          <w:highlight w:val="none"/>
        </w:rPr>
      </w:pPr>
      <w:r>
        <w:rPr>
          <w:rFonts w:hint="eastAsia" w:ascii="宋体" w:hAnsi="宋体" w:cs="宋体"/>
          <w:color w:val="auto"/>
          <w:sz w:val="24"/>
          <w:szCs w:val="24"/>
          <w:highlight w:val="none"/>
        </w:rPr>
        <w:t>投标人代表签字：</w:t>
      </w:r>
      <w:r>
        <w:rPr>
          <w:rFonts w:hint="eastAsia" w:ascii="宋体" w:hAnsi="宋体" w:cs="宋体"/>
          <w:color w:val="auto"/>
          <w:sz w:val="24"/>
          <w:szCs w:val="24"/>
          <w:highlight w:val="none"/>
          <w:u w:val="single"/>
        </w:rPr>
        <w:t xml:space="preserve">                </w:t>
      </w:r>
    </w:p>
    <w:p w14:paraId="4EA8BDFC">
      <w:pPr>
        <w:spacing w:line="360" w:lineRule="auto"/>
        <w:rPr>
          <w:rFonts w:ascii="宋体" w:hAnsi="宋体" w:cs="宋体"/>
          <w:color w:val="auto"/>
          <w:sz w:val="24"/>
          <w:szCs w:val="24"/>
          <w:highlight w:val="none"/>
        </w:rPr>
      </w:pPr>
    </w:p>
    <w:p w14:paraId="0BF8D0CB">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271DB917">
      <w:pPr>
        <w:pStyle w:val="49"/>
        <w:spacing w:line="360" w:lineRule="auto"/>
        <w:jc w:val="center"/>
        <w:outlineLvl w:val="9"/>
        <w:rPr>
          <w:rFonts w:hAnsi="宋体" w:cs="宋体"/>
          <w:color w:val="auto"/>
          <w:sz w:val="24"/>
          <w:szCs w:val="24"/>
          <w:highlight w:val="none"/>
        </w:rPr>
      </w:pPr>
      <w:r>
        <w:rPr>
          <w:rFonts w:hint="eastAsia" w:hAnsi="宋体" w:cs="宋体"/>
          <w:color w:val="auto"/>
          <w:sz w:val="24"/>
          <w:szCs w:val="24"/>
          <w:highlight w:val="none"/>
        </w:rPr>
        <w:br w:type="page"/>
      </w:r>
      <w:bookmarkStart w:id="207" w:name="_Toc30456"/>
      <w:bookmarkStart w:id="208" w:name="_Toc4659"/>
      <w:bookmarkStart w:id="209" w:name="_Toc26726"/>
      <w:bookmarkStart w:id="210" w:name="_Toc13342"/>
      <w:bookmarkStart w:id="211" w:name="_Toc14144"/>
      <w:bookmarkStart w:id="212" w:name="_Toc3897"/>
      <w:bookmarkStart w:id="213" w:name="_Toc27497"/>
      <w:bookmarkStart w:id="214" w:name="_Toc14637"/>
      <w:bookmarkStart w:id="215" w:name="_Toc5633"/>
      <w:r>
        <w:rPr>
          <w:rFonts w:hint="eastAsia" w:hAnsi="宋体" w:cs="宋体"/>
          <w:b/>
          <w:color w:val="auto"/>
          <w:sz w:val="32"/>
          <w:szCs w:val="32"/>
          <w:highlight w:val="none"/>
        </w:rPr>
        <w:t>单位营业执照、税务登记证</w:t>
      </w:r>
      <w:bookmarkEnd w:id="207"/>
      <w:bookmarkEnd w:id="208"/>
      <w:bookmarkEnd w:id="209"/>
      <w:bookmarkEnd w:id="210"/>
      <w:bookmarkEnd w:id="211"/>
      <w:bookmarkEnd w:id="212"/>
      <w:bookmarkEnd w:id="213"/>
      <w:bookmarkEnd w:id="214"/>
      <w:bookmarkEnd w:id="215"/>
    </w:p>
    <w:p w14:paraId="5021845D">
      <w:pPr>
        <w:spacing w:line="360" w:lineRule="auto"/>
        <w:rPr>
          <w:rFonts w:ascii="宋体" w:hAnsi="宋体" w:cs="宋体"/>
          <w:color w:val="auto"/>
          <w:sz w:val="24"/>
          <w:szCs w:val="24"/>
          <w:highlight w:val="none"/>
        </w:rPr>
      </w:pPr>
    </w:p>
    <w:p w14:paraId="0D20A975">
      <w:pPr>
        <w:spacing w:line="360" w:lineRule="auto"/>
        <w:rPr>
          <w:rFonts w:ascii="宋体" w:hAnsi="宋体" w:cs="宋体"/>
          <w:color w:val="auto"/>
          <w:sz w:val="24"/>
          <w:szCs w:val="24"/>
          <w:highlight w:val="none"/>
        </w:rPr>
      </w:pPr>
    </w:p>
    <w:p w14:paraId="1D6E99ED">
      <w:pPr>
        <w:spacing w:line="360" w:lineRule="auto"/>
        <w:rPr>
          <w:rFonts w:ascii="宋体" w:hAnsi="宋体" w:cs="宋体"/>
          <w:color w:val="auto"/>
          <w:sz w:val="24"/>
          <w:szCs w:val="24"/>
          <w:highlight w:val="none"/>
        </w:rPr>
      </w:pPr>
    </w:p>
    <w:p w14:paraId="3F93153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B28EC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（签发机关名称）签发的我方单位营业执照副本复印件，该执照真实有效。</w:t>
      </w:r>
    </w:p>
    <w:p w14:paraId="139736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（签发机关名称）签发的我方税务登记证副本复印件，该证件已经年检，真实有效。</w:t>
      </w:r>
    </w:p>
    <w:p w14:paraId="441B48AA">
      <w:pPr>
        <w:spacing w:line="360" w:lineRule="auto"/>
        <w:rPr>
          <w:rFonts w:ascii="宋体" w:hAnsi="宋体" w:cs="宋体"/>
          <w:color w:val="auto"/>
          <w:sz w:val="24"/>
          <w:szCs w:val="24"/>
          <w:highlight w:val="none"/>
        </w:rPr>
      </w:pPr>
    </w:p>
    <w:p w14:paraId="76EEE4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（注：单位营业执照、税务登记证提供复印件，由企业加盖公章并注明复印件与原件一致。）</w:t>
      </w:r>
    </w:p>
    <w:p w14:paraId="12CF10B4">
      <w:pPr>
        <w:spacing w:line="360" w:lineRule="auto"/>
        <w:rPr>
          <w:rFonts w:ascii="宋体" w:hAnsi="宋体" w:cs="宋体"/>
          <w:color w:val="auto"/>
          <w:sz w:val="24"/>
          <w:szCs w:val="24"/>
          <w:highlight w:val="none"/>
        </w:rPr>
      </w:pPr>
    </w:p>
    <w:p w14:paraId="5295FE49">
      <w:pPr>
        <w:spacing w:line="360" w:lineRule="auto"/>
        <w:rPr>
          <w:rFonts w:ascii="宋体" w:hAnsi="宋体" w:cs="宋体"/>
          <w:color w:val="auto"/>
          <w:sz w:val="24"/>
          <w:szCs w:val="24"/>
          <w:highlight w:val="none"/>
        </w:rPr>
      </w:pPr>
    </w:p>
    <w:p w14:paraId="2EC800CC">
      <w:pPr>
        <w:spacing w:line="360" w:lineRule="auto"/>
        <w:rPr>
          <w:rFonts w:ascii="宋体" w:hAnsi="宋体" w:cs="宋体"/>
          <w:color w:val="auto"/>
          <w:sz w:val="24"/>
          <w:szCs w:val="24"/>
          <w:highlight w:val="none"/>
        </w:rPr>
      </w:pPr>
    </w:p>
    <w:p w14:paraId="3C00234C">
      <w:pPr>
        <w:spacing w:line="360" w:lineRule="auto"/>
        <w:rPr>
          <w:rFonts w:ascii="宋体" w:hAnsi="宋体" w:cs="宋体"/>
          <w:color w:val="auto"/>
          <w:sz w:val="24"/>
          <w:szCs w:val="24"/>
          <w:highlight w:val="none"/>
        </w:rPr>
      </w:pPr>
    </w:p>
    <w:p w14:paraId="6BCF077C">
      <w:pPr>
        <w:spacing w:line="360" w:lineRule="auto"/>
        <w:rPr>
          <w:rFonts w:ascii="宋体" w:hAnsi="宋体" w:cs="宋体"/>
          <w:color w:val="auto"/>
          <w:sz w:val="24"/>
          <w:szCs w:val="24"/>
          <w:highlight w:val="none"/>
        </w:rPr>
      </w:pPr>
    </w:p>
    <w:p w14:paraId="422C4CB7">
      <w:pPr>
        <w:spacing w:line="360" w:lineRule="auto"/>
        <w:rPr>
          <w:rFonts w:ascii="宋体" w:hAnsi="宋体" w:cs="宋体"/>
          <w:color w:val="auto"/>
          <w:sz w:val="24"/>
          <w:szCs w:val="24"/>
          <w:highlight w:val="none"/>
        </w:rPr>
      </w:pPr>
    </w:p>
    <w:p w14:paraId="610EFA41">
      <w:pPr>
        <w:spacing w:line="360" w:lineRule="auto"/>
        <w:rPr>
          <w:rFonts w:ascii="宋体" w:hAnsi="宋体" w:cs="宋体"/>
          <w:color w:val="auto"/>
          <w:sz w:val="24"/>
          <w:szCs w:val="24"/>
          <w:highlight w:val="none"/>
        </w:rPr>
      </w:pPr>
    </w:p>
    <w:p w14:paraId="6E3D9B1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投 标 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558AF8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投标人代表签字：</w:t>
      </w:r>
      <w:r>
        <w:rPr>
          <w:rFonts w:hint="eastAsia" w:ascii="宋体" w:hAnsi="宋体" w:cs="宋体"/>
          <w:color w:val="auto"/>
          <w:sz w:val="24"/>
          <w:szCs w:val="24"/>
          <w:highlight w:val="none"/>
          <w:u w:val="single"/>
        </w:rPr>
        <w:t xml:space="preserve">                         </w:t>
      </w:r>
    </w:p>
    <w:p w14:paraId="67D9744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0387F08A">
      <w:pPr>
        <w:spacing w:line="360" w:lineRule="auto"/>
        <w:rPr>
          <w:rFonts w:ascii="宋体" w:hAnsi="宋体" w:cs="宋体"/>
          <w:color w:val="auto"/>
          <w:sz w:val="24"/>
          <w:szCs w:val="24"/>
          <w:highlight w:val="none"/>
        </w:rPr>
      </w:pPr>
    </w:p>
    <w:p w14:paraId="0697A391">
      <w:pPr>
        <w:spacing w:line="360" w:lineRule="auto"/>
        <w:rPr>
          <w:rFonts w:ascii="宋体" w:hAnsi="宋体" w:cs="宋体"/>
          <w:color w:val="auto"/>
          <w:sz w:val="24"/>
          <w:szCs w:val="24"/>
          <w:highlight w:val="none"/>
        </w:rPr>
      </w:pPr>
    </w:p>
    <w:p w14:paraId="173B0D6A">
      <w:pPr>
        <w:spacing w:line="360" w:lineRule="auto"/>
        <w:rPr>
          <w:rFonts w:ascii="宋体" w:hAnsi="宋体" w:cs="宋体"/>
          <w:color w:val="auto"/>
          <w:sz w:val="24"/>
          <w:szCs w:val="24"/>
          <w:highlight w:val="none"/>
        </w:rPr>
      </w:pPr>
    </w:p>
    <w:p w14:paraId="58FACC07">
      <w:pPr>
        <w:rPr>
          <w:color w:val="auto"/>
          <w:highlight w:val="none"/>
        </w:rPr>
      </w:pPr>
      <w:r>
        <w:rPr>
          <w:rFonts w:hint="eastAsia" w:ascii="宋体" w:hAnsi="宋体" w:cs="宋体"/>
          <w:color w:val="auto"/>
          <w:sz w:val="24"/>
          <w:szCs w:val="24"/>
          <w:highlight w:val="none"/>
        </w:rPr>
        <w:br w:type="page"/>
      </w:r>
    </w:p>
    <w:p w14:paraId="6DA5B9F0">
      <w:pPr>
        <w:spacing w:line="360" w:lineRule="auto"/>
        <w:jc w:val="center"/>
        <w:rPr>
          <w:rFonts w:ascii="宋体" w:hAnsi="宋体" w:cs="宋体"/>
          <w:b/>
          <w:bCs/>
          <w:color w:val="auto"/>
          <w:sz w:val="32"/>
          <w:szCs w:val="32"/>
          <w:highlight w:val="none"/>
        </w:rPr>
        <w:sectPr>
          <w:pgSz w:w="11906" w:h="16838"/>
          <w:pgMar w:top="1440" w:right="1800" w:bottom="1440" w:left="1800" w:header="851" w:footer="992" w:gutter="0"/>
          <w:cols w:space="720" w:num="1"/>
          <w:docGrid w:type="lines" w:linePitch="312" w:charSpace="0"/>
        </w:sectPr>
      </w:pPr>
    </w:p>
    <w:p w14:paraId="70C74457">
      <w:pPr>
        <w:spacing w:line="360" w:lineRule="auto"/>
        <w:jc w:val="center"/>
        <w:outlineLvl w:val="1"/>
        <w:rPr>
          <w:rFonts w:ascii="宋体" w:hAnsi="宋体" w:cs="宋体"/>
          <w:b/>
          <w:bCs/>
          <w:color w:val="auto"/>
          <w:sz w:val="32"/>
          <w:szCs w:val="32"/>
          <w:highlight w:val="none"/>
        </w:rPr>
        <w:sectPr>
          <w:pgSz w:w="11906" w:h="16838"/>
          <w:pgMar w:top="1440" w:right="1800" w:bottom="1440" w:left="1800" w:header="851" w:footer="992" w:gutter="0"/>
          <w:cols w:space="720" w:num="1"/>
          <w:docGrid w:type="lines" w:linePitch="312" w:charSpace="0"/>
        </w:sectPr>
      </w:pPr>
      <w:bookmarkStart w:id="216" w:name="_Toc18379"/>
      <w:bookmarkStart w:id="217" w:name="_Toc665"/>
      <w:r>
        <w:rPr>
          <w:rFonts w:hint="eastAsia" w:ascii="宋体" w:hAnsi="宋体" w:cs="宋体"/>
          <w:b/>
          <w:bCs/>
          <w:color w:val="auto"/>
          <w:sz w:val="32"/>
          <w:szCs w:val="32"/>
          <w:highlight w:val="none"/>
        </w:rPr>
        <w:t>八、</w:t>
      </w:r>
      <w:bookmarkEnd w:id="216"/>
      <w:r>
        <w:rPr>
          <w:rFonts w:hint="eastAsia" w:ascii="宋体" w:hAnsi="宋体" w:cs="宋体"/>
          <w:b/>
          <w:bCs/>
          <w:color w:val="auto"/>
          <w:sz w:val="32"/>
          <w:szCs w:val="32"/>
          <w:highlight w:val="none"/>
        </w:rPr>
        <w:t>售后服务承诺</w:t>
      </w:r>
      <w:bookmarkEnd w:id="217"/>
    </w:p>
    <w:p w14:paraId="0B25A3D7">
      <w:pPr>
        <w:spacing w:line="360" w:lineRule="auto"/>
        <w:jc w:val="center"/>
        <w:outlineLvl w:val="1"/>
        <w:rPr>
          <w:rFonts w:ascii="宋体" w:hAnsi="宋体" w:cs="宋体"/>
          <w:color w:val="auto"/>
          <w:sz w:val="24"/>
          <w:szCs w:val="24"/>
          <w:highlight w:val="none"/>
        </w:rPr>
      </w:pPr>
      <w:bookmarkStart w:id="218" w:name="_Toc3480"/>
      <w:bookmarkStart w:id="219" w:name="_Toc15220"/>
      <w:r>
        <w:rPr>
          <w:rFonts w:hint="eastAsia" w:ascii="宋体" w:hAnsi="宋体" w:cs="宋体"/>
          <w:b/>
          <w:bCs/>
          <w:color w:val="auto"/>
          <w:sz w:val="32"/>
          <w:szCs w:val="32"/>
          <w:highlight w:val="none"/>
        </w:rPr>
        <w:t>九、代理服务费承诺书</w:t>
      </w:r>
      <w:bookmarkEnd w:id="218"/>
      <w:bookmarkEnd w:id="219"/>
    </w:p>
    <w:p w14:paraId="7F369B44">
      <w:pPr>
        <w:pStyle w:val="49"/>
        <w:spacing w:line="360" w:lineRule="auto"/>
        <w:jc w:val="center"/>
        <w:outlineLvl w:val="9"/>
        <w:rPr>
          <w:rFonts w:hAnsi="宋体" w:cs="宋体"/>
          <w:color w:val="auto"/>
          <w:sz w:val="24"/>
          <w:szCs w:val="24"/>
          <w:highlight w:val="none"/>
        </w:rPr>
      </w:pPr>
    </w:p>
    <w:p w14:paraId="731769F2">
      <w:pPr>
        <w:pStyle w:val="49"/>
        <w:spacing w:line="360" w:lineRule="auto"/>
        <w:jc w:val="center"/>
        <w:outlineLvl w:val="9"/>
        <w:rPr>
          <w:rFonts w:hAnsi="宋体" w:cs="宋体"/>
          <w:color w:val="auto"/>
          <w:sz w:val="24"/>
          <w:szCs w:val="24"/>
          <w:highlight w:val="none"/>
        </w:rPr>
      </w:pPr>
      <w:r>
        <w:rPr>
          <w:rFonts w:hint="eastAsia" w:hAnsi="宋体" w:cs="宋体"/>
          <w:color w:val="auto"/>
          <w:sz w:val="24"/>
          <w:szCs w:val="24"/>
          <w:highlight w:val="none"/>
        </w:rPr>
        <w:t xml:space="preserve">                                </w:t>
      </w:r>
    </w:p>
    <w:p w14:paraId="18A1BC6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BBA346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1450B1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我司在贵司组织的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项目招标中投标（招标编号：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），如获中标，我们保证按招标文件的规定，以汇款、转账方式向贵司缴交代理服务费。</w:t>
      </w:r>
    </w:p>
    <w:p w14:paraId="556BEE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司一旦中标，承诺凭中标通知书原件按招标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40B222FA">
      <w:pPr>
        <w:spacing w:line="360" w:lineRule="auto"/>
        <w:rPr>
          <w:rFonts w:ascii="宋体" w:hAnsi="宋体" w:cs="宋体"/>
          <w:color w:val="auto"/>
          <w:sz w:val="24"/>
          <w:szCs w:val="24"/>
          <w:highlight w:val="none"/>
        </w:rPr>
      </w:pPr>
    </w:p>
    <w:p w14:paraId="08310C9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1BBE1467">
      <w:pPr>
        <w:spacing w:line="360" w:lineRule="auto"/>
        <w:rPr>
          <w:rFonts w:ascii="宋体" w:hAnsi="宋体" w:cs="宋体"/>
          <w:color w:val="auto"/>
          <w:sz w:val="24"/>
          <w:szCs w:val="24"/>
          <w:highlight w:val="none"/>
        </w:rPr>
      </w:pPr>
    </w:p>
    <w:p w14:paraId="03456768">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投标人（全称）： </w:t>
      </w:r>
      <w:r>
        <w:rPr>
          <w:rFonts w:hint="eastAsia" w:ascii="宋体" w:hAnsi="宋体" w:cs="宋体"/>
          <w:color w:val="auto"/>
          <w:sz w:val="24"/>
          <w:szCs w:val="24"/>
          <w:highlight w:val="none"/>
          <w:u w:val="single"/>
        </w:rPr>
        <w:t xml:space="preserve">                          </w:t>
      </w:r>
    </w:p>
    <w:p w14:paraId="4E7B98CE">
      <w:pPr>
        <w:spacing w:line="360" w:lineRule="auto"/>
        <w:ind w:firstLine="3360" w:firstLineChars="1400"/>
        <w:rPr>
          <w:rFonts w:ascii="宋体" w:hAnsi="宋体" w:cs="宋体"/>
          <w:color w:val="auto"/>
          <w:sz w:val="24"/>
          <w:szCs w:val="24"/>
          <w:highlight w:val="none"/>
          <w:u w:val="singl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56AD340F">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期： </w:t>
      </w:r>
      <w:r>
        <w:rPr>
          <w:rFonts w:hint="eastAsia" w:ascii="宋体" w:hAnsi="宋体" w:cs="宋体"/>
          <w:color w:val="auto"/>
          <w:sz w:val="24"/>
          <w:szCs w:val="24"/>
          <w:highlight w:val="none"/>
          <w:u w:val="single"/>
        </w:rPr>
        <w:t xml:space="preserve">         </w:t>
      </w:r>
    </w:p>
    <w:p w14:paraId="33192E82">
      <w:pPr>
        <w:spacing w:line="360" w:lineRule="auto"/>
        <w:rPr>
          <w:rFonts w:ascii="宋体" w:hAnsi="宋体" w:cs="宋体"/>
          <w:color w:val="auto"/>
          <w:sz w:val="24"/>
          <w:szCs w:val="24"/>
          <w:highlight w:val="none"/>
        </w:rPr>
      </w:pPr>
    </w:p>
    <w:p w14:paraId="601376B9">
      <w:pPr>
        <w:spacing w:line="360" w:lineRule="auto"/>
        <w:rPr>
          <w:rFonts w:ascii="宋体" w:hAnsi="宋体" w:cs="宋体"/>
          <w:color w:val="auto"/>
          <w:sz w:val="24"/>
          <w:szCs w:val="24"/>
          <w:highlight w:val="none"/>
        </w:rPr>
      </w:pPr>
    </w:p>
    <w:p w14:paraId="28BCD31F">
      <w:pPr>
        <w:spacing w:line="360" w:lineRule="auto"/>
        <w:rPr>
          <w:rFonts w:ascii="宋体" w:hAnsi="宋体" w:cs="宋体"/>
          <w:color w:val="auto"/>
          <w:sz w:val="24"/>
          <w:szCs w:val="24"/>
          <w:highlight w:val="none"/>
        </w:rPr>
      </w:pPr>
    </w:p>
    <w:p w14:paraId="1B6B1DE6">
      <w:pPr>
        <w:spacing w:line="360" w:lineRule="auto"/>
        <w:rPr>
          <w:rFonts w:ascii="宋体" w:hAnsi="宋体" w:cs="宋体"/>
          <w:color w:val="auto"/>
          <w:sz w:val="24"/>
          <w:szCs w:val="24"/>
          <w:highlight w:val="none"/>
        </w:rPr>
      </w:pPr>
    </w:p>
    <w:p w14:paraId="641BD049">
      <w:pPr>
        <w:spacing w:line="360" w:lineRule="auto"/>
        <w:rPr>
          <w:rFonts w:ascii="宋体" w:hAnsi="宋体" w:cs="宋体"/>
          <w:bCs/>
          <w:color w:val="auto"/>
          <w:sz w:val="24"/>
          <w:szCs w:val="24"/>
          <w:highlight w:val="none"/>
        </w:rPr>
      </w:pPr>
    </w:p>
    <w:p w14:paraId="19CDB018">
      <w:pPr>
        <w:spacing w:line="360" w:lineRule="auto"/>
        <w:rPr>
          <w:rFonts w:ascii="宋体" w:hAnsi="宋体" w:cs="宋体"/>
          <w:bCs/>
          <w:color w:val="auto"/>
          <w:sz w:val="24"/>
          <w:szCs w:val="24"/>
          <w:highlight w:val="none"/>
        </w:rPr>
      </w:pPr>
    </w:p>
    <w:p w14:paraId="37C61109">
      <w:pPr>
        <w:spacing w:line="360" w:lineRule="auto"/>
        <w:rPr>
          <w:rFonts w:ascii="宋体" w:hAnsi="宋体" w:cs="宋体"/>
          <w:bCs/>
          <w:color w:val="auto"/>
          <w:sz w:val="24"/>
          <w:szCs w:val="24"/>
          <w:highlight w:val="none"/>
        </w:rPr>
      </w:pPr>
    </w:p>
    <w:p w14:paraId="28004AAC">
      <w:pPr>
        <w:spacing w:line="360" w:lineRule="auto"/>
        <w:rPr>
          <w:rFonts w:ascii="宋体" w:hAnsi="宋体" w:cs="宋体"/>
          <w:bCs/>
          <w:color w:val="auto"/>
          <w:sz w:val="24"/>
          <w:szCs w:val="24"/>
          <w:highlight w:val="none"/>
        </w:rPr>
      </w:pPr>
    </w:p>
    <w:p w14:paraId="0B4B190D">
      <w:pPr>
        <w:spacing w:line="360" w:lineRule="auto"/>
        <w:rPr>
          <w:rFonts w:ascii="宋体" w:hAnsi="宋体" w:cs="宋体"/>
          <w:bCs/>
          <w:color w:val="auto"/>
          <w:sz w:val="24"/>
          <w:szCs w:val="24"/>
          <w:highlight w:val="none"/>
        </w:rPr>
      </w:pPr>
    </w:p>
    <w:p w14:paraId="174DF34A">
      <w:pPr>
        <w:spacing w:line="360" w:lineRule="auto"/>
        <w:rPr>
          <w:rFonts w:ascii="宋体" w:hAnsi="宋体" w:cs="宋体"/>
          <w:bCs/>
          <w:color w:val="auto"/>
          <w:sz w:val="24"/>
          <w:szCs w:val="24"/>
          <w:highlight w:val="none"/>
        </w:rPr>
      </w:pPr>
    </w:p>
    <w:p w14:paraId="741F7449">
      <w:pPr>
        <w:spacing w:line="360" w:lineRule="auto"/>
        <w:rPr>
          <w:rFonts w:ascii="宋体" w:hAnsi="宋体" w:cs="宋体"/>
          <w:bCs/>
          <w:color w:val="auto"/>
          <w:sz w:val="24"/>
          <w:szCs w:val="24"/>
          <w:highlight w:val="none"/>
        </w:rPr>
      </w:pPr>
    </w:p>
    <w:p w14:paraId="5361CF29">
      <w:pPr>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附：廉洁承诺书</w:t>
      </w:r>
    </w:p>
    <w:p w14:paraId="33996FF2">
      <w:pPr>
        <w:widowControl/>
        <w:spacing w:line="360" w:lineRule="auto"/>
        <w:jc w:val="center"/>
        <w:rPr>
          <w:rFonts w:ascii="宋体" w:hAnsi="宋体" w:cs="宋体"/>
          <w:b/>
          <w:color w:val="auto"/>
          <w:sz w:val="24"/>
          <w:szCs w:val="24"/>
          <w:highlight w:val="none"/>
        </w:rPr>
      </w:pPr>
      <w:r>
        <w:rPr>
          <w:rFonts w:hint="eastAsia" w:ascii="宋体" w:hAnsi="宋体" w:cs="宋体"/>
          <w:b/>
          <w:color w:val="auto"/>
          <w:sz w:val="32"/>
          <w:szCs w:val="32"/>
          <w:highlight w:val="none"/>
        </w:rPr>
        <w:t>廉洁承诺书</w:t>
      </w:r>
    </w:p>
    <w:p w14:paraId="0147720C">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14:paraId="78D0F841">
      <w:pPr>
        <w:widowControl/>
        <w:spacing w:line="360" w:lineRule="auto"/>
        <w:ind w:firstLine="482" w:firstLineChars="201"/>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563F5B0B">
      <w:pPr>
        <w:widowControl/>
        <w:spacing w:line="360" w:lineRule="auto"/>
        <w:ind w:firstLine="482" w:firstLineChars="201"/>
        <w:jc w:val="left"/>
        <w:rPr>
          <w:rFonts w:ascii="宋体" w:hAnsi="宋体" w:cs="宋体"/>
          <w:color w:val="auto"/>
          <w:sz w:val="24"/>
          <w:szCs w:val="24"/>
          <w:highlight w:val="none"/>
        </w:rPr>
      </w:pPr>
      <w:r>
        <w:rPr>
          <w:rFonts w:hint="eastAsia" w:ascii="宋体" w:hAnsi="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2206D100">
      <w:pPr>
        <w:widowControl/>
        <w:spacing w:line="360" w:lineRule="auto"/>
        <w:ind w:firstLine="482" w:firstLineChars="201"/>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三、不与其他经营者串通报价和投标，不排挤其他经营者的公平竞争，损害其他经营者的合法权益；不在工程建设的预决算编制工作中弄虚作假、高估冒算。</w:t>
      </w:r>
    </w:p>
    <w:p w14:paraId="06D9A3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四、发现厦门万翔招标有限公司的工作人员有受贿行为或索贿要求、徇私舞弊、滥用职权时，将予以举报并提供证据。举报电话：5705656或5706818；举报邮箱：</w:t>
      </w:r>
      <w:r>
        <w:rPr>
          <w:color w:val="auto"/>
          <w:highlight w:val="none"/>
        </w:rPr>
        <w:fldChar w:fldCharType="begin"/>
      </w:r>
      <w:r>
        <w:rPr>
          <w:color w:val="auto"/>
          <w:highlight w:val="none"/>
        </w:rPr>
        <w:instrText xml:space="preserve"> HYPERLINK "mailto:zpk@iport.com.cn" </w:instrText>
      </w:r>
      <w:r>
        <w:rPr>
          <w:color w:val="auto"/>
          <w:highlight w:val="none"/>
        </w:rPr>
        <w:fldChar w:fldCharType="separate"/>
      </w:r>
      <w:r>
        <w:rPr>
          <w:rStyle w:val="28"/>
          <w:rFonts w:hint="eastAsia" w:ascii="宋体" w:hAnsi="宋体" w:cs="宋体"/>
          <w:color w:val="auto"/>
          <w:sz w:val="24"/>
          <w:szCs w:val="24"/>
          <w:highlight w:val="none"/>
        </w:rPr>
        <w:t>cts@iport.com.cn</w:t>
      </w:r>
      <w:r>
        <w:rPr>
          <w:rStyle w:val="28"/>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；举报信件：厦门市湖里区机场北路476号四楼厦门万翔招标有限公司，总经理收。</w:t>
      </w:r>
    </w:p>
    <w:p w14:paraId="1CDD4D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万元人民币违约金。</w:t>
      </w:r>
    </w:p>
    <w:p w14:paraId="0295AB6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017622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投标人名称（盖章）：</w:t>
      </w:r>
    </w:p>
    <w:p w14:paraId="45C173F3">
      <w:pPr>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w:t>
      </w:r>
    </w:p>
    <w:p w14:paraId="528908CE">
      <w:pPr>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联系电话：                   日期：</w:t>
      </w:r>
    </w:p>
    <w:p w14:paraId="44BDD6A9">
      <w:pPr>
        <w:spacing w:line="360" w:lineRule="auto"/>
        <w:ind w:firstLine="460" w:firstLineChars="192"/>
        <w:rPr>
          <w:rFonts w:ascii="宋体" w:hAnsi="宋体" w:cs="宋体"/>
          <w:color w:val="auto"/>
          <w:sz w:val="24"/>
          <w:szCs w:val="24"/>
          <w:highlight w:val="none"/>
        </w:rPr>
      </w:pPr>
    </w:p>
    <w:p w14:paraId="4E4741AD">
      <w:pPr>
        <w:spacing w:line="360" w:lineRule="auto"/>
        <w:rPr>
          <w:rFonts w:ascii="宋体" w:hAnsi="宋体" w:cs="宋体"/>
          <w:color w:val="auto"/>
          <w:sz w:val="24"/>
          <w:szCs w:val="24"/>
          <w:highlight w:val="none"/>
        </w:rPr>
      </w:pPr>
    </w:p>
    <w:p w14:paraId="44D51DD2">
      <w:pPr>
        <w:spacing w:line="360" w:lineRule="auto"/>
        <w:rPr>
          <w:rFonts w:ascii="宋体" w:hAnsi="宋体" w:cs="宋体"/>
          <w:color w:val="auto"/>
          <w:sz w:val="24"/>
          <w:szCs w:val="24"/>
          <w:highlight w:val="none"/>
        </w:rPr>
      </w:pPr>
    </w:p>
    <w:p w14:paraId="590BFC08">
      <w:pPr>
        <w:spacing w:line="360" w:lineRule="auto"/>
        <w:rPr>
          <w:rFonts w:ascii="宋体" w:hAnsi="宋体" w:cs="宋体"/>
          <w:color w:val="auto"/>
          <w:sz w:val="24"/>
          <w:szCs w:val="24"/>
          <w:highlight w:val="none"/>
        </w:rPr>
      </w:pPr>
    </w:p>
    <w:p w14:paraId="085605A7">
      <w:pPr>
        <w:spacing w:line="360" w:lineRule="auto"/>
        <w:rPr>
          <w:rFonts w:ascii="宋体" w:hAnsi="宋体" w:cs="宋体"/>
          <w:color w:val="auto"/>
          <w:sz w:val="24"/>
          <w:szCs w:val="24"/>
          <w:highlight w:val="none"/>
        </w:rPr>
      </w:pPr>
    </w:p>
    <w:p w14:paraId="3944181B">
      <w:pPr>
        <w:spacing w:line="360" w:lineRule="auto"/>
        <w:rPr>
          <w:rFonts w:ascii="宋体" w:hAnsi="宋体" w:cs="宋体"/>
          <w:color w:val="auto"/>
          <w:sz w:val="24"/>
          <w:szCs w:val="24"/>
          <w:highlight w:val="none"/>
        </w:rPr>
      </w:pPr>
    </w:p>
    <w:p w14:paraId="5A899831">
      <w:pPr>
        <w:spacing w:line="360" w:lineRule="auto"/>
        <w:rPr>
          <w:rFonts w:ascii="宋体" w:hAnsi="宋体" w:cs="宋体"/>
          <w:color w:val="auto"/>
          <w:sz w:val="24"/>
          <w:szCs w:val="24"/>
          <w:highlight w:val="none"/>
        </w:rPr>
      </w:pPr>
    </w:p>
    <w:p w14:paraId="1B34C161">
      <w:pPr>
        <w:spacing w:line="360" w:lineRule="auto"/>
        <w:rPr>
          <w:rFonts w:ascii="宋体" w:hAnsi="宋体" w:cs="宋体"/>
          <w:color w:val="auto"/>
          <w:sz w:val="24"/>
          <w:szCs w:val="24"/>
          <w:highlight w:val="none"/>
        </w:rPr>
      </w:pPr>
    </w:p>
    <w:p w14:paraId="081FC948">
      <w:pPr>
        <w:spacing w:line="360" w:lineRule="auto"/>
        <w:rPr>
          <w:rFonts w:ascii="宋体" w:hAnsi="宋体" w:cs="宋体"/>
          <w:color w:val="auto"/>
          <w:sz w:val="24"/>
          <w:szCs w:val="24"/>
          <w:highlight w:val="none"/>
        </w:rPr>
      </w:pPr>
    </w:p>
    <w:p w14:paraId="6BCB72F9">
      <w:pPr>
        <w:spacing w:line="360" w:lineRule="auto"/>
        <w:rPr>
          <w:rFonts w:ascii="宋体" w:hAnsi="宋体" w:cs="宋体"/>
          <w:color w:val="auto"/>
          <w:sz w:val="24"/>
          <w:szCs w:val="24"/>
          <w:highlight w:val="none"/>
        </w:rPr>
      </w:pPr>
    </w:p>
    <w:p w14:paraId="09946266">
      <w:pPr>
        <w:spacing w:line="360" w:lineRule="auto"/>
        <w:rPr>
          <w:rFonts w:ascii="宋体" w:hAnsi="宋体" w:cs="宋体"/>
          <w:color w:val="auto"/>
          <w:sz w:val="24"/>
          <w:szCs w:val="24"/>
          <w:highlight w:val="none"/>
        </w:rPr>
      </w:pPr>
    </w:p>
    <w:p w14:paraId="234B6FD5">
      <w:pPr>
        <w:spacing w:line="360" w:lineRule="auto"/>
        <w:rPr>
          <w:rFonts w:ascii="宋体" w:hAnsi="宋体" w:cs="宋体"/>
          <w:color w:val="auto"/>
          <w:sz w:val="24"/>
          <w:szCs w:val="24"/>
          <w:highlight w:val="none"/>
        </w:rPr>
      </w:pPr>
    </w:p>
    <w:p w14:paraId="1D1D0C0D">
      <w:pPr>
        <w:spacing w:line="360" w:lineRule="auto"/>
        <w:rPr>
          <w:rFonts w:ascii="宋体" w:hAnsi="宋体" w:cs="宋体"/>
          <w:color w:val="auto"/>
          <w:sz w:val="24"/>
          <w:szCs w:val="24"/>
          <w:highlight w:val="none"/>
        </w:rPr>
      </w:pPr>
    </w:p>
    <w:p w14:paraId="6ED42869">
      <w:pPr>
        <w:spacing w:line="360" w:lineRule="auto"/>
        <w:rPr>
          <w:rFonts w:ascii="宋体" w:hAnsi="宋体" w:cs="宋体"/>
          <w:color w:val="auto"/>
          <w:sz w:val="24"/>
          <w:szCs w:val="24"/>
          <w:highlight w:val="none"/>
        </w:rPr>
      </w:pPr>
    </w:p>
    <w:p w14:paraId="17F8C9F0">
      <w:pPr>
        <w:spacing w:line="360" w:lineRule="auto"/>
        <w:rPr>
          <w:rFonts w:ascii="宋体" w:hAnsi="宋体" w:cs="宋体"/>
          <w:color w:val="auto"/>
          <w:sz w:val="24"/>
          <w:szCs w:val="24"/>
          <w:highlight w:val="none"/>
        </w:rPr>
      </w:pPr>
    </w:p>
    <w:p w14:paraId="23D4C5C3">
      <w:pPr>
        <w:spacing w:line="360" w:lineRule="auto"/>
        <w:rPr>
          <w:rFonts w:ascii="宋体" w:hAnsi="宋体" w:cs="宋体"/>
          <w:color w:val="auto"/>
          <w:sz w:val="24"/>
          <w:szCs w:val="24"/>
          <w:highlight w:val="none"/>
        </w:rPr>
      </w:pPr>
    </w:p>
    <w:p w14:paraId="0728EF9F">
      <w:pPr>
        <w:spacing w:line="360" w:lineRule="auto"/>
        <w:rPr>
          <w:rFonts w:ascii="宋体" w:hAnsi="宋体" w:cs="宋体"/>
          <w:color w:val="auto"/>
          <w:sz w:val="24"/>
          <w:szCs w:val="24"/>
          <w:highlight w:val="none"/>
        </w:rPr>
      </w:pPr>
    </w:p>
    <w:p w14:paraId="6A2887EE">
      <w:pPr>
        <w:spacing w:line="360" w:lineRule="auto"/>
        <w:rPr>
          <w:rFonts w:ascii="宋体" w:hAnsi="宋体" w:cs="宋体"/>
          <w:color w:val="auto"/>
          <w:sz w:val="24"/>
          <w:szCs w:val="24"/>
          <w:highlight w:val="none"/>
        </w:rPr>
      </w:pPr>
    </w:p>
    <w:p w14:paraId="2B5BE651">
      <w:pPr>
        <w:spacing w:line="360" w:lineRule="auto"/>
        <w:rPr>
          <w:rFonts w:ascii="宋体" w:hAnsi="宋体" w:cs="宋体"/>
          <w:color w:val="auto"/>
          <w:sz w:val="24"/>
          <w:szCs w:val="24"/>
          <w:highlight w:val="none"/>
        </w:rPr>
      </w:pPr>
    </w:p>
    <w:p w14:paraId="02FF2A58">
      <w:pPr>
        <w:spacing w:line="360" w:lineRule="auto"/>
        <w:rPr>
          <w:rFonts w:ascii="宋体" w:hAnsi="宋体" w:cs="宋体"/>
          <w:color w:val="auto"/>
          <w:sz w:val="24"/>
          <w:szCs w:val="24"/>
          <w:highlight w:val="none"/>
        </w:rPr>
      </w:pPr>
    </w:p>
    <w:p w14:paraId="70A98862">
      <w:pPr>
        <w:spacing w:line="360" w:lineRule="auto"/>
        <w:rPr>
          <w:rFonts w:ascii="宋体" w:hAnsi="宋体" w:cs="宋体"/>
          <w:color w:val="auto"/>
          <w:sz w:val="24"/>
          <w:szCs w:val="24"/>
          <w:highlight w:val="none"/>
        </w:rPr>
      </w:pPr>
    </w:p>
    <w:p w14:paraId="79EC307C">
      <w:pPr>
        <w:spacing w:line="360" w:lineRule="auto"/>
        <w:rPr>
          <w:rFonts w:ascii="宋体" w:hAnsi="宋体" w:cs="宋体"/>
          <w:color w:val="auto"/>
          <w:sz w:val="24"/>
          <w:szCs w:val="24"/>
          <w:highlight w:val="none"/>
        </w:rPr>
      </w:pPr>
    </w:p>
    <w:p w14:paraId="0568D397">
      <w:pPr>
        <w:spacing w:line="360" w:lineRule="auto"/>
        <w:rPr>
          <w:rFonts w:ascii="宋体" w:hAnsi="宋体" w:cs="宋体"/>
          <w:color w:val="auto"/>
          <w:sz w:val="24"/>
          <w:szCs w:val="24"/>
          <w:highlight w:val="none"/>
        </w:rPr>
      </w:pPr>
    </w:p>
    <w:p w14:paraId="5CC174A1">
      <w:pPr>
        <w:spacing w:line="360" w:lineRule="auto"/>
        <w:rPr>
          <w:rFonts w:ascii="宋体" w:hAnsi="宋体" w:cs="宋体"/>
          <w:color w:val="auto"/>
          <w:sz w:val="24"/>
          <w:szCs w:val="24"/>
          <w:highlight w:val="none"/>
        </w:rPr>
      </w:pPr>
    </w:p>
    <w:p w14:paraId="405C3520">
      <w:pPr>
        <w:spacing w:line="360" w:lineRule="auto"/>
        <w:rPr>
          <w:rFonts w:ascii="宋体" w:hAnsi="宋体" w:cs="宋体"/>
          <w:color w:val="auto"/>
          <w:sz w:val="24"/>
          <w:szCs w:val="24"/>
          <w:highlight w:val="none"/>
        </w:rPr>
      </w:pPr>
    </w:p>
    <w:p w14:paraId="094AD0E1">
      <w:pPr>
        <w:spacing w:line="360" w:lineRule="auto"/>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承诺函</w:t>
      </w:r>
    </w:p>
    <w:p w14:paraId="1C96AB50">
      <w:pPr>
        <w:spacing w:line="360" w:lineRule="auto"/>
        <w:ind w:firstLine="2249" w:firstLineChars="700"/>
        <w:rPr>
          <w:rFonts w:ascii="宋体" w:hAnsi="宋体" w:cs="宋体"/>
          <w:b/>
          <w:color w:val="auto"/>
          <w:sz w:val="32"/>
          <w:szCs w:val="32"/>
          <w:highlight w:val="none"/>
        </w:rPr>
      </w:pPr>
    </w:p>
    <w:p w14:paraId="38128A0B">
      <w:pPr>
        <w:pStyle w:val="13"/>
        <w:rPr>
          <w:rFonts w:ascii="宋体" w:hAnsi="宋体" w:cs="宋体"/>
          <w:color w:val="auto"/>
          <w:sz w:val="24"/>
          <w:szCs w:val="24"/>
          <w:highlight w:val="none"/>
        </w:rPr>
      </w:pPr>
      <w:r>
        <w:rPr>
          <w:rFonts w:hint="eastAsia" w:ascii="宋体" w:hAnsi="宋体" w:cs="宋体"/>
          <w:color w:val="auto"/>
          <w:sz w:val="24"/>
          <w:szCs w:val="24"/>
          <w:highlight w:val="none"/>
        </w:rPr>
        <w:t>我司承诺：</w:t>
      </w:r>
    </w:p>
    <w:p w14:paraId="7A4C2B3A">
      <w:pPr>
        <w:spacing w:line="360" w:lineRule="auto"/>
        <w:ind w:firstLine="480" w:firstLineChars="200"/>
        <w:rPr>
          <w:rFonts w:ascii="宋体" w:hAnsi="宋体" w:cs="宋体"/>
          <w:bCs/>
          <w:color w:val="auto"/>
          <w:sz w:val="24"/>
          <w:szCs w:val="21"/>
          <w:highlight w:val="none"/>
        </w:rPr>
      </w:pPr>
      <w:bookmarkStart w:id="220" w:name="_Toc2292"/>
      <w:bookmarkStart w:id="221" w:name="_Toc4953"/>
      <w:bookmarkStart w:id="222" w:name="_Toc13092"/>
      <w:r>
        <w:rPr>
          <w:rFonts w:hint="eastAsia" w:ascii="宋体" w:hAnsi="宋体" w:cs="宋体"/>
          <w:bCs/>
          <w:color w:val="auto"/>
          <w:sz w:val="24"/>
          <w:szCs w:val="21"/>
          <w:highlight w:val="none"/>
        </w:rPr>
        <w:t>1、</w:t>
      </w:r>
      <w:bookmarkStart w:id="223" w:name="_Toc138498019"/>
      <w:r>
        <w:rPr>
          <w:rFonts w:hint="eastAsia" w:ascii="宋体" w:hAnsi="宋体" w:cs="宋体"/>
          <w:bCs/>
          <w:color w:val="auto"/>
          <w:sz w:val="24"/>
          <w:szCs w:val="21"/>
          <w:highlight w:val="none"/>
        </w:rPr>
        <w:t>......</w:t>
      </w:r>
      <w:bookmarkEnd w:id="220"/>
      <w:bookmarkEnd w:id="221"/>
      <w:bookmarkEnd w:id="223"/>
    </w:p>
    <w:p w14:paraId="648B6768">
      <w:pPr>
        <w:spacing w:line="360" w:lineRule="auto"/>
        <w:rPr>
          <w:rFonts w:ascii="宋体" w:hAnsi="宋体" w:cs="宋体"/>
          <w:color w:val="auto"/>
          <w:sz w:val="24"/>
          <w:szCs w:val="24"/>
          <w:highlight w:val="none"/>
        </w:rPr>
      </w:pPr>
    </w:p>
    <w:p w14:paraId="1CDBFAA5">
      <w:pPr>
        <w:pStyle w:val="54"/>
        <w:ind w:firstLine="0"/>
        <w:rPr>
          <w:color w:val="auto"/>
          <w:highlight w:val="none"/>
        </w:rPr>
      </w:pPr>
    </w:p>
    <w:p w14:paraId="72FE54FC">
      <w:pPr>
        <w:spacing w:line="360" w:lineRule="auto"/>
        <w:jc w:val="center"/>
        <w:rPr>
          <w:rFonts w:ascii="宋体" w:hAnsi="宋体" w:cs="宋体"/>
          <w:b/>
          <w:bCs/>
          <w:color w:val="auto"/>
          <w:sz w:val="22"/>
          <w:szCs w:val="24"/>
          <w:highlight w:val="none"/>
        </w:rPr>
      </w:pPr>
      <w:bookmarkStart w:id="224" w:name="_Toc25282"/>
      <w:bookmarkStart w:id="225" w:name="_Toc1669397363"/>
      <w:bookmarkStart w:id="226" w:name="_Toc32018"/>
      <w:r>
        <w:rPr>
          <w:rFonts w:hint="eastAsia" w:ascii="宋体" w:hAnsi="宋体" w:cs="宋体"/>
          <w:b/>
          <w:bCs/>
          <w:color w:val="auto"/>
          <w:sz w:val="22"/>
          <w:szCs w:val="24"/>
          <w:highlight w:val="none"/>
        </w:rPr>
        <w:t>（内容可根据招标文件要求自行扩展拟定）</w:t>
      </w:r>
      <w:bookmarkEnd w:id="222"/>
      <w:bookmarkEnd w:id="224"/>
      <w:bookmarkEnd w:id="225"/>
      <w:bookmarkEnd w:id="226"/>
    </w:p>
    <w:p w14:paraId="26EB15F7">
      <w:pPr>
        <w:pStyle w:val="7"/>
        <w:spacing w:line="360" w:lineRule="auto"/>
        <w:rPr>
          <w:rFonts w:ascii="宋体" w:hAnsi="宋体" w:cs="宋体"/>
          <w:color w:val="auto"/>
          <w:highlight w:val="none"/>
        </w:rPr>
      </w:pPr>
    </w:p>
    <w:p w14:paraId="602AE87F">
      <w:pPr>
        <w:autoSpaceDE w:val="0"/>
        <w:autoSpaceDN w:val="0"/>
        <w:spacing w:line="360" w:lineRule="auto"/>
        <w:ind w:firstLine="480" w:firstLineChars="200"/>
        <w:jc w:val="left"/>
        <w:rPr>
          <w:rFonts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2E269D84">
      <w:pPr>
        <w:autoSpaceDE w:val="0"/>
        <w:autoSpaceDN w:val="0"/>
        <w:spacing w:line="360" w:lineRule="auto"/>
        <w:ind w:firstLine="4920" w:firstLineChars="2050"/>
        <w:jc w:val="lef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投标人名称（盖公章）：   </w:t>
      </w:r>
    </w:p>
    <w:p w14:paraId="383CD566">
      <w:pPr>
        <w:pStyle w:val="10"/>
        <w:spacing w:line="360" w:lineRule="auto"/>
        <w:rPr>
          <w:rFonts w:hAnsi="宋体" w:cs="宋体"/>
          <w:color w:val="auto"/>
          <w:sz w:val="24"/>
          <w:szCs w:val="24"/>
          <w:highlight w:val="none"/>
        </w:rPr>
      </w:pPr>
      <w:r>
        <w:rPr>
          <w:rFonts w:hint="eastAsia" w:hAnsi="宋体" w:cs="宋体"/>
          <w:bCs/>
          <w:color w:val="auto"/>
          <w:sz w:val="24"/>
          <w:highlight w:val="none"/>
        </w:rPr>
        <w:t xml:space="preserve">                                     日期：    年   月   日</w:t>
      </w:r>
    </w:p>
    <w:p w14:paraId="40C73B5A">
      <w:pPr>
        <w:spacing w:line="360" w:lineRule="auto"/>
        <w:ind w:firstLine="2249" w:firstLineChars="700"/>
        <w:rPr>
          <w:rFonts w:ascii="宋体" w:hAnsi="宋体" w:cs="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5AD3C4F8">
      <w:pPr>
        <w:spacing w:line="360" w:lineRule="auto"/>
        <w:ind w:firstLine="2249" w:firstLineChars="700"/>
        <w:rPr>
          <w:rFonts w:ascii="宋体" w:hAnsi="宋体" w:cs="宋体"/>
          <w:b/>
          <w:color w:val="auto"/>
          <w:sz w:val="24"/>
          <w:szCs w:val="24"/>
          <w:highlight w:val="none"/>
        </w:rPr>
      </w:pPr>
      <w:r>
        <w:rPr>
          <w:rFonts w:hint="eastAsia" w:ascii="宋体" w:hAnsi="宋体" w:cs="宋体"/>
          <w:b/>
          <w:color w:val="auto"/>
          <w:sz w:val="32"/>
          <w:szCs w:val="32"/>
          <w:highlight w:val="none"/>
        </w:rPr>
        <w:t>退还投标保证金申请表</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870"/>
      </w:tblGrid>
      <w:tr w14:paraId="312A1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1AD5D1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4870" w:type="dxa"/>
          </w:tcPr>
          <w:p w14:paraId="1404411F">
            <w:pPr>
              <w:keepNext/>
              <w:keepLines/>
              <w:spacing w:line="360" w:lineRule="auto"/>
              <w:rPr>
                <w:rFonts w:ascii="宋体" w:hAnsi="宋体" w:cs="宋体"/>
                <w:color w:val="auto"/>
                <w:sz w:val="24"/>
                <w:szCs w:val="24"/>
                <w:highlight w:val="none"/>
              </w:rPr>
            </w:pPr>
          </w:p>
        </w:tc>
      </w:tr>
      <w:tr w14:paraId="152D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652" w:type="dxa"/>
          </w:tcPr>
          <w:p w14:paraId="1CC03C5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组织机构代码证</w:t>
            </w:r>
          </w:p>
        </w:tc>
        <w:tc>
          <w:tcPr>
            <w:tcW w:w="4870" w:type="dxa"/>
          </w:tcPr>
          <w:p w14:paraId="20953B25">
            <w:pPr>
              <w:keepNext/>
              <w:keepLines/>
              <w:spacing w:line="360" w:lineRule="auto"/>
              <w:rPr>
                <w:rFonts w:ascii="宋体" w:hAnsi="宋体" w:cs="宋体"/>
                <w:color w:val="auto"/>
                <w:sz w:val="24"/>
                <w:szCs w:val="24"/>
                <w:highlight w:val="none"/>
              </w:rPr>
            </w:pPr>
          </w:p>
        </w:tc>
      </w:tr>
      <w:tr w14:paraId="69157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DB2FD9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4870" w:type="dxa"/>
          </w:tcPr>
          <w:p w14:paraId="669F03EF">
            <w:pPr>
              <w:keepNext/>
              <w:keepLines/>
              <w:spacing w:line="360" w:lineRule="auto"/>
              <w:rPr>
                <w:rFonts w:ascii="宋体" w:hAnsi="宋体" w:cs="宋体"/>
                <w:color w:val="auto"/>
                <w:sz w:val="24"/>
                <w:szCs w:val="24"/>
                <w:highlight w:val="none"/>
              </w:rPr>
            </w:pPr>
          </w:p>
        </w:tc>
      </w:tr>
      <w:tr w14:paraId="5D48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4060B8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4870" w:type="dxa"/>
          </w:tcPr>
          <w:p w14:paraId="49828E34">
            <w:pPr>
              <w:keepNext/>
              <w:keepLines/>
              <w:spacing w:line="360" w:lineRule="auto"/>
              <w:rPr>
                <w:rFonts w:ascii="宋体" w:hAnsi="宋体" w:cs="宋体"/>
                <w:color w:val="auto"/>
                <w:sz w:val="24"/>
                <w:szCs w:val="24"/>
                <w:highlight w:val="none"/>
              </w:rPr>
            </w:pPr>
          </w:p>
        </w:tc>
      </w:tr>
      <w:tr w14:paraId="2B1F7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3D1AB5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保证金金额</w:t>
            </w:r>
          </w:p>
        </w:tc>
        <w:tc>
          <w:tcPr>
            <w:tcW w:w="4870" w:type="dxa"/>
          </w:tcPr>
          <w:p w14:paraId="6040B3AC">
            <w:pPr>
              <w:keepNext/>
              <w:keepLines/>
              <w:spacing w:line="360" w:lineRule="auto"/>
              <w:rPr>
                <w:rFonts w:ascii="宋体" w:hAnsi="宋体" w:cs="宋体"/>
                <w:color w:val="auto"/>
                <w:sz w:val="24"/>
                <w:szCs w:val="24"/>
                <w:highlight w:val="none"/>
              </w:rPr>
            </w:pPr>
          </w:p>
        </w:tc>
      </w:tr>
      <w:tr w14:paraId="4AA6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66CD048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收款单位名称</w:t>
            </w:r>
          </w:p>
        </w:tc>
        <w:tc>
          <w:tcPr>
            <w:tcW w:w="4870" w:type="dxa"/>
          </w:tcPr>
          <w:p w14:paraId="44EBB304">
            <w:pPr>
              <w:keepNext/>
              <w:keepLines/>
              <w:spacing w:line="360" w:lineRule="auto"/>
              <w:rPr>
                <w:rFonts w:ascii="宋体" w:hAnsi="宋体" w:cs="宋体"/>
                <w:color w:val="auto"/>
                <w:sz w:val="24"/>
                <w:szCs w:val="24"/>
                <w:highlight w:val="none"/>
              </w:rPr>
            </w:pPr>
          </w:p>
        </w:tc>
      </w:tr>
      <w:tr w14:paraId="70FA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6EAE3A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开户银行（需填写完整）</w:t>
            </w:r>
          </w:p>
        </w:tc>
        <w:tc>
          <w:tcPr>
            <w:tcW w:w="4870" w:type="dxa"/>
          </w:tcPr>
          <w:p w14:paraId="23A75ACB">
            <w:pPr>
              <w:keepNext/>
              <w:keepLines/>
              <w:spacing w:line="360" w:lineRule="auto"/>
              <w:rPr>
                <w:rFonts w:ascii="宋体" w:hAnsi="宋体" w:cs="宋体"/>
                <w:color w:val="auto"/>
                <w:sz w:val="24"/>
                <w:szCs w:val="24"/>
                <w:highlight w:val="none"/>
              </w:rPr>
            </w:pPr>
          </w:p>
        </w:tc>
      </w:tr>
      <w:tr w14:paraId="7B70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7D1C79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开户行账号（原来转保证金账号）</w:t>
            </w:r>
          </w:p>
        </w:tc>
        <w:tc>
          <w:tcPr>
            <w:tcW w:w="4870" w:type="dxa"/>
          </w:tcPr>
          <w:p w14:paraId="0DB0B582">
            <w:pPr>
              <w:keepNext/>
              <w:keepLines/>
              <w:spacing w:line="360" w:lineRule="auto"/>
              <w:rPr>
                <w:rFonts w:ascii="宋体" w:hAnsi="宋体" w:cs="宋体"/>
                <w:color w:val="auto"/>
                <w:sz w:val="24"/>
                <w:szCs w:val="24"/>
                <w:highlight w:val="none"/>
              </w:rPr>
            </w:pPr>
          </w:p>
        </w:tc>
      </w:tr>
      <w:tr w14:paraId="70C46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6108D3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4870" w:type="dxa"/>
          </w:tcPr>
          <w:p w14:paraId="45B9C0C0">
            <w:pPr>
              <w:keepNext/>
              <w:keepLines/>
              <w:spacing w:line="360" w:lineRule="auto"/>
              <w:rPr>
                <w:rFonts w:ascii="宋体" w:hAnsi="宋体" w:cs="宋体"/>
                <w:color w:val="auto"/>
                <w:sz w:val="24"/>
                <w:szCs w:val="24"/>
                <w:highlight w:val="none"/>
              </w:rPr>
            </w:pPr>
          </w:p>
        </w:tc>
      </w:tr>
      <w:tr w14:paraId="7B25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7774818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4870" w:type="dxa"/>
          </w:tcPr>
          <w:p w14:paraId="0298D679">
            <w:pPr>
              <w:keepNext/>
              <w:keepLines/>
              <w:spacing w:line="360" w:lineRule="auto"/>
              <w:rPr>
                <w:rFonts w:ascii="宋体" w:hAnsi="宋体" w:cs="宋体"/>
                <w:color w:val="auto"/>
                <w:sz w:val="24"/>
                <w:szCs w:val="24"/>
                <w:highlight w:val="none"/>
              </w:rPr>
            </w:pPr>
          </w:p>
        </w:tc>
      </w:tr>
    </w:tbl>
    <w:p w14:paraId="2E662B8E">
      <w:pPr>
        <w:spacing w:line="360" w:lineRule="auto"/>
        <w:rPr>
          <w:rFonts w:ascii="宋体" w:hAnsi="宋体" w:cs="宋体"/>
          <w:color w:val="auto"/>
          <w:sz w:val="24"/>
          <w:szCs w:val="24"/>
          <w:highlight w:val="none"/>
        </w:rPr>
      </w:pPr>
    </w:p>
    <w:p w14:paraId="5DBF320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（投标人名称，加盖公章）</w:t>
      </w:r>
    </w:p>
    <w:p w14:paraId="3CD769F7">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年    月    日</w:t>
      </w:r>
    </w:p>
    <w:p w14:paraId="771A71CB">
      <w:pPr>
        <w:spacing w:line="360" w:lineRule="auto"/>
        <w:rPr>
          <w:rFonts w:ascii="宋体" w:hAnsi="宋体" w:cs="宋体"/>
          <w:color w:val="auto"/>
          <w:sz w:val="24"/>
          <w:szCs w:val="24"/>
          <w:highlight w:val="none"/>
        </w:rPr>
        <w:sectPr>
          <w:pgSz w:w="11906" w:h="16838"/>
          <w:pgMar w:top="1440" w:right="1800" w:bottom="1440" w:left="1800" w:header="851" w:footer="992" w:gutter="0"/>
          <w:cols w:space="720" w:num="1"/>
          <w:docGrid w:type="lines" w:linePitch="312" w:charSpace="0"/>
        </w:sectPr>
      </w:pPr>
      <w:bookmarkStart w:id="227" w:name="end_160000000000000525"/>
      <w:bookmarkEnd w:id="227"/>
    </w:p>
    <w:p w14:paraId="0B2938FE">
      <w:pPr>
        <w:rPr>
          <w:color w:val="auto"/>
          <w:highlight w:val="none"/>
        </w:rPr>
      </w:pPr>
    </w:p>
    <w:p w14:paraId="05226866">
      <w:pPr>
        <w:spacing w:line="360" w:lineRule="auto"/>
        <w:ind w:firstLine="3520" w:firstLineChars="1100"/>
        <w:rPr>
          <w:rFonts w:ascii="宋体" w:hAnsi="宋体" w:cs="宋体"/>
          <w:color w:val="auto"/>
          <w:sz w:val="32"/>
          <w:szCs w:val="32"/>
          <w:highlight w:val="none"/>
        </w:rPr>
      </w:pPr>
      <w:r>
        <w:rPr>
          <w:rFonts w:hint="eastAsia" w:ascii="宋体" w:hAnsi="宋体" w:cs="宋体"/>
          <w:color w:val="auto"/>
          <w:sz w:val="32"/>
          <w:szCs w:val="32"/>
          <w:highlight w:val="none"/>
        </w:rPr>
        <w:t>质疑函要求</w:t>
      </w:r>
    </w:p>
    <w:p w14:paraId="1164BF37">
      <w:pPr>
        <w:spacing w:line="360" w:lineRule="auto"/>
        <w:ind w:firstLine="480" w:firstLineChars="200"/>
        <w:rPr>
          <w:rFonts w:ascii="宋体" w:hAnsi="宋体" w:cs="宋体"/>
          <w:color w:val="auto"/>
          <w:sz w:val="24"/>
          <w:szCs w:val="24"/>
          <w:highlight w:val="none"/>
        </w:rPr>
      </w:pPr>
    </w:p>
    <w:p w14:paraId="487C3F81">
      <w:pPr>
        <w:pStyle w:val="18"/>
        <w:spacing w:before="0" w:beforeAutospacing="0" w:after="0" w:afterAutospacing="0" w:line="360" w:lineRule="auto"/>
        <w:rPr>
          <w:color w:val="auto"/>
          <w:kern w:val="2"/>
          <w:highlight w:val="none"/>
        </w:rPr>
      </w:pPr>
      <w:r>
        <w:rPr>
          <w:rFonts w:hint="eastAsia"/>
          <w:color w:val="auto"/>
          <w:kern w:val="2"/>
          <w:highlight w:val="none"/>
        </w:rPr>
        <w:t>供应商提出质疑应当提交质疑函和必要的证明材料。质疑函应当包括下列内容：</w:t>
      </w:r>
    </w:p>
    <w:p w14:paraId="399AA62C">
      <w:pPr>
        <w:pStyle w:val="18"/>
        <w:spacing w:before="0" w:beforeAutospacing="0" w:after="0" w:afterAutospacing="0" w:line="360" w:lineRule="auto"/>
        <w:rPr>
          <w:color w:val="auto"/>
          <w:kern w:val="2"/>
          <w:highlight w:val="none"/>
        </w:rPr>
      </w:pPr>
      <w:r>
        <w:rPr>
          <w:rFonts w:hint="eastAsia"/>
          <w:color w:val="auto"/>
          <w:kern w:val="2"/>
          <w:highlight w:val="none"/>
        </w:rPr>
        <w:t>(一)供应商的姓名或者名称、地址、邮编、联系人及联系电话；</w:t>
      </w:r>
    </w:p>
    <w:p w14:paraId="788D2DE0">
      <w:pPr>
        <w:pStyle w:val="18"/>
        <w:spacing w:before="0" w:beforeAutospacing="0" w:after="0" w:afterAutospacing="0" w:line="360" w:lineRule="auto"/>
        <w:rPr>
          <w:color w:val="auto"/>
          <w:kern w:val="2"/>
          <w:highlight w:val="none"/>
        </w:rPr>
      </w:pPr>
      <w:r>
        <w:rPr>
          <w:rFonts w:hint="eastAsia"/>
          <w:color w:val="auto"/>
          <w:kern w:val="2"/>
          <w:highlight w:val="none"/>
        </w:rPr>
        <w:t>(二)质疑项目的名称、编号；</w:t>
      </w:r>
    </w:p>
    <w:p w14:paraId="61F4EF43">
      <w:pPr>
        <w:pStyle w:val="18"/>
        <w:spacing w:before="0" w:beforeAutospacing="0" w:after="0" w:afterAutospacing="0" w:line="360" w:lineRule="auto"/>
        <w:rPr>
          <w:color w:val="auto"/>
          <w:kern w:val="2"/>
          <w:highlight w:val="none"/>
        </w:rPr>
      </w:pPr>
      <w:r>
        <w:rPr>
          <w:rFonts w:hint="eastAsia"/>
          <w:color w:val="auto"/>
          <w:kern w:val="2"/>
          <w:highlight w:val="none"/>
        </w:rPr>
        <w:t>(三)具体、明确的质疑事项和与质疑事项相关的请求；</w:t>
      </w:r>
    </w:p>
    <w:p w14:paraId="67C6651F">
      <w:pPr>
        <w:pStyle w:val="18"/>
        <w:spacing w:before="0" w:beforeAutospacing="0" w:after="0" w:afterAutospacing="0" w:line="360" w:lineRule="auto"/>
        <w:rPr>
          <w:color w:val="auto"/>
          <w:kern w:val="2"/>
          <w:highlight w:val="none"/>
        </w:rPr>
      </w:pPr>
      <w:r>
        <w:rPr>
          <w:rFonts w:hint="eastAsia"/>
          <w:color w:val="auto"/>
          <w:kern w:val="2"/>
          <w:highlight w:val="none"/>
        </w:rPr>
        <w:t>(四)事实依据；</w:t>
      </w:r>
    </w:p>
    <w:p w14:paraId="45EDA8A9">
      <w:pPr>
        <w:pStyle w:val="18"/>
        <w:spacing w:before="0" w:beforeAutospacing="0" w:after="0" w:afterAutospacing="0" w:line="360" w:lineRule="auto"/>
        <w:rPr>
          <w:color w:val="auto"/>
          <w:kern w:val="2"/>
          <w:highlight w:val="none"/>
        </w:rPr>
      </w:pPr>
      <w:r>
        <w:rPr>
          <w:rFonts w:hint="eastAsia"/>
          <w:color w:val="auto"/>
          <w:kern w:val="2"/>
          <w:highlight w:val="none"/>
        </w:rPr>
        <w:t>(五)必要的法律依据；</w:t>
      </w:r>
    </w:p>
    <w:p w14:paraId="46B653E8">
      <w:pPr>
        <w:pStyle w:val="18"/>
        <w:spacing w:before="0" w:beforeAutospacing="0" w:after="0" w:afterAutospacing="0" w:line="360" w:lineRule="auto"/>
        <w:rPr>
          <w:color w:val="auto"/>
          <w:kern w:val="2"/>
          <w:highlight w:val="none"/>
        </w:rPr>
      </w:pPr>
      <w:r>
        <w:rPr>
          <w:rFonts w:hint="eastAsia"/>
          <w:color w:val="auto"/>
          <w:kern w:val="2"/>
          <w:highlight w:val="none"/>
        </w:rPr>
        <w:t>(六)提出质疑的日期。</w:t>
      </w:r>
    </w:p>
    <w:p w14:paraId="54209453">
      <w:pPr>
        <w:pStyle w:val="18"/>
        <w:spacing w:before="0" w:beforeAutospacing="0" w:after="0" w:afterAutospacing="0" w:line="360" w:lineRule="auto"/>
        <w:rPr>
          <w:color w:val="auto"/>
          <w:kern w:val="2"/>
          <w:highlight w:val="none"/>
        </w:rPr>
      </w:pPr>
      <w:r>
        <w:rPr>
          <w:rFonts w:hint="eastAsia"/>
          <w:color w:val="auto"/>
          <w:kern w:val="2"/>
          <w:highlight w:val="none"/>
        </w:rPr>
        <w:t>供应商为自然人的，应当由本人签字；供应商为法人或者其他组织的，应当由法定代表人、主要负责人，或者其授权代表签字或者盖章，并加盖公章。</w:t>
      </w:r>
    </w:p>
    <w:p w14:paraId="65168219">
      <w:pPr>
        <w:pStyle w:val="18"/>
        <w:spacing w:before="0" w:beforeAutospacing="0" w:after="0" w:afterAutospacing="0" w:line="360" w:lineRule="auto"/>
        <w:rPr>
          <w:color w:val="auto"/>
          <w:kern w:val="2"/>
          <w:highlight w:val="none"/>
        </w:rPr>
      </w:pPr>
    </w:p>
    <w:p w14:paraId="126C8532">
      <w:pPr>
        <w:pStyle w:val="18"/>
        <w:spacing w:before="0" w:beforeAutospacing="0" w:after="0" w:afterAutospacing="0" w:line="360" w:lineRule="auto"/>
        <w:rPr>
          <w:color w:val="auto"/>
          <w:kern w:val="2"/>
          <w:highlight w:val="none"/>
        </w:rPr>
      </w:pPr>
    </w:p>
    <w:p w14:paraId="14FBDCE8">
      <w:pPr>
        <w:pStyle w:val="18"/>
        <w:spacing w:before="0" w:beforeAutospacing="0" w:after="0" w:afterAutospacing="0" w:line="360" w:lineRule="auto"/>
        <w:rPr>
          <w:color w:val="auto"/>
          <w:kern w:val="2"/>
          <w:highlight w:val="none"/>
        </w:rPr>
      </w:pPr>
    </w:p>
    <w:p w14:paraId="3005575F">
      <w:pPr>
        <w:pStyle w:val="18"/>
        <w:spacing w:before="0" w:beforeAutospacing="0" w:after="0" w:afterAutospacing="0" w:line="360" w:lineRule="auto"/>
        <w:ind w:firstLine="5440" w:firstLineChars="1700"/>
        <w:rPr>
          <w:color w:val="auto"/>
          <w:kern w:val="2"/>
          <w:sz w:val="32"/>
          <w:szCs w:val="32"/>
          <w:highlight w:val="none"/>
        </w:rPr>
      </w:pPr>
    </w:p>
    <w:p w14:paraId="6BC6BBA7">
      <w:pPr>
        <w:pStyle w:val="18"/>
        <w:spacing w:before="0" w:beforeAutospacing="0" w:after="0" w:afterAutospacing="0" w:line="360" w:lineRule="auto"/>
        <w:ind w:firstLine="5440" w:firstLineChars="1700"/>
        <w:rPr>
          <w:color w:val="auto"/>
          <w:kern w:val="2"/>
          <w:sz w:val="32"/>
          <w:szCs w:val="32"/>
          <w:highlight w:val="none"/>
        </w:rPr>
      </w:pPr>
    </w:p>
    <w:p w14:paraId="733C99EC">
      <w:pPr>
        <w:pStyle w:val="18"/>
        <w:spacing w:before="0" w:beforeAutospacing="0" w:after="0" w:afterAutospacing="0" w:line="360" w:lineRule="auto"/>
        <w:ind w:firstLine="5440" w:firstLineChars="1700"/>
        <w:rPr>
          <w:color w:val="auto"/>
          <w:kern w:val="2"/>
          <w:sz w:val="32"/>
          <w:szCs w:val="32"/>
          <w:highlight w:val="none"/>
        </w:rPr>
      </w:pPr>
    </w:p>
    <w:p w14:paraId="36DDD127">
      <w:pPr>
        <w:pStyle w:val="18"/>
        <w:spacing w:before="0" w:beforeAutospacing="0" w:after="0" w:afterAutospacing="0" w:line="360" w:lineRule="auto"/>
        <w:ind w:firstLine="5440" w:firstLineChars="1700"/>
        <w:rPr>
          <w:color w:val="auto"/>
          <w:kern w:val="2"/>
          <w:sz w:val="32"/>
          <w:szCs w:val="32"/>
          <w:highlight w:val="none"/>
        </w:rPr>
      </w:pPr>
    </w:p>
    <w:p w14:paraId="57886F4E">
      <w:pPr>
        <w:pStyle w:val="18"/>
        <w:spacing w:before="0" w:beforeAutospacing="0" w:after="0" w:afterAutospacing="0" w:line="360" w:lineRule="auto"/>
        <w:ind w:firstLine="5440" w:firstLineChars="1700"/>
        <w:rPr>
          <w:color w:val="auto"/>
          <w:kern w:val="2"/>
          <w:sz w:val="32"/>
          <w:szCs w:val="32"/>
          <w:highlight w:val="none"/>
        </w:rPr>
      </w:pPr>
    </w:p>
    <w:p w14:paraId="17D8D861">
      <w:pPr>
        <w:pStyle w:val="18"/>
        <w:spacing w:before="0" w:beforeAutospacing="0" w:after="0" w:afterAutospacing="0" w:line="360" w:lineRule="auto"/>
        <w:ind w:firstLine="5440" w:firstLineChars="1700"/>
        <w:rPr>
          <w:color w:val="auto"/>
          <w:kern w:val="2"/>
          <w:sz w:val="32"/>
          <w:szCs w:val="32"/>
          <w:highlight w:val="none"/>
        </w:rPr>
      </w:pPr>
    </w:p>
    <w:p w14:paraId="54BB7E79">
      <w:pPr>
        <w:pStyle w:val="18"/>
        <w:spacing w:before="0" w:beforeAutospacing="0" w:after="0" w:afterAutospacing="0" w:line="360" w:lineRule="auto"/>
        <w:ind w:firstLine="5440" w:firstLineChars="1700"/>
        <w:rPr>
          <w:color w:val="auto"/>
          <w:kern w:val="2"/>
          <w:sz w:val="32"/>
          <w:szCs w:val="32"/>
          <w:highlight w:val="none"/>
        </w:rPr>
      </w:pPr>
    </w:p>
    <w:p w14:paraId="02F7E512">
      <w:pPr>
        <w:pStyle w:val="18"/>
        <w:spacing w:before="0" w:beforeAutospacing="0" w:after="0" w:afterAutospacing="0" w:line="360" w:lineRule="auto"/>
        <w:ind w:firstLine="5440" w:firstLineChars="1700"/>
        <w:rPr>
          <w:color w:val="auto"/>
          <w:kern w:val="2"/>
          <w:sz w:val="32"/>
          <w:szCs w:val="32"/>
          <w:highlight w:val="none"/>
        </w:rPr>
      </w:pPr>
    </w:p>
    <w:p w14:paraId="075BA865">
      <w:pPr>
        <w:pStyle w:val="18"/>
        <w:spacing w:before="0" w:beforeAutospacing="0" w:after="0" w:afterAutospacing="0" w:line="360" w:lineRule="auto"/>
        <w:ind w:firstLine="5440" w:firstLineChars="1700"/>
        <w:rPr>
          <w:color w:val="auto"/>
          <w:kern w:val="2"/>
          <w:sz w:val="32"/>
          <w:szCs w:val="32"/>
          <w:highlight w:val="none"/>
        </w:rPr>
      </w:pPr>
    </w:p>
    <w:p w14:paraId="5992B42B">
      <w:pPr>
        <w:pStyle w:val="18"/>
        <w:spacing w:before="0" w:beforeAutospacing="0" w:after="0" w:afterAutospacing="0" w:line="360" w:lineRule="auto"/>
        <w:ind w:firstLine="5440" w:firstLineChars="1700"/>
        <w:rPr>
          <w:color w:val="auto"/>
          <w:kern w:val="2"/>
          <w:sz w:val="32"/>
          <w:szCs w:val="32"/>
          <w:highlight w:val="none"/>
        </w:rPr>
      </w:pPr>
    </w:p>
    <w:p w14:paraId="5DDD2FCF">
      <w:pPr>
        <w:pStyle w:val="18"/>
        <w:spacing w:before="0" w:beforeAutospacing="0" w:after="0" w:afterAutospacing="0" w:line="360" w:lineRule="auto"/>
        <w:ind w:firstLine="5440" w:firstLineChars="1700"/>
        <w:rPr>
          <w:color w:val="auto"/>
          <w:kern w:val="2"/>
          <w:sz w:val="32"/>
          <w:szCs w:val="32"/>
          <w:highlight w:val="none"/>
        </w:rPr>
      </w:pPr>
    </w:p>
    <w:p w14:paraId="7A79882C">
      <w:pPr>
        <w:pStyle w:val="18"/>
        <w:spacing w:before="0" w:beforeAutospacing="0" w:after="0" w:afterAutospacing="0" w:line="360" w:lineRule="auto"/>
        <w:ind w:firstLine="3200" w:firstLineChars="1000"/>
        <w:rPr>
          <w:color w:val="auto"/>
          <w:kern w:val="2"/>
          <w:sz w:val="32"/>
          <w:szCs w:val="32"/>
          <w:highlight w:val="none"/>
        </w:rPr>
      </w:pPr>
      <w:r>
        <w:rPr>
          <w:rFonts w:hint="eastAsia"/>
          <w:color w:val="auto"/>
          <w:kern w:val="2"/>
          <w:sz w:val="32"/>
          <w:szCs w:val="32"/>
          <w:highlight w:val="none"/>
        </w:rPr>
        <w:t>评分响应要求</w:t>
      </w:r>
    </w:p>
    <w:tbl>
      <w:tblPr>
        <w:tblStyle w:val="22"/>
        <w:tblW w:w="8418" w:type="dxa"/>
        <w:tblInd w:w="0" w:type="dxa"/>
        <w:tblLayout w:type="fixed"/>
        <w:tblCellMar>
          <w:top w:w="0" w:type="dxa"/>
          <w:left w:w="108" w:type="dxa"/>
          <w:bottom w:w="0" w:type="dxa"/>
          <w:right w:w="108" w:type="dxa"/>
        </w:tblCellMar>
      </w:tblPr>
      <w:tblGrid>
        <w:gridCol w:w="883"/>
        <w:gridCol w:w="3247"/>
        <w:gridCol w:w="738"/>
        <w:gridCol w:w="2962"/>
        <w:gridCol w:w="588"/>
      </w:tblGrid>
      <w:tr w14:paraId="31A2C1C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29D1297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3247" w:type="dxa"/>
            <w:tcBorders>
              <w:top w:val="single" w:color="auto" w:sz="4" w:space="0"/>
              <w:left w:val="single" w:color="auto" w:sz="4" w:space="0"/>
              <w:bottom w:val="single" w:color="auto" w:sz="4" w:space="0"/>
              <w:right w:val="single" w:color="auto" w:sz="4" w:space="0"/>
            </w:tcBorders>
            <w:vAlign w:val="center"/>
          </w:tcPr>
          <w:p w14:paraId="20DD4BFF">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细则内容</w:t>
            </w:r>
          </w:p>
        </w:tc>
        <w:tc>
          <w:tcPr>
            <w:tcW w:w="738" w:type="dxa"/>
            <w:tcBorders>
              <w:top w:val="single" w:color="auto" w:sz="4" w:space="0"/>
              <w:left w:val="single" w:color="auto" w:sz="4" w:space="0"/>
              <w:bottom w:val="single" w:color="auto" w:sz="4" w:space="0"/>
              <w:right w:val="single" w:color="auto" w:sz="4" w:space="0"/>
            </w:tcBorders>
            <w:vAlign w:val="center"/>
          </w:tcPr>
          <w:p w14:paraId="6A6DBBF9">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满分分值</w:t>
            </w:r>
          </w:p>
        </w:tc>
        <w:tc>
          <w:tcPr>
            <w:tcW w:w="2962" w:type="dxa"/>
            <w:tcBorders>
              <w:top w:val="single" w:color="auto" w:sz="4" w:space="0"/>
              <w:left w:val="single" w:color="auto" w:sz="4" w:space="0"/>
              <w:bottom w:val="single" w:color="auto" w:sz="4" w:space="0"/>
              <w:right w:val="single" w:color="auto" w:sz="4" w:space="0"/>
            </w:tcBorders>
            <w:vAlign w:val="center"/>
          </w:tcPr>
          <w:p w14:paraId="15A43034">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响应内容</w:t>
            </w:r>
          </w:p>
        </w:tc>
        <w:tc>
          <w:tcPr>
            <w:tcW w:w="588" w:type="dxa"/>
            <w:tcBorders>
              <w:top w:val="single" w:color="auto" w:sz="4" w:space="0"/>
              <w:left w:val="single" w:color="auto" w:sz="4" w:space="0"/>
              <w:bottom w:val="single" w:color="auto" w:sz="4" w:space="0"/>
              <w:right w:val="single" w:color="auto" w:sz="4" w:space="0"/>
            </w:tcBorders>
            <w:vAlign w:val="center"/>
          </w:tcPr>
          <w:p w14:paraId="0050B5E1">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页码</w:t>
            </w:r>
          </w:p>
        </w:tc>
      </w:tr>
      <w:tr w14:paraId="4A390CF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16A1610">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3247" w:type="dxa"/>
            <w:tcBorders>
              <w:top w:val="single" w:color="auto" w:sz="4" w:space="0"/>
              <w:left w:val="single" w:color="auto" w:sz="4" w:space="0"/>
              <w:bottom w:val="single" w:color="auto" w:sz="4" w:space="0"/>
              <w:right w:val="single" w:color="auto" w:sz="4" w:space="0"/>
            </w:tcBorders>
          </w:tcPr>
          <w:p w14:paraId="168C8008">
            <w:pPr>
              <w:spacing w:line="360" w:lineRule="auto"/>
              <w:rPr>
                <w:rFonts w:ascii="宋体" w:hAnsi="宋体" w:cs="宋体"/>
                <w:bCs/>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14:paraId="07A75675">
            <w:pPr>
              <w:spacing w:line="360" w:lineRule="auto"/>
              <w:jc w:val="center"/>
              <w:rPr>
                <w:rFonts w:ascii="宋体" w:hAnsi="宋体" w:cs="宋体"/>
                <w:bCs/>
                <w:color w:val="auto"/>
                <w:sz w:val="24"/>
                <w:szCs w:val="24"/>
                <w:highlight w:val="none"/>
              </w:rPr>
            </w:pPr>
          </w:p>
        </w:tc>
        <w:tc>
          <w:tcPr>
            <w:tcW w:w="2962" w:type="dxa"/>
            <w:tcBorders>
              <w:top w:val="single" w:color="auto" w:sz="4" w:space="0"/>
              <w:left w:val="single" w:color="auto" w:sz="4" w:space="0"/>
              <w:bottom w:val="single" w:color="auto" w:sz="4" w:space="0"/>
              <w:right w:val="single" w:color="auto" w:sz="4" w:space="0"/>
            </w:tcBorders>
            <w:vAlign w:val="center"/>
          </w:tcPr>
          <w:p w14:paraId="5879A38A">
            <w:pPr>
              <w:spacing w:line="360" w:lineRule="auto"/>
              <w:jc w:val="center"/>
              <w:rPr>
                <w:rFonts w:ascii="宋体" w:hAnsi="宋体" w:cs="宋体"/>
                <w:bCs/>
                <w:color w:val="auto"/>
                <w:sz w:val="24"/>
                <w:szCs w:val="24"/>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552D8857">
            <w:pPr>
              <w:spacing w:line="360" w:lineRule="auto"/>
              <w:jc w:val="center"/>
              <w:rPr>
                <w:rFonts w:ascii="宋体" w:hAnsi="宋体" w:cs="宋体"/>
                <w:bCs/>
                <w:color w:val="auto"/>
                <w:sz w:val="24"/>
                <w:szCs w:val="24"/>
                <w:highlight w:val="none"/>
              </w:rPr>
            </w:pPr>
          </w:p>
        </w:tc>
      </w:tr>
      <w:tr w14:paraId="17B6BF29">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0C236ED3">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3247" w:type="dxa"/>
            <w:tcBorders>
              <w:top w:val="single" w:color="auto" w:sz="4" w:space="0"/>
              <w:left w:val="single" w:color="auto" w:sz="4" w:space="0"/>
              <w:bottom w:val="single" w:color="auto" w:sz="4" w:space="0"/>
              <w:right w:val="single" w:color="auto" w:sz="4" w:space="0"/>
            </w:tcBorders>
          </w:tcPr>
          <w:p w14:paraId="275093B9">
            <w:pPr>
              <w:spacing w:line="360" w:lineRule="auto"/>
              <w:rPr>
                <w:rFonts w:ascii="宋体" w:hAnsi="宋体" w:cs="宋体"/>
                <w:bCs/>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14:paraId="43E54F3C">
            <w:pPr>
              <w:spacing w:line="360" w:lineRule="auto"/>
              <w:jc w:val="center"/>
              <w:rPr>
                <w:rFonts w:ascii="宋体" w:hAnsi="宋体" w:cs="宋体"/>
                <w:bCs/>
                <w:color w:val="auto"/>
                <w:sz w:val="24"/>
                <w:szCs w:val="24"/>
                <w:highlight w:val="none"/>
              </w:rPr>
            </w:pPr>
          </w:p>
        </w:tc>
        <w:tc>
          <w:tcPr>
            <w:tcW w:w="2962" w:type="dxa"/>
            <w:tcBorders>
              <w:top w:val="single" w:color="auto" w:sz="4" w:space="0"/>
              <w:left w:val="single" w:color="auto" w:sz="4" w:space="0"/>
              <w:bottom w:val="single" w:color="auto" w:sz="4" w:space="0"/>
              <w:right w:val="single" w:color="auto" w:sz="4" w:space="0"/>
            </w:tcBorders>
            <w:vAlign w:val="center"/>
          </w:tcPr>
          <w:p w14:paraId="4C2D1881">
            <w:pPr>
              <w:spacing w:line="360" w:lineRule="auto"/>
              <w:jc w:val="center"/>
              <w:rPr>
                <w:rFonts w:ascii="宋体" w:hAnsi="宋体" w:cs="宋体"/>
                <w:bCs/>
                <w:color w:val="auto"/>
                <w:sz w:val="24"/>
                <w:szCs w:val="24"/>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7C3D2B77">
            <w:pPr>
              <w:spacing w:line="360" w:lineRule="auto"/>
              <w:jc w:val="center"/>
              <w:rPr>
                <w:rFonts w:ascii="宋体" w:hAnsi="宋体" w:cs="宋体"/>
                <w:bCs/>
                <w:color w:val="auto"/>
                <w:sz w:val="24"/>
                <w:szCs w:val="24"/>
                <w:highlight w:val="none"/>
              </w:rPr>
            </w:pPr>
          </w:p>
        </w:tc>
      </w:tr>
      <w:tr w14:paraId="29F5714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4C0AC9A9">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3247" w:type="dxa"/>
            <w:tcBorders>
              <w:top w:val="single" w:color="auto" w:sz="4" w:space="0"/>
              <w:left w:val="single" w:color="auto" w:sz="4" w:space="0"/>
              <w:bottom w:val="single" w:color="auto" w:sz="4" w:space="0"/>
              <w:right w:val="single" w:color="auto" w:sz="4" w:space="0"/>
            </w:tcBorders>
          </w:tcPr>
          <w:p w14:paraId="3105B1A8">
            <w:pPr>
              <w:spacing w:line="360" w:lineRule="auto"/>
              <w:rPr>
                <w:rFonts w:ascii="宋体" w:hAnsi="宋体" w:cs="宋体"/>
                <w:bCs/>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14:paraId="014C9276">
            <w:pPr>
              <w:spacing w:line="360" w:lineRule="auto"/>
              <w:jc w:val="center"/>
              <w:rPr>
                <w:rFonts w:ascii="宋体" w:hAnsi="宋体" w:cs="宋体"/>
                <w:bCs/>
                <w:color w:val="auto"/>
                <w:sz w:val="24"/>
                <w:szCs w:val="24"/>
                <w:highlight w:val="none"/>
              </w:rPr>
            </w:pPr>
          </w:p>
        </w:tc>
        <w:tc>
          <w:tcPr>
            <w:tcW w:w="2962" w:type="dxa"/>
            <w:tcBorders>
              <w:top w:val="single" w:color="auto" w:sz="4" w:space="0"/>
              <w:left w:val="single" w:color="auto" w:sz="4" w:space="0"/>
              <w:bottom w:val="single" w:color="auto" w:sz="4" w:space="0"/>
              <w:right w:val="single" w:color="auto" w:sz="4" w:space="0"/>
            </w:tcBorders>
            <w:vAlign w:val="center"/>
          </w:tcPr>
          <w:p w14:paraId="7E90FEF5">
            <w:pPr>
              <w:spacing w:line="360" w:lineRule="auto"/>
              <w:jc w:val="center"/>
              <w:rPr>
                <w:rFonts w:ascii="宋体" w:hAnsi="宋体" w:cs="宋体"/>
                <w:bCs/>
                <w:color w:val="auto"/>
                <w:sz w:val="24"/>
                <w:szCs w:val="24"/>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61005909">
            <w:pPr>
              <w:spacing w:line="360" w:lineRule="auto"/>
              <w:jc w:val="center"/>
              <w:rPr>
                <w:rFonts w:ascii="宋体" w:hAnsi="宋体" w:cs="宋体"/>
                <w:bCs/>
                <w:color w:val="auto"/>
                <w:sz w:val="24"/>
                <w:szCs w:val="24"/>
                <w:highlight w:val="none"/>
              </w:rPr>
            </w:pPr>
          </w:p>
        </w:tc>
      </w:tr>
      <w:tr w14:paraId="21E5AD7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32F22AB6">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3247" w:type="dxa"/>
            <w:tcBorders>
              <w:top w:val="single" w:color="auto" w:sz="4" w:space="0"/>
              <w:left w:val="single" w:color="auto" w:sz="4" w:space="0"/>
              <w:bottom w:val="single" w:color="auto" w:sz="4" w:space="0"/>
              <w:right w:val="single" w:color="auto" w:sz="4" w:space="0"/>
            </w:tcBorders>
          </w:tcPr>
          <w:p w14:paraId="6A556BD4">
            <w:pPr>
              <w:tabs>
                <w:tab w:val="left" w:pos="-1080"/>
                <w:tab w:val="left" w:pos="180"/>
                <w:tab w:val="left" w:pos="1080"/>
              </w:tabs>
              <w:spacing w:line="360" w:lineRule="auto"/>
              <w:rPr>
                <w:rFonts w:ascii="宋体" w:hAnsi="宋体" w:cs="宋体"/>
                <w:bCs/>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14:paraId="5544AECD">
            <w:pPr>
              <w:tabs>
                <w:tab w:val="left" w:pos="-1080"/>
                <w:tab w:val="left" w:pos="180"/>
                <w:tab w:val="left" w:pos="1080"/>
              </w:tabs>
              <w:spacing w:line="360" w:lineRule="auto"/>
              <w:jc w:val="center"/>
              <w:rPr>
                <w:rFonts w:ascii="宋体" w:hAnsi="宋体" w:cs="宋体"/>
                <w:bCs/>
                <w:color w:val="auto"/>
                <w:sz w:val="24"/>
                <w:szCs w:val="24"/>
                <w:highlight w:val="none"/>
              </w:rPr>
            </w:pPr>
          </w:p>
        </w:tc>
        <w:tc>
          <w:tcPr>
            <w:tcW w:w="2962" w:type="dxa"/>
            <w:tcBorders>
              <w:top w:val="single" w:color="auto" w:sz="4" w:space="0"/>
              <w:left w:val="single" w:color="auto" w:sz="4" w:space="0"/>
              <w:bottom w:val="single" w:color="auto" w:sz="4" w:space="0"/>
              <w:right w:val="single" w:color="auto" w:sz="4" w:space="0"/>
            </w:tcBorders>
            <w:vAlign w:val="center"/>
          </w:tcPr>
          <w:p w14:paraId="5B997635">
            <w:pPr>
              <w:tabs>
                <w:tab w:val="left" w:pos="-1080"/>
                <w:tab w:val="left" w:pos="180"/>
                <w:tab w:val="left" w:pos="1080"/>
              </w:tabs>
              <w:spacing w:line="360" w:lineRule="auto"/>
              <w:jc w:val="center"/>
              <w:rPr>
                <w:rFonts w:ascii="宋体" w:hAnsi="宋体" w:cs="宋体"/>
                <w:bCs/>
                <w:color w:val="auto"/>
                <w:sz w:val="24"/>
                <w:szCs w:val="24"/>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65C09C0A">
            <w:pPr>
              <w:tabs>
                <w:tab w:val="left" w:pos="-1080"/>
                <w:tab w:val="left" w:pos="180"/>
                <w:tab w:val="left" w:pos="1080"/>
              </w:tabs>
              <w:spacing w:line="360" w:lineRule="auto"/>
              <w:jc w:val="center"/>
              <w:rPr>
                <w:rFonts w:ascii="宋体" w:hAnsi="宋体" w:cs="宋体"/>
                <w:bCs/>
                <w:color w:val="auto"/>
                <w:sz w:val="24"/>
                <w:szCs w:val="24"/>
                <w:highlight w:val="none"/>
              </w:rPr>
            </w:pPr>
          </w:p>
        </w:tc>
      </w:tr>
      <w:tr w14:paraId="5DFE1379">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vAlign w:val="center"/>
          </w:tcPr>
          <w:p w14:paraId="72D9DE47">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3247" w:type="dxa"/>
            <w:tcBorders>
              <w:top w:val="single" w:color="auto" w:sz="4" w:space="0"/>
              <w:left w:val="single" w:color="auto" w:sz="4" w:space="0"/>
              <w:bottom w:val="single" w:color="auto" w:sz="4" w:space="0"/>
              <w:right w:val="single" w:color="auto" w:sz="4" w:space="0"/>
            </w:tcBorders>
          </w:tcPr>
          <w:p w14:paraId="7084CDA6">
            <w:pPr>
              <w:tabs>
                <w:tab w:val="left" w:pos="720"/>
              </w:tabs>
              <w:spacing w:line="360" w:lineRule="auto"/>
              <w:ind w:right="18"/>
              <w:rPr>
                <w:rFonts w:ascii="宋体" w:hAnsi="宋体" w:cs="宋体"/>
                <w:bCs/>
                <w:color w:val="auto"/>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14:paraId="3AB332D8">
            <w:pPr>
              <w:tabs>
                <w:tab w:val="left" w:pos="720"/>
              </w:tabs>
              <w:spacing w:line="360" w:lineRule="auto"/>
              <w:ind w:right="18"/>
              <w:jc w:val="center"/>
              <w:rPr>
                <w:rFonts w:ascii="宋体" w:hAnsi="宋体" w:cs="宋体"/>
                <w:bCs/>
                <w:color w:val="auto"/>
                <w:sz w:val="24"/>
                <w:szCs w:val="24"/>
                <w:highlight w:val="none"/>
              </w:rPr>
            </w:pPr>
          </w:p>
        </w:tc>
        <w:tc>
          <w:tcPr>
            <w:tcW w:w="2962" w:type="dxa"/>
            <w:tcBorders>
              <w:top w:val="single" w:color="auto" w:sz="4" w:space="0"/>
              <w:left w:val="single" w:color="auto" w:sz="4" w:space="0"/>
              <w:bottom w:val="single" w:color="auto" w:sz="4" w:space="0"/>
              <w:right w:val="single" w:color="auto" w:sz="4" w:space="0"/>
            </w:tcBorders>
            <w:vAlign w:val="center"/>
          </w:tcPr>
          <w:p w14:paraId="354EAB34">
            <w:pPr>
              <w:tabs>
                <w:tab w:val="left" w:pos="720"/>
              </w:tabs>
              <w:spacing w:line="360" w:lineRule="auto"/>
              <w:ind w:right="18"/>
              <w:jc w:val="center"/>
              <w:rPr>
                <w:rFonts w:ascii="宋体" w:hAnsi="宋体" w:cs="宋体"/>
                <w:bCs/>
                <w:color w:val="auto"/>
                <w:sz w:val="24"/>
                <w:szCs w:val="24"/>
                <w:highlight w:val="none"/>
              </w:rPr>
            </w:pPr>
          </w:p>
        </w:tc>
        <w:tc>
          <w:tcPr>
            <w:tcW w:w="588" w:type="dxa"/>
            <w:tcBorders>
              <w:top w:val="single" w:color="auto" w:sz="4" w:space="0"/>
              <w:left w:val="single" w:color="auto" w:sz="4" w:space="0"/>
              <w:bottom w:val="single" w:color="auto" w:sz="4" w:space="0"/>
              <w:right w:val="single" w:color="auto" w:sz="4" w:space="0"/>
            </w:tcBorders>
            <w:vAlign w:val="center"/>
          </w:tcPr>
          <w:p w14:paraId="3A06EAE3">
            <w:pPr>
              <w:tabs>
                <w:tab w:val="left" w:pos="720"/>
              </w:tabs>
              <w:spacing w:line="360" w:lineRule="auto"/>
              <w:ind w:right="18"/>
              <w:jc w:val="center"/>
              <w:rPr>
                <w:rFonts w:ascii="宋体" w:hAnsi="宋体" w:cs="宋体"/>
                <w:bCs/>
                <w:color w:val="auto"/>
                <w:sz w:val="24"/>
                <w:szCs w:val="24"/>
                <w:highlight w:val="none"/>
              </w:rPr>
            </w:pPr>
          </w:p>
        </w:tc>
      </w:tr>
    </w:tbl>
    <w:p w14:paraId="4E6C9D92">
      <w:pPr>
        <w:widowControl/>
        <w:spacing w:line="360" w:lineRule="auto"/>
        <w:rPr>
          <w:rFonts w:ascii="宋体" w:hAnsi="宋体" w:cs="宋体"/>
          <w:color w:val="auto"/>
          <w:sz w:val="24"/>
          <w:szCs w:val="24"/>
          <w:highlight w:val="none"/>
        </w:rPr>
      </w:pPr>
    </w:p>
    <w:p w14:paraId="415ED231">
      <w:pPr>
        <w:spacing w:line="360" w:lineRule="auto"/>
        <w:ind w:firstLine="2240" w:firstLineChars="700"/>
        <w:rPr>
          <w:rFonts w:ascii="宋体" w:hAnsi="宋体" w:cs="宋体"/>
          <w:color w:val="auto"/>
          <w:kern w:val="0"/>
          <w:sz w:val="32"/>
          <w:szCs w:val="32"/>
          <w:highlight w:val="none"/>
        </w:rPr>
      </w:pPr>
    </w:p>
    <w:p w14:paraId="1EBFB3E6">
      <w:pPr>
        <w:spacing w:line="360" w:lineRule="auto"/>
        <w:ind w:firstLine="2240" w:firstLineChars="700"/>
        <w:rPr>
          <w:rFonts w:ascii="宋体" w:hAnsi="宋体" w:cs="宋体"/>
          <w:color w:val="auto"/>
          <w:kern w:val="0"/>
          <w:sz w:val="32"/>
          <w:szCs w:val="32"/>
          <w:highlight w:val="none"/>
        </w:rPr>
      </w:pPr>
    </w:p>
    <w:p w14:paraId="395AA838">
      <w:pPr>
        <w:spacing w:line="360" w:lineRule="auto"/>
        <w:ind w:firstLine="2240" w:firstLineChars="700"/>
        <w:rPr>
          <w:rFonts w:ascii="宋体" w:hAnsi="宋体" w:cs="宋体"/>
          <w:color w:val="auto"/>
          <w:kern w:val="0"/>
          <w:sz w:val="32"/>
          <w:szCs w:val="32"/>
          <w:highlight w:val="none"/>
        </w:rPr>
      </w:pPr>
    </w:p>
    <w:p w14:paraId="62A05E07">
      <w:pPr>
        <w:spacing w:line="360" w:lineRule="auto"/>
        <w:ind w:firstLine="2240" w:firstLineChars="700"/>
        <w:rPr>
          <w:rFonts w:ascii="宋体" w:hAnsi="宋体" w:cs="宋体"/>
          <w:color w:val="auto"/>
          <w:kern w:val="0"/>
          <w:sz w:val="32"/>
          <w:szCs w:val="32"/>
          <w:highlight w:val="none"/>
        </w:rPr>
      </w:pPr>
    </w:p>
    <w:p w14:paraId="52F0A440">
      <w:pPr>
        <w:spacing w:line="360" w:lineRule="auto"/>
        <w:ind w:firstLine="2240" w:firstLineChars="700"/>
        <w:rPr>
          <w:rFonts w:ascii="宋体" w:hAnsi="宋体" w:cs="宋体"/>
          <w:color w:val="auto"/>
          <w:kern w:val="0"/>
          <w:sz w:val="32"/>
          <w:szCs w:val="32"/>
          <w:highlight w:val="none"/>
        </w:rPr>
      </w:pPr>
    </w:p>
    <w:p w14:paraId="1412719B">
      <w:pPr>
        <w:spacing w:line="360" w:lineRule="auto"/>
        <w:ind w:firstLine="2240" w:firstLineChars="700"/>
        <w:rPr>
          <w:rFonts w:ascii="宋体" w:hAnsi="宋体" w:cs="宋体"/>
          <w:color w:val="auto"/>
          <w:kern w:val="0"/>
          <w:sz w:val="32"/>
          <w:szCs w:val="32"/>
          <w:highlight w:val="none"/>
        </w:rPr>
      </w:pPr>
    </w:p>
    <w:p w14:paraId="4E0C636F">
      <w:pPr>
        <w:spacing w:line="360" w:lineRule="auto"/>
        <w:ind w:firstLine="2240" w:firstLineChars="700"/>
        <w:rPr>
          <w:rFonts w:ascii="宋体" w:hAnsi="宋体" w:cs="宋体"/>
          <w:color w:val="auto"/>
          <w:kern w:val="0"/>
          <w:sz w:val="32"/>
          <w:szCs w:val="32"/>
          <w:highlight w:val="none"/>
        </w:rPr>
      </w:pPr>
    </w:p>
    <w:p w14:paraId="4EE14889">
      <w:pPr>
        <w:spacing w:line="360" w:lineRule="auto"/>
        <w:ind w:firstLine="2240" w:firstLineChars="700"/>
        <w:rPr>
          <w:rFonts w:ascii="宋体" w:hAnsi="宋体" w:cs="宋体"/>
          <w:color w:val="auto"/>
          <w:kern w:val="0"/>
          <w:sz w:val="32"/>
          <w:szCs w:val="32"/>
          <w:highlight w:val="none"/>
        </w:rPr>
      </w:pPr>
    </w:p>
    <w:p w14:paraId="3FF4735F">
      <w:pPr>
        <w:spacing w:line="360" w:lineRule="auto"/>
        <w:ind w:firstLine="2240" w:firstLineChars="700"/>
        <w:rPr>
          <w:rFonts w:ascii="宋体" w:hAnsi="宋体" w:cs="宋体"/>
          <w:color w:val="auto"/>
          <w:kern w:val="0"/>
          <w:sz w:val="32"/>
          <w:szCs w:val="32"/>
          <w:highlight w:val="none"/>
        </w:rPr>
      </w:pPr>
    </w:p>
    <w:p w14:paraId="5FE17A13">
      <w:pPr>
        <w:spacing w:line="360" w:lineRule="auto"/>
        <w:ind w:firstLine="2240" w:firstLineChars="700"/>
        <w:rPr>
          <w:rFonts w:ascii="宋体" w:hAnsi="宋体" w:cs="宋体"/>
          <w:color w:val="auto"/>
          <w:kern w:val="0"/>
          <w:sz w:val="32"/>
          <w:szCs w:val="32"/>
          <w:highlight w:val="none"/>
        </w:rPr>
      </w:pPr>
    </w:p>
    <w:p w14:paraId="3EDDCB41">
      <w:pPr>
        <w:spacing w:line="360" w:lineRule="auto"/>
        <w:ind w:firstLine="2240" w:firstLineChars="700"/>
        <w:rPr>
          <w:rFonts w:ascii="宋体" w:hAnsi="宋体" w:cs="宋体"/>
          <w:color w:val="auto"/>
          <w:kern w:val="0"/>
          <w:sz w:val="32"/>
          <w:szCs w:val="32"/>
          <w:highlight w:val="none"/>
        </w:rPr>
      </w:pPr>
    </w:p>
    <w:p w14:paraId="18AE446A">
      <w:pPr>
        <w:spacing w:line="360" w:lineRule="auto"/>
        <w:ind w:firstLine="2240" w:firstLineChars="700"/>
        <w:rPr>
          <w:rFonts w:ascii="宋体" w:hAnsi="宋体" w:cs="宋体"/>
          <w:color w:val="auto"/>
          <w:kern w:val="0"/>
          <w:sz w:val="32"/>
          <w:szCs w:val="32"/>
          <w:highlight w:val="none"/>
        </w:rPr>
      </w:pPr>
    </w:p>
    <w:p w14:paraId="1A55E208">
      <w:pPr>
        <w:spacing w:line="360" w:lineRule="auto"/>
        <w:ind w:firstLine="2240" w:firstLineChars="700"/>
        <w:rPr>
          <w:rFonts w:ascii="宋体" w:hAnsi="宋体" w:cs="宋体"/>
          <w:color w:val="auto"/>
          <w:kern w:val="0"/>
          <w:sz w:val="32"/>
          <w:szCs w:val="32"/>
          <w:highlight w:val="none"/>
        </w:rPr>
      </w:pPr>
    </w:p>
    <w:p w14:paraId="231F1E7E">
      <w:pPr>
        <w:spacing w:line="360" w:lineRule="auto"/>
        <w:ind w:firstLine="2240" w:firstLineChars="700"/>
        <w:rPr>
          <w:rFonts w:ascii="宋体" w:hAnsi="宋体" w:cs="宋体"/>
          <w:color w:val="auto"/>
          <w:kern w:val="0"/>
          <w:sz w:val="32"/>
          <w:szCs w:val="32"/>
          <w:highlight w:val="none"/>
        </w:rPr>
      </w:pPr>
    </w:p>
    <w:p w14:paraId="4E0E53E9">
      <w:pPr>
        <w:spacing w:line="360" w:lineRule="auto"/>
        <w:rPr>
          <w:rFonts w:ascii="宋体" w:hAnsi="宋体" w:cs="宋体"/>
          <w:color w:val="auto"/>
          <w:kern w:val="0"/>
          <w:sz w:val="32"/>
          <w:szCs w:val="32"/>
          <w:highlight w:val="none"/>
        </w:rPr>
      </w:pPr>
    </w:p>
    <w:p w14:paraId="24A4D5CD">
      <w:pPr>
        <w:pStyle w:val="50"/>
        <w:spacing w:line="360" w:lineRule="auto"/>
        <w:jc w:val="center"/>
        <w:outlineLvl w:val="9"/>
        <w:rPr>
          <w:rFonts w:hint="default" w:ascii="宋体" w:hAnsi="宋体" w:cs="宋体"/>
          <w:color w:val="auto"/>
          <w:sz w:val="24"/>
          <w:szCs w:val="24"/>
          <w:highlight w:val="none"/>
        </w:rPr>
      </w:pPr>
      <w:bookmarkStart w:id="228" w:name="_Toc24787"/>
      <w:bookmarkStart w:id="229" w:name="_Toc14354"/>
      <w:bookmarkStart w:id="230" w:name="_Toc29180"/>
      <w:bookmarkStart w:id="231" w:name="_Toc984"/>
      <w:bookmarkStart w:id="232" w:name="_Toc26414"/>
      <w:bookmarkStart w:id="233" w:name="_Toc24620"/>
      <w:bookmarkStart w:id="234" w:name="_Toc6055"/>
      <w:bookmarkStart w:id="235" w:name="_Toc30612"/>
      <w:bookmarkStart w:id="236" w:name="_Toc7400"/>
      <w:r>
        <w:rPr>
          <w:rFonts w:ascii="宋体" w:hAnsi="宋体" w:cs="宋体"/>
          <w:b/>
          <w:color w:val="auto"/>
          <w:sz w:val="24"/>
          <w:szCs w:val="24"/>
          <w:highlight w:val="none"/>
        </w:rPr>
        <w:t>招标文件规定的价格扣除证明材料（若有）</w:t>
      </w:r>
      <w:bookmarkEnd w:id="228"/>
      <w:bookmarkEnd w:id="229"/>
      <w:bookmarkEnd w:id="230"/>
      <w:bookmarkEnd w:id="231"/>
      <w:bookmarkEnd w:id="232"/>
      <w:bookmarkEnd w:id="233"/>
      <w:bookmarkEnd w:id="234"/>
      <w:bookmarkEnd w:id="235"/>
      <w:bookmarkEnd w:id="236"/>
    </w:p>
    <w:p w14:paraId="1125199B">
      <w:pPr>
        <w:pStyle w:val="50"/>
        <w:spacing w:line="360" w:lineRule="auto"/>
        <w:jc w:val="center"/>
        <w:outlineLvl w:val="9"/>
        <w:rPr>
          <w:rFonts w:hint="default" w:ascii="宋体" w:hAnsi="宋体" w:cs="宋体"/>
          <w:color w:val="auto"/>
          <w:sz w:val="24"/>
          <w:szCs w:val="24"/>
          <w:highlight w:val="none"/>
        </w:rPr>
      </w:pPr>
      <w:r>
        <w:rPr>
          <w:rFonts w:ascii="宋体" w:hAnsi="宋体" w:cs="宋体"/>
          <w:b/>
          <w:color w:val="auto"/>
          <w:sz w:val="24"/>
          <w:szCs w:val="24"/>
          <w:highlight w:val="none"/>
        </w:rPr>
        <w:t>1小型、微型企业产品等价格扣除证明材料（若有）</w:t>
      </w:r>
    </w:p>
    <w:p w14:paraId="25A51CF0">
      <w:pPr>
        <w:pStyle w:val="50"/>
        <w:spacing w:line="360" w:lineRule="auto"/>
        <w:jc w:val="center"/>
        <w:outlineLvl w:val="9"/>
        <w:rPr>
          <w:rFonts w:hint="default" w:ascii="宋体" w:hAnsi="宋体" w:cs="宋体"/>
          <w:color w:val="auto"/>
          <w:sz w:val="24"/>
          <w:szCs w:val="24"/>
          <w:highlight w:val="none"/>
        </w:rPr>
      </w:pPr>
      <w:r>
        <w:rPr>
          <w:rFonts w:ascii="宋体" w:hAnsi="宋体" w:cs="宋体"/>
          <w:b/>
          <w:color w:val="auto"/>
          <w:sz w:val="24"/>
          <w:szCs w:val="24"/>
          <w:highlight w:val="none"/>
        </w:rPr>
        <w:t>1-①中小企业声明函（价格扣除适用，若有）</w:t>
      </w:r>
    </w:p>
    <w:p w14:paraId="151CAEF5">
      <w:pPr>
        <w:pStyle w:val="50"/>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 xml:space="preserve"> </w:t>
      </w:r>
    </w:p>
    <w:p w14:paraId="60D23952">
      <w:pPr>
        <w:pStyle w:val="50"/>
        <w:spacing w:line="360" w:lineRule="auto"/>
        <w:jc w:val="center"/>
        <w:outlineLvl w:val="9"/>
        <w:rPr>
          <w:rFonts w:hint="default" w:ascii="宋体" w:hAnsi="宋体" w:cs="宋体"/>
          <w:color w:val="auto"/>
          <w:sz w:val="24"/>
          <w:szCs w:val="24"/>
          <w:highlight w:val="none"/>
        </w:rPr>
      </w:pPr>
      <w:r>
        <w:rPr>
          <w:rFonts w:ascii="宋体" w:hAnsi="宋体" w:cs="宋体"/>
          <w:b/>
          <w:color w:val="auto"/>
          <w:sz w:val="24"/>
          <w:szCs w:val="24"/>
          <w:highlight w:val="none"/>
        </w:rPr>
        <w:t>中小企业声明函（工程、服务）</w:t>
      </w:r>
    </w:p>
    <w:p w14:paraId="283A0FCC">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本公司（联合体）郑重声明，根据《政府采购促进中小企业发展管理办法》（财库﹝2020﹞46 号）的规定，本公司（联合体）参加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C6A39F">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（招标文件中明确的所属行业）</w:t>
      </w:r>
      <w:r>
        <w:rPr>
          <w:rFonts w:ascii="宋体" w:hAnsi="宋体" w:cs="宋体"/>
          <w:color w:val="auto"/>
          <w:sz w:val="24"/>
          <w:szCs w:val="24"/>
          <w:highlight w:val="none"/>
        </w:rPr>
        <w:t>；承建（承接）企业为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w:t>
      </w:r>
      <w:r>
        <w:rPr>
          <w:rFonts w:ascii="宋体" w:hAnsi="宋体" w:cs="宋体"/>
          <w:color w:val="auto"/>
          <w:sz w:val="24"/>
          <w:szCs w:val="24"/>
          <w:highlight w:val="none"/>
          <w:vertAlign w:val="superscript"/>
        </w:rPr>
        <w:t>1</w:t>
      </w:r>
      <w:r>
        <w:rPr>
          <w:rFonts w:ascii="宋体" w:hAnsi="宋体" w:cs="宋体"/>
          <w:color w:val="auto"/>
          <w:sz w:val="24"/>
          <w:szCs w:val="24"/>
          <w:highlight w:val="none"/>
        </w:rPr>
        <w:t>，属于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728E991F">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2.</w:t>
      </w:r>
      <w:r>
        <w:rPr>
          <w:rFonts w:ascii="宋体" w:hAnsi="宋体" w:cs="宋体"/>
          <w:color w:val="auto"/>
          <w:sz w:val="24"/>
          <w:szCs w:val="24"/>
          <w:highlight w:val="none"/>
          <w:u w:val="single"/>
        </w:rPr>
        <w:t>（标的名称）</w:t>
      </w:r>
      <w:r>
        <w:rPr>
          <w:rFonts w:ascii="宋体" w:hAnsi="宋体" w:cs="宋体"/>
          <w:color w:val="auto"/>
          <w:sz w:val="24"/>
          <w:szCs w:val="24"/>
          <w:highlight w:val="none"/>
        </w:rPr>
        <w:t>，属于</w:t>
      </w:r>
      <w:r>
        <w:rPr>
          <w:rFonts w:ascii="宋体" w:hAnsi="宋体" w:cs="宋体"/>
          <w:color w:val="auto"/>
          <w:sz w:val="24"/>
          <w:szCs w:val="24"/>
          <w:highlight w:val="none"/>
          <w:u w:val="single"/>
        </w:rPr>
        <w:t>（招标文件中明确的所属行业）</w:t>
      </w:r>
      <w:r>
        <w:rPr>
          <w:rFonts w:ascii="宋体" w:hAnsi="宋体" w:cs="宋体"/>
          <w:color w:val="auto"/>
          <w:sz w:val="24"/>
          <w:szCs w:val="24"/>
          <w:highlight w:val="none"/>
        </w:rPr>
        <w:t>；承建（承接）企业为</w:t>
      </w:r>
      <w:r>
        <w:rPr>
          <w:rFonts w:ascii="宋体" w:hAnsi="宋体" w:cs="宋体"/>
          <w:color w:val="auto"/>
          <w:sz w:val="24"/>
          <w:szCs w:val="24"/>
          <w:highlight w:val="none"/>
          <w:u w:val="single"/>
        </w:rPr>
        <w:t>（企业名称）</w:t>
      </w:r>
      <w:r>
        <w:rPr>
          <w:rFonts w:ascii="宋体" w:hAnsi="宋体" w:cs="宋体"/>
          <w:color w:val="auto"/>
          <w:sz w:val="24"/>
          <w:szCs w:val="24"/>
          <w:highlight w:val="none"/>
        </w:rPr>
        <w:t>，从业人员</w:t>
      </w:r>
      <w:r>
        <w:rPr>
          <w:rFonts w:ascii="宋体" w:hAnsi="宋体" w:cs="宋体"/>
          <w:color w:val="auto"/>
          <w:sz w:val="24"/>
          <w:szCs w:val="24"/>
          <w:highlight w:val="none"/>
          <w:u w:val="single"/>
        </w:rPr>
        <w:t>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w:t>
      </w:r>
      <w:r>
        <w:rPr>
          <w:rFonts w:ascii="宋体" w:hAnsi="宋体" w:cs="宋体"/>
          <w:color w:val="auto"/>
          <w:sz w:val="24"/>
          <w:szCs w:val="24"/>
          <w:highlight w:val="none"/>
        </w:rPr>
        <w:t>万元，属于</w:t>
      </w:r>
      <w:r>
        <w:rPr>
          <w:rFonts w:ascii="宋体" w:hAnsi="宋体" w:cs="宋体"/>
          <w:color w:val="auto"/>
          <w:sz w:val="24"/>
          <w:szCs w:val="24"/>
          <w:highlight w:val="none"/>
          <w:u w:val="single"/>
        </w:rPr>
        <w:t>（中型企业、小型企业、微型企业）</w:t>
      </w:r>
      <w:r>
        <w:rPr>
          <w:rFonts w:ascii="宋体" w:hAnsi="宋体" w:cs="宋体"/>
          <w:color w:val="auto"/>
          <w:sz w:val="24"/>
          <w:szCs w:val="24"/>
          <w:highlight w:val="none"/>
        </w:rPr>
        <w:t>；</w:t>
      </w:r>
    </w:p>
    <w:p w14:paraId="3B5E3D52">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w:t>
      </w:r>
    </w:p>
    <w:p w14:paraId="4522BB73">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552B50E4">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本企业对上述声明内容的真实性负责。如有虚假，将依法承担相应责任。</w:t>
      </w:r>
    </w:p>
    <w:p w14:paraId="6EF5CE2C">
      <w:pPr>
        <w:pStyle w:val="50"/>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投标人：</w:t>
      </w:r>
      <w:r>
        <w:rPr>
          <w:rFonts w:ascii="宋体" w:hAnsi="宋体" w:cs="宋体"/>
          <w:color w:val="auto"/>
          <w:sz w:val="24"/>
          <w:szCs w:val="24"/>
          <w:highlight w:val="none"/>
          <w:u w:val="single"/>
        </w:rPr>
        <w:t>（全称并加盖单位公章）</w:t>
      </w:r>
    </w:p>
    <w:p w14:paraId="580C51B1">
      <w:pPr>
        <w:pStyle w:val="50"/>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260B317">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CE7A339">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1、从业人员、营业收入、资产总额填报上一年度数据，无上一年度数据的新成立企业可不填报。</w:t>
      </w:r>
    </w:p>
    <w:p w14:paraId="2EB6DBFA">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65709C8">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DD7F82">
      <w:pPr>
        <w:pStyle w:val="50"/>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ascii="宋体" w:hAnsi="宋体" w:cs="宋体"/>
          <w:color w:val="auto"/>
          <w:sz w:val="24"/>
          <w:szCs w:val="24"/>
          <w:highlight w:val="none"/>
        </w:rPr>
        <w:br w:type="page"/>
      </w:r>
    </w:p>
    <w:p w14:paraId="5080CD00">
      <w:pPr>
        <w:pStyle w:val="50"/>
        <w:spacing w:line="360" w:lineRule="auto"/>
        <w:jc w:val="center"/>
        <w:outlineLvl w:val="9"/>
        <w:rPr>
          <w:rFonts w:hint="default" w:ascii="宋体" w:hAnsi="宋体" w:cs="宋体"/>
          <w:color w:val="auto"/>
          <w:sz w:val="24"/>
          <w:szCs w:val="24"/>
          <w:highlight w:val="none"/>
        </w:rPr>
      </w:pPr>
      <w:r>
        <w:rPr>
          <w:rFonts w:ascii="宋体" w:hAnsi="宋体" w:cs="宋体"/>
          <w:b/>
          <w:color w:val="auto"/>
          <w:sz w:val="24"/>
          <w:szCs w:val="24"/>
          <w:highlight w:val="none"/>
        </w:rPr>
        <w:t>2-①小型、微型企业等证明材料（价格扣除适用，若有）</w:t>
      </w:r>
    </w:p>
    <w:p w14:paraId="4088C693">
      <w:pPr>
        <w:pStyle w:val="50"/>
        <w:spacing w:line="360" w:lineRule="auto"/>
        <w:ind w:firstLine="480"/>
        <w:jc w:val="center"/>
        <w:rPr>
          <w:rFonts w:hint="default" w:ascii="宋体" w:hAnsi="宋体" w:cs="宋体"/>
          <w:color w:val="auto"/>
          <w:sz w:val="24"/>
          <w:szCs w:val="24"/>
          <w:highlight w:val="none"/>
        </w:rPr>
      </w:pPr>
      <w:r>
        <w:rPr>
          <w:rFonts w:ascii="宋体" w:hAnsi="宋体" w:cs="宋体"/>
          <w:color w:val="auto"/>
          <w:sz w:val="24"/>
          <w:szCs w:val="24"/>
          <w:highlight w:val="none"/>
        </w:rPr>
        <w:t>编制说明</w:t>
      </w:r>
    </w:p>
    <w:p w14:paraId="10504933">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1、投标人应按照招标文件要求提供相应证明材料，证明材料应与《中小企业声明函》的内容相一致，否则视为《中小企业声明函》内容不真实。</w:t>
      </w:r>
    </w:p>
    <w:p w14:paraId="3DD9F282">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2、投标人为监狱企业的，根据其提供的由省级以上监狱管理局、戒毒管理局（含新疆生产建设兵团）出具的属于监狱企业的证明文件进行认定，监狱企业视同小型、微型企业。</w:t>
      </w:r>
    </w:p>
    <w:p w14:paraId="015DD2B0">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675E7AB5">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附：</w:t>
      </w:r>
    </w:p>
    <w:p w14:paraId="0BD0436E">
      <w:pPr>
        <w:pStyle w:val="50"/>
        <w:spacing w:line="360" w:lineRule="auto"/>
        <w:jc w:val="center"/>
        <w:rPr>
          <w:rFonts w:hint="default" w:ascii="宋体" w:hAnsi="宋体" w:cs="宋体"/>
          <w:color w:val="auto"/>
          <w:sz w:val="24"/>
          <w:szCs w:val="24"/>
          <w:highlight w:val="none"/>
        </w:rPr>
      </w:pPr>
      <w:r>
        <w:rPr>
          <w:rFonts w:ascii="宋体" w:hAnsi="宋体" w:cs="宋体"/>
          <w:b/>
          <w:color w:val="auto"/>
          <w:sz w:val="24"/>
          <w:szCs w:val="24"/>
          <w:highlight w:val="none"/>
        </w:rPr>
        <w:t>残疾人福利性单位声明函（价格扣除适用，若有）</w:t>
      </w:r>
    </w:p>
    <w:p w14:paraId="4DC710E4">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7CC3F8D">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002FF1F">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 ）由本投标人承建的（填写“所投采购包、品目号”）工程</w:t>
      </w:r>
    </w:p>
    <w:p w14:paraId="7A2300E7">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 ）由本投标人承接的（填写“所投采购包、品目号”）服务；</w:t>
      </w:r>
    </w:p>
    <w:p w14:paraId="6BD6BF14">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本投标人对上述声明的真实性负责。如有虚假，将依法承担相应责任。</w:t>
      </w:r>
    </w:p>
    <w:p w14:paraId="78A26EC1">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备注：</w:t>
      </w:r>
    </w:p>
    <w:p w14:paraId="4DF9D9B5">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1、请投标人按照实际情况编制填写本声明函，并在相应的（）中打“√”。</w:t>
      </w:r>
    </w:p>
    <w:p w14:paraId="6223E73E">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2、若《残疾人福利性单位声明函》内容不真实，视为提供虚假材料。</w:t>
      </w:r>
    </w:p>
    <w:p w14:paraId="34EA3A43">
      <w:pPr>
        <w:pStyle w:val="50"/>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投标人：</w:t>
      </w:r>
      <w:r>
        <w:rPr>
          <w:rFonts w:ascii="宋体" w:hAnsi="宋体" w:cs="宋体"/>
          <w:color w:val="auto"/>
          <w:sz w:val="24"/>
          <w:szCs w:val="24"/>
          <w:highlight w:val="none"/>
          <w:u w:val="single"/>
        </w:rPr>
        <w:t>（全称并加盖单位公章）</w:t>
      </w:r>
    </w:p>
    <w:p w14:paraId="002F946B">
      <w:pPr>
        <w:pStyle w:val="50"/>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r>
        <w:rPr>
          <w:rFonts w:ascii="宋体" w:hAnsi="宋体" w:cs="宋体"/>
          <w:color w:val="auto"/>
          <w:sz w:val="24"/>
          <w:szCs w:val="24"/>
          <w:highlight w:val="none"/>
        </w:rPr>
        <w:br w:type="page"/>
      </w:r>
    </w:p>
    <w:p w14:paraId="081B5746">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附：</w:t>
      </w:r>
    </w:p>
    <w:p w14:paraId="77F128E8">
      <w:pPr>
        <w:pStyle w:val="50"/>
        <w:spacing w:line="360" w:lineRule="auto"/>
        <w:jc w:val="center"/>
        <w:rPr>
          <w:rFonts w:hint="default" w:ascii="宋体" w:hAnsi="宋体" w:cs="宋体"/>
          <w:color w:val="auto"/>
          <w:sz w:val="24"/>
          <w:szCs w:val="24"/>
          <w:highlight w:val="none"/>
        </w:rPr>
      </w:pPr>
      <w:r>
        <w:rPr>
          <w:rFonts w:ascii="宋体" w:hAnsi="宋体" w:cs="宋体"/>
          <w:b/>
          <w:color w:val="auto"/>
          <w:sz w:val="24"/>
          <w:szCs w:val="24"/>
          <w:highlight w:val="none"/>
        </w:rPr>
        <w:t>监狱企业证明材料</w:t>
      </w:r>
    </w:p>
    <w:p w14:paraId="3EEAB963">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投标人为监狱企业，提供本单位制造的货物（承接的服务），并在投标文件中提供省级以上监狱管理局、戒毒管理局（含新疆生产建设兵团）出具的属于监狱企业的证明文件。</w:t>
      </w:r>
    </w:p>
    <w:p w14:paraId="6FEF2547">
      <w:pPr>
        <w:pStyle w:val="50"/>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ascii="宋体" w:hAnsi="宋体" w:cs="宋体"/>
          <w:color w:val="auto"/>
          <w:sz w:val="24"/>
          <w:szCs w:val="24"/>
          <w:highlight w:val="none"/>
        </w:rPr>
        <w:br w:type="page"/>
      </w:r>
    </w:p>
    <w:p w14:paraId="1C95E601">
      <w:pPr>
        <w:pStyle w:val="50"/>
        <w:spacing w:line="360" w:lineRule="auto"/>
        <w:jc w:val="center"/>
        <w:rPr>
          <w:rFonts w:hint="default" w:ascii="宋体" w:hAnsi="宋体" w:cs="宋体"/>
          <w:color w:val="auto"/>
          <w:sz w:val="24"/>
          <w:szCs w:val="24"/>
          <w:highlight w:val="none"/>
        </w:rPr>
      </w:pPr>
      <w:r>
        <w:rPr>
          <w:rFonts w:ascii="宋体" w:hAnsi="宋体" w:cs="宋体"/>
          <w:b/>
          <w:color w:val="auto"/>
          <w:sz w:val="24"/>
          <w:szCs w:val="24"/>
          <w:highlight w:val="none"/>
        </w:rPr>
        <w:t>3招标文件规定的其他价格扣除证明材料（若有）</w:t>
      </w:r>
    </w:p>
    <w:p w14:paraId="3C740684">
      <w:pPr>
        <w:pStyle w:val="50"/>
        <w:spacing w:line="360" w:lineRule="auto"/>
        <w:ind w:firstLine="480"/>
        <w:jc w:val="center"/>
        <w:rPr>
          <w:rFonts w:hint="default" w:ascii="宋体" w:hAnsi="宋体" w:cs="宋体"/>
          <w:color w:val="auto"/>
          <w:sz w:val="24"/>
          <w:szCs w:val="24"/>
          <w:highlight w:val="none"/>
        </w:rPr>
      </w:pPr>
      <w:r>
        <w:rPr>
          <w:rFonts w:ascii="宋体" w:hAnsi="宋体" w:cs="宋体"/>
          <w:color w:val="auto"/>
          <w:sz w:val="24"/>
          <w:szCs w:val="24"/>
          <w:highlight w:val="none"/>
        </w:rPr>
        <w:t>编制说明</w:t>
      </w:r>
    </w:p>
    <w:p w14:paraId="453BBF2F">
      <w:pPr>
        <w:pStyle w:val="50"/>
        <w:spacing w:line="360" w:lineRule="auto"/>
        <w:ind w:firstLine="480"/>
        <w:rPr>
          <w:rFonts w:hint="default" w:ascii="宋体" w:hAnsi="宋体" w:cs="宋体"/>
          <w:color w:val="auto"/>
          <w:sz w:val="24"/>
          <w:szCs w:val="24"/>
          <w:highlight w:val="none"/>
        </w:rPr>
      </w:pPr>
      <w:r>
        <w:rPr>
          <w:rFonts w:ascii="宋体" w:hAnsi="宋体" w:cs="宋体"/>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486B0224">
      <w:pPr>
        <w:spacing w:line="360" w:lineRule="auto"/>
        <w:rPr>
          <w:rFonts w:ascii="宋体" w:hAnsi="宋体" w:cs="宋体"/>
          <w:color w:val="auto"/>
          <w:sz w:val="24"/>
          <w:szCs w:val="24"/>
          <w:highlight w:val="none"/>
        </w:rPr>
      </w:pPr>
    </w:p>
    <w:p w14:paraId="5B814449">
      <w:pPr>
        <w:spacing w:line="360" w:lineRule="auto"/>
        <w:ind w:firstLine="480" w:firstLineChars="200"/>
        <w:rPr>
          <w:rFonts w:ascii="宋体" w:hAnsi="宋体" w:cs="宋体"/>
          <w:color w:val="auto"/>
          <w:kern w:val="0"/>
          <w:sz w:val="24"/>
          <w:szCs w:val="24"/>
          <w:highlight w:val="none"/>
        </w:rPr>
      </w:pPr>
    </w:p>
    <w:p w14:paraId="5380B50D">
      <w:pPr>
        <w:pStyle w:val="21"/>
        <w:ind w:firstLine="480"/>
        <w:rPr>
          <w:rFonts w:ascii="宋体" w:hAnsi="宋体" w:cs="宋体"/>
          <w:color w:val="auto"/>
          <w:kern w:val="0"/>
          <w:sz w:val="24"/>
          <w:szCs w:val="24"/>
          <w:highlight w:val="none"/>
        </w:rPr>
      </w:pPr>
    </w:p>
    <w:p w14:paraId="57AC4DF7">
      <w:pPr>
        <w:rPr>
          <w:rFonts w:ascii="宋体" w:hAnsi="宋体" w:cs="宋体"/>
          <w:color w:val="auto"/>
          <w:kern w:val="0"/>
          <w:sz w:val="24"/>
          <w:szCs w:val="24"/>
          <w:highlight w:val="none"/>
        </w:rPr>
      </w:pPr>
    </w:p>
    <w:p w14:paraId="13845672">
      <w:pPr>
        <w:pStyle w:val="21"/>
        <w:ind w:firstLine="480"/>
        <w:rPr>
          <w:rFonts w:ascii="宋体" w:hAnsi="宋体" w:cs="宋体"/>
          <w:color w:val="auto"/>
          <w:kern w:val="0"/>
          <w:sz w:val="24"/>
          <w:szCs w:val="24"/>
          <w:highlight w:val="none"/>
        </w:rPr>
      </w:pPr>
    </w:p>
    <w:p w14:paraId="454DC384">
      <w:pPr>
        <w:rPr>
          <w:rFonts w:ascii="宋体" w:hAnsi="宋体" w:cs="宋体"/>
          <w:color w:val="auto"/>
          <w:kern w:val="0"/>
          <w:sz w:val="24"/>
          <w:szCs w:val="24"/>
          <w:highlight w:val="none"/>
        </w:rPr>
      </w:pPr>
    </w:p>
    <w:p w14:paraId="2EC19BAF">
      <w:pPr>
        <w:pStyle w:val="21"/>
        <w:ind w:firstLine="480"/>
        <w:rPr>
          <w:rFonts w:ascii="宋体" w:hAnsi="宋体" w:cs="宋体"/>
          <w:color w:val="auto"/>
          <w:kern w:val="0"/>
          <w:sz w:val="24"/>
          <w:szCs w:val="24"/>
          <w:highlight w:val="none"/>
        </w:rPr>
      </w:pPr>
    </w:p>
    <w:p w14:paraId="139E30FA">
      <w:pPr>
        <w:rPr>
          <w:rFonts w:ascii="宋体" w:hAnsi="宋体" w:cs="宋体"/>
          <w:color w:val="auto"/>
          <w:kern w:val="0"/>
          <w:sz w:val="24"/>
          <w:szCs w:val="24"/>
          <w:highlight w:val="none"/>
        </w:rPr>
      </w:pPr>
    </w:p>
    <w:p w14:paraId="77FD8D95">
      <w:pPr>
        <w:pStyle w:val="21"/>
        <w:ind w:firstLine="480"/>
        <w:rPr>
          <w:rFonts w:ascii="宋体" w:hAnsi="宋体" w:cs="宋体"/>
          <w:color w:val="auto"/>
          <w:kern w:val="0"/>
          <w:sz w:val="24"/>
          <w:szCs w:val="24"/>
          <w:highlight w:val="none"/>
        </w:rPr>
      </w:pPr>
    </w:p>
    <w:p w14:paraId="40C841A4">
      <w:pPr>
        <w:rPr>
          <w:rFonts w:ascii="宋体" w:hAnsi="宋体" w:cs="宋体"/>
          <w:color w:val="auto"/>
          <w:kern w:val="0"/>
          <w:sz w:val="24"/>
          <w:szCs w:val="24"/>
          <w:highlight w:val="none"/>
        </w:rPr>
      </w:pPr>
    </w:p>
    <w:p w14:paraId="31A75D00">
      <w:pPr>
        <w:pStyle w:val="21"/>
        <w:ind w:firstLine="480"/>
        <w:rPr>
          <w:rFonts w:ascii="宋体" w:hAnsi="宋体" w:cs="宋体"/>
          <w:color w:val="auto"/>
          <w:kern w:val="0"/>
          <w:sz w:val="24"/>
          <w:szCs w:val="24"/>
          <w:highlight w:val="none"/>
        </w:rPr>
      </w:pPr>
    </w:p>
    <w:p w14:paraId="64340DE4">
      <w:pPr>
        <w:rPr>
          <w:rFonts w:ascii="宋体" w:hAnsi="宋体" w:cs="宋体"/>
          <w:color w:val="auto"/>
          <w:kern w:val="0"/>
          <w:sz w:val="24"/>
          <w:szCs w:val="24"/>
          <w:highlight w:val="none"/>
        </w:rPr>
      </w:pPr>
    </w:p>
    <w:p w14:paraId="2DB225BC">
      <w:pPr>
        <w:pStyle w:val="21"/>
        <w:ind w:firstLine="480"/>
        <w:rPr>
          <w:rFonts w:ascii="宋体" w:hAnsi="宋体" w:cs="宋体"/>
          <w:color w:val="auto"/>
          <w:kern w:val="0"/>
          <w:sz w:val="24"/>
          <w:szCs w:val="24"/>
          <w:highlight w:val="none"/>
        </w:rPr>
      </w:pPr>
    </w:p>
    <w:p w14:paraId="3628CBD7">
      <w:pPr>
        <w:rPr>
          <w:rFonts w:ascii="宋体" w:hAnsi="宋体" w:cs="宋体"/>
          <w:color w:val="auto"/>
          <w:kern w:val="0"/>
          <w:sz w:val="24"/>
          <w:szCs w:val="24"/>
          <w:highlight w:val="none"/>
        </w:rPr>
      </w:pPr>
    </w:p>
    <w:p w14:paraId="0A8203A4">
      <w:pPr>
        <w:pStyle w:val="21"/>
        <w:ind w:firstLine="480"/>
        <w:rPr>
          <w:rFonts w:ascii="宋体" w:hAnsi="宋体" w:cs="宋体"/>
          <w:color w:val="auto"/>
          <w:kern w:val="0"/>
          <w:sz w:val="24"/>
          <w:szCs w:val="24"/>
          <w:highlight w:val="none"/>
        </w:rPr>
      </w:pPr>
    </w:p>
    <w:p w14:paraId="75C9B5D1">
      <w:pPr>
        <w:rPr>
          <w:rFonts w:ascii="宋体" w:hAnsi="宋体" w:cs="宋体"/>
          <w:color w:val="auto"/>
          <w:kern w:val="0"/>
          <w:sz w:val="24"/>
          <w:szCs w:val="24"/>
          <w:highlight w:val="none"/>
        </w:rPr>
      </w:pPr>
    </w:p>
    <w:p w14:paraId="521A22A7">
      <w:pPr>
        <w:pStyle w:val="21"/>
        <w:ind w:firstLine="480"/>
        <w:rPr>
          <w:rFonts w:ascii="宋体" w:hAnsi="宋体" w:cs="宋体"/>
          <w:color w:val="auto"/>
          <w:kern w:val="0"/>
          <w:sz w:val="24"/>
          <w:szCs w:val="24"/>
          <w:highlight w:val="none"/>
        </w:rPr>
      </w:pPr>
    </w:p>
    <w:p w14:paraId="7D74CFA5">
      <w:pPr>
        <w:rPr>
          <w:rFonts w:ascii="宋体" w:hAnsi="宋体" w:cs="宋体"/>
          <w:color w:val="auto"/>
          <w:kern w:val="0"/>
          <w:sz w:val="24"/>
          <w:szCs w:val="24"/>
          <w:highlight w:val="none"/>
        </w:rPr>
      </w:pPr>
    </w:p>
    <w:p w14:paraId="2B07D456">
      <w:pPr>
        <w:pStyle w:val="21"/>
        <w:ind w:firstLine="480"/>
        <w:rPr>
          <w:rFonts w:ascii="宋体" w:hAnsi="宋体" w:cs="宋体"/>
          <w:color w:val="auto"/>
          <w:kern w:val="0"/>
          <w:sz w:val="24"/>
          <w:szCs w:val="24"/>
          <w:highlight w:val="none"/>
        </w:rPr>
      </w:pPr>
    </w:p>
    <w:p w14:paraId="13A3CC38">
      <w:pPr>
        <w:rPr>
          <w:rFonts w:ascii="宋体" w:hAnsi="宋体" w:cs="宋体"/>
          <w:color w:val="auto"/>
          <w:kern w:val="0"/>
          <w:sz w:val="24"/>
          <w:szCs w:val="24"/>
          <w:highlight w:val="none"/>
        </w:rPr>
      </w:pPr>
    </w:p>
    <w:p w14:paraId="11FD022C">
      <w:pPr>
        <w:pStyle w:val="21"/>
        <w:ind w:firstLine="480"/>
        <w:rPr>
          <w:rFonts w:ascii="宋体" w:hAnsi="宋体" w:cs="宋体"/>
          <w:color w:val="auto"/>
          <w:kern w:val="0"/>
          <w:sz w:val="24"/>
          <w:szCs w:val="24"/>
          <w:highlight w:val="none"/>
        </w:rPr>
      </w:pPr>
    </w:p>
    <w:p w14:paraId="3293E2E3">
      <w:pPr>
        <w:rPr>
          <w:rFonts w:ascii="宋体" w:hAnsi="宋体" w:cs="宋体"/>
          <w:color w:val="auto"/>
          <w:kern w:val="0"/>
          <w:sz w:val="24"/>
          <w:szCs w:val="24"/>
          <w:highlight w:val="none"/>
        </w:rPr>
      </w:pPr>
    </w:p>
    <w:p w14:paraId="26D23CED">
      <w:pPr>
        <w:pStyle w:val="21"/>
        <w:ind w:firstLine="480"/>
        <w:rPr>
          <w:rFonts w:ascii="宋体" w:hAnsi="宋体" w:cs="宋体"/>
          <w:color w:val="auto"/>
          <w:kern w:val="0"/>
          <w:sz w:val="24"/>
          <w:szCs w:val="24"/>
          <w:highlight w:val="none"/>
        </w:rPr>
      </w:pPr>
    </w:p>
    <w:p w14:paraId="787EB276">
      <w:pPr>
        <w:rPr>
          <w:rFonts w:ascii="宋体" w:hAnsi="宋体" w:cs="宋体"/>
          <w:color w:val="auto"/>
          <w:kern w:val="0"/>
          <w:sz w:val="24"/>
          <w:szCs w:val="24"/>
          <w:highlight w:val="none"/>
        </w:rPr>
      </w:pPr>
    </w:p>
    <w:p w14:paraId="7F0707FB">
      <w:pPr>
        <w:pStyle w:val="21"/>
        <w:ind w:firstLine="480"/>
        <w:rPr>
          <w:rFonts w:ascii="宋体" w:hAnsi="宋体" w:cs="宋体"/>
          <w:color w:val="auto"/>
          <w:kern w:val="0"/>
          <w:sz w:val="24"/>
          <w:szCs w:val="24"/>
          <w:highlight w:val="none"/>
        </w:rPr>
      </w:pPr>
    </w:p>
    <w:p w14:paraId="1D4437AD">
      <w:pPr>
        <w:rPr>
          <w:rFonts w:ascii="宋体" w:hAnsi="宋体" w:cs="宋体"/>
          <w:color w:val="auto"/>
          <w:kern w:val="0"/>
          <w:sz w:val="24"/>
          <w:szCs w:val="24"/>
          <w:highlight w:val="none"/>
        </w:rPr>
      </w:pPr>
    </w:p>
    <w:p w14:paraId="4C4AF0D2">
      <w:pPr>
        <w:pStyle w:val="21"/>
        <w:ind w:firstLine="480"/>
        <w:rPr>
          <w:rFonts w:ascii="宋体" w:hAnsi="宋体" w:cs="宋体"/>
          <w:color w:val="auto"/>
          <w:kern w:val="0"/>
          <w:sz w:val="24"/>
          <w:szCs w:val="24"/>
          <w:highlight w:val="none"/>
        </w:rPr>
      </w:pPr>
    </w:p>
    <w:p w14:paraId="2A602FFC">
      <w:pPr>
        <w:rPr>
          <w:color w:val="auto"/>
          <w:highlight w:val="none"/>
        </w:rPr>
      </w:pPr>
    </w:p>
    <w:p w14:paraId="2A94A9AE">
      <w:pPr>
        <w:spacing w:line="360" w:lineRule="auto"/>
        <w:ind w:firstLine="480" w:firstLineChars="200"/>
        <w:rPr>
          <w:rFonts w:ascii="宋体" w:hAnsi="宋体" w:cs="宋体"/>
          <w:color w:val="auto"/>
          <w:kern w:val="0"/>
          <w:sz w:val="24"/>
          <w:szCs w:val="24"/>
          <w:highlight w:val="none"/>
        </w:rPr>
      </w:pPr>
    </w:p>
    <w:p w14:paraId="2A4BAFB1">
      <w:pPr>
        <w:spacing w:line="360" w:lineRule="auto"/>
        <w:ind w:firstLine="480" w:firstLineChars="200"/>
        <w:rPr>
          <w:rFonts w:ascii="宋体" w:hAnsi="宋体" w:cs="宋体"/>
          <w:color w:val="auto"/>
          <w:kern w:val="0"/>
          <w:sz w:val="24"/>
          <w:szCs w:val="24"/>
          <w:highlight w:val="none"/>
        </w:rPr>
      </w:pPr>
    </w:p>
    <w:p w14:paraId="40B99621">
      <w:pPr>
        <w:spacing w:line="360" w:lineRule="auto"/>
        <w:ind w:firstLine="480" w:firstLineChars="200"/>
        <w:rPr>
          <w:rFonts w:ascii="宋体" w:hAnsi="宋体" w:cs="宋体"/>
          <w:color w:val="auto"/>
          <w:kern w:val="0"/>
          <w:sz w:val="24"/>
          <w:szCs w:val="24"/>
          <w:highlight w:val="none"/>
        </w:rPr>
      </w:pPr>
    </w:p>
    <w:p w14:paraId="6378F7D3">
      <w:pPr>
        <w:spacing w:line="360" w:lineRule="auto"/>
        <w:ind w:firstLine="480" w:firstLineChars="200"/>
        <w:rPr>
          <w:rFonts w:ascii="宋体" w:hAnsi="宋体" w:cs="宋体"/>
          <w:color w:val="auto"/>
          <w:kern w:val="0"/>
          <w:sz w:val="24"/>
          <w:szCs w:val="24"/>
          <w:highlight w:val="none"/>
        </w:rPr>
      </w:pPr>
    </w:p>
    <w:p w14:paraId="5C33552E">
      <w:pPr>
        <w:spacing w:line="360" w:lineRule="auto"/>
        <w:ind w:firstLine="480" w:firstLineChars="200"/>
        <w:rPr>
          <w:rFonts w:ascii="宋体" w:hAnsi="宋体" w:cs="宋体"/>
          <w:color w:val="auto"/>
          <w:kern w:val="0"/>
          <w:sz w:val="24"/>
          <w:szCs w:val="24"/>
          <w:highlight w:val="none"/>
        </w:rPr>
      </w:pPr>
    </w:p>
    <w:p w14:paraId="0357C24A">
      <w:pPr>
        <w:spacing w:line="560" w:lineRule="exact"/>
        <w:ind w:firstLine="1405" w:firstLineChars="500"/>
        <w:jc w:val="center"/>
        <w:rPr>
          <w:bCs/>
          <w:color w:val="auto"/>
          <w:sz w:val="28"/>
          <w:szCs w:val="32"/>
          <w:highlight w:val="none"/>
        </w:rPr>
      </w:pPr>
      <w:bookmarkStart w:id="237" w:name="_Toc19027"/>
      <w:bookmarkStart w:id="238" w:name="_Toc19199"/>
      <w:bookmarkStart w:id="239" w:name="_Toc32229"/>
      <w:bookmarkStart w:id="240" w:name="_Toc21690"/>
      <w:bookmarkStart w:id="241" w:name="_Toc16214"/>
      <w:bookmarkStart w:id="242" w:name="_Toc21783"/>
      <w:bookmarkStart w:id="243" w:name="_Toc5361"/>
      <w:bookmarkStart w:id="244" w:name="_Toc9068"/>
      <w:bookmarkStart w:id="245" w:name="_Toc7947"/>
      <w:r>
        <w:rPr>
          <w:rFonts w:hint="eastAsia"/>
          <w:b/>
          <w:bCs/>
          <w:color w:val="auto"/>
          <w:sz w:val="28"/>
          <w:szCs w:val="32"/>
          <w:highlight w:val="none"/>
        </w:rPr>
        <w:t>附件：福建省政府采购供应商资格承诺函</w:t>
      </w:r>
      <w:bookmarkEnd w:id="237"/>
      <w:bookmarkEnd w:id="238"/>
      <w:bookmarkEnd w:id="239"/>
      <w:bookmarkEnd w:id="240"/>
      <w:bookmarkEnd w:id="241"/>
      <w:bookmarkEnd w:id="242"/>
      <w:bookmarkEnd w:id="243"/>
      <w:bookmarkEnd w:id="244"/>
      <w:bookmarkEnd w:id="245"/>
    </w:p>
    <w:p w14:paraId="0B5DF4EE">
      <w:pPr>
        <w:spacing w:line="560" w:lineRule="exact"/>
        <w:rPr>
          <w:rFonts w:ascii="仿宋" w:hAnsi="仿宋" w:eastAsia="仿宋" w:cs="仿宋"/>
          <w:color w:val="auto"/>
          <w:sz w:val="32"/>
          <w:szCs w:val="32"/>
          <w:highlight w:val="none"/>
        </w:rPr>
      </w:pPr>
    </w:p>
    <w:p w14:paraId="70336432">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75AACA7F">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4FE6AB23">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6DFEFC1A">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6747436F">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B3B33D1">
      <w:pPr>
        <w:spacing w:line="560" w:lineRule="exact"/>
        <w:rPr>
          <w:rFonts w:ascii="宋体" w:hAnsi="宋体" w:cs="宋体"/>
          <w:color w:val="auto"/>
          <w:sz w:val="24"/>
          <w:szCs w:val="24"/>
          <w:highlight w:val="none"/>
        </w:rPr>
      </w:pPr>
    </w:p>
    <w:p w14:paraId="6BB5085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533EE09">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一、我单位（本人）具备招标文件要求以及《中华人民共和国政府采购法》第二十二条规定的条件：</w:t>
      </w:r>
    </w:p>
    <w:p w14:paraId="569B6135">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648023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DDFBDF3">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ACF2BF6">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0F89C9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40CF870C">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634C0A40">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0660B5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73EDFA9">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投标人名称（单位公章）：</w:t>
      </w:r>
    </w:p>
    <w:p w14:paraId="668974B8">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8E8C3A7">
      <w:pPr>
        <w:spacing w:line="560" w:lineRule="exact"/>
        <w:rPr>
          <w:rFonts w:ascii="仿宋" w:hAnsi="仿宋" w:eastAsia="仿宋" w:cs="仿宋"/>
          <w:color w:val="auto"/>
          <w:sz w:val="32"/>
          <w:szCs w:val="32"/>
          <w:highlight w:val="none"/>
        </w:rPr>
      </w:pPr>
    </w:p>
    <w:p w14:paraId="5BE5E434">
      <w:pPr>
        <w:spacing w:line="560" w:lineRule="exact"/>
        <w:rPr>
          <w:rFonts w:ascii="仿宋" w:hAnsi="仿宋" w:eastAsia="仿宋" w:cs="仿宋"/>
          <w:color w:val="auto"/>
          <w:sz w:val="32"/>
          <w:szCs w:val="32"/>
          <w:highlight w:val="none"/>
        </w:rPr>
      </w:pPr>
    </w:p>
    <w:p w14:paraId="3D03D39C">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34EA9C5">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587D8A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2.资格承诺的投标人应在投标（响应）文件中按此模板提供承诺函，否则，视为未按照招标文件规定提交投标人的资格及资信文件，按资格审查不通过处理。</w:t>
      </w:r>
    </w:p>
    <w:p w14:paraId="52CF9BBB">
      <w:pPr>
        <w:spacing w:line="360" w:lineRule="auto"/>
        <w:rPr>
          <w:rFonts w:ascii="宋体" w:hAnsi="宋体" w:cs="宋体"/>
          <w:color w:val="auto"/>
          <w:sz w:val="24"/>
          <w:szCs w:val="24"/>
          <w:highlight w:val="none"/>
        </w:rPr>
      </w:pPr>
    </w:p>
    <w:bookmarkEnd w:id="246"/>
    <w:sectPr>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F1E0">
    <w:pPr>
      <w:pStyle w:val="13"/>
      <w:rPr>
        <w:rFonts w:ascii="宋体" w:hAnsi="宋体"/>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06BD">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6AE06BD">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r>
      <w:rPr>
        <w:rFonts w:hint="eastAsia"/>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A565">
    <w:pPr>
      <w:pStyle w:val="13"/>
      <w:jc w:val="center"/>
    </w:pPr>
    <w:r>
      <w:rPr>
        <w:rFonts w:hint="eastAsia"/>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FD7D4">
    <w:pPr>
      <w:pStyle w:val="13"/>
      <w:rPr>
        <w:rFonts w:ascii="宋体" w:hAns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67702">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F567702">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95884">
                          <w:pPr>
                            <w:pStyle w:val="13"/>
                          </w:pPr>
                        </w:p>
                        <w:p w14:paraId="0E2F095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A95884">
                    <w:pPr>
                      <w:pStyle w:val="13"/>
                    </w:pPr>
                  </w:p>
                  <w:p w14:paraId="0E2F0954"/>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D2A4">
    <w:pPr>
      <w:pStyle w:val="13"/>
      <w:tabs>
        <w:tab w:val="right" w:pos="8460"/>
        <w:tab w:val="clear" w:pos="8306"/>
      </w:tabs>
      <w:ind w:right="-89" w:firstLine="420"/>
      <w:rPr>
        <w:rFonts w:ascii="宋体" w:hAns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C8378">
                          <w:pPr>
                            <w:pStyle w:val="13"/>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4C8378">
                    <w:pPr>
                      <w:pStyle w:val="13"/>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AA101">
                          <w:pPr>
                            <w:pStyle w:val="13"/>
                            <w:tabs>
                              <w:tab w:val="right" w:pos="8460"/>
                              <w:tab w:val="clear" w:pos="8306"/>
                            </w:tabs>
                            <w:ind w:right="-89" w:firstLine="420"/>
                          </w:pPr>
                        </w:p>
                        <w:p w14:paraId="1941842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3AA101">
                    <w:pPr>
                      <w:pStyle w:val="13"/>
                      <w:tabs>
                        <w:tab w:val="right" w:pos="8460"/>
                        <w:tab w:val="clear" w:pos="8306"/>
                      </w:tabs>
                      <w:ind w:right="-89" w:firstLine="420"/>
                    </w:pPr>
                  </w:p>
                  <w:p w14:paraId="1941842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68871">
    <w:pPr>
      <w:pStyle w:val="13"/>
      <w:tabs>
        <w:tab w:val="right" w:pos="8460"/>
        <w:tab w:val="clear" w:pos="8306"/>
      </w:tabs>
      <w:ind w:right="-89" w:firstLine="420"/>
      <w:rPr>
        <w:rFonts w:ascii="宋体" w:hAns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15B0D">
                          <w:pPr>
                            <w:pStyle w:val="13"/>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9915B0D">
                    <w:pPr>
                      <w:pStyle w:val="13"/>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543B">
    <w:pPr>
      <w:pStyle w:val="13"/>
      <w:tabs>
        <w:tab w:val="right" w:pos="8460"/>
        <w:tab w:val="clear" w:pos="8306"/>
      </w:tabs>
      <w:ind w:right="-89" w:firstLine="420"/>
      <w:jc w:val="center"/>
      <w:rPr>
        <w:rFonts w:ascii="宋体" w:hAns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0C5D1">
                          <w:pPr>
                            <w:pStyle w:val="13"/>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370C5D1">
                    <w:pPr>
                      <w:pStyle w:val="13"/>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BCB0">
    <w:pPr>
      <w:pStyle w:val="13"/>
      <w:tabs>
        <w:tab w:val="right" w:pos="8460"/>
        <w:tab w:val="clear" w:pos="8306"/>
      </w:tabs>
      <w:ind w:right="-89" w:firstLine="420"/>
      <w:rPr>
        <w:rFonts w:ascii="宋体" w:hAnsi="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443CF">
                          <w:pPr>
                            <w:pStyle w:val="13"/>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E443CF">
                    <w:pPr>
                      <w:pStyle w:val="13"/>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5EF1">
    <w:pPr>
      <w:pStyle w:val="13"/>
      <w:tabs>
        <w:tab w:val="right" w:pos="8460"/>
        <w:tab w:val="clear" w:pos="8306"/>
      </w:tabs>
      <w:ind w:right="-89" w:firstLine="420"/>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0FD2B">
                          <w:pPr>
                            <w:pStyle w:val="13"/>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AF0FD2B">
                    <w:pPr>
                      <w:pStyle w:val="13"/>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138</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9CF85">
                          <w:pPr>
                            <w:pStyle w:val="13"/>
                            <w:tabs>
                              <w:tab w:val="right" w:pos="8460"/>
                              <w:tab w:val="clear" w:pos="8306"/>
                            </w:tabs>
                            <w:ind w:right="-89" w:firstLine="420"/>
                          </w:pPr>
                        </w:p>
                        <w:p w14:paraId="5B31BB5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0D9CF85">
                    <w:pPr>
                      <w:pStyle w:val="13"/>
                      <w:tabs>
                        <w:tab w:val="right" w:pos="8460"/>
                        <w:tab w:val="clear" w:pos="8306"/>
                      </w:tabs>
                      <w:ind w:right="-89" w:firstLine="420"/>
                    </w:pPr>
                  </w:p>
                  <w:p w14:paraId="5B31BB5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262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B08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8E3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55DE4"/>
    <w:multiLevelType w:val="singleLevel"/>
    <w:tmpl w:val="A2755DE4"/>
    <w:lvl w:ilvl="0" w:tentative="0">
      <w:start w:val="8"/>
      <w:numFmt w:val="decimal"/>
      <w:suff w:val="space"/>
      <w:lvlText w:val="%1."/>
      <w:lvlJc w:val="left"/>
    </w:lvl>
  </w:abstractNum>
  <w:abstractNum w:abstractNumId="1">
    <w:nsid w:val="B6383CFF"/>
    <w:multiLevelType w:val="singleLevel"/>
    <w:tmpl w:val="B6383CFF"/>
    <w:lvl w:ilvl="0" w:tentative="0">
      <w:start w:val="1"/>
      <w:numFmt w:val="decimal"/>
      <w:suff w:val="nothing"/>
      <w:lvlText w:val="%1."/>
      <w:lvlJc w:val="left"/>
      <w:pPr>
        <w:ind w:left="425" w:hanging="425"/>
      </w:pPr>
      <w:rPr>
        <w:rFonts w:hint="default"/>
      </w:rPr>
    </w:lvl>
  </w:abstractNum>
  <w:abstractNum w:abstractNumId="2">
    <w:nsid w:val="25778C3F"/>
    <w:multiLevelType w:val="singleLevel"/>
    <w:tmpl w:val="25778C3F"/>
    <w:lvl w:ilvl="0" w:tentative="0">
      <w:start w:val="1"/>
      <w:numFmt w:val="decimal"/>
      <w:suff w:val="nothing"/>
      <w:lvlText w:val="%1."/>
      <w:lvlJc w:val="left"/>
      <w:pPr>
        <w:ind w:left="425" w:hanging="425"/>
      </w:pPr>
      <w:rPr>
        <w:rFonts w:hint="default"/>
      </w:rPr>
    </w:lvl>
  </w:abstractNum>
  <w:abstractNum w:abstractNumId="3">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CF1A184"/>
    <w:multiLevelType w:val="singleLevel"/>
    <w:tmpl w:val="5CF1A184"/>
    <w:lvl w:ilvl="0" w:tentative="0">
      <w:start w:val="1"/>
      <w:numFmt w:val="decimal"/>
      <w:suff w:val="nothing"/>
      <w:lvlText w:val="%1."/>
      <w:lvlJc w:val="left"/>
      <w:pPr>
        <w:ind w:left="425" w:hanging="425"/>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wM2ZiOWQ3ZmM5OTkzNDNmMzMwMzMxYWJkN2U1ZDkifQ=="/>
  </w:docVars>
  <w:rsids>
    <w:rsidRoot w:val="00826F6A"/>
    <w:rsid w:val="0000763D"/>
    <w:rsid w:val="000152AD"/>
    <w:rsid w:val="000303E7"/>
    <w:rsid w:val="00030994"/>
    <w:rsid w:val="0003423D"/>
    <w:rsid w:val="000368BF"/>
    <w:rsid w:val="0004020A"/>
    <w:rsid w:val="0004037A"/>
    <w:rsid w:val="0006215C"/>
    <w:rsid w:val="000732C5"/>
    <w:rsid w:val="00093FB5"/>
    <w:rsid w:val="000971CF"/>
    <w:rsid w:val="000A142F"/>
    <w:rsid w:val="000C6E0C"/>
    <w:rsid w:val="000D10A5"/>
    <w:rsid w:val="000D3DD5"/>
    <w:rsid w:val="000F52A7"/>
    <w:rsid w:val="000F5947"/>
    <w:rsid w:val="001023CD"/>
    <w:rsid w:val="0010649F"/>
    <w:rsid w:val="00107D2E"/>
    <w:rsid w:val="001133E9"/>
    <w:rsid w:val="00127096"/>
    <w:rsid w:val="0013739F"/>
    <w:rsid w:val="00177F84"/>
    <w:rsid w:val="00180359"/>
    <w:rsid w:val="00190732"/>
    <w:rsid w:val="001A1C93"/>
    <w:rsid w:val="001B3193"/>
    <w:rsid w:val="001C29C5"/>
    <w:rsid w:val="001C5537"/>
    <w:rsid w:val="001D64B6"/>
    <w:rsid w:val="001E2607"/>
    <w:rsid w:val="001E2E13"/>
    <w:rsid w:val="001E4519"/>
    <w:rsid w:val="001E7B5A"/>
    <w:rsid w:val="001F17B3"/>
    <w:rsid w:val="001F20E6"/>
    <w:rsid w:val="001F3294"/>
    <w:rsid w:val="00203852"/>
    <w:rsid w:val="002119A4"/>
    <w:rsid w:val="00217737"/>
    <w:rsid w:val="00232532"/>
    <w:rsid w:val="00243998"/>
    <w:rsid w:val="00253179"/>
    <w:rsid w:val="00256E7E"/>
    <w:rsid w:val="002601F2"/>
    <w:rsid w:val="00264A60"/>
    <w:rsid w:val="002907E8"/>
    <w:rsid w:val="00293316"/>
    <w:rsid w:val="002A022E"/>
    <w:rsid w:val="002A4CB3"/>
    <w:rsid w:val="002A6A1D"/>
    <w:rsid w:val="002B3DE6"/>
    <w:rsid w:val="002C540F"/>
    <w:rsid w:val="002D5013"/>
    <w:rsid w:val="002E15EC"/>
    <w:rsid w:val="002E327E"/>
    <w:rsid w:val="002F23EA"/>
    <w:rsid w:val="002F2695"/>
    <w:rsid w:val="003243BD"/>
    <w:rsid w:val="0032711D"/>
    <w:rsid w:val="00330CEB"/>
    <w:rsid w:val="00336DE3"/>
    <w:rsid w:val="00350D15"/>
    <w:rsid w:val="00395616"/>
    <w:rsid w:val="003C1D35"/>
    <w:rsid w:val="003C629E"/>
    <w:rsid w:val="003C73AA"/>
    <w:rsid w:val="003D03FA"/>
    <w:rsid w:val="003D1A46"/>
    <w:rsid w:val="003E1F27"/>
    <w:rsid w:val="003F1900"/>
    <w:rsid w:val="00411025"/>
    <w:rsid w:val="00435F2D"/>
    <w:rsid w:val="00451ADF"/>
    <w:rsid w:val="00480B8C"/>
    <w:rsid w:val="004813F9"/>
    <w:rsid w:val="00495F11"/>
    <w:rsid w:val="004A26E5"/>
    <w:rsid w:val="004B334F"/>
    <w:rsid w:val="004B4025"/>
    <w:rsid w:val="004C456F"/>
    <w:rsid w:val="004C7ADC"/>
    <w:rsid w:val="004D263D"/>
    <w:rsid w:val="004E2C29"/>
    <w:rsid w:val="00512E7A"/>
    <w:rsid w:val="00522DD8"/>
    <w:rsid w:val="00543E58"/>
    <w:rsid w:val="00572D9C"/>
    <w:rsid w:val="00580C4E"/>
    <w:rsid w:val="00590201"/>
    <w:rsid w:val="005F5E74"/>
    <w:rsid w:val="006175EC"/>
    <w:rsid w:val="006333DA"/>
    <w:rsid w:val="00651935"/>
    <w:rsid w:val="006616EA"/>
    <w:rsid w:val="00665E35"/>
    <w:rsid w:val="00676FCA"/>
    <w:rsid w:val="006819BC"/>
    <w:rsid w:val="0069383D"/>
    <w:rsid w:val="006975F4"/>
    <w:rsid w:val="006B0797"/>
    <w:rsid w:val="006E11B4"/>
    <w:rsid w:val="007068F1"/>
    <w:rsid w:val="007173DC"/>
    <w:rsid w:val="007200A5"/>
    <w:rsid w:val="007206C4"/>
    <w:rsid w:val="00722957"/>
    <w:rsid w:val="0074258A"/>
    <w:rsid w:val="00747980"/>
    <w:rsid w:val="00770DD1"/>
    <w:rsid w:val="00771713"/>
    <w:rsid w:val="0077752A"/>
    <w:rsid w:val="00797ED3"/>
    <w:rsid w:val="007A6B2B"/>
    <w:rsid w:val="007B0E13"/>
    <w:rsid w:val="007C1F16"/>
    <w:rsid w:val="007C6568"/>
    <w:rsid w:val="007D350F"/>
    <w:rsid w:val="007E5D94"/>
    <w:rsid w:val="007E5F12"/>
    <w:rsid w:val="007F64F1"/>
    <w:rsid w:val="007F6AD6"/>
    <w:rsid w:val="0082306F"/>
    <w:rsid w:val="00825E95"/>
    <w:rsid w:val="00826F6A"/>
    <w:rsid w:val="0085235B"/>
    <w:rsid w:val="00874F39"/>
    <w:rsid w:val="008850F5"/>
    <w:rsid w:val="008A5508"/>
    <w:rsid w:val="008B6210"/>
    <w:rsid w:val="008C3834"/>
    <w:rsid w:val="008C7892"/>
    <w:rsid w:val="008C7A28"/>
    <w:rsid w:val="008D2F3D"/>
    <w:rsid w:val="008E36AA"/>
    <w:rsid w:val="008F6E12"/>
    <w:rsid w:val="00904ABB"/>
    <w:rsid w:val="009273A5"/>
    <w:rsid w:val="009571A8"/>
    <w:rsid w:val="00965B65"/>
    <w:rsid w:val="00991887"/>
    <w:rsid w:val="00997AA5"/>
    <w:rsid w:val="009A536D"/>
    <w:rsid w:val="009E2E37"/>
    <w:rsid w:val="00A00100"/>
    <w:rsid w:val="00A11D47"/>
    <w:rsid w:val="00A20992"/>
    <w:rsid w:val="00A23508"/>
    <w:rsid w:val="00A24E67"/>
    <w:rsid w:val="00A25A7C"/>
    <w:rsid w:val="00A26E0E"/>
    <w:rsid w:val="00A3079F"/>
    <w:rsid w:val="00A43E9B"/>
    <w:rsid w:val="00A4666A"/>
    <w:rsid w:val="00A46EF5"/>
    <w:rsid w:val="00A504BB"/>
    <w:rsid w:val="00A5516F"/>
    <w:rsid w:val="00A569FC"/>
    <w:rsid w:val="00A62565"/>
    <w:rsid w:val="00A6554D"/>
    <w:rsid w:val="00A732D3"/>
    <w:rsid w:val="00A774EB"/>
    <w:rsid w:val="00A81BA7"/>
    <w:rsid w:val="00A838F7"/>
    <w:rsid w:val="00AB449C"/>
    <w:rsid w:val="00AB5097"/>
    <w:rsid w:val="00AB5A0E"/>
    <w:rsid w:val="00AD1791"/>
    <w:rsid w:val="00AD32AF"/>
    <w:rsid w:val="00AE3D28"/>
    <w:rsid w:val="00AF348C"/>
    <w:rsid w:val="00B16858"/>
    <w:rsid w:val="00B25FF0"/>
    <w:rsid w:val="00B277B8"/>
    <w:rsid w:val="00B35523"/>
    <w:rsid w:val="00B50E57"/>
    <w:rsid w:val="00B644AC"/>
    <w:rsid w:val="00B65A20"/>
    <w:rsid w:val="00B8196C"/>
    <w:rsid w:val="00B867E1"/>
    <w:rsid w:val="00B87A2E"/>
    <w:rsid w:val="00B9489F"/>
    <w:rsid w:val="00BA0646"/>
    <w:rsid w:val="00BA20E7"/>
    <w:rsid w:val="00BB0022"/>
    <w:rsid w:val="00BC4F82"/>
    <w:rsid w:val="00BD0311"/>
    <w:rsid w:val="00BE38E5"/>
    <w:rsid w:val="00BF1DC6"/>
    <w:rsid w:val="00BF394F"/>
    <w:rsid w:val="00BF431E"/>
    <w:rsid w:val="00C270C9"/>
    <w:rsid w:val="00C31E35"/>
    <w:rsid w:val="00C52B5B"/>
    <w:rsid w:val="00C54628"/>
    <w:rsid w:val="00C60353"/>
    <w:rsid w:val="00C778BA"/>
    <w:rsid w:val="00C82823"/>
    <w:rsid w:val="00C82D76"/>
    <w:rsid w:val="00C91D90"/>
    <w:rsid w:val="00CA4F79"/>
    <w:rsid w:val="00CB724C"/>
    <w:rsid w:val="00CC58AD"/>
    <w:rsid w:val="00CE61EE"/>
    <w:rsid w:val="00D03C8F"/>
    <w:rsid w:val="00D050E1"/>
    <w:rsid w:val="00D14B11"/>
    <w:rsid w:val="00D31DEA"/>
    <w:rsid w:val="00D42529"/>
    <w:rsid w:val="00D4331E"/>
    <w:rsid w:val="00D43701"/>
    <w:rsid w:val="00D4560F"/>
    <w:rsid w:val="00D57022"/>
    <w:rsid w:val="00D631A0"/>
    <w:rsid w:val="00D814DD"/>
    <w:rsid w:val="00D87BB7"/>
    <w:rsid w:val="00D90C1F"/>
    <w:rsid w:val="00D94B49"/>
    <w:rsid w:val="00DA15F2"/>
    <w:rsid w:val="00DA2FA7"/>
    <w:rsid w:val="00DB3C87"/>
    <w:rsid w:val="00DC2203"/>
    <w:rsid w:val="00DD4AD1"/>
    <w:rsid w:val="00DE335B"/>
    <w:rsid w:val="00DE54F3"/>
    <w:rsid w:val="00E00BE6"/>
    <w:rsid w:val="00E23A8B"/>
    <w:rsid w:val="00E23C47"/>
    <w:rsid w:val="00E23CB8"/>
    <w:rsid w:val="00E4442C"/>
    <w:rsid w:val="00E466D0"/>
    <w:rsid w:val="00E46946"/>
    <w:rsid w:val="00E56D42"/>
    <w:rsid w:val="00E63028"/>
    <w:rsid w:val="00E7401C"/>
    <w:rsid w:val="00E80B7C"/>
    <w:rsid w:val="00E9294C"/>
    <w:rsid w:val="00EA1A54"/>
    <w:rsid w:val="00EA3B0F"/>
    <w:rsid w:val="00ED0F4F"/>
    <w:rsid w:val="00ED38F5"/>
    <w:rsid w:val="00EE25A8"/>
    <w:rsid w:val="00F0251E"/>
    <w:rsid w:val="00F11077"/>
    <w:rsid w:val="00F15DE7"/>
    <w:rsid w:val="00F27BF7"/>
    <w:rsid w:val="00F35172"/>
    <w:rsid w:val="00F35205"/>
    <w:rsid w:val="00F400E4"/>
    <w:rsid w:val="00F4346C"/>
    <w:rsid w:val="00F63CF3"/>
    <w:rsid w:val="00F705F5"/>
    <w:rsid w:val="00F7074B"/>
    <w:rsid w:val="00F752F6"/>
    <w:rsid w:val="00F77DED"/>
    <w:rsid w:val="00F77E32"/>
    <w:rsid w:val="00FA342C"/>
    <w:rsid w:val="00FC0838"/>
    <w:rsid w:val="00FE1A5A"/>
    <w:rsid w:val="00FE3F5F"/>
    <w:rsid w:val="00FF23C9"/>
    <w:rsid w:val="00FF57CB"/>
    <w:rsid w:val="010F32B3"/>
    <w:rsid w:val="01143012"/>
    <w:rsid w:val="02323469"/>
    <w:rsid w:val="024A7757"/>
    <w:rsid w:val="02536BE6"/>
    <w:rsid w:val="0300080B"/>
    <w:rsid w:val="038631D7"/>
    <w:rsid w:val="039140FC"/>
    <w:rsid w:val="04C5597B"/>
    <w:rsid w:val="062B1963"/>
    <w:rsid w:val="06F2475A"/>
    <w:rsid w:val="06FE510A"/>
    <w:rsid w:val="07A2450E"/>
    <w:rsid w:val="087A735F"/>
    <w:rsid w:val="0889710E"/>
    <w:rsid w:val="0936076A"/>
    <w:rsid w:val="09BC3060"/>
    <w:rsid w:val="09FE5DD3"/>
    <w:rsid w:val="0AE20B0A"/>
    <w:rsid w:val="0B2901D8"/>
    <w:rsid w:val="0C332BBF"/>
    <w:rsid w:val="0C61547A"/>
    <w:rsid w:val="0CB4643F"/>
    <w:rsid w:val="0DA77328"/>
    <w:rsid w:val="0EE22232"/>
    <w:rsid w:val="0EFA3676"/>
    <w:rsid w:val="10503BCB"/>
    <w:rsid w:val="115754C3"/>
    <w:rsid w:val="11A1473D"/>
    <w:rsid w:val="11B26EFD"/>
    <w:rsid w:val="123C3BCD"/>
    <w:rsid w:val="123F3855"/>
    <w:rsid w:val="125208D6"/>
    <w:rsid w:val="12EB1F4D"/>
    <w:rsid w:val="14015FB3"/>
    <w:rsid w:val="144813FA"/>
    <w:rsid w:val="14B34588"/>
    <w:rsid w:val="152F704F"/>
    <w:rsid w:val="1571556E"/>
    <w:rsid w:val="15EC4E58"/>
    <w:rsid w:val="16B1683C"/>
    <w:rsid w:val="17281F49"/>
    <w:rsid w:val="173A2288"/>
    <w:rsid w:val="184719C8"/>
    <w:rsid w:val="194756B4"/>
    <w:rsid w:val="1A7A7601"/>
    <w:rsid w:val="1A945F07"/>
    <w:rsid w:val="1AB935AD"/>
    <w:rsid w:val="1AC32465"/>
    <w:rsid w:val="1BC91607"/>
    <w:rsid w:val="1C08232E"/>
    <w:rsid w:val="1C0F133D"/>
    <w:rsid w:val="1C13187F"/>
    <w:rsid w:val="1CAB5318"/>
    <w:rsid w:val="1D0662C3"/>
    <w:rsid w:val="1D6631A7"/>
    <w:rsid w:val="1DA81DF9"/>
    <w:rsid w:val="1DE657E0"/>
    <w:rsid w:val="1EE83AEA"/>
    <w:rsid w:val="1F963BC8"/>
    <w:rsid w:val="1FA741F2"/>
    <w:rsid w:val="1FD3171B"/>
    <w:rsid w:val="20352875"/>
    <w:rsid w:val="20E269CB"/>
    <w:rsid w:val="21787A47"/>
    <w:rsid w:val="219A24E2"/>
    <w:rsid w:val="22B52201"/>
    <w:rsid w:val="23022F45"/>
    <w:rsid w:val="230604C0"/>
    <w:rsid w:val="236E65F4"/>
    <w:rsid w:val="245E34B2"/>
    <w:rsid w:val="24821614"/>
    <w:rsid w:val="248B7CF2"/>
    <w:rsid w:val="24DD3BE7"/>
    <w:rsid w:val="24E3171F"/>
    <w:rsid w:val="251164F1"/>
    <w:rsid w:val="26522EA4"/>
    <w:rsid w:val="27231852"/>
    <w:rsid w:val="27AE3D34"/>
    <w:rsid w:val="28041684"/>
    <w:rsid w:val="28852F82"/>
    <w:rsid w:val="28F36323"/>
    <w:rsid w:val="28FD346A"/>
    <w:rsid w:val="29BE0485"/>
    <w:rsid w:val="2A961865"/>
    <w:rsid w:val="2AA472C9"/>
    <w:rsid w:val="2AD25A69"/>
    <w:rsid w:val="2B5F4F58"/>
    <w:rsid w:val="2CED7141"/>
    <w:rsid w:val="2D847C20"/>
    <w:rsid w:val="2D9505BB"/>
    <w:rsid w:val="2E6B43CB"/>
    <w:rsid w:val="2F61264C"/>
    <w:rsid w:val="2F677B6D"/>
    <w:rsid w:val="2FAC66DF"/>
    <w:rsid w:val="301430C7"/>
    <w:rsid w:val="31540708"/>
    <w:rsid w:val="319517FA"/>
    <w:rsid w:val="31EF4885"/>
    <w:rsid w:val="32D87018"/>
    <w:rsid w:val="336027BE"/>
    <w:rsid w:val="34264730"/>
    <w:rsid w:val="34650130"/>
    <w:rsid w:val="35700AB3"/>
    <w:rsid w:val="36353B07"/>
    <w:rsid w:val="36763E56"/>
    <w:rsid w:val="36945496"/>
    <w:rsid w:val="370B021D"/>
    <w:rsid w:val="3780003B"/>
    <w:rsid w:val="382C5107"/>
    <w:rsid w:val="393355C3"/>
    <w:rsid w:val="3A2170D3"/>
    <w:rsid w:val="3BFF5F90"/>
    <w:rsid w:val="3C8142F8"/>
    <w:rsid w:val="3CB00CAD"/>
    <w:rsid w:val="3D661A32"/>
    <w:rsid w:val="3EFA1AB3"/>
    <w:rsid w:val="3EFB3011"/>
    <w:rsid w:val="3F601F84"/>
    <w:rsid w:val="40956EC5"/>
    <w:rsid w:val="41670749"/>
    <w:rsid w:val="417C2E5D"/>
    <w:rsid w:val="422C4104"/>
    <w:rsid w:val="42E50462"/>
    <w:rsid w:val="437443AC"/>
    <w:rsid w:val="44704C8B"/>
    <w:rsid w:val="448C580E"/>
    <w:rsid w:val="44EB17AA"/>
    <w:rsid w:val="4504685A"/>
    <w:rsid w:val="46691411"/>
    <w:rsid w:val="46861692"/>
    <w:rsid w:val="489E6E0A"/>
    <w:rsid w:val="48B15D77"/>
    <w:rsid w:val="48F533EC"/>
    <w:rsid w:val="48F92C4F"/>
    <w:rsid w:val="495B2BFF"/>
    <w:rsid w:val="4A534079"/>
    <w:rsid w:val="4B14776F"/>
    <w:rsid w:val="4B3932F0"/>
    <w:rsid w:val="4C0D12AA"/>
    <w:rsid w:val="4DD07A02"/>
    <w:rsid w:val="4DD466A0"/>
    <w:rsid w:val="4E467E98"/>
    <w:rsid w:val="4F1C16D3"/>
    <w:rsid w:val="4F6934F6"/>
    <w:rsid w:val="4FF073E4"/>
    <w:rsid w:val="4FF14B65"/>
    <w:rsid w:val="501E3A9D"/>
    <w:rsid w:val="51D31BCE"/>
    <w:rsid w:val="52750474"/>
    <w:rsid w:val="52FD7B1A"/>
    <w:rsid w:val="536E2D8E"/>
    <w:rsid w:val="54306C0B"/>
    <w:rsid w:val="54507AEE"/>
    <w:rsid w:val="54FC6267"/>
    <w:rsid w:val="553E5FCB"/>
    <w:rsid w:val="554B0BF7"/>
    <w:rsid w:val="554C2ADE"/>
    <w:rsid w:val="55AA02EF"/>
    <w:rsid w:val="56161333"/>
    <w:rsid w:val="56261524"/>
    <w:rsid w:val="56E2216E"/>
    <w:rsid w:val="5845005C"/>
    <w:rsid w:val="58545915"/>
    <w:rsid w:val="592F7555"/>
    <w:rsid w:val="59537973"/>
    <w:rsid w:val="59F81DB3"/>
    <w:rsid w:val="5A516DBA"/>
    <w:rsid w:val="5A951691"/>
    <w:rsid w:val="5BB05C2F"/>
    <w:rsid w:val="5C2A6C04"/>
    <w:rsid w:val="5CCC3A03"/>
    <w:rsid w:val="5DF951F7"/>
    <w:rsid w:val="5E6E1626"/>
    <w:rsid w:val="5E9F2620"/>
    <w:rsid w:val="607C1C08"/>
    <w:rsid w:val="612B3202"/>
    <w:rsid w:val="618F61BA"/>
    <w:rsid w:val="624125B1"/>
    <w:rsid w:val="6266644F"/>
    <w:rsid w:val="63F26D1C"/>
    <w:rsid w:val="64FF3841"/>
    <w:rsid w:val="659D58DC"/>
    <w:rsid w:val="660F0FD2"/>
    <w:rsid w:val="66555272"/>
    <w:rsid w:val="668637E2"/>
    <w:rsid w:val="67B908AE"/>
    <w:rsid w:val="67CD5013"/>
    <w:rsid w:val="685A507D"/>
    <w:rsid w:val="69390486"/>
    <w:rsid w:val="693F7597"/>
    <w:rsid w:val="69EB33EE"/>
    <w:rsid w:val="6BDC1E3B"/>
    <w:rsid w:val="6DAD3F77"/>
    <w:rsid w:val="6F1B5B12"/>
    <w:rsid w:val="6F23153F"/>
    <w:rsid w:val="70315318"/>
    <w:rsid w:val="706D78F9"/>
    <w:rsid w:val="71D00518"/>
    <w:rsid w:val="720B7A3A"/>
    <w:rsid w:val="722D08ED"/>
    <w:rsid w:val="733150FF"/>
    <w:rsid w:val="740956EB"/>
    <w:rsid w:val="74295617"/>
    <w:rsid w:val="746A5998"/>
    <w:rsid w:val="74B62583"/>
    <w:rsid w:val="74DB5DD8"/>
    <w:rsid w:val="74EB421F"/>
    <w:rsid w:val="763B6DC1"/>
    <w:rsid w:val="7645195E"/>
    <w:rsid w:val="765F79FA"/>
    <w:rsid w:val="76914FB9"/>
    <w:rsid w:val="76B63116"/>
    <w:rsid w:val="773D6C94"/>
    <w:rsid w:val="77F500A3"/>
    <w:rsid w:val="77F8295A"/>
    <w:rsid w:val="783A450D"/>
    <w:rsid w:val="79464EAC"/>
    <w:rsid w:val="797D6CA4"/>
    <w:rsid w:val="79B45270"/>
    <w:rsid w:val="7A0254F9"/>
    <w:rsid w:val="7A7E03EF"/>
    <w:rsid w:val="7AFA7CA5"/>
    <w:rsid w:val="7E9F50E2"/>
    <w:rsid w:val="7EED3004"/>
    <w:rsid w:val="7F915AA8"/>
    <w:rsid w:val="7FAD1FEE"/>
    <w:rsid w:val="BFF3327A"/>
    <w:rsid w:val="FAB79CDC"/>
    <w:rsid w:val="FFDFF3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0"/>
    <w:qFormat/>
    <w:uiPriority w:val="0"/>
    <w:pPr>
      <w:ind w:firstLine="420"/>
    </w:pPr>
    <w:rPr>
      <w:rFonts w:ascii="Times New Roman" w:hAnsi="Times New Roman"/>
      <w:szCs w:val="20"/>
    </w:rPr>
  </w:style>
  <w:style w:type="paragraph" w:styleId="6">
    <w:name w:val="annotation text"/>
    <w:basedOn w:val="1"/>
    <w:link w:val="56"/>
    <w:semiHidden/>
    <w:unhideWhenUsed/>
    <w:qFormat/>
    <w:uiPriority w:val="99"/>
    <w:pPr>
      <w:jc w:val="left"/>
    </w:pPr>
  </w:style>
  <w:style w:type="paragraph" w:styleId="7">
    <w:name w:val="Body Text"/>
    <w:basedOn w:val="1"/>
    <w:link w:val="31"/>
    <w:qFormat/>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8">
    <w:name w:val="Body Text Indent"/>
    <w:basedOn w:val="1"/>
    <w:next w:val="1"/>
    <w:qFormat/>
    <w:uiPriority w:val="0"/>
    <w:pPr>
      <w:ind w:left="420" w:leftChars="200"/>
    </w:pPr>
  </w:style>
  <w:style w:type="paragraph" w:styleId="9">
    <w:name w:val="toc 3"/>
    <w:basedOn w:val="1"/>
    <w:next w:val="1"/>
    <w:semiHidden/>
    <w:unhideWhenUsed/>
    <w:qFormat/>
    <w:uiPriority w:val="39"/>
    <w:pPr>
      <w:ind w:left="840" w:leftChars="400"/>
    </w:pPr>
  </w:style>
  <w:style w:type="paragraph" w:styleId="10">
    <w:name w:val="Plain Text"/>
    <w:basedOn w:val="1"/>
    <w:link w:val="32"/>
    <w:qFormat/>
    <w:uiPriority w:val="0"/>
    <w:rPr>
      <w:rFonts w:ascii="宋体" w:hAnsi="Courier New"/>
      <w:szCs w:val="20"/>
    </w:rPr>
  </w:style>
  <w:style w:type="paragraph" w:styleId="11">
    <w:name w:val="Body Text Indent 2"/>
    <w:basedOn w:val="1"/>
    <w:link w:val="33"/>
    <w:qFormat/>
    <w:uiPriority w:val="0"/>
    <w:pPr>
      <w:spacing w:after="120" w:line="480" w:lineRule="auto"/>
      <w:ind w:left="420"/>
    </w:pPr>
    <w:rPr>
      <w:rFonts w:ascii="Times New Roman" w:hAnsi="Times New Roman"/>
      <w:szCs w:val="20"/>
    </w:rPr>
  </w:style>
  <w:style w:type="paragraph" w:styleId="12">
    <w:name w:val="Balloon Text"/>
    <w:basedOn w:val="1"/>
    <w:link w:val="34"/>
    <w:unhideWhenUsed/>
    <w:qFormat/>
    <w:uiPriority w:val="99"/>
    <w:rPr>
      <w:rFonts w:ascii="Times New Roman" w:hAnsi="Times New Roman"/>
      <w:sz w:val="18"/>
      <w:szCs w:val="18"/>
    </w:rPr>
  </w:style>
  <w:style w:type="paragraph" w:styleId="13">
    <w:name w:val="footer"/>
    <w:basedOn w:val="1"/>
    <w:link w:val="35"/>
    <w:unhideWhenUsed/>
    <w:qFormat/>
    <w:uiPriority w:val="0"/>
    <w:pPr>
      <w:tabs>
        <w:tab w:val="center" w:pos="4153"/>
        <w:tab w:val="right" w:pos="8306"/>
      </w:tabs>
      <w:snapToGrid w:val="0"/>
      <w:jc w:val="left"/>
    </w:pPr>
    <w:rPr>
      <w:sz w:val="18"/>
      <w:szCs w:val="18"/>
    </w:rPr>
  </w:style>
  <w:style w:type="paragraph" w:styleId="14">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semiHidden/>
    <w:unhideWhenUsed/>
    <w:qFormat/>
    <w:uiPriority w:val="39"/>
    <w:pPr>
      <w:ind w:left="420" w:leftChars="200"/>
    </w:pPr>
  </w:style>
  <w:style w:type="paragraph" w:styleId="17">
    <w:name w:val="HTML Preformatted"/>
    <w:basedOn w:val="1"/>
    <w:link w:val="3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annotation subject"/>
    <w:basedOn w:val="6"/>
    <w:next w:val="6"/>
    <w:link w:val="57"/>
    <w:semiHidden/>
    <w:unhideWhenUsed/>
    <w:qFormat/>
    <w:uiPriority w:val="99"/>
    <w:rPr>
      <w:b/>
      <w:bCs/>
    </w:rPr>
  </w:style>
  <w:style w:type="paragraph" w:styleId="20">
    <w:name w:val="Body Text First Indent"/>
    <w:basedOn w:val="7"/>
    <w:qFormat/>
    <w:uiPriority w:val="0"/>
    <w:pPr>
      <w:spacing w:after="120"/>
      <w:ind w:firstLine="420" w:firstLineChars="100"/>
      <w:jc w:val="both"/>
    </w:pPr>
    <w:rPr>
      <w:rFonts w:ascii="Times New Roman" w:hAnsi="Times New Roman" w:eastAsia="宋体"/>
      <w:b w:val="0"/>
      <w:bCs w:val="0"/>
      <w:sz w:val="21"/>
      <w:szCs w:val="24"/>
    </w:rPr>
  </w:style>
  <w:style w:type="paragraph" w:styleId="21">
    <w:name w:val="Body Text First Indent 2"/>
    <w:basedOn w:val="8"/>
    <w:next w:val="1"/>
    <w:qFormat/>
    <w:uiPriority w:val="0"/>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Emphasis"/>
    <w:basedOn w:val="24"/>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character" w:customStyle="1" w:styleId="30">
    <w:name w:val="正文缩进 字符"/>
    <w:basedOn w:val="24"/>
    <w:link w:val="5"/>
    <w:qFormat/>
    <w:locked/>
    <w:uiPriority w:val="0"/>
    <w:rPr>
      <w:rFonts w:ascii="Times New Roman" w:hAnsi="Times New Roman"/>
      <w:kern w:val="2"/>
      <w:sz w:val="21"/>
    </w:rPr>
  </w:style>
  <w:style w:type="character" w:customStyle="1" w:styleId="31">
    <w:name w:val="正文文本 字符"/>
    <w:basedOn w:val="24"/>
    <w:link w:val="7"/>
    <w:qFormat/>
    <w:uiPriority w:val="0"/>
    <w:rPr>
      <w:rFonts w:ascii="幼圆" w:hAnsi="新宋体" w:eastAsia="幼圆"/>
      <w:b/>
      <w:bCs/>
      <w:kern w:val="2"/>
      <w:sz w:val="84"/>
      <w14:shadow w14:blurRad="50800" w14:dist="38100" w14:dir="2700000" w14:sx="100000" w14:sy="100000" w14:kx="0" w14:ky="0" w14:algn="tl">
        <w14:srgbClr w14:val="000000">
          <w14:alpha w14:val="60000"/>
        </w14:srgbClr>
      </w14:shadow>
    </w:rPr>
  </w:style>
  <w:style w:type="character" w:customStyle="1" w:styleId="32">
    <w:name w:val="纯文本 字符"/>
    <w:basedOn w:val="24"/>
    <w:link w:val="10"/>
    <w:qFormat/>
    <w:uiPriority w:val="0"/>
    <w:rPr>
      <w:rFonts w:ascii="宋体" w:hAnsi="Courier New"/>
      <w:kern w:val="2"/>
      <w:sz w:val="21"/>
    </w:rPr>
  </w:style>
  <w:style w:type="character" w:customStyle="1" w:styleId="33">
    <w:name w:val="正文文本缩进 2 字符"/>
    <w:basedOn w:val="24"/>
    <w:link w:val="11"/>
    <w:qFormat/>
    <w:uiPriority w:val="0"/>
    <w:rPr>
      <w:rFonts w:ascii="Times New Roman" w:hAnsi="Times New Roman"/>
      <w:kern w:val="2"/>
      <w:sz w:val="21"/>
    </w:rPr>
  </w:style>
  <w:style w:type="character" w:customStyle="1" w:styleId="34">
    <w:name w:val="批注框文本 字符"/>
    <w:basedOn w:val="24"/>
    <w:link w:val="12"/>
    <w:semiHidden/>
    <w:qFormat/>
    <w:uiPriority w:val="99"/>
    <w:rPr>
      <w:rFonts w:ascii="Times New Roman" w:hAnsi="Times New Roman"/>
      <w:kern w:val="2"/>
      <w:sz w:val="18"/>
      <w:szCs w:val="18"/>
    </w:rPr>
  </w:style>
  <w:style w:type="character" w:customStyle="1" w:styleId="35">
    <w:name w:val="页脚 字符"/>
    <w:basedOn w:val="24"/>
    <w:link w:val="13"/>
    <w:qFormat/>
    <w:uiPriority w:val="0"/>
    <w:rPr>
      <w:sz w:val="18"/>
      <w:szCs w:val="18"/>
    </w:rPr>
  </w:style>
  <w:style w:type="character" w:customStyle="1" w:styleId="36">
    <w:name w:val="页眉 字符"/>
    <w:basedOn w:val="24"/>
    <w:link w:val="14"/>
    <w:qFormat/>
    <w:uiPriority w:val="0"/>
    <w:rPr>
      <w:sz w:val="18"/>
      <w:szCs w:val="18"/>
    </w:rPr>
  </w:style>
  <w:style w:type="character" w:customStyle="1" w:styleId="37">
    <w:name w:val="HTML 预设格式 字符"/>
    <w:basedOn w:val="24"/>
    <w:link w:val="17"/>
    <w:semiHidden/>
    <w:qFormat/>
    <w:uiPriority w:val="99"/>
    <w:rPr>
      <w:rFonts w:ascii="宋体" w:hAnsi="宋体" w:cs="宋体"/>
      <w:sz w:val="24"/>
      <w:szCs w:val="24"/>
    </w:rPr>
  </w:style>
  <w:style w:type="character" w:customStyle="1" w:styleId="38">
    <w:name w:val="sp_dash"/>
    <w:basedOn w:val="24"/>
    <w:qFormat/>
    <w:uiPriority w:val="0"/>
  </w:style>
  <w:style w:type="character" w:customStyle="1" w:styleId="39">
    <w:name w:val="纯文本 Char"/>
    <w:basedOn w:val="24"/>
    <w:qFormat/>
    <w:uiPriority w:val="0"/>
    <w:rPr>
      <w:rFonts w:ascii="宋体" w:hAnsi="Courier New" w:cs="Courier New"/>
      <w:kern w:val="2"/>
      <w:sz w:val="21"/>
      <w:szCs w:val="21"/>
    </w:rPr>
  </w:style>
  <w:style w:type="character" w:customStyle="1" w:styleId="40">
    <w:name w:val="apple-converted-space"/>
    <w:basedOn w:val="24"/>
    <w:qFormat/>
    <w:uiPriority w:val="0"/>
  </w:style>
  <w:style w:type="character" w:customStyle="1" w:styleId="41">
    <w:name w:val="prc_air"/>
    <w:basedOn w:val="24"/>
    <w:qFormat/>
    <w:uiPriority w:val="0"/>
  </w:style>
  <w:style w:type="paragraph" w:customStyle="1" w:styleId="42">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styleId="47">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4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9">
    <w:name w:val="样式3"/>
    <w:basedOn w:val="10"/>
    <w:qFormat/>
    <w:uiPriority w:val="0"/>
    <w:pPr>
      <w:spacing w:line="0" w:lineRule="atLeast"/>
      <w:outlineLvl w:val="0"/>
    </w:pPr>
    <w:rPr>
      <w:sz w:val="28"/>
    </w:rPr>
  </w:style>
  <w:style w:type="paragraph" w:customStyle="1" w:styleId="50">
    <w:name w:val="null3"/>
    <w:qFormat/>
    <w:uiPriority w:val="0"/>
    <w:rPr>
      <w:rFonts w:hint="eastAsia" w:ascii="Calibri" w:hAnsi="Calibri" w:eastAsia="宋体" w:cs="Times New Roman"/>
      <w:lang w:val="en-US" w:eastAsia="zh-CN" w:bidi="ar-SA"/>
    </w:rPr>
  </w:style>
  <w:style w:type="character" w:customStyle="1" w:styleId="51">
    <w:name w:val="标题 3 字符"/>
    <w:basedOn w:val="24"/>
    <w:link w:val="4"/>
    <w:semiHidden/>
    <w:qFormat/>
    <w:uiPriority w:val="9"/>
    <w:rPr>
      <w:rFonts w:ascii="Calibri" w:hAnsi="Calibri"/>
      <w:b/>
      <w:bCs/>
      <w:kern w:val="2"/>
      <w:sz w:val="32"/>
      <w:szCs w:val="32"/>
    </w:rPr>
  </w:style>
  <w:style w:type="paragraph" w:customStyle="1" w:styleId="52">
    <w:name w:val="p0"/>
    <w:basedOn w:val="1"/>
    <w:qFormat/>
    <w:uiPriority w:val="0"/>
    <w:pPr>
      <w:widowControl/>
    </w:pPr>
    <w:rPr>
      <w:rFonts w:ascii="Times New Roman" w:hAnsi="Times New Roman"/>
      <w:kern w:val="0"/>
      <w:szCs w:val="21"/>
    </w:rPr>
  </w:style>
  <w:style w:type="paragraph" w:customStyle="1" w:styleId="53">
    <w:name w:val="p15"/>
    <w:basedOn w:val="1"/>
    <w:qFormat/>
    <w:uiPriority w:val="0"/>
    <w:pPr>
      <w:widowControl/>
      <w:ind w:firstLine="420"/>
    </w:pPr>
    <w:rPr>
      <w:rFonts w:ascii="Arial" w:hAnsi="Arial" w:cs="Arial"/>
      <w:color w:val="000000"/>
      <w:kern w:val="0"/>
      <w:sz w:val="28"/>
      <w:szCs w:val="28"/>
    </w:rPr>
  </w:style>
  <w:style w:type="paragraph" w:customStyle="1" w:styleId="54">
    <w:name w:val="7"/>
    <w:next w:val="7"/>
    <w:qFormat/>
    <w:uiPriority w:val="0"/>
    <w:pPr>
      <w:ind w:firstLine="400"/>
      <w:jc w:val="both"/>
    </w:pPr>
    <w:rPr>
      <w:rFonts w:ascii="Times New Roman" w:hAnsi="Times New Roman" w:eastAsia="宋体" w:cs="Times New Roman"/>
      <w:lang w:val="en-US" w:eastAsia="zh-CN" w:bidi="ar-SA"/>
    </w:rPr>
  </w:style>
  <w:style w:type="paragraph" w:customStyle="1" w:styleId="5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56">
    <w:name w:val="批注文字 字符"/>
    <w:basedOn w:val="24"/>
    <w:link w:val="6"/>
    <w:semiHidden/>
    <w:qFormat/>
    <w:uiPriority w:val="99"/>
    <w:rPr>
      <w:rFonts w:ascii="Calibri" w:hAnsi="Calibri"/>
      <w:kern w:val="2"/>
      <w:sz w:val="21"/>
      <w:szCs w:val="22"/>
    </w:rPr>
  </w:style>
  <w:style w:type="character" w:customStyle="1" w:styleId="57">
    <w:name w:val="批注主题 字符"/>
    <w:basedOn w:val="56"/>
    <w:link w:val="19"/>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45fdd9f2-5b6d-4466-bf5b-c76e056bc4c6</errorID>
      <errorWord>1、</errorWord>
      <group>L1_Format</group>
      <groupName>格式问题</groupName>
      <ability>L2_Ordinal</ability>
      <abilityName>序号格式</abilityName>
      <candidateList>
        <item>1.</item>
      </candidateList>
      <explain>当前序号格式不规范，建议修改为规范格式[1.]。</explain>
      <paraID>18CA2EA3</paraID>
      <start>0</start>
      <end>2</end>
      <status>unmodified</status>
      <modifiedWord/>
      <trackRevisions>false</trackRevisions>
    </reviewItem>
    <reviewItem>
      <errorID>62b750a3-e743-45cf-aeb5-2ef1d63b66e7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3E61EBC2</paraID>
      <start>0</start>
      <end>2</end>
      <status>unmodified</status>
      <modifiedWord/>
      <trackRevisions>false</trackRevisions>
    </reviewItem>
    <reviewItem>
      <errorID>e2cada9d-8f64-4f87-9c3a-9ed082422bd0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1CFF19B</paraID>
      <start>0</start>
      <end>2</end>
      <status>unmodified</status>
      <modifiedWord/>
      <trackRevisions>false</trackRevisions>
    </reviewItem>
    <reviewItem>
      <errorID>f177327f-4aad-48f3-b581-047160f80fc4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1A7E05D7</paraID>
      <start>0</start>
      <end>2</end>
      <status>unmodified</status>
      <modifiedWord/>
      <trackRevisions>false</trackRevisions>
    </reviewItem>
    <reviewItem>
      <errorID>982a4024-b66b-4fda-bd4b-7558a3fdfa55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3049F4B4</paraID>
      <start>0</start>
      <end>2</end>
      <status>unmodified</status>
      <modifiedWord/>
      <trackRevisions>false</trackRevisions>
    </reviewItem>
    <reviewItem>
      <errorID>aad3844f-8b39-4ca6-a9c2-4c155fa18acc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4D90BBD</paraID>
      <start>0</start>
      <end>2</end>
      <status>unmodified</status>
      <modifiedWord/>
      <trackRevisions>false</trackRevisions>
    </reviewItem>
    <reviewItem>
      <errorID>254e465d-b764-490b-91ff-63cb9034d4ef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6B8F7300</paraID>
      <start>0</start>
      <end>2</end>
      <status>unmodified</status>
      <modifiedWord/>
      <trackRevisions>false</trackRevisions>
    </reviewItem>
    <reviewItem>
      <errorID>6094f40e-57c4-45aa-a800-1c66c9a7351a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46B765EC</paraID>
      <start>0</start>
      <end>2</end>
      <status>unmodified</status>
      <modifiedWord/>
      <trackRevisions>false</trackRevisions>
    </reviewItem>
    <reviewItem>
      <errorID>c0e274ef-aef6-48cf-bd1f-bea1d92f3667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341CE324</paraID>
      <start>0</start>
      <end>2</end>
      <status>unmodified</status>
      <modifiedWord/>
      <trackRevisions>false</trackRevisions>
    </reviewItem>
    <reviewItem>
      <errorID>3fc16e82-0142-4c7b-9edc-a48612a3e58a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5387877B</paraID>
      <start>0</start>
      <end>3</end>
      <status>unmodified</status>
      <modifiedWord/>
      <trackRevisions>false</trackRevisions>
    </reviewItem>
    <reviewItem>
      <errorID>46d35dcf-6844-42db-b617-1a7b4d7f1373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3EC0542E</paraID>
      <start>0</start>
      <end>3</end>
      <status>unmodified</status>
      <modifiedWord/>
      <trackRevisions>false</trackRevisions>
    </reviewItem>
    <reviewItem>
      <errorID>befe8035-74e6-4a0c-a21d-23cc684dfe9e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6D1D3848</paraID>
      <start>0</start>
      <end>3</end>
      <status>unmodified</status>
      <modifiedWord/>
      <trackRevisions>false</trackRevisions>
    </reviewItem>
    <reviewItem>
      <errorID>3a54e691-9c2e-40c5-8fab-0f560779526d</errorID>
      <errorWord>接收</errorWord>
      <group>L1_Word</group>
      <groupName>字词问题</groupName>
      <ability>L2_Typo</ability>
      <abilityName>字词错误</abilityName>
      <candidateList>
        <item>接受</item>
      </candidateList>
      <explain>存在发音相同字词的误用。</explain>
      <paraID>6D214DE0</paraID>
      <start>0</start>
      <end>2</end>
      <status>unmodified</status>
      <modifiedWord/>
      <trackRevisions>false</trackRevisions>
    </reviewItem>
    <reviewItem>
      <errorID>6d74af9d-c982-4ded-8dab-a45db3e40e7f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6CDE037E</paraID>
      <start>0</start>
      <end>3</end>
      <status>unmodified</status>
      <modifiedWord/>
      <trackRevisions>false</trackRevisions>
    </reviewItem>
    <reviewItem>
      <errorID>d1ed36f2-0f72-4f35-ac74-2b032ab0538a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6C8B837F</paraID>
      <start>0</start>
      <end>3</end>
      <status>unmodified</status>
      <modifiedWord/>
      <trackRevisions>false</trackRevisions>
    </reviewItem>
    <reviewItem>
      <errorID>27983a6c-f334-43a4-9f1c-7e056709a9f3</errorID>
      <errorWord>第3条</errorWord>
      <group>L1_Knowledge</group>
      <groupName>知识性问题</groupName>
      <ability>L2_Knowledge</ability>
      <abilityName>其他知识</abilityName>
      <candidateList>
        <item>第三条</item>
      </candidateList>
      <explain/>
      <paraID> 2D79DE7</paraID>
      <start>12</start>
      <end>15</end>
      <status>unmodified</status>
      <modifiedWord/>
      <trackRevisions>false</trackRevisions>
    </reviewItem>
    <reviewItem>
      <errorID>49bca238-5035-4207-8f75-19f7acebd56f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3FE0ECFD</paraID>
      <start>0</start>
      <end>2</end>
      <status>unmodified</status>
      <modifiedWord/>
      <trackRevisions>false</trackRevisions>
    </reviewItem>
    <reviewItem>
      <errorID>ce4e79a1-452c-4e90-8020-3f3096652f7b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3F4E1239</paraID>
      <start>0</start>
      <end>1</end>
      <status>unmodified</status>
      <modifiedWord/>
      <trackRevisions>false</trackRevisions>
    </reviewItem>
    <reviewItem>
      <errorID>401f02f4-3036-454b-967d-849bae1435bf</errorID>
      <errorWord>－</errorWord>
      <group>L1_Format</group>
      <groupName>格式问题</groupName>
      <ability>L2_HalfPunc</ability>
      <abilityName>全半角检查</abilityName>
      <candidateList>
        <item>-</item>
      </candidateList>
      <explain>文本全半角错误。</explain>
      <paraID>3F4E1239</paraID>
      <start>4</start>
      <end>5</end>
      <status>unmodified</status>
      <modifiedWord/>
      <trackRevisions>false</trackRevisions>
    </reviewItem>
    <reviewItem>
      <errorID>d0018181-6c67-465f-a311-9633dcf08267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3F4E1239</paraID>
      <start>8</start>
      <end>9</end>
      <status>unmodified</status>
      <modifiedWord/>
      <trackRevisions>false</trackRevisions>
    </reviewItem>
    <reviewItem>
      <errorID>3f3685fd-8aff-4648-8542-ed5b5c194935</errorID>
      <errorWord>法律、法规</errorWord>
      <group>L1_Word</group>
      <groupName>字词问题</groupName>
      <ability>L2_Typo</ability>
      <abilityName>字词错误</abilityName>
      <candidateList>
        <item>法律法规</item>
      </candidateList>
      <explain/>
      <paraID> 2C99378</paraID>
      <start>17</start>
      <end>22</end>
      <status>unmodified</status>
      <modifiedWord/>
      <trackRevisions>false</trackRevisions>
    </reviewItem>
    <reviewItem>
      <errorID>7b4c6966-aad1-491a-a9c7-9de04e5d9657</errorID>
      <errorWord>法律、法规</errorWord>
      <group>L1_Word</group>
      <groupName>字词问题</groupName>
      <ability>L2_Typo</ability>
      <abilityName>字词错误</abilityName>
      <candidateList>
        <item>法律法规</item>
      </candidateList>
      <explain/>
      <paraID> 2C99378</paraID>
      <start>45</start>
      <end>50</end>
      <status>unmodified</status>
      <modifiedWord/>
      <trackRevisions>false</trackRevisions>
    </reviewItem>
    <reviewItem>
      <errorID>4eedf1c0-b4a6-4a08-9e91-0fbd22bcac88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FC99287</paraID>
      <start>0</start>
      <end>3</end>
      <status>unmodified</status>
      <modifiedWord/>
      <trackRevisions>false</trackRevisions>
    </reviewItem>
    <reviewItem>
      <errorID>bf53bf6c-76ab-48f5-97f0-a87e6b5e10ee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25DAD048</paraID>
      <start>0</start>
      <end>3</end>
      <status>unmodified</status>
      <modifiedWord/>
      <trackRevisions>false</trackRevisions>
    </reviewItem>
    <reviewItem>
      <errorID>b0de2970-be39-4bb0-b977-ae927fc7800c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16CF4041</paraID>
      <start>0</start>
      <end>3</end>
      <status>unmodified</status>
      <modifiedWord/>
      <trackRevisions>false</trackRevisions>
    </reviewItem>
    <reviewItem>
      <errorID>e1ca4a96-4b64-46d5-84e3-6f71247f15c8</errorID>
      <errorWord>法律、法规</errorWord>
      <group>L1_Word</group>
      <groupName>字词问题</groupName>
      <ability>L2_Typo</ability>
      <abilityName>字词错误</abilityName>
      <candidateList>
        <item>法律法规</item>
      </candidateList>
      <explain/>
      <paraID>5E7F6CC3</paraID>
      <start>6</start>
      <end>11</end>
      <status>unmodified</status>
      <modifiedWord/>
      <trackRevisions>false</trackRevisions>
    </reviewItem>
    <reviewItem>
      <errorID>4042c167-3b0e-4855-80a6-c9de76fa5b97</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24FBEF8E</paraID>
      <start>180</start>
      <end>183</end>
      <status>unmodified</status>
      <modifiedWord/>
      <trackRevisions>false</trackRevisions>
    </reviewItem>
    <reviewItem>
      <errorID>f2028c61-99fa-4d4a-a9b8-1cb33f04d736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4D2AA697</paraID>
      <start>1</start>
      <end>4</end>
      <status>unmodified</status>
      <modifiedWord/>
      <trackRevisions>false</trackRevisions>
    </reviewItem>
    <reviewItem>
      <errorID>54834257-78ee-4807-a3c4-1c26a637172a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9266E26</paraID>
      <start>0</start>
      <end>3</end>
      <status>unmodified</status>
      <modifiedWord/>
      <trackRevisions>false</trackRevisions>
    </reviewItem>
    <reviewItem>
      <errorID>cd71fe45-2558-4eed-b9aa-ee2852aa9f8e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35B096A0</paraID>
      <start>0</start>
      <end>3</end>
      <status>unmodified</status>
      <modifiedWord/>
      <trackRevisions>false</trackRevisions>
    </reviewItem>
    <reviewItem>
      <errorID>58b0f2ff-84c1-4538-8fa8-a4e5cbc3af19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74360A17</paraID>
      <start>0</start>
      <end>3</end>
      <status>unmodified</status>
      <modifiedWord/>
      <trackRevisions>false</trackRevisions>
    </reviewItem>
    <reviewItem>
      <errorID>45271df2-729d-4e9a-a61c-f60c8e1363a8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31083E9B</paraID>
      <start>0</start>
      <end>3</end>
      <status>unmodified</status>
      <modifiedWord/>
      <trackRevisions>false</trackRevisions>
    </reviewItem>
    <reviewItem>
      <errorID>3ba105c9-b503-4cff-8188-a800628eda5f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2C54E795</paraID>
      <start>0</start>
      <end>3</end>
      <status>unmodified</status>
      <modifiedWord/>
      <trackRevisions>false</trackRevisions>
    </reviewItem>
    <reviewItem>
      <errorID>7784ba6c-e5ee-45b7-99a2-ad72ed1eb1e5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906B070</paraID>
      <start>0</start>
      <end>3</end>
      <status>unmodified</status>
      <modifiedWord/>
      <trackRevisions>false</trackRevisions>
    </reviewItem>
    <reviewItem>
      <errorID>b4f1c9f3-1fda-4542-9ed4-8ce28e9cb345</errorID>
      <errorWord>其它</errorWord>
      <group>L1_Word</group>
      <groupName>字词问题</groupName>
      <ability>L2_Alias</ability>
      <abilityName>也作/曾用词</abilityName>
      <candidateList>
        <item>其他</item>
      </candidateList>
      <explain>词汇[其它]为不规范表述或旧称，其规范书面表述为[其他]。</explain>
      <paraID> 906B070</paraID>
      <start>14</start>
      <end>16</end>
      <status>unmodified</status>
      <modifiedWord/>
      <trackRevisions>false</trackRevisions>
    </reviewItem>
    <reviewItem>
      <errorID>4cd38716-aae5-4c1e-a8d6-b4076291076a</errorID>
      <errorWord>，</errorWord>
      <group>L1_Word</group>
      <groupName>字词问题</groupName>
      <ability>L2_Typo</ability>
      <abilityName>字词错误</abilityName>
      <candidateList>
        <item>，对</item>
      </candidateList>
      <explain/>
      <paraID>344B423F</paraID>
      <start>15</start>
      <end>16</end>
      <status>unmodified</status>
      <modifiedWord/>
      <trackRevisions>false</trackRevisions>
    </reviewItem>
    <reviewItem>
      <errorID>cd1d8440-317c-47ff-99af-2d2781547cc3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367F2ED0</paraID>
      <start>0</start>
      <end>2</end>
      <status>unmodified</status>
      <modifiedWord/>
      <trackRevisions>false</trackRevisions>
    </reviewItem>
    <reviewItem>
      <errorID>e36af35a-7642-4080-bbf0-821ec5e389c5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3D39428D</paraID>
      <start>0</start>
      <end>2</end>
      <status>unmodified</status>
      <modifiedWord/>
      <trackRevisions>false</trackRevisions>
    </reviewItem>
    <reviewItem>
      <errorID>f9c155e4-cc29-4966-8b8f-62a8f43b1d2b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13B52274</paraID>
      <start>0</start>
      <end>2</end>
      <status>unmodified</status>
      <modifiedWord/>
      <trackRevisions>false</trackRevisions>
    </reviewItem>
    <reviewItem>
      <errorID>e9648c49-d2b9-4489-89c3-101eecffb5c2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2B433E5E</paraID>
      <start>0</start>
      <end>2</end>
      <status>unmodified</status>
      <modifiedWord/>
      <trackRevisions>false</trackRevisions>
    </reviewItem>
    <reviewItem>
      <errorID>22f69a5f-ac53-4565-8069-af60ca07d803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3AF24A3A</paraID>
      <start>95</start>
      <end>96</end>
      <status>unmodified</status>
      <modifiedWord/>
      <trackRevisions>false</trackRevisions>
    </reviewItem>
    <reviewItem>
      <errorID>0bff43eb-f7ce-4091-8998-ac0a0bf61be7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3193A348</paraID>
      <start>95</start>
      <end>96</end>
      <status>unmodified</status>
      <modifiedWord/>
      <trackRevisions>false</trackRevisions>
    </reviewItem>
    <reviewItem>
      <errorID>5b7beae9-1b9f-4c2d-afd2-2ab62ea546df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5F325DD4</paraID>
      <start>95</start>
      <end>96</end>
      <status>unmodified</status>
      <modifiedWord/>
      <trackRevisions>false</trackRevisions>
    </reviewItem>
    <reviewItem>
      <errorID>a2209e04-4ef7-46aa-a0f0-8c0f4035da8a</errorID>
      <errorWord>法律、法规</errorWord>
      <group>L1_Word</group>
      <groupName>字词问题</groupName>
      <ability>L2_Typo</ability>
      <abilityName>字词错误</abilityName>
      <candidateList>
        <item>法律法规</item>
      </candidateList>
      <explain/>
      <paraID> 134A06E</paraID>
      <start>17</start>
      <end>22</end>
      <status>unmodified</status>
      <modifiedWord/>
      <trackRevisions>false</trackRevisions>
    </reviewItem>
    <reviewItem>
      <errorID>c22ab161-60cd-44a8-862d-a78012c0c39d</errorID>
      <errorWord>法律、法规</errorWord>
      <group>L1_Word</group>
      <groupName>字词问题</groupName>
      <ability>L2_Typo</ability>
      <abilityName>字词错误</abilityName>
      <candidateList>
        <item>法律法规</item>
      </candidateList>
      <explain/>
      <paraID> 134A06E</paraID>
      <start>45</start>
      <end>50</end>
      <status>unmodified</status>
      <modifiedWord/>
      <trackRevisions>false</trackRevisions>
    </reviewItem>
    <reviewItem>
      <errorID>a2ce5252-ff9c-4a2d-8c2a-4f96c7bc5a3e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25A7BC88</paraID>
      <start>0</start>
      <end>3</end>
      <status>unmodified</status>
      <modifiedWord/>
      <trackRevisions>false</trackRevisions>
    </reviewItem>
    <reviewItem>
      <errorID>9b807f0e-3044-4c98-aa40-02081cf6e4c1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53A61CAB</paraID>
      <start>0</start>
      <end>3</end>
      <status>unmodified</status>
      <modifiedWord/>
      <trackRevisions>false</trackRevisions>
    </reviewItem>
    <reviewItem>
      <errorID>1af840cf-5e16-46c4-96eb-1b8b8c5f78e4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6412AEAD</paraID>
      <start>0</start>
      <end>3</end>
      <status>unmodified</status>
      <modifiedWord/>
      <trackRevisions>false</trackRevisions>
    </reviewItem>
    <reviewItem>
      <errorID>1bc46ef8-b379-482b-a3b3-605b491371c5</errorID>
      <errorWord>法律、法规</errorWord>
      <group>L1_Word</group>
      <groupName>字词问题</groupName>
      <ability>L2_Typo</ability>
      <abilityName>字词错误</abilityName>
      <candidateList>
        <item>法律法规</item>
      </candidateList>
      <explain/>
      <paraID>25F7F220</paraID>
      <start>6</start>
      <end>11</end>
      <status>unmodified</status>
      <modifiedWord/>
      <trackRevisions>false</trackRevisions>
    </reviewItem>
    <reviewItem>
      <errorID>1d7d919a-e909-46ff-b471-adc244b838c4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3F68A1F8</paraID>
      <start>0</start>
      <end>3</end>
      <status>unmodified</status>
      <modifiedWord/>
      <trackRevisions>false</trackRevisions>
    </reviewItem>
    <reviewItem>
      <errorID>c3ee40d5-6788-4785-a1ee-63002d39d078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6CF185DA</paraID>
      <start>0</start>
      <end>3</end>
      <status>unmodified</status>
      <modifiedWord/>
      <trackRevisions>false</trackRevisions>
    </reviewItem>
    <reviewItem>
      <errorID>df91419c-0b88-45ff-bb2a-1ce1044595b9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7BE7FEB5</paraID>
      <start>0</start>
      <end>3</end>
      <status>unmodified</status>
      <modifiedWord/>
      <trackRevisions>false</trackRevisions>
    </reviewItem>
    <reviewItem>
      <errorID>3812c0d8-2527-4438-95dd-153da8fc0f56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26D8099C</paraID>
      <start>0</start>
      <end>3</end>
      <status>unmodified</status>
      <modifiedWord/>
      <trackRevisions>false</trackRevisions>
    </reviewItem>
    <reviewItem>
      <errorID>b0d3eaf4-1327-47f2-9329-4586416418e1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6A3493</paraID>
      <start>0</start>
      <end>3</end>
      <status>unmodified</status>
      <modifiedWord/>
      <trackRevisions>false</trackRevisions>
    </reviewItem>
    <reviewItem>
      <errorID>0e9245c2-70fa-4244-90d6-9eafd2a882cc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5AF93005</paraID>
      <start>0</start>
      <end>3</end>
      <status>unmodified</status>
      <modifiedWord/>
      <trackRevisions>false</trackRevisions>
    </reviewItem>
    <reviewItem>
      <errorID>60126e29-b069-4807-a6c0-fcdc352f288e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B471A75</paraID>
      <start>0</start>
      <end>3</end>
      <status>unmodified</status>
      <modifiedWord/>
      <trackRevisions>false</trackRevisions>
    </reviewItem>
    <reviewItem>
      <errorID>9cc67209-197d-4038-b5e2-50110de98797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64792ADB</paraID>
      <start>0</start>
      <end>3</end>
      <status>unmodified</status>
      <modifiedWord/>
      <trackRevisions>false</trackRevisions>
    </reviewItem>
    <reviewItem>
      <errorID>9d384b3b-9ff8-4148-b333-dddda543009b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6FEA6CD7</paraID>
      <start>0</start>
      <end>3</end>
      <status>unmodified</status>
      <modifiedWord/>
      <trackRevisions>false</trackRevisions>
    </reviewItem>
    <reviewItem>
      <errorID>88fdbef6-483f-4a9b-ad9a-d67396a37350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68738F9A</paraID>
      <start>0</start>
      <end>4</end>
      <status>unmodified</status>
      <modifiedWord/>
      <trackRevisions>false</trackRevisions>
    </reviewItem>
    <reviewItem>
      <errorID>7fe70a12-4c89-4fc6-b74a-aa6f9ccd7c57</errorID>
      <errorWord>，</errorWord>
      <group>L1_Word</group>
      <groupName>字词问题</groupName>
      <ability>L2_Typo</ability>
      <abilityName>字词错误</abilityName>
      <candidateList>
        <item>，在</item>
      </candidateList>
      <explain/>
      <paraID>4BE8BA89</paraID>
      <start>15</start>
      <end>16</end>
      <status>unmodified</status>
      <modifiedWord/>
      <trackRevisions>false</trackRevisions>
    </reviewItem>
    <reviewItem>
      <errorID>0e4b281b-86a6-43f1-9f00-cc36625146e4</errorID>
      <errorWord>目</errorWord>
      <group>L1_Word</group>
      <groupName>字词问题</groupName>
      <ability>L2_Typo</ability>
      <abilityName>字词错误</abilityName>
      <candidateList>
        <item>目在</item>
      </candidateList>
      <explain/>
      <paraID>266389F3</paraID>
      <start>6</start>
      <end>7</end>
      <status>unmodified</status>
      <modifiedWord/>
      <trackRevisions>false</trackRevisions>
    </reviewItem>
    <reviewItem>
      <errorID>d38e8b6e-132a-4413-bf93-15e272d18ddf</errorID>
      <errorWord>法律、法规</errorWord>
      <group>L1_Word</group>
      <groupName>字词问题</groupName>
      <ability>L2_Typo</ability>
      <abilityName>字词错误</abilityName>
      <candidateList>
        <item>法律法规</item>
      </candidateList>
      <explain/>
      <paraID>32903C02</paraID>
      <start>4</start>
      <end>9</end>
      <status>unmodified</status>
      <modifiedWord/>
      <trackRevisions>false</trackRevisions>
    </reviewItem>
    <reviewItem>
      <errorID>3bf6ce0c-9e3a-4468-9fe1-a7228028a0eb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25EC4DA7</paraID>
      <start>76</start>
      <end>79</end>
      <status>unmodified</status>
      <modifiedWord/>
      <trackRevisions>false</trackRevisions>
    </reviewItem>
    <reviewItem>
      <errorID>4f518ecc-1832-43d6-a890-25e919f080a1</errorID>
      <errorWord>，</errorWord>
      <group>L1_Word</group>
      <groupName>字词问题</groupName>
      <ability>L2_Typo</ability>
      <abilityName>字词错误</abilityName>
      <candidateList>
        <item>，加</item>
      </candidateList>
      <explain/>
      <paraID> C1AF958</paraID>
      <start>55</start>
      <end>56</end>
      <status>unmodified</status>
      <modifiedWord/>
      <trackRevisions>false</trackRevisions>
    </reviewItem>
    <reviewItem>
      <errorID>02b7c467-96c3-4b9b-99af-a05edf0c886a</errorID>
      <errorWord>间</errorWord>
      <group>L1_Word</group>
      <groupName>字词问题</groupName>
      <ability>L2_Typo</ability>
      <abilityName>字词错误</abilityName>
      <candidateList>
        <item>间之</item>
      </candidateList>
      <explain/>
      <paraID>68D91167</paraID>
      <start>13</start>
      <end>14</end>
      <status>unmodified</status>
      <modifiedWord/>
      <trackRevisions>false</trackRevisions>
    </reviewItem>
    <reviewItem>
      <errorID>b19b222f-5efd-4a10-a32f-b73d9e89d5b1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269A1B0B</paraID>
      <start>0</start>
      <end>3</end>
      <status>unmodified</status>
      <modifiedWord/>
      <trackRevisions>false</trackRevisions>
    </reviewItem>
    <reviewItem>
      <errorID>72148f11-a2f6-4a3b-85af-a076fc216927</errorID>
      <errorWord>作</errorWord>
      <group>L1_Word</group>
      <groupName>字词问题</groupName>
      <ability>L2_Typo</ability>
      <abilityName>字词错误</abilityName>
      <candidateList>
        <item>做</item>
      </candidateList>
      <explain>存在发音相同字词的误用。</explain>
      <paraID>47E452D4</paraID>
      <start>120</start>
      <end>121</end>
      <status>unmodified</status>
      <modifiedWord/>
      <trackRevisions>false</trackRevisions>
    </reviewItem>
    <reviewItem>
      <errorID>967b2244-8b0a-45ee-9a63-295efde8b9a2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70BFA6C4</paraID>
      <start>0</start>
      <end>3</end>
      <status>unmodified</status>
      <modifiedWord/>
      <trackRevisions>false</trackRevisions>
    </reviewItem>
    <reviewItem>
      <errorID>1aefcb44-90a6-491c-bf80-39b29be59bf4</errorID>
      <errorWord>里</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167D9E74</paraID>
      <start>90</start>
      <end>91</end>
      <status>unmodified</status>
      <modifiedWord/>
      <trackRevisions>false</trackRevisions>
    </reviewItem>
    <reviewItem>
      <errorID>5ede56ff-4ca1-405c-a781-0316662b6032</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5DDFE285</paraID>
      <start>180</start>
      <end>183</end>
      <status>unmodified</status>
      <modifiedWord/>
      <trackRevisions>false</trackRevisions>
    </reviewItem>
    <reviewItem>
      <errorID>409d1e24-1666-4383-b7bf-b12a784ccfbf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2C32EE95</paraID>
      <start>1</start>
      <end>4</end>
      <status>unmodified</status>
      <modifiedWord/>
      <trackRevisions>false</trackRevisions>
    </reviewItem>
    <reviewItem>
      <errorID>f9aaf51e-746a-4d2a-a175-854e184e4815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243E53AC</paraID>
      <start>0</start>
      <end>3</end>
      <status>unmodified</status>
      <modifiedWord/>
      <trackRevisions>false</trackRevisions>
    </reviewItem>
    <reviewItem>
      <errorID>763cec55-ff99-4335-97fb-6618658bbd07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26989EAB</paraID>
      <start>0</start>
      <end>3</end>
      <status>unmodified</status>
      <modifiedWord/>
      <trackRevisions>false</trackRevisions>
    </reviewItem>
    <reviewItem>
      <errorID>7ca22eff-3fb2-4b8e-a8ac-a4a7e432c1ba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60C0B9DE</paraID>
      <start>0</start>
      <end>3</end>
      <status>unmodified</status>
      <modifiedWord/>
      <trackRevisions>false</trackRevisions>
    </reviewItem>
    <reviewItem>
      <errorID>25ee3c16-a4ad-4847-9fde-e4ecb7ccb3c7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56C8151A</paraID>
      <start>0</start>
      <end>3</end>
      <status>unmodified</status>
      <modifiedWord/>
      <trackRevisions>false</trackRevisions>
    </reviewItem>
    <reviewItem>
      <errorID>024e253d-8ced-41e0-b229-742ce1a67944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2B8404BC</paraID>
      <start>0</start>
      <end>3</end>
      <status>unmodified</status>
      <modifiedWord/>
      <trackRevisions>false</trackRevisions>
    </reviewItem>
    <reviewItem>
      <errorID>7c0612d5-190f-4e43-898e-2c7867e31225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148C3442</paraID>
      <start>0</start>
      <end>3</end>
      <status>unmodified</status>
      <modifiedWord/>
      <trackRevisions>false</trackRevisions>
    </reviewItem>
    <reviewItem>
      <errorID>6f8f8cb9-8e2e-44b5-802b-e0c98046363b</errorID>
      <errorWord>其它</errorWord>
      <group>L1_Word</group>
      <groupName>字词问题</groupName>
      <ability>L2_Alias</ability>
      <abilityName>也作/曾用词</abilityName>
      <candidateList>
        <item>其他</item>
      </candidateList>
      <explain>词汇[其它]为不规范表述或旧称，其规范书面表述为[其他]。</explain>
      <paraID>148C3442</paraID>
      <start>14</start>
      <end>16</end>
      <status>unmodified</status>
      <modifiedWord/>
      <trackRevisions>false</trackRevisions>
    </reviewItem>
    <reviewItem>
      <errorID>ce778cc7-7de9-4c4d-bc13-ca9208940e7e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561F8C62</paraID>
      <start>20</start>
      <end>22</end>
      <status>unmodified</status>
      <modifiedWord/>
      <trackRevisions>false</trackRevisions>
    </reviewItem>
    <reviewItem>
      <errorID>1ccd0f7d-e42f-443b-90d6-e71f036fd0d6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561F8C62</paraID>
      <start>40</start>
      <end>42</end>
      <status>unmodified</status>
      <modifiedWord/>
      <trackRevisions>false</trackRevisions>
    </reviewItem>
    <reviewItem>
      <errorID>5a53d1df-e442-433f-a2b5-80f6b0fc06d4</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69E41104</paraID>
      <start>16</start>
      <end>20</end>
      <status>unmodified</status>
      <modifiedWord/>
      <trackRevisions>false</trackRevisions>
    </reviewItem>
    <reviewItem>
      <errorID>fff8d81d-6859-4fe1-aac7-d6dba04a0c50</errorID>
      <errorWord>其它</errorWord>
      <group>L1_Word</group>
      <groupName>字词问题</groupName>
      <ability>L2_Alias</ability>
      <abilityName>也作/曾用词</abilityName>
      <candidateList>
        <item>其他</item>
      </candidateList>
      <explain>词汇[其它]为不规范表述或旧称，其规范书面表述为[其他]。</explain>
      <paraID>45C935BD</paraID>
      <start>33</start>
      <end>35</end>
      <status>unmodified</status>
      <modifiedWord/>
      <trackRevisions>false</trackRevisions>
    </reviewItem>
    <reviewItem>
      <errorID>7fb55726-e9ea-495b-be7e-2568a7ffd97b</errorID>
      <errorWord>报</errorWord>
      <group>L1_Word</group>
      <groupName>字词问题</groupName>
      <ability>L2_Typo</ability>
      <abilityName>字词错误</abilityName>
      <candidateList>
        <item>报送</item>
      </candidateList>
      <explain/>
      <paraID>2C9D0317</paraID>
      <start>36</start>
      <end>37</end>
      <status>unmodified</status>
      <modifiedWord/>
      <trackRevisions>false</trackRevisions>
    </reviewItem>
    <reviewItem>
      <errorID>d4dfc53f-2584-4ffc-989f-087d0c6763b3</errorID>
      <errorWord>详实</errorWord>
      <group>L1_Word</group>
      <groupName>字词问题</groupName>
      <ability>L2_Typo</ability>
      <abilityName>字词错误</abilityName>
      <candidateList>
        <item>翔实</item>
      </candidateList>
      <explain/>
      <paraID>2863F14E</paraID>
      <start>63</start>
      <end>65</end>
      <status>unmodified</status>
      <modifiedWord/>
      <trackRevisions>false</trackRevisions>
    </reviewItem>
    <reviewItem>
      <errorID>f6a1a768-5d31-423d-b8cb-be76e04f547e</errorID>
      <errorWord>作好</errorWord>
      <group>L1_Word</group>
      <groupName>字词问题</groupName>
      <ability>L2_Typo</ability>
      <abilityName>字词错误</abilityName>
      <candidateList>
        <item>做好</item>
      </candidateList>
      <explain/>
      <paraID>1C052ECB</paraID>
      <start>77</start>
      <end>79</end>
      <status>unmodified</status>
      <modifiedWord/>
      <trackRevisions>false</trackRevisions>
    </reviewItem>
    <reviewItem>
      <errorID>8ac1a34a-9871-4887-8d8e-097f454448eb</errorID>
      <errorWord>、</errorWord>
      <group>L1_Word</group>
      <groupName>字词问题</groupName>
      <ability>L2_Typo</ability>
      <abilityName>字词错误</abilityName>
      <candidateList>
        <item>、以</item>
      </candidateList>
      <explain/>
      <paraID>1C052ECB</paraID>
      <start>147</start>
      <end>148</end>
      <status>unmodified</status>
      <modifiedWord/>
      <trackRevisions>false</trackRevisions>
    </reviewItem>
    <reviewItem>
      <errorID>f64bb36e-768d-4939-83a7-501afac47875</errorID>
      <errorWord>配戴</errorWord>
      <group>L1_Word</group>
      <groupName>字词问题</groupName>
      <ability>L2_Alias</ability>
      <abilityName>也作/曾用词</abilityName>
      <candidateList>
        <item>佩戴</item>
      </candidateList>
      <explain>词汇[配戴]为不规范表述或旧称，其规范书面表述为[佩戴]。</explain>
      <paraID>7A80DAA2</paraID>
      <start>65</start>
      <end>67</end>
      <status>unmodified</status>
      <modifiedWord/>
      <trackRevisions>false</trackRevisions>
    </reviewItem>
    <reviewItem>
      <errorID>ee1e5873-9ab1-4769-ac7c-d22a20c955a7</errorID>
      <errorWord>提供当</errorWord>
      <group>L1_Word</group>
      <groupName>字词问题</groupName>
      <ability>L2_Typo</ability>
      <abilityName>字词错误</abilityName>
      <candidateList>
        <item>提供</item>
      </candidateList>
      <explain/>
      <paraID>309EC695</paraID>
      <start>96</start>
      <end>99</end>
      <status>unmodified</status>
      <modifiedWord/>
      <trackRevisions>false</trackRevisions>
    </reviewItem>
    <reviewItem>
      <errorID>9f71bcf4-3196-4b9b-ad36-910406841e88</errorID>
      <errorWord>最少应响应以下</errorWord>
      <group>L1_Grammar</group>
      <groupName>语法问题</groupName>
      <ability>L2_Grammar</ability>
      <abilityName>语法错误</abilityName>
      <candidateList>
        <item>最少应响应</item>
      </candidateList>
      <explain/>
      <paraID>30663D41</paraID>
      <start>33</start>
      <end>40</end>
      <status>unmodified</status>
      <modifiedWord/>
      <trackRevisions>false</trackRevisions>
    </reviewItem>
    <reviewItem>
      <errorID>4a30ac10-6fee-4331-8ef6-a251d6511b90</errorID>
      <errorWord>来自于</errorWord>
      <group>L1_Grammar</group>
      <groupName>语法问题</groupName>
      <ability>L2_Grammar</ability>
      <abilityName>语法错误</abilityName>
      <candidateList>
        <item>来自</item>
      </candidateList>
      <explain/>
      <paraID> CEFB509</paraID>
      <start>13</start>
      <end>16</end>
      <status>unmodified</status>
      <modifiedWord/>
      <trackRevisions>false</trackRevisions>
    </reviewItem>
    <reviewItem>
      <errorID>80d4f6ed-75a8-4a36-9363-00cad6b293f2</errorID>
      <errorWord>达</errorWord>
      <group>L1_Word</group>
      <groupName>字词问题</groupName>
      <ability>L2_Typo</ability>
      <abilityName>字词错误</abilityName>
      <candidateList>
        <item>达到</item>
      </candidateList>
      <explain>〈动〉到（多指抽象事物或程度）：达得到｜达不到｜目的没有～｜～国际水平。</explain>
      <paraID>535278F1</paraID>
      <start>9</start>
      <end>10</end>
      <status>unmodified</status>
      <modifiedWord/>
      <trackRevisions>false</trackRevisions>
    </reviewItem>
    <reviewItem>
      <errorID>5c53a3f4-5145-4f42-91b6-e7a9496cc0cc</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535278F1</paraID>
      <start>146</start>
      <end>148</end>
      <status>unmodified</status>
      <modifiedWord/>
      <trackRevisions>false</trackRevisions>
    </reviewItem>
    <reviewItem>
      <errorID>6693205e-ab34-4dab-9579-f3782b3e3240</errorID>
      <errorWord>葵花籽</errorWord>
      <group>L1_Knowledge</group>
      <groupName>知识性问题</groupName>
      <ability>L2_Knowledge</ability>
      <abilityName>其他知识</abilityName>
      <candidateList>
        <item>葵花子</item>
      </candidateList>
      <explain/>
      <paraID> CD120F8</paraID>
      <start>62</start>
      <end>65</end>
      <status>unmodified</status>
      <modifiedWord/>
      <trackRevisions>false</trackRevisions>
    </reviewItem>
    <reviewItem>
      <errorID>3281fcff-b83e-4f62-8db4-0e89204798d5</errorID>
      <errorWord>（</errorWord>
      <group>L1_Punc</group>
      <groupName>标点问题</groupName>
      <ability>L2_Punc</ability>
      <abilityName>标点符号检查</abilityName>
      <candidateList/>
      <explain>同一形式括号套用。</explain>
      <paraID> CD120F8</paraID>
      <start>82</start>
      <end>83</end>
      <status>unmodified</status>
      <modifiedWord/>
      <trackRevisions>false</trackRevisions>
    </reviewItem>
    <reviewItem>
      <errorID>c972b253-03d2-475f-b96c-273800170611</errorID>
      <errorWord>）</errorWord>
      <group>L1_Punc</group>
      <groupName>标点问题</groupName>
      <ability>L2_Punc</ability>
      <abilityName>标点符号检查</abilityName>
      <candidateList/>
      <explain>同一形式括号套用。</explain>
      <paraID> CD120F8</paraID>
      <start>86</start>
      <end>87</end>
      <status>unmodified</status>
      <modifiedWord/>
      <trackRevisions>false</trackRevisions>
    </reviewItem>
    <reviewItem>
      <errorID>7636ff23-c25f-4b0f-82f7-003db648fd5b</errorID>
      <errorWord>黄曲霉素</errorWord>
      <group>L1_Word</group>
      <groupName>字词问题</groupName>
      <ability>L2_Typo</ability>
      <abilityName>字词错误</abilityName>
      <candidateList>
        <item>黄曲霉毒素</item>
      </candidateList>
      <explain/>
      <paraID> CD120F8</paraID>
      <start>192</start>
      <end>196</end>
      <status>unmodified</status>
      <modifiedWord/>
      <trackRevisions>false</trackRevisions>
    </reviewItem>
    <reviewItem>
      <errorID>cf321dbd-354d-46b3-b6c7-3ab247d2deaf</errorID>
      <errorWord>报</errorWord>
      <group>L1_Word</group>
      <groupName>字词问题</groupName>
      <ability>L2_Typo</ability>
      <abilityName>字词错误</abilityName>
      <candidateList>
        <item>报送</item>
      </candidateList>
      <explain/>
      <paraID>147ABA25</paraID>
      <start>36</start>
      <end>37</end>
      <status>unmodified</status>
      <modifiedWord/>
      <trackRevisions>false</trackRevisions>
    </reviewItem>
    <reviewItem>
      <errorID>027de889-c891-45d3-ba39-13c045d846d3</errorID>
      <errorWord>详实</errorWord>
      <group>L1_Word</group>
      <groupName>字词问题</groupName>
      <ability>L2_Typo</ability>
      <abilityName>字词错误</abilityName>
      <candidateList>
        <item>翔实</item>
      </candidateList>
      <explain/>
      <paraID>25B51293</paraID>
      <start>63</start>
      <end>65</end>
      <status>unmodified</status>
      <modifiedWord/>
      <trackRevisions>false</trackRevisions>
    </reviewItem>
    <reviewItem>
      <errorID>a11f0c57-453f-452d-b4d9-7c9905448615</errorID>
      <errorWord>作好</errorWord>
      <group>L1_Word</group>
      <groupName>字词问题</groupName>
      <ability>L2_Typo</ability>
      <abilityName>字词错误</abilityName>
      <candidateList>
        <item>做好</item>
      </candidateList>
      <explain/>
      <paraID>7187DA84</paraID>
      <start>79</start>
      <end>81</end>
      <status>unmodified</status>
      <modifiedWord/>
      <trackRevisions>false</trackRevisions>
    </reviewItem>
    <reviewItem>
      <errorID>cbb96072-542b-481d-af40-4fd95a368b24</errorID>
      <errorWord>、</errorWord>
      <group>L1_Word</group>
      <groupName>字词问题</groupName>
      <ability>L2_Typo</ability>
      <abilityName>字词错误</abilityName>
      <candidateList>
        <item>、以</item>
      </candidateList>
      <explain/>
      <paraID>7187DA84</paraID>
      <start>149</start>
      <end>150</end>
      <status>unmodified</status>
      <modifiedWord/>
      <trackRevisions>false</trackRevisions>
    </reviewItem>
    <reviewItem>
      <errorID>7ed61c49-c4f0-4cae-80c6-b8164e4f97f5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1082E244</paraID>
      <start>2</start>
      <end>5</end>
      <status>unmodified</status>
      <modifiedWord/>
      <trackRevisions>false</trackRevisions>
    </reviewItem>
    <reviewItem>
      <errorID>6ee84b41-1d3d-4331-8995-aa4a4305b18f</errorID>
      <errorWord>配戴</errorWord>
      <group>L1_Word</group>
      <groupName>字词问题</groupName>
      <ability>L2_Alias</ability>
      <abilityName>也作/曾用词</abilityName>
      <candidateList>
        <item>佩戴</item>
      </candidateList>
      <explain>词汇[配戴]为不规范表述或旧称，其规范书面表述为[佩戴]。</explain>
      <paraID>222973EC</paraID>
      <start>65</start>
      <end>67</end>
      <status>unmodified</status>
      <modifiedWord/>
      <trackRevisions>false</trackRevisions>
    </reviewItem>
    <reviewItem>
      <errorID>a12df2fe-961c-4c1c-bea3-7c454de816ee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3F62C218</paraID>
      <start>38</start>
      <end>39</end>
      <status>unmodified</status>
      <modifiedWord/>
      <trackRevisions>false</trackRevisions>
    </reviewItem>
    <reviewItem>
      <errorID>6281b094-91d9-4e28-bc79-4f6883f7d6a5</errorID>
      <errorWord>提供当</errorWord>
      <group>L1_Word</group>
      <groupName>字词问题</groupName>
      <ability>L2_Typo</ability>
      <abilityName>字词错误</abilityName>
      <candidateList>
        <item>提供</item>
      </candidateList>
      <explain/>
      <paraID>5EC299AD</paraID>
      <start>96</start>
      <end>99</end>
      <status>unmodified</status>
      <modifiedWord/>
      <trackRevisions>false</trackRevisions>
    </reviewItem>
    <reviewItem>
      <errorID>b7606b26-7552-4771-a8ad-26d7b1af6098</errorID>
      <errorWord>最少应响应以下</errorWord>
      <group>L1_Grammar</group>
      <groupName>语法问题</groupName>
      <ability>L2_Grammar</ability>
      <abilityName>语法错误</abilityName>
      <candidateList>
        <item>最少应响应</item>
      </candidateList>
      <explain/>
      <paraID>136F46F0</paraID>
      <start>34</start>
      <end>41</end>
      <status>unmodified</status>
      <modifiedWord/>
      <trackRevisions>false</trackRevisions>
    </reviewItem>
    <reviewItem>
      <errorID>195f31a0-21c6-4aaa-aec3-12c37e8ebccb</errorID>
      <errorWord>无须</errorWord>
      <group>L1_Word</group>
      <groupName>字词问题</groupName>
      <ability>L2_Typo</ability>
      <abilityName>字词错误</abilityName>
      <candidateList>
        <item>无需</item>
      </candidateList>
      <explain>同“无须”。</explain>
      <paraID>581F559D</paraID>
      <start>162</start>
      <end>164</end>
      <status>unmodified</status>
      <modifiedWord/>
      <trackRevisions>false</trackRevisions>
    </reviewItem>
    <reviewItem>
      <errorID>b7811d3b-980b-4073-ac1c-dca731bc1759</errorID>
      <errorWord>不断连</errorWord>
      <group>L1_Word</group>
      <groupName>字词问题</groupName>
      <ability>L2_Typo</ability>
      <abilityName>字词错误</abilityName>
      <candidateList>
        <item>不断</item>
      </candidateList>
      <explain>❶〈动〉连续不间断：接连～｜财源～。❷〈副〉表示连续地：～努力，～进步｜新生事物～涌现。</explain>
      <paraID> 7F6266C</paraID>
      <start>104</start>
      <end>107</end>
      <status>unmodified</status>
      <modifiedWord/>
      <trackRevisions>false</trackRevisions>
    </reviewItem>
    <reviewItem>
      <errorID>e428075b-5153-4303-aad8-bf24ec589876</errorID>
      <errorWord>报</errorWord>
      <group>L1_Word</group>
      <groupName>字词问题</groupName>
      <ability>L2_Typo</ability>
      <abilityName>字词错误</abilityName>
      <candidateList>
        <item>报送</item>
      </candidateList>
      <explain/>
      <paraID> 942F018</paraID>
      <start>36</start>
      <end>37</end>
      <status>unmodified</status>
      <modifiedWord/>
      <trackRevisions>false</trackRevisions>
    </reviewItem>
    <reviewItem>
      <errorID>ebfda429-6218-47ac-94c0-6e6a7d095a6c</errorID>
      <errorWord>详实</errorWord>
      <group>L1_Word</group>
      <groupName>字词问题</groupName>
      <ability>L2_Typo</ability>
      <abilityName>字词错误</abilityName>
      <candidateList>
        <item>翔实</item>
      </candidateList>
      <explain/>
      <paraID> ECC0E12</paraID>
      <start>63</start>
      <end>65</end>
      <status>unmodified</status>
      <modifiedWord/>
      <trackRevisions>false</trackRevisions>
    </reviewItem>
    <reviewItem>
      <errorID>ca243205-084e-4db2-9918-949a1914b035</errorID>
      <errorWord>作好</errorWord>
      <group>L1_Word</group>
      <groupName>字词问题</groupName>
      <ability>L2_Typo</ability>
      <abilityName>字词错误</abilityName>
      <candidateList>
        <item>做好</item>
      </candidateList>
      <explain/>
      <paraID>1D9CA912</paraID>
      <start>78</start>
      <end>80</end>
      <status>unmodified</status>
      <modifiedWord/>
      <trackRevisions>false</trackRevisions>
    </reviewItem>
    <reviewItem>
      <errorID>71e6a4c1-4373-4f5c-83a1-e432afd23ae1</errorID>
      <errorWord>、</errorWord>
      <group>L1_Word</group>
      <groupName>字词问题</groupName>
      <ability>L2_Typo</ability>
      <abilityName>字词错误</abilityName>
      <candidateList>
        <item>、以</item>
      </candidateList>
      <explain/>
      <paraID>1D9CA912</paraID>
      <start>148</start>
      <end>149</end>
      <status>unmodified</status>
      <modifiedWord/>
      <trackRevisions>false</trackRevisions>
    </reviewItem>
    <reviewItem>
      <errorID>ba5c82a9-6590-43bd-a28d-fe03bda8d663</errorID>
      <errorWord>，</errorWord>
      <group>L1_Word</group>
      <groupName>字词问题</groupName>
      <ability>L2_Typo</ability>
      <abilityName>字词错误</abilityName>
      <candidateList>
        <item>，并</item>
      </candidateList>
      <explain/>
      <paraID>7BDE8810</paraID>
      <start>84</start>
      <end>85</end>
      <status>unmodified</status>
      <modifiedWord/>
      <trackRevisions>false</trackRevisions>
    </reviewItem>
    <reviewItem>
      <errorID>7ff22c2e-99a0-4d51-b545-ef250b42d70c</errorID>
      <errorWord>配戴</errorWord>
      <group>L1_Word</group>
      <groupName>字词问题</groupName>
      <ability>L2_Alias</ability>
      <abilityName>也作/曾用词</abilityName>
      <candidateList>
        <item>佩戴</item>
      </candidateList>
      <explain>词汇[配戴]为不规范表述或旧称，其规范书面表述为[佩戴]。</explain>
      <paraID>358A0422</paraID>
      <start>65</start>
      <end>67</end>
      <status>unmodified</status>
      <modifiedWord/>
      <trackRevisions>false</trackRevisions>
    </reviewItem>
    <reviewItem>
      <errorID>6dedc63c-1e5f-43ce-97b7-13f6df16e2a0</errorID>
      <errorWord>提供当</errorWord>
      <group>L1_Word</group>
      <groupName>字词问题</groupName>
      <ability>L2_Typo</ability>
      <abilityName>字词错误</abilityName>
      <candidateList>
        <item>提供</item>
      </candidateList>
      <explain/>
      <paraID>215EE5A7</paraID>
      <start>96</start>
      <end>99</end>
      <status>unmodified</status>
      <modifiedWord/>
      <trackRevisions>false</trackRevisions>
    </reviewItem>
    <reviewItem>
      <errorID>d8364cf3-8a62-4784-933b-2baafae33601</errorID>
      <errorWord>最少应响应以下</errorWord>
      <group>L1_Grammar</group>
      <groupName>语法问题</groupName>
      <ability>L2_Grammar</ability>
      <abilityName>语法错误</abilityName>
      <candidateList>
        <item>最少应响应</item>
      </candidateList>
      <explain/>
      <paraID>38F0E9E6</paraID>
      <start>34</start>
      <end>41</end>
      <status>unmodified</status>
      <modifiedWord/>
      <trackRevisions>false</trackRevisions>
    </reviewItem>
    <reviewItem>
      <errorID>c311450d-2474-478a-a647-eced68c1bff9</errorID>
      <errorWord>法律、法规</errorWord>
      <group>L1_Word</group>
      <groupName>字词问题</groupName>
      <ability>L2_Typo</ability>
      <abilityName>字词错误</abilityName>
      <candidateList>
        <item>法律法规</item>
      </candidateList>
      <explain/>
      <paraID>42DE9661</paraID>
      <start>76</start>
      <end>81</end>
      <status>unmodified</status>
      <modifiedWord/>
      <trackRevisions>false</trackRevisions>
    </reviewItem>
    <reviewItem>
      <errorID>5755bdb2-97c3-49f4-85fe-30aada56c5b8</errorID>
      <errorWord>来自于</errorWord>
      <group>L1_Grammar</group>
      <groupName>语法问题</groupName>
      <ability>L2_Grammar</ability>
      <abilityName>语法错误</abilityName>
      <candidateList>
        <item>来自</item>
      </candidateList>
      <explain/>
      <paraID>38D45A26</paraID>
      <start>56</start>
      <end>59</end>
      <status>unmodified</status>
      <modifiedWord/>
      <trackRevisions>false</trackRevisions>
    </reviewItem>
    <reviewItem>
      <errorID>de9c70aa-45bf-42ea-a505-8b04d9194db7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5B2ED515</paraID>
      <start>22</start>
      <end>24</end>
      <status>unmodified</status>
      <modifiedWord/>
      <trackRevisions>false</trackRevisions>
    </reviewItem>
    <reviewItem>
      <errorID>2d2f06b1-e459-4cfb-9efe-c83b6c47d921</errorID>
      <errorWord>台湾地区</errorWord>
      <group>L1_Word</group>
      <groupName>字词问题</groupName>
      <ability>L2_Typo</ability>
      <abilityName>字词错误</abilityName>
      <candidateList>
        <item>中国台湾地区</item>
      </candidateList>
      <explain/>
      <paraID>7F390D9C</paraID>
      <start>37</start>
      <end>41</end>
      <status>unmodified</status>
      <modifiedWord/>
      <trackRevisions>false</trackRevisions>
    </reviewItem>
    <reviewItem>
      <errorID>8f118928-598f-4f36-9147-08660c49b1f1</errorID>
      <errorWord>同</errorWord>
      <group>L1_Word</group>
      <groupName>字词问题</groupName>
      <ability>L2_Typo</ability>
      <abilityName>字词错误</abilityName>
      <candidateList>
        <item>同中</item>
      </candidateList>
      <explain/>
      <paraID>6F229CD8</paraID>
      <start>51</start>
      <end>52</end>
      <status>unmodified</status>
      <modifiedWord/>
      <trackRevisions>false</trackRevisions>
    </reviewItem>
    <reviewItem>
      <errorID>c6df3924-63cd-4c0d-ac5f-c54d221d777b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10722582</paraID>
      <start>74</start>
      <end>76</end>
      <status>unmodified</status>
      <modifiedWord/>
      <trackRevisions>false</trackRevisions>
    </reviewItem>
    <reviewItem>
      <errorID>554b2ed3-64c5-467f-9aa5-3f586d8392aa</errorID>
      <errorWord>法律、法规</errorWord>
      <group>L1_Word</group>
      <groupName>字词问题</groupName>
      <ability>L2_Typo</ability>
      <abilityName>字词错误</abilityName>
      <candidateList>
        <item>法律法规</item>
      </candidateList>
      <explain/>
      <paraID>797BE394</paraID>
      <start>70</start>
      <end>75</end>
      <status>unmodified</status>
      <modifiedWord/>
      <trackRevisions>false</trackRevisions>
    </reviewItem>
    <reviewItem>
      <errorID>f50d1e7a-6102-4cab-8b68-0b53427dce9c</errorID>
      <errorWord>为取</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452C3471</paraID>
      <start>28</start>
      <end>30</end>
      <status>unmodified</status>
      <modifiedWord/>
      <trackRevisions>false</trackRevisions>
    </reviewItem>
    <reviewItem>
      <errorID>69d66ff8-c15a-472c-8667-e44107319d23</errorID>
      <errorWord>包</errorWord>
      <group>L1_Word</group>
      <groupName>字词问题</groupName>
      <ability>L2_Typo</ability>
      <abilityName>字词错误</abilityName>
      <candidateList>
        <item>包括</item>
      </candidateList>
      <explain/>
      <paraID>7C4C9783</paraID>
      <start>13</start>
      <end>14</end>
      <status>unmodified</status>
      <modifiedWord/>
      <trackRevisions>false</trackRevisions>
    </reviewItem>
    <reviewItem>
      <errorID>b35d76ec-1682-4f56-a19c-5676c9ddd33b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72D41B06</paraID>
      <start>0</start>
      <end>3</end>
      <status>unmodified</status>
      <modifiedWord/>
      <trackRevisions>false</trackRevisions>
    </reviewItem>
    <reviewItem>
      <errorID>244fa63d-c398-47d9-9cdf-6f0e9fd3448e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536C64F1</paraID>
      <start>0</start>
      <end>3</end>
      <status>unmodified</status>
      <modifiedWord/>
      <trackRevisions>false</trackRevisions>
    </reviewItem>
    <reviewItem>
      <errorID>5bb07306-6677-40d7-a14b-3b4ecb177f29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66018E41</paraID>
      <start>0</start>
      <end>3</end>
      <status>unmodified</status>
      <modifiedWord/>
      <trackRevisions>false</trackRevisions>
    </reviewItem>
    <reviewItem>
      <errorID>c4fb4f06-5bff-4384-83fc-b543fa3e2ae1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4A5D4274</paraID>
      <start>0</start>
      <end>3</end>
      <status>unmodified</status>
      <modifiedWord/>
      <trackRevisions>false</trackRevisions>
    </reviewItem>
    <reviewItem>
      <errorID>11da07c5-58d9-47c4-a9a2-f9b3146033a6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1FCD5052</paraID>
      <start>0</start>
      <end>3</end>
      <status>unmodified</status>
      <modifiedWord/>
      <trackRevisions>false</trackRevisions>
    </reviewItem>
    <reviewItem>
      <errorID>83368c87-59ac-4293-b38a-c939e6c05526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743A7B8C</paraID>
      <start>0</start>
      <end>3</end>
      <status>unmodified</status>
      <modifiedWord/>
      <trackRevisions>false</trackRevisions>
    </reviewItem>
    <reviewItem>
      <errorID>7f9f5041-568f-4c17-ae10-3017026c4782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68DFAE8D</paraID>
      <start>0</start>
      <end>3</end>
      <status>unmodified</status>
      <modifiedWord/>
      <trackRevisions>false</trackRevisions>
    </reviewItem>
    <reviewItem>
      <errorID>7cfe956d-dc29-4655-b771-043b161328bd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3FBEB4D1</paraID>
      <start>4</start>
      <end>7</end>
      <status>unmodified</status>
      <modifiedWord/>
      <trackRevisions>false</trackRevisions>
    </reviewItem>
    <reviewItem>
      <errorID>356d059a-105b-4f4f-b3d9-9c17d87a83eb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3394CD60</paraID>
      <start>4</start>
      <end>7</end>
      <status>unmodified</status>
      <modifiedWord/>
      <trackRevisions>false</trackRevisions>
    </reviewItem>
    <reviewItem>
      <errorID>385b2c42-0e0d-4afa-b6f1-0deef600b449</errorID>
      <errorWord>：</errorWord>
      <group>L1_Punc</group>
      <groupName>标点问题</groupName>
      <ability>L2_Punc</ability>
      <abilityName>标点符号检查</abilityName>
      <candidateList/>
      <explain/>
      <paraID> EAA250E</paraID>
      <start>9</start>
      <end>10</end>
      <status>unmodified</status>
      <modifiedWord/>
      <trackRevisions>false</trackRevisions>
    </reviewItem>
    <reviewItem>
      <errorID>b7bab941-4c3f-4a0e-a366-7edabdabef6e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1AE29CDB</paraID>
      <start>0</start>
      <end>2</end>
      <status>unmodified</status>
      <modifiedWord/>
      <trackRevisions>false</trackRevisions>
    </reviewItem>
    <reviewItem>
      <errorID>38ab0ecd-eb82-4a4f-b943-5382e94e6175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E83A389</paraID>
      <start>0</start>
      <end>2</end>
      <status>unmodified</status>
      <modifiedWord/>
      <trackRevisions>false</trackRevisions>
    </reviewItem>
    <reviewItem>
      <errorID>cb758f1f-d97b-40e8-85af-0b5d46b33976</errorID>
      <errorWord>Ａ．</errorWord>
      <group>L1_Format</group>
      <groupName>格式问题</groupName>
      <ability>L2_HalfPunc</ability>
      <abilityName>全半角检查</abilityName>
      <candidateList>
        <item>A。</item>
      </candidateList>
      <explain>文本全半角错误。</explain>
      <paraID>7FD37C29</paraID>
      <start>8</start>
      <end>10</end>
      <status>unmodified</status>
      <modifiedWord/>
      <trackRevisions>false</trackRevisions>
    </reviewItem>
    <reviewItem>
      <errorID>e4fb29dc-bf35-4e59-9b4d-858b693034da</errorID>
      <errorWord>Ｂ．</errorWord>
      <group>L1_Format</group>
      <groupName>格式问题</groupName>
      <ability>L2_HalfPunc</ability>
      <abilityName>全半角检查</abilityName>
      <candidateList>
        <item>B。</item>
      </candidateList>
      <explain>文本全半角错误。</explain>
      <paraID>415392D1</paraID>
      <start>8</start>
      <end>10</end>
      <status>unmodified</status>
      <modifiedWord/>
      <trackRevisions>false</trackRevisions>
    </reviewItem>
    <reviewItem>
      <errorID>e48de897-693e-4599-9a3d-2e9b817e41ce</errorID>
      <errorWord>Ｃ．</errorWord>
      <group>L1_Format</group>
      <groupName>格式问题</groupName>
      <ability>L2_HalfPunc</ability>
      <abilityName>全半角检查</abilityName>
      <candidateList>
        <item>C。</item>
      </candidateList>
      <explain>文本全半角错误。</explain>
      <paraID>3A6EE0DA</paraID>
      <start>8</start>
      <end>10</end>
      <status>unmodified</status>
      <modifiedWord/>
      <trackRevisions>false</trackRevisions>
    </reviewItem>
    <reviewItem>
      <errorID>b109b325-173e-4f28-9e7e-9e592b50c6b0</errorID>
      <errorWord>Ｄ．</errorWord>
      <group>L1_Format</group>
      <groupName>格式问题</groupName>
      <ability>L2_HalfPunc</ability>
      <abilityName>全半角检查</abilityName>
      <candidateList>
        <item>D。</item>
      </candidateList>
      <explain>文本全半角错误。</explain>
      <paraID>49E06C5D</paraID>
      <start>8</start>
      <end>10</end>
      <status>unmodified</status>
      <modifiedWord/>
      <trackRevisions>false</trackRevisions>
    </reviewItem>
    <reviewItem>
      <errorID>938f6101-507f-4f16-a08c-24b604f2ddb9</errorID>
      <errorWord>Ｅ．</errorWord>
      <group>L1_Format</group>
      <groupName>格式问题</groupName>
      <ability>L2_HalfPunc</ability>
      <abilityName>全半角检查</abilityName>
      <candidateList>
        <item>E。</item>
      </candidateList>
      <explain>文本全半角错误。</explain>
      <paraID>37BD2245</paraID>
      <start>4</start>
      <end>6</end>
      <status>unmodified</status>
      <modifiedWord/>
      <trackRevisions>false</trackRevisions>
    </reviewItem>
    <reviewItem>
      <errorID>7871d5f1-2470-404e-a967-2fd988fd8adf</errorID>
      <errorWord>Ｆ．</errorWord>
      <group>L1_Format</group>
      <groupName>格式问题</groupName>
      <ability>L2_HalfPunc</ability>
      <abilityName>全半角检查</abilityName>
      <candidateList>
        <item>F。</item>
      </candidateList>
      <explain>文本全半角错误。</explain>
      <paraID>4275F1A9</paraID>
      <start>4</start>
      <end>6</end>
      <status>unmodified</status>
      <modifiedWord/>
      <trackRevisions>false</trackRevisions>
    </reviewItem>
    <reviewItem>
      <errorID>e58242bf-6abe-4361-bbed-1bd30250e742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45B9EE12</paraID>
      <start>0</start>
      <end>3</end>
      <status>unmodified</status>
      <modifiedWord/>
      <trackRevisions>false</trackRevisions>
    </reviewItem>
    <reviewItem>
      <errorID>0cdb9cd0-9cea-45b2-8b11-fd5dfe61160f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6CFB30DF</paraID>
      <start>0</start>
      <end>3</end>
      <status>unmodified</status>
      <modifiedWord/>
      <trackRevisions>false</trackRevisions>
    </reviewItem>
    <reviewItem>
      <errorID>bc154a59-36d1-401c-b788-31b21fdb9095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55CD9404</paraID>
      <start>0</start>
      <end>2</end>
      <status>unmodified</status>
      <modifiedWord/>
      <trackRevisions>false</trackRevisions>
    </reviewItem>
    <reviewItem>
      <errorID>c80d67cc-bc65-46a3-b681-201f8207ab76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B79B359</paraID>
      <start>0</start>
      <end>2</end>
      <status>unmodified</status>
      <modifiedWord/>
      <trackRevisions>false</trackRevisions>
    </reviewItem>
    <reviewItem>
      <errorID>fc4238a4-8724-45ef-a835-00e46c815a04</errorID>
      <errorWord>程</errorWord>
      <group>L1_Word</group>
      <groupName>字词问题</groupName>
      <ability>L2_Typo</ability>
      <abilityName>字词错误</abilityName>
      <candidateList>
        <item>程中</item>
      </candidateList>
      <explain/>
      <paraID>50286C33</paraID>
      <start>83</start>
      <end>84</end>
      <status>unmodified</status>
      <modifiedWord/>
      <trackRevisions>false</trackRevisions>
    </reviewItem>
    <reviewItem>
      <errorID>fa47d87a-7ac8-47e4-894b-1e8daea4ee28</errorID>
      <errorWord>：</errorWord>
      <group>L1_Punc</group>
      <groupName>标点问题</groupName>
      <ability>L2_Punc</ability>
      <abilityName>标点符号检查</abilityName>
      <candidateList/>
      <explain/>
      <paraID>4934FDBB</paraID>
      <start>20</start>
      <end>21</end>
      <status>unmodified</status>
      <modifiedWord/>
      <trackRevisions>false</trackRevisions>
    </reviewItem>
    <reviewItem>
      <errorID>81af84ee-0b67-4db7-9ce6-63fb9e8db6a6</errorID>
      <errorWord>法律、法规</errorWord>
      <group>L1_Word</group>
      <groupName>字词问题</groupName>
      <ability>L2_Typo</ability>
      <abilityName>字词错误</abilityName>
      <candidateList>
        <item>法律法规</item>
      </candidateList>
      <explain/>
      <paraID>69EFB0A4</paraID>
      <start>8</start>
      <end>13</end>
      <status>unmodified</status>
      <modifiedWord/>
      <trackRevisions>false</trackRevisions>
    </reviewItem>
    <reviewItem>
      <errorID>f323966a-842a-4945-bd58-ee8184ad28ce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69EFB0A4</paraID>
      <start>28</start>
      <end>31</end>
      <status>unmodified</status>
      <modifiedWord/>
      <trackRevisions>false</trackRevisions>
    </reviewItem>
    <reviewItem>
      <errorID>adc705f2-94ca-4f43-b325-17be1e982386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69EFB0A4</paraID>
      <start>45</start>
      <end>48</end>
      <status>unmodified</status>
      <modifiedWord/>
      <trackRevisions>false</trackRevisions>
    </reviewItem>
    <reviewItem>
      <errorID>622d5c31-dea3-4a6e-89b1-dd9882b70a8f</errorID>
      <errorWord>其它</errorWord>
      <group>L1_Word</group>
      <groupName>字词问题</groupName>
      <ability>L2_Alias</ability>
      <abilityName>也作/曾用词</abilityName>
      <candidateList>
        <item>其他</item>
      </candidateList>
      <explain>词汇[其它]为不规范表述或旧称，其规范书面表述为[其他]。</explain>
      <paraID>1AAEAAD2</paraID>
      <start>82</start>
      <end>84</end>
      <status>unmodified</status>
      <modifiedWord/>
      <trackRevisions>false</trackRevisions>
    </reviewItem>
    <reviewItem>
      <errorID>458ef41d-ca87-44ea-bc2f-33199bba5526</errorID>
      <errorWord>，</errorWord>
      <group>L1_Word</group>
      <groupName>字词问题</groupName>
      <ability>L2_Typo</ability>
      <abilityName>字词错误</abilityName>
      <candidateList>
        <item>，不</item>
      </candidateList>
      <explain/>
      <paraID>5B278707</paraID>
      <start>30</start>
      <end>31</end>
      <status>unmodified</status>
      <modifiedWord/>
      <trackRevisions>false</trackRevisions>
    </reviewItem>
    <reviewItem>
      <errorID>95bad50c-7bf8-4d44-848a-0bac310b4fe9</errorID>
      <errorWord>政纪处分</errorWord>
      <group>L1_Word</group>
      <groupName>字词问题</groupName>
      <ability>L2_Typo</ability>
      <abilityName>字词错误</abilityName>
      <candidateList>
        <item>政务处分</item>
      </candidateList>
      <explain/>
      <paraID>4CE4FDB7</paraID>
      <start>70</start>
      <end>74</end>
      <status>unmodified</status>
      <modifiedWord/>
      <trackRevisions>false</trackRevisions>
    </reviewItem>
    <reviewItem>
      <errorID>bb073560-82d4-461b-bff0-e36f33113b2a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75312FC</paraID>
      <start>0</start>
      <end>3</end>
      <status>unmodified</status>
      <modifiedWord/>
      <trackRevisions>false</trackRevisions>
    </reviewItem>
    <reviewItem>
      <errorID>46ea4fcf-317f-401b-86ea-6b36bc873e26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47D42532</paraID>
      <start>0</start>
      <end>3</end>
      <status>unmodified</status>
      <modifiedWord/>
      <trackRevisions>false</trackRevisions>
    </reviewItem>
    <reviewItem>
      <errorID>402a1799-209f-4fd3-b99e-cc7236acae09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50F7749D</paraID>
      <start>0</start>
      <end>3</end>
      <status>unmodified</status>
      <modifiedWord/>
      <trackRevisions>false</trackRevisions>
    </reviewItem>
    <reviewItem>
      <errorID>f6a096b0-e424-40dd-b545-005d1335c163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217A4A2F</paraID>
      <start>0</start>
      <end>3</end>
      <status>unmodified</status>
      <modifiedWord/>
      <trackRevisions>false</trackRevisions>
    </reviewItem>
    <reviewItem>
      <errorID>4cb16c58-6f6c-482b-9ec4-3fee625ac65a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5A84866</paraID>
      <start>0</start>
      <end>3</end>
      <status>unmodified</status>
      <modifiedWord/>
      <trackRevisions>false</trackRevisions>
    </reviewItem>
    <reviewItem>
      <errorID>2f06ed0f-b26e-46e5-ad96-567e5924c499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2446D7AB</paraID>
      <start>0</start>
      <end>3</end>
      <status>unmodified</status>
      <modifiedWord/>
      <trackRevisions>false</trackRevisions>
    </reviewItem>
    <reviewItem>
      <errorID>727fe4eb-a951-42c7-a736-557056030e47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704B168A</paraID>
      <start>0</start>
      <end>2</end>
      <status>unmodified</status>
      <modifiedWord/>
      <trackRevisions>false</trackRevisions>
    </reviewItem>
    <reviewItem>
      <errorID>7e33d60b-0bd1-46b6-b568-049f1e84f8ae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45FAAD22</paraID>
      <start>0</start>
      <end>2</end>
      <status>unmodified</status>
      <modifiedWord/>
      <trackRevisions>false</trackRevisions>
    </reviewItem>
    <reviewItem>
      <errorID>db81bec6-7b3e-4d59-b8eb-01105bd79188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7803948A</paraID>
      <start>0</start>
      <end>2</end>
      <status>unmodified</status>
      <modifiedWord/>
      <trackRevisions>false</trackRevisions>
    </reviewItem>
    <reviewItem>
      <errorID>2566404d-2b39-4d49-b4e0-8e49068d4b11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16DBB69C</paraID>
      <start>0</start>
      <end>2</end>
      <status>unmodified</status>
      <modifiedWord/>
      <trackRevisions>false</trackRevisions>
    </reviewItem>
    <reviewItem>
      <errorID>1b85fc7e-3d4f-4992-b3f2-7f16dfc87ca1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1BD0A8CC</paraID>
      <start>0</start>
      <end>2</end>
      <status>unmodified</status>
      <modifiedWord/>
      <trackRevisions>false</trackRevisions>
    </reviewItem>
    <reviewItem>
      <errorID>83554abd-4e9d-4c8e-a9e0-64721fed9c3b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4C749836</paraID>
      <start>0</start>
      <end>2</end>
      <status>unmodified</status>
      <modifiedWord/>
      <trackRevisions>false</trackRevisions>
    </reviewItem>
    <reviewItem>
      <errorID>c6fa2552-7a6b-4c2f-ae64-8ece2e841ee1</errorID>
      <errorWord>（</errorWord>
      <group>L1_Word</group>
      <groupName>字词问题</groupName>
      <ability>L2_Typo</ability>
      <abilityName>字词错误</abilityName>
      <candidateList>
        <item>（一</item>
      </candidateList>
      <explain/>
      <paraID>532B2A3A</paraID>
      <start>0</start>
      <end>1</end>
      <status>unmodified</status>
      <modifiedWord/>
      <trackRevisions>false</trackRevisions>
    </reviewItem>
    <reviewItem>
      <errorID>f39ce88b-94f7-4717-a1bb-feead1a87991</errorID>
      <errorWord>（</errorWord>
      <group>L1_Word</group>
      <groupName>字词问题</groupName>
      <ability>L2_Typo</ability>
      <abilityName>字词错误</abilityName>
      <candidateList>
        <item>（一</item>
      </candidateList>
      <explain/>
      <paraID>5714E2BD</paraID>
      <start>0</start>
      <end>1</end>
      <status>unmodified</status>
      <modifiedWord/>
      <trackRevisions>false</trackRevisions>
    </reviewItem>
    <reviewItem>
      <errorID>86f5b0e1-e432-418d-98f6-6075aee37355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29EF203A</paraID>
      <start>0</start>
      <end>2</end>
      <status>unmodified</status>
      <modifiedWord/>
      <trackRevisions>false</trackRevisions>
    </reviewItem>
    <reviewItem>
      <errorID>0d738b22-24ad-4542-aca5-e83331ff3f93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6398A580</paraID>
      <start>0</start>
      <end>2</end>
      <status>unmodified</status>
      <modifiedWord/>
      <trackRevisions>false</trackRevisions>
    </reviewItem>
  </reviewItems>
  <config/>
</contractReview>
</file>

<file path=customXml/item3.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22edc-2795-4784-b6de-e79e58ff2999}">
  <ds:schemaRefs/>
</ds:datastoreItem>
</file>

<file path=customXml/itemProps3.xml><?xml version="1.0" encoding="utf-8"?>
<ds:datastoreItem xmlns:ds="http://schemas.openxmlformats.org/officeDocument/2006/customXml" ds:itemID="{9ED9F653-2BF0-4164-B4BD-46F5055CD2B0}">
  <ds:schemaRefs/>
</ds:datastoreItem>
</file>

<file path=docProps/app.xml><?xml version="1.0" encoding="utf-8"?>
<Properties xmlns="http://schemas.openxmlformats.org/officeDocument/2006/extended-properties" xmlns:vt="http://schemas.openxmlformats.org/officeDocument/2006/docPropsVTypes">
  <Pages>136</Pages>
  <Words>12836</Words>
  <Characters>13690</Characters>
  <Lines>722</Lines>
  <Paragraphs>203</Paragraphs>
  <TotalTime>19</TotalTime>
  <ScaleCrop>false</ScaleCrop>
  <LinksUpToDate>false</LinksUpToDate>
  <CharactersWithSpaces>13828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2026-05-04T14:03:00Z</dcterms:created>
  <dc:creator>黄超群</dc:creator>
  <cp:lastModifiedBy>WPS_1528123779</cp:lastModifiedBy>
  <cp:lastPrinted>2026-04-21T18:48:00Z</cp:lastPrinted>
  <dcterms:modified xsi:type="dcterms:W3CDTF">2026-05-09T03:33:36Z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A6ED624D06934EFC85FEDA6E3CC200A7</vt:lpwstr>
  </property>
  <property fmtid="{D5CDD505-2E9C-101B-9397-08002B2CF9AE}" pid="4" name="KSOTemplateDocerSaveRecord">
    <vt:lpwstr>eyJoZGlkIjoiODQ0NWY5YjE3NGYzMmZkYTI2NTFkNWYyOGEwODRiNzgiLCJ1c2VySWQiOiIzNzYwNDg2NTAifQ==</vt:lpwstr>
  </property>
</Properties>
</file>