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4AB35">
      <w:pPr>
        <w:keepNext w:val="0"/>
        <w:keepLines w:val="0"/>
        <w:pageBreakBefore w:val="0"/>
        <w:kinsoku/>
        <w:wordWrap/>
        <w:overflowPunct/>
        <w:topLinePunct w:val="0"/>
        <w:autoSpaceDE/>
        <w:autoSpaceDN/>
        <w:bidi w:val="0"/>
        <w:adjustRightInd/>
        <w:snapToGrid/>
        <w:spacing w:line="360" w:lineRule="auto"/>
        <w:ind w:firstLine="643" w:firstLineChars="200"/>
        <w:jc w:val="center"/>
        <w:rPr>
          <w:rFonts w:hint="eastAsia" w:ascii="仿宋" w:hAnsi="仿宋" w:eastAsia="仿宋" w:cs="仿宋"/>
          <w:b/>
          <w:sz w:val="32"/>
          <w:szCs w:val="32"/>
          <w:highlight w:val="none"/>
        </w:rPr>
      </w:pPr>
      <w:bookmarkStart w:id="0" w:name="_GoBack"/>
      <w:bookmarkEnd w:id="0"/>
      <w:r>
        <w:rPr>
          <w:rFonts w:hint="eastAsia" w:ascii="仿宋" w:hAnsi="仿宋" w:eastAsia="仿宋" w:cs="仿宋"/>
          <w:b/>
          <w:sz w:val="32"/>
          <w:szCs w:val="32"/>
          <w:highlight w:val="none"/>
        </w:rPr>
        <w:t>XM2026-ZYXJ00</w:t>
      </w:r>
      <w:r>
        <w:rPr>
          <w:rFonts w:hint="eastAsia" w:ascii="仿宋" w:hAnsi="仿宋" w:eastAsia="仿宋" w:cs="仿宋"/>
          <w:b/>
          <w:sz w:val="32"/>
          <w:szCs w:val="32"/>
          <w:highlight w:val="none"/>
          <w:lang w:val="en-US" w:eastAsia="zh-CN"/>
        </w:rPr>
        <w:t>73</w:t>
      </w:r>
      <w:r>
        <w:rPr>
          <w:rFonts w:hint="eastAsia" w:ascii="仿宋" w:hAnsi="仿宋" w:eastAsia="仿宋" w:cs="仿宋"/>
          <w:b/>
          <w:sz w:val="32"/>
          <w:szCs w:val="32"/>
          <w:highlight w:val="none"/>
        </w:rPr>
        <w:t>万翔网商</w:t>
      </w:r>
      <w:r>
        <w:rPr>
          <w:rFonts w:hint="eastAsia" w:ascii="仿宋" w:hAnsi="仿宋" w:eastAsia="仿宋" w:cs="仿宋"/>
          <w:b/>
          <w:sz w:val="32"/>
          <w:szCs w:val="32"/>
          <w:highlight w:val="none"/>
          <w:lang w:val="en-US" w:eastAsia="zh-CN"/>
        </w:rPr>
        <w:t>家具/木饰面等</w:t>
      </w:r>
      <w:r>
        <w:rPr>
          <w:rFonts w:hint="eastAsia" w:ascii="仿宋" w:hAnsi="仿宋" w:eastAsia="仿宋" w:cs="仿宋"/>
          <w:b/>
          <w:sz w:val="32"/>
          <w:szCs w:val="32"/>
          <w:highlight w:val="none"/>
        </w:rPr>
        <w:t>修缮服务框架合作供应商</w:t>
      </w:r>
      <w:r>
        <w:rPr>
          <w:rFonts w:hint="eastAsia" w:ascii="仿宋" w:hAnsi="仿宋" w:eastAsia="仿宋" w:cs="仿宋"/>
          <w:b/>
          <w:sz w:val="32"/>
          <w:szCs w:val="32"/>
          <w:highlight w:val="none"/>
          <w:lang w:val="en-US" w:eastAsia="zh-CN"/>
        </w:rPr>
        <w:t>补充</w:t>
      </w:r>
      <w:r>
        <w:rPr>
          <w:rFonts w:hint="eastAsia" w:ascii="仿宋" w:hAnsi="仿宋" w:eastAsia="仿宋" w:cs="仿宋"/>
          <w:b/>
          <w:sz w:val="32"/>
          <w:szCs w:val="32"/>
          <w:highlight w:val="none"/>
        </w:rPr>
        <w:t>征集函</w:t>
      </w: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highlight w:val="none"/>
        </w:rPr>
        <w:t>厦门万翔网络商务有限公司 (简称“万翔网商”) 是翔业集团 (原厦门国际航空港集团)的全资子公司。万翔网商不仅是货物集中采购与集中配送</w:t>
      </w:r>
      <w:r>
        <w:rPr>
          <w:rFonts w:hint="eastAsia" w:ascii="仿宋" w:hAnsi="仿宋" w:eastAsia="仿宋" w:cs="仿宋"/>
          <w:color w:val="000000"/>
          <w:spacing w:val="-6"/>
          <w:sz w:val="24"/>
          <w:szCs w:val="24"/>
          <w:highlight w:val="none"/>
          <w:lang w:val="en-US" w:eastAsia="zh-CN"/>
        </w:rPr>
        <w:t>的</w:t>
      </w:r>
      <w:r>
        <w:rPr>
          <w:rFonts w:hint="eastAsia" w:ascii="仿宋" w:hAnsi="仿宋" w:eastAsia="仿宋" w:cs="仿宋"/>
          <w:color w:val="000000"/>
          <w:spacing w:val="-6"/>
          <w:sz w:val="24"/>
          <w:szCs w:val="24"/>
          <w:highlight w:val="none"/>
        </w:rPr>
        <w:t>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none"/>
          <w:lang w:val="en-US" w:eastAsia="zh-CN"/>
        </w:rPr>
        <w:t>家具/木饰面等修缮服务</w:t>
      </w:r>
      <w:r>
        <w:rPr>
          <w:rFonts w:hint="eastAsia" w:ascii="仿宋" w:hAnsi="仿宋" w:eastAsia="仿宋" w:cs="仿宋"/>
          <w:sz w:val="24"/>
          <w:szCs w:val="24"/>
          <w:highlight w:val="none"/>
        </w:rPr>
        <w:t>开展入围框架合作供应商公开</w:t>
      </w:r>
      <w:r>
        <w:rPr>
          <w:rFonts w:hint="eastAsia" w:ascii="仿宋" w:hAnsi="仿宋" w:eastAsia="仿宋" w:cs="仿宋"/>
          <w:sz w:val="24"/>
          <w:szCs w:val="24"/>
          <w:highlight w:val="none"/>
          <w:lang w:val="en-US" w:eastAsia="zh-CN"/>
        </w:rPr>
        <w:t>补充</w:t>
      </w:r>
      <w:r>
        <w:rPr>
          <w:rFonts w:hint="eastAsia" w:ascii="仿宋" w:hAnsi="仿宋" w:eastAsia="仿宋" w:cs="仿宋"/>
          <w:sz w:val="24"/>
          <w:szCs w:val="24"/>
          <w:highlight w:val="none"/>
        </w:rPr>
        <w:t>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en-US" w:eastAsia="zh-CN"/>
        </w:rPr>
        <w:t>项目</w:t>
      </w:r>
      <w:r>
        <w:rPr>
          <w:rFonts w:hint="eastAsia" w:ascii="仿宋" w:hAnsi="仿宋" w:eastAsia="仿宋" w:cs="仿宋"/>
          <w:b/>
          <w:sz w:val="24"/>
          <w:szCs w:val="24"/>
          <w:highlight w:val="none"/>
        </w:rPr>
        <w:t>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hint="eastAsia" w:ascii="仿宋" w:hAnsi="仿宋" w:eastAsia="仿宋" w:cs="仿宋"/>
          <w:sz w:val="24"/>
          <w:szCs w:val="24"/>
          <w:highlight w:val="none"/>
          <w:lang w:val="en-US" w:eastAsia="zh-CN"/>
        </w:rPr>
        <w:t>XM2026-ZYXJ0073万翔网商家具/木饰面等修缮服务框架合作供应商补充征集</w:t>
      </w:r>
    </w:p>
    <w:p w14:paraId="0F9B3B08">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sz w:val="24"/>
          <w:szCs w:val="24"/>
          <w:highlight w:val="none"/>
          <w:lang w:val="en-US" w:eastAsia="zh-CN"/>
        </w:rPr>
        <w:t>家具/木饰面等修缮服务</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400</w:t>
      </w:r>
      <w:r>
        <w:rPr>
          <w:rFonts w:hint="eastAsia" w:ascii="仿宋" w:hAnsi="仿宋" w:eastAsia="仿宋" w:cs="仿宋"/>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具体可能视具体项目情况调整付款方式，按实际项目询价文件及谈判情况为准</w:t>
      </w:r>
      <w:r>
        <w:rPr>
          <w:rFonts w:hint="eastAsia" w:ascii="仿宋" w:hAnsi="仿宋" w:eastAsia="仿宋" w:cs="仿宋"/>
          <w:b/>
          <w:bCs/>
          <w:sz w:val="24"/>
          <w:szCs w:val="24"/>
          <w:highlight w:val="none"/>
          <w:lang w:eastAsia="zh-CN"/>
        </w:rPr>
        <w:t>）</w:t>
      </w:r>
    </w:p>
    <w:p w14:paraId="391AD80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b w:val="0"/>
          <w:bCs w:val="0"/>
          <w:sz w:val="24"/>
          <w:szCs w:val="24"/>
          <w:highlight w:val="none"/>
          <w:lang w:val="en-US" w:eastAsia="zh-CN"/>
        </w:rPr>
        <w:t>1年</w:t>
      </w:r>
      <w:r>
        <w:rPr>
          <w:rFonts w:hint="eastAsia" w:ascii="仿宋" w:hAnsi="仿宋" w:eastAsia="仿宋" w:cs="仿宋"/>
          <w:sz w:val="24"/>
          <w:szCs w:val="24"/>
          <w:highlight w:val="none"/>
        </w:rPr>
        <w:t>。</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6E96A91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）报名供应商</w:t>
      </w:r>
      <w:r>
        <w:rPr>
          <w:rFonts w:hint="eastAsia" w:ascii="仿宋" w:hAnsi="仿宋" w:eastAsia="仿宋" w:cs="仿宋"/>
          <w:sz w:val="24"/>
          <w:szCs w:val="24"/>
          <w:highlight w:val="none"/>
          <w:lang w:val="en-US" w:eastAsia="zh-CN"/>
        </w:rPr>
        <w:t>经营范围须包含家具/木饰面等修缮服务，需</w:t>
      </w:r>
      <w:r>
        <w:rPr>
          <w:rFonts w:hint="eastAsia" w:ascii="仿宋" w:hAnsi="仿宋" w:eastAsia="仿宋" w:cs="仿宋"/>
          <w:b w:val="0"/>
          <w:bCs w:val="0"/>
          <w:sz w:val="24"/>
          <w:szCs w:val="24"/>
          <w:highlight w:val="none"/>
          <w:lang w:val="en-US" w:eastAsia="zh-CN"/>
        </w:rPr>
        <w:t>提供经营范围并加盖公章</w:t>
      </w:r>
      <w:r>
        <w:rPr>
          <w:rFonts w:hint="eastAsia" w:ascii="仿宋" w:hAnsi="仿宋" w:eastAsia="仿宋" w:cs="仿宋"/>
          <w:b w:val="0"/>
          <w:bCs w:val="0"/>
          <w:sz w:val="24"/>
          <w:szCs w:val="24"/>
          <w:highlight w:val="none"/>
        </w:rPr>
        <w:t>。</w:t>
      </w:r>
    </w:p>
    <w:p w14:paraId="59724B57">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仿宋" w:hAnsi="仿宋" w:eastAsia="仿宋" w:cs="仿宋"/>
          <w:sz w:val="24"/>
          <w:szCs w:val="24"/>
          <w:highlight w:val="none"/>
          <w:lang w:val="en-US" w:eastAsia="zh-CN"/>
        </w:rPr>
      </w:pP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设计师信息、供货安装方案、本地化服务信息、销售业绩等。</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可以提供相应税率的增值税专用发票</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79F39D3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5、报名供应商须承诺：所提供配件产品须满足国家相关标准，未响应者报名无效</w:t>
      </w:r>
      <w:r>
        <w:rPr>
          <w:rFonts w:hint="eastAsia" w:ascii="仿宋" w:hAnsi="仿宋" w:eastAsia="仿宋" w:cs="仿宋"/>
          <w:b/>
          <w:bCs/>
          <w:sz w:val="24"/>
          <w:szCs w:val="24"/>
          <w:highlight w:val="none"/>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视为报名资料缺漏，采购人将</w:t>
      </w:r>
      <w:r>
        <w:rPr>
          <w:rFonts w:hint="eastAsia" w:ascii="仿宋" w:hAnsi="仿宋" w:eastAsia="仿宋" w:cs="仿宋"/>
          <w:sz w:val="24"/>
          <w:szCs w:val="24"/>
          <w:highlight w:val="none"/>
          <w:lang w:val="en-US" w:eastAsia="zh-CN"/>
        </w:rPr>
        <w:t>有权</w:t>
      </w:r>
      <w:r>
        <w:rPr>
          <w:rFonts w:hint="eastAsia" w:ascii="仿宋" w:hAnsi="仿宋" w:eastAsia="仿宋" w:cs="仿宋"/>
          <w:sz w:val="24"/>
          <w:szCs w:val="24"/>
          <w:highlight w:val="none"/>
        </w:rPr>
        <w:t>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（报名供应商须列明响应情况表并逐条列明相关证明材料）</w:t>
      </w:r>
    </w:p>
    <w:tbl>
      <w:tblPr>
        <w:tblStyle w:val="6"/>
        <w:tblW w:w="95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1319"/>
        <w:gridCol w:w="6735"/>
        <w:gridCol w:w="840"/>
      </w:tblGrid>
      <w:tr w14:paraId="69BA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96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kern w:val="0"/>
                <w:sz w:val="20"/>
                <w:szCs w:val="20"/>
                <w:u w:val="none"/>
                <w:lang w:val="en-US" w:eastAsia="zh-CN" w:bidi="ar"/>
              </w:rPr>
              <w:t>序号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B4B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kern w:val="0"/>
                <w:sz w:val="20"/>
                <w:szCs w:val="20"/>
                <w:u w:val="none"/>
                <w:lang w:val="en-US" w:eastAsia="zh-CN" w:bidi="ar"/>
              </w:rPr>
              <w:t>评分内容</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0B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具体评价内容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08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满分值</w:t>
            </w:r>
          </w:p>
        </w:tc>
      </w:tr>
      <w:tr w14:paraId="59E1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A86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90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0"/>
                <w:szCs w:val="20"/>
                <w:u w:val="none"/>
                <w:lang w:val="en-US" w:eastAsia="zh-CN" w:bidi="ar"/>
              </w:rPr>
              <w:t>注册资金</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19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根据报名供应商公司注册资金信息进行评价：注册资金为200万(含)以上者得10分;注册资金为200-100万(含)元者得5分；注册资金为100-50万元(含)者得3分。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E64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rPr>
            </w:pPr>
            <w:r>
              <w:rPr>
                <w:rFonts w:hint="eastAsia" w:ascii="仿宋" w:hAnsi="仿宋" w:eastAsia="仿宋" w:cs="仿宋"/>
                <w:i w:val="0"/>
                <w:iCs w:val="0"/>
                <w:color w:val="000000"/>
                <w:kern w:val="0"/>
                <w:sz w:val="20"/>
                <w:szCs w:val="20"/>
                <w:u w:val="none"/>
                <w:lang w:val="en-US" w:eastAsia="zh-CN" w:bidi="ar"/>
              </w:rPr>
              <w:t>10</w:t>
            </w:r>
          </w:p>
        </w:tc>
      </w:tr>
      <w:tr w14:paraId="61B1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AD3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A9CC">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企业资质</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931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荣获企业服务能力评价：木饰面家具翻新维修保养服务企业资质证书一级的，得5分，没有不得分；需提供相关证明材料。</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33BE">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r>
      <w:tr w14:paraId="089A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65EF">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4D2F">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资质信誉</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75E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以报名供应商获得税务部门颁发的连续三年（2022年 2023年 2024年企业纳税信用A级评价证书进行评价：获得该评价证书的得10分，没有不得分。须提供2022年 2023年 2024年税务部门颁发的纳税信用A级证明材料，网上公示的，须提供截图和查询网址，否则不得分。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9FE">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10</w:t>
            </w:r>
          </w:p>
        </w:tc>
      </w:tr>
      <w:tr w14:paraId="79B2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DF52">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F8F">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检测报告</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E5E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以报名供应商提供相关材料：底漆/腻子/面漆/防腐剂等国家认可的2024年1月1日以来的具有CMA或CNAS标志的检验机构出具的检测报告份数进行评价：- 提供检测报告份数≥5份的得10分；- 提供检测报告份数≥2份且＜5份的得5分；- 提供检测报告份数＜1份的不得分。须提供国家认可的具有CMA或CNAS标志的检验机构出具的产品检测报告。</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99D">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10</w:t>
            </w:r>
          </w:p>
        </w:tc>
      </w:tr>
      <w:tr w14:paraId="77E0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51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3F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产品线广度</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89A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以报名供应商的所覆盖的服务内容进行评价：- 服务内容包含：木饰面修缮服务、家具修缮服务、灯具清洗服务、空调清洗拆装服务、沙发布料清洗服务、LED屏拆装服务、电视拆装服务、搬运服务、垃圾清理和转运服务等，全部涵盖得20分，缺一类扣2分，扣完为止。须提供相关服务的案例并附带照片证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D74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20</w:t>
            </w:r>
          </w:p>
        </w:tc>
      </w:tr>
      <w:tr w14:paraId="5201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88D2">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DA8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售后服务</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CD1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以报名供应商提供的福建省内服务进行评价：- 可提供福建省内服务的得5分。供应商在本地注册或设立的办事处等机构的，须提供营业执照等相关证明；具有福建省内合作单位的须提供合作协议或者授权委托书及合作单位营业执照有效复印件；否则不得分。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1C4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r>
      <w:tr w14:paraId="436A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16D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6FD2">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定制支持</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BF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报名供应商承诺可根据万翔需求安排提供上门勘察、场地测量、方案设计、卸货搬运、售后安装、安装调整服务、按照最终用户要求进行打样等相关工作的得5分，否则不得分。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2B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r>
      <w:tr w14:paraId="4AB7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DCE8">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B541">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相关业绩</w:t>
            </w:r>
          </w:p>
        </w:tc>
        <w:tc>
          <w:tcPr>
            <w:tcW w:w="6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849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以报名供应商所提供相关木饰面修缮/家具修缮服务2025年1月1日至征集截止时间内相关项目业绩情况进行评价：- 每提供一份≥80万元项目业绩得5分，满分10分。- 每提供一份≥50万元且＜80万元项目业绩得2分，满分10分。- 每提供一份≥20万元且＜50万元项目业绩得1分，满分10分。- 社会特殊贡献项目，若涉及针对政府或民众的大型公共相关项目，亦可单独向我司提报。我司将根据贡献程度进行评估，每提供一个项目计1分，额外提供一个项目则增加1分，最高累计5分。须提供同类项目业绩汇总表及该业绩合同（合同中须体现合同签订时间、公司名称、合同金额和供货内容）复印件，及该合同货物发票复印件，否则业绩不予计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9C07">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i w:val="0"/>
                <w:iCs w:val="0"/>
                <w:color w:val="000000"/>
                <w:kern w:val="0"/>
                <w:sz w:val="20"/>
                <w:szCs w:val="20"/>
                <w:u w:val="none"/>
                <w:lang w:val="en-US" w:eastAsia="zh-CN" w:bidi="ar"/>
              </w:rPr>
              <w:t>35</w:t>
            </w:r>
          </w:p>
        </w:tc>
      </w:tr>
      <w:tr w14:paraId="34B9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28B2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0"/>
                <w:szCs w:val="20"/>
                <w:u w:val="none"/>
                <w:lang w:val="en-US" w:eastAsia="zh-CN" w:bidi="ar"/>
              </w:rPr>
              <w:t>总分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DF2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i w:val="0"/>
                <w:iCs w:val="0"/>
                <w:color w:val="000000"/>
                <w:kern w:val="0"/>
                <w:sz w:val="20"/>
                <w:szCs w:val="20"/>
                <w:u w:val="none"/>
                <w:lang w:val="en-US" w:eastAsia="zh-CN" w:bidi="ar"/>
              </w:rPr>
              <w:t>100</w:t>
            </w:r>
          </w:p>
        </w:tc>
      </w:tr>
    </w:tbl>
    <w:p w14:paraId="0C823FAF">
      <w:pPr>
        <w:keepNext w:val="0"/>
        <w:keepLines w:val="0"/>
        <w:pageBreakBefore w:val="0"/>
        <w:kinsoku/>
        <w:wordWrap/>
        <w:overflowPunct/>
        <w:topLinePunct w:val="0"/>
        <w:autoSpaceDE/>
        <w:autoSpaceDN/>
        <w:bidi w:val="0"/>
        <w:adjustRightInd/>
        <w:snapToGrid/>
        <w:spacing w:line="360" w:lineRule="auto"/>
        <w:ind w:firstLine="482" w:firstLineChars="200"/>
        <w:jc w:val="center"/>
        <w:rPr>
          <w:rFonts w:hint="eastAsia" w:ascii="仿宋" w:hAnsi="仿宋" w:eastAsia="仿宋" w:cs="仿宋"/>
          <w:b/>
          <w:bCs/>
          <w:sz w:val="24"/>
          <w:szCs w:val="24"/>
          <w:highlight w:val="none"/>
          <w:lang w:val="en-US" w:eastAsia="zh-CN"/>
        </w:rPr>
      </w:pPr>
    </w:p>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入围供应商</w:t>
      </w:r>
      <w:r>
        <w:rPr>
          <w:rFonts w:hint="eastAsia" w:ascii="仿宋_GB2312" w:hAnsi="宋体" w:eastAsia="仿宋_GB2312" w:cs="宋体"/>
          <w:b/>
          <w:bCs/>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采购人将根据实质性响应征集函要求，按评审后得分由高到低顺序排列，推荐得分排名前2名的报名供应商作为本次框架合作供应商征集的补充供应商。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（二）供应商须对报名信息和资料的真实性负责。</w:t>
      </w:r>
      <w:r>
        <w:rPr>
          <w:rFonts w:hint="eastAsia" w:ascii="仿宋" w:hAnsi="仿宋" w:eastAsia="仿宋" w:cs="仿宋"/>
          <w:b/>
          <w:bCs/>
          <w:sz w:val="24"/>
          <w:szCs w:val="24"/>
          <w:highlight w:val="none"/>
        </w:rPr>
        <w:t>如提供虚假材料，我司有权将其列入供应商黑名单，不得参与本公司</w:t>
      </w:r>
      <w:r>
        <w:rPr>
          <w:rFonts w:hint="eastAsia" w:ascii="仿宋" w:hAnsi="仿宋" w:eastAsia="仿宋" w:cs="仿宋"/>
          <w:b/>
          <w:bCs/>
          <w:sz w:val="24"/>
          <w:szCs w:val="24"/>
          <w:highlight w:val="none"/>
          <w:lang w:val="en-US" w:eastAsia="zh-CN"/>
        </w:rPr>
        <w:t>和翔业集团</w:t>
      </w:r>
      <w:r>
        <w:rPr>
          <w:rFonts w:hint="eastAsia" w:ascii="仿宋" w:hAnsi="仿宋" w:eastAsia="仿宋" w:cs="仿宋"/>
          <w:b/>
          <w:bCs/>
          <w:sz w:val="24"/>
          <w:szCs w:val="24"/>
          <w:highlight w:val="none"/>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仿宋" w:hAnsi="仿宋" w:eastAsia="仿宋" w:cs="仿宋"/>
          <w:b/>
          <w:bCs/>
          <w:sz w:val="24"/>
          <w:szCs w:val="24"/>
          <w:highlight w:val="none"/>
          <w:lang w:val="en-US" w:eastAsia="zh-CN"/>
        </w:rPr>
      </w:pPr>
      <w:r>
        <w:rPr>
          <w:rFonts w:hint="eastAsia" w:ascii="仿宋" w:hAnsi="仿宋" w:eastAsia="仿宋" w:cs="仿宋"/>
          <w:sz w:val="24"/>
          <w:szCs w:val="24"/>
          <w:highlight w:val="none"/>
        </w:rPr>
        <w:t>（三）报名资料接收地址：厦门市湖里区高崎机场北路476号万翔网商5楼（邮编：361006），接收人</w:t>
      </w:r>
      <w:r>
        <w:rPr>
          <w:rFonts w:hint="eastAsia" w:ascii="仿宋" w:hAnsi="仿宋" w:eastAsia="仿宋" w:cs="仿宋"/>
          <w:sz w:val="24"/>
          <w:szCs w:val="24"/>
          <w:highlight w:val="none"/>
          <w:lang w:val="en-US" w:eastAsia="zh-CN"/>
        </w:rPr>
        <w:t>李女士</w:t>
      </w:r>
      <w:r>
        <w:rPr>
          <w:rFonts w:hint="eastAsia" w:ascii="仿宋" w:hAnsi="仿宋" w:eastAsia="仿宋" w:cs="仿宋"/>
          <w:sz w:val="24"/>
          <w:szCs w:val="24"/>
          <w:highlight w:val="none"/>
        </w:rPr>
        <w:t xml:space="preserve">及其联系电话：0592- </w:t>
      </w:r>
      <w:r>
        <w:rPr>
          <w:rFonts w:hint="eastAsia" w:ascii="仿宋" w:hAnsi="仿宋" w:eastAsia="仿宋" w:cs="仿宋"/>
          <w:sz w:val="24"/>
          <w:szCs w:val="24"/>
          <w:highlight w:val="none"/>
          <w:lang w:val="en-US" w:eastAsia="zh-CN"/>
        </w:rPr>
        <w:t>5792051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邮箱liqiong@iport.com.cn</w:t>
      </w:r>
      <w:r>
        <w:rPr>
          <w:rFonts w:hint="eastAsia" w:ascii="仿宋" w:hAnsi="仿宋" w:eastAsia="仿宋" w:cs="仿宋"/>
          <w:sz w:val="24"/>
          <w:szCs w:val="24"/>
          <w:highlight w:val="none"/>
        </w:rPr>
        <w:t>。</w:t>
      </w:r>
      <w:r>
        <w:rPr>
          <w:rFonts w:hint="eastAsia" w:ascii="仿宋" w:hAnsi="仿宋" w:eastAsia="仿宋" w:cs="仿宋"/>
          <w:b/>
          <w:bCs/>
          <w:color w:val="FF0000"/>
          <w:sz w:val="24"/>
          <w:szCs w:val="24"/>
          <w:highlight w:val="none"/>
          <w:lang w:val="en-US" w:eastAsia="zh-CN"/>
        </w:rPr>
        <w:t>相关资料移交可采用：1、纸质文件，</w:t>
      </w:r>
      <w:r>
        <w:rPr>
          <w:rFonts w:hint="eastAsia" w:ascii="仿宋" w:hAnsi="仿宋" w:eastAsia="仿宋" w:cs="仿宋"/>
          <w:b/>
          <w:bCs/>
          <w:color w:val="FF0000"/>
          <w:sz w:val="24"/>
          <w:szCs w:val="24"/>
          <w:highlight w:val="none"/>
        </w:rPr>
        <w:t>外封皮注明公司全名</w:t>
      </w:r>
      <w:r>
        <w:rPr>
          <w:rFonts w:hint="eastAsia" w:ascii="仿宋" w:hAnsi="仿宋" w:eastAsia="仿宋" w:cs="仿宋"/>
          <w:b/>
          <w:bCs/>
          <w:color w:val="FF0000"/>
          <w:sz w:val="24"/>
          <w:szCs w:val="24"/>
          <w:highlight w:val="none"/>
          <w:lang w:val="en-US" w:eastAsia="zh-CN"/>
        </w:rPr>
        <w:t>+品牌名称</w:t>
      </w:r>
      <w:r>
        <w:rPr>
          <w:rFonts w:hint="eastAsia" w:ascii="仿宋" w:hAnsi="仿宋" w:eastAsia="仿宋" w:cs="仿宋"/>
          <w:b/>
          <w:bCs/>
          <w:color w:val="FF0000"/>
          <w:sz w:val="24"/>
          <w:szCs w:val="24"/>
          <w:highlight w:val="none"/>
        </w:rPr>
        <w:t>+万翔网商</w:t>
      </w:r>
      <w:r>
        <w:rPr>
          <w:rFonts w:hint="eastAsia" w:ascii="仿宋" w:hAnsi="仿宋" w:eastAsia="仿宋" w:cs="仿宋"/>
          <w:b/>
          <w:bCs/>
          <w:color w:val="FF0000"/>
          <w:sz w:val="24"/>
          <w:szCs w:val="24"/>
          <w:highlight w:val="none"/>
          <w:lang w:val="en-US" w:eastAsia="zh-CN"/>
        </w:rPr>
        <w:t>家具/木饰面等修缮服务框架合作供应商征集项目</w:t>
      </w:r>
      <w:r>
        <w:rPr>
          <w:rFonts w:hint="eastAsia" w:ascii="仿宋" w:hAnsi="仿宋" w:eastAsia="仿宋" w:cs="仿宋"/>
          <w:b/>
          <w:bCs/>
          <w:color w:val="FF0000"/>
          <w:sz w:val="24"/>
          <w:szCs w:val="24"/>
          <w:highlight w:val="none"/>
        </w:rPr>
        <w:t>，可邮寄或直接送达。</w:t>
      </w:r>
      <w:r>
        <w:rPr>
          <w:rFonts w:hint="eastAsia" w:ascii="仿宋" w:hAnsi="仿宋" w:eastAsia="仿宋" w:cs="仿宋"/>
          <w:b/>
          <w:bCs/>
          <w:color w:val="FF0000"/>
          <w:sz w:val="24"/>
          <w:szCs w:val="24"/>
          <w:highlight w:val="none"/>
          <w:lang w:val="en-US" w:eastAsia="zh-CN"/>
        </w:rPr>
        <w:t>2、电子资料，邮件主体注明公司全名+品牌名称+万翔网商家具/木饰面等修缮服务框架合作供应商征集项目。</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（三）采购联系人：</w:t>
      </w:r>
      <w:r>
        <w:rPr>
          <w:rFonts w:hint="eastAsia" w:ascii="仿宋" w:hAnsi="仿宋" w:eastAsia="仿宋" w:cs="仿宋"/>
          <w:sz w:val="24"/>
          <w:szCs w:val="24"/>
          <w:highlight w:val="none"/>
          <w:lang w:val="en-US" w:eastAsia="zh-CN"/>
        </w:rPr>
        <w:t>李女士</w:t>
      </w:r>
      <w:r>
        <w:rPr>
          <w:rFonts w:hint="eastAsia" w:ascii="仿宋" w:hAnsi="仿宋" w:eastAsia="仿宋" w:cs="仿宋"/>
          <w:sz w:val="24"/>
          <w:szCs w:val="24"/>
          <w:highlight w:val="none"/>
        </w:rPr>
        <w:t>（办公电话：57</w:t>
      </w:r>
      <w:r>
        <w:rPr>
          <w:rFonts w:hint="eastAsia" w:ascii="仿宋" w:hAnsi="仿宋" w:eastAsia="仿宋" w:cs="仿宋"/>
          <w:sz w:val="24"/>
          <w:szCs w:val="24"/>
          <w:highlight w:val="none"/>
          <w:lang w:val="en-US" w:eastAsia="zh-CN"/>
        </w:rPr>
        <w:t>92051</w:t>
      </w:r>
      <w:r>
        <w:rPr>
          <w:rFonts w:hint="eastAsia" w:ascii="仿宋" w:hAnsi="仿宋" w:eastAsia="仿宋" w:cs="仿宋"/>
          <w:sz w:val="24"/>
          <w:szCs w:val="24"/>
          <w:highlight w:val="none"/>
        </w:rPr>
        <w:t xml:space="preserve">）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邮箱：liqiong@iport.com.cn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27</w:t>
      </w:r>
      <w:r>
        <w:rPr>
          <w:rFonts w:hint="eastAsia" w:ascii="仿宋" w:hAnsi="仿宋" w:eastAsia="仿宋" w:cs="仿宋"/>
          <w:sz w:val="24"/>
          <w:szCs w:val="24"/>
          <w:highlight w:val="none"/>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highlight w:val="none"/>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19375FD"/>
    <w:rsid w:val="01F82835"/>
    <w:rsid w:val="03004E02"/>
    <w:rsid w:val="041B280B"/>
    <w:rsid w:val="049F343C"/>
    <w:rsid w:val="05DD246D"/>
    <w:rsid w:val="063D650A"/>
    <w:rsid w:val="073A38EF"/>
    <w:rsid w:val="09553233"/>
    <w:rsid w:val="0BB377CC"/>
    <w:rsid w:val="0C8A677F"/>
    <w:rsid w:val="0CD941B9"/>
    <w:rsid w:val="0EDA36E3"/>
    <w:rsid w:val="0F3F5F47"/>
    <w:rsid w:val="0FC87216"/>
    <w:rsid w:val="0FFB216B"/>
    <w:rsid w:val="101A2510"/>
    <w:rsid w:val="1053332C"/>
    <w:rsid w:val="11145517"/>
    <w:rsid w:val="11877731"/>
    <w:rsid w:val="11FA1551"/>
    <w:rsid w:val="13734411"/>
    <w:rsid w:val="13ED0DD4"/>
    <w:rsid w:val="15FB06EE"/>
    <w:rsid w:val="161F43DC"/>
    <w:rsid w:val="19A60073"/>
    <w:rsid w:val="1A064AD0"/>
    <w:rsid w:val="1B9118D8"/>
    <w:rsid w:val="1BB86ABD"/>
    <w:rsid w:val="1DA376A1"/>
    <w:rsid w:val="1DD457BC"/>
    <w:rsid w:val="1DD91315"/>
    <w:rsid w:val="1DF25E60"/>
    <w:rsid w:val="1ED32208"/>
    <w:rsid w:val="1F945D87"/>
    <w:rsid w:val="21613AFB"/>
    <w:rsid w:val="22B002C2"/>
    <w:rsid w:val="25F612D5"/>
    <w:rsid w:val="26243349"/>
    <w:rsid w:val="26461D95"/>
    <w:rsid w:val="26AB31C2"/>
    <w:rsid w:val="28B5472C"/>
    <w:rsid w:val="28D15A0A"/>
    <w:rsid w:val="29B82726"/>
    <w:rsid w:val="2AED28A3"/>
    <w:rsid w:val="2B21329A"/>
    <w:rsid w:val="2B240027"/>
    <w:rsid w:val="2B726905"/>
    <w:rsid w:val="2B79773B"/>
    <w:rsid w:val="2D701A33"/>
    <w:rsid w:val="31384830"/>
    <w:rsid w:val="31C555B7"/>
    <w:rsid w:val="328E6776"/>
    <w:rsid w:val="34705496"/>
    <w:rsid w:val="34FA1E45"/>
    <w:rsid w:val="36062A6B"/>
    <w:rsid w:val="36437BDA"/>
    <w:rsid w:val="36EB413B"/>
    <w:rsid w:val="37DA6689"/>
    <w:rsid w:val="38B247E4"/>
    <w:rsid w:val="39162FC5"/>
    <w:rsid w:val="391957D0"/>
    <w:rsid w:val="39317DFF"/>
    <w:rsid w:val="39BD13B3"/>
    <w:rsid w:val="3A43428E"/>
    <w:rsid w:val="3E742168"/>
    <w:rsid w:val="3EBF1D73"/>
    <w:rsid w:val="3FEC2CD2"/>
    <w:rsid w:val="445B21D4"/>
    <w:rsid w:val="45A86BD3"/>
    <w:rsid w:val="46481834"/>
    <w:rsid w:val="477E6905"/>
    <w:rsid w:val="48686433"/>
    <w:rsid w:val="49444B10"/>
    <w:rsid w:val="4B6814D6"/>
    <w:rsid w:val="4B9F509C"/>
    <w:rsid w:val="4F5B3B78"/>
    <w:rsid w:val="502B5150"/>
    <w:rsid w:val="50551558"/>
    <w:rsid w:val="50DE0415"/>
    <w:rsid w:val="52041A86"/>
    <w:rsid w:val="52FC2E21"/>
    <w:rsid w:val="53B74F9E"/>
    <w:rsid w:val="5581683B"/>
    <w:rsid w:val="55CB540B"/>
    <w:rsid w:val="57236B81"/>
    <w:rsid w:val="576C10ED"/>
    <w:rsid w:val="57C403E6"/>
    <w:rsid w:val="59202368"/>
    <w:rsid w:val="5A4018F8"/>
    <w:rsid w:val="5A5A4FB0"/>
    <w:rsid w:val="5AF43B36"/>
    <w:rsid w:val="5D0451BF"/>
    <w:rsid w:val="5D3B697E"/>
    <w:rsid w:val="5E5E46C3"/>
    <w:rsid w:val="5E806C66"/>
    <w:rsid w:val="601859E5"/>
    <w:rsid w:val="62BD01E1"/>
    <w:rsid w:val="6A0E701F"/>
    <w:rsid w:val="6A9811DC"/>
    <w:rsid w:val="6BD00D8F"/>
    <w:rsid w:val="6BED6426"/>
    <w:rsid w:val="6CDA1364"/>
    <w:rsid w:val="72E9749A"/>
    <w:rsid w:val="73697BBA"/>
    <w:rsid w:val="74977F8D"/>
    <w:rsid w:val="74F33C04"/>
    <w:rsid w:val="75AE110B"/>
    <w:rsid w:val="76D121E4"/>
    <w:rsid w:val="77426F7B"/>
    <w:rsid w:val="77903967"/>
    <w:rsid w:val="789E5ABF"/>
    <w:rsid w:val="7BD333B7"/>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Strong"/>
    <w:basedOn w:val="8"/>
    <w:qFormat/>
    <w:uiPriority w:val="22"/>
    <w:rPr>
      <w:b/>
    </w:rPr>
  </w:style>
  <w:style w:type="character" w:styleId="10">
    <w:name w:val="Hyperlink"/>
    <w:basedOn w:val="8"/>
    <w:unhideWhenUsed/>
    <w:qFormat/>
    <w:uiPriority w:val="99"/>
    <w:rPr>
      <w:color w:val="0000FF" w:themeColor="hyperlink"/>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批注框文本 Char"/>
    <w:basedOn w:val="8"/>
    <w:link w:val="3"/>
    <w:semiHidden/>
    <w:qFormat/>
    <w:uiPriority w:val="99"/>
    <w:rPr>
      <w:sz w:val="18"/>
      <w:szCs w:val="18"/>
    </w:rPr>
  </w:style>
  <w:style w:type="paragraph" w:styleId="14">
    <w:name w:val="List Paragraph"/>
    <w:basedOn w:val="1"/>
    <w:qFormat/>
    <w:uiPriority w:val="34"/>
    <w:pPr>
      <w:ind w:firstLine="420" w:firstLineChars="200"/>
    </w:pPr>
    <w:rPr>
      <w:rFonts w:ascii="Times New Roman" w:hAnsi="Times New Roman" w:eastAsia="宋体" w:cs="Times New Roman"/>
      <w:szCs w:val="20"/>
    </w:rPr>
  </w:style>
  <w:style w:type="character" w:customStyle="1" w:styleId="15">
    <w:name w:val="font31"/>
    <w:basedOn w:val="8"/>
    <w:qFormat/>
    <w:uiPriority w:val="0"/>
    <w:rPr>
      <w:rFonts w:hint="eastAsia" w:ascii="宋体" w:hAnsi="宋体" w:eastAsia="宋体"/>
      <w:color w:val="000000"/>
      <w:sz w:val="20"/>
      <w:szCs w:val="20"/>
      <w:u w:val="none"/>
    </w:rPr>
  </w:style>
  <w:style w:type="character" w:customStyle="1" w:styleId="16">
    <w:name w:val="font121"/>
    <w:basedOn w:val="8"/>
    <w:qFormat/>
    <w:uiPriority w:val="0"/>
    <w:rPr>
      <w:rFonts w:hint="eastAsia" w:ascii="宋体" w:hAnsi="宋体" w:eastAsia="宋体"/>
      <w:color w:val="FF0000"/>
      <w:sz w:val="20"/>
      <w:szCs w:val="20"/>
      <w:u w:val="none"/>
    </w:rPr>
  </w:style>
  <w:style w:type="character" w:customStyle="1" w:styleId="17">
    <w:name w:val="font71"/>
    <w:basedOn w:val="8"/>
    <w:qFormat/>
    <w:uiPriority w:val="0"/>
    <w:rPr>
      <w:rFonts w:hint="eastAsia" w:ascii="新宋体" w:hAnsi="新宋体" w:eastAsia="新宋体"/>
      <w:color w:val="000000"/>
      <w:sz w:val="20"/>
      <w:szCs w:val="20"/>
      <w:u w:val="none"/>
    </w:rPr>
  </w:style>
  <w:style w:type="character" w:customStyle="1" w:styleId="18">
    <w:name w:val="font51"/>
    <w:basedOn w:val="8"/>
    <w:qFormat/>
    <w:uiPriority w:val="0"/>
    <w:rPr>
      <w:rFonts w:hint="eastAsia" w:ascii="新宋体" w:hAnsi="新宋体" w:eastAsia="新宋体"/>
      <w:b/>
      <w:bCs/>
      <w:color w:val="000000"/>
      <w:sz w:val="20"/>
      <w:szCs w:val="20"/>
      <w:u w:val="none"/>
    </w:rPr>
  </w:style>
  <w:style w:type="character" w:customStyle="1" w:styleId="19">
    <w:name w:val="font91"/>
    <w:basedOn w:val="8"/>
    <w:qFormat/>
    <w:uiPriority w:val="0"/>
    <w:rPr>
      <w:rFonts w:hint="eastAsia" w:ascii="宋体" w:hAnsi="宋体" w:eastAsia="宋体"/>
      <w:color w:val="000000"/>
      <w:sz w:val="20"/>
      <w:szCs w:val="20"/>
      <w:u w:val="none"/>
    </w:rPr>
  </w:style>
  <w:style w:type="character" w:customStyle="1" w:styleId="20">
    <w:name w:val="font41"/>
    <w:basedOn w:val="8"/>
    <w:qFormat/>
    <w:uiPriority w:val="0"/>
    <w:rPr>
      <w:rFonts w:hint="eastAsia" w:ascii="宋体" w:hAnsi="宋体" w:eastAsia="宋体"/>
      <w:b/>
      <w:bCs/>
      <w:color w:val="000000"/>
      <w:sz w:val="20"/>
      <w:szCs w:val="20"/>
      <w:u w:val="none"/>
    </w:rPr>
  </w:style>
  <w:style w:type="character" w:customStyle="1" w:styleId="21">
    <w:name w:val="font21"/>
    <w:basedOn w:val="8"/>
    <w:qFormat/>
    <w:uiPriority w:val="0"/>
    <w:rPr>
      <w:rFonts w:hint="eastAsia" w:ascii="宋体" w:hAnsi="宋体" w:eastAsia="宋体" w:cs="宋体"/>
      <w:b/>
      <w:bCs/>
      <w:color w:val="000000"/>
      <w:sz w:val="18"/>
      <w:szCs w:val="18"/>
      <w:u w:val="none"/>
    </w:rPr>
  </w:style>
  <w:style w:type="character" w:customStyle="1" w:styleId="22">
    <w:name w:val="font61"/>
    <w:basedOn w:val="8"/>
    <w:qFormat/>
    <w:uiPriority w:val="0"/>
    <w:rPr>
      <w:rFonts w:hint="eastAsia" w:ascii="宋体" w:hAnsi="宋体" w:eastAsia="宋体" w:cs="宋体"/>
      <w:color w:val="000000"/>
      <w:sz w:val="18"/>
      <w:szCs w:val="18"/>
      <w:u w:val="none"/>
    </w:rPr>
  </w:style>
  <w:style w:type="character" w:customStyle="1" w:styleId="23">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1316</Words>
  <Characters>1385</Characters>
  <Lines>35</Lines>
  <Paragraphs>10</Paragraphs>
  <TotalTime>2</TotalTime>
  <ScaleCrop>false</ScaleCrop>
  <LinksUpToDate>false</LinksUpToDate>
  <CharactersWithSpaces>1388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CHAN</cp:lastModifiedBy>
  <cp:lastPrinted>2024-12-06T09:24:00Z</cp:lastPrinted>
  <dcterms:modified xsi:type="dcterms:W3CDTF">2026-05-27T08:50:19Z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E698A5966A8B46FDBC7CE52F11362301_13</vt:lpwstr>
  </property>
  <property fmtid="{D5CDD505-2E9C-101B-9397-08002B2CF9AE}" pid="4" name="KSOTemplateDocerSaveRecord">
    <vt:lpwstr>eyJoZGlkIjoiNDdkNGFkMTMzMzZjMGU1N2I0ZTY2MThmMmFhZDlkMTciLCJ1c2VySWQiOiIzODY3NjM2ODEifQ==</vt:lpwstr>
  </property>
</Properties>
</file>