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83A8E">
      <w:pPr>
        <w:spacing w:before="480" w:after="480" w:line="288" w:lineRule="auto"/>
        <w:ind w:left="0"/>
        <w:rPr>
          <w:rFonts w:hint="eastAsia" w:ascii="仿宋" w:hAnsi="仿宋" w:eastAsia="仿宋" w:cs="仿宋"/>
          <w:b/>
          <w:sz w:val="32"/>
          <w:szCs w:val="32"/>
        </w:rPr>
      </w:pPr>
      <w:bookmarkStart w:id="7" w:name="_GoBack"/>
      <w:bookmarkEnd w:id="7"/>
      <w:r>
        <w:rPr>
          <w:rFonts w:hint="eastAsia" w:ascii="仿宋" w:hAnsi="仿宋" w:eastAsia="仿宋" w:cs="仿宋"/>
          <w:b/>
          <w:sz w:val="32"/>
          <w:szCs w:val="32"/>
        </w:rPr>
        <w:t>厦门市大同中学前埔校区教室护眼灯采购及安装项目</w:t>
      </w:r>
    </w:p>
    <w:p w14:paraId="5A5B7B14">
      <w:pPr>
        <w:spacing w:before="480" w:after="480" w:line="288" w:lineRule="auto"/>
        <w:ind w:left="0"/>
        <w:rPr>
          <w:rFonts w:hint="eastAsia" w:ascii="仿宋" w:hAnsi="仿宋" w:eastAsia="仿宋" w:cs="仿宋"/>
          <w:sz w:val="32"/>
          <w:szCs w:val="32"/>
        </w:rPr>
      </w:pPr>
      <w:r>
        <w:rPr>
          <w:rFonts w:hint="eastAsia" w:ascii="仿宋" w:hAnsi="仿宋" w:eastAsia="仿宋" w:cs="仿宋"/>
          <w:b/>
          <w:sz w:val="32"/>
          <w:szCs w:val="32"/>
        </w:rPr>
        <w:t>方案征集需求</w:t>
      </w:r>
    </w:p>
    <w:p w14:paraId="0A90276A">
      <w:pPr>
        <w:spacing w:before="320" w:after="120" w:line="288" w:lineRule="auto"/>
        <w:ind w:left="0"/>
        <w:jc w:val="left"/>
        <w:outlineLvl w:val="1"/>
        <w:rPr>
          <w:rFonts w:hint="eastAsia" w:ascii="仿宋" w:hAnsi="仿宋" w:eastAsia="仿宋" w:cs="仿宋"/>
          <w:sz w:val="30"/>
          <w:szCs w:val="30"/>
        </w:rPr>
      </w:pPr>
      <w:bookmarkStart w:id="0" w:name="heading_0"/>
      <w:r>
        <w:rPr>
          <w:rFonts w:hint="eastAsia" w:ascii="仿宋" w:hAnsi="仿宋" w:eastAsia="仿宋" w:cs="仿宋"/>
          <w:b/>
          <w:sz w:val="30"/>
          <w:szCs w:val="30"/>
        </w:rPr>
        <w:t>一、项目概况</w:t>
      </w:r>
      <w:bookmarkEnd w:id="0"/>
    </w:p>
    <w:p w14:paraId="075E6C24">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b/>
          <w:sz w:val="30"/>
          <w:szCs w:val="30"/>
          <w:lang w:val="en-US" w:eastAsia="zh-CN"/>
        </w:rPr>
        <w:t>1.</w:t>
      </w:r>
      <w:r>
        <w:rPr>
          <w:rFonts w:hint="eastAsia" w:ascii="仿宋" w:hAnsi="仿宋" w:eastAsia="仿宋" w:cs="仿宋"/>
          <w:b/>
          <w:sz w:val="30"/>
          <w:szCs w:val="30"/>
        </w:rPr>
        <w:t>项目名称</w:t>
      </w:r>
      <w:r>
        <w:rPr>
          <w:rFonts w:hint="eastAsia" w:ascii="仿宋" w:hAnsi="仿宋" w:eastAsia="仿宋" w:cs="仿宋"/>
          <w:sz w:val="30"/>
          <w:szCs w:val="30"/>
        </w:rPr>
        <w:t>：厦门市大同中学前埔校区教室护眼灯采购及安装项目</w:t>
      </w:r>
    </w:p>
    <w:p w14:paraId="7B163807">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b/>
          <w:sz w:val="30"/>
          <w:szCs w:val="30"/>
          <w:lang w:val="en-US" w:eastAsia="zh-CN"/>
        </w:rPr>
        <w:t>2.</w:t>
      </w:r>
      <w:r>
        <w:rPr>
          <w:rFonts w:hint="eastAsia" w:ascii="仿宋" w:hAnsi="仿宋" w:eastAsia="仿宋" w:cs="仿宋"/>
          <w:b/>
          <w:sz w:val="30"/>
          <w:szCs w:val="30"/>
        </w:rPr>
        <w:t>项目地点</w:t>
      </w:r>
      <w:r>
        <w:rPr>
          <w:rFonts w:hint="eastAsia" w:ascii="仿宋" w:hAnsi="仿宋" w:eastAsia="仿宋" w:cs="仿宋"/>
          <w:sz w:val="30"/>
          <w:szCs w:val="30"/>
        </w:rPr>
        <w:t>：厦门市大同中学前埔校区</w:t>
      </w:r>
    </w:p>
    <w:p w14:paraId="1ECC6E31">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b/>
          <w:sz w:val="30"/>
          <w:szCs w:val="30"/>
          <w:lang w:val="en-US" w:eastAsia="zh-CN"/>
        </w:rPr>
        <w:t>3.</w:t>
      </w:r>
      <w:r>
        <w:rPr>
          <w:rFonts w:hint="eastAsia" w:ascii="仿宋" w:hAnsi="仿宋" w:eastAsia="仿宋" w:cs="仿宋"/>
          <w:b/>
          <w:sz w:val="30"/>
          <w:szCs w:val="30"/>
        </w:rPr>
        <w:t>建设规模</w:t>
      </w:r>
      <w:r>
        <w:rPr>
          <w:rFonts w:hint="eastAsia" w:ascii="仿宋" w:hAnsi="仿宋" w:eastAsia="仿宋" w:cs="仿宋"/>
          <w:sz w:val="30"/>
          <w:szCs w:val="30"/>
        </w:rPr>
        <w:t>：本次涉及初中部教室 32 间、高中部教室 33 间，合计 65 间教学教室，实施原有老旧照明设施拆除清运、国标护眼教室灯、黑板专用灯采购供货、规范安装、线路整改、调试检测及竣工验收等全部工作。</w:t>
      </w:r>
    </w:p>
    <w:p w14:paraId="467334DD">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b/>
          <w:sz w:val="30"/>
          <w:szCs w:val="30"/>
          <w:lang w:val="en-US" w:eastAsia="zh-CN"/>
        </w:rPr>
        <w:t>4.</w:t>
      </w:r>
      <w:r>
        <w:rPr>
          <w:rFonts w:hint="eastAsia" w:ascii="仿宋" w:hAnsi="仿宋" w:eastAsia="仿宋" w:cs="仿宋"/>
          <w:b/>
          <w:sz w:val="30"/>
          <w:szCs w:val="30"/>
        </w:rPr>
        <w:t>项目目的</w:t>
      </w:r>
      <w:r>
        <w:rPr>
          <w:rFonts w:hint="eastAsia" w:ascii="仿宋" w:hAnsi="仿宋" w:eastAsia="仿宋" w:cs="仿宋"/>
          <w:sz w:val="30"/>
          <w:szCs w:val="30"/>
        </w:rPr>
        <w:t>：严格按照国家中小学教室照明相关标准实施照明升级改造，改善教室采光照明条件，呵护学生视力健康，满足现代化校园教学使用需求，全面提升校园办学硬件设施水平。</w:t>
      </w:r>
    </w:p>
    <w:p w14:paraId="70B42E90">
      <w:pPr>
        <w:spacing w:before="320" w:after="120" w:line="288" w:lineRule="auto"/>
        <w:ind w:left="0"/>
        <w:jc w:val="left"/>
        <w:outlineLvl w:val="1"/>
        <w:rPr>
          <w:rFonts w:hint="eastAsia" w:ascii="仿宋" w:hAnsi="仿宋" w:eastAsia="仿宋" w:cs="仿宋"/>
          <w:sz w:val="30"/>
          <w:szCs w:val="30"/>
        </w:rPr>
      </w:pPr>
      <w:bookmarkStart w:id="1" w:name="heading_1"/>
      <w:r>
        <w:rPr>
          <w:rFonts w:hint="eastAsia" w:ascii="仿宋" w:hAnsi="仿宋" w:eastAsia="仿宋" w:cs="仿宋"/>
          <w:b/>
          <w:sz w:val="30"/>
          <w:szCs w:val="30"/>
        </w:rPr>
        <w:t>二、执行标准</w:t>
      </w:r>
      <w:bookmarkEnd w:id="1"/>
    </w:p>
    <w:p w14:paraId="1E5C8307">
      <w:pPr>
        <w:spacing w:before="120" w:after="120" w:line="288" w:lineRule="auto"/>
        <w:ind w:left="0"/>
        <w:jc w:val="left"/>
        <w:rPr>
          <w:rFonts w:hint="eastAsia" w:ascii="仿宋" w:hAnsi="仿宋" w:eastAsia="仿宋" w:cs="仿宋"/>
          <w:sz w:val="30"/>
          <w:szCs w:val="30"/>
        </w:rPr>
      </w:pPr>
      <w:r>
        <w:rPr>
          <w:rFonts w:hint="eastAsia" w:ascii="仿宋" w:hAnsi="仿宋" w:eastAsia="仿宋" w:cs="仿宋"/>
          <w:sz w:val="30"/>
          <w:szCs w:val="30"/>
        </w:rPr>
        <w:t>所有灯具产品、施工工艺、照明效果必须严格执行《中小学学校教室采光和照明卫生标准》（GB 7793-2025）及国家、省市校园照明建设相关规范要求，各项光学指标、安全指标、节能指标全部达标。</w:t>
      </w:r>
    </w:p>
    <w:p w14:paraId="30BA718F">
      <w:pPr>
        <w:spacing w:before="320" w:after="120" w:line="288" w:lineRule="auto"/>
        <w:ind w:left="0"/>
        <w:jc w:val="left"/>
        <w:outlineLvl w:val="1"/>
        <w:rPr>
          <w:rFonts w:hint="eastAsia" w:ascii="仿宋" w:hAnsi="仿宋" w:eastAsia="仿宋" w:cs="仿宋"/>
          <w:sz w:val="30"/>
          <w:szCs w:val="30"/>
        </w:rPr>
      </w:pPr>
      <w:bookmarkStart w:id="2" w:name="heading_2"/>
      <w:r>
        <w:rPr>
          <w:rFonts w:hint="eastAsia" w:ascii="仿宋" w:hAnsi="仿宋" w:eastAsia="仿宋" w:cs="仿宋"/>
          <w:b/>
          <w:sz w:val="30"/>
          <w:szCs w:val="30"/>
        </w:rPr>
        <w:t>三、产品及技术基本要求</w:t>
      </w:r>
      <w:bookmarkEnd w:id="2"/>
    </w:p>
    <w:p w14:paraId="164DDDAF">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所投教室护眼灯、黑板专用灯须为正规合格产品，具备 3C 认证、节能认证及权威机构出具的蓝光等级、频闪、显色指数、照度、眩光等专项检测报告</w:t>
      </w:r>
      <w:r>
        <w:rPr>
          <w:rFonts w:hint="eastAsia" w:ascii="仿宋" w:hAnsi="仿宋" w:eastAsia="仿宋" w:cs="仿宋"/>
          <w:sz w:val="30"/>
          <w:szCs w:val="30"/>
          <w:lang w:val="en-US" w:eastAsia="zh-CN"/>
        </w:rPr>
        <w:t>复印件（原件备查）</w:t>
      </w:r>
      <w:r>
        <w:rPr>
          <w:rFonts w:hint="eastAsia" w:ascii="仿宋" w:hAnsi="仿宋" w:eastAsia="仿宋" w:cs="仿宋"/>
          <w:sz w:val="30"/>
          <w:szCs w:val="30"/>
        </w:rPr>
        <w:t>。</w:t>
      </w:r>
    </w:p>
    <w:p w14:paraId="7EEC988D">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灯具需满足中性自然光色温、高显色、RG0 级防蓝光、无有害频闪、高防眩光等护眼核心指标，课桌面、黑板面照度及均匀度达到国标硬性要求。</w:t>
      </w:r>
    </w:p>
    <w:p w14:paraId="4C65CB11">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产品具备阻燃、散热好、安全稳定、经久耐用等特点，适配校园长时间常态化使用。</w:t>
      </w:r>
    </w:p>
    <w:p w14:paraId="14C14D52">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施工须规范拆除旧灯具、规整室内照明线路，采用国标材料施工，文明作业，不得损坏教室内原有设施设备。</w:t>
      </w:r>
    </w:p>
    <w:p w14:paraId="53338E4A">
      <w:pPr>
        <w:spacing w:before="320" w:after="120" w:line="288" w:lineRule="auto"/>
        <w:ind w:left="0"/>
        <w:jc w:val="left"/>
        <w:outlineLvl w:val="1"/>
        <w:rPr>
          <w:rFonts w:hint="eastAsia" w:ascii="仿宋" w:hAnsi="仿宋" w:eastAsia="仿宋" w:cs="仿宋"/>
          <w:sz w:val="30"/>
          <w:szCs w:val="30"/>
        </w:rPr>
      </w:pPr>
      <w:bookmarkStart w:id="3" w:name="heading_3"/>
      <w:r>
        <w:rPr>
          <w:rFonts w:hint="eastAsia" w:ascii="仿宋" w:hAnsi="仿宋" w:eastAsia="仿宋" w:cs="仿宋"/>
          <w:b/>
          <w:sz w:val="30"/>
          <w:szCs w:val="30"/>
        </w:rPr>
        <w:t>四、工期与现场要求</w:t>
      </w:r>
      <w:bookmarkEnd w:id="3"/>
    </w:p>
    <w:p w14:paraId="2A4E738E">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施工安排优先避开正常教学时间，利用课余、周末及节假日开展施工，最大限度不影响学校正常教育教学秩序。</w:t>
      </w:r>
    </w:p>
    <w:p w14:paraId="39F8864B">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sz w:val="30"/>
          <w:szCs w:val="30"/>
          <w:lang w:val="en-US" w:eastAsia="zh-CN"/>
        </w:rPr>
        <w:t>2.潜在设计单位</w:t>
      </w:r>
      <w:r>
        <w:rPr>
          <w:rFonts w:hint="eastAsia" w:ascii="仿宋" w:hAnsi="仿宋" w:eastAsia="仿宋" w:cs="仿宋"/>
          <w:sz w:val="30"/>
          <w:szCs w:val="30"/>
        </w:rPr>
        <w:t>需自行完成现场踏勘，结合校区教室实际布局制定科学合理的安装排布方案。</w:t>
      </w:r>
    </w:p>
    <w:p w14:paraId="70E1ED79">
      <w:pPr>
        <w:spacing w:before="320" w:after="120" w:line="288" w:lineRule="auto"/>
        <w:ind w:left="0"/>
        <w:jc w:val="left"/>
        <w:outlineLvl w:val="1"/>
        <w:rPr>
          <w:rFonts w:hint="eastAsia" w:ascii="仿宋" w:hAnsi="仿宋" w:eastAsia="仿宋" w:cs="仿宋"/>
          <w:sz w:val="30"/>
          <w:szCs w:val="30"/>
        </w:rPr>
      </w:pPr>
      <w:bookmarkStart w:id="4" w:name="heading_4"/>
      <w:r>
        <w:rPr>
          <w:rFonts w:hint="eastAsia" w:ascii="仿宋" w:hAnsi="仿宋" w:eastAsia="仿宋" w:cs="仿宋"/>
          <w:b/>
          <w:sz w:val="30"/>
          <w:szCs w:val="30"/>
        </w:rPr>
        <w:t>五、售后服务要求</w:t>
      </w:r>
      <w:bookmarkEnd w:id="4"/>
    </w:p>
    <w:p w14:paraId="224BB461">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提供</w:t>
      </w:r>
      <w:r>
        <w:rPr>
          <w:rFonts w:hint="eastAsia" w:ascii="仿宋" w:hAnsi="仿宋" w:eastAsia="仿宋" w:cs="仿宋"/>
          <w:sz w:val="30"/>
          <w:szCs w:val="30"/>
          <w:lang w:val="en-US" w:eastAsia="zh-CN"/>
        </w:rPr>
        <w:t>行业最高标准</w:t>
      </w:r>
      <w:r>
        <w:rPr>
          <w:rFonts w:hint="eastAsia" w:ascii="仿宋" w:hAnsi="仿宋" w:eastAsia="仿宋" w:cs="仿宋"/>
          <w:sz w:val="30"/>
          <w:szCs w:val="30"/>
        </w:rPr>
        <w:t>整体质保服务，质保期内非人为故障免费维修、免费更换。</w:t>
      </w:r>
    </w:p>
    <w:p w14:paraId="7B142BD9">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承建单位具备本地化售后服务能力，故障报修响应及时，上门维修高效快捷。</w:t>
      </w:r>
    </w:p>
    <w:p w14:paraId="7CECBD16">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项目完工后完整移交全套产品资料、施工资料、验收资料，配合校方完成各项验收工作。</w:t>
      </w:r>
    </w:p>
    <w:p w14:paraId="11DB0723">
      <w:pPr>
        <w:spacing w:before="320" w:after="120" w:line="288" w:lineRule="auto"/>
        <w:ind w:left="0"/>
        <w:jc w:val="left"/>
        <w:outlineLvl w:val="1"/>
        <w:rPr>
          <w:rFonts w:hint="eastAsia" w:ascii="仿宋" w:hAnsi="仿宋" w:eastAsia="仿宋" w:cs="仿宋"/>
          <w:sz w:val="30"/>
          <w:szCs w:val="30"/>
        </w:rPr>
      </w:pPr>
      <w:bookmarkStart w:id="5" w:name="heading_5"/>
      <w:r>
        <w:rPr>
          <w:rFonts w:hint="eastAsia" w:ascii="仿宋" w:hAnsi="仿宋" w:eastAsia="仿宋" w:cs="仿宋"/>
          <w:b/>
          <w:sz w:val="30"/>
          <w:szCs w:val="30"/>
        </w:rPr>
        <w:t>六、方案征集相关约定</w:t>
      </w:r>
      <w:bookmarkEnd w:id="5"/>
    </w:p>
    <w:p w14:paraId="535C86F0">
      <w:pPr>
        <w:numPr>
          <w:ilvl w:val="0"/>
          <w:numId w:val="0"/>
        </w:numPr>
        <w:spacing w:before="120" w:after="120" w:line="288" w:lineRule="auto"/>
        <w:jc w:val="left"/>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本次面向社会公开征集本项目整体</w:t>
      </w:r>
      <w:r>
        <w:rPr>
          <w:rFonts w:hint="eastAsia" w:ascii="仿宋" w:hAnsi="仿宋" w:eastAsia="仿宋" w:cs="仿宋"/>
          <w:sz w:val="30"/>
          <w:szCs w:val="30"/>
          <w:lang w:val="en-US" w:eastAsia="zh-CN"/>
        </w:rPr>
        <w:t>招标</w:t>
      </w:r>
      <w:r>
        <w:rPr>
          <w:rFonts w:hint="eastAsia" w:ascii="仿宋" w:hAnsi="仿宋" w:eastAsia="仿宋" w:cs="仿宋"/>
          <w:sz w:val="30"/>
          <w:szCs w:val="30"/>
        </w:rPr>
        <w:t>方案，应征单位需按照项目实际规模编制完整可行的项目</w:t>
      </w:r>
      <w:r>
        <w:rPr>
          <w:rFonts w:hint="eastAsia" w:ascii="仿宋" w:hAnsi="仿宋" w:eastAsia="仿宋" w:cs="仿宋"/>
          <w:sz w:val="30"/>
          <w:szCs w:val="30"/>
          <w:lang w:val="en-US" w:eastAsia="zh-CN"/>
        </w:rPr>
        <w:t>招标</w:t>
      </w:r>
      <w:r>
        <w:rPr>
          <w:rFonts w:hint="eastAsia" w:ascii="仿宋" w:hAnsi="仿宋" w:eastAsia="仿宋" w:cs="仿宋"/>
          <w:sz w:val="30"/>
          <w:szCs w:val="30"/>
        </w:rPr>
        <w:t>方案</w:t>
      </w:r>
      <w:r>
        <w:rPr>
          <w:rFonts w:hint="eastAsia" w:ascii="仿宋" w:hAnsi="仿宋" w:eastAsia="仿宋" w:cs="仿宋"/>
          <w:sz w:val="30"/>
          <w:szCs w:val="30"/>
          <w:lang w:eastAsia="zh-CN"/>
        </w:rPr>
        <w:t>。</w:t>
      </w:r>
    </w:p>
    <w:p w14:paraId="2BA98FCC">
      <w:pPr>
        <w:numPr>
          <w:ilvl w:val="0"/>
          <w:numId w:val="0"/>
        </w:numPr>
        <w:spacing w:before="120" w:after="120" w:line="288" w:lineRule="auto"/>
        <w:jc w:val="left"/>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t>2.</w:t>
      </w:r>
      <w:r>
        <w:rPr>
          <w:rFonts w:hint="eastAsia" w:ascii="仿宋" w:hAnsi="仿宋" w:eastAsia="仿宋" w:cs="仿宋"/>
          <w:b w:val="0"/>
          <w:bCs/>
          <w:sz w:val="30"/>
          <w:szCs w:val="30"/>
        </w:rPr>
        <w:t>所有应征单位提交的征集方案知识产权及使用权全部归厦门市大同中学所有。</w:t>
      </w:r>
    </w:p>
    <w:p w14:paraId="7F2BF8A6">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校方有权对所有征集到的方案进行汇总比对、筛选研判，可择优选用单一完整方案，也可整合吸纳各方案优质内容、合理条款、优势做法，统筹优化形成本项目正式招标采购方案。</w:t>
      </w:r>
    </w:p>
    <w:p w14:paraId="189F263B">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本次方案征集仅作为项目前期筹备工作，不</w:t>
      </w:r>
      <w:r>
        <w:rPr>
          <w:rFonts w:hint="eastAsia" w:ascii="仿宋" w:hAnsi="仿宋" w:eastAsia="仿宋" w:cs="仿宋"/>
          <w:sz w:val="30"/>
          <w:szCs w:val="30"/>
          <w:lang w:eastAsia="zh-CN"/>
        </w:rPr>
        <w:t>作为</w:t>
      </w:r>
      <w:r>
        <w:rPr>
          <w:rFonts w:hint="eastAsia" w:ascii="仿宋" w:hAnsi="仿宋" w:eastAsia="仿宋" w:cs="仿宋"/>
          <w:sz w:val="30"/>
          <w:szCs w:val="30"/>
        </w:rPr>
        <w:t>正式中标依据，征集结束后校方将依据整合完善后的正式方案依法依规开展后续招标采购流程。</w:t>
      </w:r>
    </w:p>
    <w:p w14:paraId="23D3348D">
      <w:pPr>
        <w:spacing w:before="320" w:after="120" w:line="288" w:lineRule="auto"/>
        <w:ind w:left="0"/>
        <w:jc w:val="left"/>
        <w:outlineLvl w:val="1"/>
        <w:rPr>
          <w:rFonts w:hint="eastAsia" w:ascii="仿宋" w:hAnsi="仿宋" w:eastAsia="仿宋" w:cs="仿宋"/>
          <w:sz w:val="30"/>
          <w:szCs w:val="30"/>
        </w:rPr>
      </w:pPr>
      <w:bookmarkStart w:id="6" w:name="heading_6"/>
      <w:r>
        <w:rPr>
          <w:rFonts w:hint="eastAsia" w:ascii="仿宋" w:hAnsi="仿宋" w:eastAsia="仿宋" w:cs="仿宋"/>
          <w:b/>
          <w:sz w:val="30"/>
          <w:szCs w:val="30"/>
        </w:rPr>
        <w:t>七、其他事项</w:t>
      </w:r>
      <w:bookmarkEnd w:id="6"/>
    </w:p>
    <w:p w14:paraId="1BAFF137">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参与方案征集单位须具备履行本项目所需供货、施工、服务能力。</w:t>
      </w:r>
    </w:p>
    <w:p w14:paraId="78D0FEF5">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所有参与征集单位自行承担方案编制、现场踏勘等一切相关费用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参与设计的单位不得再次参加采购活动投标</w:t>
      </w:r>
      <w:r>
        <w:rPr>
          <w:rFonts w:hint="eastAsia" w:ascii="仿宋" w:hAnsi="仿宋" w:eastAsia="仿宋" w:cs="仿宋"/>
          <w:sz w:val="30"/>
          <w:szCs w:val="30"/>
          <w:lang w:eastAsia="zh-CN"/>
        </w:rPr>
        <w:t>）</w:t>
      </w:r>
      <w:r>
        <w:rPr>
          <w:rFonts w:hint="eastAsia" w:ascii="仿宋" w:hAnsi="仿宋" w:eastAsia="仿宋" w:cs="仿宋"/>
          <w:sz w:val="30"/>
          <w:szCs w:val="30"/>
        </w:rPr>
        <w:t>。</w:t>
      </w:r>
    </w:p>
    <w:p w14:paraId="26D0B82E">
      <w:pPr>
        <w:numPr>
          <w:ilvl w:val="0"/>
          <w:numId w:val="0"/>
        </w:numPr>
        <w:spacing w:before="120" w:after="120" w:line="288" w:lineRule="auto"/>
        <w:jc w:val="left"/>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未尽事宜由采购方另行补充说明。</w:t>
      </w:r>
    </w:p>
    <w:p w14:paraId="6665C303">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1A89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03B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visionView w:markup="0"/>
  <w:trackRevisions w:val="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E2F36"/>
    <w:rsid w:val="0B6567C4"/>
    <w:rsid w:val="0F5403B0"/>
    <w:rsid w:val="408D0FB0"/>
    <w:rsid w:val="46CE7A23"/>
    <w:rsid w:val="57737E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1154</Words>
  <Characters>1189</Characters>
  <TotalTime>30</TotalTime>
  <ScaleCrop>false</ScaleCrop>
  <LinksUpToDate>false</LinksUpToDate>
  <CharactersWithSpaces>1199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2026-05-21T02:53:00Z</dcterms:created>
  <dc:creator>Apache POI</dc:creator>
  <cp:lastModifiedBy>兔子</cp:lastModifiedBy>
  <dcterms:modified xsi:type="dcterms:W3CDTF">2026-05-22T08:50:22Z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eyJoZGlkIjoiYTIyNmUwZjJjY2Y1NmU2ZWU1ZmY4NWMxMzY0NGU5ZDciLCJ1c2VySWQiOiI0NTk1NjAyMTYifQ==</vt:lpwstr>
  </property>
  <property fmtid="{D5CDD505-2E9C-101B-9397-08002B2CF9AE}" pid="3" name="KSOProductBuildVer">
    <vt:lpwstr>2052-12.1.0.26375</vt:lpwstr>
  </property>
  <property fmtid="{D5CDD505-2E9C-101B-9397-08002B2CF9AE}" pid="4" name="ICV">
    <vt:lpwstr>A10D48CB7BF3486CA06CB37E79397656_13</vt:lpwstr>
  </property>
</Properties>
</file>