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color w:val="auto"/>
          <w:sz w:val="52"/>
          <w:szCs w:val="52"/>
          <w:highlight w:val="none"/>
        </w:rPr>
      </w:pPr>
    </w:p>
    <w:p>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政府采购——（服务类）</w:t>
      </w:r>
      <w:r>
        <w:rPr>
          <w:rFonts w:hint="eastAsia" w:ascii="宋体" w:hAnsi="宋体"/>
          <w:b/>
          <w:color w:val="auto"/>
          <w:sz w:val="52"/>
          <w:szCs w:val="52"/>
          <w:highlight w:val="none"/>
          <w:lang w:val="en-US" w:eastAsia="zh-CN"/>
        </w:rPr>
        <w:t xml:space="preserve">   </w:t>
      </w:r>
      <w:r>
        <w:rPr>
          <w:rFonts w:hint="eastAsia" w:ascii="宋体" w:hAnsi="宋体"/>
          <w:b/>
          <w:color w:val="auto"/>
          <w:sz w:val="52"/>
          <w:szCs w:val="52"/>
          <w:highlight w:val="none"/>
        </w:rPr>
        <w:t xml:space="preserve">  </w:t>
      </w:r>
    </w:p>
    <w:p>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竞争性磋商采购文件</w:t>
      </w:r>
    </w:p>
    <w:p>
      <w:pPr>
        <w:spacing w:line="360" w:lineRule="auto"/>
        <w:ind w:firstLine="1303" w:firstLineChars="543"/>
        <w:rPr>
          <w:rFonts w:hint="eastAsia" w:ascii="宋体" w:hAnsi="宋体"/>
          <w:color w:val="auto"/>
          <w:sz w:val="24"/>
          <w:szCs w:val="24"/>
          <w:highlight w:val="none"/>
        </w:rPr>
      </w:pPr>
    </w:p>
    <w:p>
      <w:pPr>
        <w:spacing w:line="360" w:lineRule="auto"/>
        <w:ind w:firstLine="2399" w:firstLineChars="543"/>
        <w:rPr>
          <w:rFonts w:hint="eastAsia" w:ascii="宋体" w:hAnsi="宋体"/>
          <w:b/>
          <w:color w:val="auto"/>
          <w:sz w:val="44"/>
          <w:highlight w:val="none"/>
        </w:rPr>
      </w:pPr>
    </w:p>
    <w:p>
      <w:pPr>
        <w:spacing w:line="360" w:lineRule="auto"/>
        <w:ind w:firstLine="1966" w:firstLineChars="445"/>
        <w:rPr>
          <w:rFonts w:hint="eastAsia" w:ascii="宋体" w:hAnsi="宋体"/>
          <w:b/>
          <w:color w:val="auto"/>
          <w:sz w:val="44"/>
          <w:highlight w:val="none"/>
        </w:rPr>
      </w:pPr>
    </w:p>
    <w:p>
      <w:pPr>
        <w:spacing w:line="360" w:lineRule="auto"/>
        <w:rPr>
          <w:rFonts w:hint="eastAsia" w:ascii="宋体" w:hAnsi="宋体" w:eastAsia="宋体"/>
          <w:b/>
          <w:color w:val="auto"/>
          <w:sz w:val="44"/>
          <w:szCs w:val="44"/>
          <w:highlight w:val="none"/>
          <w:lang w:eastAsia="zh-CN"/>
        </w:rPr>
      </w:pPr>
      <w:r>
        <w:rPr>
          <w:rFonts w:hint="eastAsia" w:ascii="宋体" w:hAnsi="宋体"/>
          <w:b/>
          <w:color w:val="auto"/>
          <w:sz w:val="44"/>
          <w:highlight w:val="none"/>
        </w:rPr>
        <w:t xml:space="preserve">    </w:t>
      </w:r>
      <w:r>
        <w:rPr>
          <w:rFonts w:hint="eastAsia" w:ascii="宋体" w:hAnsi="宋体"/>
          <w:b/>
          <w:color w:val="auto"/>
          <w:sz w:val="44"/>
          <w:szCs w:val="44"/>
          <w:highlight w:val="none"/>
        </w:rPr>
        <w:t xml:space="preserve"> 项目编号：</w:t>
      </w:r>
      <w:r>
        <w:rPr>
          <w:rFonts w:hint="eastAsia" w:ascii="宋体" w:hAnsi="宋体"/>
          <w:b/>
          <w:bCs/>
          <w:color w:val="auto"/>
          <w:sz w:val="44"/>
          <w:szCs w:val="44"/>
          <w:highlight w:val="none"/>
          <w:lang w:eastAsia="zh-CN"/>
        </w:rPr>
        <w:t>XM2026-TZ0106</w:t>
      </w:r>
    </w:p>
    <w:p>
      <w:pPr>
        <w:spacing w:line="360" w:lineRule="auto"/>
        <w:ind w:left="3534" w:hanging="3534" w:hangingChars="800"/>
        <w:rPr>
          <w:rFonts w:hint="eastAsia" w:ascii="宋体" w:hAnsi="宋体"/>
          <w:b/>
          <w:color w:val="auto"/>
          <w:sz w:val="44"/>
          <w:highlight w:val="none"/>
        </w:rPr>
      </w:pPr>
      <w:r>
        <w:rPr>
          <w:rFonts w:hint="eastAsia" w:ascii="宋体" w:hAnsi="宋体"/>
          <w:b/>
          <w:color w:val="auto"/>
          <w:sz w:val="44"/>
          <w:highlight w:val="none"/>
        </w:rPr>
        <w:t xml:space="preserve">     项目名称：厦门外国语学校瑞景分校信息化和安防维保服务</w:t>
      </w:r>
    </w:p>
    <w:p>
      <w:pPr>
        <w:spacing w:line="360" w:lineRule="auto"/>
        <w:jc w:val="center"/>
        <w:rPr>
          <w:rFonts w:hint="eastAsia" w:ascii="宋体" w:hAnsi="宋体"/>
          <w:b/>
          <w:color w:val="auto"/>
          <w:sz w:val="44"/>
          <w:highlight w:val="none"/>
        </w:rPr>
      </w:pPr>
    </w:p>
    <w:p>
      <w:pPr>
        <w:spacing w:line="360" w:lineRule="auto"/>
        <w:jc w:val="both"/>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  购  人 ：厦门外国语学校瑞景分校</w:t>
      </w:r>
    </w:p>
    <w:p>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采购代理机构：</w:t>
      </w:r>
      <w:r>
        <w:rPr>
          <w:rFonts w:hint="eastAsia" w:ascii="宋体" w:hAnsi="宋体"/>
          <w:b/>
          <w:bCs/>
          <w:color w:val="auto"/>
          <w:sz w:val="32"/>
          <w:highlight w:val="none"/>
        </w:rPr>
        <w:t>厦门万翔招标有限公司</w:t>
      </w: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lang w:eastAsia="zh-CN"/>
        </w:rPr>
        <w:t>2026</w:t>
      </w:r>
      <w:r>
        <w:rPr>
          <w:rFonts w:hint="eastAsia" w:ascii="宋体" w:hAnsi="宋体"/>
          <w:b/>
          <w:color w:val="auto"/>
          <w:sz w:val="36"/>
          <w:szCs w:val="36"/>
          <w:highlight w:val="none"/>
        </w:rPr>
        <w:t>年</w:t>
      </w:r>
    </w:p>
    <w:p>
      <w:pPr>
        <w:spacing w:line="360" w:lineRule="auto"/>
        <w:jc w:val="center"/>
        <w:rPr>
          <w:rFonts w:hint="eastAsia" w:ascii="宋体" w:hAnsi="宋体"/>
          <w:b/>
          <w:color w:val="auto"/>
          <w:sz w:val="36"/>
          <w:szCs w:val="36"/>
          <w:highlight w:val="none"/>
        </w:rPr>
      </w:pPr>
    </w:p>
    <w:p>
      <w:pPr>
        <w:pStyle w:val="6"/>
        <w:spacing w:line="360" w:lineRule="auto"/>
        <w:ind w:firstLine="0"/>
        <w:jc w:val="center"/>
        <w:rPr>
          <w:rFonts w:hint="eastAsia" w:cs="Arial"/>
          <w:b/>
          <w:bCs/>
          <w:color w:val="auto"/>
          <w:sz w:val="32"/>
          <w:highlight w:val="none"/>
          <w:lang w:eastAsia="zh-CN"/>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关于政府采购信用贷款的提示</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rPr>
        <w:t>（201608版）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有关金融机构联系方式：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（一）中国建设银行厦门分行：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联系人：魏慧媛   2158595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（二）中国光大银行厦门分行：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  虹   2283776、13806013400；朱姗姗   2991131、18050082825</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（三）兴业银行厦门分行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联系人：陈小姐  0592-5312509 13599531245 ；高经理  0592-5312350 13850017508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（四）厦门市担保有限公司：</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联系人：陈文辉   5125116；吴龙辉   5120019</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（五）厦门银行股份有限公司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联系人：张冬梅 13395990009 ；陈韵 13656021986</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本提示仅作为信息告知，具体贷款事宜以银行等有关金融机构审批为准。</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p>
    <w:p>
      <w:pPr>
        <w:spacing w:line="360" w:lineRule="auto"/>
        <w:ind w:firstLine="0" w:firstLineChars="0"/>
        <w:rPr>
          <w:rFonts w:hint="eastAsia" w:ascii="宋体" w:hAnsi="宋体" w:eastAsia="宋体" w:cs="宋体"/>
          <w:color w:val="auto"/>
          <w:sz w:val="24"/>
          <w:szCs w:val="24"/>
          <w:highlight w:val="none"/>
        </w:rPr>
      </w:pPr>
    </w:p>
    <w:sdt>
      <w:sdtPr>
        <w:rPr>
          <w:rFonts w:ascii="宋体" w:hAnsi="宋体" w:eastAsia="宋体" w:cs="Times New Roman"/>
          <w:b/>
          <w:bCs/>
          <w:color w:val="auto"/>
          <w:kern w:val="2"/>
          <w:sz w:val="32"/>
          <w:szCs w:val="36"/>
          <w:highlight w:val="none"/>
          <w:lang w:val="en-US" w:eastAsia="zh-CN" w:bidi="ar-SA"/>
        </w:rPr>
        <w:id w:val="147473021"/>
        <w15:color w:val="DBDBDB"/>
        <w:docPartObj>
          <w:docPartGallery w:val="Table of Contents"/>
          <w:docPartUnique/>
        </w:docPartObj>
      </w:sdtPr>
      <w:sdtEndPr>
        <w:rPr>
          <w:rFonts w:hint="eastAsia" w:ascii="宋体" w:hAnsi="宋体" w:eastAsia="宋体" w:cs="宋体"/>
          <w:b/>
          <w:bCs/>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32"/>
              <w:szCs w:val="36"/>
              <w:highlight w:val="none"/>
            </w:rPr>
          </w:pPr>
          <w:r>
            <w:rPr>
              <w:rFonts w:ascii="宋体" w:hAnsi="宋体" w:eastAsia="宋体"/>
              <w:b/>
              <w:bCs/>
              <w:color w:val="auto"/>
              <w:sz w:val="32"/>
              <w:szCs w:val="36"/>
              <w:highlight w:val="none"/>
            </w:rPr>
            <w:t>目</w:t>
          </w:r>
          <w:r>
            <w:rPr>
              <w:rFonts w:hint="eastAsia" w:ascii="宋体" w:hAnsi="宋体" w:eastAsia="宋体"/>
              <w:b/>
              <w:bCs/>
              <w:color w:val="auto"/>
              <w:sz w:val="32"/>
              <w:szCs w:val="36"/>
              <w:highlight w:val="none"/>
              <w:lang w:val="en-US" w:eastAsia="zh-CN"/>
            </w:rPr>
            <w:t xml:space="preserve">  </w:t>
          </w:r>
          <w:r>
            <w:rPr>
              <w:rFonts w:ascii="宋体" w:hAnsi="宋体" w:eastAsia="宋体"/>
              <w:b/>
              <w:bCs/>
              <w:color w:val="auto"/>
              <w:sz w:val="32"/>
              <w:szCs w:val="36"/>
              <w:highlight w:val="none"/>
            </w:rPr>
            <w:t>录</w:t>
          </w:r>
        </w:p>
        <w:p>
          <w:pPr>
            <w:pStyle w:val="17"/>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_Toc31318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_Toc6645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磋商邀请</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_Toc6645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4</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7"/>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_Toc16975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报价人须知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_Toc16975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8</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_Toc11663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报价人须知前附表1</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_Toc11663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_Toc4371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报价人须知前附表2</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资格性、符合性检查表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_Toc4371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报价人须知前附表3：磋商规则、评审标准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_Toc28706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_Toc21521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报价人须知前附表4：中小企业及监狱企业优惠办法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_Toc21521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报</w:t>
          </w:r>
          <w:r>
            <w:rPr>
              <w:rFonts w:hint="eastAsia" w:ascii="宋体" w:hAnsi="宋体" w:eastAsia="宋体" w:cs="宋体"/>
              <w:bCs/>
              <w:color w:val="auto"/>
              <w:sz w:val="24"/>
              <w:szCs w:val="24"/>
              <w:highlight w:val="none"/>
            </w:rPr>
            <w:t>价人须知前附表5：节能、环境标志产品采购政策</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_Toc27223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_Toc4144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_Toc32664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二、采购文件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_Toc32664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_Toc32185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三、报价文件的编写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_Toc32185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四、报价文件的提交</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_Toc4280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_Toc6213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五、报价文件的评估和比较</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_Toc6213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_Toc17908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六、成交与签订合同</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_Toc17908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_Toc7699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磋商内容及要求</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_Toc7699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45</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_Toc10139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一、项目概况</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_Toc10139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_Toc29960 </w:instrText>
          </w:r>
          <w:r>
            <w:rPr>
              <w:rFonts w:hint="eastAsia" w:ascii="宋体" w:hAnsi="宋体" w:eastAsia="宋体" w:cs="宋体"/>
              <w:color w:val="auto"/>
              <w:sz w:val="24"/>
              <w:szCs w:val="24"/>
              <w:highlight w:val="none"/>
            </w:rPr>
            <w:fldChar w:fldCharType="separate"/>
          </w:r>
          <w:r>
            <w:rPr>
              <w:rFonts w:hint="eastAsia" w:ascii="宋体" w:hAnsi="宋体" w:cs="宋体"/>
              <w:bCs/>
              <w:color w:val="auto"/>
              <w:sz w:val="24"/>
              <w:szCs w:val="24"/>
              <w:highlight w:val="none"/>
            </w:rPr>
            <w:t>二、服务内容及要求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_Toc29960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三、商务条件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_Toc12197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四、其他事项</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_Toc13390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60</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_Toc28998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政府采购合同</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_Toc28998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61</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7"/>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_Toc24630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报价文件格式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_Toc24630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65</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7"/>
            <w:tabs>
              <w:tab w:val="right" w:leader="dot" w:pos="8306"/>
            </w:tabs>
            <w:ind w:firstLine="48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_Toc30944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highlight w:val="none"/>
              <w:lang w:val="en-US" w:eastAsia="zh-CN"/>
            </w:rPr>
            <w:t>附件：福建省</w:t>
          </w:r>
          <w:r>
            <w:rPr>
              <w:rFonts w:hint="eastAsia" w:ascii="宋体" w:hAnsi="宋体" w:eastAsia="宋体" w:cs="宋体"/>
              <w:color w:val="auto"/>
              <w:sz w:val="24"/>
              <w:highlight w:val="none"/>
            </w:rPr>
            <w:t>政府采购供应商资格承诺函</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_Toc30944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97</w:t>
          </w:r>
          <w:r>
            <w:rPr>
              <w:rFonts w:hint="eastAsia" w:ascii="宋体" w:hAnsi="宋体" w:eastAsia="宋体" w:cs="宋体"/>
              <w:color w:val="auto"/>
              <w:sz w:val="24"/>
              <w:highlight w:val="none"/>
            </w:rPr>
            <w:fldChar w:fldCharType="end"/>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sdtContent>
    </w:sdt>
    <w:p>
      <w:pPr>
        <w:spacing w:line="360" w:lineRule="auto"/>
        <w:rPr>
          <w:rFonts w:hint="eastAsia" w:ascii="宋体" w:hAnsi="宋体" w:eastAsia="宋体" w:cs="宋体"/>
          <w:color w:val="auto"/>
          <w:kern w:val="2"/>
          <w:sz w:val="21"/>
          <w:szCs w:val="24"/>
          <w:highlight w:val="none"/>
          <w:lang w:val="en-US" w:eastAsia="zh-CN" w:bidi="ar-SA"/>
        </w:rPr>
      </w:pPr>
    </w:p>
    <w:p>
      <w:pPr>
        <w:spacing w:line="360" w:lineRule="auto"/>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bookmarkStart w:id="0" w:name="_Toc31318"/>
      <w:r>
        <w:rPr>
          <w:rFonts w:hint="eastAsia" w:ascii="宋体" w:hAnsi="宋体" w:eastAsia="宋体" w:cs="宋体"/>
          <w:b/>
          <w:bCs/>
          <w:color w:val="auto"/>
          <w:sz w:val="32"/>
          <w:szCs w:val="32"/>
          <w:highlight w:val="none"/>
        </w:rPr>
        <w:t>第一章</w:t>
      </w:r>
      <w:bookmarkEnd w:id="0"/>
      <w:r>
        <w:rPr>
          <w:rFonts w:hint="eastAsia" w:ascii="宋体" w:hAnsi="宋体" w:cs="宋体"/>
          <w:b/>
          <w:bCs/>
          <w:color w:val="auto"/>
          <w:sz w:val="32"/>
          <w:szCs w:val="32"/>
          <w:highlight w:val="none"/>
          <w:lang w:val="en-US" w:eastAsia="zh-CN"/>
        </w:rPr>
        <w:t xml:space="preserve">  </w:t>
      </w:r>
      <w:bookmarkStart w:id="1" w:name="_Toc6645"/>
      <w:r>
        <w:rPr>
          <w:rFonts w:hint="eastAsia" w:ascii="宋体" w:hAnsi="宋体" w:eastAsia="宋体" w:cs="宋体"/>
          <w:b/>
          <w:bCs/>
          <w:color w:val="auto"/>
          <w:sz w:val="32"/>
          <w:szCs w:val="32"/>
          <w:highlight w:val="none"/>
        </w:rPr>
        <w:t>磋商邀请</w:t>
      </w:r>
      <w:bookmarkEnd w:id="1"/>
    </w:p>
    <w:p>
      <w:pPr>
        <w:tabs>
          <w:tab w:val="left" w:pos="900"/>
        </w:tabs>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受采购人</w:t>
      </w:r>
      <w:r>
        <w:rPr>
          <w:rFonts w:hint="eastAsia" w:ascii="宋体" w:hAnsi="宋体" w:eastAsia="宋体" w:cs="宋体"/>
          <w:b/>
          <w:bCs/>
          <w:color w:val="auto"/>
          <w:sz w:val="24"/>
          <w:szCs w:val="24"/>
          <w:highlight w:val="none"/>
          <w:u w:val="single"/>
        </w:rPr>
        <w:t>厦门外国语学校瑞景分校</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委托，对</w:t>
      </w:r>
      <w:r>
        <w:rPr>
          <w:rFonts w:hint="eastAsia" w:ascii="宋体" w:hAnsi="宋体" w:eastAsia="宋体" w:cs="宋体"/>
          <w:b/>
          <w:bCs/>
          <w:color w:val="auto"/>
          <w:sz w:val="24"/>
          <w:szCs w:val="24"/>
          <w:highlight w:val="none"/>
          <w:u w:val="single"/>
        </w:rPr>
        <w:t>厦门外国语学校瑞景分校信息化和安防维保服务项目</w:t>
      </w:r>
      <w:r>
        <w:rPr>
          <w:rFonts w:hint="eastAsia" w:ascii="宋体" w:hAnsi="宋体" w:eastAsia="宋体" w:cs="宋体"/>
          <w:bCs/>
          <w:color w:val="auto"/>
          <w:sz w:val="24"/>
          <w:szCs w:val="24"/>
          <w:highlight w:val="none"/>
        </w:rPr>
        <w:t>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竞争性磋商方式</w:t>
      </w:r>
      <w:r>
        <w:rPr>
          <w:rFonts w:hint="eastAsia" w:ascii="宋体" w:hAnsi="宋体" w:eastAsia="宋体" w:cs="宋体"/>
          <w:color w:val="auto"/>
          <w:sz w:val="24"/>
          <w:szCs w:val="24"/>
          <w:highlight w:val="none"/>
        </w:rPr>
        <w:t>进行。现欢迎国内合格报价人密封提交报价文件。</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eastAsia="zh-CN"/>
        </w:rPr>
        <w:t>XM2026-TZ0106</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2.采购服务名称、数量及主要技术规格：见后附采购服务一览表。</w:t>
      </w:r>
    </w:p>
    <w:p>
      <w:p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3.采购文件获取方式：</w:t>
      </w:r>
      <w:r>
        <w:rPr>
          <w:rFonts w:hint="eastAsia" w:ascii="宋体" w:hAnsi="宋体" w:cs="宋体"/>
          <w:bCs/>
          <w:color w:val="auto"/>
          <w:sz w:val="24"/>
          <w:szCs w:val="24"/>
          <w:highlight w:val="none"/>
          <w:lang w:eastAsia="zh-CN"/>
        </w:rPr>
        <w:t>2026</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2026</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日(节假日除外)上午8：30至12：00，下午2：00至5：30（北京时间）在</w:t>
      </w:r>
      <w:r>
        <w:rPr>
          <w:rFonts w:hint="eastAsia" w:ascii="宋体" w:hAnsi="宋体" w:eastAsia="宋体" w:cs="宋体"/>
          <w:color w:val="auto"/>
          <w:sz w:val="24"/>
          <w:szCs w:val="24"/>
          <w:highlight w:val="none"/>
          <w:u w:val="single"/>
        </w:rPr>
        <w:t>厦门市湖里区机场北路476号四楼售标室</w:t>
      </w:r>
      <w:r>
        <w:rPr>
          <w:rFonts w:hint="eastAsia" w:ascii="宋体" w:hAnsi="宋体" w:eastAsia="宋体" w:cs="宋体"/>
          <w:color w:val="auto"/>
          <w:sz w:val="24"/>
          <w:szCs w:val="24"/>
          <w:highlight w:val="none"/>
        </w:rPr>
        <w:t>购买采购文件，联系人及电话：</w:t>
      </w:r>
      <w:r>
        <w:rPr>
          <w:rFonts w:hint="eastAsia" w:ascii="宋体" w:hAnsi="宋体" w:cs="宋体"/>
          <w:color w:val="auto"/>
          <w:sz w:val="24"/>
          <w:szCs w:val="24"/>
          <w:highlight w:val="none"/>
          <w:lang w:eastAsia="zh-CN"/>
        </w:rPr>
        <w:t>蒋小姐</w:t>
      </w:r>
      <w:r>
        <w:rPr>
          <w:rFonts w:hint="eastAsia" w:ascii="宋体" w:hAnsi="宋体" w:eastAsia="宋体" w:cs="宋体"/>
          <w:color w:val="auto"/>
          <w:sz w:val="24"/>
          <w:szCs w:val="24"/>
          <w:highlight w:val="none"/>
        </w:rPr>
        <w:t>0592-2219823。</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4.采购文件售价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rPr>
        <w:t>每个合同包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售后不退。</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5.报价文件提交截止时间：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14：30（时间） </w:t>
      </w:r>
      <w:r>
        <w:rPr>
          <w:rFonts w:hint="eastAsia" w:ascii="宋体" w:hAnsi="宋体" w:eastAsia="宋体" w:cs="宋体"/>
          <w:color w:val="auto"/>
          <w:sz w:val="24"/>
          <w:szCs w:val="24"/>
          <w:highlight w:val="none"/>
        </w:rPr>
        <w:t>（北京时间），报价文件应在截止时间前将报价文件递交到</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，逾期收到的或不符合规定的报价文件将被拒绝。</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6.磋商时间：</w:t>
      </w:r>
      <w:r>
        <w:rPr>
          <w:rFonts w:hint="eastAsia" w:ascii="宋体" w:hAnsi="宋体" w:cs="宋体"/>
          <w:color w:val="auto"/>
          <w:sz w:val="24"/>
          <w:szCs w:val="24"/>
          <w:highlight w:val="none"/>
          <w:u w:val="single"/>
          <w:lang w:eastAsia="zh-CN"/>
        </w:rPr>
        <w:t>2026</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14：30（时间）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7.报价人对本次磋商活动事项如有疑问的，请在磋商截止时间5日之前，以书面形式与采购代理机构联系。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8.以上信息如有变更，</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将通过</w:t>
      </w:r>
      <w:r>
        <w:rPr>
          <w:rFonts w:hint="eastAsia" w:ascii="宋体" w:hAnsi="宋体" w:eastAsia="宋体" w:cs="宋体"/>
          <w:bCs/>
          <w:color w:val="auto"/>
          <w:sz w:val="24"/>
          <w:szCs w:val="24"/>
          <w:highlight w:val="none"/>
        </w:rPr>
        <w:t>厦门招投标网（</w:t>
      </w:r>
      <w:r>
        <w:rPr>
          <w:rFonts w:hint="eastAsia" w:ascii="宋体" w:hAnsi="宋体" w:eastAsia="宋体" w:cs="宋体"/>
          <w:color w:val="auto"/>
          <w:sz w:val="24"/>
          <w:szCs w:val="24"/>
          <w:highlight w:val="none"/>
        </w:rPr>
        <w:t>www.xmztb.com</w:t>
      </w:r>
      <w:r>
        <w:rPr>
          <w:rFonts w:hint="eastAsia" w:ascii="宋体" w:hAnsi="宋体" w:eastAsia="宋体" w:cs="宋体"/>
          <w:bCs/>
          <w:color w:val="auto"/>
          <w:sz w:val="24"/>
          <w:szCs w:val="24"/>
          <w:highlight w:val="none"/>
        </w:rPr>
        <w:t>）等信息发布媒体通知,</w:t>
      </w:r>
      <w:r>
        <w:rPr>
          <w:rFonts w:hint="eastAsia" w:ascii="宋体" w:hAnsi="宋体" w:eastAsia="宋体" w:cs="宋体"/>
          <w:color w:val="auto"/>
          <w:sz w:val="24"/>
          <w:szCs w:val="24"/>
          <w:highlight w:val="none"/>
        </w:rPr>
        <w:t>请报价人关注。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9.本项目（不接受）联合体报价。</w:t>
      </w:r>
    </w:p>
    <w:p>
      <w:pPr>
        <w:tabs>
          <w:tab w:val="left" w:pos="11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24"/>
        <w:tblW w:w="85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3"/>
        <w:gridCol w:w="1008"/>
        <w:gridCol w:w="1303"/>
        <w:gridCol w:w="2539"/>
        <w:gridCol w:w="27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63"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008"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303"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539"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773"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田</w:t>
            </w:r>
            <w:r>
              <w:rPr>
                <w:rFonts w:hint="eastAsia" w:ascii="宋体" w:hAnsi="宋体" w:eastAsia="宋体" w:cs="宋体"/>
                <w:color w:val="auto"/>
                <w:kern w:val="0"/>
                <w:sz w:val="24"/>
                <w:szCs w:val="24"/>
                <w:highlight w:val="none"/>
              </w:rPr>
              <w:t>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负责采购文件的咨询、答疑等工作</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0592-</w:t>
            </w:r>
            <w:r>
              <w:rPr>
                <w:rFonts w:hint="eastAsia" w:ascii="宋体" w:hAnsi="宋体" w:cs="宋体"/>
                <w:color w:val="auto"/>
                <w:sz w:val="24"/>
                <w:szCs w:val="24"/>
                <w:highlight w:val="none"/>
                <w:lang w:val="en-US" w:eastAsia="zh-CN"/>
              </w:rPr>
              <w:t>5706815</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磋商保证金收、退</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文件费、磋商保证金到账咨询</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欢迎报价人对项目采购过程中公告发布、采购文件购买、磋商保证金缴交和退还、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负责接收质疑</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电话0592-2298125</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"mailto:邮箱hcq@iport.com.cn"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邮箱hcq@iport.com.cn</w:t>
            </w:r>
            <w:r>
              <w:rPr>
                <w:rFonts w:hint="eastAsia" w:ascii="宋体" w:hAnsi="宋体" w:eastAsia="宋体" w:cs="宋体"/>
                <w:color w:val="auto"/>
                <w:sz w:val="24"/>
                <w:szCs w:val="24"/>
                <w:highlight w:val="none"/>
              </w:rPr>
              <w:fldChar w:fldCharType="end"/>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通讯地址：厦门市湖里区机场北路476号4楼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008"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303"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539" w:type="dxa"/>
            <w:tcBorders>
              <w:top w:val="single" w:color="auto" w:sz="6" w:space="0"/>
              <w:left w:val="single" w:color="auto" w:sz="6" w:space="0"/>
              <w:bottom w:val="double" w:color="auto" w:sz="4"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773" w:type="dxa"/>
            <w:tcBorders>
              <w:top w:val="single" w:color="auto" w:sz="6" w:space="0"/>
              <w:left w:val="single" w:color="auto" w:sz="6" w:space="0"/>
              <w:bottom w:val="double" w:color="auto" w:sz="4" w:space="0"/>
              <w:right w:val="doub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i w:val="0"/>
                <w:iCs w:val="0"/>
                <w:caps w:val="0"/>
                <w:color w:val="auto"/>
                <w:spacing w:val="0"/>
                <w:kern w:val="0"/>
                <w:sz w:val="24"/>
                <w:szCs w:val="24"/>
                <w:highlight w:val="none"/>
                <w:shd w:val="clear"/>
              </w:rPr>
              <w:t>wxsb@iport.com.cn</w:t>
            </w:r>
          </w:p>
        </w:tc>
      </w:tr>
    </w:tbl>
    <w:p>
      <w:pPr>
        <w:tabs>
          <w:tab w:val="left" w:pos="1140"/>
        </w:tabs>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11.磋商保证金及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24"/>
        <w:tblW w:w="940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3702"/>
        <w:gridCol w:w="41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63"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3702"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磋商保证金缴交账户</w:t>
            </w:r>
          </w:p>
        </w:tc>
        <w:tc>
          <w:tcPr>
            <w:tcW w:w="4137"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37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c>
          <w:tcPr>
            <w:tcW w:w="4137"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37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c>
          <w:tcPr>
            <w:tcW w:w="4137"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839" w:type="dxa"/>
            <w:gridSpan w:val="2"/>
            <w:tcBorders>
              <w:top w:val="single" w:color="auto" w:sz="6" w:space="0"/>
              <w:left w:val="single" w:color="auto" w:sz="6" w:space="0"/>
              <w:bottom w:val="double" w:color="auto" w:sz="4"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注意事项：</w:t>
      </w:r>
    </w:p>
    <w:p>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（1）有意向的潜在</w:t>
      </w:r>
      <w:r>
        <w:rPr>
          <w:rFonts w:hint="eastAsia" w:ascii="宋体" w:hAnsi="宋体" w:cs="宋体"/>
          <w:color w:val="auto"/>
          <w:sz w:val="24"/>
          <w:szCs w:val="24"/>
          <w:highlight w:val="none"/>
          <w:lang w:val="en-US" w:eastAsia="zh-CN"/>
        </w:rPr>
        <w:t>报价人</w:t>
      </w:r>
      <w:r>
        <w:rPr>
          <w:rFonts w:hint="default" w:ascii="宋体" w:hAnsi="宋体" w:cs="宋体"/>
          <w:color w:val="auto"/>
          <w:sz w:val="24"/>
          <w:szCs w:val="24"/>
          <w:highlight w:val="none"/>
          <w:lang w:val="en-US" w:eastAsia="zh-CN"/>
        </w:rPr>
        <w:t>发邮件至wxsb@iport.com.cn索取</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购买登记表。</w:t>
      </w:r>
    </w:p>
    <w:p>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（2）建议采用电汇或网银购买</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，请</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付款时务必注明“</w:t>
      </w:r>
      <w:r>
        <w:rPr>
          <w:rFonts w:hint="eastAsia" w:ascii="宋体" w:hAnsi="宋体" w:cs="宋体"/>
          <w:color w:val="auto"/>
          <w:sz w:val="24"/>
          <w:szCs w:val="24"/>
          <w:highlight w:val="none"/>
          <w:lang w:val="en-US" w:eastAsia="zh-CN"/>
        </w:rPr>
        <w:t>项目</w:t>
      </w:r>
      <w:r>
        <w:rPr>
          <w:rFonts w:hint="default" w:ascii="宋体" w:hAnsi="宋体" w:cs="宋体"/>
          <w:color w:val="auto"/>
          <w:sz w:val="24"/>
          <w:szCs w:val="24"/>
          <w:highlight w:val="none"/>
          <w:lang w:val="en-US" w:eastAsia="zh-CN"/>
        </w:rPr>
        <w:t>编号+用途”（比如：</w:t>
      </w:r>
      <w:r>
        <w:rPr>
          <w:rFonts w:hint="eastAsia" w:ascii="宋体" w:hAnsi="宋体" w:cs="宋体"/>
          <w:color w:val="auto"/>
          <w:sz w:val="24"/>
          <w:szCs w:val="24"/>
          <w:highlight w:val="none"/>
          <w:lang w:val="en-US" w:eastAsia="zh-CN"/>
        </w:rPr>
        <w:t>XM2026-TZ0106</w:t>
      </w:r>
      <w:r>
        <w:rPr>
          <w:rFonts w:hint="default" w:ascii="宋体" w:hAnsi="宋体" w:cs="宋体"/>
          <w:color w:val="auto"/>
          <w:sz w:val="24"/>
          <w:szCs w:val="24"/>
          <w:highlight w:val="none"/>
          <w:lang w:val="en-US" w:eastAsia="zh-CN"/>
        </w:rPr>
        <w:t>文件费）。</w:t>
      </w:r>
    </w:p>
    <w:p>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（3）潜在</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填好购买登记表后将加盖公章的文件购买登记表扫描件及文件购买付款凭证发至wxsb@iport.com.cn进行购买登记，收到登记资料后发送</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电子版，如需纸质版，</w:t>
      </w:r>
      <w:r>
        <w:rPr>
          <w:rFonts w:hint="eastAsia" w:ascii="宋体" w:hAnsi="宋体" w:cs="宋体"/>
          <w:color w:val="auto"/>
          <w:sz w:val="24"/>
          <w:szCs w:val="24"/>
          <w:highlight w:val="none"/>
          <w:lang w:val="en-US" w:eastAsia="zh-CN"/>
        </w:rPr>
        <w:t>采购代理机构</w:t>
      </w:r>
      <w:r>
        <w:rPr>
          <w:rFonts w:hint="default" w:ascii="宋体" w:hAnsi="宋体" w:cs="宋体"/>
          <w:color w:val="auto"/>
          <w:sz w:val="24"/>
          <w:szCs w:val="24"/>
          <w:highlight w:val="none"/>
          <w:lang w:val="en-US" w:eastAsia="zh-CN"/>
        </w:rPr>
        <w:t>可以邮寄，邮费需到付。</w:t>
      </w:r>
    </w:p>
    <w:p>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（4）文件费及项目</w:t>
      </w:r>
      <w:r>
        <w:rPr>
          <w:rFonts w:hint="eastAsia" w:ascii="宋体" w:hAnsi="宋体" w:cs="宋体"/>
          <w:color w:val="auto"/>
          <w:sz w:val="24"/>
          <w:szCs w:val="24"/>
          <w:highlight w:val="none"/>
          <w:lang w:val="en-US" w:eastAsia="zh-CN"/>
        </w:rPr>
        <w:t>成交</w:t>
      </w:r>
      <w:r>
        <w:rPr>
          <w:rFonts w:hint="default" w:ascii="宋体" w:hAnsi="宋体" w:cs="宋体"/>
          <w:color w:val="auto"/>
          <w:sz w:val="24"/>
          <w:szCs w:val="24"/>
          <w:highlight w:val="none"/>
          <w:lang w:val="en-US" w:eastAsia="zh-CN"/>
        </w:rPr>
        <w:t>供应商服务费等发票均以邮件方式发送至购标指定邮箱。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pPr>
        <w:numPr>
          <w:ilvl w:val="0"/>
          <w:numId w:val="0"/>
        </w:numPr>
        <w:spacing w:line="360" w:lineRule="auto"/>
        <w:ind w:firstLine="0" w:firstLineChars="0"/>
        <w:rPr>
          <w:rFonts w:hint="default" w:ascii="宋体" w:hAnsi="宋体" w:cs="宋体"/>
          <w:color w:val="auto"/>
          <w:sz w:val="24"/>
          <w:szCs w:val="24"/>
          <w:highlight w:val="none"/>
          <w:lang w:val="en-US" w:eastAsia="zh-CN"/>
        </w:rPr>
      </w:pPr>
    </w:p>
    <w:p>
      <w:pPr>
        <w:pStyle w:val="8"/>
        <w:spacing w:after="0" w:line="360" w:lineRule="auto"/>
        <w:ind w:right="600"/>
        <w:jc w:val="right"/>
        <w:rPr>
          <w:rFonts w:hint="eastAsia" w:ascii="宋体" w:hAnsi="宋体" w:eastAsia="宋体" w:cs="宋体"/>
          <w:color w:val="auto"/>
          <w:sz w:val="24"/>
          <w:szCs w:val="24"/>
          <w:highlight w:val="none"/>
          <w:lang w:eastAsia="zh-CN"/>
        </w:rPr>
        <w:sectPr>
          <w:headerReference r:id="rId3" w:type="first"/>
          <w:footerReference r:id="rId5" w:type="first"/>
          <w:footerReference r:id="rId4"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附：采购服务一览表</w:t>
      </w:r>
    </w:p>
    <w:tbl>
      <w:tblPr>
        <w:tblStyle w:val="24"/>
        <w:tblW w:w="570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778"/>
        <w:gridCol w:w="1489"/>
        <w:gridCol w:w="767"/>
        <w:gridCol w:w="933"/>
        <w:gridCol w:w="1889"/>
        <w:gridCol w:w="1600"/>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400"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765" w:type="pct"/>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394"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479"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控制价</w:t>
            </w:r>
          </w:p>
        </w:tc>
        <w:tc>
          <w:tcPr>
            <w:tcW w:w="971"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技术规格及要求(服务要求)</w:t>
            </w:r>
          </w:p>
        </w:tc>
        <w:tc>
          <w:tcPr>
            <w:tcW w:w="822" w:type="pct"/>
            <w:noWrap w:val="0"/>
            <w:vAlign w:val="center"/>
          </w:tcPr>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611"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54" w:type="pct"/>
            <w:vMerge w:val="restart"/>
            <w:noWrap w:val="0"/>
            <w:vAlign w:val="center"/>
          </w:tcPr>
          <w:p>
            <w:pPr>
              <w:spacing w:line="360" w:lineRule="auto"/>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XM2026-TZ0106</w:t>
            </w:r>
            <w:r>
              <w:rPr>
                <w:rFonts w:hint="eastAsia" w:ascii="宋体" w:hAnsi="宋体" w:eastAsia="宋体" w:cs="宋体"/>
                <w:color w:val="auto"/>
                <w:sz w:val="24"/>
                <w:szCs w:val="24"/>
                <w:highlight w:val="none"/>
              </w:rPr>
              <w:t xml:space="preserve"> </w:t>
            </w:r>
          </w:p>
        </w:tc>
        <w:tc>
          <w:tcPr>
            <w:tcW w:w="400"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65"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信息化和安防维保服务</w:t>
            </w:r>
          </w:p>
        </w:tc>
        <w:tc>
          <w:tcPr>
            <w:tcW w:w="394"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1项</w:t>
            </w:r>
          </w:p>
        </w:tc>
        <w:tc>
          <w:tcPr>
            <w:tcW w:w="479" w:type="pct"/>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0000元/年</w:t>
            </w:r>
          </w:p>
        </w:tc>
        <w:tc>
          <w:tcPr>
            <w:tcW w:w="971" w:type="pct"/>
            <w:vMerge w:val="restar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拟派不少于</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人现场服务</w:t>
            </w:r>
            <w:r>
              <w:rPr>
                <w:rFonts w:hint="eastAsia" w:ascii="宋体" w:hAnsi="宋体" w:cs="宋体"/>
                <w:color w:val="auto"/>
                <w:kern w:val="0"/>
                <w:sz w:val="24"/>
                <w:szCs w:val="24"/>
                <w:highlight w:val="none"/>
                <w:lang w:bidi="ar"/>
              </w:rPr>
              <w:t>（重要活动、开学初等重要时间节点、要有充足的人力保障，确保及时完成维保工作）</w:t>
            </w:r>
          </w:p>
        </w:tc>
        <w:tc>
          <w:tcPr>
            <w:tcW w:w="822" w:type="pct"/>
            <w:vMerge w:val="restart"/>
            <w:noWrap w:val="0"/>
            <w:vAlign w:val="center"/>
          </w:tcPr>
          <w:p>
            <w:pPr>
              <w:spacing w:line="360" w:lineRule="auto"/>
              <w:ind w:right="171"/>
              <w:jc w:val="center"/>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rPr>
              <w:t>合同期</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年，合同一年一签，经采购人考核合格可再续签一年</w:t>
            </w:r>
          </w:p>
        </w:tc>
        <w:tc>
          <w:tcPr>
            <w:tcW w:w="611" w:type="pct"/>
            <w:vMerge w:val="restart"/>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5" w:hRule="atLeast"/>
        </w:trPr>
        <w:tc>
          <w:tcPr>
            <w:tcW w:w="554" w:type="pct"/>
            <w:vMerge w:val="continue"/>
            <w:noWrap w:val="0"/>
            <w:vAlign w:val="center"/>
          </w:tcPr>
          <w:p>
            <w:pPr>
              <w:spacing w:line="360" w:lineRule="auto"/>
              <w:jc w:val="both"/>
              <w:rPr>
                <w:rFonts w:hint="eastAsia" w:ascii="宋体" w:hAnsi="宋体" w:cs="宋体"/>
                <w:color w:val="auto"/>
                <w:sz w:val="24"/>
                <w:szCs w:val="24"/>
                <w:highlight w:val="none"/>
                <w:lang w:eastAsia="zh-CN"/>
              </w:rPr>
            </w:pPr>
          </w:p>
        </w:tc>
        <w:tc>
          <w:tcPr>
            <w:tcW w:w="400" w:type="pct"/>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765" w:type="pct"/>
            <w:noWrap w:val="0"/>
            <w:vAlign w:val="center"/>
          </w:tcPr>
          <w:p>
            <w:pPr>
              <w:spacing w:line="360" w:lineRule="auto"/>
              <w:jc w:val="center"/>
              <w:rPr>
                <w:rFonts w:hint="eastAsia" w:ascii="宋体" w:hAnsi="宋体" w:eastAsia="宋体" w:cs="宋体"/>
                <w:color w:val="auto"/>
                <w:sz w:val="24"/>
                <w:szCs w:val="24"/>
                <w:highlight w:val="none"/>
              </w:rPr>
            </w:pPr>
            <w:bookmarkStart w:id="60" w:name="_GoBack"/>
            <w:r>
              <w:rPr>
                <w:rFonts w:hint="eastAsia" w:ascii="宋体" w:hAnsi="宋体" w:cs="宋体"/>
                <w:color w:val="auto"/>
                <w:sz w:val="24"/>
                <w:szCs w:val="24"/>
                <w:highlight w:val="none"/>
              </w:rPr>
              <w:t>维保期间涉及到打印机配件、耗材</w:t>
            </w:r>
            <w:bookmarkEnd w:id="60"/>
          </w:p>
        </w:tc>
        <w:tc>
          <w:tcPr>
            <w:tcW w:w="394"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1批</w:t>
            </w:r>
          </w:p>
        </w:tc>
        <w:tc>
          <w:tcPr>
            <w:tcW w:w="479" w:type="pct"/>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100</w:t>
            </w:r>
            <w:r>
              <w:rPr>
                <w:rFonts w:hint="eastAsia" w:ascii="宋体" w:hAnsi="宋体" w:cs="宋体"/>
                <w:color w:val="auto"/>
                <w:sz w:val="24"/>
                <w:szCs w:val="24"/>
                <w:highlight w:val="none"/>
              </w:rPr>
              <w:t>%</w:t>
            </w:r>
          </w:p>
        </w:tc>
        <w:tc>
          <w:tcPr>
            <w:tcW w:w="971" w:type="pct"/>
            <w:vMerge w:val="continue"/>
            <w:noWrap w:val="0"/>
            <w:vAlign w:val="center"/>
          </w:tcPr>
          <w:p>
            <w:pPr>
              <w:spacing w:line="360" w:lineRule="auto"/>
              <w:jc w:val="center"/>
              <w:rPr>
                <w:rFonts w:hint="eastAsia" w:ascii="宋体" w:hAnsi="宋体" w:eastAsia="宋体" w:cs="宋体"/>
                <w:color w:val="auto"/>
                <w:sz w:val="24"/>
                <w:szCs w:val="24"/>
                <w:highlight w:val="none"/>
              </w:rPr>
            </w:pPr>
          </w:p>
        </w:tc>
        <w:tc>
          <w:tcPr>
            <w:tcW w:w="822" w:type="pct"/>
            <w:vMerge w:val="continue"/>
            <w:noWrap w:val="0"/>
            <w:vAlign w:val="center"/>
          </w:tcPr>
          <w:p>
            <w:pPr>
              <w:spacing w:line="360" w:lineRule="auto"/>
              <w:ind w:right="171"/>
              <w:jc w:val="center"/>
              <w:rPr>
                <w:rFonts w:hint="eastAsia" w:ascii="宋体" w:hAnsi="宋体" w:eastAsia="宋体" w:cs="宋体"/>
                <w:color w:val="auto"/>
                <w:sz w:val="24"/>
                <w:szCs w:val="24"/>
                <w:highlight w:val="none"/>
              </w:rPr>
            </w:pPr>
          </w:p>
        </w:tc>
        <w:tc>
          <w:tcPr>
            <w:tcW w:w="611" w:type="pct"/>
            <w:vMerge w:val="continue"/>
            <w:noWrap w:val="0"/>
            <w:vAlign w:val="center"/>
          </w:tcPr>
          <w:p>
            <w:pPr>
              <w:spacing w:line="360" w:lineRule="auto"/>
              <w:ind w:right="171"/>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554"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服务范围</w:t>
            </w:r>
          </w:p>
        </w:tc>
        <w:tc>
          <w:tcPr>
            <w:tcW w:w="4445" w:type="pct"/>
            <w:gridSpan w:val="7"/>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554"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服务要求</w:t>
            </w:r>
          </w:p>
        </w:tc>
        <w:tc>
          <w:tcPr>
            <w:tcW w:w="4445" w:type="pct"/>
            <w:gridSpan w:val="7"/>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554"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服务标准</w:t>
            </w:r>
          </w:p>
        </w:tc>
        <w:tc>
          <w:tcPr>
            <w:tcW w:w="4445" w:type="pct"/>
            <w:gridSpan w:val="7"/>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具体详见第三章</w:t>
            </w:r>
          </w:p>
        </w:tc>
      </w:tr>
    </w:tbl>
    <w:p>
      <w:pPr>
        <w:spacing w:line="360" w:lineRule="auto"/>
        <w:rPr>
          <w:rFonts w:hint="eastAsia" w:ascii="宋体" w:hAnsi="宋体" w:eastAsia="宋体" w:cs="宋体"/>
          <w:b/>
          <w:bCs/>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备注：合同包完整不可分，报价人必须对合同包内所有内容进行完整报价。报价人可按合同包响应，评审与成交以合同包为单位。</w:t>
      </w: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pStyle w:val="2"/>
        <w:rPr>
          <w:rFonts w:hint="eastAsia"/>
          <w:color w:val="auto"/>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pStyle w:val="65"/>
        <w:spacing w:line="360" w:lineRule="auto"/>
        <w:rPr>
          <w:rFonts w:hint="eastAsia" w:hAnsi="宋体" w:eastAsia="宋体" w:cs="宋体"/>
          <w:b/>
          <w:color w:val="auto"/>
          <w:sz w:val="24"/>
          <w:highlight w:val="none"/>
        </w:rPr>
      </w:pPr>
    </w:p>
    <w:p>
      <w:pPr>
        <w:pStyle w:val="65"/>
        <w:spacing w:line="360" w:lineRule="auto"/>
        <w:rPr>
          <w:rFonts w:hint="eastAsia" w:hAnsi="宋体" w:eastAsia="宋体" w:cs="宋体"/>
          <w:b/>
          <w:color w:val="auto"/>
          <w:sz w:val="24"/>
          <w:highlight w:val="none"/>
        </w:rPr>
      </w:pPr>
    </w:p>
    <w:p>
      <w:pPr>
        <w:pStyle w:val="65"/>
        <w:spacing w:line="360" w:lineRule="auto"/>
        <w:rPr>
          <w:rFonts w:hint="eastAsia" w:hAnsi="宋体" w:eastAsia="宋体" w:cs="宋体"/>
          <w:b/>
          <w:color w:val="auto"/>
          <w:sz w:val="24"/>
          <w:highlight w:val="none"/>
        </w:rPr>
      </w:pPr>
    </w:p>
    <w:p>
      <w:pPr>
        <w:pStyle w:val="65"/>
        <w:spacing w:line="360" w:lineRule="auto"/>
        <w:rPr>
          <w:rFonts w:hint="eastAsia" w:hAnsi="宋体" w:eastAsia="宋体" w:cs="宋体"/>
          <w:b/>
          <w:color w:val="auto"/>
          <w:sz w:val="24"/>
          <w:highlight w:val="none"/>
        </w:rPr>
      </w:pPr>
    </w:p>
    <w:p>
      <w:pPr>
        <w:pStyle w:val="65"/>
        <w:spacing w:line="360" w:lineRule="auto"/>
        <w:jc w:val="center"/>
        <w:outlineLvl w:val="0"/>
        <w:rPr>
          <w:rFonts w:hint="eastAsia" w:hAnsi="宋体" w:eastAsia="宋体" w:cs="宋体"/>
          <w:color w:val="auto"/>
          <w:sz w:val="24"/>
          <w:szCs w:val="24"/>
          <w:highlight w:val="none"/>
        </w:rPr>
      </w:pPr>
      <w:bookmarkStart w:id="2" w:name="_Toc16975"/>
      <w:r>
        <w:rPr>
          <w:rFonts w:hint="eastAsia" w:hAnsi="宋体" w:eastAsia="宋体" w:cs="宋体"/>
          <w:b/>
          <w:color w:val="auto"/>
          <w:sz w:val="32"/>
          <w:szCs w:val="32"/>
          <w:highlight w:val="none"/>
        </w:rPr>
        <w:t>第二章  报价人须知</w:t>
      </w:r>
      <w:bookmarkEnd w:id="2"/>
    </w:p>
    <w:p>
      <w:pPr>
        <w:pStyle w:val="65"/>
        <w:spacing w:line="360" w:lineRule="auto"/>
        <w:rPr>
          <w:rFonts w:hint="eastAsia" w:hAnsi="宋体" w:eastAsia="宋体" w:cs="宋体"/>
          <w:color w:val="auto"/>
          <w:highlight w:val="none"/>
        </w:rPr>
      </w:pPr>
    </w:p>
    <w:p>
      <w:pPr>
        <w:pStyle w:val="65"/>
        <w:spacing w:line="360" w:lineRule="auto"/>
        <w:rPr>
          <w:rFonts w:hint="eastAsia" w:hAnsi="宋体" w:eastAsia="宋体" w:cs="宋体"/>
          <w:color w:val="auto"/>
          <w:highlight w:val="none"/>
        </w:rPr>
      </w:pPr>
    </w:p>
    <w:p>
      <w:pPr>
        <w:pStyle w:val="65"/>
        <w:spacing w:line="360" w:lineRule="auto"/>
        <w:rPr>
          <w:rFonts w:hint="eastAsia" w:hAnsi="宋体" w:eastAsia="宋体" w:cs="宋体"/>
          <w:color w:val="auto"/>
          <w:highlight w:val="none"/>
        </w:rPr>
      </w:pPr>
    </w:p>
    <w:tbl>
      <w:tblPr>
        <w:tblStyle w:val="24"/>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《报价人须知》应载明报价人准备报价文件所必须的信息，以及递交报价文件、评审和签订合同等有关规定。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p>
        </w:tc>
      </w:tr>
    </w:tbl>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outlineLvl w:val="9"/>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outlineLvl w:val="1"/>
        <w:rPr>
          <w:rFonts w:hint="eastAsia" w:ascii="宋体" w:hAnsi="宋体" w:eastAsia="宋体" w:cs="宋体"/>
          <w:b/>
          <w:bCs/>
          <w:color w:val="auto"/>
          <w:sz w:val="32"/>
          <w:szCs w:val="32"/>
          <w:highlight w:val="none"/>
        </w:rPr>
      </w:pPr>
      <w:bookmarkStart w:id="3" w:name="_Toc11663"/>
      <w:r>
        <w:rPr>
          <w:rFonts w:hint="eastAsia" w:ascii="宋体" w:hAnsi="宋体" w:eastAsia="宋体" w:cs="宋体"/>
          <w:b/>
          <w:bCs/>
          <w:color w:val="auto"/>
          <w:sz w:val="32"/>
          <w:szCs w:val="32"/>
          <w:highlight w:val="none"/>
        </w:rPr>
        <w:t>报价人须知前附表1</w:t>
      </w:r>
      <w:bookmarkEnd w:id="3"/>
    </w:p>
    <w:p>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本须知前附表的条款号是与《报价人须知》中条款的项号相对应的。如果有矛盾的话，应以本附表为准。 </w:t>
      </w:r>
    </w:p>
    <w:tbl>
      <w:tblPr>
        <w:tblStyle w:val="2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3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55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厦门外国语学校瑞景分校信息化和安防维保服务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cs="宋体"/>
                <w:color w:val="auto"/>
                <w:sz w:val="24"/>
                <w:szCs w:val="24"/>
                <w:highlight w:val="none"/>
                <w:u w:val="single"/>
              </w:rPr>
              <w:t>厦门外国语学校瑞景分校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采购人地址： </w:t>
            </w:r>
            <w:r>
              <w:rPr>
                <w:rFonts w:hint="eastAsia" w:ascii="宋体" w:hAnsi="宋体" w:cs="宋体"/>
                <w:color w:val="auto"/>
                <w:sz w:val="24"/>
                <w:szCs w:val="24"/>
                <w:highlight w:val="none"/>
                <w:u w:val="single"/>
              </w:rPr>
              <w:t>厦门市思明区莲前东路2号</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r>
              <w:rPr>
                <w:rFonts w:hint="eastAsia" w:ascii="宋体" w:hAnsi="宋体" w:eastAsia="宋体" w:cs="宋体"/>
                <w:color w:val="auto"/>
                <w:sz w:val="24"/>
                <w:szCs w:val="24"/>
                <w:highlight w:val="none"/>
                <w:u w:val="single"/>
              </w:rPr>
              <w:t>厦门外国语学校瑞景分校信息化和安防维保服务</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u w:val="single"/>
                <w:lang w:eastAsia="zh-CN"/>
              </w:rPr>
              <w:t>XM2026-TZ0106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是否允许中国境外报价人参加本采购项目：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w:t>
            </w:r>
            <w:r>
              <w:rPr>
                <w:rFonts w:hint="eastAsia" w:ascii="宋体" w:hAnsi="宋体" w:cs="宋体"/>
                <w:color w:val="auto"/>
                <w:sz w:val="24"/>
                <w:szCs w:val="24"/>
                <w:highlight w:val="none"/>
                <w:lang w:eastAsia="zh-CN"/>
              </w:rPr>
              <w:t>报价人须知</w:t>
            </w:r>
            <w:r>
              <w:rPr>
                <w:rFonts w:hint="eastAsia" w:ascii="宋体" w:hAnsi="宋体" w:eastAsia="宋体" w:cs="宋体"/>
                <w:color w:val="auto"/>
                <w:sz w:val="24"/>
                <w:szCs w:val="24"/>
                <w:highlight w:val="none"/>
              </w:rPr>
              <w:t>》第3条，以及第三章《</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color w:val="auto"/>
                <w:sz w:val="24"/>
                <w:szCs w:val="24"/>
                <w:highlight w:val="none"/>
                <w:u w:val="single"/>
              </w:rPr>
              <w:t>厦门市湖里区机场北路476号四楼开标厅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val="en-US" w:eastAsia="zh-CN"/>
              </w:rPr>
              <w:t>田小姐</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报价文件提交截止时间：详见磋商邀请。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磋商保证金：报价文件应附有人民币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的磋商保证金，磋商保证金以转账、电汇两种形式提交（不收取现金、现金支票，不能用个人卡在银联支付系统转账，否则作未提交磋商保证金处理）。磋商保证金必须在报价文件提交截止时间前到账，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磋商规则、评审标准：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标准及收取方式：</w:t>
            </w:r>
            <w:r>
              <w:rPr>
                <w:rFonts w:hint="eastAsia" w:ascii="宋体" w:hAnsi="宋体" w:cs="宋体"/>
                <w:color w:val="auto"/>
                <w:sz w:val="24"/>
                <w:szCs w:val="24"/>
                <w:highlight w:val="none"/>
                <w:lang w:val="en-US" w:eastAsia="zh-CN"/>
              </w:rPr>
              <w:t>定额收取3000元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由成交供应商支付。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2、成交供应商以转账或汇款方式提交。</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3、成交供应商为中小企业的，其</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服务收费标准下浮10%进行支付。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(为方便</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的核对，请在银行汇款凭证上标注项目标号如 ：</w:t>
            </w:r>
            <w:r>
              <w:rPr>
                <w:rFonts w:hint="eastAsia" w:ascii="宋体" w:hAnsi="宋体" w:eastAsia="宋体" w:cs="宋体"/>
                <w:color w:val="auto"/>
                <w:sz w:val="24"/>
                <w:szCs w:val="24"/>
                <w:highlight w:val="none"/>
                <w:u w:val="single"/>
              </w:rPr>
              <w:t>___（项目名称、项目编号）</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tc>
      </w:tr>
    </w:tbl>
    <w:p>
      <w:pPr>
        <w:spacing w:line="360" w:lineRule="auto"/>
        <w:jc w:val="center"/>
        <w:outlineLvl w:val="1"/>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24"/>
          <w:szCs w:val="24"/>
          <w:highlight w:val="none"/>
        </w:rPr>
        <w:br w:type="page"/>
      </w:r>
      <w:bookmarkStart w:id="4" w:name="_Toc4371"/>
      <w:r>
        <w:rPr>
          <w:rFonts w:hint="eastAsia" w:ascii="宋体" w:hAnsi="宋体" w:eastAsia="宋体" w:cs="宋体"/>
          <w:b/>
          <w:bCs/>
          <w:color w:val="auto"/>
          <w:sz w:val="32"/>
          <w:szCs w:val="32"/>
          <w:highlight w:val="none"/>
          <w:u w:val="single"/>
        </w:rPr>
        <w:t>报价人须知前附表2</w:t>
      </w:r>
      <w:r>
        <w:rPr>
          <w:rFonts w:hint="eastAsia" w:ascii="宋体" w:hAnsi="宋体" w:cs="宋体"/>
          <w:b/>
          <w:bCs/>
          <w:color w:val="auto"/>
          <w:sz w:val="32"/>
          <w:szCs w:val="32"/>
          <w:highlight w:val="none"/>
          <w:u w:val="single"/>
          <w:lang w:eastAsia="zh-CN"/>
        </w:rPr>
        <w:t>：</w:t>
      </w:r>
      <w:r>
        <w:rPr>
          <w:rFonts w:hint="eastAsia" w:ascii="宋体" w:hAnsi="宋体" w:eastAsia="宋体" w:cs="宋体"/>
          <w:b/>
          <w:bCs/>
          <w:color w:val="auto"/>
          <w:sz w:val="32"/>
          <w:szCs w:val="32"/>
          <w:highlight w:val="none"/>
          <w:u w:val="single"/>
        </w:rPr>
        <w:t>资格性、符合性检查表</w:t>
      </w:r>
      <w:bookmarkEnd w:id="4"/>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本须知前附表2集中列示了资格性、符合性检查的所有条款，其内容是磋商小组判断报价人的报价是否有效的重要依据。</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11"/>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凡有能力提供本采购文件所服务的，符合本采购文件规定资格要求的报价人均可能成为合格的报价人。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（2）报价人已提供加载有统一社会信用代码营业执照的，视为已提供税务登记证和组织机构代码证。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（3）按要求提供福建省</w:t>
            </w:r>
            <w:r>
              <w:rPr>
                <w:rFonts w:hint="eastAsia" w:ascii="宋体" w:hAnsi="宋体" w:eastAsia="宋体" w:cs="宋体"/>
                <w:color w:val="auto"/>
                <w:sz w:val="24"/>
                <w:szCs w:val="24"/>
                <w:highlight w:val="none"/>
              </w:rPr>
              <w:t>政府采购供应商资格承诺函</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3.5若接受联合体磋商，则两个或者两个以上报价人可以组成一个响应联合体，以一个报价人的身份响应。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3.6磋商代理人在同一个项目中只能接受一个报价人的委托参加磋商响应。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（1）报价人之间协商磋商报价等采购文件的实质性内容；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（3）报价人之间约定部分报价人放弃磋商响应或者成交；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（4）属于同一集团、协会、商会等组织成员的报价人按照该组织要求协同磋商响应；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（7）不同报价人委托同一单位或者个人办理磋商响应事宜；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（11）不同报价人的磋商保证金从同一单位或者个人的账户转出。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tabs>
                <w:tab w:val="left" w:pos="63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信用记录按照下列规定执行：信用记录的查询及审查：①由评审专家评审当日通过“信用中国”网站（www.creditchina.gov.cn）、中国政府采购网（www.ccgp.gov.cn）、</w:t>
            </w:r>
            <w:r>
              <w:rPr>
                <w:rFonts w:hint="eastAsia" w:ascii="宋体" w:hAnsi="宋体" w:cs="宋体"/>
                <w:color w:val="auto"/>
                <w:sz w:val="24"/>
                <w:szCs w:val="24"/>
                <w:highlight w:val="none"/>
                <w:lang w:eastAsia="zh-CN"/>
              </w:rPr>
              <w:t>信用中国(福建厦门)（credit.xm.gov.cn）</w:t>
            </w:r>
            <w:r>
              <w:rPr>
                <w:rFonts w:hint="eastAsia" w:ascii="宋体" w:hAnsi="宋体" w:eastAsia="宋体" w:cs="宋体"/>
                <w:color w:val="auto"/>
                <w:sz w:val="24"/>
                <w:szCs w:val="24"/>
                <w:highlight w:val="none"/>
              </w:rPr>
              <w:t>查询并打印报价人信用记录（以下简称：“评审专家的查询结果”）。②</w:t>
            </w:r>
            <w:r>
              <w:rPr>
                <w:rFonts w:hint="eastAsia" w:ascii="宋体" w:hAnsi="宋体" w:eastAsia="宋体" w:cs="宋体"/>
                <w:color w:val="auto"/>
                <w:spacing w:val="0"/>
                <w:kern w:val="2"/>
                <w:sz w:val="24"/>
                <w:szCs w:val="24"/>
                <w:highlight w:val="none"/>
                <w:lang w:val="en-US" w:eastAsia="zh-CN"/>
              </w:rPr>
              <w:t>经查询，报价人</w:t>
            </w:r>
            <w:r>
              <w:rPr>
                <w:rFonts w:hint="eastAsia" w:ascii="宋体" w:hAnsi="宋体" w:eastAsia="宋体" w:cs="宋体"/>
                <w:color w:val="auto"/>
                <w:sz w:val="24"/>
                <w:szCs w:val="24"/>
                <w:highlight w:val="none"/>
              </w:rPr>
              <w:t>（包括联合体各方，联合体成员存在不良记录的，视同联合体存在不良信用记录，认定联合体资格审查不合格）</w:t>
            </w:r>
            <w:r>
              <w:rPr>
                <w:rFonts w:hint="eastAsia" w:ascii="宋体" w:hAnsi="宋体" w:eastAsia="宋体" w:cs="宋体"/>
                <w:color w:val="auto"/>
                <w:spacing w:val="0"/>
                <w:kern w:val="2"/>
                <w:sz w:val="24"/>
                <w:szCs w:val="24"/>
                <w:highlight w:val="none"/>
                <w:lang w:val="en-US" w:eastAsia="zh-CN"/>
              </w:rPr>
              <w:t>参加本项目采购活动(报价截止时间)前三年内被列入失信被执行人名单、重大税收违法案件当事人名单、政府采购严重违法失信行为记录名单及其他重大违法记录且相关信用惩戒期限未满的，其资格审查不合格</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ind w:firstLine="472" w:firstLineChars="196"/>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.1</w:t>
            </w:r>
            <w:r>
              <w:rPr>
                <w:rFonts w:hint="eastAsia" w:ascii="宋体" w:hAnsi="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4"/>
              <w:spacing w:before="0" w:after="0" w:line="360" w:lineRule="auto"/>
              <w:ind w:firstLine="482" w:firstLineChars="200"/>
              <w:rPr>
                <w:rFonts w:hint="eastAsia" w:ascii="宋体" w:hAnsi="宋体" w:eastAsia="宋体" w:cs="宋体"/>
                <w:b/>
                <w:color w:val="auto"/>
                <w:sz w:val="24"/>
                <w:szCs w:val="24"/>
                <w:highlight w:val="none"/>
              </w:rPr>
            </w:pPr>
            <w:bookmarkStart w:id="5" w:name="_Toc16428"/>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bCs w:val="0"/>
                <w:color w:val="auto"/>
                <w:sz w:val="24"/>
                <w:szCs w:val="24"/>
                <w:highlight w:val="none"/>
              </w:rPr>
              <w:t>报价人全权代表若不是单位负责人，应提供单位授权书原件，并提供被授权代表身份证复印件。</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报价人的报价文件未按规定的响应截止时间之前提交的，其响应将被拒绝。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11"/>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pPr>
              <w:pStyle w:val="11"/>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11"/>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12.5 未按要求提交磋商保证金的磋商响应，将被视为无效响应。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7"/>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13.7未按本须知规定的格式填写报价文件、报价文件字迹模糊不清的，其磋商响应将被拒绝。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7"/>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14.1 报价人应将报价文件正本和副本分别用信封密封，并标明采购文件编号、报价人名称、采购项目名称及“正本”或“副本”。报价文件未密封可导致其磋商被拒绝。</w:t>
            </w:r>
          </w:p>
          <w:p>
            <w:pPr>
              <w:pStyle w:val="67"/>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14.5报价文件应在磋商邀请中规定的截止时间前送达，迟到的报价文件为无效报价文件，将被拒绝。</w:t>
            </w:r>
          </w:p>
          <w:p>
            <w:pPr>
              <w:pStyle w:val="67"/>
              <w:spacing w:line="360" w:lineRule="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w:t>
            </w:r>
            <w:bookmarkStart w:id="6" w:name="_Toc2465"/>
            <w:r>
              <w:rPr>
                <w:rFonts w:hint="eastAsia" w:hAnsi="宋体" w:eastAsia="宋体" w:cs="宋体"/>
                <w:color w:val="auto"/>
                <w:sz w:val="24"/>
                <w:szCs w:val="24"/>
                <w:highlight w:val="none"/>
                <w:lang w:val="en-US" w:eastAsia="zh-CN"/>
              </w:rPr>
              <w:t>14.7报价人在磋商响应截止期后不得修改、撤回报价文件。报价人在报价截止期后修改报价文件的，其磋商响应将被拒绝。</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11"/>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17.报价文件的初审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报价人任何试图影响磋商小组对报价文件的评审、比较或者推荐候选人的行为，都将导致其磋商响应被拒绝，并被没收磋商保证金。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如果报价人不接受按上述方法对报价文件中的算术错误进行更正，其响应将被拒绝并没收其磋商保证金。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(1)未按规定由报价人的法定代表人或其授权代表签字；或未加盖报价人公章的；或签字人未提供单位有效授权委托书的；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(2)未按规定提交磋商保证金的；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(3)磋商响应有效期不满足采购文件要求的；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磋商小组决定报价的响应性只根据报价文件本身的内容，而不寻求其他的外部证据。</w:t>
            </w:r>
          </w:p>
          <w:p>
            <w:pPr>
              <w:pStyle w:val="11"/>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pPr>
              <w:pStyle w:val="6"/>
              <w:snapToGrid w:val="0"/>
              <w:spacing w:line="360" w:lineRule="auto"/>
              <w:ind w:firstLine="480" w:firstLineChars="200"/>
              <w:outlineLvl w:val="0"/>
              <w:rPr>
                <w:rFonts w:hint="eastAsia" w:eastAsia="宋体" w:cs="宋体"/>
                <w:color w:val="auto"/>
                <w:sz w:val="24"/>
                <w:szCs w:val="24"/>
                <w:highlight w:val="none"/>
                <w:lang w:val="en-US" w:eastAsia="zh-CN"/>
              </w:rPr>
            </w:pPr>
            <w:bookmarkStart w:id="7" w:name="_Toc15858"/>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11"/>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tabs>
                <w:tab w:val="left" w:pos="214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报价人应按照采购文件格式要求在</w:t>
            </w:r>
            <w:r>
              <w:rPr>
                <w:rFonts w:hint="eastAsia" w:ascii="宋体" w:hAnsi="宋体" w:eastAsia="宋体" w:cs="宋体"/>
                <w:color w:val="auto"/>
                <w:sz w:val="24"/>
                <w:szCs w:val="24"/>
                <w:highlight w:val="none"/>
              </w:rPr>
              <w:t>报价文件</w:t>
            </w:r>
            <w:r>
              <w:rPr>
                <w:rFonts w:hint="eastAsia" w:ascii="宋体" w:hAnsi="宋体" w:eastAsia="宋体" w:cs="宋体"/>
                <w:bCs/>
                <w:color w:val="auto"/>
                <w:sz w:val="24"/>
                <w:szCs w:val="24"/>
                <w:highlight w:val="none"/>
              </w:rPr>
              <w:t>中提供《廉洁承诺书》原件（报价人为联合体的，联合体各方均应提供《廉洁承诺书》原件），否则作无效报价处理。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成交供应商必须凭成交通知书的原件与采购人签订《政府采购合同》。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0" w:firstLine="0" w:firstLineChars="0"/>
        <w:rPr>
          <w:rStyle w:val="26"/>
          <w:rFonts w:hint="eastAsia" w:ascii="宋体" w:hAnsi="宋体" w:eastAsia="宋体" w:cs="宋体"/>
          <w:bCs w:val="0"/>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both"/>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带 “*”条款汇总表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57"/>
        <w:gridCol w:w="992"/>
        <w:gridCol w:w="6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noWrap w:val="0"/>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 xml:space="preserve">对于采购文件中的重要技术条款（带*技术条款），报价人应在报价文件中提供其磋商服务满足采购文件重要技术条款要求的客观证据材料。未按要求提供证据材料的，磋商小组将认定不满足该项要求。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项号</w:t>
            </w:r>
          </w:p>
        </w:tc>
        <w:tc>
          <w:tcPr>
            <w:tcW w:w="457"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章</w:t>
            </w:r>
          </w:p>
        </w:tc>
        <w:tc>
          <w:tcPr>
            <w:tcW w:w="992"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546"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457"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992"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6546" w:type="dxa"/>
            <w:noWrap w:val="0"/>
            <w:vAlign w:val="top"/>
          </w:tcPr>
          <w:p>
            <w:pPr>
              <w:widowControl/>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.4本项目</w:t>
            </w:r>
            <w:r>
              <w:rPr>
                <w:rFonts w:hint="eastAsia" w:ascii="宋体" w:hAnsi="宋体" w:cs="宋体"/>
                <w:b/>
                <w:bCs/>
                <w:color w:val="auto"/>
                <w:sz w:val="24"/>
                <w:szCs w:val="24"/>
                <w:highlight w:val="none"/>
                <w:lang w:val="en-US" w:eastAsia="zh-CN"/>
              </w:rPr>
              <w:t>品目1-1</w:t>
            </w:r>
            <w:r>
              <w:rPr>
                <w:rFonts w:hint="eastAsia" w:ascii="宋体" w:hAnsi="宋体" w:cs="宋体"/>
                <w:b/>
                <w:bCs/>
                <w:color w:val="auto"/>
                <w:sz w:val="24"/>
                <w:szCs w:val="24"/>
                <w:highlight w:val="none"/>
              </w:rPr>
              <w:t>的采购</w:t>
            </w:r>
            <w:r>
              <w:rPr>
                <w:rFonts w:hint="eastAsia" w:ascii="宋体" w:hAnsi="宋体" w:cs="宋体"/>
                <w:b/>
                <w:bCs/>
                <w:color w:val="auto"/>
                <w:sz w:val="24"/>
                <w:szCs w:val="24"/>
                <w:highlight w:val="none"/>
                <w:lang w:val="en-US" w:eastAsia="zh-CN"/>
              </w:rPr>
              <w:t>总</w:t>
            </w:r>
            <w:r>
              <w:rPr>
                <w:rFonts w:hint="eastAsia" w:ascii="宋体" w:hAnsi="宋体" w:cs="宋体"/>
                <w:b/>
                <w:bCs/>
                <w:color w:val="auto"/>
                <w:sz w:val="24"/>
                <w:szCs w:val="24"/>
                <w:highlight w:val="none"/>
              </w:rPr>
              <w:t>预算为人民币</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万元，采购</w:t>
            </w:r>
            <w:r>
              <w:rPr>
                <w:rFonts w:hint="eastAsia" w:ascii="宋体" w:hAnsi="宋体" w:cs="宋体"/>
                <w:b/>
                <w:bCs/>
                <w:color w:val="auto"/>
                <w:sz w:val="24"/>
                <w:szCs w:val="24"/>
                <w:highlight w:val="none"/>
                <w:lang w:val="en-US" w:eastAsia="zh-CN"/>
              </w:rPr>
              <w:t>总</w:t>
            </w:r>
            <w:r>
              <w:rPr>
                <w:rFonts w:hint="eastAsia" w:ascii="宋体" w:hAnsi="宋体" w:cs="宋体"/>
                <w:b/>
                <w:bCs/>
                <w:color w:val="auto"/>
                <w:sz w:val="24"/>
                <w:szCs w:val="24"/>
                <w:highlight w:val="none"/>
              </w:rPr>
              <w:t>预算为供应商任一轮报价（包括但不限于响应文件中的报价以及供应商提交的最后报价）的最高限价，供应商任一轮报价超过采购</w:t>
            </w:r>
            <w:r>
              <w:rPr>
                <w:rFonts w:hint="eastAsia" w:ascii="宋体" w:hAnsi="宋体" w:cs="宋体"/>
                <w:b/>
                <w:bCs/>
                <w:color w:val="auto"/>
                <w:sz w:val="24"/>
                <w:szCs w:val="24"/>
                <w:highlight w:val="none"/>
                <w:lang w:val="en-US" w:eastAsia="zh-CN"/>
              </w:rPr>
              <w:t>总</w:t>
            </w:r>
            <w:r>
              <w:rPr>
                <w:rFonts w:hint="eastAsia" w:ascii="宋体" w:hAnsi="宋体" w:cs="宋体"/>
                <w:b/>
                <w:bCs/>
                <w:color w:val="auto"/>
                <w:sz w:val="24"/>
                <w:szCs w:val="24"/>
                <w:highlight w:val="none"/>
              </w:rPr>
              <w:t>预算的，其响应文件将被否决。</w:t>
            </w:r>
            <w:r>
              <w:rPr>
                <w:rFonts w:hint="eastAsia" w:ascii="宋体" w:hAnsi="宋体" w:cs="宋体"/>
                <w:b/>
                <w:bCs/>
                <w:color w:val="auto"/>
                <w:sz w:val="24"/>
                <w:szCs w:val="24"/>
                <w:highlight w:val="none"/>
                <w:lang w:val="en-US" w:eastAsia="zh-CN"/>
              </w:rPr>
              <w:t>品目1-2由</w:t>
            </w:r>
            <w:r>
              <w:rPr>
                <w:rFonts w:hint="eastAsia" w:ascii="宋体" w:hAnsi="宋体" w:eastAsia="宋体" w:cs="宋体"/>
                <w:b/>
                <w:bCs/>
                <w:color w:val="auto"/>
                <w:kern w:val="2"/>
                <w:sz w:val="24"/>
                <w:szCs w:val="24"/>
                <w:highlight w:val="none"/>
                <w:lang w:val="en-US" w:eastAsia="zh-CN" w:bidi="ar-SA"/>
              </w:rPr>
              <w:t>报价人按统一的折扣率进行报价</w:t>
            </w:r>
            <w:r>
              <w:rPr>
                <w:rFonts w:hint="eastAsia" w:ascii="宋体" w:hAnsi="宋体" w:cs="宋体"/>
                <w:b/>
                <w:bCs/>
                <w:color w:val="auto"/>
                <w:kern w:val="2"/>
                <w:sz w:val="24"/>
                <w:szCs w:val="24"/>
                <w:highlight w:val="none"/>
                <w:lang w:val="en-US" w:eastAsia="zh-CN" w:bidi="ar-SA"/>
              </w:rPr>
              <w:t>，</w:t>
            </w:r>
            <w:r>
              <w:rPr>
                <w:rFonts w:hint="eastAsia" w:ascii="宋体" w:hAnsi="宋体"/>
                <w:b/>
                <w:color w:val="auto"/>
                <w:sz w:val="24"/>
                <w:highlight w:val="none"/>
              </w:rPr>
              <w:t>报价折扣不得高于100%，否则作无效报价处理</w:t>
            </w:r>
            <w:r>
              <w:rPr>
                <w:rFonts w:hint="eastAsia" w:cs="宋体"/>
                <w:b/>
                <w:bCs/>
                <w:color w:val="auto"/>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57" w:type="dxa"/>
            <w:noWrap w:val="0"/>
            <w:vAlign w:val="top"/>
          </w:tcPr>
          <w:p>
            <w:pPr>
              <w:spacing w:line="360" w:lineRule="auto"/>
              <w:jc w:val="center"/>
              <w:rPr>
                <w:rFonts w:hint="eastAsia" w:ascii="宋体" w:hAnsi="宋体" w:eastAsia="宋体" w:cs="宋体"/>
                <w:color w:val="auto"/>
                <w:sz w:val="24"/>
                <w:szCs w:val="24"/>
                <w:highlight w:val="none"/>
              </w:rPr>
            </w:pPr>
          </w:p>
        </w:tc>
        <w:tc>
          <w:tcPr>
            <w:tcW w:w="992" w:type="dxa"/>
            <w:noWrap w:val="0"/>
            <w:vAlign w:val="top"/>
          </w:tcPr>
          <w:p>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pPr>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10</w:t>
            </w:r>
            <w:r>
              <w:rPr>
                <w:rFonts w:hint="eastAsia" w:ascii="宋体" w:hAnsi="宋体" w:cs="宋体"/>
                <w:b/>
                <w:bCs/>
                <w:color w:val="auto"/>
                <w:sz w:val="24"/>
                <w:szCs w:val="24"/>
                <w:highlight w:val="none"/>
              </w:rPr>
              <w:t>.1</w:t>
            </w:r>
            <w:r>
              <w:rPr>
                <w:rFonts w:hint="eastAsia" w:ascii="宋体" w:hAnsi="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457" w:type="dxa"/>
            <w:noWrap w:val="0"/>
            <w:vAlign w:val="top"/>
          </w:tcPr>
          <w:p>
            <w:pPr>
              <w:spacing w:line="360" w:lineRule="auto"/>
              <w:jc w:val="center"/>
              <w:rPr>
                <w:rFonts w:hint="eastAsia" w:ascii="宋体" w:hAnsi="宋体" w:eastAsia="宋体" w:cs="宋体"/>
                <w:color w:val="auto"/>
                <w:sz w:val="24"/>
                <w:szCs w:val="24"/>
                <w:highlight w:val="none"/>
              </w:rPr>
            </w:pPr>
          </w:p>
        </w:tc>
        <w:tc>
          <w:tcPr>
            <w:tcW w:w="992" w:type="dxa"/>
            <w:noWrap w:val="0"/>
            <w:vAlign w:val="top"/>
          </w:tcPr>
          <w:p>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.2报价人全权代表若不是单位负责人，应提供单位授权书原件，并提供被授权代表身份证复印件。</w:t>
            </w:r>
          </w:p>
        </w:tc>
      </w:tr>
    </w:tbl>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both"/>
        <w:rPr>
          <w:rFonts w:hint="eastAsia" w:ascii="宋体" w:hAnsi="宋体" w:eastAsia="宋体" w:cs="宋体"/>
          <w:b/>
          <w:color w:val="auto"/>
          <w:sz w:val="32"/>
          <w:szCs w:val="32"/>
          <w:highlight w:val="none"/>
          <w:u w:val="single"/>
        </w:rPr>
        <w:sectPr>
          <w:headerReference r:id="rId6" w:type="default"/>
          <w:footerReference r:id="rId7" w:type="default"/>
          <w:pgSz w:w="11906" w:h="16838"/>
          <w:pgMar w:top="1440" w:right="1797" w:bottom="1440" w:left="1797" w:header="851" w:footer="992" w:gutter="0"/>
          <w:cols w:space="720" w:num="1"/>
          <w:docGrid w:linePitch="312" w:charSpace="0"/>
        </w:sectPr>
      </w:pPr>
    </w:p>
    <w:p>
      <w:pPr>
        <w:spacing w:line="360" w:lineRule="auto"/>
        <w:jc w:val="center"/>
        <w:outlineLvl w:val="1"/>
        <w:rPr>
          <w:rFonts w:hint="eastAsia" w:ascii="宋体" w:hAnsi="宋体" w:eastAsia="宋体" w:cs="宋体"/>
          <w:b/>
          <w:color w:val="auto"/>
          <w:sz w:val="24"/>
          <w:szCs w:val="24"/>
          <w:highlight w:val="none"/>
          <w:u w:val="single"/>
        </w:rPr>
      </w:pPr>
      <w:bookmarkStart w:id="8" w:name="_Toc28706"/>
      <w:r>
        <w:rPr>
          <w:rFonts w:hint="eastAsia" w:ascii="宋体" w:hAnsi="宋体" w:eastAsia="宋体" w:cs="宋体"/>
          <w:b/>
          <w:color w:val="auto"/>
          <w:sz w:val="32"/>
          <w:szCs w:val="32"/>
          <w:highlight w:val="none"/>
          <w:u w:val="single"/>
        </w:rPr>
        <w:t>报价人须知前附表3：磋商规则、评审标准</w:t>
      </w:r>
      <w:bookmarkEnd w:id="8"/>
    </w:p>
    <w:tbl>
      <w:tblPr>
        <w:tblStyle w:val="2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pPr>
              <w:spacing w:line="360" w:lineRule="auto"/>
              <w:outlineLvl w:val="0"/>
              <w:rPr>
                <w:rFonts w:hint="eastAsia" w:ascii="宋体" w:hAnsi="宋体" w:eastAsia="宋体" w:cs="宋体"/>
                <w:b/>
                <w:bCs/>
                <w:color w:val="auto"/>
                <w:sz w:val="24"/>
                <w:szCs w:val="24"/>
                <w:highlight w:val="none"/>
                <w:lang w:eastAsia="zh-CN"/>
              </w:rPr>
            </w:pPr>
            <w:bookmarkStart w:id="9" w:name="_Toc10389"/>
            <w:r>
              <w:rPr>
                <w:rFonts w:hint="eastAsia" w:ascii="宋体" w:hAnsi="宋体" w:eastAsia="宋体" w:cs="宋体"/>
                <w:b/>
                <w:bCs/>
                <w:color w:val="auto"/>
                <w:sz w:val="24"/>
                <w:szCs w:val="24"/>
                <w:highlight w:val="none"/>
              </w:rPr>
              <w:t>一、磋商规则</w:t>
            </w:r>
            <w:r>
              <w:rPr>
                <w:rFonts w:hint="eastAsia" w:ascii="宋体" w:hAnsi="宋体" w:cs="宋体"/>
                <w:b/>
                <w:bCs/>
                <w:color w:val="auto"/>
                <w:sz w:val="24"/>
                <w:szCs w:val="24"/>
                <w:highlight w:val="none"/>
                <w:lang w:eastAsia="zh-CN"/>
              </w:rPr>
              <w:t>：</w:t>
            </w:r>
            <w:bookmarkEnd w:id="9"/>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1.采购代理机构按有关规定编制采购文件，组建磋商小组。报价人按照采购文件规定提交报价文件。</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磋商小组所有成员应当集中与单一报价人分别进行磋商，磋商顺序采用随机抽取的方法确认。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4.磋商小组对采购文件和报价文件提出重点的磋商内容，根据采购文件及有关规定，磋商小组与进入磋商程序的报价人进行一轮或多轮磋商。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5.每轮磋商结束前由磋商小组决定是否需要进行下一轮磋商，如需要进行下一轮磋商，采购代理机构提前告知报价人下一轮磋商时间。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6.在磋商过程中，磋商小组可以根据采购文件明确规定的可能实质性变动内容变动采购文件；有实质性变动的，磋商小组应当以书面形式通知所有参加磋商的报价人。</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8.报价人递交的报价文件澄清、更正等文件、最终报价应予密封并交至采购代理机构指定人员，报价部分单独密封。采购代理机构工作人员在收齐全部报价人材料后，统一送达磋商小组。</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9.经磋商确定最终采购需求和提交最后报价的报价人后，由磋商小组采用综合评分法对提交最后报价的报价人的报价文件和最后报价进行综合评分。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10.参加磋商并代表报价人签署报价文件的应该是采购文件要求的报价人代表，磋商时应出示身份证原件。</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11.在磋商活动中，有关人员不得透露与磋商有关的一切技术资料、价格和其它信息给其他报价人。</w:t>
            </w:r>
          </w:p>
          <w:p>
            <w:pPr>
              <w:spacing w:line="360" w:lineRule="auto"/>
              <w:ind w:left="55" w:leftChars="26" w:right="-120" w:rightChars="-57"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确定候选供应商原则</w:t>
            </w:r>
            <w:r>
              <w:rPr>
                <w:rFonts w:hint="eastAsia" w:ascii="宋体" w:hAnsi="宋体" w:eastAsia="宋体" w:cs="宋体"/>
                <w:color w:val="auto"/>
                <w:sz w:val="24"/>
                <w:szCs w:val="24"/>
                <w:highlight w:val="none"/>
              </w:rPr>
              <w:t>：</w:t>
            </w:r>
          </w:p>
          <w:p>
            <w:pPr>
              <w:spacing w:line="360" w:lineRule="auto"/>
              <w:ind w:left="55" w:leftChars="26" w:right="-50" w:rightChars="-2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A.磋商小组采用综合评分的方法确定成交候选供应商，磋商小组按照：综合评分由高到低的顺序</w:t>
            </w:r>
            <w:r>
              <w:rPr>
                <w:rFonts w:hint="eastAsia" w:ascii="宋体" w:hAnsi="宋体" w:eastAsia="宋体" w:cs="宋体"/>
                <w:color w:val="auto"/>
                <w:sz w:val="24"/>
                <w:szCs w:val="24"/>
                <w:highlight w:val="none"/>
                <w:lang w:val="en-US" w:eastAsia="zh-CN"/>
              </w:rPr>
              <w:t>推荐</w:t>
            </w:r>
            <w:r>
              <w:rPr>
                <w:rFonts w:hint="eastAsia" w:ascii="宋体" w:hAnsi="宋体" w:eastAsia="宋体" w:cs="宋体"/>
                <w:color w:val="auto"/>
                <w:sz w:val="24"/>
                <w:szCs w:val="24"/>
                <w:highlight w:val="none"/>
              </w:rPr>
              <w:t>成交候选供应商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 xml:space="preserve">综合得分相同的，按照最后报价由低到高的顺序排列；综合得分相同且报价相同的，按技术得分顺序排列。综合得分相同且报价相同且技术得分相同的，由磋商小组投票表决。 </w:t>
            </w:r>
          </w:p>
          <w:p>
            <w:pPr>
              <w:spacing w:line="360" w:lineRule="auto"/>
              <w:ind w:left="55" w:leftChars="26"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成交候选供应商的数量≥3个；</w:t>
            </w:r>
          </w:p>
          <w:p>
            <w:pPr>
              <w:spacing w:line="360" w:lineRule="auto"/>
              <w:ind w:left="55" w:leftChars="26" w:right="-120" w:rightChars="-57"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C</w:t>
            </w:r>
            <w:r>
              <w:rPr>
                <w:rFonts w:hint="eastAsia" w:ascii="宋体" w:hAnsi="宋体" w:eastAsia="宋体" w:cs="宋体"/>
                <w:color w:val="auto"/>
                <w:sz w:val="24"/>
                <w:szCs w:val="24"/>
                <w:highlight w:val="none"/>
              </w:rPr>
              <w:t>. （</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否）属于市场竞争不充分的科研项目以及需要扶持的科技成果转化项目，成交候选供应商可以为2家；</w:t>
            </w:r>
          </w:p>
          <w:p>
            <w:pPr>
              <w:spacing w:line="360" w:lineRule="auto"/>
              <w:ind w:left="55" w:leftChars="26" w:right="-50" w:rightChars="-24"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D</w:t>
            </w:r>
            <w:r>
              <w:rPr>
                <w:rFonts w:hint="eastAsia" w:ascii="宋体" w:hAnsi="宋体" w:eastAsia="宋体" w:cs="宋体"/>
                <w:color w:val="auto"/>
                <w:sz w:val="24"/>
                <w:szCs w:val="24"/>
                <w:highlight w:val="none"/>
              </w:rPr>
              <w:t xml:space="preserve">.采用竞争性磋商采购方式的政府购买服务项目，在采购过程中符合要求的报价人只有2家的，竞争性磋商采购活动可以继续进行。采购过程中符合要求的报价人只有1家的，应当终止竞争性采购活动，发布终止公告并说明原因，重新开展采购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pPr>
              <w:tabs>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二、磋商可能实质性变动的内容：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1.采购需求技术内容</w:t>
            </w:r>
            <w:r>
              <w:rPr>
                <w:rFonts w:hint="eastAsia" w:ascii="宋体" w:hAnsi="宋体" w:eastAsia="宋体" w:cs="宋体"/>
                <w:color w:val="auto"/>
                <w:sz w:val="24"/>
                <w:szCs w:val="24"/>
                <w:highlight w:val="none"/>
                <w:u w:val="single"/>
              </w:rPr>
              <w:t xml:space="preserve">：   无         </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2.采购需求服务内容</w:t>
            </w:r>
            <w:r>
              <w:rPr>
                <w:rFonts w:hint="eastAsia" w:ascii="宋体" w:hAnsi="宋体" w:eastAsia="宋体" w:cs="宋体"/>
                <w:color w:val="auto"/>
                <w:sz w:val="24"/>
                <w:szCs w:val="24"/>
                <w:highlight w:val="none"/>
                <w:u w:val="single"/>
              </w:rPr>
              <w:t xml:space="preserve">：   无         </w:t>
            </w:r>
          </w:p>
          <w:p>
            <w:pPr>
              <w:tabs>
                <w:tab w:val="left" w:pos="-5801"/>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 合同草案条款</w:t>
            </w:r>
            <w:r>
              <w:rPr>
                <w:rFonts w:hint="eastAsia" w:ascii="宋体" w:hAnsi="宋体" w:eastAsia="宋体" w:cs="宋体"/>
                <w:color w:val="auto"/>
                <w:sz w:val="24"/>
                <w:szCs w:val="24"/>
                <w:highlight w:val="none"/>
                <w:u w:val="single"/>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三、磋商评审标准：具体见附件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采购人在收到评审报告后五个工作日内，根据成交候选供应商排列顺序确定第一名成交候选供应商为成交供应商。</w:t>
            </w:r>
          </w:p>
          <w:p>
            <w:pPr>
              <w:spacing w:line="360" w:lineRule="auto"/>
              <w:ind w:right="-40" w:rightChars="-19"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成交供应商拒绝签订政府采购合同的，采购人可以按照成交候选供应商的排序顺序由高到低</w:t>
            </w:r>
            <w:r>
              <w:rPr>
                <w:rFonts w:hint="eastAsia" w:ascii="宋体" w:hAnsi="宋体" w:eastAsia="宋体" w:cs="宋体"/>
                <w:color w:val="auto"/>
                <w:sz w:val="24"/>
                <w:szCs w:val="24"/>
                <w:highlight w:val="none"/>
              </w:rPr>
              <w:t>原则确定其他候选供应商作为成交供应商并签订政府采购合同，也可以重新开展采购活动。无正当理由拒绝签订政府采购合同的成交供应商不得参加对该项目重新开展的采购活动，将被没收磋商保证金，依法追究并承担相应的法律责任。</w:t>
            </w:r>
          </w:p>
        </w:tc>
      </w:tr>
    </w:tbl>
    <w:p>
      <w:pPr>
        <w:pStyle w:val="6"/>
        <w:snapToGrid w:val="0"/>
        <w:spacing w:line="360" w:lineRule="auto"/>
        <w:ind w:firstLine="0"/>
        <w:rPr>
          <w:rFonts w:hint="eastAsia" w:eastAsia="宋体" w:cs="宋体"/>
          <w:b/>
          <w:color w:val="auto"/>
          <w:sz w:val="24"/>
          <w:szCs w:val="24"/>
          <w:highlight w:val="none"/>
          <w:u w:val="single"/>
        </w:rPr>
      </w:pPr>
      <w:r>
        <w:rPr>
          <w:rFonts w:hint="eastAsia" w:eastAsia="宋体" w:cs="宋体"/>
          <w:b/>
          <w:color w:val="auto"/>
          <w:sz w:val="24"/>
          <w:szCs w:val="24"/>
          <w:highlight w:val="none"/>
          <w:u w:val="single"/>
        </w:rPr>
        <w:t>注：以联合体形式响应磋商的，只能以联合体其中一方具备的条件作为评审依据。报价人在报价文件中必须以联合体的确定一方的条件参与商务部分的评审，报价人未明确的，则该报价人的该项商务评分按最低分处理。</w:t>
      </w:r>
    </w:p>
    <w:p>
      <w:pPr>
        <w:spacing w:line="360" w:lineRule="auto"/>
        <w:jc w:val="center"/>
        <w:outlineLvl w:val="9"/>
        <w:rPr>
          <w:rFonts w:hint="eastAsia" w:ascii="宋体" w:hAnsi="宋体" w:eastAsia="宋体" w:cs="宋体"/>
          <w:b/>
          <w:bCs/>
          <w:color w:val="auto"/>
          <w:sz w:val="24"/>
          <w:szCs w:val="24"/>
          <w:highlight w:val="none"/>
          <w:u w:val="single"/>
        </w:rPr>
      </w:pPr>
    </w:p>
    <w:p>
      <w:pPr>
        <w:keepNext w:val="0"/>
        <w:keepLines w:val="0"/>
        <w:spacing w:before="0" w:after="0"/>
        <w:jc w:val="center"/>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附件：磋商评审标准</w:t>
      </w: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综合评分法：</w:t>
      </w:r>
      <w:r>
        <w:rPr>
          <w:rFonts w:hint="eastAsia" w:ascii="宋体" w:hAnsi="宋体" w:eastAsia="宋体" w:cs="宋体"/>
          <w:color w:val="auto"/>
          <w:sz w:val="24"/>
          <w:szCs w:val="24"/>
          <w:highlight w:val="none"/>
        </w:rPr>
        <w:t>综合得分= F1 + F2 + F3</w:t>
      </w:r>
    </w:p>
    <w:p>
      <w:pPr>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注：以联合体形式响应磋商的，只能以联合体其中一方具备的条件作为评审依据。报价人在报价文件中必须以联合体的确定一方的条件参与商务部分的评审。</w:t>
      </w:r>
    </w:p>
    <w:p>
      <w:pPr>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（一）技术评分（F1）标准（满分</w:t>
      </w:r>
      <w:r>
        <w:rPr>
          <w:rFonts w:hint="eastAsia" w:ascii="宋体" w:hAnsi="宋体" w:cs="宋体"/>
          <w:b/>
          <w:color w:val="auto"/>
          <w:sz w:val="24"/>
          <w:szCs w:val="24"/>
          <w:highlight w:val="none"/>
          <w:lang w:val="en-US" w:eastAsia="zh-CN"/>
        </w:rPr>
        <w:t>65</w:t>
      </w:r>
      <w:r>
        <w:rPr>
          <w:rFonts w:hint="eastAsia" w:ascii="宋体" w:hAnsi="宋体" w:eastAsia="宋体" w:cs="宋体"/>
          <w:b/>
          <w:color w:val="auto"/>
          <w:sz w:val="24"/>
          <w:szCs w:val="24"/>
          <w:highlight w:val="none"/>
        </w:rPr>
        <w:t>分）：</w:t>
      </w:r>
    </w:p>
    <w:tbl>
      <w:tblPr>
        <w:tblStyle w:val="24"/>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40"/>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eastAsia" w:ascii="宋体" w:hAnsi="宋体" w:eastAsia="宋体" w:cs="宋体"/>
                <w:b/>
                <w:bCs/>
                <w:color w:val="auto"/>
                <w:kern w:val="10"/>
                <w:sz w:val="24"/>
                <w:szCs w:val="24"/>
                <w:highlight w:val="none"/>
              </w:rPr>
            </w:pPr>
            <w:r>
              <w:rPr>
                <w:rFonts w:hint="eastAsia" w:ascii="宋体" w:hAnsi="宋体" w:eastAsia="宋体" w:cs="宋体"/>
                <w:b/>
                <w:bCs/>
                <w:color w:val="auto"/>
                <w:sz w:val="24"/>
                <w:szCs w:val="24"/>
                <w:highlight w:val="none"/>
              </w:rPr>
              <w:t>序号</w:t>
            </w:r>
          </w:p>
        </w:tc>
        <w:tc>
          <w:tcPr>
            <w:tcW w:w="6840"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评分界定</w:t>
            </w:r>
          </w:p>
        </w:tc>
        <w:tc>
          <w:tcPr>
            <w:tcW w:w="1186"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eastAsia" w:ascii="宋体" w:hAnsi="宋体" w:eastAsia="宋体" w:cs="宋体"/>
                <w:color w:val="auto"/>
                <w:kern w:val="10"/>
                <w:sz w:val="24"/>
                <w:szCs w:val="24"/>
                <w:highlight w:val="none"/>
              </w:rPr>
            </w:pPr>
            <w:r>
              <w:rPr>
                <w:rFonts w:hint="eastAsia" w:ascii="宋体" w:hAnsi="宋体" w:eastAsia="宋体" w:cs="宋体"/>
                <w:color w:val="auto"/>
                <w:sz w:val="24"/>
                <w:szCs w:val="24"/>
                <w:highlight w:val="none"/>
              </w:rPr>
              <w:t>1</w:t>
            </w:r>
          </w:p>
        </w:tc>
        <w:tc>
          <w:tcPr>
            <w:tcW w:w="684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i w:val="0"/>
                <w:iCs w:val="0"/>
                <w:color w:val="auto"/>
                <w:kern w:val="0"/>
                <w:sz w:val="24"/>
                <w:szCs w:val="24"/>
                <w:highlight w:val="none"/>
                <w:u w:val="none"/>
                <w:lang w:val="en-US" w:eastAsia="zh-CN" w:bidi="ar"/>
              </w:rPr>
              <w:t>对本项目的网络系统设备现状和需求的描述情况进行评价：</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①供应商有对现状和需求有描述的得2.8分；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②在满足①的基础上，包含处理方法且方法得当的得3分。</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③未提供或提供内容不可行的不得分。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eastAsia" w:ascii="宋体" w:hAnsi="宋体" w:eastAsia="宋体" w:cs="宋体"/>
                <w:color w:val="auto"/>
                <w:kern w:val="10"/>
                <w:sz w:val="24"/>
                <w:szCs w:val="24"/>
                <w:highlight w:val="none"/>
              </w:rPr>
            </w:pPr>
            <w:r>
              <w:rPr>
                <w:rFonts w:hint="eastAsia" w:ascii="宋体" w:hAnsi="宋体" w:eastAsia="宋体" w:cs="宋体"/>
                <w:color w:val="auto"/>
                <w:sz w:val="24"/>
                <w:szCs w:val="24"/>
                <w:highlight w:val="none"/>
              </w:rPr>
              <w:t>2</w:t>
            </w:r>
          </w:p>
        </w:tc>
        <w:tc>
          <w:tcPr>
            <w:tcW w:w="684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i w:val="0"/>
                <w:iCs w:val="0"/>
                <w:color w:val="auto"/>
                <w:kern w:val="0"/>
                <w:sz w:val="24"/>
                <w:szCs w:val="24"/>
                <w:highlight w:val="none"/>
                <w:u w:val="none"/>
                <w:lang w:val="en-US" w:eastAsia="zh-CN" w:bidi="ar"/>
              </w:rPr>
              <w:t>对本项目的网络系统现状的了解进行评价：</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①有对网络系统现状进行分析描述的得2.8分；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②在满足①的基础上，有能够提供相对清晰完整的系统拓扑图的得3分。</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③未提供或不满足项目实际情况的不得分。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color w:val="auto"/>
                <w:kern w:val="0"/>
                <w:sz w:val="24"/>
                <w:szCs w:val="24"/>
                <w:highlight w:val="none"/>
                <w:u w:val="none"/>
                <w:lang w:bidi="ar"/>
              </w:rPr>
              <w:t>计算机及相关办公设备</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进行评价</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①有</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val="en-US" w:eastAsia="zh-CN" w:bidi="ar"/>
              </w:rPr>
              <w:t>的得</w:t>
            </w:r>
            <w:r>
              <w:rPr>
                <w:rFonts w:hint="eastAsia" w:ascii="宋体" w:hAnsi="宋体" w:eastAsia="宋体" w:cs="宋体"/>
                <w:i w:val="0"/>
                <w:iCs w:val="0"/>
                <w:color w:val="auto"/>
                <w:kern w:val="0"/>
                <w:sz w:val="24"/>
                <w:szCs w:val="24"/>
                <w:highlight w:val="none"/>
                <w:u w:val="none"/>
                <w:lang w:val="en-US" w:eastAsia="zh-CN" w:bidi="ar"/>
              </w:rPr>
              <w:t>2.8</w:t>
            </w:r>
            <w:r>
              <w:rPr>
                <w:rFonts w:hint="eastAsia" w:ascii="宋体" w:hAnsi="宋体" w:eastAsia="宋体" w:cs="宋体"/>
                <w:color w:val="auto"/>
                <w:kern w:val="0"/>
                <w:sz w:val="24"/>
                <w:szCs w:val="24"/>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val="en-US" w:eastAsia="zh-CN" w:bidi="ar"/>
              </w:rPr>
              <w:t>②在①的基础上有</w:t>
            </w:r>
            <w:r>
              <w:rPr>
                <w:rFonts w:hint="eastAsia" w:ascii="宋体" w:hAnsi="宋体" w:eastAsia="宋体" w:cs="宋体"/>
                <w:color w:val="auto"/>
                <w:kern w:val="0"/>
                <w:sz w:val="24"/>
                <w:szCs w:val="24"/>
                <w:highlight w:val="none"/>
                <w:u w:val="none"/>
                <w:lang w:bidi="ar"/>
              </w:rPr>
              <w:t>覆盖各类设备的具体规格和特性的得3分</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color w:val="auto"/>
                <w:kern w:val="0"/>
                <w:sz w:val="24"/>
                <w:szCs w:val="24"/>
                <w:highlight w:val="none"/>
                <w:u w:val="none"/>
                <w:lang w:bidi="ar"/>
              </w:rPr>
              <w:t>计算机网络系统</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进行评价</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①有</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val="en-US" w:eastAsia="zh-CN" w:bidi="ar"/>
              </w:rPr>
              <w:t>的得</w:t>
            </w:r>
            <w:r>
              <w:rPr>
                <w:rFonts w:hint="eastAsia" w:ascii="宋体" w:hAnsi="宋体" w:eastAsia="宋体" w:cs="宋体"/>
                <w:i w:val="0"/>
                <w:iCs w:val="0"/>
                <w:color w:val="auto"/>
                <w:kern w:val="0"/>
                <w:sz w:val="24"/>
                <w:szCs w:val="24"/>
                <w:highlight w:val="none"/>
                <w:u w:val="none"/>
                <w:lang w:val="en-US" w:eastAsia="zh-CN" w:bidi="ar"/>
              </w:rPr>
              <w:t>2.8</w:t>
            </w:r>
            <w:r>
              <w:rPr>
                <w:rFonts w:hint="eastAsia" w:ascii="宋体" w:hAnsi="宋体" w:eastAsia="宋体" w:cs="宋体"/>
                <w:color w:val="auto"/>
                <w:kern w:val="0"/>
                <w:sz w:val="24"/>
                <w:szCs w:val="24"/>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val="en-US" w:eastAsia="zh-CN" w:bidi="ar"/>
              </w:rPr>
              <w:t>②在①的基础上，方案内容详细完整、可行性强能够完全满足本项目执行需要的得3分</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w:t>
            </w:r>
            <w:r>
              <w:rPr>
                <w:rFonts w:hint="eastAsia" w:ascii="宋体" w:hAnsi="宋体" w:eastAsia="宋体" w:cs="宋体"/>
                <w:color w:val="auto"/>
                <w:kern w:val="0"/>
                <w:sz w:val="24"/>
                <w:szCs w:val="24"/>
                <w:highlight w:val="none"/>
                <w:u w:val="none"/>
                <w:lang w:eastAsia="zh-CN" w:bidi="ar"/>
              </w:rPr>
              <w:t>【</w:t>
            </w:r>
            <w:r>
              <w:rPr>
                <w:rFonts w:hint="eastAsia" w:ascii="宋体" w:hAnsi="宋体" w:cs="宋体"/>
                <w:b w:val="0"/>
                <w:bCs w:val="0"/>
                <w:color w:val="auto"/>
                <w:sz w:val="24"/>
                <w:szCs w:val="24"/>
                <w:highlight w:val="none"/>
              </w:rPr>
              <w:t>多媒体教室设备维护服务</w:t>
            </w:r>
            <w:r>
              <w:rPr>
                <w:rFonts w:hint="eastAsia" w:ascii="宋体" w:hAnsi="宋体" w:eastAsia="宋体" w:cs="宋体"/>
                <w:i w:val="0"/>
                <w:iCs w:val="0"/>
                <w:color w:val="auto"/>
                <w:kern w:val="0"/>
                <w:sz w:val="24"/>
                <w:szCs w:val="24"/>
                <w:highlight w:val="none"/>
                <w:u w:val="none"/>
                <w:lang w:val="en-US" w:eastAsia="zh-CN" w:bidi="ar"/>
              </w:rPr>
              <w:t>方案</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进行评价</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①有</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val="en-US" w:eastAsia="zh-CN" w:bidi="ar"/>
              </w:rPr>
              <w:t>的得</w:t>
            </w:r>
            <w:r>
              <w:rPr>
                <w:rFonts w:hint="eastAsia" w:ascii="宋体" w:hAnsi="宋体" w:eastAsia="宋体" w:cs="宋体"/>
                <w:i w:val="0"/>
                <w:iCs w:val="0"/>
                <w:color w:val="auto"/>
                <w:kern w:val="0"/>
                <w:sz w:val="24"/>
                <w:szCs w:val="24"/>
                <w:highlight w:val="none"/>
                <w:u w:val="none"/>
                <w:lang w:val="en-US" w:eastAsia="zh-CN" w:bidi="ar"/>
              </w:rPr>
              <w:t>2.8</w:t>
            </w:r>
            <w:r>
              <w:rPr>
                <w:rFonts w:hint="eastAsia" w:ascii="宋体" w:hAnsi="宋体" w:eastAsia="宋体" w:cs="宋体"/>
                <w:color w:val="auto"/>
                <w:kern w:val="0"/>
                <w:sz w:val="24"/>
                <w:szCs w:val="24"/>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val="en-US" w:eastAsia="zh-CN" w:bidi="ar"/>
              </w:rPr>
              <w:t>②在①的基础上，方案内容详细完整、可行性强能够完全满足本项目执行需要的得3分</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w:t>
            </w:r>
            <w:r>
              <w:rPr>
                <w:rFonts w:hint="eastAsia" w:ascii="宋体" w:hAnsi="宋体" w:eastAsia="宋体" w:cs="宋体"/>
                <w:color w:val="auto"/>
                <w:kern w:val="0"/>
                <w:sz w:val="24"/>
                <w:szCs w:val="24"/>
                <w:highlight w:val="none"/>
                <w:u w:val="none"/>
                <w:lang w:eastAsia="zh-CN" w:bidi="ar"/>
              </w:rPr>
              <w:t>【</w:t>
            </w:r>
            <w:r>
              <w:rPr>
                <w:rFonts w:hint="eastAsia" w:ascii="宋体" w:hAnsi="宋体" w:cs="宋体"/>
                <w:b w:val="0"/>
                <w:bCs w:val="0"/>
                <w:color w:val="auto"/>
                <w:sz w:val="24"/>
                <w:szCs w:val="24"/>
                <w:highlight w:val="none"/>
              </w:rPr>
              <w:t>中心机房系统维护服务</w:t>
            </w:r>
            <w:r>
              <w:rPr>
                <w:rFonts w:hint="eastAsia" w:ascii="宋体" w:hAnsi="宋体" w:eastAsia="宋体" w:cs="宋体"/>
                <w:i w:val="0"/>
                <w:iCs w:val="0"/>
                <w:color w:val="auto"/>
                <w:kern w:val="0"/>
                <w:sz w:val="24"/>
                <w:szCs w:val="24"/>
                <w:highlight w:val="none"/>
                <w:u w:val="none"/>
                <w:lang w:val="en-US" w:eastAsia="zh-CN" w:bidi="ar"/>
              </w:rPr>
              <w:t>方案</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进行评价</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①有</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val="en-US" w:eastAsia="zh-CN" w:bidi="ar"/>
              </w:rPr>
              <w:t>的得</w:t>
            </w:r>
            <w:r>
              <w:rPr>
                <w:rFonts w:hint="eastAsia" w:ascii="宋体" w:hAnsi="宋体" w:eastAsia="宋体" w:cs="宋体"/>
                <w:i w:val="0"/>
                <w:iCs w:val="0"/>
                <w:color w:val="auto"/>
                <w:kern w:val="0"/>
                <w:sz w:val="24"/>
                <w:szCs w:val="24"/>
                <w:highlight w:val="none"/>
                <w:u w:val="none"/>
                <w:lang w:val="en-US" w:eastAsia="zh-CN" w:bidi="ar"/>
              </w:rPr>
              <w:t>2.8</w:t>
            </w:r>
            <w:r>
              <w:rPr>
                <w:rFonts w:hint="eastAsia" w:ascii="宋体" w:hAnsi="宋体" w:eastAsia="宋体" w:cs="宋体"/>
                <w:color w:val="auto"/>
                <w:kern w:val="0"/>
                <w:sz w:val="24"/>
                <w:szCs w:val="24"/>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val="en-US" w:eastAsia="zh-CN" w:bidi="ar"/>
              </w:rPr>
              <w:t>②在①的基础上，方案内容详细完整、可行性强能够完全满足本项目执行需要的得3分</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w:t>
            </w:r>
            <w:r>
              <w:rPr>
                <w:rFonts w:hint="eastAsia" w:ascii="宋体" w:hAnsi="宋体" w:eastAsia="宋体" w:cs="宋体"/>
                <w:color w:val="auto"/>
                <w:kern w:val="0"/>
                <w:sz w:val="24"/>
                <w:szCs w:val="24"/>
                <w:highlight w:val="none"/>
                <w:u w:val="none"/>
                <w:lang w:eastAsia="zh-CN" w:bidi="ar"/>
              </w:rPr>
              <w:t>【</w:t>
            </w:r>
            <w:r>
              <w:rPr>
                <w:rFonts w:hint="eastAsia" w:ascii="宋体" w:hAnsi="宋体" w:cs="宋体"/>
                <w:b w:val="0"/>
                <w:bCs w:val="0"/>
                <w:color w:val="auto"/>
                <w:sz w:val="24"/>
                <w:szCs w:val="24"/>
                <w:highlight w:val="none"/>
              </w:rPr>
              <w:t>服务器主机系统维护服务</w:t>
            </w:r>
            <w:r>
              <w:rPr>
                <w:rFonts w:hint="eastAsia" w:ascii="宋体" w:hAnsi="宋体" w:eastAsia="宋体" w:cs="宋体"/>
                <w:i w:val="0"/>
                <w:iCs w:val="0"/>
                <w:color w:val="auto"/>
                <w:kern w:val="0"/>
                <w:sz w:val="24"/>
                <w:szCs w:val="24"/>
                <w:highlight w:val="none"/>
                <w:u w:val="none"/>
                <w:lang w:val="en-US" w:eastAsia="zh-CN" w:bidi="ar"/>
              </w:rPr>
              <w:t>方案</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进行评价</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①有</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val="en-US" w:eastAsia="zh-CN" w:bidi="ar"/>
              </w:rPr>
              <w:t>的得</w:t>
            </w:r>
            <w:r>
              <w:rPr>
                <w:rFonts w:hint="eastAsia" w:ascii="宋体" w:hAnsi="宋体" w:eastAsia="宋体" w:cs="宋体"/>
                <w:i w:val="0"/>
                <w:iCs w:val="0"/>
                <w:color w:val="auto"/>
                <w:kern w:val="0"/>
                <w:sz w:val="24"/>
                <w:szCs w:val="24"/>
                <w:highlight w:val="none"/>
                <w:u w:val="none"/>
                <w:lang w:val="en-US" w:eastAsia="zh-CN" w:bidi="ar"/>
              </w:rPr>
              <w:t>2.8</w:t>
            </w:r>
            <w:r>
              <w:rPr>
                <w:rFonts w:hint="eastAsia" w:ascii="宋体" w:hAnsi="宋体" w:eastAsia="宋体" w:cs="宋体"/>
                <w:color w:val="auto"/>
                <w:kern w:val="0"/>
                <w:sz w:val="24"/>
                <w:szCs w:val="24"/>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val="en-US" w:eastAsia="zh-CN" w:bidi="ar"/>
              </w:rPr>
              <w:t>②在①的基础上，方案内容详细完整、可行性强能够完全满足本项目执行需要的得3分</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w:t>
            </w:r>
            <w:r>
              <w:rPr>
                <w:rFonts w:hint="eastAsia" w:ascii="宋体" w:hAnsi="宋体" w:eastAsia="宋体" w:cs="宋体"/>
                <w:color w:val="auto"/>
                <w:kern w:val="0"/>
                <w:sz w:val="24"/>
                <w:szCs w:val="24"/>
                <w:highlight w:val="none"/>
                <w:u w:val="none"/>
                <w:lang w:eastAsia="zh-CN" w:bidi="ar"/>
              </w:rPr>
              <w:t>【</w:t>
            </w:r>
            <w:r>
              <w:rPr>
                <w:rFonts w:hint="eastAsia" w:ascii="宋体" w:hAnsi="宋体" w:cs="宋体"/>
                <w:b w:val="0"/>
                <w:bCs w:val="0"/>
                <w:color w:val="auto"/>
                <w:sz w:val="24"/>
                <w:szCs w:val="24"/>
                <w:highlight w:val="none"/>
              </w:rPr>
              <w:t>综合布线系统维护服务</w:t>
            </w:r>
            <w:r>
              <w:rPr>
                <w:rFonts w:hint="eastAsia" w:ascii="宋体" w:hAnsi="宋体" w:eastAsia="宋体" w:cs="宋体"/>
                <w:i w:val="0"/>
                <w:iCs w:val="0"/>
                <w:color w:val="auto"/>
                <w:kern w:val="0"/>
                <w:sz w:val="24"/>
                <w:szCs w:val="24"/>
                <w:highlight w:val="none"/>
                <w:u w:val="none"/>
                <w:lang w:val="en-US" w:eastAsia="zh-CN" w:bidi="ar"/>
              </w:rPr>
              <w:t>方案</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进行评价</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①有</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val="en-US" w:eastAsia="zh-CN" w:bidi="ar"/>
              </w:rPr>
              <w:t>的得</w:t>
            </w:r>
            <w:r>
              <w:rPr>
                <w:rFonts w:hint="eastAsia" w:ascii="宋体" w:hAnsi="宋体" w:eastAsia="宋体" w:cs="宋体"/>
                <w:i w:val="0"/>
                <w:iCs w:val="0"/>
                <w:color w:val="auto"/>
                <w:kern w:val="0"/>
                <w:sz w:val="24"/>
                <w:szCs w:val="24"/>
                <w:highlight w:val="none"/>
                <w:u w:val="none"/>
                <w:lang w:val="en-US" w:eastAsia="zh-CN" w:bidi="ar"/>
              </w:rPr>
              <w:t>2.8</w:t>
            </w:r>
            <w:r>
              <w:rPr>
                <w:rFonts w:hint="eastAsia" w:ascii="宋体" w:hAnsi="宋体" w:eastAsia="宋体" w:cs="宋体"/>
                <w:color w:val="auto"/>
                <w:kern w:val="0"/>
                <w:sz w:val="24"/>
                <w:szCs w:val="24"/>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val="en-US" w:eastAsia="zh-CN" w:bidi="ar"/>
              </w:rPr>
              <w:t>②在①的基础上，方案内容详细完整、可行性强能够完全满足本项目执行需要的得3分</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w:t>
            </w:r>
            <w:r>
              <w:rPr>
                <w:rFonts w:hint="eastAsia" w:ascii="宋体" w:hAnsi="宋体" w:eastAsia="宋体" w:cs="宋体"/>
                <w:color w:val="auto"/>
                <w:kern w:val="0"/>
                <w:sz w:val="24"/>
                <w:szCs w:val="24"/>
                <w:highlight w:val="none"/>
                <w:u w:val="none"/>
                <w:lang w:eastAsia="zh-CN" w:bidi="ar"/>
              </w:rPr>
              <w:t>【</w:t>
            </w:r>
            <w:r>
              <w:rPr>
                <w:rFonts w:hint="eastAsia" w:ascii="宋体" w:hAnsi="宋体" w:cs="宋体"/>
                <w:b w:val="0"/>
                <w:bCs w:val="0"/>
                <w:color w:val="auto"/>
                <w:sz w:val="24"/>
                <w:szCs w:val="24"/>
                <w:highlight w:val="none"/>
                <w:lang w:val="en-US" w:eastAsia="zh-CN"/>
              </w:rPr>
              <w:t>中考</w:t>
            </w:r>
            <w:r>
              <w:rPr>
                <w:rFonts w:hint="eastAsia" w:ascii="宋体" w:hAnsi="宋体" w:cs="宋体"/>
                <w:b w:val="0"/>
                <w:bCs w:val="0"/>
                <w:color w:val="auto"/>
                <w:sz w:val="24"/>
                <w:szCs w:val="24"/>
                <w:highlight w:val="none"/>
              </w:rPr>
              <w:t>考试巡视系统维护服务</w:t>
            </w:r>
            <w:r>
              <w:rPr>
                <w:rFonts w:hint="eastAsia" w:ascii="宋体" w:hAnsi="宋体" w:eastAsia="宋体" w:cs="宋体"/>
                <w:i w:val="0"/>
                <w:iCs w:val="0"/>
                <w:color w:val="auto"/>
                <w:kern w:val="0"/>
                <w:sz w:val="24"/>
                <w:szCs w:val="24"/>
                <w:highlight w:val="none"/>
                <w:u w:val="none"/>
                <w:lang w:val="en-US" w:eastAsia="zh-CN" w:bidi="ar"/>
              </w:rPr>
              <w:t>方案</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进行评价</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①有</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val="en-US" w:eastAsia="zh-CN" w:bidi="ar"/>
              </w:rPr>
              <w:t>的得</w:t>
            </w:r>
            <w:r>
              <w:rPr>
                <w:rFonts w:hint="eastAsia" w:ascii="宋体" w:hAnsi="宋体" w:eastAsia="宋体" w:cs="宋体"/>
                <w:i w:val="0"/>
                <w:iCs w:val="0"/>
                <w:color w:val="auto"/>
                <w:kern w:val="0"/>
                <w:sz w:val="24"/>
                <w:szCs w:val="24"/>
                <w:highlight w:val="none"/>
                <w:u w:val="none"/>
                <w:lang w:val="en-US" w:eastAsia="zh-CN" w:bidi="ar"/>
              </w:rPr>
              <w:t>2.8</w:t>
            </w:r>
            <w:r>
              <w:rPr>
                <w:rFonts w:hint="eastAsia" w:ascii="宋体" w:hAnsi="宋体" w:eastAsia="宋体" w:cs="宋体"/>
                <w:color w:val="auto"/>
                <w:kern w:val="0"/>
                <w:sz w:val="24"/>
                <w:szCs w:val="24"/>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val="en-US" w:eastAsia="zh-CN" w:bidi="ar"/>
              </w:rPr>
              <w:t>②在①的基础上，方案内容详细完整、可行性强能够完全满足本项目执行需要的得3分</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w:t>
            </w:r>
            <w:r>
              <w:rPr>
                <w:rFonts w:hint="eastAsia" w:ascii="宋体" w:hAnsi="宋体" w:eastAsia="宋体" w:cs="宋体"/>
                <w:color w:val="auto"/>
                <w:kern w:val="0"/>
                <w:sz w:val="24"/>
                <w:szCs w:val="24"/>
                <w:highlight w:val="none"/>
                <w:u w:val="none"/>
                <w:lang w:eastAsia="zh-CN" w:bidi="ar"/>
              </w:rPr>
              <w:t>【</w:t>
            </w:r>
            <w:r>
              <w:rPr>
                <w:rFonts w:hint="eastAsia" w:ascii="宋体" w:hAnsi="宋体" w:cs="宋体"/>
                <w:b w:val="0"/>
                <w:bCs w:val="0"/>
                <w:color w:val="auto"/>
                <w:sz w:val="24"/>
                <w:szCs w:val="24"/>
                <w:highlight w:val="none"/>
              </w:rPr>
              <w:t>会议室系统维护服务</w:t>
            </w:r>
            <w:r>
              <w:rPr>
                <w:rFonts w:hint="eastAsia" w:ascii="宋体" w:hAnsi="宋体" w:eastAsia="宋体" w:cs="宋体"/>
                <w:i w:val="0"/>
                <w:iCs w:val="0"/>
                <w:color w:val="auto"/>
                <w:kern w:val="0"/>
                <w:sz w:val="24"/>
                <w:szCs w:val="24"/>
                <w:highlight w:val="none"/>
                <w:u w:val="none"/>
                <w:lang w:val="en-US" w:eastAsia="zh-CN" w:bidi="ar"/>
              </w:rPr>
              <w:t>方案</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进行评价</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①有</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val="en-US" w:eastAsia="zh-CN" w:bidi="ar"/>
              </w:rPr>
              <w:t>的得</w:t>
            </w:r>
            <w:r>
              <w:rPr>
                <w:rFonts w:hint="eastAsia" w:ascii="宋体" w:hAnsi="宋体" w:eastAsia="宋体" w:cs="宋体"/>
                <w:i w:val="0"/>
                <w:iCs w:val="0"/>
                <w:color w:val="auto"/>
                <w:kern w:val="0"/>
                <w:sz w:val="24"/>
                <w:szCs w:val="24"/>
                <w:highlight w:val="none"/>
                <w:u w:val="none"/>
                <w:lang w:val="en-US" w:eastAsia="zh-CN" w:bidi="ar"/>
              </w:rPr>
              <w:t>2.8</w:t>
            </w:r>
            <w:r>
              <w:rPr>
                <w:rFonts w:hint="eastAsia" w:ascii="宋体" w:hAnsi="宋体" w:eastAsia="宋体" w:cs="宋体"/>
                <w:color w:val="auto"/>
                <w:kern w:val="0"/>
                <w:sz w:val="24"/>
                <w:szCs w:val="24"/>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val="en-US" w:eastAsia="zh-CN" w:bidi="ar"/>
              </w:rPr>
              <w:t>②在①的基础上，方案内容详细完整、可行性强能够完全满足本项目执行需要的得3分</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w:t>
            </w:r>
            <w:r>
              <w:rPr>
                <w:rFonts w:hint="eastAsia" w:ascii="宋体" w:hAnsi="宋体" w:eastAsia="宋体" w:cs="宋体"/>
                <w:color w:val="auto"/>
                <w:kern w:val="0"/>
                <w:sz w:val="24"/>
                <w:szCs w:val="24"/>
                <w:highlight w:val="none"/>
                <w:u w:val="none"/>
                <w:lang w:eastAsia="zh-CN" w:bidi="ar"/>
              </w:rPr>
              <w:t>【</w:t>
            </w:r>
            <w:r>
              <w:rPr>
                <w:rFonts w:hint="eastAsia" w:ascii="宋体" w:hAnsi="宋体" w:cs="宋体"/>
                <w:b w:val="0"/>
                <w:bCs w:val="0"/>
                <w:color w:val="auto"/>
                <w:sz w:val="24"/>
                <w:szCs w:val="24"/>
                <w:highlight w:val="none"/>
              </w:rPr>
              <w:t>校园活动其他技术支持活动维护服务</w:t>
            </w:r>
            <w:r>
              <w:rPr>
                <w:rFonts w:hint="eastAsia" w:ascii="宋体" w:hAnsi="宋体" w:eastAsia="宋体" w:cs="宋体"/>
                <w:b w:val="0"/>
                <w:bCs w:val="0"/>
                <w:i w:val="0"/>
                <w:iCs w:val="0"/>
                <w:color w:val="auto"/>
                <w:kern w:val="0"/>
                <w:sz w:val="24"/>
                <w:szCs w:val="24"/>
                <w:highlight w:val="none"/>
                <w:u w:val="none"/>
                <w:lang w:val="en-US" w:eastAsia="zh-CN" w:bidi="ar"/>
              </w:rPr>
              <w:t>方案</w:t>
            </w:r>
            <w:r>
              <w:rPr>
                <w:rFonts w:hint="eastAsia" w:ascii="宋体" w:hAnsi="宋体" w:eastAsia="宋体" w:cs="宋体"/>
                <w:b w:val="0"/>
                <w:bCs w:val="0"/>
                <w:color w:val="auto"/>
                <w:kern w:val="0"/>
                <w:sz w:val="24"/>
                <w:szCs w:val="24"/>
                <w:highlight w:val="none"/>
                <w:u w:val="none"/>
                <w:lang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进行评价</w:t>
            </w:r>
            <w:r>
              <w:rPr>
                <w:rFonts w:hint="eastAsia" w:ascii="宋体" w:hAnsi="宋体" w:eastAsia="宋体" w:cs="宋体"/>
                <w:b w:val="0"/>
                <w:bCs w:val="0"/>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①有</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val="en-US" w:eastAsia="zh-CN" w:bidi="ar"/>
              </w:rPr>
              <w:t>的得</w:t>
            </w:r>
            <w:r>
              <w:rPr>
                <w:rFonts w:hint="eastAsia" w:ascii="宋体" w:hAnsi="宋体" w:eastAsia="宋体" w:cs="宋体"/>
                <w:i w:val="0"/>
                <w:iCs w:val="0"/>
                <w:color w:val="auto"/>
                <w:kern w:val="0"/>
                <w:sz w:val="24"/>
                <w:szCs w:val="24"/>
                <w:highlight w:val="none"/>
                <w:u w:val="none"/>
                <w:lang w:val="en-US" w:eastAsia="zh-CN" w:bidi="ar"/>
              </w:rPr>
              <w:t>2.8</w:t>
            </w:r>
            <w:r>
              <w:rPr>
                <w:rFonts w:hint="eastAsia" w:ascii="宋体" w:hAnsi="宋体" w:eastAsia="宋体" w:cs="宋体"/>
                <w:color w:val="auto"/>
                <w:kern w:val="0"/>
                <w:sz w:val="24"/>
                <w:szCs w:val="24"/>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val="en-US" w:eastAsia="zh-CN" w:bidi="ar"/>
              </w:rPr>
              <w:t>②在①的基础上，方案内容详细完整、可行性强能够完全满足本项目执行需要的得3分</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w:t>
            </w:r>
            <w:r>
              <w:rPr>
                <w:rFonts w:hint="eastAsia" w:ascii="宋体" w:hAnsi="宋体" w:eastAsia="宋体" w:cs="宋体"/>
                <w:color w:val="auto"/>
                <w:kern w:val="0"/>
                <w:sz w:val="24"/>
                <w:szCs w:val="24"/>
                <w:highlight w:val="none"/>
                <w:u w:val="none"/>
                <w:lang w:eastAsia="zh-CN" w:bidi="ar"/>
              </w:rPr>
              <w:t>【</w:t>
            </w:r>
            <w:r>
              <w:rPr>
                <w:rFonts w:hint="eastAsia" w:ascii="宋体" w:hAnsi="宋体" w:cs="宋体"/>
                <w:b w:val="0"/>
                <w:bCs w:val="0"/>
                <w:color w:val="auto"/>
                <w:sz w:val="24"/>
                <w:szCs w:val="24"/>
                <w:highlight w:val="none"/>
              </w:rPr>
              <w:t>安防监控系统维护服务</w:t>
            </w:r>
            <w:r>
              <w:rPr>
                <w:rFonts w:hint="eastAsia" w:ascii="宋体" w:hAnsi="宋体" w:eastAsia="宋体" w:cs="宋体"/>
                <w:i w:val="0"/>
                <w:iCs w:val="0"/>
                <w:color w:val="auto"/>
                <w:kern w:val="0"/>
                <w:sz w:val="24"/>
                <w:szCs w:val="24"/>
                <w:highlight w:val="none"/>
                <w:u w:val="none"/>
                <w:lang w:val="en-US" w:eastAsia="zh-CN" w:bidi="ar"/>
              </w:rPr>
              <w:t>方案</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进行评价</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①有</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val="en-US" w:eastAsia="zh-CN" w:bidi="ar"/>
              </w:rPr>
              <w:t>的得</w:t>
            </w:r>
            <w:r>
              <w:rPr>
                <w:rFonts w:hint="eastAsia" w:ascii="宋体" w:hAnsi="宋体" w:eastAsia="宋体" w:cs="宋体"/>
                <w:i w:val="0"/>
                <w:iCs w:val="0"/>
                <w:color w:val="auto"/>
                <w:kern w:val="0"/>
                <w:sz w:val="24"/>
                <w:szCs w:val="24"/>
                <w:highlight w:val="none"/>
                <w:u w:val="none"/>
                <w:lang w:val="en-US" w:eastAsia="zh-CN" w:bidi="ar"/>
              </w:rPr>
              <w:t>2.8</w:t>
            </w:r>
            <w:r>
              <w:rPr>
                <w:rFonts w:hint="eastAsia" w:ascii="宋体" w:hAnsi="宋体" w:eastAsia="宋体" w:cs="宋体"/>
                <w:color w:val="auto"/>
                <w:kern w:val="0"/>
                <w:sz w:val="24"/>
                <w:szCs w:val="24"/>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val="en-US" w:eastAsia="zh-CN" w:bidi="ar"/>
              </w:rPr>
              <w:t>②在①的基础上，方案内容详细完整、可行性强能够完全满足本项目执行需要的得3分</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w:t>
            </w:r>
            <w:r>
              <w:rPr>
                <w:rFonts w:hint="eastAsia" w:ascii="宋体" w:hAnsi="宋体" w:eastAsia="宋体" w:cs="宋体"/>
                <w:color w:val="auto"/>
                <w:kern w:val="0"/>
                <w:sz w:val="24"/>
                <w:szCs w:val="24"/>
                <w:highlight w:val="none"/>
                <w:u w:val="none"/>
                <w:lang w:eastAsia="zh-CN" w:bidi="ar"/>
              </w:rPr>
              <w:t>【</w:t>
            </w:r>
            <w:r>
              <w:rPr>
                <w:rFonts w:hint="eastAsia" w:ascii="宋体" w:hAnsi="宋体" w:cs="宋体"/>
                <w:b w:val="0"/>
                <w:bCs w:val="0"/>
                <w:color w:val="auto"/>
                <w:sz w:val="24"/>
                <w:szCs w:val="24"/>
                <w:highlight w:val="none"/>
              </w:rPr>
              <w:t>广播系统维护服务</w:t>
            </w:r>
            <w:r>
              <w:rPr>
                <w:rFonts w:hint="eastAsia" w:ascii="宋体" w:hAnsi="宋体" w:eastAsia="宋体" w:cs="宋体"/>
                <w:i w:val="0"/>
                <w:iCs w:val="0"/>
                <w:color w:val="auto"/>
                <w:kern w:val="0"/>
                <w:sz w:val="24"/>
                <w:szCs w:val="24"/>
                <w:highlight w:val="none"/>
                <w:u w:val="none"/>
                <w:lang w:val="en-US" w:eastAsia="zh-CN" w:bidi="ar"/>
              </w:rPr>
              <w:t>方案</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进行评价</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①有</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val="en-US" w:eastAsia="zh-CN" w:bidi="ar"/>
              </w:rPr>
              <w:t>的得</w:t>
            </w:r>
            <w:r>
              <w:rPr>
                <w:rFonts w:hint="eastAsia" w:ascii="宋体" w:hAnsi="宋体" w:eastAsia="宋体" w:cs="宋体"/>
                <w:i w:val="0"/>
                <w:iCs w:val="0"/>
                <w:color w:val="auto"/>
                <w:kern w:val="0"/>
                <w:sz w:val="24"/>
                <w:szCs w:val="24"/>
                <w:highlight w:val="none"/>
                <w:u w:val="none"/>
                <w:lang w:val="en-US" w:eastAsia="zh-CN" w:bidi="ar"/>
              </w:rPr>
              <w:t>2.8</w:t>
            </w:r>
            <w:r>
              <w:rPr>
                <w:rFonts w:hint="eastAsia" w:ascii="宋体" w:hAnsi="宋体" w:eastAsia="宋体" w:cs="宋体"/>
                <w:color w:val="auto"/>
                <w:kern w:val="0"/>
                <w:sz w:val="24"/>
                <w:szCs w:val="24"/>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val="en-US" w:eastAsia="zh-CN" w:bidi="ar"/>
              </w:rPr>
              <w:t>②在①的基础上，方案内容详细完整、可行性强能够完全满足本项目执行需要的得3分</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w:t>
            </w:r>
            <w:r>
              <w:rPr>
                <w:rFonts w:hint="eastAsia" w:ascii="宋体" w:hAnsi="宋体" w:eastAsia="宋体" w:cs="宋体"/>
                <w:color w:val="auto"/>
                <w:kern w:val="0"/>
                <w:sz w:val="24"/>
                <w:szCs w:val="24"/>
                <w:highlight w:val="none"/>
                <w:u w:val="none"/>
                <w:lang w:eastAsia="zh-CN" w:bidi="ar"/>
              </w:rPr>
              <w:t>【</w:t>
            </w:r>
            <w:r>
              <w:rPr>
                <w:rFonts w:hint="eastAsia" w:ascii="宋体" w:hAnsi="宋体" w:cs="宋体"/>
                <w:b w:val="0"/>
                <w:bCs w:val="0"/>
                <w:color w:val="auto"/>
                <w:sz w:val="24"/>
                <w:szCs w:val="24"/>
                <w:highlight w:val="none"/>
                <w:lang w:val="en-US" w:eastAsia="zh-CN"/>
              </w:rPr>
              <w:t>铃声</w:t>
            </w:r>
            <w:r>
              <w:rPr>
                <w:rFonts w:hint="eastAsia" w:ascii="宋体" w:hAnsi="宋体" w:cs="宋体"/>
                <w:b w:val="0"/>
                <w:bCs w:val="0"/>
                <w:color w:val="auto"/>
                <w:sz w:val="24"/>
                <w:szCs w:val="24"/>
                <w:highlight w:val="none"/>
              </w:rPr>
              <w:t>系统维护服务</w:t>
            </w:r>
            <w:r>
              <w:rPr>
                <w:rFonts w:hint="eastAsia" w:ascii="宋体" w:hAnsi="宋体" w:eastAsia="宋体" w:cs="宋体"/>
                <w:i w:val="0"/>
                <w:iCs w:val="0"/>
                <w:color w:val="auto"/>
                <w:kern w:val="0"/>
                <w:sz w:val="24"/>
                <w:szCs w:val="24"/>
                <w:highlight w:val="none"/>
                <w:u w:val="none"/>
                <w:lang w:val="en-US" w:eastAsia="zh-CN" w:bidi="ar"/>
              </w:rPr>
              <w:t>方案</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进行评价</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①有</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iCs w:val="0"/>
                <w:color w:val="auto"/>
                <w:kern w:val="0"/>
                <w:sz w:val="24"/>
                <w:szCs w:val="24"/>
                <w:highlight w:val="none"/>
                <w:u w:val="none"/>
                <w:lang w:val="en-US" w:eastAsia="zh-CN" w:bidi="ar"/>
              </w:rPr>
              <w:t>维护服务方案</w:t>
            </w:r>
            <w:r>
              <w:rPr>
                <w:rFonts w:hint="eastAsia" w:ascii="宋体" w:hAnsi="宋体" w:eastAsia="宋体" w:cs="宋体"/>
                <w:color w:val="auto"/>
                <w:kern w:val="0"/>
                <w:sz w:val="24"/>
                <w:szCs w:val="24"/>
                <w:highlight w:val="none"/>
                <w:u w:val="none"/>
                <w:lang w:val="en-US" w:eastAsia="zh-CN" w:bidi="ar"/>
              </w:rPr>
              <w:t>的得</w:t>
            </w:r>
            <w:r>
              <w:rPr>
                <w:rFonts w:hint="eastAsia" w:ascii="宋体" w:hAnsi="宋体" w:eastAsia="宋体" w:cs="宋体"/>
                <w:i w:val="0"/>
                <w:iCs w:val="0"/>
                <w:color w:val="auto"/>
                <w:kern w:val="0"/>
                <w:sz w:val="24"/>
                <w:szCs w:val="24"/>
                <w:highlight w:val="none"/>
                <w:u w:val="none"/>
                <w:lang w:val="en-US" w:eastAsia="zh-CN" w:bidi="ar"/>
              </w:rPr>
              <w:t>2.8</w:t>
            </w:r>
            <w:r>
              <w:rPr>
                <w:rFonts w:hint="eastAsia" w:ascii="宋体" w:hAnsi="宋体" w:eastAsia="宋体" w:cs="宋体"/>
                <w:color w:val="auto"/>
                <w:kern w:val="0"/>
                <w:sz w:val="24"/>
                <w:szCs w:val="24"/>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val="en-US" w:eastAsia="zh-CN" w:bidi="ar"/>
              </w:rPr>
              <w:t>②在①的基础上，方案内容详细完整、可行性强能够完全满足本项目执行需要的得3分</w:t>
            </w:r>
            <w:r>
              <w:rPr>
                <w:rFonts w:hint="eastAsia" w:ascii="宋体" w:hAnsi="宋体" w:eastAsia="宋体" w:cs="宋体"/>
                <w:color w:val="auto"/>
                <w:kern w:val="0"/>
                <w:sz w:val="24"/>
                <w:szCs w:val="24"/>
                <w:highlight w:val="none"/>
                <w:u w:val="none"/>
                <w:lang w:eastAsia="zh-CN" w:bidi="ar"/>
              </w:rPr>
              <w:t>。</w:t>
            </w:r>
          </w:p>
          <w:p>
            <w:pPr>
              <w:keepNext w:val="0"/>
              <w:keepLines w:val="0"/>
              <w:widowControl/>
              <w:suppressLineNumbers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684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kern w:val="0"/>
                <w:sz w:val="24"/>
                <w:szCs w:val="24"/>
                <w:highlight w:val="none"/>
                <w:u w:val="none"/>
                <w:lang w:bidi="ar"/>
              </w:rPr>
              <w:t>提供的保密方案进行评价：</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①保密方案中有包含保密措施、保密方法的得1分；</w:t>
            </w:r>
          </w:p>
          <w:p>
            <w:pPr>
              <w:keepNext w:val="0"/>
              <w:keepLines w:val="0"/>
              <w:widowControl/>
              <w:suppressLineNumbers w:val="0"/>
              <w:spacing w:line="360" w:lineRule="auto"/>
              <w:jc w:val="left"/>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val="en-US" w:eastAsia="zh-CN" w:bidi="ar"/>
              </w:rPr>
              <w:t>②在①的基础上有包含相关制度、惩罚措施的得3分；</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③</w:t>
            </w:r>
            <w:r>
              <w:rPr>
                <w:rFonts w:hint="eastAsia" w:ascii="宋体" w:hAnsi="宋体" w:eastAsia="宋体" w:cs="宋体"/>
                <w:color w:val="auto"/>
                <w:kern w:val="0"/>
                <w:sz w:val="24"/>
                <w:szCs w:val="24"/>
                <w:highlight w:val="none"/>
                <w:u w:val="none"/>
                <w:lang w:bidi="ar"/>
              </w:rPr>
              <w:t>未提供方案或不满足本项目要求的不得分。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684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i w:val="0"/>
                <w:iCs w:val="0"/>
                <w:color w:val="auto"/>
                <w:kern w:val="0"/>
                <w:sz w:val="24"/>
                <w:szCs w:val="24"/>
                <w:highlight w:val="none"/>
                <w:u w:val="none"/>
                <w:lang w:val="en-US" w:eastAsia="zh-CN" w:bidi="ar"/>
              </w:rPr>
              <w:t>提供的备件</w:t>
            </w:r>
            <w:r>
              <w:rPr>
                <w:rFonts w:hint="eastAsia" w:ascii="宋体" w:hAnsi="宋体" w:cs="宋体"/>
                <w:color w:val="auto"/>
                <w:sz w:val="24"/>
                <w:szCs w:val="24"/>
                <w:highlight w:val="none"/>
              </w:rPr>
              <w:t>【24口交换机】</w:t>
            </w:r>
            <w:r>
              <w:rPr>
                <w:rFonts w:hint="eastAsia" w:ascii="宋体" w:hAnsi="宋体" w:eastAsia="宋体" w:cs="宋体"/>
                <w:i w:val="0"/>
                <w:iCs w:val="0"/>
                <w:color w:val="auto"/>
                <w:kern w:val="0"/>
                <w:sz w:val="24"/>
                <w:szCs w:val="24"/>
                <w:highlight w:val="none"/>
                <w:u w:val="none"/>
                <w:lang w:val="en-US" w:eastAsia="zh-CN" w:bidi="ar"/>
              </w:rPr>
              <w:t>进行评价：</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①有提供交换机的得1分；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在①的基础上，交换机支持通过网管中心平台一键替换“按钮”即可完成故障设备替换；支持通过APP进行远程管理，并且可以修改交换机网络配置；支持终端类型库，基于指纹终端识别库自动识别PC、路由器、摄像头设备、无线AP等；支持与外部安全感知平台联动，且联动实现从系统及接入层交换机对风险终端MAC地址进行封堵；交换机支持与外部防火墙联动，且联动实现从系统及接入层交换机对风险终端MAC地址进行封堵；支持在交换机上创建东西向安全策略，实现全网安全风险拦截，并支持各个区域/角色流量互访记录并呈现，支持攻击源定位，检测到攻击源后根据策略将终端拉黑，防止终端持续攻击的得3分。</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③未提供或交换机不符合本项目要求的不得分。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684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i w:val="0"/>
                <w:iCs w:val="0"/>
                <w:color w:val="auto"/>
                <w:kern w:val="0"/>
                <w:sz w:val="24"/>
                <w:szCs w:val="24"/>
                <w:highlight w:val="none"/>
                <w:u w:val="none"/>
                <w:lang w:val="en-US" w:eastAsia="zh-CN" w:bidi="ar"/>
              </w:rPr>
              <w:t xml:space="preserve">针对本项目提供的紧急事件处置服务保障方案（包含但不限于：人员组织、应急机制、应急措施、响应时间等）进行评价：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①有提供服务保障方案，包含应急机制、应急措施的得1分；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②在满足①的基础上，包含人员组织、响应时间，且响应时间在0.5小时内的得3分； </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③未提供或不符合要求的不得分。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1" w:hRule="atLeast"/>
          <w:jc w:val="center"/>
        </w:trPr>
        <w:tc>
          <w:tcPr>
            <w:tcW w:w="782" w:type="dxa"/>
            <w:noWrap w:val="0"/>
            <w:vAlign w:val="center"/>
          </w:tcPr>
          <w:p>
            <w:pPr>
              <w:pStyle w:val="7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684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w:t>
            </w:r>
            <w:r>
              <w:rPr>
                <w:rFonts w:hint="eastAsia" w:ascii="宋体" w:hAnsi="宋体" w:eastAsia="宋体" w:cs="宋体"/>
                <w:color w:val="auto"/>
                <w:kern w:val="0"/>
                <w:sz w:val="24"/>
                <w:szCs w:val="24"/>
                <w:highlight w:val="none"/>
              </w:rPr>
              <w:t>报价人</w:t>
            </w:r>
            <w:r>
              <w:rPr>
                <w:rFonts w:hint="eastAsia" w:ascii="宋体" w:hAnsi="宋体" w:eastAsia="宋体" w:cs="宋体"/>
                <w:i w:val="0"/>
                <w:iCs w:val="0"/>
                <w:color w:val="auto"/>
                <w:kern w:val="0"/>
                <w:sz w:val="24"/>
                <w:szCs w:val="24"/>
                <w:highlight w:val="none"/>
                <w:u w:val="none"/>
                <w:lang w:val="en-US" w:eastAsia="zh-CN" w:bidi="ar"/>
              </w:rPr>
              <w:t xml:space="preserve">针对本项目提供的重大活动和有关检查期间的保障方案进行评价：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①有提供重大活动保障方案的得1分；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②在满足①的基础上，有包含紧急联系人、保障措施，且承诺按要求无条件派遣人员配合工作开展，确保维保服务不出纰漏的得3分。</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③未提供或不符合要求的不得分。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6840" w:type="dxa"/>
            <w:shd w:val="clear" w:color="auto" w:fill="auto"/>
            <w:noWrap w:val="0"/>
            <w:vAlign w:val="center"/>
          </w:tcPr>
          <w:p>
            <w:pPr>
              <w:keepNext w:val="0"/>
              <w:keepLines w:val="0"/>
              <w:widowControl/>
              <w:suppressLineNumbers w:val="0"/>
              <w:spacing w:line="360" w:lineRule="auto"/>
              <w:jc w:val="left"/>
              <w:textAlignment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根据报价人维护人员高空作业技能配备进行评价：</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维护人员中，每有1名具备有效高空作业证书的人员，得1分，满分2分；</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说明：以上人员需为报价人本单位人员，以报价人提供的人员名单及报价截止时间前六个月（不含报价当月）中任意1个月报价人为上述人员缴纳的社保证明材料及相关证书复印件为佐证依据，未提供或不满足的不得分。</w:t>
            </w:r>
          </w:p>
        </w:tc>
        <w:tc>
          <w:tcPr>
            <w:tcW w:w="1186" w:type="dxa"/>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6840" w:type="dxa"/>
            <w:noWrap w:val="0"/>
            <w:vAlign w:val="center"/>
          </w:tcPr>
          <w:p>
            <w:pPr>
              <w:keepNext w:val="0"/>
              <w:keepLines w:val="0"/>
              <w:widowControl/>
              <w:suppressLineNumbers w:val="0"/>
              <w:spacing w:line="360" w:lineRule="auto"/>
              <w:jc w:val="left"/>
              <w:textAlignment w:val="center"/>
              <w:rPr>
                <w:rFonts w:hint="eastAsia" w:asciiTheme="majorEastAsia" w:hAnsiTheme="majorEastAsia" w:eastAsiaTheme="majorEastAsia" w:cstheme="majorEastAsia"/>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根据报价人项目技术人员（强电操作）技能进行评分：</w:t>
            </w:r>
          </w:p>
          <w:p>
            <w:pPr>
              <w:keepNext w:val="0"/>
              <w:keepLines w:val="0"/>
              <w:widowControl/>
              <w:suppressLineNumbers w:val="0"/>
              <w:spacing w:line="360" w:lineRule="auto"/>
              <w:jc w:val="left"/>
              <w:textAlignment w:val="center"/>
              <w:rPr>
                <w:rFonts w:hint="eastAsia" w:asciiTheme="majorEastAsia" w:hAnsiTheme="majorEastAsia" w:eastAsiaTheme="majorEastAsia" w:cstheme="majorEastAsia"/>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为保障学校维护工作中强电操作的安全性与规范性，报价人提供的维护技术人员中，每有 1 名持有有效特种作业操作证（电工类）的人员，得 1.5 分，满分3分。</w:t>
            </w:r>
          </w:p>
          <w:p>
            <w:pPr>
              <w:keepNext w:val="0"/>
              <w:keepLines w:val="0"/>
              <w:widowControl/>
              <w:suppressLineNumbers w:val="0"/>
              <w:spacing w:line="360" w:lineRule="auto"/>
              <w:jc w:val="left"/>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说明：以上人员需为报价人本单位人员，以报价人提供的人员名单及报价截止时间前六个月（不含报价当月）中任意1个月报价人为上述人员缴纳的社保证明材料及相关证书复印件为佐证依据，未提供或不满足的不得分。</w:t>
            </w:r>
          </w:p>
        </w:tc>
        <w:tc>
          <w:tcPr>
            <w:tcW w:w="1186"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6840" w:type="dxa"/>
            <w:noWrap w:val="0"/>
            <w:vAlign w:val="center"/>
          </w:tcPr>
          <w:p>
            <w:pPr>
              <w:keepNext w:val="0"/>
              <w:keepLines w:val="0"/>
              <w:widowControl/>
              <w:suppressLineNumbers w:val="0"/>
              <w:spacing w:line="360" w:lineRule="auto"/>
              <w:jc w:val="left"/>
              <w:textAlignment w:val="center"/>
              <w:rPr>
                <w:rFonts w:hint="eastAsia" w:asciiTheme="majorEastAsia" w:hAnsiTheme="majorEastAsia" w:eastAsiaTheme="majorEastAsia" w:cstheme="majorEastAsia"/>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根据报价人拟投入本项目信创运维人员配备进行评价：</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具有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政府部门</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或事业单位颁发的信创运维工程师认证证书，每1人得1分，满分3分。</w:t>
            </w:r>
          </w:p>
          <w:p>
            <w:pPr>
              <w:keepNext w:val="0"/>
              <w:keepLines w:val="0"/>
              <w:widowControl/>
              <w:suppressLineNumbers w:val="0"/>
              <w:spacing w:line="360" w:lineRule="auto"/>
              <w:jc w:val="left"/>
              <w:textAlignment w:val="center"/>
              <w:rPr>
                <w:rFonts w:hint="eastAsia" w:asciiTheme="majorEastAsia" w:hAnsiTheme="majorEastAsia" w:eastAsiaTheme="majorEastAsia" w:cstheme="majorEastAsia"/>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说明：以上人员需为报价人本单位人员，以报价人提供的人员名单及报价截止时间前六个月（不含报价当月）中任意1个月报价人为上述人员缴纳的社保证明材料及相关证书复印件为佐证依据，未提供或不满足的不得分。</w:t>
            </w:r>
          </w:p>
        </w:tc>
        <w:tc>
          <w:tcPr>
            <w:tcW w:w="1186" w:type="dxa"/>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7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6840" w:type="dxa"/>
            <w:noWrap w:val="0"/>
            <w:vAlign w:val="center"/>
          </w:tcPr>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根据</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报价人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拟投入本项目网络运维人员配备进行评价：</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具备政府部门颁发的中级及以上网络工程师证书，每1人得1.5分，满分3分。</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说明：以上人员需为</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报价人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本单位人员，以</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报价人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提供的人员名单及报价截止时间前六个月</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（不含报价当月）中</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任意1个月</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报价人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为上述人员缴纳的社保证明材料及相关证书复印件为佐证依据，未提供或不满足的不得分。</w:t>
            </w:r>
          </w:p>
        </w:tc>
        <w:tc>
          <w:tcPr>
            <w:tcW w:w="1186" w:type="dxa"/>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808" w:type="dxa"/>
            <w:gridSpan w:val="3"/>
            <w:noWrap w:val="0"/>
            <w:vAlign w:val="center"/>
          </w:tcPr>
          <w:p>
            <w:pPr>
              <w:spacing w:line="360" w:lineRule="auto"/>
              <w:ind w:firstLine="480" w:firstLineChars="200"/>
              <w:jc w:val="left"/>
              <w:outlineLvl w:val="0"/>
              <w:rPr>
                <w:rFonts w:hint="eastAsia" w:ascii="宋体" w:hAnsi="宋体" w:eastAsia="宋体" w:cs="宋体"/>
                <w:color w:val="auto"/>
                <w:sz w:val="24"/>
                <w:szCs w:val="24"/>
                <w:highlight w:val="none"/>
              </w:rPr>
            </w:pPr>
            <w:bookmarkStart w:id="10" w:name="_Toc7397"/>
            <w:r>
              <w:rPr>
                <w:rFonts w:hint="eastAsia" w:ascii="宋体" w:hAnsi="宋体" w:eastAsia="宋体" w:cs="宋体"/>
                <w:color w:val="auto"/>
                <w:sz w:val="24"/>
                <w:szCs w:val="24"/>
                <w:highlight w:val="none"/>
              </w:rPr>
              <w:t>说明：</w:t>
            </w:r>
            <w:r>
              <w:rPr>
                <w:rFonts w:hint="eastAsia" w:ascii="宋体" w:hAnsi="宋体" w:eastAsia="宋体" w:cs="宋体"/>
                <w:color w:val="auto"/>
                <w:kern w:val="0"/>
                <w:sz w:val="24"/>
                <w:szCs w:val="24"/>
                <w:highlight w:val="none"/>
              </w:rPr>
              <w:t>报价人应提供证明材料并标注对应关系，未按要求提供证明材料的，认定该项技术指标不得分；报价人</w:t>
            </w:r>
            <w:r>
              <w:rPr>
                <w:rFonts w:hint="eastAsia" w:ascii="宋体" w:hAnsi="宋体" w:eastAsia="宋体" w:cs="宋体"/>
                <w:color w:val="auto"/>
                <w:sz w:val="24"/>
                <w:szCs w:val="24"/>
                <w:highlight w:val="none"/>
              </w:rPr>
              <w:t>应如实表述其服务的技术指标，如</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sz w:val="24"/>
                <w:szCs w:val="24"/>
                <w:highlight w:val="none"/>
              </w:rPr>
              <w:t>复制采购文件的磋商内容作为其报价文件组成内容的，磋商小组将对其作出不利的评审。</w:t>
            </w:r>
            <w:bookmarkEnd w:id="10"/>
          </w:p>
        </w:tc>
      </w:tr>
    </w:tbl>
    <w:p>
      <w:pPr>
        <w:keepNext w:val="0"/>
        <w:keepLines w:val="0"/>
        <w:spacing w:before="0" w:after="0"/>
        <w:outlineLvl w:val="9"/>
        <w:rPr>
          <w:rFonts w:hint="eastAsia" w:ascii="宋体" w:hAnsi="宋体" w:eastAsia="宋体" w:cs="宋体"/>
          <w:color w:val="auto"/>
          <w:sz w:val="24"/>
          <w:szCs w:val="24"/>
          <w:highlight w:val="none"/>
        </w:rPr>
      </w:pPr>
    </w:p>
    <w:p>
      <w:pPr>
        <w:pStyle w:val="6"/>
        <w:snapToGrid w:val="0"/>
        <w:spacing w:line="360" w:lineRule="auto"/>
        <w:ind w:firstLine="0"/>
        <w:rPr>
          <w:rFonts w:hint="eastAsia" w:eastAsia="宋体" w:cs="宋体"/>
          <w:b/>
          <w:color w:val="auto"/>
          <w:sz w:val="24"/>
          <w:szCs w:val="24"/>
          <w:highlight w:val="none"/>
          <w:lang w:val="en-US" w:eastAsia="zh-CN"/>
        </w:rPr>
      </w:pPr>
      <w:r>
        <w:rPr>
          <w:rFonts w:hint="eastAsia" w:eastAsia="宋体" w:cs="宋体"/>
          <w:b/>
          <w:color w:val="auto"/>
          <w:sz w:val="24"/>
          <w:szCs w:val="24"/>
          <w:highlight w:val="none"/>
          <w:lang w:val="en-US" w:eastAsia="zh-CN"/>
        </w:rPr>
        <w:t>（二）商务评分（F2）标准（满分</w:t>
      </w:r>
      <w:r>
        <w:rPr>
          <w:rFonts w:hint="eastAsia" w:cs="宋体"/>
          <w:b/>
          <w:color w:val="auto"/>
          <w:sz w:val="24"/>
          <w:szCs w:val="24"/>
          <w:highlight w:val="none"/>
          <w:lang w:val="en-US" w:eastAsia="zh-CN"/>
        </w:rPr>
        <w:t>20</w:t>
      </w:r>
      <w:r>
        <w:rPr>
          <w:rFonts w:hint="eastAsia" w:eastAsia="宋体" w:cs="宋体"/>
          <w:b/>
          <w:color w:val="auto"/>
          <w:sz w:val="24"/>
          <w:szCs w:val="24"/>
          <w:highlight w:val="none"/>
          <w:lang w:val="en-US" w:eastAsia="zh-CN"/>
        </w:rPr>
        <w:t>分）：</w:t>
      </w:r>
    </w:p>
    <w:tbl>
      <w:tblPr>
        <w:tblStyle w:val="24"/>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97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62"/>
              <w:spacing w:line="36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序号</w:t>
            </w:r>
          </w:p>
        </w:tc>
        <w:tc>
          <w:tcPr>
            <w:tcW w:w="6971" w:type="dxa"/>
            <w:noWrap w:val="0"/>
            <w:vAlign w:val="center"/>
          </w:tcPr>
          <w:p>
            <w:pPr>
              <w:pStyle w:val="62"/>
              <w:spacing w:line="36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评分界定</w:t>
            </w:r>
          </w:p>
        </w:tc>
        <w:tc>
          <w:tcPr>
            <w:tcW w:w="1231" w:type="dxa"/>
            <w:noWrap w:val="0"/>
            <w:vAlign w:val="center"/>
          </w:tcPr>
          <w:p>
            <w:pPr>
              <w:pStyle w:val="62"/>
              <w:spacing w:line="36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62"/>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w:t>
            </w:r>
          </w:p>
        </w:tc>
        <w:tc>
          <w:tcPr>
            <w:tcW w:w="6971" w:type="dxa"/>
            <w:noWrap w:val="0"/>
            <w:vAlign w:val="center"/>
          </w:tcPr>
          <w:p>
            <w:pPr>
              <w:pStyle w:val="62"/>
              <w:spacing w:line="360" w:lineRule="auto"/>
              <w:jc w:val="left"/>
              <w:rPr>
                <w:rFonts w:hint="eastAsia" w:ascii="宋体" w:hAnsi="宋体" w:eastAsia="宋体" w:cs="宋体"/>
                <w:b w:val="0"/>
                <w:color w:val="auto"/>
                <w:kern w:val="2"/>
                <w:sz w:val="24"/>
                <w:szCs w:val="24"/>
                <w:highlight w:val="none"/>
              </w:rPr>
            </w:pPr>
            <w:r>
              <w:rPr>
                <w:rFonts w:hint="eastAsia" w:ascii="宋体" w:hAnsi="宋体" w:cs="宋体"/>
                <w:b w:val="0"/>
                <w:color w:val="auto"/>
                <w:kern w:val="2"/>
                <w:szCs w:val="24"/>
                <w:highlight w:val="none"/>
              </w:rPr>
              <w:t>根据报价人承诺：若成交后，成交供应商须接受采购人领导，在完成日常工作的同时配合采购人对向设备的使用人员讲解相关的使用和保养知识。需</w:t>
            </w:r>
            <w:r>
              <w:rPr>
                <w:rFonts w:hint="eastAsia" w:ascii="宋体" w:hAnsi="宋体" w:cs="宋体"/>
                <w:b w:val="0"/>
                <w:color w:val="auto"/>
                <w:kern w:val="2"/>
                <w:szCs w:val="24"/>
                <w:highlight w:val="none"/>
                <w:lang w:val="en-US" w:eastAsia="zh-CN"/>
              </w:rPr>
              <w:t>提供书面</w:t>
            </w:r>
            <w:r>
              <w:rPr>
                <w:rFonts w:hint="eastAsia" w:ascii="宋体" w:hAnsi="宋体" w:cs="宋体"/>
                <w:b w:val="0"/>
                <w:color w:val="auto"/>
                <w:kern w:val="2"/>
                <w:szCs w:val="24"/>
                <w:highlight w:val="none"/>
              </w:rPr>
              <w:t>承诺</w:t>
            </w:r>
            <w:r>
              <w:rPr>
                <w:rFonts w:hint="eastAsia" w:ascii="宋体" w:hAnsi="宋体" w:cs="宋体"/>
                <w:b w:val="0"/>
                <w:color w:val="auto"/>
                <w:kern w:val="2"/>
                <w:szCs w:val="24"/>
                <w:highlight w:val="none"/>
                <w:lang w:val="en-US" w:eastAsia="zh-CN"/>
              </w:rPr>
              <w:t>函</w:t>
            </w:r>
            <w:r>
              <w:rPr>
                <w:rFonts w:hint="eastAsia" w:ascii="宋体" w:hAnsi="宋体" w:cs="宋体"/>
                <w:b w:val="0"/>
                <w:color w:val="auto"/>
                <w:kern w:val="2"/>
                <w:szCs w:val="24"/>
                <w:highlight w:val="none"/>
              </w:rPr>
              <w:t>（格式自拟），满足得</w:t>
            </w:r>
            <w:r>
              <w:rPr>
                <w:rFonts w:hint="eastAsia" w:ascii="宋体" w:hAnsi="宋体" w:cs="宋体"/>
                <w:b w:val="0"/>
                <w:color w:val="auto"/>
                <w:kern w:val="2"/>
                <w:szCs w:val="24"/>
                <w:highlight w:val="none"/>
                <w:lang w:val="en-US" w:eastAsia="zh-CN"/>
              </w:rPr>
              <w:t>3</w:t>
            </w:r>
            <w:r>
              <w:rPr>
                <w:rFonts w:hint="eastAsia" w:ascii="宋体" w:hAnsi="宋体" w:cs="宋体"/>
                <w:b w:val="0"/>
                <w:color w:val="auto"/>
                <w:kern w:val="2"/>
                <w:szCs w:val="24"/>
                <w:highlight w:val="none"/>
              </w:rPr>
              <w:t>分，未提供</w:t>
            </w:r>
            <w:r>
              <w:rPr>
                <w:rFonts w:hint="eastAsia" w:ascii="宋体" w:hAnsi="宋体" w:cs="宋体"/>
                <w:b w:val="0"/>
                <w:color w:val="auto"/>
                <w:kern w:val="2"/>
                <w:szCs w:val="24"/>
                <w:highlight w:val="none"/>
                <w:lang w:val="en-US" w:eastAsia="zh-CN"/>
              </w:rPr>
              <w:t>或</w:t>
            </w:r>
            <w:r>
              <w:rPr>
                <w:rFonts w:hint="eastAsia" w:ascii="宋体" w:hAnsi="宋体" w:cs="宋体"/>
                <w:b w:val="0"/>
                <w:color w:val="auto"/>
                <w:kern w:val="2"/>
                <w:szCs w:val="24"/>
                <w:highlight w:val="none"/>
              </w:rPr>
              <w:t>承诺</w:t>
            </w:r>
            <w:r>
              <w:rPr>
                <w:rFonts w:hint="eastAsia" w:ascii="宋体" w:hAnsi="宋体" w:cs="宋体"/>
                <w:b w:val="0"/>
                <w:color w:val="auto"/>
                <w:kern w:val="2"/>
                <w:szCs w:val="24"/>
                <w:highlight w:val="none"/>
                <w:lang w:val="en-US" w:eastAsia="zh-CN"/>
              </w:rPr>
              <w:t>不完整的</w:t>
            </w:r>
            <w:r>
              <w:rPr>
                <w:rFonts w:hint="eastAsia" w:ascii="宋体" w:hAnsi="宋体" w:cs="宋体"/>
                <w:b w:val="0"/>
                <w:color w:val="auto"/>
                <w:kern w:val="2"/>
                <w:szCs w:val="24"/>
                <w:highlight w:val="none"/>
              </w:rPr>
              <w:t>不得分。</w:t>
            </w:r>
          </w:p>
        </w:tc>
        <w:tc>
          <w:tcPr>
            <w:tcW w:w="1231" w:type="dxa"/>
            <w:noWrap w:val="0"/>
            <w:vAlign w:val="center"/>
          </w:tcPr>
          <w:p>
            <w:pPr>
              <w:pStyle w:val="62"/>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62"/>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w:t>
            </w:r>
          </w:p>
        </w:tc>
        <w:tc>
          <w:tcPr>
            <w:tcW w:w="6971" w:type="dxa"/>
            <w:noWrap w:val="0"/>
            <w:vAlign w:val="center"/>
          </w:tcPr>
          <w:p>
            <w:pPr>
              <w:pStyle w:val="62"/>
              <w:spacing w:line="360" w:lineRule="auto"/>
              <w:jc w:val="left"/>
              <w:rPr>
                <w:rFonts w:hint="eastAsia" w:ascii="宋体" w:hAnsi="宋体" w:eastAsia="宋体" w:cs="宋体"/>
                <w:b w:val="0"/>
                <w:color w:val="auto"/>
                <w:kern w:val="2"/>
                <w:sz w:val="24"/>
                <w:szCs w:val="24"/>
                <w:highlight w:val="none"/>
              </w:rPr>
            </w:pPr>
            <w:r>
              <w:rPr>
                <w:rFonts w:hint="eastAsia" w:ascii="宋体" w:hAnsi="宋体" w:cs="宋体"/>
                <w:b w:val="0"/>
                <w:color w:val="auto"/>
                <w:kern w:val="2"/>
                <w:szCs w:val="24"/>
                <w:highlight w:val="none"/>
              </w:rPr>
              <w:t>根据报价人承诺：若成交后，成交供应商工作人员必须严格按照操作规程作业，遵守采购人各项管理规定，接受采购人的意见和安排。需</w:t>
            </w:r>
            <w:r>
              <w:rPr>
                <w:rFonts w:hint="eastAsia" w:ascii="宋体" w:hAnsi="宋体" w:cs="宋体"/>
                <w:b w:val="0"/>
                <w:color w:val="auto"/>
                <w:kern w:val="2"/>
                <w:szCs w:val="24"/>
                <w:highlight w:val="none"/>
                <w:lang w:val="en-US" w:eastAsia="zh-CN"/>
              </w:rPr>
              <w:t>提供书面</w:t>
            </w:r>
            <w:r>
              <w:rPr>
                <w:rFonts w:hint="eastAsia" w:ascii="宋体" w:hAnsi="宋体" w:cs="宋体"/>
                <w:b w:val="0"/>
                <w:color w:val="auto"/>
                <w:kern w:val="2"/>
                <w:szCs w:val="24"/>
                <w:highlight w:val="none"/>
              </w:rPr>
              <w:t>承诺</w:t>
            </w:r>
            <w:r>
              <w:rPr>
                <w:rFonts w:hint="eastAsia" w:ascii="宋体" w:hAnsi="宋体" w:cs="宋体"/>
                <w:b w:val="0"/>
                <w:color w:val="auto"/>
                <w:kern w:val="2"/>
                <w:szCs w:val="24"/>
                <w:highlight w:val="none"/>
                <w:lang w:val="en-US" w:eastAsia="zh-CN"/>
              </w:rPr>
              <w:t>函</w:t>
            </w:r>
            <w:r>
              <w:rPr>
                <w:rFonts w:hint="eastAsia" w:ascii="宋体" w:hAnsi="宋体" w:cs="宋体"/>
                <w:b w:val="0"/>
                <w:color w:val="auto"/>
                <w:kern w:val="2"/>
                <w:szCs w:val="24"/>
                <w:highlight w:val="none"/>
              </w:rPr>
              <w:t>（格式自拟），满足得</w:t>
            </w:r>
            <w:r>
              <w:rPr>
                <w:rFonts w:hint="eastAsia" w:ascii="宋体" w:hAnsi="宋体" w:cs="宋体"/>
                <w:b w:val="0"/>
                <w:color w:val="auto"/>
                <w:kern w:val="2"/>
                <w:szCs w:val="24"/>
                <w:highlight w:val="none"/>
                <w:lang w:val="en-US" w:eastAsia="zh-CN"/>
              </w:rPr>
              <w:t>2</w:t>
            </w:r>
            <w:r>
              <w:rPr>
                <w:rFonts w:hint="eastAsia" w:ascii="宋体" w:hAnsi="宋体" w:cs="宋体"/>
                <w:b w:val="0"/>
                <w:color w:val="auto"/>
                <w:kern w:val="2"/>
                <w:szCs w:val="24"/>
                <w:highlight w:val="none"/>
              </w:rPr>
              <w:t>分，未提供</w:t>
            </w:r>
            <w:r>
              <w:rPr>
                <w:rFonts w:hint="eastAsia" w:ascii="宋体" w:hAnsi="宋体" w:cs="宋体"/>
                <w:b w:val="0"/>
                <w:color w:val="auto"/>
                <w:kern w:val="2"/>
                <w:szCs w:val="24"/>
                <w:highlight w:val="none"/>
                <w:lang w:val="en-US" w:eastAsia="zh-CN"/>
              </w:rPr>
              <w:t>或</w:t>
            </w:r>
            <w:r>
              <w:rPr>
                <w:rFonts w:hint="eastAsia" w:ascii="宋体" w:hAnsi="宋体" w:cs="宋体"/>
                <w:b w:val="0"/>
                <w:color w:val="auto"/>
                <w:kern w:val="2"/>
                <w:szCs w:val="24"/>
                <w:highlight w:val="none"/>
              </w:rPr>
              <w:t>承诺</w:t>
            </w:r>
            <w:r>
              <w:rPr>
                <w:rFonts w:hint="eastAsia" w:ascii="宋体" w:hAnsi="宋体" w:cs="宋体"/>
                <w:b w:val="0"/>
                <w:color w:val="auto"/>
                <w:kern w:val="2"/>
                <w:szCs w:val="24"/>
                <w:highlight w:val="none"/>
                <w:lang w:val="en-US" w:eastAsia="zh-CN"/>
              </w:rPr>
              <w:t>不完整的</w:t>
            </w:r>
            <w:r>
              <w:rPr>
                <w:rFonts w:hint="eastAsia" w:ascii="宋体" w:hAnsi="宋体" w:cs="宋体"/>
                <w:b w:val="0"/>
                <w:color w:val="auto"/>
                <w:kern w:val="2"/>
                <w:szCs w:val="24"/>
                <w:highlight w:val="none"/>
              </w:rPr>
              <w:t>不得分。</w:t>
            </w:r>
          </w:p>
        </w:tc>
        <w:tc>
          <w:tcPr>
            <w:tcW w:w="1231" w:type="dxa"/>
            <w:noWrap w:val="0"/>
            <w:vAlign w:val="center"/>
          </w:tcPr>
          <w:p>
            <w:pPr>
              <w:pStyle w:val="62"/>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62"/>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3</w:t>
            </w:r>
          </w:p>
        </w:tc>
        <w:tc>
          <w:tcPr>
            <w:tcW w:w="6971" w:type="dxa"/>
            <w:noWrap w:val="0"/>
            <w:vAlign w:val="center"/>
          </w:tcPr>
          <w:p>
            <w:pPr>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color w:val="auto"/>
                <w:kern w:val="0"/>
                <w:sz w:val="24"/>
                <w:szCs w:val="24"/>
                <w:highlight w:val="none"/>
              </w:rPr>
              <w:t>报价人承诺提供7*24小时</w:t>
            </w:r>
            <w:r>
              <w:rPr>
                <w:rFonts w:hint="eastAsia" w:ascii="宋体" w:hAnsi="宋体" w:cs="宋体"/>
                <w:color w:val="auto"/>
                <w:sz w:val="24"/>
                <w:szCs w:val="24"/>
                <w:highlight w:val="none"/>
              </w:rPr>
              <w:t>电话服务</w:t>
            </w:r>
            <w:r>
              <w:rPr>
                <w:rFonts w:hint="eastAsia" w:ascii="宋体" w:hAnsi="宋体" w:eastAsia="宋体" w:cs="宋体"/>
                <w:color w:val="auto"/>
                <w:kern w:val="0"/>
                <w:sz w:val="24"/>
                <w:szCs w:val="24"/>
                <w:highlight w:val="none"/>
              </w:rPr>
              <w:t>的得3分，报价人须对此提供书面承诺</w:t>
            </w:r>
            <w:r>
              <w:rPr>
                <w:rFonts w:hint="eastAsia" w:ascii="宋体" w:hAnsi="宋体" w:eastAsia="宋体" w:cs="宋体"/>
                <w:color w:val="auto"/>
                <w:kern w:val="0"/>
                <w:sz w:val="24"/>
                <w:szCs w:val="24"/>
                <w:highlight w:val="none"/>
                <w:lang w:val="en-US" w:eastAsia="zh-CN"/>
              </w:rPr>
              <w:t>函</w:t>
            </w:r>
            <w:r>
              <w:rPr>
                <w:rFonts w:hint="eastAsia" w:ascii="宋体" w:hAnsi="宋体" w:eastAsia="宋体" w:cs="宋体"/>
                <w:color w:val="auto"/>
                <w:kern w:val="0"/>
                <w:sz w:val="24"/>
                <w:szCs w:val="24"/>
                <w:highlight w:val="none"/>
              </w:rPr>
              <w:t>（格式自拟），否则不得分。</w:t>
            </w:r>
          </w:p>
        </w:tc>
        <w:tc>
          <w:tcPr>
            <w:tcW w:w="1231" w:type="dxa"/>
            <w:noWrap w:val="0"/>
            <w:vAlign w:val="center"/>
          </w:tcPr>
          <w:p>
            <w:pPr>
              <w:pStyle w:val="62"/>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62"/>
              <w:spacing w:line="360" w:lineRule="auto"/>
              <w:rPr>
                <w:rFonts w:hint="default" w:ascii="宋体" w:hAnsi="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4</w:t>
            </w:r>
          </w:p>
        </w:tc>
        <w:tc>
          <w:tcPr>
            <w:tcW w:w="6971" w:type="dxa"/>
            <w:noWrap w:val="0"/>
            <w:vAlign w:val="center"/>
          </w:tcPr>
          <w:p>
            <w:pPr>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color w:val="auto"/>
                <w:sz w:val="24"/>
                <w:szCs w:val="24"/>
                <w:highlight w:val="none"/>
              </w:rPr>
              <w:t>报价人可提供厦门本地化服务的得3分，否则不得分。报价人可提供合作单位协议或自身机构的营业执照证明，也可提供在本地设立的项目部、办公室、办事处等机构证明，或者承诺</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后提供本地化技术支持和维保服务。</w:t>
            </w:r>
          </w:p>
        </w:tc>
        <w:tc>
          <w:tcPr>
            <w:tcW w:w="1231" w:type="dxa"/>
            <w:noWrap w:val="0"/>
            <w:vAlign w:val="center"/>
          </w:tcPr>
          <w:p>
            <w:pPr>
              <w:pStyle w:val="62"/>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62"/>
              <w:spacing w:line="360" w:lineRule="auto"/>
              <w:rPr>
                <w:rFonts w:hint="default" w:ascii="宋体" w:hAnsi="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5</w:t>
            </w:r>
          </w:p>
        </w:tc>
        <w:tc>
          <w:tcPr>
            <w:tcW w:w="6971" w:type="dxa"/>
            <w:noWrap w:val="0"/>
            <w:vAlign w:val="center"/>
          </w:tcPr>
          <w:p>
            <w:pPr>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color w:val="auto"/>
                <w:sz w:val="24"/>
                <w:szCs w:val="24"/>
                <w:highlight w:val="none"/>
              </w:rPr>
              <w:t>根据报价人针对本项目提供的售后服务体系进行评价：包括但不限于服务流程、服务方式，每完整响应1项得1.5分，满分3分</w:t>
            </w:r>
            <w:r>
              <w:rPr>
                <w:rFonts w:hint="eastAsia" w:ascii="宋体" w:hAnsi="宋体" w:eastAsia="宋体" w:cs="宋体"/>
                <w:color w:val="auto"/>
                <w:kern w:val="0"/>
                <w:sz w:val="24"/>
                <w:szCs w:val="24"/>
                <w:highlight w:val="none"/>
              </w:rPr>
              <w:t>。</w:t>
            </w:r>
          </w:p>
        </w:tc>
        <w:tc>
          <w:tcPr>
            <w:tcW w:w="1231" w:type="dxa"/>
            <w:noWrap w:val="0"/>
            <w:vAlign w:val="center"/>
          </w:tcPr>
          <w:p>
            <w:pPr>
              <w:pStyle w:val="62"/>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62"/>
              <w:spacing w:line="360" w:lineRule="auto"/>
              <w:rPr>
                <w:rFonts w:hint="default" w:ascii="宋体" w:hAnsi="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6</w:t>
            </w:r>
          </w:p>
        </w:tc>
        <w:tc>
          <w:tcPr>
            <w:tcW w:w="6971"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根据报价人20</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rPr>
              <w:t>年1月1日至</w:t>
            </w:r>
            <w:r>
              <w:rPr>
                <w:rFonts w:hint="eastAsia" w:ascii="宋体" w:hAnsi="宋体" w:cs="宋体"/>
                <w:color w:val="auto"/>
                <w:sz w:val="24"/>
                <w:szCs w:val="24"/>
                <w:highlight w:val="none"/>
                <w:lang w:val="en-US" w:eastAsia="zh-CN"/>
              </w:rPr>
              <w:t>报价截止当日</w:t>
            </w:r>
            <w:r>
              <w:rPr>
                <w:rFonts w:hint="eastAsia" w:ascii="宋体" w:hAnsi="宋体" w:eastAsia="宋体" w:cs="宋体"/>
                <w:color w:val="auto"/>
                <w:sz w:val="24"/>
                <w:szCs w:val="24"/>
                <w:highlight w:val="none"/>
              </w:rPr>
              <w:t>（以合同签订时间为准）</w:t>
            </w:r>
            <w:r>
              <w:rPr>
                <w:rFonts w:hint="eastAsia" w:ascii="宋体" w:hAnsi="宋体" w:eastAsia="宋体" w:cs="宋体"/>
                <w:color w:val="auto"/>
                <w:kern w:val="0"/>
                <w:sz w:val="24"/>
                <w:szCs w:val="24"/>
                <w:highlight w:val="none"/>
                <w:lang w:val="en-US" w:eastAsia="zh-CN"/>
              </w:rPr>
              <w:t>信息</w:t>
            </w:r>
            <w:r>
              <w:rPr>
                <w:rFonts w:hint="eastAsia" w:ascii="宋体" w:hAnsi="宋体" w:eastAsia="宋体" w:cs="宋体"/>
                <w:color w:val="auto"/>
                <w:kern w:val="0"/>
                <w:sz w:val="24"/>
                <w:szCs w:val="24"/>
                <w:highlight w:val="none"/>
              </w:rPr>
              <w:t>化或安防维保</w:t>
            </w:r>
            <w:r>
              <w:rPr>
                <w:rFonts w:hint="eastAsia" w:ascii="宋体" w:hAnsi="宋体" w:eastAsia="宋体" w:cs="宋体"/>
                <w:color w:val="auto"/>
                <w:sz w:val="24"/>
                <w:szCs w:val="24"/>
                <w:highlight w:val="none"/>
              </w:rPr>
              <w:t>项目的业绩有效证明文件进行评价：每提供1个有效业绩得1分，满分3分。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有效证明文件包括该业绩的：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①中标（成交）公告（提供相关网站中标（成交）公告的下载网页及其网址）；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②中标（成交）通知书；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③采购合同文本；</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w:t>
            </w:r>
            <w:r>
              <w:rPr>
                <w:rFonts w:hint="eastAsia" w:ascii="宋体" w:hAnsi="宋体" w:eastAsia="宋体" w:cs="宋体"/>
                <w:bCs/>
                <w:color w:val="auto"/>
                <w:kern w:val="0"/>
                <w:sz w:val="24"/>
                <w:szCs w:val="24"/>
                <w:highlight w:val="none"/>
              </w:rPr>
              <w:t>能够证明该业绩项目已经采购人验收合格（或服务考核通过的证明）的相关证明文件</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color w:val="auto"/>
                <w:sz w:val="24"/>
                <w:szCs w:val="24"/>
                <w:highlight w:val="none"/>
              </w:rPr>
              <w:t>以上①②③④要求四项齐全。未按照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文件要求提供完整资料的业绩不得分。</w:t>
            </w:r>
          </w:p>
        </w:tc>
        <w:tc>
          <w:tcPr>
            <w:tcW w:w="1231" w:type="dxa"/>
            <w:noWrap w:val="0"/>
            <w:vAlign w:val="center"/>
          </w:tcPr>
          <w:p>
            <w:pPr>
              <w:pStyle w:val="62"/>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62"/>
              <w:spacing w:line="360" w:lineRule="auto"/>
              <w:rPr>
                <w:rFonts w:hint="default" w:ascii="宋体" w:hAnsi="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7</w:t>
            </w:r>
          </w:p>
        </w:tc>
        <w:tc>
          <w:tcPr>
            <w:tcW w:w="6971" w:type="dxa"/>
            <w:noWrap w:val="0"/>
            <w:vAlign w:val="center"/>
          </w:tcPr>
          <w:p>
            <w:pPr>
              <w:pStyle w:val="62"/>
              <w:spacing w:line="360" w:lineRule="auto"/>
              <w:jc w:val="left"/>
              <w:rPr>
                <w:rFonts w:hint="eastAsia" w:asciiTheme="minorEastAsia" w:hAnsiTheme="minorEastAsia" w:eastAsiaTheme="minorEastAsia" w:cstheme="minorEastAsia"/>
                <w:b w:val="0"/>
                <w:color w:val="auto"/>
                <w:kern w:val="2"/>
                <w:sz w:val="24"/>
                <w:szCs w:val="24"/>
                <w:highlight w:val="none"/>
              </w:rPr>
            </w:pPr>
            <w:r>
              <w:rPr>
                <w:rFonts w:hint="eastAsia" w:asciiTheme="minorEastAsia" w:hAnsiTheme="minorEastAsia" w:eastAsiaTheme="minorEastAsia" w:cstheme="minorEastAsia"/>
                <w:b w:val="0"/>
                <w:bCs w:val="0"/>
                <w:color w:val="auto"/>
                <w:sz w:val="24"/>
                <w:highlight w:val="none"/>
                <w:lang w:val="en-US" w:eastAsia="zh-CN"/>
              </w:rPr>
              <w:t>报价人</w:t>
            </w:r>
            <w:r>
              <w:rPr>
                <w:rFonts w:hint="eastAsia" w:asciiTheme="minorEastAsia" w:hAnsiTheme="minorEastAsia" w:eastAsiaTheme="minorEastAsia" w:cstheme="minorEastAsia"/>
                <w:b w:val="0"/>
                <w:bCs w:val="0"/>
                <w:color w:val="auto"/>
                <w:sz w:val="24"/>
                <w:highlight w:val="none"/>
                <w:lang w:eastAsia="zh-CN"/>
              </w:rPr>
              <w:t>获得质量管理体系认证证书，</w:t>
            </w:r>
            <w:r>
              <w:rPr>
                <w:rFonts w:hint="eastAsia" w:asciiTheme="minorEastAsia" w:hAnsiTheme="minorEastAsia" w:eastAsiaTheme="minorEastAsia" w:cstheme="minorEastAsia"/>
                <w:b w:val="0"/>
                <w:bCs w:val="0"/>
                <w:color w:val="auto"/>
                <w:sz w:val="24"/>
                <w:highlight w:val="none"/>
                <w:lang w:val="en-US" w:eastAsia="zh-CN"/>
              </w:rPr>
              <w:t>信息安全管理体系认证，信息技术服务管理体系认证证书，</w:t>
            </w:r>
            <w:r>
              <w:rPr>
                <w:rFonts w:hint="eastAsia" w:asciiTheme="minorEastAsia" w:hAnsiTheme="minorEastAsia" w:eastAsiaTheme="minorEastAsia" w:cstheme="minorEastAsia"/>
                <w:b w:val="0"/>
                <w:bCs w:val="0"/>
                <w:color w:val="auto"/>
                <w:sz w:val="24"/>
                <w:highlight w:val="none"/>
                <w:lang w:eastAsia="zh-CN"/>
              </w:rPr>
              <w:t>每提供1</w:t>
            </w:r>
            <w:r>
              <w:rPr>
                <w:rFonts w:hint="eastAsia" w:asciiTheme="minorEastAsia" w:hAnsiTheme="minorEastAsia" w:eastAsiaTheme="minorEastAsia" w:cstheme="minorEastAsia"/>
                <w:b w:val="0"/>
                <w:bCs w:val="0"/>
                <w:color w:val="auto"/>
                <w:sz w:val="24"/>
                <w:highlight w:val="none"/>
                <w:lang w:val="en-US" w:eastAsia="zh-CN"/>
              </w:rPr>
              <w:t>份</w:t>
            </w:r>
            <w:r>
              <w:rPr>
                <w:rFonts w:hint="eastAsia" w:asciiTheme="minorEastAsia" w:hAnsiTheme="minorEastAsia" w:eastAsiaTheme="minorEastAsia" w:cstheme="minorEastAsia"/>
                <w:b w:val="0"/>
                <w:bCs w:val="0"/>
                <w:color w:val="auto"/>
                <w:sz w:val="24"/>
                <w:highlight w:val="none"/>
                <w:lang w:eastAsia="zh-CN"/>
              </w:rPr>
              <w:t>得1分，满分3分。需提供证书的有效复印件及全国认证认可信息公告服务平台http://cx.cnca.cn网站的网页截图（包含但不限于证书编号、证书状态、证书到期日期、组织名称、发证机构名称）并体现网址，否则不得分。</w:t>
            </w:r>
          </w:p>
        </w:tc>
        <w:tc>
          <w:tcPr>
            <w:tcW w:w="1231" w:type="dxa"/>
            <w:noWrap w:val="0"/>
            <w:vAlign w:val="center"/>
          </w:tcPr>
          <w:p>
            <w:pPr>
              <w:pStyle w:val="62"/>
              <w:spacing w:line="360" w:lineRule="auto"/>
              <w:rPr>
                <w:rFonts w:hint="default" w:ascii="宋体" w:hAnsi="宋体" w:eastAsia="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909" w:type="dxa"/>
            <w:gridSpan w:val="3"/>
            <w:noWrap w:val="0"/>
            <w:vAlign w:val="center"/>
          </w:tcPr>
          <w:p>
            <w:pPr>
              <w:spacing w:line="360" w:lineRule="auto"/>
              <w:ind w:firstLine="480" w:firstLineChars="200"/>
              <w:jc w:val="left"/>
              <w:outlineLvl w:val="0"/>
              <w:rPr>
                <w:rFonts w:hint="eastAsia" w:ascii="宋体" w:hAnsi="宋体" w:eastAsia="宋体" w:cs="宋体"/>
                <w:color w:val="auto"/>
                <w:sz w:val="24"/>
                <w:szCs w:val="24"/>
                <w:highlight w:val="none"/>
              </w:rPr>
            </w:pPr>
            <w:bookmarkStart w:id="11" w:name="_Toc1775"/>
            <w:r>
              <w:rPr>
                <w:rFonts w:hint="eastAsia" w:ascii="宋体" w:hAnsi="宋体" w:eastAsia="宋体" w:cs="宋体"/>
                <w:color w:val="auto"/>
                <w:sz w:val="24"/>
                <w:szCs w:val="24"/>
                <w:highlight w:val="none"/>
              </w:rPr>
              <w:t>报价人须提供该业绩项目的中标（成交）公告（提供相关网站中标（成交）公告的下载网页及其网址）、中标（成交）通知书复印件、采购合同文本复印件，以及能够证明该业绩项目已经采购人验收合格的相关证明文件复印件，原件备查；如未按采购文件要求提供该项业绩完整资料的，评委对该项业绩应不予采信。</w:t>
            </w:r>
            <w:bookmarkEnd w:id="11"/>
          </w:p>
        </w:tc>
      </w:tr>
    </w:tbl>
    <w:p>
      <w:pPr>
        <w:spacing w:line="360" w:lineRule="auto"/>
        <w:rPr>
          <w:rFonts w:hint="eastAsia" w:ascii="宋体" w:hAnsi="宋体" w:eastAsia="宋体" w:cs="宋体"/>
          <w:color w:val="auto"/>
          <w:sz w:val="24"/>
          <w:szCs w:val="24"/>
          <w:highlight w:val="none"/>
        </w:rPr>
      </w:pPr>
    </w:p>
    <w:p>
      <w:pPr>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（三）报价评分（F3）标准（满分</w:t>
      </w:r>
      <w:r>
        <w:rPr>
          <w:rFonts w:hint="eastAsia" w:ascii="宋体" w:hAnsi="宋体" w:cs="宋体"/>
          <w:b/>
          <w:color w:val="auto"/>
          <w:sz w:val="24"/>
          <w:szCs w:val="24"/>
          <w:highlight w:val="none"/>
          <w:lang w:val="en-US" w:eastAsia="zh-CN"/>
        </w:rPr>
        <w:t>15</w:t>
      </w:r>
      <w:r>
        <w:rPr>
          <w:rFonts w:hint="eastAsia" w:ascii="宋体" w:hAnsi="宋体" w:eastAsia="宋体" w:cs="宋体"/>
          <w:b/>
          <w:color w:val="auto"/>
          <w:sz w:val="24"/>
          <w:szCs w:val="24"/>
          <w:highlight w:val="none"/>
        </w:rPr>
        <w:t>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满足采购文件要求且有效标评审价最低的报价人的</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为磋商基准价，其价格分为满分。其他报价人的价格分统一按照公式：</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2492"/>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vMerge w:val="restart"/>
            <w:vAlign w:val="center"/>
          </w:tcPr>
          <w:p>
            <w:pPr>
              <w:spacing w:line="360" w:lineRule="auto"/>
              <w:jc w:val="right"/>
              <w:rPr>
                <w:rFonts w:ascii="宋体" w:hAnsi="宋体" w:cs="宋体"/>
                <w:color w:val="auto"/>
                <w:sz w:val="24"/>
                <w:szCs w:val="24"/>
                <w:highlight w:val="none"/>
              </w:rPr>
            </w:pPr>
            <w:r>
              <w:rPr>
                <w:rFonts w:hint="eastAsia" w:ascii="宋体" w:hAnsi="宋体" w:cs="宋体"/>
                <w:b/>
                <w:color w:val="auto"/>
                <w:sz w:val="24"/>
                <w:szCs w:val="24"/>
                <w:highlight w:val="none"/>
              </w:rPr>
              <w:t>磋商报价得分=</w:t>
            </w:r>
          </w:p>
        </w:tc>
        <w:tc>
          <w:tcPr>
            <w:tcW w:w="2492" w:type="dxa"/>
            <w:vAlign w:val="center"/>
          </w:tcPr>
          <w:p>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磋商基准价</w:t>
            </w:r>
          </w:p>
        </w:tc>
        <w:tc>
          <w:tcPr>
            <w:tcW w:w="3001" w:type="dxa"/>
            <w:vMerge w:val="restart"/>
            <w:vAlign w:val="center"/>
          </w:tcPr>
          <w:p>
            <w:pPr>
              <w:spacing w:line="360" w:lineRule="auto"/>
              <w:jc w:val="left"/>
              <w:rPr>
                <w:rFonts w:ascii="宋体" w:hAnsi="宋体" w:cs="宋体"/>
                <w:color w:val="auto"/>
                <w:sz w:val="24"/>
                <w:szCs w:val="24"/>
                <w:highlight w:val="none"/>
              </w:rPr>
            </w:pPr>
            <w:r>
              <w:rPr>
                <w:rFonts w:hint="eastAsia" w:ascii="宋体" w:hAnsi="宋体" w:cs="宋体"/>
                <w:b/>
                <w:color w:val="auto"/>
                <w:sz w:val="24"/>
                <w:szCs w:val="24"/>
                <w:highlight w:val="none"/>
              </w:rPr>
              <w:t>×该价格评分项满分分值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69" w:type="dxa"/>
            <w:vMerge w:val="continue"/>
            <w:vAlign w:val="center"/>
          </w:tcPr>
          <w:p>
            <w:pPr>
              <w:spacing w:line="360" w:lineRule="auto"/>
              <w:jc w:val="center"/>
              <w:rPr>
                <w:rFonts w:ascii="宋体" w:hAnsi="宋体" w:cs="宋体"/>
                <w:color w:val="auto"/>
                <w:sz w:val="24"/>
                <w:szCs w:val="24"/>
                <w:highlight w:val="none"/>
              </w:rPr>
            </w:pPr>
          </w:p>
        </w:tc>
        <w:tc>
          <w:tcPr>
            <w:tcW w:w="2492" w:type="dxa"/>
            <w:vAlign w:val="center"/>
          </w:tcPr>
          <w:p>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最后磋商报价</w:t>
            </w:r>
          </w:p>
        </w:tc>
        <w:tc>
          <w:tcPr>
            <w:tcW w:w="3001" w:type="dxa"/>
            <w:vMerge w:val="continue"/>
            <w:vAlign w:val="center"/>
          </w:tcPr>
          <w:p>
            <w:pPr>
              <w:spacing w:line="360" w:lineRule="auto"/>
              <w:jc w:val="center"/>
              <w:rPr>
                <w:rFonts w:ascii="宋体" w:hAnsi="宋体" w:cs="宋体"/>
                <w:color w:val="auto"/>
                <w:sz w:val="24"/>
                <w:szCs w:val="24"/>
                <w:highlight w:val="none"/>
              </w:rPr>
            </w:pPr>
          </w:p>
        </w:tc>
      </w:tr>
    </w:tbl>
    <w:p>
      <w:pPr>
        <w:spacing w:line="360" w:lineRule="auto"/>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信息化和安防维保服务</w:t>
      </w:r>
      <w:r>
        <w:rPr>
          <w:rFonts w:hint="eastAsia" w:ascii="宋体" w:hAnsi="宋体" w:cs="宋体"/>
          <w:color w:val="auto"/>
          <w:sz w:val="24"/>
          <w:szCs w:val="24"/>
          <w:highlight w:val="none"/>
        </w:rPr>
        <w:t>的价格分满分分值是</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p>
      <w:pPr>
        <w:spacing w:line="360" w:lineRule="auto"/>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2、维保期间涉及到打印机配件、耗材统一报价折扣率的价格分满分分值是</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说明：最后磋商报价还需进行算术错误修正、</w:t>
      </w:r>
      <w:r>
        <w:rPr>
          <w:rFonts w:hint="eastAsia" w:ascii="宋体" w:hAnsi="宋体" w:eastAsia="宋体" w:cs="宋体"/>
          <w:color w:val="auto"/>
          <w:spacing w:val="-4"/>
          <w:sz w:val="24"/>
          <w:szCs w:val="24"/>
          <w:highlight w:val="none"/>
        </w:rPr>
        <w:t>漏（缺）项修正、</w:t>
      </w:r>
      <w:r>
        <w:rPr>
          <w:rFonts w:hint="eastAsia" w:ascii="宋体" w:hAnsi="宋体" w:eastAsia="宋体" w:cs="宋体"/>
          <w:color w:val="auto"/>
          <w:sz w:val="24"/>
          <w:szCs w:val="24"/>
          <w:highlight w:val="none"/>
        </w:rPr>
        <w:t>中小企业政策优惠扣除、“后一次的报价高于前一次报价的，后一次的报价无效，以前一次的报价为准”的报价认定。</w:t>
      </w:r>
    </w:p>
    <w:p>
      <w:pPr>
        <w:spacing w:line="360" w:lineRule="auto"/>
        <w:rPr>
          <w:rFonts w:hint="eastAsia" w:ascii="宋体" w:hAnsi="宋体" w:eastAsia="宋体" w:cs="宋体"/>
          <w:color w:val="auto"/>
          <w:sz w:val="24"/>
          <w:szCs w:val="24"/>
          <w:highlight w:val="none"/>
        </w:rPr>
      </w:pPr>
    </w:p>
    <w:p>
      <w:pPr>
        <w:tabs>
          <w:tab w:val="left" w:pos="-1080"/>
          <w:tab w:val="left" w:pos="180"/>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lang w:val="en-US" w:eastAsia="zh-CN"/>
        </w:rPr>
        <w:t>节能、环保产品价格扣除</w:t>
      </w:r>
      <w:r>
        <w:rPr>
          <w:rFonts w:hint="eastAsia" w:ascii="宋体" w:hAnsi="宋体" w:eastAsia="宋体" w:cs="宋体"/>
          <w:b/>
          <w:bCs/>
          <w:color w:val="auto"/>
          <w:sz w:val="24"/>
          <w:szCs w:val="24"/>
          <w:highlight w:val="none"/>
        </w:rPr>
        <w:t>：</w:t>
      </w: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有节能（强制采购节能产品的除外）、环保产品认证证书的报价服务，在评审时将给予</w:t>
      </w:r>
      <w:r>
        <w:rPr>
          <w:rFonts w:hint="eastAsia" w:ascii="宋体" w:hAnsi="宋体" w:eastAsia="宋体" w:cs="宋体"/>
          <w:color w:val="auto"/>
          <w:sz w:val="24"/>
          <w:szCs w:val="24"/>
          <w:highlight w:val="none"/>
          <w:lang w:val="en-US" w:eastAsia="zh-CN"/>
        </w:rPr>
        <w:t>价格扣除</w:t>
      </w:r>
      <w:r>
        <w:rPr>
          <w:rFonts w:hint="eastAsia" w:ascii="宋体" w:hAnsi="宋体" w:eastAsia="宋体" w:cs="宋体"/>
          <w:color w:val="auto"/>
          <w:sz w:val="24"/>
          <w:szCs w:val="24"/>
          <w:highlight w:val="none"/>
        </w:rPr>
        <w:t>，具体见报价人须知前附表5。</w:t>
      </w:r>
    </w:p>
    <w:p>
      <w:pPr>
        <w:widowControl w:val="0"/>
        <w:spacing w:after="0" w:afterAutospacing="0" w:line="360" w:lineRule="auto"/>
        <w:ind w:firstLine="0" w:firstLineChars="0"/>
        <w:rPr>
          <w:rFonts w:hint="eastAsia" w:ascii="宋体" w:hAnsi="宋体" w:eastAsia="宋体" w:cs="宋体"/>
          <w:color w:val="auto"/>
          <w:sz w:val="24"/>
          <w:szCs w:val="24"/>
          <w:highlight w:val="none"/>
          <w:lang w:eastAsia="zh-CN"/>
        </w:rPr>
      </w:pPr>
      <w:r>
        <w:rPr>
          <w:rStyle w:val="25"/>
          <w:rFonts w:hint="eastAsia" w:ascii="宋体" w:hAnsi="宋体" w:eastAsia="宋体" w:cs="宋体"/>
          <w:b/>
          <w:color w:val="auto"/>
          <w:kern w:val="2"/>
          <w:sz w:val="24"/>
          <w:szCs w:val="24"/>
          <w:highlight w:val="none"/>
        </w:rPr>
        <w:t>（</w:t>
      </w:r>
      <w:r>
        <w:rPr>
          <w:rStyle w:val="25"/>
          <w:rFonts w:hint="eastAsia" w:ascii="宋体" w:hAnsi="宋体" w:cs="宋体"/>
          <w:b/>
          <w:color w:val="auto"/>
          <w:kern w:val="2"/>
          <w:sz w:val="24"/>
          <w:szCs w:val="24"/>
          <w:highlight w:val="none"/>
          <w:lang w:val="en-US" w:eastAsia="zh-CN"/>
        </w:rPr>
        <w:t>五</w:t>
      </w:r>
      <w:r>
        <w:rPr>
          <w:rStyle w:val="25"/>
          <w:rFonts w:hint="eastAsia" w:ascii="宋体" w:hAnsi="宋体" w:eastAsia="宋体" w:cs="宋体"/>
          <w:b/>
          <w:color w:val="auto"/>
          <w:kern w:val="2"/>
          <w:sz w:val="24"/>
          <w:szCs w:val="24"/>
          <w:highlight w:val="none"/>
        </w:rPr>
        <w:t>）</w:t>
      </w:r>
      <w:r>
        <w:rPr>
          <w:rFonts w:hint="eastAsia" w:ascii="宋体" w:hAnsi="宋体" w:eastAsia="宋体" w:cs="宋体"/>
          <w:b/>
          <w:bCs/>
          <w:color w:val="auto"/>
          <w:sz w:val="24"/>
          <w:szCs w:val="24"/>
          <w:highlight w:val="none"/>
          <w:lang w:eastAsia="zh-CN"/>
        </w:rPr>
        <w:t>异常低价审查</w:t>
      </w:r>
    </w:p>
    <w:p>
      <w:pPr>
        <w:widowControl w:val="0"/>
        <w:spacing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政府采购评审中出现下列情形之一的，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lang w:eastAsia="zh-CN"/>
        </w:rPr>
        <w:t>应当启动异常低价</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审查程序：</w:t>
      </w:r>
    </w:p>
    <w:p>
      <w:pPr>
        <w:widowControl w:val="0"/>
        <w:spacing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报价低于全部通过符合性审</w:t>
      </w:r>
      <w:r>
        <w:rPr>
          <w:rFonts w:hint="eastAsia" w:ascii="宋体" w:hAnsi="宋体" w:cs="宋体"/>
          <w:color w:val="auto"/>
          <w:sz w:val="24"/>
          <w:szCs w:val="24"/>
          <w:highlight w:val="none"/>
          <w:lang w:val="en-US" w:eastAsia="zh-CN"/>
        </w:rPr>
        <w:t>报价人</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报价平均值50%的，即</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报价&lt;全部通过符合性审查</w:t>
      </w:r>
      <w:r>
        <w:rPr>
          <w:rFonts w:hint="eastAsia" w:ascii="宋体" w:hAnsi="宋体" w:cs="宋体"/>
          <w:color w:val="auto"/>
          <w:sz w:val="24"/>
          <w:szCs w:val="24"/>
          <w:highlight w:val="none"/>
          <w:lang w:val="en-US" w:eastAsia="zh-CN"/>
        </w:rPr>
        <w:t>报价人</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报价平均值×50%；</w:t>
      </w:r>
    </w:p>
    <w:p>
      <w:pPr>
        <w:widowControl w:val="0"/>
        <w:spacing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报价低于通过符合性审查的次低报价</w:t>
      </w:r>
      <w:r>
        <w:rPr>
          <w:rFonts w:hint="eastAsia" w:ascii="宋体" w:hAnsi="宋体" w:cs="宋体"/>
          <w:color w:val="auto"/>
          <w:sz w:val="24"/>
          <w:szCs w:val="24"/>
          <w:highlight w:val="none"/>
          <w:lang w:val="en-US" w:eastAsia="zh-CN"/>
        </w:rPr>
        <w:t>报价人</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报价50%的，即</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报价&lt;通过符合性审查的次低报价</w:t>
      </w:r>
      <w:r>
        <w:rPr>
          <w:rFonts w:hint="eastAsia" w:ascii="宋体" w:hAnsi="宋体" w:cs="宋体"/>
          <w:color w:val="auto"/>
          <w:sz w:val="24"/>
          <w:szCs w:val="24"/>
          <w:highlight w:val="none"/>
          <w:lang w:val="en-US" w:eastAsia="zh-CN"/>
        </w:rPr>
        <w:t>报价人</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报价×50%；</w:t>
      </w:r>
    </w:p>
    <w:p>
      <w:pPr>
        <w:widowControl w:val="0"/>
        <w:spacing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报价低于采购项目最高限价45%的，即</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报价&lt;采购项目最高限价×45%；</w:t>
      </w:r>
    </w:p>
    <w:p>
      <w:pPr>
        <w:widowControl w:val="0"/>
        <w:spacing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lang w:eastAsia="zh-CN"/>
        </w:rPr>
        <w:t>基于专业判断，认为</w:t>
      </w:r>
      <w:r>
        <w:rPr>
          <w:rFonts w:hint="eastAsia" w:ascii="宋体" w:hAnsi="宋体" w:cs="宋体"/>
          <w:color w:val="auto"/>
          <w:sz w:val="24"/>
          <w:szCs w:val="24"/>
          <w:highlight w:val="none"/>
          <w:lang w:val="en-US" w:eastAsia="zh-CN"/>
        </w:rPr>
        <w:t>报价人</w:t>
      </w:r>
      <w:r>
        <w:rPr>
          <w:rFonts w:hint="eastAsia" w:ascii="宋体" w:hAnsi="宋体" w:eastAsia="宋体" w:cs="宋体"/>
          <w:color w:val="auto"/>
          <w:sz w:val="24"/>
          <w:szCs w:val="24"/>
          <w:highlight w:val="none"/>
          <w:lang w:eastAsia="zh-CN"/>
        </w:rPr>
        <w:t>报价过低，有可能影响产品质量或者不能诚信履约的其他情形。</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启动异常低价</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rPr>
        <w:t>审查后，属于前述第</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项至第</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项情形，供应商已随投标文件一并提交相关书面说明及必要的证明材料的，在评审现场可不再重复提交。</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依据专业经验，参考同类项目中标(成交)价格、 类似产品市场价格水平、行业人工费用标准、国家有关部门指导行业协会发布的行业平均成本等情况，对报价合理性进行判断。</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rPr>
        <w:t>供应商不能提供书面说明、证明材料，或者提供的书面说明、证明材料不能证明其报价合理性的，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应当将其作为无效</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处理。</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采购人、采购代理机构应当为</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借助互联网等渠道查询相关信息的，应当严格遵守评审工作纪律，不得实施影响评审公正的行为。</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异常低价</w:t>
      </w:r>
      <w:r>
        <w:rPr>
          <w:rStyle w:val="25"/>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rPr>
        <w:t>审查的启动原因、审查意见和审查结果应当在评审报告中记录，并随供应商提供的相关书面说明及证明材料，以及</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有关互联网浏览、查询历史一并归档。</w:t>
      </w: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pPr>
        <w:pStyle w:val="4"/>
        <w:keepNext w:val="0"/>
        <w:keepLines w:val="0"/>
        <w:tabs>
          <w:tab w:val="center" w:pos="4365"/>
        </w:tabs>
        <w:spacing w:before="0" w:after="0" w:line="360" w:lineRule="auto"/>
        <w:ind w:firstLine="643" w:firstLineChars="200"/>
        <w:jc w:val="both"/>
        <w:rPr>
          <w:rFonts w:hint="eastAsia" w:ascii="宋体" w:hAnsi="宋体" w:eastAsia="宋体" w:cs="宋体"/>
          <w:color w:val="auto"/>
          <w:sz w:val="32"/>
          <w:szCs w:val="32"/>
          <w:highlight w:val="none"/>
        </w:rPr>
        <w:sectPr>
          <w:pgSz w:w="11906" w:h="16838"/>
          <w:pgMar w:top="1440" w:right="1797" w:bottom="1440" w:left="1797" w:header="851" w:footer="992" w:gutter="0"/>
          <w:cols w:space="720" w:num="1"/>
          <w:docGrid w:linePitch="312" w:charSpace="0"/>
        </w:sectPr>
      </w:pPr>
      <w:bookmarkStart w:id="12" w:name="_Toc21521"/>
    </w:p>
    <w:p>
      <w:pPr>
        <w:pStyle w:val="4"/>
        <w:keepNext w:val="0"/>
        <w:keepLines w:val="0"/>
        <w:tabs>
          <w:tab w:val="center" w:pos="4365"/>
        </w:tabs>
        <w:spacing w:before="0" w:after="0" w:line="360" w:lineRule="auto"/>
        <w:ind w:firstLine="643"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报价人须知前附表4：中小企业及监狱企业优惠办法</w:t>
      </w:r>
      <w:bookmarkEnd w:id="12"/>
    </w:p>
    <w:tbl>
      <w:tblPr>
        <w:tblStyle w:val="2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25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00"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484"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本项目是否属于预留份额专门面向中小企业采购活动</w:t>
            </w:r>
            <w:r>
              <w:rPr>
                <w:rFonts w:hint="eastAsia" w:ascii="宋体" w:hAnsi="宋体" w:eastAsia="宋体" w:cs="宋体"/>
                <w:b/>
                <w:color w:val="auto"/>
                <w:sz w:val="24"/>
                <w:szCs w:val="24"/>
                <w:highlight w:val="none"/>
              </w:rPr>
              <w:t>：</w:t>
            </w:r>
          </w:p>
        </w:tc>
        <w:tc>
          <w:tcPr>
            <w:tcW w:w="6256"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48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中小企业的认定标准</w:t>
            </w:r>
          </w:p>
        </w:tc>
        <w:tc>
          <w:tcPr>
            <w:tcW w:w="6256" w:type="dxa"/>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中小企业参加政府采购活动，应当出具《中小企业声明函》，否则不得享受相关中小企业扶持政策。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须满足以下条件，才能认定为中小企业</w:t>
            </w:r>
            <w:r>
              <w:rPr>
                <w:rFonts w:hint="eastAsia" w:ascii="宋体" w:hAnsi="宋体" w:eastAsia="宋体" w:cs="宋体"/>
                <w:b/>
                <w:color w:val="auto"/>
                <w:sz w:val="24"/>
                <w:szCs w:val="24"/>
                <w:highlight w:val="none"/>
              </w:rPr>
              <w:t>（含中型、小型、微型企业，下同）</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00"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484"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优惠办法：</w:t>
            </w:r>
          </w:p>
        </w:tc>
        <w:tc>
          <w:tcPr>
            <w:tcW w:w="6256" w:type="dxa"/>
            <w:tcBorders>
              <w:bottom w:val="single" w:color="auto" w:sz="4" w:space="0"/>
            </w:tcBorders>
            <w:noWrap w:val="0"/>
            <w:vAlign w:val="top"/>
          </w:tcPr>
          <w:p>
            <w:pPr>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报价人为中小企业（含中型、小型、微型企业，下同）：</w:t>
            </w:r>
          </w:p>
          <w:p>
            <w:pPr>
              <w:spacing w:line="360" w:lineRule="auto"/>
              <w:ind w:left="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①磋商保证金：</w:t>
            </w:r>
            <w:r>
              <w:rPr>
                <w:rFonts w:hint="eastAsia" w:ascii="宋体" w:hAnsi="宋体" w:eastAsia="宋体" w:cs="宋体"/>
                <w:color w:val="auto"/>
                <w:spacing w:val="-4"/>
                <w:sz w:val="24"/>
                <w:szCs w:val="24"/>
                <w:highlight w:val="none"/>
                <w:lang w:val="en-US" w:eastAsia="zh-CN"/>
              </w:rPr>
              <w:t>全免</w:t>
            </w:r>
          </w:p>
          <w:p>
            <w:pPr>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②履约保证金：按约定比例的50%支付（如果有的话）</w:t>
            </w:r>
          </w:p>
          <w:p>
            <w:pPr>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③</w:t>
            </w:r>
            <w:r>
              <w:rPr>
                <w:rFonts w:hint="eastAsia" w:ascii="宋体" w:hAnsi="宋体" w:eastAsia="宋体" w:cs="宋体"/>
                <w:color w:val="auto"/>
                <w:spacing w:val="-4"/>
                <w:sz w:val="24"/>
                <w:szCs w:val="24"/>
                <w:highlight w:val="none"/>
                <w:lang w:eastAsia="zh-CN"/>
              </w:rPr>
              <w:t>代理服务费</w:t>
            </w:r>
            <w:r>
              <w:rPr>
                <w:rFonts w:hint="eastAsia" w:ascii="宋体" w:hAnsi="宋体" w:eastAsia="宋体" w:cs="宋体"/>
                <w:color w:val="auto"/>
                <w:spacing w:val="-4"/>
                <w:sz w:val="24"/>
                <w:szCs w:val="24"/>
                <w:highlight w:val="none"/>
              </w:rPr>
              <w:t>：按采购文件规定的收费标准下调10%</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本项目的服务承接商为小微企业。</w:t>
            </w:r>
            <w:r>
              <w:rPr>
                <w:rFonts w:hint="eastAsia" w:ascii="宋体" w:hAnsi="宋体" w:eastAsia="宋体" w:cs="宋体"/>
                <w:color w:val="auto"/>
                <w:sz w:val="24"/>
                <w:szCs w:val="24"/>
                <w:highlight w:val="none"/>
              </w:rPr>
              <w:t>对其报价给予20%的扣除，扣除后的价格作为该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人的评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价参与价格评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联合体各方均为小型、微型企业的，联合体视同为小型、微型企业享受本办法第四条、第五条规定的扶持政策。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组成联合体的大中型企业和其他自然人、法人或者其他组织，与小型、微型企业之间不得存在投资关系。</w:t>
            </w:r>
          </w:p>
          <w:p>
            <w:pPr>
              <w:pStyle w:val="23"/>
              <w:numPr>
                <w:ilvl w:val="-1"/>
                <w:numId w:val="0"/>
              </w:numPr>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auto"/>
                <w:sz w:val="24"/>
                <w:szCs w:val="24"/>
                <w:highlight w:val="none"/>
                <w:lang w:eastAsia="zh-CN"/>
              </w:rPr>
              <w:t>根据《财政部 民政部 中国残疾人联合会关于促进残疾人就业政府采购政策的通知》（财库[2017]141号），残疾人福利性单位视同小型、微型企业。残疾人福利性单位属于小型、微型企业的，不重复享受政策。</w:t>
            </w:r>
          </w:p>
          <w:p>
            <w:pPr>
              <w:spacing w:line="360" w:lineRule="auto"/>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b w:val="0"/>
                <w:color w:val="auto"/>
                <w:sz w:val="24"/>
                <w:szCs w:val="24"/>
                <w:highlight w:val="none"/>
                <w:lang w:val="en-US" w:eastAsia="zh-CN"/>
              </w:rPr>
              <w:t>若本项目属于预留份额专门面向中小企业采购活动，</w:t>
            </w:r>
            <w:r>
              <w:rPr>
                <w:rFonts w:hint="eastAsia" w:ascii="宋体" w:hAnsi="宋体" w:eastAsia="宋体" w:cs="宋体"/>
                <w:color w:val="auto"/>
                <w:sz w:val="24"/>
                <w:szCs w:val="24"/>
                <w:highlight w:val="none"/>
              </w:rPr>
              <w:t>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1484"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本项目对应的中小企业划分标准所属</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软件和信息技术服务业</w:t>
            </w:r>
            <w:r>
              <w:rPr>
                <w:rFonts w:hint="eastAsia" w:ascii="宋体" w:hAnsi="宋体" w:eastAsia="宋体" w:cs="宋体"/>
                <w:color w:val="auto"/>
                <w:sz w:val="24"/>
                <w:szCs w:val="24"/>
                <w:highlight w:val="none"/>
                <w:u w:val="single"/>
              </w:rPr>
              <w:t xml:space="preserve"> 行业。</w:t>
            </w:r>
          </w:p>
        </w:tc>
        <w:tc>
          <w:tcPr>
            <w:tcW w:w="6256" w:type="dxa"/>
            <w:tcBorders>
              <w:bottom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color w:val="auto"/>
                <w:sz w:val="24"/>
                <w:szCs w:val="24"/>
                <w:highlight w:val="none"/>
                <w:lang w:eastAsia="zh-CN"/>
              </w:rPr>
              <w:t>租赁和商务服务业</w:t>
            </w:r>
            <w:r>
              <w:rPr>
                <w:rFonts w:hint="eastAsia" w:ascii="宋体" w:hAnsi="宋体" w:eastAsia="宋体" w:cs="宋体"/>
                <w:color w:val="auto"/>
                <w:sz w:val="24"/>
                <w:szCs w:val="24"/>
                <w:highlight w:val="none"/>
              </w:rPr>
              <w:t>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p>
        </w:tc>
        <w:tc>
          <w:tcPr>
            <w:tcW w:w="1484"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相关风险</w:t>
            </w:r>
          </w:p>
        </w:tc>
        <w:tc>
          <w:tcPr>
            <w:tcW w:w="6256" w:type="dxa"/>
            <w:tcBorders>
              <w:bottom w:val="single" w:color="auto" w:sz="4" w:space="0"/>
            </w:tcBorders>
            <w:noWrap w:val="0"/>
            <w:vAlign w:val="top"/>
          </w:tcPr>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一、经评审委员会评审，存在下列任一情况的，报价人将不被视为中小企业：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报价人不符合“工信部联企业[2011]300号”规定的中小企业标准的；</w:t>
            </w:r>
          </w:p>
          <w:p>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二、提供虚假证明材料后果：</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报价人为取得中小企业身份而提供虚假证明材料，在评审过程中发现的，按无效响应处理，磋商保证金不予退还；已取得成交资格的，无论该行为是否影响成交，均取消其成交资格，磋商保证金、</w:t>
            </w:r>
            <w:r>
              <w:rPr>
                <w:rFonts w:hint="eastAsia" w:ascii="宋体" w:hAnsi="宋体" w:eastAsia="宋体" w:cs="宋体"/>
                <w:color w:val="auto"/>
                <w:kern w:val="0"/>
                <w:sz w:val="24"/>
                <w:szCs w:val="24"/>
                <w:highlight w:val="none"/>
                <w:lang w:eastAsia="zh-CN"/>
              </w:rPr>
              <w:t>代理服务费</w:t>
            </w:r>
            <w:r>
              <w:rPr>
                <w:rFonts w:hint="eastAsia" w:ascii="宋体" w:hAnsi="宋体" w:eastAsia="宋体" w:cs="宋体"/>
                <w:color w:val="auto"/>
                <w:kern w:val="0"/>
                <w:sz w:val="24"/>
                <w:szCs w:val="24"/>
                <w:highlight w:val="none"/>
              </w:rPr>
              <w:t>不予退还，该报价人还应承担由此引起的其他经济、法律责任。出现此种情形时，采购人、采购代理机构将有关情况上报政府采购监管部门，由监管部门按有关规定对其进行相应处罚。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采购人、采购代理机构</w:t>
            </w:r>
            <w:r>
              <w:rPr>
                <w:rFonts w:hint="eastAsia" w:ascii="宋体" w:hAnsi="宋体" w:eastAsia="宋体" w:cs="宋体"/>
                <w:color w:val="auto"/>
                <w:sz w:val="24"/>
                <w:szCs w:val="24"/>
                <w:highlight w:val="none"/>
              </w:rPr>
              <w:t>有权上报财政部门，建议财政部门将该报价人列入不良行为记录名单，在一至三年内禁止该报价人参加政府采购活动并予以通报。</w:t>
            </w:r>
            <w:r>
              <w:rPr>
                <w:rFonts w:hint="eastAsia" w:ascii="宋体" w:hAnsi="宋体" w:eastAsia="宋体" w:cs="宋体"/>
                <w:b/>
                <w:i/>
                <w:color w:val="auto"/>
                <w:kern w:val="0"/>
                <w:sz w:val="24"/>
                <w:szCs w:val="24"/>
                <w:highlight w:val="none"/>
                <w:u w:val="single"/>
              </w:rPr>
              <w:t>（提醒：如果不满足中小企业的认定标准，则不需要提供《中小企业声明函》，否则因此导致虚假应标的后果由报价人自行承担。）</w:t>
            </w:r>
          </w:p>
        </w:tc>
      </w:tr>
    </w:tbl>
    <w:p>
      <w:pPr>
        <w:spacing w:line="360" w:lineRule="auto"/>
        <w:jc w:val="center"/>
        <w:outlineLvl w:val="9"/>
        <w:rPr>
          <w:rFonts w:hint="eastAsia" w:ascii="宋体" w:hAnsi="宋体" w:eastAsia="宋体" w:cs="宋体"/>
          <w:b/>
          <w:bCs/>
          <w:color w:val="auto"/>
          <w:sz w:val="32"/>
          <w:szCs w:val="32"/>
          <w:highlight w:val="none"/>
          <w:u w:val="single"/>
        </w:rPr>
      </w:pPr>
    </w:p>
    <w:p>
      <w:pPr>
        <w:spacing w:line="360" w:lineRule="auto"/>
        <w:jc w:val="center"/>
        <w:outlineLvl w:val="9"/>
        <w:rPr>
          <w:rFonts w:hint="eastAsia" w:ascii="宋体" w:hAnsi="宋体" w:eastAsia="宋体" w:cs="宋体"/>
          <w:b/>
          <w:bCs/>
          <w:color w:val="auto"/>
          <w:sz w:val="32"/>
          <w:szCs w:val="32"/>
          <w:highlight w:val="none"/>
          <w:u w:val="single"/>
        </w:rPr>
      </w:pPr>
    </w:p>
    <w:p>
      <w:pPr>
        <w:spacing w:line="360" w:lineRule="auto"/>
        <w:jc w:val="center"/>
        <w:outlineLvl w:val="9"/>
        <w:rPr>
          <w:rFonts w:hint="eastAsia" w:ascii="宋体" w:hAnsi="宋体" w:eastAsia="宋体" w:cs="宋体"/>
          <w:b/>
          <w:bCs/>
          <w:color w:val="auto"/>
          <w:sz w:val="32"/>
          <w:szCs w:val="32"/>
          <w:highlight w:val="none"/>
          <w:u w:val="single"/>
        </w:rPr>
      </w:pPr>
    </w:p>
    <w:p>
      <w:pPr>
        <w:spacing w:line="360" w:lineRule="auto"/>
        <w:jc w:val="center"/>
        <w:outlineLvl w:val="9"/>
        <w:rPr>
          <w:rFonts w:hint="eastAsia" w:ascii="宋体" w:hAnsi="宋体" w:eastAsia="宋体" w:cs="宋体"/>
          <w:b/>
          <w:bCs/>
          <w:color w:val="auto"/>
          <w:sz w:val="32"/>
          <w:szCs w:val="32"/>
          <w:highlight w:val="none"/>
          <w:u w:val="single"/>
        </w:rPr>
      </w:pPr>
    </w:p>
    <w:p>
      <w:pPr>
        <w:spacing w:line="360" w:lineRule="auto"/>
        <w:jc w:val="center"/>
        <w:outlineLvl w:val="9"/>
        <w:rPr>
          <w:rFonts w:hint="eastAsia" w:ascii="宋体" w:hAnsi="宋体" w:eastAsia="宋体" w:cs="宋体"/>
          <w:b/>
          <w:bCs/>
          <w:color w:val="auto"/>
          <w:sz w:val="32"/>
          <w:szCs w:val="32"/>
          <w:highlight w:val="none"/>
          <w:u w:val="single"/>
        </w:rPr>
      </w:pPr>
    </w:p>
    <w:p>
      <w:pPr>
        <w:spacing w:line="360" w:lineRule="auto"/>
        <w:jc w:val="center"/>
        <w:outlineLvl w:val="9"/>
        <w:rPr>
          <w:rFonts w:hint="eastAsia" w:ascii="宋体" w:hAnsi="宋体" w:eastAsia="宋体" w:cs="宋体"/>
          <w:b/>
          <w:bCs/>
          <w:color w:val="auto"/>
          <w:sz w:val="32"/>
          <w:szCs w:val="32"/>
          <w:highlight w:val="none"/>
          <w:u w:val="single"/>
          <w:lang w:val="en-US" w:eastAsia="zh-CN"/>
        </w:rPr>
      </w:pPr>
    </w:p>
    <w:p>
      <w:pPr>
        <w:spacing w:line="360" w:lineRule="auto"/>
        <w:jc w:val="center"/>
        <w:outlineLvl w:val="1"/>
        <w:rPr>
          <w:rFonts w:hint="eastAsia" w:ascii="宋体" w:hAnsi="宋体" w:eastAsia="宋体" w:cs="宋体"/>
          <w:b/>
          <w:bCs/>
          <w:color w:val="auto"/>
          <w:sz w:val="32"/>
          <w:szCs w:val="32"/>
          <w:highlight w:val="none"/>
          <w:u w:val="single"/>
          <w:lang w:val="en-US" w:eastAsia="zh-CN"/>
        </w:rPr>
        <w:sectPr>
          <w:pgSz w:w="11906" w:h="16838"/>
          <w:pgMar w:top="1440" w:right="1797" w:bottom="1440" w:left="1797" w:header="851" w:footer="992" w:gutter="0"/>
          <w:cols w:space="720" w:num="1"/>
          <w:docGrid w:linePitch="312" w:charSpace="0"/>
        </w:sectPr>
      </w:pPr>
      <w:bookmarkStart w:id="13" w:name="_Toc27223"/>
    </w:p>
    <w:p>
      <w:pPr>
        <w:spacing w:line="360" w:lineRule="auto"/>
        <w:jc w:val="center"/>
        <w:outlineLvl w:val="1"/>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32"/>
          <w:szCs w:val="32"/>
          <w:highlight w:val="none"/>
          <w:u w:val="single"/>
          <w:lang w:val="en-US" w:eastAsia="zh-CN"/>
        </w:rPr>
        <w:t>报</w:t>
      </w:r>
      <w:r>
        <w:rPr>
          <w:rFonts w:hint="eastAsia" w:ascii="宋体" w:hAnsi="宋体" w:eastAsia="宋体" w:cs="宋体"/>
          <w:b/>
          <w:bCs/>
          <w:color w:val="auto"/>
          <w:sz w:val="32"/>
          <w:szCs w:val="32"/>
          <w:highlight w:val="none"/>
          <w:u w:val="single"/>
        </w:rPr>
        <w:t>价人须知前附表5：节能、环境标志产品采购政策</w:t>
      </w:r>
      <w:bookmarkEnd w:id="13"/>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keepNext w:val="0"/>
              <w:keepLines w:val="0"/>
              <w:suppressLineNumbers w:val="0"/>
              <w:spacing w:before="0" w:beforeAutospacing="0" w:after="0" w:afterAutospacing="0" w:line="360" w:lineRule="auto"/>
              <w:ind w:left="0" w:right="0" w:firstLine="6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节能、环境标志产品优先采购政策</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具体要求如下：</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pPr>
              <w:numPr>
                <w:ilvl w:val="0"/>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报价人应分别明确节能或环境标志产品的名称、数量、分项报价、总报价，并提供认证证书复印件，否则不予价格扣除。</w:t>
            </w:r>
            <w:r>
              <w:rPr>
                <w:rFonts w:hint="eastAsia" w:ascii="宋体" w:hAnsi="宋体" w:eastAsia="宋体" w:cs="宋体"/>
                <w:color w:val="auto"/>
                <w:sz w:val="24"/>
                <w:szCs w:val="24"/>
                <w:highlight w:val="none"/>
                <w:lang w:val="en-US" w:eastAsia="zh-CN"/>
              </w:rPr>
              <w:t>若节能产品、环境标志产品认证证书不能反映产品具体信息的，须提供认证证书附件。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此外，若报价人对节能或环境标志产品的报价明显高于其他同类产品的报价，报价人应按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若报价产品既属于节能产品又属于环境标志产品，分别计算价格扣除优惠。</w:t>
            </w:r>
          </w:p>
        </w:tc>
      </w:tr>
    </w:tbl>
    <w:p>
      <w:pPr>
        <w:pStyle w:val="11"/>
        <w:spacing w:line="360" w:lineRule="auto"/>
        <w:jc w:val="left"/>
        <w:rPr>
          <w:rFonts w:hint="eastAsia" w:hAnsi="宋体" w:eastAsia="宋体" w:cs="宋体"/>
          <w:color w:val="auto"/>
          <w:sz w:val="24"/>
          <w:szCs w:val="24"/>
          <w:highlight w:val="none"/>
        </w:rPr>
      </w:pPr>
    </w:p>
    <w:p>
      <w:pPr>
        <w:pStyle w:val="11"/>
        <w:spacing w:line="360" w:lineRule="auto"/>
        <w:jc w:val="center"/>
        <w:rPr>
          <w:rFonts w:hint="eastAsia" w:hAnsi="宋体" w:eastAsia="宋体" w:cs="宋体"/>
          <w:b/>
          <w:color w:val="auto"/>
          <w:sz w:val="32"/>
          <w:szCs w:val="32"/>
          <w:highlight w:val="none"/>
        </w:rPr>
      </w:pPr>
    </w:p>
    <w:p>
      <w:pPr>
        <w:pStyle w:val="11"/>
        <w:spacing w:line="360" w:lineRule="auto"/>
        <w:jc w:val="center"/>
        <w:rPr>
          <w:rFonts w:hint="eastAsia" w:hAnsi="宋体" w:eastAsia="宋体" w:cs="宋体"/>
          <w:b/>
          <w:color w:val="auto"/>
          <w:sz w:val="32"/>
          <w:szCs w:val="32"/>
          <w:highlight w:val="none"/>
        </w:rPr>
      </w:pPr>
    </w:p>
    <w:p>
      <w:pPr>
        <w:pStyle w:val="11"/>
        <w:spacing w:line="360" w:lineRule="auto"/>
        <w:jc w:val="center"/>
        <w:rPr>
          <w:rFonts w:hint="eastAsia" w:hAnsi="宋体" w:eastAsia="宋体" w:cs="宋体"/>
          <w:b/>
          <w:color w:val="auto"/>
          <w:sz w:val="32"/>
          <w:szCs w:val="32"/>
          <w:highlight w:val="none"/>
        </w:rPr>
      </w:pPr>
    </w:p>
    <w:p>
      <w:pPr>
        <w:pStyle w:val="11"/>
        <w:spacing w:line="360" w:lineRule="auto"/>
        <w:jc w:val="center"/>
        <w:rPr>
          <w:rFonts w:hint="eastAsia" w:hAnsi="宋体" w:eastAsia="宋体" w:cs="宋体"/>
          <w:b/>
          <w:color w:val="auto"/>
          <w:sz w:val="32"/>
          <w:szCs w:val="32"/>
          <w:highlight w:val="none"/>
        </w:rPr>
      </w:pPr>
    </w:p>
    <w:p>
      <w:pPr>
        <w:pStyle w:val="11"/>
        <w:spacing w:line="360" w:lineRule="auto"/>
        <w:jc w:val="center"/>
        <w:rPr>
          <w:rFonts w:hint="eastAsia" w:hAnsi="宋体" w:eastAsia="宋体" w:cs="宋体"/>
          <w:b/>
          <w:color w:val="auto"/>
          <w:sz w:val="32"/>
          <w:szCs w:val="32"/>
          <w:highlight w:val="none"/>
        </w:rPr>
      </w:pPr>
    </w:p>
    <w:p>
      <w:pPr>
        <w:pStyle w:val="11"/>
        <w:spacing w:line="360" w:lineRule="auto"/>
        <w:jc w:val="center"/>
        <w:rPr>
          <w:rFonts w:hint="eastAsia" w:hAnsi="宋体" w:eastAsia="宋体" w:cs="宋体"/>
          <w:b/>
          <w:color w:val="auto"/>
          <w:sz w:val="32"/>
          <w:szCs w:val="32"/>
          <w:highlight w:val="none"/>
        </w:rPr>
      </w:pPr>
      <w:r>
        <w:rPr>
          <w:rFonts w:hint="eastAsia" w:hAnsi="宋体" w:eastAsia="宋体" w:cs="宋体"/>
          <w:b/>
          <w:color w:val="auto"/>
          <w:sz w:val="32"/>
          <w:szCs w:val="32"/>
          <w:highlight w:val="none"/>
        </w:rPr>
        <w:t>第二章  报价人须知</w:t>
      </w:r>
    </w:p>
    <w:p>
      <w:pPr>
        <w:pStyle w:val="11"/>
        <w:spacing w:line="360" w:lineRule="auto"/>
        <w:jc w:val="center"/>
        <w:rPr>
          <w:rFonts w:hint="eastAsia" w:hAnsi="宋体" w:eastAsia="宋体" w:cs="宋体"/>
          <w:b/>
          <w:color w:val="auto"/>
          <w:sz w:val="32"/>
          <w:szCs w:val="32"/>
          <w:highlight w:val="none"/>
        </w:rPr>
      </w:pPr>
    </w:p>
    <w:p>
      <w:pPr>
        <w:pStyle w:val="11"/>
        <w:spacing w:line="360" w:lineRule="auto"/>
        <w:jc w:val="center"/>
        <w:outlineLvl w:val="1"/>
        <w:rPr>
          <w:rFonts w:hint="eastAsia" w:hAnsi="宋体" w:eastAsia="宋体" w:cs="宋体"/>
          <w:b/>
          <w:color w:val="auto"/>
          <w:sz w:val="24"/>
          <w:szCs w:val="24"/>
          <w:highlight w:val="none"/>
        </w:rPr>
      </w:pPr>
      <w:bookmarkStart w:id="14" w:name="_Toc4144"/>
      <w:r>
        <w:rPr>
          <w:rFonts w:hint="eastAsia" w:hAnsi="宋体" w:eastAsia="宋体" w:cs="宋体"/>
          <w:b/>
          <w:color w:val="auto"/>
          <w:sz w:val="32"/>
          <w:szCs w:val="32"/>
          <w:highlight w:val="none"/>
        </w:rPr>
        <w:t>一、说明</w:t>
      </w:r>
      <w:bookmarkEnd w:id="14"/>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1.适用范围</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1.1本采购文件仅适用于邀请中所叙述项目的服务采购。</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2.定义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2.4 “报价人”系指购买了本采购文件，且已经提交或准备提交报价文件的服务商或承包商。</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2.5 “货物”系指各种形态和种类的物品，包括原材料、燃料、设备、产品等。</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2.6“工程”系指采购文件规定成交供应商须承担的土建施工、修缮、景观建设、改造，绿化工程等。</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2.7“服务”系指除货物和工程以外的其他政府采购对象。</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3.合格的报价人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凡有能力提供本采购文件所服务的，符合本采购文件规定资格要求的报价人均可能成为合格的报价人。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（2）报价人已提供加载有统一社会信用代码营业执照的，视为已提供税务登记证和组织机构代码证。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（3）按要求提供福建省</w:t>
      </w:r>
      <w:r>
        <w:rPr>
          <w:rFonts w:hint="eastAsia" w:ascii="宋体" w:hAnsi="宋体" w:eastAsia="宋体" w:cs="宋体"/>
          <w:color w:val="auto"/>
          <w:sz w:val="24"/>
          <w:szCs w:val="24"/>
          <w:highlight w:val="none"/>
        </w:rPr>
        <w:t>政府采购供应商资格承诺函</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3.5若接受联合体磋商，则两个或者两个以上报价人可以组成一个响应联合体，以一个报价人的身份响应。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3.6磋商代理人在同一个项目中只能接受一个报价人的委托参加磋商响应。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（1）报价人之间协商磋商报价等采购文件的实质性内容；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（3）报价人之间约定部分报价人放弃磋商响应或者成交；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（4）属于同一集团、协会、商会等组织成员的报价人按照该组织要求协同磋商响应；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（7）不同报价人委托同一单位或者个人办理磋商响应事宜；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（11）不同报价人的磋商保证金从同一单位或者个人的账户转出。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pPr>
        <w:spacing w:line="360" w:lineRule="auto"/>
        <w:ind w:firstLine="480" w:firstLineChars="200"/>
        <w:rPr>
          <w:rFonts w:hint="eastAsia" w:ascii="宋体" w:hAnsi="宋体" w:eastAsia="宋体" w:cs="宋体"/>
          <w:color w:val="auto"/>
          <w:sz w:val="24"/>
          <w:szCs w:val="24"/>
          <w:highlight w:val="none"/>
        </w:rPr>
      </w:pP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4.磋商费用</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4.1 报价人应承担其准备与参加磋商所涉及的一切费用。</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5.知识产权</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5.2如报价人不拥有相应的知识产权，则在报价中必须包括合法获取该知识产权的相关费用。</w:t>
      </w:r>
    </w:p>
    <w:p>
      <w:pPr>
        <w:pStyle w:val="11"/>
        <w:spacing w:line="360" w:lineRule="auto"/>
        <w:ind w:firstLine="480" w:firstLineChars="200"/>
        <w:jc w:val="left"/>
        <w:rPr>
          <w:rFonts w:hint="eastAsia" w:hAnsi="宋体" w:eastAsia="宋体" w:cs="宋体"/>
          <w:color w:val="auto"/>
          <w:sz w:val="24"/>
          <w:szCs w:val="24"/>
          <w:highlight w:val="none"/>
        </w:rPr>
      </w:pPr>
    </w:p>
    <w:p>
      <w:pPr>
        <w:pStyle w:val="67"/>
        <w:spacing w:line="360" w:lineRule="auto"/>
        <w:jc w:val="center"/>
        <w:outlineLvl w:val="1"/>
        <w:rPr>
          <w:rFonts w:hint="eastAsia" w:hAnsi="宋体" w:eastAsia="宋体" w:cs="宋体"/>
          <w:b/>
          <w:color w:val="auto"/>
          <w:sz w:val="24"/>
          <w:szCs w:val="24"/>
          <w:highlight w:val="none"/>
        </w:rPr>
      </w:pPr>
      <w:bookmarkStart w:id="15" w:name="_Toc32664"/>
      <w:r>
        <w:rPr>
          <w:rFonts w:hint="eastAsia" w:hAnsi="宋体" w:eastAsia="宋体" w:cs="宋体"/>
          <w:b/>
          <w:color w:val="auto"/>
          <w:sz w:val="32"/>
          <w:szCs w:val="32"/>
          <w:highlight w:val="none"/>
        </w:rPr>
        <w:t>二、采购文件</w:t>
      </w:r>
      <w:bookmarkEnd w:id="15"/>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6.采购文件的组成</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6.1采购文件用以阐明所需货物及服务、磋商程序和合同格式及条款。采购文件由下述部分组成：</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（1）磋商邀请</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（2）报价人须知</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（3）采购内容及要求</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（4）政府采购合同</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（5）报价文件格式</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（6）相关的补充、修改文件</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7.采购文件的澄清与修改</w:t>
      </w:r>
    </w:p>
    <w:p>
      <w:pPr>
        <w:pStyle w:val="6"/>
        <w:snapToGrid w:val="0"/>
        <w:spacing w:line="360" w:lineRule="auto"/>
        <w:ind w:firstLine="420" w:firstLineChars="175"/>
        <w:outlineLvl w:val="9"/>
        <w:rPr>
          <w:rFonts w:hint="eastAsia" w:eastAsia="宋体" w:cs="宋体"/>
          <w:bCs/>
          <w:color w:val="auto"/>
          <w:sz w:val="24"/>
          <w:szCs w:val="24"/>
          <w:highlight w:val="none"/>
        </w:rPr>
      </w:pPr>
      <w:r>
        <w:rPr>
          <w:rFonts w:hint="eastAsia" w:eastAsia="宋体" w:cs="宋体"/>
          <w:color w:val="auto"/>
          <w:sz w:val="24"/>
          <w:szCs w:val="24"/>
          <w:highlight w:val="none"/>
        </w:rPr>
        <w:t>7.1</w:t>
      </w:r>
      <w:r>
        <w:rPr>
          <w:rFonts w:hint="eastAsia" w:eastAsia="宋体" w:cs="宋体"/>
          <w:bCs/>
          <w:color w:val="auto"/>
          <w:sz w:val="24"/>
          <w:szCs w:val="24"/>
          <w:highlight w:val="none"/>
        </w:rPr>
        <w:t>至磋商响应截止时间5日（如至原定截止时间不足5日，则需延长截止时间）前，</w:t>
      </w:r>
      <w:r>
        <w:rPr>
          <w:rFonts w:hint="eastAsia" w:cs="宋体"/>
          <w:color w:val="auto"/>
          <w:sz w:val="24"/>
          <w:szCs w:val="24"/>
          <w:highlight w:val="none"/>
          <w:lang w:eastAsia="zh-CN"/>
        </w:rPr>
        <w:t>采购代理机构</w:t>
      </w:r>
      <w:r>
        <w:rPr>
          <w:rFonts w:hint="eastAsia" w:eastAsia="宋体" w:cs="宋体"/>
          <w:bCs/>
          <w:color w:val="auto"/>
          <w:sz w:val="24"/>
          <w:szCs w:val="24"/>
          <w:highlight w:val="none"/>
        </w:rPr>
        <w:t>可主动或依报价人要求澄清的问题修改采购文件，但应当</w:t>
      </w:r>
      <w:r>
        <w:rPr>
          <w:rFonts w:hint="eastAsia" w:eastAsia="宋体" w:cs="宋体"/>
          <w:color w:val="auto"/>
          <w:sz w:val="24"/>
          <w:szCs w:val="24"/>
          <w:highlight w:val="none"/>
        </w:rPr>
        <w:t>在原信息发布媒体上发布更正公告，</w:t>
      </w:r>
      <w:r>
        <w:rPr>
          <w:rFonts w:hint="eastAsia" w:eastAsia="宋体" w:cs="宋体"/>
          <w:bCs/>
          <w:color w:val="auto"/>
          <w:sz w:val="24"/>
          <w:szCs w:val="24"/>
          <w:highlight w:val="none"/>
        </w:rPr>
        <w:t>并以书面形式通知所有采购文件收受人，报价人在收到该通知后应当立即以传真形式予以确认</w:t>
      </w:r>
      <w:r>
        <w:rPr>
          <w:rFonts w:hint="eastAsia" w:eastAsia="宋体" w:cs="宋体"/>
          <w:color w:val="auto"/>
          <w:sz w:val="24"/>
          <w:szCs w:val="24"/>
          <w:highlight w:val="none"/>
        </w:rPr>
        <w:t>（如属网上采购项目</w:t>
      </w:r>
      <w:r>
        <w:rPr>
          <w:rFonts w:hint="eastAsia" w:eastAsia="宋体" w:cs="宋体"/>
          <w:bCs/>
          <w:color w:val="auto"/>
          <w:sz w:val="24"/>
          <w:szCs w:val="24"/>
          <w:highlight w:val="none"/>
        </w:rPr>
        <w:t>，在采购公告原发布媒体及实施网上采购的网站发布更正公告，不再书面答复）。</w:t>
      </w:r>
      <w:r>
        <w:rPr>
          <w:rFonts w:hint="eastAsia" w:eastAsia="宋体" w:cs="宋体"/>
          <w:color w:val="auto"/>
          <w:sz w:val="24"/>
          <w:szCs w:val="24"/>
          <w:highlight w:val="none"/>
        </w:rPr>
        <w:t>该修改内容为采购文件的组成部分，对报价人具有约束力。但</w:t>
      </w:r>
      <w:r>
        <w:rPr>
          <w:rFonts w:hint="eastAsia" w:eastAsia="宋体" w:cs="宋体"/>
          <w:bCs/>
          <w:color w:val="auto"/>
          <w:sz w:val="24"/>
          <w:szCs w:val="24"/>
          <w:highlight w:val="none"/>
        </w:rPr>
        <w:t>本采购文件第7.2条规定的推迟响应截止时间情形不受本条约束。</w:t>
      </w:r>
    </w:p>
    <w:p>
      <w:pPr>
        <w:pStyle w:val="6"/>
        <w:snapToGrid w:val="0"/>
        <w:spacing w:line="360" w:lineRule="auto"/>
        <w:ind w:firstLine="420" w:firstLineChars="175"/>
        <w:outlineLvl w:val="9"/>
        <w:rPr>
          <w:rFonts w:hint="eastAsia" w:eastAsia="宋体" w:cs="宋体"/>
          <w:color w:val="auto"/>
          <w:sz w:val="24"/>
          <w:szCs w:val="24"/>
          <w:highlight w:val="none"/>
        </w:rPr>
      </w:pPr>
      <w:r>
        <w:rPr>
          <w:rFonts w:hint="eastAsia" w:eastAsia="宋体" w:cs="宋体"/>
          <w:color w:val="auto"/>
          <w:sz w:val="24"/>
          <w:szCs w:val="24"/>
          <w:highlight w:val="none"/>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p>
    <w:p>
      <w:pPr>
        <w:pStyle w:val="6"/>
        <w:snapToGrid w:val="0"/>
        <w:spacing w:line="360" w:lineRule="auto"/>
        <w:ind w:firstLine="420" w:firstLineChars="175"/>
        <w:outlineLvl w:val="9"/>
        <w:rPr>
          <w:rFonts w:hint="eastAsia" w:eastAsia="宋体" w:cs="宋体"/>
          <w:color w:val="auto"/>
          <w:sz w:val="24"/>
          <w:szCs w:val="24"/>
          <w:highlight w:val="none"/>
        </w:rPr>
      </w:pPr>
    </w:p>
    <w:p>
      <w:pPr>
        <w:pStyle w:val="6"/>
        <w:snapToGrid w:val="0"/>
        <w:spacing w:line="360" w:lineRule="auto"/>
        <w:ind w:firstLine="562" w:firstLineChars="175"/>
        <w:jc w:val="center"/>
        <w:outlineLvl w:val="1"/>
        <w:rPr>
          <w:rFonts w:hint="eastAsia" w:eastAsia="宋体" w:cs="宋体"/>
          <w:bCs/>
          <w:color w:val="auto"/>
          <w:sz w:val="24"/>
          <w:szCs w:val="24"/>
          <w:highlight w:val="none"/>
        </w:rPr>
      </w:pPr>
      <w:bookmarkStart w:id="16" w:name="_Toc32185"/>
      <w:r>
        <w:rPr>
          <w:rFonts w:hint="eastAsia" w:eastAsia="宋体" w:cs="宋体"/>
          <w:b/>
          <w:color w:val="auto"/>
          <w:sz w:val="32"/>
          <w:szCs w:val="32"/>
          <w:highlight w:val="none"/>
        </w:rPr>
        <w:t>三、报价文件的编写</w:t>
      </w:r>
      <w:bookmarkEnd w:id="16"/>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8.要求</w:t>
      </w:r>
    </w:p>
    <w:p>
      <w:pPr>
        <w:pStyle w:val="11"/>
        <w:spacing w:line="360" w:lineRule="auto"/>
        <w:ind w:firstLine="48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9.报价文件语言及报价要求</w:t>
      </w:r>
    </w:p>
    <w:p>
      <w:pPr>
        <w:pStyle w:val="11"/>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9.1报价文件应用中文书写。报价文件中所附或所引用的原件不是中文时，应附中文译文。各种计量单位及符号应采用国际上统一使用的公制计量单位和符号。</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10.报价文件的组成</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10.1报价文件应包括下列部分：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磋商响应声明函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磋商分项报价表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项目说明一览表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范围清单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磋商保证金</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）报价人应交的其他资料</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11.</w:t>
      </w:r>
      <w:r>
        <w:rPr>
          <w:rFonts w:hint="eastAsia" w:hAnsi="宋体" w:eastAsia="宋体" w:cs="宋体"/>
          <w:b/>
          <w:color w:val="auto"/>
          <w:sz w:val="24"/>
          <w:szCs w:val="24"/>
          <w:highlight w:val="none"/>
          <w:lang w:eastAsia="zh-CN"/>
        </w:rPr>
        <w:t>报价</w:t>
      </w:r>
      <w:r>
        <w:rPr>
          <w:rFonts w:hint="eastAsia" w:hAnsi="宋体" w:eastAsia="宋体" w:cs="宋体"/>
          <w:b/>
          <w:color w:val="auto"/>
          <w:sz w:val="24"/>
          <w:szCs w:val="24"/>
          <w:highlight w:val="none"/>
        </w:rPr>
        <w:t>有效期</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11.1报价文件从</w:t>
      </w:r>
      <w:r>
        <w:rPr>
          <w:rFonts w:hint="eastAsia" w:hAnsi="宋体" w:eastAsia="宋体" w:cs="宋体"/>
          <w:bCs/>
          <w:color w:val="auto"/>
          <w:sz w:val="24"/>
          <w:szCs w:val="24"/>
          <w:highlight w:val="none"/>
        </w:rPr>
        <w:t>报价人须知前附表1</w:t>
      </w:r>
      <w:r>
        <w:rPr>
          <w:rFonts w:hint="eastAsia" w:hAnsi="宋体" w:eastAsia="宋体" w:cs="宋体"/>
          <w:color w:val="auto"/>
          <w:sz w:val="24"/>
          <w:szCs w:val="24"/>
          <w:highlight w:val="none"/>
        </w:rPr>
        <w:t>所规定的磋商响应截止期之日开始生效，在</w:t>
      </w:r>
      <w:r>
        <w:rPr>
          <w:rFonts w:hint="eastAsia" w:hAnsi="宋体" w:eastAsia="宋体" w:cs="宋体"/>
          <w:bCs/>
          <w:color w:val="auto"/>
          <w:sz w:val="24"/>
          <w:szCs w:val="24"/>
          <w:highlight w:val="none"/>
        </w:rPr>
        <w:t>报价人须知前附表</w:t>
      </w:r>
      <w:r>
        <w:rPr>
          <w:rFonts w:hint="eastAsia" w:hAnsi="宋体" w:eastAsia="宋体" w:cs="宋体"/>
          <w:color w:val="auto"/>
          <w:sz w:val="24"/>
          <w:szCs w:val="24"/>
          <w:highlight w:val="none"/>
        </w:rPr>
        <w:t>所规定的期限内保持有效。有效期不足将导致其报价文件被拒绝。</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12.磋商保证金</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12.1 磋商保证金为报价文件的组成部分之一。</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保证金专户缴交报价人须知前附表要求的磋商保证金。联合体参加磋商的，可以由联合体中的一方或者共同提交磋商保证金，以一方名义提交磋商保证金的，对联合体各方均具有约束力。</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12.3 磋商保证金用于保护本次磋商活动免受报价人的行为而引起的风险。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12.4磋商保证金交纳方式及其它：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②若项目存在分包的，则磋商保证金应按不同的合同包号分别提交。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③报价人为中小企业的，其磋商保证金</w:t>
      </w:r>
      <w:r>
        <w:rPr>
          <w:rFonts w:hint="eastAsia" w:ascii="宋体" w:hAnsi="宋体" w:cs="宋体"/>
          <w:color w:val="auto"/>
          <w:sz w:val="24"/>
          <w:szCs w:val="24"/>
          <w:highlight w:val="none"/>
          <w:lang w:eastAsia="zh-CN"/>
        </w:rPr>
        <w:t>全免</w:t>
      </w:r>
      <w:r>
        <w:rPr>
          <w:rFonts w:hint="eastAsia" w:ascii="宋体" w:hAnsi="宋体" w:eastAsia="宋体" w:cs="宋体"/>
          <w:color w:val="auto"/>
          <w:sz w:val="24"/>
          <w:szCs w:val="24"/>
          <w:highlight w:val="none"/>
        </w:rPr>
        <w:t>交纳。</w:t>
      </w:r>
      <w:r>
        <w:rPr>
          <w:rFonts w:hint="eastAsia" w:ascii="宋体" w:hAnsi="宋体" w:cs="宋体"/>
          <w:color w:val="auto"/>
          <w:sz w:val="24"/>
          <w:szCs w:val="24"/>
          <w:highlight w:val="none"/>
          <w:lang w:eastAsia="zh-CN"/>
        </w:rPr>
        <w:t>全免</w:t>
      </w:r>
      <w:r>
        <w:rPr>
          <w:rFonts w:hint="eastAsia" w:ascii="宋体" w:hAnsi="宋体" w:eastAsia="宋体" w:cs="宋体"/>
          <w:color w:val="auto"/>
          <w:sz w:val="24"/>
          <w:szCs w:val="24"/>
          <w:highlight w:val="none"/>
        </w:rPr>
        <w:t>交纳磋商保证金的报价人未按照采购文件格式要求在报价文件中提供《中小企业声明函》的，其磋商响应作无效响应处理。</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12.5 未按要求提交磋商保证金的磋商响应，将被视为无效响应。</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12.6 采购代理机构将在成交通知书发出之日起5个工作日内予以原额无息退还未成交供应商的磋商保证金。</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12.7在成交供应商支付所有</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并签订合同后5个工作日内，采购代理机构对成交供应商的磋商保证金予以原额无息退还。</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12.8磋商保证金产生的银行利息统一上缴。</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12.9 发生以下情况之一的，磋商保证金将不予退还，由采购代理机构上缴财政部门：</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（1）报价人在提交最后报价后，撤回磋商响应；</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（2）除因不可抗力或采购文件认可的情形外，成交供应商未能做到按本须知规定签订合同的；</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（3）成交供应商未按本须知规定缴纳</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（4）以他人名义参与磋商响应或者以其他方式弄虚作假，骗取成交的；</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（5）报价人在报价文件中提供虚假材料的；</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（6）在禁止参加政府采购活动的处罚期内，仍参加政府采购活动的；</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（7）以不正当手段诋毁、排挤其他报价人的；</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（8）因本项目政府采购过程中的违法行为，受到行政处罚的；</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（9）与采购人、其他报价人或者采购代理机构恶意串通的；</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（10）法律、法规、规章及本采购文件中规定的其他没收磋商保证金的情形。</w:t>
      </w:r>
    </w:p>
    <w:p>
      <w:pPr>
        <w:pStyle w:val="11"/>
        <w:spacing w:line="360" w:lineRule="auto"/>
        <w:ind w:firstLine="840" w:firstLineChars="3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上述不予退还磋商保证金的情形给采购单位造成损失的，相关责任人还应当承担赔偿责任。</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13.报价文件的格式</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13.1报价人须编制由本须知第10条规定文件组成的报价文件正本一份，副本</w:t>
      </w:r>
      <w:r>
        <w:rPr>
          <w:rFonts w:hint="eastAsia" w:hAnsi="宋体" w:eastAsia="宋体" w:cs="宋体"/>
          <w:color w:val="auto"/>
          <w:sz w:val="24"/>
          <w:szCs w:val="24"/>
          <w:highlight w:val="none"/>
          <w:u w:val="single"/>
          <w:lang w:eastAsia="zh-CN"/>
        </w:rPr>
        <w:t>四</w:t>
      </w:r>
      <w:r>
        <w:rPr>
          <w:rFonts w:hint="eastAsia" w:hAnsi="宋体" w:eastAsia="宋体" w:cs="宋体"/>
          <w:color w:val="auto"/>
          <w:sz w:val="24"/>
          <w:szCs w:val="24"/>
          <w:highlight w:val="none"/>
        </w:rPr>
        <w:t>份，正本用A4等标准幅面纸张打印装订，副本可使用正本的完整复印件，并在封面注明“正本”、“副本”字样。正本与副本如有不一致的，以正本为准。</w:t>
      </w:r>
      <w:r>
        <w:rPr>
          <w:rFonts w:hint="eastAsia" w:ascii="宋体" w:hAnsi="宋体" w:eastAsia="宋体" w:cs="宋体"/>
          <w:b w:val="0"/>
          <w:color w:val="auto"/>
          <w:sz w:val="24"/>
          <w:szCs w:val="24"/>
          <w:highlight w:val="none"/>
          <w:u w:val="none"/>
          <w:lang w:val="en-US" w:eastAsia="zh-CN"/>
        </w:rPr>
        <w:t>报价人</w:t>
      </w:r>
      <w:r>
        <w:rPr>
          <w:rFonts w:hint="eastAsia" w:ascii="宋体" w:hAnsi="宋体" w:eastAsia="宋体" w:cs="宋体"/>
          <w:b w:val="0"/>
          <w:bCs w:val="0"/>
          <w:color w:val="auto"/>
          <w:sz w:val="24"/>
          <w:szCs w:val="24"/>
          <w:highlight w:val="none"/>
          <w:lang w:val="en-US" w:eastAsia="zh-CN"/>
        </w:rPr>
        <w:t>须提供最终盖章签字报价文件扫描件刻录u盘（或光盘）2份。</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13.2报价文件应由报价人的法定代表人或授权代表签字并加盖公章，如由后者签字，应提供“单位授权委托书”。</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13.3除非另有规定或许可，磋商响应使用货币为人民币。</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13.4报价人应提交证明</w:t>
      </w:r>
      <w:r>
        <w:rPr>
          <w:rFonts w:hint="eastAsia" w:hAnsi="宋体" w:cs="宋体"/>
          <w:color w:val="auto"/>
          <w:sz w:val="24"/>
          <w:szCs w:val="24"/>
          <w:highlight w:val="none"/>
          <w:lang w:eastAsia="zh-CN"/>
        </w:rPr>
        <w:t>其拟提供</w:t>
      </w:r>
      <w:r>
        <w:rPr>
          <w:rFonts w:hint="eastAsia" w:hAnsi="宋体" w:eastAsia="宋体" w:cs="宋体"/>
          <w:color w:val="auto"/>
          <w:sz w:val="24"/>
          <w:szCs w:val="24"/>
          <w:highlight w:val="none"/>
        </w:rPr>
        <w:t>货物、服务、工程符合采购文件要求的技术报价文件，该文件可以是文字资料、图纸和数据，并须提供货物、服务、工程主要技术性能的详细描述。</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13.5采购文件的正本和全部副本均应使用不能擦去的墨料或墨水打印、书写或复印，并由法定代表人或其授权代表签署，盖报价人公章。</w:t>
      </w:r>
    </w:p>
    <w:p>
      <w:pPr>
        <w:pStyle w:val="67"/>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pPr>
        <w:pStyle w:val="67"/>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13.7未按本须知规定的格式填写报价文件、报价文件字迹模糊不清的，其磋商响应将被拒绝。</w:t>
      </w:r>
    </w:p>
    <w:p>
      <w:pPr>
        <w:pStyle w:val="67"/>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13.8 所有资格证明文件复印件须加盖报价人公章。</w:t>
      </w:r>
    </w:p>
    <w:p>
      <w:pPr>
        <w:pStyle w:val="67"/>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13.9报价人应将上述文件按顺序装订成册、打印页码，并编列报价文件目录、资料清单，由于装订不规范或编排顺序混乱而导致报价文件被误读或漏读，该磋商响应可能被视为无效响应或承担不利的评审结果。</w:t>
      </w:r>
    </w:p>
    <w:p>
      <w:pPr>
        <w:pStyle w:val="67"/>
        <w:spacing w:line="360" w:lineRule="auto"/>
        <w:ind w:firstLine="480" w:firstLineChars="200"/>
        <w:outlineLvl w:val="9"/>
        <w:rPr>
          <w:rFonts w:hint="eastAsia" w:hAnsi="宋体" w:eastAsia="宋体" w:cs="宋体"/>
          <w:color w:val="auto"/>
          <w:sz w:val="24"/>
          <w:szCs w:val="24"/>
          <w:highlight w:val="none"/>
        </w:rPr>
      </w:pPr>
    </w:p>
    <w:p>
      <w:pPr>
        <w:pStyle w:val="67"/>
        <w:spacing w:line="360" w:lineRule="auto"/>
        <w:ind w:firstLine="643" w:firstLineChars="200"/>
        <w:jc w:val="center"/>
        <w:outlineLvl w:val="1"/>
        <w:rPr>
          <w:rFonts w:hint="eastAsia" w:hAnsi="宋体" w:eastAsia="宋体" w:cs="宋体"/>
          <w:b/>
          <w:color w:val="auto"/>
          <w:sz w:val="24"/>
          <w:szCs w:val="24"/>
          <w:highlight w:val="none"/>
        </w:rPr>
      </w:pPr>
      <w:bookmarkStart w:id="17" w:name="_Toc4280"/>
      <w:r>
        <w:rPr>
          <w:rFonts w:hint="eastAsia" w:hAnsi="宋体" w:eastAsia="宋体" w:cs="宋体"/>
          <w:b/>
          <w:color w:val="auto"/>
          <w:sz w:val="32"/>
          <w:szCs w:val="32"/>
          <w:highlight w:val="none"/>
        </w:rPr>
        <w:t>四、报价文件的提交</w:t>
      </w:r>
      <w:bookmarkEnd w:id="17"/>
    </w:p>
    <w:p>
      <w:pPr>
        <w:pStyle w:val="67"/>
        <w:spacing w:line="360" w:lineRule="auto"/>
        <w:outlineLvl w:val="9"/>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14.报价文件的密封、标记和递交</w:t>
      </w:r>
    </w:p>
    <w:p>
      <w:pPr>
        <w:pStyle w:val="67"/>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14.1 报价人应将报价文件正本和副本分别用信封密封，并标明采购文件编号、报价人名称、采购项目名称及“正本”或“副本”。报价文件未密封可导致其磋商被拒绝。</w:t>
      </w:r>
    </w:p>
    <w:p>
      <w:pPr>
        <w:pStyle w:val="67"/>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14.2每一信封密封处应注明“于</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 xml:space="preserve">之前（指磋商邀请中规定的磋商日期及时间）不准启封”的字样，并加盖报价人公章或由磋商代表签字。     </w:t>
      </w:r>
    </w:p>
    <w:p>
      <w:pPr>
        <w:pStyle w:val="67"/>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14.3 如报价文件由邮局或专人送交，报价人应将报价文件按第14.1条至14.2条中的规定进行密封和标记后，按磋商邀请函注明的地址送至接收人。</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14.4 如果未按上述规定进行密封和标记，采购代理机构将不承担由此造成的对报价文件的误投或提前拆封的责任。</w:t>
      </w:r>
    </w:p>
    <w:p>
      <w:pPr>
        <w:pStyle w:val="67"/>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14.5报价文件应在磋商邀请中规定的截止时间前送达，迟到的报价文件为无效报价文件，将被拒绝。</w:t>
      </w:r>
    </w:p>
    <w:p>
      <w:pPr>
        <w:pStyle w:val="67"/>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14.6报价人在磋商响应截止时间前，可以对所提交的采购文件进行修改或者撤回，并书面通知采购代理机构。修改的内容和撤回通知应当按本须知要求签署、盖章、密封，并作为报价文件的组成部分。</w:t>
      </w:r>
    </w:p>
    <w:p>
      <w:pPr>
        <w:pStyle w:val="67"/>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14.7报价人在磋商响应截止期后不得修改、撤回报价文件。报价人在报价截止期后修改报价文件的，其磋商响应将被拒绝。</w:t>
      </w:r>
    </w:p>
    <w:p>
      <w:pPr>
        <w:pStyle w:val="67"/>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p>
    <w:p>
      <w:pPr>
        <w:pStyle w:val="67"/>
        <w:spacing w:line="360" w:lineRule="auto"/>
        <w:ind w:firstLine="480" w:firstLineChars="200"/>
        <w:outlineLvl w:val="9"/>
        <w:rPr>
          <w:rFonts w:hint="eastAsia" w:hAnsi="宋体" w:eastAsia="宋体" w:cs="宋体"/>
          <w:color w:val="auto"/>
          <w:sz w:val="24"/>
          <w:szCs w:val="24"/>
          <w:highlight w:val="none"/>
        </w:rPr>
      </w:pPr>
    </w:p>
    <w:p>
      <w:pPr>
        <w:pStyle w:val="67"/>
        <w:spacing w:line="360" w:lineRule="auto"/>
        <w:ind w:firstLine="643" w:firstLineChars="200"/>
        <w:jc w:val="center"/>
        <w:outlineLvl w:val="1"/>
        <w:rPr>
          <w:rFonts w:hint="eastAsia" w:hAnsi="宋体" w:eastAsia="宋体" w:cs="宋体"/>
          <w:b/>
          <w:color w:val="auto"/>
          <w:sz w:val="24"/>
          <w:szCs w:val="24"/>
          <w:highlight w:val="none"/>
        </w:rPr>
      </w:pPr>
      <w:bookmarkStart w:id="18" w:name="_Toc6213"/>
      <w:r>
        <w:rPr>
          <w:rFonts w:hint="eastAsia" w:hAnsi="宋体" w:eastAsia="宋体" w:cs="宋体"/>
          <w:b/>
          <w:color w:val="auto"/>
          <w:sz w:val="32"/>
          <w:szCs w:val="32"/>
          <w:highlight w:val="none"/>
        </w:rPr>
        <w:t>五、报价文件的评估和比较</w:t>
      </w:r>
      <w:bookmarkEnd w:id="18"/>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15.磋商时间</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b/>
          <w:color w:val="auto"/>
          <w:sz w:val="24"/>
          <w:szCs w:val="24"/>
          <w:highlight w:val="none"/>
        </w:rPr>
        <w:t xml:space="preserve">   </w:t>
      </w:r>
      <w:r>
        <w:rPr>
          <w:rFonts w:hint="eastAsia" w:hAnsi="宋体" w:eastAsia="宋体" w:cs="宋体"/>
          <w:color w:val="auto"/>
          <w:sz w:val="24"/>
          <w:szCs w:val="24"/>
          <w:highlight w:val="none"/>
        </w:rPr>
        <w:t xml:space="preserve"> 15.1在报价人须知前附表中所规定的时间、地点磋商（如有推迟情形，以推迟后的时间、地点为准）。</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15.2磋商由采购代理机构主持，邀请采购人、报价人和有关方面代表参加。报价人一般应派授权代表参加磋商，并办理签到手续。</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16.磋商小组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磋商小组，磋商小组由技术、经济、法律方面的专家和采购人代表组成。成员为3人及以上单数组成，专家不能少于三分之二。磋商小组将对报价文件进行审查、质疑、评估和比较，进行磋商并做出授予合同的建议。</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17.报价文件的初审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对所有报价人的评估，都采用相同的程序和标准。评议过程将严格按照采购文件的要求和条件进行。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w:t>
      </w:r>
      <w:r>
        <w:rPr>
          <w:rFonts w:hint="eastAsia" w:ascii="宋体" w:hAnsi="宋体" w:cs="宋体"/>
          <w:color w:val="auto"/>
          <w:sz w:val="24"/>
          <w:szCs w:val="24"/>
          <w:highlight w:val="none"/>
          <w:lang w:eastAsia="zh-CN"/>
        </w:rPr>
        <w:t>成交候选供应商</w:t>
      </w:r>
      <w:r>
        <w:rPr>
          <w:rFonts w:hint="eastAsia" w:ascii="宋体" w:hAnsi="宋体" w:eastAsia="宋体" w:cs="宋体"/>
          <w:color w:val="auto"/>
          <w:sz w:val="24"/>
          <w:szCs w:val="24"/>
          <w:highlight w:val="none"/>
        </w:rPr>
        <w:t>的一切情况都不得透露给任一报价人或与</w:t>
      </w:r>
      <w:r>
        <w:rPr>
          <w:rFonts w:hint="eastAsia" w:ascii="宋体" w:hAnsi="宋体" w:cs="宋体"/>
          <w:color w:val="auto"/>
          <w:sz w:val="24"/>
          <w:szCs w:val="24"/>
          <w:highlight w:val="none"/>
          <w:lang w:eastAsia="zh-CN"/>
        </w:rPr>
        <w:t>上述</w:t>
      </w:r>
      <w:r>
        <w:rPr>
          <w:rFonts w:hint="eastAsia" w:ascii="宋体" w:hAnsi="宋体" w:eastAsia="宋体" w:cs="宋体"/>
          <w:color w:val="auto"/>
          <w:sz w:val="24"/>
          <w:szCs w:val="24"/>
          <w:highlight w:val="none"/>
        </w:rPr>
        <w:t>磋商工作无关的人员。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报价人任何试图影响磋商小组对报价文件的评审、比较或者推荐候选人的行为，都将导致其磋商响应被拒绝，并被没收磋商保证金。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如果报价人不接受按上述方法对报价文件中的算术错误进行更正，其响应将被拒绝并没收其磋商保证金。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(1)未按规定由报价人的法定代表人或其授权代表签字；或未加盖报价人公章的；或签字人未提供单位有效授权委托书的；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(2)未按规定提交磋商保证金的；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(3)磋商响应有效期不满足采购文件要求的；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(8)不符合采购文件中规定的其它实质性条款。</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磋商小组决定报价的响应性只根据报价文件本身的内容，而不寻求其他的外部证据。</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17.4报价人提交的报价文件将给予保密，但不予退回。</w:t>
      </w:r>
    </w:p>
    <w:p>
      <w:pPr>
        <w:pStyle w:val="6"/>
        <w:snapToGrid w:val="0"/>
        <w:spacing w:line="360" w:lineRule="auto"/>
        <w:ind w:firstLine="480" w:firstLineChars="200"/>
        <w:outlineLvl w:val="9"/>
        <w:rPr>
          <w:rFonts w:hint="eastAsia" w:eastAsia="宋体" w:cs="宋体"/>
          <w:color w:val="auto"/>
          <w:sz w:val="24"/>
          <w:szCs w:val="24"/>
          <w:highlight w:val="none"/>
        </w:rPr>
      </w:pPr>
      <w:r>
        <w:rPr>
          <w:rFonts w:hint="eastAsia" w:eastAsia="宋体" w:cs="宋体"/>
          <w:color w:val="auto"/>
          <w:sz w:val="24"/>
          <w:szCs w:val="24"/>
          <w:highlight w:val="none"/>
        </w:rPr>
        <w:t>17.5报价人资格和报价产品均必须满足中华人民共和国相关法律法规及行业的强制性要求，否则将作无效响应处理。</w:t>
      </w:r>
    </w:p>
    <w:p>
      <w:pPr>
        <w:pStyle w:val="6"/>
        <w:snapToGrid w:val="0"/>
        <w:spacing w:line="360" w:lineRule="auto"/>
        <w:ind w:firstLine="0"/>
        <w:outlineLvl w:val="9"/>
        <w:rPr>
          <w:rFonts w:hint="eastAsia" w:eastAsia="宋体" w:cs="宋体"/>
          <w:color w:val="auto"/>
          <w:sz w:val="24"/>
          <w:szCs w:val="24"/>
          <w:highlight w:val="none"/>
        </w:rPr>
      </w:pPr>
      <w:r>
        <w:rPr>
          <w:rFonts w:hint="eastAsia" w:eastAsia="宋体" w:cs="宋体"/>
          <w:b/>
          <w:color w:val="auto"/>
          <w:sz w:val="24"/>
          <w:szCs w:val="24"/>
          <w:highlight w:val="none"/>
        </w:rPr>
        <w:t>18.磋商相应文件的澄清</w:t>
      </w:r>
    </w:p>
    <w:p>
      <w:pPr>
        <w:pStyle w:val="6"/>
        <w:snapToGrid w:val="0"/>
        <w:spacing w:line="360" w:lineRule="auto"/>
        <w:ind w:firstLine="480" w:firstLineChars="200"/>
        <w:outlineLvl w:val="9"/>
        <w:rPr>
          <w:rFonts w:hint="eastAsia" w:eastAsia="宋体" w:cs="宋体"/>
          <w:color w:val="auto"/>
          <w:sz w:val="24"/>
          <w:szCs w:val="24"/>
          <w:highlight w:val="none"/>
        </w:rPr>
      </w:pPr>
      <w:r>
        <w:rPr>
          <w:rFonts w:hint="eastAsia" w:eastAsia="宋体" w:cs="宋体"/>
          <w:color w:val="auto"/>
          <w:sz w:val="24"/>
          <w:szCs w:val="24"/>
          <w:highlight w:val="none"/>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19.比较与评价</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19.1 磋商小组将按报价人须知前附表3所述评审方法与标准，对资格性检查和符合性检查合格的采购文件进行商务和技术评估，综合比较与评价。</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pPr>
        <w:pStyle w:val="11"/>
        <w:spacing w:line="360" w:lineRule="auto"/>
        <w:ind w:firstLine="480" w:firstLineChars="200"/>
        <w:jc w:val="left"/>
        <w:rPr>
          <w:rFonts w:hint="eastAsia" w:hAnsi="宋体" w:eastAsia="宋体" w:cs="宋体"/>
          <w:color w:val="auto"/>
          <w:sz w:val="24"/>
          <w:szCs w:val="24"/>
          <w:highlight w:val="none"/>
        </w:rPr>
      </w:pPr>
    </w:p>
    <w:p>
      <w:pPr>
        <w:pStyle w:val="67"/>
        <w:spacing w:line="360" w:lineRule="auto"/>
        <w:jc w:val="center"/>
        <w:outlineLvl w:val="1"/>
        <w:rPr>
          <w:rFonts w:hint="eastAsia" w:hAnsi="宋体" w:eastAsia="宋体" w:cs="宋体"/>
          <w:b/>
          <w:color w:val="auto"/>
          <w:sz w:val="24"/>
          <w:szCs w:val="24"/>
          <w:highlight w:val="none"/>
        </w:rPr>
      </w:pPr>
      <w:bookmarkStart w:id="19" w:name="_Toc17908"/>
      <w:r>
        <w:rPr>
          <w:rFonts w:hint="eastAsia" w:hAnsi="宋体" w:eastAsia="宋体" w:cs="宋体"/>
          <w:b/>
          <w:color w:val="auto"/>
          <w:sz w:val="32"/>
          <w:szCs w:val="32"/>
          <w:highlight w:val="none"/>
        </w:rPr>
        <w:t>六、成交与签订合同</w:t>
      </w:r>
      <w:bookmarkEnd w:id="19"/>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20.成交准则</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20.1报价人的报价文件符合采购文件要求，按采购文件确定评审方法、标准，经磋商小组评审并推荐</w:t>
      </w:r>
      <w:r>
        <w:rPr>
          <w:rFonts w:hint="eastAsia" w:hAnsi="宋体" w:cs="宋体"/>
          <w:color w:val="auto"/>
          <w:sz w:val="24"/>
          <w:szCs w:val="24"/>
          <w:highlight w:val="none"/>
          <w:lang w:eastAsia="zh-CN"/>
        </w:rPr>
        <w:t>成交候选供应商</w:t>
      </w:r>
      <w:r>
        <w:rPr>
          <w:rFonts w:hint="eastAsia" w:hAnsi="宋体" w:eastAsia="宋体" w:cs="宋体"/>
          <w:color w:val="auto"/>
          <w:sz w:val="24"/>
          <w:szCs w:val="24"/>
          <w:highlight w:val="none"/>
        </w:rPr>
        <w:t xml:space="preserve">。 </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21.成交通知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21.1磋商结束后，磋商结果经采购人确认后，采购代理机构应自成交人确定之日起2个工作日内在</w:t>
      </w:r>
      <w:r>
        <w:rPr>
          <w:rFonts w:hint="eastAsia" w:ascii="宋体" w:hAnsi="宋体" w:cs="宋体"/>
          <w:color w:val="auto"/>
          <w:sz w:val="24"/>
          <w:szCs w:val="24"/>
          <w:highlight w:val="none"/>
          <w:lang w:eastAsia="zh-CN"/>
        </w:rPr>
        <w:t>厦门招投标网</w:t>
      </w:r>
      <w:r>
        <w:rPr>
          <w:rFonts w:hint="eastAsia" w:ascii="宋体" w:hAnsi="宋体" w:eastAsia="宋体" w:cs="宋体"/>
          <w:color w:val="auto"/>
          <w:sz w:val="24"/>
          <w:szCs w:val="24"/>
          <w:highlight w:val="none"/>
        </w:rPr>
        <w:t>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21.4《成交通知书》发出后5个工作日内，采购代理机构以原缴交方式向未成交的报价人退还其磋商保证金（含保函）。在合同签订后5个工作日内，以原缴交方式退还成交供应商的磋商保证金。</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22.签订合同</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22.3采购人在合同履行中，需追加与合同标的相同的货物或者服务的，在不改变合同其他条款的前提下，可与供应商协商签订补充合同，但所有补充合同的采购金额不得超过原合同采购金额的10%。</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22.4成交供应商因不可抗力或者自身原因不能履行政府采购合同的，采购人可以与排位在成交供应商之后第一位的</w:t>
      </w:r>
      <w:r>
        <w:rPr>
          <w:rFonts w:hint="eastAsia" w:ascii="宋体" w:hAnsi="宋体" w:cs="宋体"/>
          <w:color w:val="auto"/>
          <w:sz w:val="24"/>
          <w:szCs w:val="24"/>
          <w:highlight w:val="none"/>
          <w:lang w:eastAsia="zh-CN"/>
        </w:rPr>
        <w:t>成交候选供应商</w:t>
      </w:r>
      <w:r>
        <w:rPr>
          <w:rFonts w:hint="eastAsia" w:ascii="宋体" w:hAnsi="宋体" w:eastAsia="宋体" w:cs="宋体"/>
          <w:color w:val="auto"/>
          <w:sz w:val="24"/>
          <w:szCs w:val="24"/>
          <w:highlight w:val="none"/>
        </w:rPr>
        <w:t>签订政府采购合同，以此类推。且在此情况下，作为成交供应商之后第一位的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候选供应商应同意与采购人按不高于其最终报价签订采购合同。</w:t>
      </w:r>
    </w:p>
    <w:p>
      <w:pPr>
        <w:pStyle w:val="11"/>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rPr>
        <w:t>23.</w:t>
      </w:r>
      <w:r>
        <w:rPr>
          <w:rFonts w:hint="eastAsia" w:hAnsi="宋体" w:eastAsia="宋体" w:cs="宋体"/>
          <w:b/>
          <w:color w:val="auto"/>
          <w:sz w:val="24"/>
          <w:szCs w:val="24"/>
          <w:highlight w:val="none"/>
          <w:lang w:eastAsia="zh-CN"/>
        </w:rPr>
        <w:t>代理服务费</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成交供应商应按须知前附表一次性向采购代理机构交纳</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w:t>
      </w: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outlineLvl w:val="9"/>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bookmarkStart w:id="20" w:name="_Toc7699"/>
      <w:r>
        <w:rPr>
          <w:rFonts w:hint="eastAsia" w:ascii="宋体" w:hAnsi="宋体" w:eastAsia="宋体" w:cs="宋体"/>
          <w:b/>
          <w:bCs/>
          <w:color w:val="auto"/>
          <w:sz w:val="32"/>
          <w:szCs w:val="32"/>
          <w:highlight w:val="none"/>
        </w:rPr>
        <w:t>第三章  磋商内容及要求</w:t>
      </w:r>
      <w:bookmarkEnd w:id="20"/>
    </w:p>
    <w:p>
      <w:pPr>
        <w:spacing w:line="360" w:lineRule="auto"/>
        <w:rPr>
          <w:rFonts w:hint="eastAsia" w:ascii="宋体" w:hAnsi="宋体" w:eastAsia="宋体" w:cs="宋体"/>
          <w:color w:val="auto"/>
          <w:sz w:val="24"/>
          <w:szCs w:val="24"/>
          <w:highlight w:val="none"/>
        </w:rPr>
      </w:pPr>
    </w:p>
    <w:p>
      <w:pPr>
        <w:tabs>
          <w:tab w:val="left" w:pos="525"/>
        </w:tabs>
        <w:spacing w:line="360" w:lineRule="auto"/>
        <w:outlineLvl w:val="1"/>
        <w:rPr>
          <w:rFonts w:hint="eastAsia" w:ascii="宋体" w:hAnsi="宋体" w:eastAsia="宋体" w:cs="宋体"/>
          <w:b/>
          <w:bCs/>
          <w:color w:val="auto"/>
          <w:sz w:val="24"/>
          <w:szCs w:val="24"/>
          <w:highlight w:val="none"/>
          <w:lang w:val="en-US" w:eastAsia="zh-CN"/>
        </w:rPr>
      </w:pPr>
      <w:bookmarkStart w:id="21" w:name="_Toc500504619"/>
      <w:bookmarkStart w:id="22" w:name="_Toc491002899"/>
      <w:bookmarkStart w:id="23" w:name="_Toc10139"/>
      <w:bookmarkStart w:id="24" w:name="_Toc2941"/>
      <w:bookmarkStart w:id="25" w:name="_Toc11262764"/>
      <w:bookmarkStart w:id="26" w:name="_Toc29234"/>
      <w:r>
        <w:rPr>
          <w:rFonts w:hint="eastAsia" w:ascii="宋体" w:hAnsi="宋体" w:eastAsia="宋体" w:cs="宋体"/>
          <w:b/>
          <w:bCs/>
          <w:color w:val="auto"/>
          <w:sz w:val="24"/>
          <w:szCs w:val="24"/>
          <w:highlight w:val="none"/>
          <w:lang w:val="en-US" w:eastAsia="zh-CN"/>
        </w:rPr>
        <w:t>一、</w:t>
      </w:r>
      <w:bookmarkEnd w:id="21"/>
      <w:bookmarkEnd w:id="22"/>
      <w:r>
        <w:rPr>
          <w:rFonts w:hint="eastAsia" w:ascii="宋体" w:hAnsi="宋体" w:eastAsia="宋体" w:cs="宋体"/>
          <w:b/>
          <w:bCs/>
          <w:color w:val="auto"/>
          <w:sz w:val="24"/>
          <w:szCs w:val="24"/>
          <w:highlight w:val="none"/>
          <w:lang w:val="en-US" w:eastAsia="zh-CN"/>
        </w:rPr>
        <w:t>项目概况</w:t>
      </w:r>
      <w:bookmarkEnd w:id="23"/>
      <w:bookmarkEnd w:id="24"/>
      <w:bookmarkEnd w:id="25"/>
    </w:p>
    <w:p>
      <w:pPr>
        <w:pStyle w:val="11"/>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ar-SA"/>
        </w:rPr>
      </w:pPr>
      <w:bookmarkStart w:id="27" w:name="_Toc514358981"/>
      <w:bookmarkStart w:id="28" w:name="_Toc21689"/>
      <w:bookmarkStart w:id="29" w:name="_Toc10126"/>
      <w:bookmarkStart w:id="30" w:name="_Toc11262462"/>
      <w:bookmarkStart w:id="31" w:name="_Toc491002901"/>
      <w:bookmarkStart w:id="32" w:name="_Toc11262765"/>
      <w:bookmarkStart w:id="33" w:name="_Toc514358849"/>
      <w:r>
        <w:rPr>
          <w:rFonts w:hint="eastAsia" w:asciiTheme="minorEastAsia" w:hAnsiTheme="minorEastAsia" w:eastAsiaTheme="minorEastAsia" w:cstheme="minorEastAsia"/>
          <w:color w:val="auto"/>
          <w:kern w:val="2"/>
          <w:sz w:val="24"/>
          <w:szCs w:val="24"/>
          <w:highlight w:val="none"/>
          <w:lang w:val="en-US" w:eastAsia="zh-CN" w:bidi="ar-SA"/>
        </w:rPr>
        <w:t>本项目为</w:t>
      </w:r>
      <w:r>
        <w:rPr>
          <w:rFonts w:hint="eastAsia" w:asciiTheme="minorEastAsia" w:hAnsiTheme="minorEastAsia" w:cstheme="minorEastAsia"/>
          <w:color w:val="auto"/>
          <w:kern w:val="2"/>
          <w:sz w:val="24"/>
          <w:szCs w:val="24"/>
          <w:highlight w:val="none"/>
          <w:lang w:val="en-US" w:eastAsia="zh-CN" w:bidi="ar-SA"/>
        </w:rPr>
        <w:t>厦门外国语学校瑞景分校信息化和安防设备维保</w:t>
      </w:r>
      <w:r>
        <w:rPr>
          <w:rFonts w:hint="eastAsia" w:asciiTheme="minorEastAsia" w:hAnsiTheme="minorEastAsia" w:eastAsiaTheme="minorEastAsia" w:cstheme="minorEastAsia"/>
          <w:color w:val="auto"/>
          <w:kern w:val="2"/>
          <w:sz w:val="24"/>
          <w:szCs w:val="24"/>
          <w:highlight w:val="none"/>
          <w:lang w:val="en-US" w:eastAsia="zh-CN" w:bidi="ar-SA"/>
        </w:rPr>
        <w:t>项目。为确保学校教学、办公设备正常运转，提高设备利用率，延长使用寿命，以保证学校正常的办公及教学秩序不受影响。</w:t>
      </w:r>
      <w:bookmarkEnd w:id="27"/>
      <w:bookmarkEnd w:id="28"/>
      <w:bookmarkEnd w:id="29"/>
      <w:bookmarkEnd w:id="30"/>
      <w:bookmarkEnd w:id="31"/>
      <w:bookmarkEnd w:id="32"/>
      <w:bookmarkEnd w:id="33"/>
    </w:p>
    <w:bookmarkEnd w:id="26"/>
    <w:p>
      <w:pPr>
        <w:tabs>
          <w:tab w:val="left" w:pos="525"/>
        </w:tabs>
        <w:spacing w:line="360" w:lineRule="auto"/>
        <w:outlineLvl w:val="1"/>
        <w:rPr>
          <w:rFonts w:hint="eastAsia" w:ascii="宋体" w:hAnsi="宋体" w:cs="宋体"/>
          <w:b/>
          <w:bCs/>
          <w:color w:val="auto"/>
          <w:sz w:val="24"/>
          <w:szCs w:val="24"/>
          <w:highlight w:val="none"/>
        </w:rPr>
      </w:pPr>
      <w:bookmarkStart w:id="34" w:name="_Toc29960"/>
      <w:r>
        <w:rPr>
          <w:rFonts w:hint="eastAsia" w:ascii="宋体" w:hAnsi="宋体" w:cs="宋体"/>
          <w:b/>
          <w:bCs/>
          <w:color w:val="auto"/>
          <w:sz w:val="24"/>
          <w:szCs w:val="24"/>
          <w:highlight w:val="none"/>
        </w:rPr>
        <w:t>二、服务内容及要求</w:t>
      </w:r>
      <w:bookmarkEnd w:id="34"/>
    </w:p>
    <w:p>
      <w:pPr>
        <w:widowControl/>
        <w:spacing w:line="360" w:lineRule="auto"/>
        <w:ind w:firstLine="482" w:firstLineChars="200"/>
        <w:jc w:val="left"/>
        <w:rPr>
          <w:rFonts w:hint="eastAsia"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bidi="ar"/>
        </w:rPr>
        <w:t>1.服务内容：</w:t>
      </w:r>
    </w:p>
    <w:p>
      <w:pPr>
        <w:numPr>
          <w:ilvl w:val="1"/>
          <w:numId w:val="0"/>
        </w:numPr>
        <w:tabs>
          <w:tab w:val="left" w:pos="1106"/>
        </w:tabs>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1.1.计算机及相关办公设备维护服务</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1.1.1.服务范围</w:t>
      </w:r>
    </w:p>
    <w:p>
      <w:pPr>
        <w:pStyle w:val="65"/>
        <w:spacing w:line="360" w:lineRule="auto"/>
        <w:ind w:firstLine="480" w:firstLineChars="200"/>
        <w:rPr>
          <w:rFonts w:hint="eastAsia" w:hAnsi="宋体" w:cs="宋体"/>
          <w:color w:val="auto"/>
          <w:highlight w:val="none"/>
        </w:rPr>
      </w:pPr>
      <w:r>
        <w:rPr>
          <w:rFonts w:hint="eastAsia" w:hAnsi="宋体" w:cs="宋体"/>
          <w:color w:val="auto"/>
          <w:highlight w:val="none"/>
        </w:rPr>
        <w:t>负责</w:t>
      </w:r>
      <w:r>
        <w:rPr>
          <w:rFonts w:hint="eastAsia" w:hAnsi="宋体" w:cs="宋体"/>
          <w:color w:val="auto"/>
          <w:highlight w:val="none"/>
          <w:lang w:val="en-US" w:eastAsia="zh-CN"/>
        </w:rPr>
        <w:t>学校</w:t>
      </w:r>
      <w:r>
        <w:rPr>
          <w:rFonts w:hint="eastAsia" w:hAnsi="宋体" w:cs="宋体"/>
          <w:color w:val="auto"/>
          <w:highlight w:val="none"/>
        </w:rPr>
        <w:t>学生机房、多媒体教室使用的信创计算机、教师与行政办公人员使用的计算机、笔记本电脑、打印机及公共区域其它信息设备（信息显示电视、LED、对讲机、电话、公共计算机、信息查询机、中考相关设备、会议系统、铃声系统、监控系统）的软硬件维护、系统配置、软件安装、升级（补丁）、故障处理、网络连接、设备新增、设备迁移、报废处理。</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1.1.2.运维内容</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1.1.2.1.维护过程中应对学校所有计算机进行信息收集，依据收集数据建立 PC 维护档案和电子信息卡，建立 PC 资料库，对设备名称、使用部门、使用人员、联系电话、存放地点、IP/MAC 地址、序列号、购买日期、所安装的操作系统、杀毒软件、补丁情况等予以登记。</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1.1.2.2.协助迁移、安装调试打印机、扫描仪、网卡、传真机等外置设备。</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1.1.2.3.打印机的故障处理：解决驱动程序/软件设置/网络设置问题造成的网络打印故障。其它外置设备的故障处理：解决扫描仪等外置设备由于驱动程序/软件设置问题造成的故障。</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1.1.2.4.负责PC机软、硬件的应用服务和日常保养维护（含所有硬件驱动程序、防杀毒程序升级、网络配置程序、操作系统等。其中涉及知识产权的系统和软件，以及使用方专用的软件和软件的安装方法由使用方提供），保证使用者的设备硬件和软件的正常运行。</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1.1.2.5.接到报修后及时现场修复，如遇特殊原因不能当场修复，向业主单位说明具体原因，并提供解决方案。</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1.1.3.建立完善的档案制度和管理制度，包括计算机和外设等设备档案、服务维修记录档案，并每季度进行一次服务情况汇报。</w:t>
      </w:r>
    </w:p>
    <w:p>
      <w:pPr>
        <w:pStyle w:val="73"/>
        <w:spacing w:line="360" w:lineRule="auto"/>
        <w:ind w:firstLine="480"/>
        <w:rPr>
          <w:rFonts w:hint="eastAsia" w:hAnsi="宋体" w:cs="宋体"/>
          <w:color w:val="auto"/>
          <w:sz w:val="24"/>
          <w:szCs w:val="24"/>
          <w:highlight w:val="none"/>
        </w:rPr>
      </w:pPr>
    </w:p>
    <w:p>
      <w:pPr>
        <w:numPr>
          <w:ilvl w:val="2"/>
          <w:numId w:val="0"/>
        </w:numPr>
        <w:adjustRightInd w:val="0"/>
        <w:snapToGrid w:val="0"/>
        <w:spacing w:line="360" w:lineRule="auto"/>
        <w:ind w:left="717" w:leftChars="186" w:hanging="326" w:hangingChars="136"/>
        <w:rPr>
          <w:rFonts w:hint="eastAsia" w:ascii="宋体" w:hAnsi="宋体" w:cs="宋体"/>
          <w:color w:val="auto"/>
          <w:sz w:val="24"/>
          <w:szCs w:val="24"/>
          <w:highlight w:val="none"/>
        </w:rPr>
      </w:pPr>
      <w:r>
        <w:rPr>
          <w:rFonts w:hint="eastAsia" w:ascii="宋体" w:hAnsi="宋体" w:cs="宋体"/>
          <w:color w:val="auto"/>
          <w:sz w:val="24"/>
          <w:szCs w:val="24"/>
          <w:highlight w:val="none"/>
        </w:rPr>
        <w:t>1.1.4.运维要求</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470"/>
        <w:gridCol w:w="1980"/>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pStyle w:val="20"/>
              <w:widowControl/>
              <w:spacing w:line="360" w:lineRule="auto"/>
              <w:jc w:val="center"/>
              <w:rPr>
                <w:rFonts w:hint="eastAsia" w:ascii="宋体" w:hAnsi="宋体" w:cs="宋体"/>
                <w:color w:val="auto"/>
                <w:szCs w:val="24"/>
                <w:highlight w:val="none"/>
              </w:rPr>
            </w:pPr>
            <w:r>
              <w:rPr>
                <w:rStyle w:val="26"/>
                <w:rFonts w:hint="eastAsia" w:ascii="宋体" w:hAnsi="宋体" w:cs="宋体"/>
                <w:color w:val="auto"/>
                <w:szCs w:val="24"/>
                <w:highlight w:val="none"/>
              </w:rPr>
              <w:t>序号</w:t>
            </w:r>
          </w:p>
        </w:tc>
        <w:tc>
          <w:tcPr>
            <w:tcW w:w="1470" w:type="dxa"/>
            <w:vAlign w:val="center"/>
          </w:tcPr>
          <w:p>
            <w:pPr>
              <w:pStyle w:val="20"/>
              <w:widowControl/>
              <w:spacing w:line="360" w:lineRule="auto"/>
              <w:jc w:val="center"/>
              <w:rPr>
                <w:rFonts w:hint="eastAsia" w:ascii="宋体" w:hAnsi="宋体" w:cs="宋体"/>
                <w:color w:val="auto"/>
                <w:szCs w:val="24"/>
                <w:highlight w:val="none"/>
              </w:rPr>
            </w:pPr>
            <w:r>
              <w:rPr>
                <w:rStyle w:val="26"/>
                <w:rFonts w:hint="eastAsia" w:ascii="宋体" w:hAnsi="宋体" w:cs="宋体"/>
                <w:color w:val="auto"/>
                <w:szCs w:val="24"/>
                <w:highlight w:val="none"/>
              </w:rPr>
              <w:t>项目</w:t>
            </w:r>
          </w:p>
        </w:tc>
        <w:tc>
          <w:tcPr>
            <w:tcW w:w="1980" w:type="dxa"/>
            <w:vAlign w:val="center"/>
          </w:tcPr>
          <w:p>
            <w:pPr>
              <w:pStyle w:val="20"/>
              <w:widowControl/>
              <w:spacing w:line="360" w:lineRule="auto"/>
              <w:jc w:val="center"/>
              <w:rPr>
                <w:rFonts w:hint="eastAsia" w:ascii="宋体" w:hAnsi="宋体" w:cs="宋体"/>
                <w:color w:val="auto"/>
                <w:szCs w:val="24"/>
                <w:highlight w:val="none"/>
              </w:rPr>
            </w:pPr>
            <w:r>
              <w:rPr>
                <w:rStyle w:val="26"/>
                <w:rFonts w:hint="eastAsia" w:ascii="宋体" w:hAnsi="宋体" w:cs="宋体"/>
                <w:color w:val="auto"/>
                <w:szCs w:val="24"/>
                <w:highlight w:val="none"/>
              </w:rPr>
              <w:t>内容</w:t>
            </w:r>
          </w:p>
        </w:tc>
        <w:tc>
          <w:tcPr>
            <w:tcW w:w="4321" w:type="dxa"/>
            <w:vAlign w:val="center"/>
          </w:tcPr>
          <w:p>
            <w:pPr>
              <w:pStyle w:val="20"/>
              <w:widowControl/>
              <w:spacing w:line="360" w:lineRule="auto"/>
              <w:jc w:val="center"/>
              <w:rPr>
                <w:rFonts w:hint="eastAsia" w:ascii="宋体" w:hAnsi="宋体" w:cs="宋体"/>
                <w:color w:val="auto"/>
                <w:szCs w:val="24"/>
                <w:highlight w:val="none"/>
              </w:rPr>
            </w:pPr>
            <w:r>
              <w:rPr>
                <w:rStyle w:val="26"/>
                <w:rFonts w:hint="eastAsia" w:ascii="宋体" w:hAnsi="宋体" w:cs="宋体"/>
                <w:color w:val="auto"/>
                <w:szCs w:val="24"/>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51" w:type="dxa"/>
            <w:vMerge w:val="restart"/>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1</w:t>
            </w:r>
          </w:p>
        </w:tc>
        <w:tc>
          <w:tcPr>
            <w:tcW w:w="1470" w:type="dxa"/>
            <w:vMerge w:val="restart"/>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用户资源配置信息管理</w:t>
            </w:r>
          </w:p>
        </w:tc>
        <w:tc>
          <w:tcPr>
            <w:tcW w:w="1980" w:type="dxa"/>
            <w:tcBorders>
              <w:bottom w:val="single" w:color="000000" w:sz="4" w:space="0"/>
            </w:tcBorders>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用户基本信息</w:t>
            </w:r>
          </w:p>
        </w:tc>
        <w:tc>
          <w:tcPr>
            <w:tcW w:w="4321" w:type="dxa"/>
            <w:tcBorders>
              <w:bottom w:val="single" w:color="000000" w:sz="4" w:space="0"/>
            </w:tcBorders>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信息整理，保证信息准确和调整及时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51" w:type="dxa"/>
            <w:vMerge w:val="continue"/>
            <w:vAlign w:val="center"/>
          </w:tcPr>
          <w:p>
            <w:pPr>
              <w:spacing w:line="360" w:lineRule="auto"/>
              <w:rPr>
                <w:rFonts w:hint="eastAsia" w:ascii="宋体" w:hAnsi="宋体" w:cs="宋体"/>
                <w:color w:val="auto"/>
                <w:sz w:val="24"/>
                <w:szCs w:val="24"/>
                <w:highlight w:val="none"/>
              </w:rPr>
            </w:pPr>
          </w:p>
        </w:tc>
        <w:tc>
          <w:tcPr>
            <w:tcW w:w="1470" w:type="dxa"/>
            <w:vMerge w:val="continue"/>
            <w:vAlign w:val="center"/>
          </w:tcPr>
          <w:p>
            <w:pPr>
              <w:spacing w:line="360" w:lineRule="auto"/>
              <w:rPr>
                <w:rFonts w:hint="eastAsia" w:ascii="宋体" w:hAnsi="宋体" w:cs="宋体"/>
                <w:color w:val="auto"/>
                <w:sz w:val="24"/>
                <w:szCs w:val="24"/>
                <w:highlight w:val="none"/>
              </w:rPr>
            </w:pPr>
          </w:p>
        </w:tc>
        <w:tc>
          <w:tcPr>
            <w:tcW w:w="1980" w:type="dxa"/>
            <w:tcBorders>
              <w:top w:val="single" w:color="000000" w:sz="4" w:space="0"/>
              <w:bottom w:val="single" w:color="000000" w:sz="4" w:space="0"/>
            </w:tcBorders>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硬件配置信息</w:t>
            </w:r>
          </w:p>
        </w:tc>
        <w:tc>
          <w:tcPr>
            <w:tcW w:w="4321" w:type="dxa"/>
            <w:tcBorders>
              <w:top w:val="single" w:color="000000" w:sz="4" w:space="0"/>
              <w:bottom w:val="single" w:color="000000" w:sz="4" w:space="0"/>
            </w:tcBorders>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信息整理，保证信息准确和调整及时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751" w:type="dxa"/>
            <w:vMerge w:val="continue"/>
            <w:vAlign w:val="center"/>
          </w:tcPr>
          <w:p>
            <w:pPr>
              <w:spacing w:line="360" w:lineRule="auto"/>
              <w:rPr>
                <w:rFonts w:hint="eastAsia" w:ascii="宋体" w:hAnsi="宋体" w:cs="宋体"/>
                <w:color w:val="auto"/>
                <w:sz w:val="24"/>
                <w:szCs w:val="24"/>
                <w:highlight w:val="none"/>
              </w:rPr>
            </w:pPr>
          </w:p>
        </w:tc>
        <w:tc>
          <w:tcPr>
            <w:tcW w:w="1470" w:type="dxa"/>
            <w:vMerge w:val="continue"/>
            <w:vAlign w:val="center"/>
          </w:tcPr>
          <w:p>
            <w:pPr>
              <w:spacing w:line="360" w:lineRule="auto"/>
              <w:rPr>
                <w:rFonts w:hint="eastAsia" w:ascii="宋体" w:hAnsi="宋体" w:cs="宋体"/>
                <w:color w:val="auto"/>
                <w:sz w:val="24"/>
                <w:szCs w:val="24"/>
                <w:highlight w:val="none"/>
              </w:rPr>
            </w:pPr>
          </w:p>
        </w:tc>
        <w:tc>
          <w:tcPr>
            <w:tcW w:w="1980" w:type="dxa"/>
            <w:tcBorders>
              <w:top w:val="single" w:color="000000" w:sz="4" w:space="0"/>
            </w:tcBorders>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软件配置信息</w:t>
            </w:r>
          </w:p>
        </w:tc>
        <w:tc>
          <w:tcPr>
            <w:tcW w:w="4321" w:type="dxa"/>
            <w:tcBorders>
              <w:top w:val="single" w:color="000000" w:sz="4" w:space="0"/>
            </w:tcBorders>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信息整理，保证信息准确和调整及时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2</w:t>
            </w:r>
          </w:p>
        </w:tc>
        <w:tc>
          <w:tcPr>
            <w:tcW w:w="1470"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台式机维护</w:t>
            </w:r>
          </w:p>
        </w:tc>
        <w:tc>
          <w:tcPr>
            <w:tcW w:w="1980"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个人及公共区域办公终端维护</w:t>
            </w:r>
          </w:p>
        </w:tc>
        <w:tc>
          <w:tcPr>
            <w:tcW w:w="4321"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上门服务，故障解决、设备安装，工位调整，网络调整，技术支持，设备送修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3</w:t>
            </w:r>
          </w:p>
        </w:tc>
        <w:tc>
          <w:tcPr>
            <w:tcW w:w="1470"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笔记本电脑维护</w:t>
            </w:r>
          </w:p>
        </w:tc>
        <w:tc>
          <w:tcPr>
            <w:tcW w:w="1980"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设备维护服务</w:t>
            </w:r>
          </w:p>
        </w:tc>
        <w:tc>
          <w:tcPr>
            <w:tcW w:w="4321"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上门服务，故障解决、设备安装，网络调整，技术支持，设备送修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4</w:t>
            </w:r>
          </w:p>
        </w:tc>
        <w:tc>
          <w:tcPr>
            <w:tcW w:w="1470"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打印机、复印机及多功能一体机</w:t>
            </w:r>
          </w:p>
        </w:tc>
        <w:tc>
          <w:tcPr>
            <w:tcW w:w="1980"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个人及公共区域办公终端维护</w:t>
            </w:r>
          </w:p>
        </w:tc>
        <w:tc>
          <w:tcPr>
            <w:tcW w:w="4321"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工位调整，网络调整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5</w:t>
            </w:r>
          </w:p>
        </w:tc>
        <w:tc>
          <w:tcPr>
            <w:tcW w:w="1470"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扫描仪维护</w:t>
            </w:r>
          </w:p>
        </w:tc>
        <w:tc>
          <w:tcPr>
            <w:tcW w:w="1980"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设备硬件维护</w:t>
            </w:r>
          </w:p>
        </w:tc>
        <w:tc>
          <w:tcPr>
            <w:tcW w:w="4321"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工位调整，网络调整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6</w:t>
            </w:r>
          </w:p>
        </w:tc>
        <w:tc>
          <w:tcPr>
            <w:tcW w:w="1470"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配线间维护</w:t>
            </w:r>
          </w:p>
        </w:tc>
        <w:tc>
          <w:tcPr>
            <w:tcW w:w="1980"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线路维护</w:t>
            </w:r>
          </w:p>
        </w:tc>
        <w:tc>
          <w:tcPr>
            <w:tcW w:w="4321"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故障处理，网络调整，线路清理维护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7</w:t>
            </w:r>
          </w:p>
        </w:tc>
        <w:tc>
          <w:tcPr>
            <w:tcW w:w="1470"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其他</w:t>
            </w:r>
          </w:p>
        </w:tc>
        <w:tc>
          <w:tcPr>
            <w:tcW w:w="1980"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相关设备软硬件维护</w:t>
            </w:r>
          </w:p>
        </w:tc>
        <w:tc>
          <w:tcPr>
            <w:tcW w:w="4321" w:type="dxa"/>
            <w:vAlign w:val="center"/>
          </w:tcPr>
          <w:p>
            <w:pPr>
              <w:pStyle w:val="20"/>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故障处理，技术支持</w:t>
            </w:r>
          </w:p>
        </w:tc>
      </w:tr>
    </w:tbl>
    <w:p>
      <w:pPr>
        <w:adjustRightInd w:val="0"/>
        <w:snapToGrid w:val="0"/>
        <w:spacing w:line="360" w:lineRule="auto"/>
        <w:rPr>
          <w:rFonts w:hint="eastAsia" w:ascii="宋体" w:hAnsi="宋体" w:cs="宋体"/>
          <w:color w:val="auto"/>
          <w:sz w:val="24"/>
          <w:szCs w:val="24"/>
          <w:highlight w:val="none"/>
        </w:rPr>
      </w:pPr>
    </w:p>
    <w:p>
      <w:pPr>
        <w:numPr>
          <w:ilvl w:val="1"/>
          <w:numId w:val="0"/>
        </w:numPr>
        <w:tabs>
          <w:tab w:val="left" w:pos="1106"/>
        </w:tabs>
        <w:spacing w:line="360" w:lineRule="auto"/>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1.2.计算机网络系统</w:t>
      </w:r>
    </w:p>
    <w:p>
      <w:pPr>
        <w:numPr>
          <w:ilvl w:val="2"/>
          <w:numId w:val="0"/>
        </w:numPr>
        <w:adjustRightInd w:val="0"/>
        <w:snapToGrid w:val="0"/>
        <w:spacing w:line="360" w:lineRule="auto"/>
        <w:ind w:left="717" w:leftChars="186" w:hanging="326" w:hangingChars="136"/>
        <w:rPr>
          <w:rFonts w:hint="eastAsia" w:ascii="宋体" w:hAnsi="宋体" w:cs="宋体"/>
          <w:color w:val="auto"/>
          <w:sz w:val="24"/>
          <w:szCs w:val="24"/>
          <w:highlight w:val="none"/>
        </w:rPr>
      </w:pPr>
      <w:r>
        <w:rPr>
          <w:rFonts w:hint="eastAsia" w:ascii="宋体" w:hAnsi="宋体" w:cs="宋体"/>
          <w:color w:val="auto"/>
          <w:sz w:val="24"/>
          <w:szCs w:val="24"/>
          <w:highlight w:val="none"/>
        </w:rPr>
        <w:t>1.2.1.运维内容</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1.2.1.1.配备专门网络工程师负责核心和接入网的维护与管理。人员配备要求具有交换机、主机、安全产品、路由器、操作服务系统、数据库、底层综合布线系统及计算机等各项专业能力。</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1.2.1.2.设备管理：做好所有计算机网络设备情况整理与归档，建立并维护最新内网、外网拓扑结构。</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1.2.1.3.档案管理：做好主要设备的运行情况台账，通过现场及远程方式检查系统硬件运行情况，及时发现系统应用或设备故障，及时完善台账。</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1.2.1.4.确保网络的可用性：在保证网络性能的基础上，负责路由器、防火墙、交换机等设备配置管理工作。每次变更要求有详细记录，并做配置备份。</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1.2.1.5.切实做好网络监控工作：每月检查一次重要网络设备（如路由器、交换机、防火墙等）重要接口流量、重要接口状态，每月检查一次网络设备配置、接口状态、日志内容、路由表，并提交书面汇报材料。</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1.2.1.6.实施周期巡检：每周对各个主干节点（楼层汇聚）、管理机房、信息中心、运营商应用专网进行巡视，工作内容包括：交换、传输、电源、环境设备的告警测试；单板、风扇及蓄电池的使用情况；各类标志条和卫生情况检查等。</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1.2.1.7.日常维护：日常维护是指障碍受理、系统功能性测试、运行情况观察与分析、填写维护运行情况报表。具体细则包括：</w:t>
      </w:r>
    </w:p>
    <w:p>
      <w:pPr>
        <w:tabs>
          <w:tab w:val="left" w:pos="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（1）网络日常监测，实现对网络运行状况的实时监测以及时发现问题。</w:t>
      </w:r>
    </w:p>
    <w:p>
      <w:pPr>
        <w:tabs>
          <w:tab w:val="left" w:pos="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（2）网络故障诊断和解决。负责网络故障的诊断及问题的解决。</w:t>
      </w:r>
    </w:p>
    <w:p>
      <w:pPr>
        <w:tabs>
          <w:tab w:val="left" w:pos="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（3）网络性能的监测和分析。网络性能的管理将包括网络带宽利用率的监测及瓶颈分析，带宽分配管理及服务质量管理。</w:t>
      </w:r>
    </w:p>
    <w:p>
      <w:pPr>
        <w:tabs>
          <w:tab w:val="left" w:pos="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（4）及时发现和处理系统故障，跟踪问题处理过程。</w:t>
      </w:r>
    </w:p>
    <w:p>
      <w:pPr>
        <w:tabs>
          <w:tab w:val="left" w:pos="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（5）监控和记录系统日常运行，及时发现潜在问题。</w:t>
      </w:r>
    </w:p>
    <w:p>
      <w:pPr>
        <w:tabs>
          <w:tab w:val="left" w:pos="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（6）规范系统的日常操作步骤，杜绝因服务方原因造成的服务系统中断；</w:t>
      </w:r>
    </w:p>
    <w:p>
      <w:pPr>
        <w:tabs>
          <w:tab w:val="left" w:pos="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（7）对于电话咨询和服务请求须及时答复，确保系统各应用7*24小时稳定运行。</w:t>
      </w:r>
    </w:p>
    <w:p>
      <w:pPr>
        <w:numPr>
          <w:ilvl w:val="1"/>
          <w:numId w:val="0"/>
        </w:numPr>
        <w:tabs>
          <w:tab w:val="left" w:pos="1106"/>
        </w:tabs>
        <w:spacing w:line="360" w:lineRule="auto"/>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1.3.多媒体教室设备维护服务</w:t>
      </w:r>
    </w:p>
    <w:p>
      <w:pPr>
        <w:numPr>
          <w:ilvl w:val="2"/>
          <w:numId w:val="0"/>
        </w:numPr>
        <w:adjustRightInd w:val="0"/>
        <w:snapToGrid w:val="0"/>
        <w:spacing w:line="360" w:lineRule="auto"/>
        <w:ind w:left="717" w:leftChars="186" w:hanging="326" w:hangingChars="136"/>
        <w:rPr>
          <w:rFonts w:hint="eastAsia" w:ascii="宋体" w:hAnsi="宋体" w:cs="宋体"/>
          <w:color w:val="auto"/>
          <w:sz w:val="24"/>
          <w:szCs w:val="24"/>
          <w:highlight w:val="none"/>
        </w:rPr>
      </w:pPr>
      <w:r>
        <w:rPr>
          <w:rFonts w:hint="eastAsia" w:ascii="宋体" w:hAnsi="宋体" w:cs="宋体"/>
          <w:color w:val="auto"/>
          <w:sz w:val="24"/>
          <w:szCs w:val="24"/>
          <w:highlight w:val="none"/>
        </w:rPr>
        <w:t>1.3.1.服务范围</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1.3.1.1.负责学校的多媒体触控一体机、投影机、实物展台、挂幕、音响等等各类信息化设备的软硬件维护、系统配置、软件安装、升级（补丁）、故障处理、网络连接、设备新增、设备迁移、报废处理。</w:t>
      </w:r>
    </w:p>
    <w:p>
      <w:pPr>
        <w:numPr>
          <w:ilvl w:val="2"/>
          <w:numId w:val="0"/>
        </w:numPr>
        <w:adjustRightInd w:val="0"/>
        <w:snapToGrid w:val="0"/>
        <w:spacing w:line="360" w:lineRule="auto"/>
        <w:ind w:left="717" w:leftChars="186" w:hanging="326" w:hangingChars="136"/>
        <w:rPr>
          <w:rFonts w:hint="eastAsia" w:ascii="宋体" w:hAnsi="宋体" w:cs="宋体"/>
          <w:color w:val="auto"/>
          <w:sz w:val="24"/>
          <w:szCs w:val="24"/>
          <w:highlight w:val="none"/>
        </w:rPr>
      </w:pPr>
      <w:r>
        <w:rPr>
          <w:rFonts w:hint="eastAsia" w:ascii="宋体" w:hAnsi="宋体" w:cs="宋体"/>
          <w:color w:val="auto"/>
          <w:sz w:val="24"/>
          <w:szCs w:val="24"/>
          <w:highlight w:val="none"/>
        </w:rPr>
        <w:t>1.3.2.运维内容</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1.3.2.1.维护过程中应对所有设备进行信息收集，依据收集数据建立维护档案和电子信息卡，建立资料库，所安装的操作系统、杀毒软件、补丁情况等予以登记。</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1.3.2.2.协助迁移、安装调试多媒体触控一体机、投影机、实物展台、挂幕、音响等外置设备。</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1.3.2.3.打印机的故障处理：解决驱动程序/软件设置/网络设置问题造成的网络打印故障。其它外置设备的故障处理：解决扫描仪等外置设备由于驱动程序/软件设置问题造成的故障。</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1.3.2.4.负责多媒体触控一体机软、硬件的应用服务和日常保养维护（含所有硬件驱动程序、防杀毒程序升级、网络配置程序、操作系统等。其中涉及知识产权的系统和软件，以及使用方专用的软件和软件的安装方法由使用方提供），保证使用者的设备硬件和软件的正常运行。</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1.3.2.5.接到报修后及时现场修复，如遇特殊原因不能当场修复，向业主单位说明具体原因，并提供解决方案。</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1.3.2.6.建立完善的档案制度和管理制度，包括计算机和外设等设备档案、服务维修记录档案，并每季度进行一次服务情况汇报。</w:t>
      </w:r>
    </w:p>
    <w:p>
      <w:pPr>
        <w:numPr>
          <w:ilvl w:val="1"/>
          <w:numId w:val="0"/>
        </w:numPr>
        <w:tabs>
          <w:tab w:val="left" w:pos="1106"/>
        </w:tabs>
        <w:spacing w:line="360" w:lineRule="auto"/>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1.4.中心机房系统</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1.4.1.服务范围主要包括</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1.4.1.1.数据机房、集控中心机房的运行维护服务；网络及网络设备的运行维护服务；服务器、存储、安全产品、备份系统设备的运行维护服务；网络信息安全平台的运行维护服务。</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1.4.2.运维内容</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1.4.2.1.每周对数据机房、监控机房、集控中心机房的门禁、电源、消防设备、精密空调、环境监测报警等设施设备的日常维护、巡检、故障处理、卫生、环境整理。</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1.4.2.2.互联网、局域网、金宏网、专线等网络的日常维护、监测。</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1.4.2.3.负责学校机房内主要设备（包括：服务器设备、网络设备、存储设备、程控交换设备、专用线路）运维工作，负责系统的状态监控、备份、管理、基础数据配置等操作，并做好巡检日志和统计汇总工作。</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1.4.2.4.负责以上设备的所有机房内的环境设备，包含UPS、空调、消防系统等，需进行巡检，确保设备正常运行，并定期打扫机房内卫生，确保机房卫生整洁，有序。</w:t>
      </w:r>
    </w:p>
    <w:p>
      <w:pPr>
        <w:numPr>
          <w:ilvl w:val="3"/>
          <w:numId w:val="0"/>
        </w:numPr>
        <w:adjustRightInd w:val="0"/>
        <w:snapToGrid w:val="0"/>
        <w:spacing w:line="360" w:lineRule="auto"/>
        <w:ind w:left="861" w:leftChars="177" w:hanging="489" w:hangingChars="204"/>
        <w:rPr>
          <w:rFonts w:hint="eastAsia" w:ascii="宋体" w:hAnsi="宋体" w:cs="宋体"/>
          <w:color w:val="auto"/>
          <w:sz w:val="24"/>
          <w:szCs w:val="24"/>
          <w:highlight w:val="none"/>
        </w:rPr>
      </w:pPr>
      <w:r>
        <w:rPr>
          <w:rFonts w:hint="eastAsia" w:ascii="宋体" w:hAnsi="宋体" w:cs="宋体"/>
          <w:color w:val="auto"/>
          <w:sz w:val="24"/>
          <w:szCs w:val="24"/>
          <w:highlight w:val="none"/>
        </w:rPr>
        <w:t>1.4.2.5.网络安全设备的日常维护、升级、检查、故障处理。</w:t>
      </w:r>
    </w:p>
    <w:p>
      <w:pPr>
        <w:numPr>
          <w:ilvl w:val="3"/>
          <w:numId w:val="0"/>
        </w:numPr>
        <w:adjustRightInd w:val="0"/>
        <w:snapToGrid w:val="0"/>
        <w:spacing w:line="360" w:lineRule="auto"/>
        <w:ind w:left="861" w:leftChars="177" w:hanging="489" w:hangingChars="204"/>
        <w:rPr>
          <w:rFonts w:hint="eastAsia" w:ascii="宋体" w:hAnsi="宋体" w:cs="宋体"/>
          <w:color w:val="auto"/>
          <w:sz w:val="24"/>
          <w:szCs w:val="24"/>
          <w:highlight w:val="none"/>
        </w:rPr>
      </w:pPr>
      <w:r>
        <w:rPr>
          <w:rFonts w:hint="eastAsia" w:ascii="宋体" w:hAnsi="宋体" w:cs="宋体"/>
          <w:color w:val="auto"/>
          <w:sz w:val="24"/>
          <w:szCs w:val="24"/>
          <w:highlight w:val="none"/>
        </w:rPr>
        <w:t>1.4.2.6.负责协助内外网防病毒系统的病毒库日常更新工作。</w:t>
      </w:r>
    </w:p>
    <w:p>
      <w:pPr>
        <w:numPr>
          <w:ilvl w:val="3"/>
          <w:numId w:val="0"/>
        </w:numPr>
        <w:adjustRightInd w:val="0"/>
        <w:snapToGrid w:val="0"/>
        <w:spacing w:line="360" w:lineRule="auto"/>
        <w:ind w:left="861" w:leftChars="177" w:hanging="489" w:hangingChars="204"/>
        <w:rPr>
          <w:rFonts w:hint="eastAsia" w:ascii="宋体" w:hAnsi="宋体" w:cs="宋体"/>
          <w:color w:val="auto"/>
          <w:sz w:val="24"/>
          <w:szCs w:val="24"/>
          <w:highlight w:val="none"/>
        </w:rPr>
      </w:pPr>
      <w:r>
        <w:rPr>
          <w:rFonts w:hint="eastAsia" w:ascii="宋体" w:hAnsi="宋体" w:cs="宋体"/>
          <w:color w:val="auto"/>
          <w:sz w:val="24"/>
          <w:szCs w:val="24"/>
          <w:highlight w:val="none"/>
        </w:rPr>
        <w:t>1.4.2.7.做好上述系统的资产管理工作与运维统计工作。</w:t>
      </w:r>
    </w:p>
    <w:p>
      <w:pPr>
        <w:numPr>
          <w:ilvl w:val="1"/>
          <w:numId w:val="0"/>
        </w:numPr>
        <w:tabs>
          <w:tab w:val="left" w:pos="1106"/>
        </w:tabs>
        <w:spacing w:line="360" w:lineRule="auto"/>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1.5.服务器主机系统</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1.5.1.维护内容</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1.5.1.1.确保各个主机的稳定运行，使授权用户得到所需的应用服务。</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1.5.1.2.结合业主单位的实际情况，在主机系统维护过程中建立主机系统档案（包括：购置时间、保修时间、参数配置信息、维护信息、系统分析等信息），保证用时有据可查，同时，每季度对主机进行盘点，定期更新服务器档案，核实服务器升级情况。</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1.5.1.3.每工作日监控各主机系统设备运行情况，如外部硬件情况、内部性能、系统日志等。</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1.5.1.4.每半年对服务器硬件设备进行卫生清理工作，以确保主机系统良好的运行。</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1.5.1.5.根据上级主管部门对主机的安全要求，按照主机系统工作方案，每月审核每台服务器的安全配置（如策略、开放端口、访问用户等）。</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1.5.1.6.对服务器配置进行维护，负责操作系统重新安装、维护及配置。</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1.5.1.7.每季度进行服务器维护，保证服务器正常运行，并以书面形式总结服务器工作并提出合理化建议。</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1.5.1.8.年终对服务器性能全面分析，结合单位实际情况提出升级计划。</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1.5.1.9.保障主机系统的可核查性，如实记录相关事件的安全行为。</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1.5.1.10.服务器硬件出现故障时，负责帮助联系厂家，解决维修事宜。</w:t>
      </w:r>
    </w:p>
    <w:p>
      <w:pPr>
        <w:numPr>
          <w:ilvl w:val="1"/>
          <w:numId w:val="0"/>
        </w:numPr>
        <w:tabs>
          <w:tab w:val="left" w:pos="1106"/>
        </w:tabs>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1.6.综合布线系统</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1.6.1.运维内容</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1.6.1.1.网络链路维护，检测链路通断，更换网络信化模块、语音电话信息模块及配线架等设备。</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1.6.2.运维要求</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1.6.2.1.管槽、机柜、弱电设备间的日常检查维护，包括线槽、机柜接地测试、设备间的封闭、通风、照明等。</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1.6.2.2.光纤、大对数电缆的核查比对，重点检查标签、线路损害、裸露情况等。</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1.6.2.3.检查模块、接插件、适配器、跳线的连接、松动情况。</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1.6.2.4.日常办公室网络、电话线路调整、迁移。</w:t>
      </w:r>
    </w:p>
    <w:p>
      <w:pPr>
        <w:numPr>
          <w:ilvl w:val="1"/>
          <w:numId w:val="0"/>
        </w:numPr>
        <w:tabs>
          <w:tab w:val="left" w:pos="1106"/>
        </w:tabs>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w:t>
      </w:r>
      <w:r>
        <w:rPr>
          <w:rFonts w:hint="eastAsia" w:ascii="宋体" w:hAnsi="宋体" w:cs="宋体"/>
          <w:b/>
          <w:bCs/>
          <w:color w:val="auto"/>
          <w:sz w:val="24"/>
          <w:szCs w:val="24"/>
          <w:highlight w:val="none"/>
          <w:lang w:val="en-US" w:eastAsia="zh-CN"/>
        </w:rPr>
        <w:t>中考</w:t>
      </w:r>
      <w:r>
        <w:rPr>
          <w:rFonts w:hint="eastAsia" w:ascii="宋体" w:hAnsi="宋体" w:cs="宋体"/>
          <w:b/>
          <w:bCs/>
          <w:color w:val="auto"/>
          <w:sz w:val="24"/>
          <w:szCs w:val="24"/>
          <w:highlight w:val="none"/>
        </w:rPr>
        <w:t>考试巡视系统</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1.7.1.运维内容</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1.7.1.1.教室内摄像机、试卷通道摄像机、保密室及考务中心摄像机、视频储存及服务器设备、与省平台联调工作，UPS供电系统、系统链路等。</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1.7.2.运维要求</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1.7.2.1.协助学校对各类型的考试及其他考试</w:t>
      </w:r>
      <w:r>
        <w:rPr>
          <w:rFonts w:hint="eastAsia" w:ascii="宋体" w:hAnsi="宋体" w:cs="宋体"/>
          <w:color w:val="auto"/>
          <w:sz w:val="24"/>
          <w:szCs w:val="24"/>
          <w:highlight w:val="none"/>
          <w:lang w:val="en-US" w:eastAsia="zh-CN"/>
        </w:rPr>
        <w:t>中考考试系统</w:t>
      </w:r>
      <w:r>
        <w:rPr>
          <w:rFonts w:hint="eastAsia" w:ascii="宋体" w:hAnsi="宋体" w:cs="宋体"/>
          <w:color w:val="auto"/>
          <w:sz w:val="24"/>
          <w:szCs w:val="24"/>
          <w:highlight w:val="none"/>
        </w:rPr>
        <w:t>设施进行专项检查，</w:t>
      </w:r>
      <w:r>
        <w:rPr>
          <w:rFonts w:hint="eastAsia" w:ascii="宋体" w:hAnsi="宋体" w:cs="宋体"/>
          <w:color w:val="auto"/>
          <w:sz w:val="24"/>
          <w:szCs w:val="24"/>
          <w:highlight w:val="none"/>
          <w:lang w:val="en-US" w:eastAsia="zh-CN"/>
        </w:rPr>
        <w:t>确保</w:t>
      </w:r>
      <w:r>
        <w:rPr>
          <w:rFonts w:ascii="宋体" w:hAnsi="宋体" w:eastAsia="宋体" w:cs="宋体"/>
          <w:color w:val="auto"/>
          <w:sz w:val="24"/>
          <w:szCs w:val="24"/>
          <w:highlight w:val="none"/>
        </w:rPr>
        <w:t>考前 7 天、3 天、1 天完成三轮联调</w:t>
      </w:r>
      <w:r>
        <w:rPr>
          <w:rFonts w:hint="eastAsia" w:ascii="宋体" w:hAnsi="宋体" w:cs="宋体"/>
          <w:color w:val="auto"/>
          <w:sz w:val="24"/>
          <w:szCs w:val="24"/>
          <w:highlight w:val="none"/>
        </w:rPr>
        <w:t>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保障</w:t>
      </w:r>
      <w:r>
        <w:rPr>
          <w:rFonts w:ascii="宋体" w:hAnsi="宋体" w:eastAsia="宋体" w:cs="宋体"/>
          <w:color w:val="auto"/>
          <w:sz w:val="24"/>
          <w:szCs w:val="24"/>
          <w:highlight w:val="none"/>
        </w:rPr>
        <w:t>考试期间</w:t>
      </w:r>
      <w:r>
        <w:rPr>
          <w:rFonts w:hint="eastAsia" w:ascii="宋体" w:hAnsi="宋体" w:eastAsia="宋体" w:cs="宋体"/>
          <w:color w:val="auto"/>
          <w:sz w:val="24"/>
          <w:szCs w:val="24"/>
          <w:highlight w:val="none"/>
          <w:lang w:val="en-US" w:eastAsia="zh-CN"/>
        </w:rPr>
        <w:t>设备稳定运行，实现</w:t>
      </w:r>
      <w:r>
        <w:rPr>
          <w:rFonts w:hint="eastAsia" w:ascii="宋体" w:hAnsi="宋体" w:cs="宋体"/>
          <w:color w:val="auto"/>
          <w:sz w:val="24"/>
          <w:szCs w:val="24"/>
          <w:highlight w:val="none"/>
        </w:rPr>
        <w:t>零故障、零失误、零中断。设备保内配件的索赔及保外配件的有偿更换。</w:t>
      </w:r>
    </w:p>
    <w:p>
      <w:pPr>
        <w:numPr>
          <w:ilvl w:val="1"/>
          <w:numId w:val="0"/>
        </w:numPr>
        <w:tabs>
          <w:tab w:val="left" w:pos="1106"/>
        </w:tabs>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.会议室系统</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.1.运维内容</w:t>
      </w:r>
    </w:p>
    <w:p>
      <w:pPr>
        <w:numPr>
          <w:ilvl w:val="3"/>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.1.1.会议音响、话筒、功放、调音台、音频处理器、投影 / LED 屏、视频会议终端、中控主机、矩阵切换器、时序电源、机柜等设备。实现本地扩声、音频播放、视频投屏、远程视频会议、集中控制、环境联动等功能。</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.2.运维要求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eastAsiaTheme="minorEastAsia"/>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w:t>
      </w:r>
      <w:r>
        <w:rPr>
          <w:b w:val="0"/>
          <w:bCs w:val="0"/>
          <w:color w:val="auto"/>
          <w:sz w:val="24"/>
          <w:szCs w:val="24"/>
          <w:highlight w:val="none"/>
        </w:rPr>
        <w:t>会议前</w:t>
      </w:r>
      <w:r>
        <w:rPr>
          <w:rStyle w:val="26"/>
          <w:b w:val="0"/>
          <w:bCs w:val="0"/>
          <w:color w:val="auto"/>
          <w:sz w:val="24"/>
          <w:szCs w:val="24"/>
          <w:highlight w:val="none"/>
        </w:rPr>
        <w:t>30 分钟完成全系统预检</w:t>
      </w:r>
      <w:r>
        <w:rPr>
          <w:rStyle w:val="26"/>
          <w:rFonts w:hint="eastAsia"/>
          <w:b/>
          <w:bCs/>
          <w:color w:val="auto"/>
          <w:sz w:val="24"/>
          <w:szCs w:val="24"/>
          <w:highlight w:val="none"/>
          <w:lang w:eastAsia="zh-CN"/>
        </w:rPr>
        <w:t>；</w:t>
      </w:r>
      <w:r>
        <w:rPr>
          <w:color w:val="auto"/>
          <w:sz w:val="24"/>
          <w:szCs w:val="24"/>
          <w:highlight w:val="none"/>
        </w:rPr>
        <w:t>音频无杂音、无啸叫、无回声，人声清晰饱满</w:t>
      </w:r>
      <w:r>
        <w:rPr>
          <w:rFonts w:hint="eastAsia"/>
          <w:color w:val="auto"/>
          <w:sz w:val="24"/>
          <w:szCs w:val="24"/>
          <w:highlight w:val="none"/>
          <w:lang w:eastAsia="zh-CN"/>
        </w:rPr>
        <w:t>；</w:t>
      </w:r>
      <w:r>
        <w:rPr>
          <w:color w:val="auto"/>
          <w:sz w:val="24"/>
          <w:szCs w:val="24"/>
          <w:highlight w:val="none"/>
        </w:rPr>
        <w:t>视频无闪烁、无黑屏、无延迟，信号切换即时稳定</w:t>
      </w:r>
      <w:r>
        <w:rPr>
          <w:rFonts w:hint="eastAsia"/>
          <w:color w:val="auto"/>
          <w:sz w:val="24"/>
          <w:szCs w:val="24"/>
          <w:highlight w:val="none"/>
          <w:lang w:eastAsia="zh-CN"/>
        </w:rPr>
        <w:t>。</w:t>
      </w:r>
    </w:p>
    <w:p>
      <w:pPr>
        <w:pStyle w:val="2"/>
        <w:rPr>
          <w:rFonts w:hint="eastAsia"/>
          <w:color w:val="auto"/>
          <w:highlight w:val="none"/>
        </w:rPr>
      </w:pPr>
    </w:p>
    <w:p>
      <w:pPr>
        <w:numPr>
          <w:ilvl w:val="1"/>
          <w:numId w:val="0"/>
        </w:numPr>
        <w:tabs>
          <w:tab w:val="left" w:pos="1106"/>
        </w:tabs>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.校园活动其他技术支持活动</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.1.运维内容</w:t>
      </w:r>
    </w:p>
    <w:p>
      <w:pPr>
        <w:numPr>
          <w:ilvl w:val="3"/>
          <w:numId w:val="0"/>
        </w:num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.1.1.校园电视台、校园演播厅、自动录制教室，多功能会议厅、报告厅，体育馆等校园所有多媒体技术支持，活动会议等设备前、中、后期调试等。</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.2.运维要求</w:t>
      </w:r>
    </w:p>
    <w:p>
      <w:pPr>
        <w:numPr>
          <w:ilvl w:val="3"/>
          <w:numId w:val="0"/>
        </w:num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.2.1.协助学校对相关设施进行专项检查，热线支持等。设备保内配件的索赔及保外配件的有偿更换。</w:t>
      </w:r>
    </w:p>
    <w:p>
      <w:pPr>
        <w:numPr>
          <w:ilvl w:val="1"/>
          <w:numId w:val="0"/>
        </w:numPr>
        <w:tabs>
          <w:tab w:val="left" w:pos="1106"/>
        </w:tabs>
        <w:spacing w:line="360" w:lineRule="auto"/>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.安防监控系统</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.1.运维内容</w:t>
      </w:r>
    </w:p>
    <w:p>
      <w:pPr>
        <w:numPr>
          <w:ilvl w:val="3"/>
          <w:numId w:val="0"/>
        </w:num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.1.1.防盗报警系统、视频监控系统、车辆出入口控制系统等。</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.2.运维要求</w:t>
      </w:r>
    </w:p>
    <w:p>
      <w:pPr>
        <w:numPr>
          <w:ilvl w:val="3"/>
          <w:numId w:val="0"/>
        </w:num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2.1.定期对监控摄像头、监控主机、电源设备等硬件设备进行保养、清洁；定期检查监控软件的版本，并及时升级到最新版本，以获取更好的功能和安全性；异常处理：监控软件出现异常情况时，及时进行故障排查和处理，确保系统正常运行；定期巡检、故障排除、系统优化。设备保内配件的索赔及保外配件的有偿更换。</w:t>
      </w:r>
    </w:p>
    <w:p>
      <w:pPr>
        <w:numPr>
          <w:ilvl w:val="1"/>
          <w:numId w:val="0"/>
        </w:numPr>
        <w:tabs>
          <w:tab w:val="left" w:pos="1106"/>
        </w:tabs>
        <w:spacing w:line="360" w:lineRule="auto"/>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.广播系统</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.1.运维内容</w:t>
      </w:r>
    </w:p>
    <w:p>
      <w:pPr>
        <w:pStyle w:val="2"/>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.1.1.</w:t>
      </w:r>
      <w:r>
        <w:rPr>
          <w:rFonts w:ascii="宋体" w:hAnsi="宋体" w:eastAsia="宋体" w:cs="宋体"/>
          <w:color w:val="auto"/>
          <w:sz w:val="24"/>
          <w:szCs w:val="24"/>
          <w:highlight w:val="none"/>
        </w:rPr>
        <w:t>广播主机、功放、寻呼话筒、节目播放器、监听音箱、喇叭、音柱、室外音箱、分区矩阵、消防联动接口等。实现：上下课铃声、定时播放、分区广播、紧急通知、背景音乐、消防强切功能。</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.2.运维要求</w:t>
      </w:r>
    </w:p>
    <w:p>
      <w:pPr>
        <w:numPr>
          <w:ilvl w:val="2"/>
          <w:numId w:val="0"/>
        </w:numPr>
        <w:adjustRightInd w:val="0"/>
        <w:snapToGrid w:val="0"/>
        <w:spacing w:line="360" w:lineRule="auto"/>
        <w:ind w:firstLine="480" w:firstLineChars="200"/>
        <w:rPr>
          <w:rFonts w:hint="eastAsia"/>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r>
        <w:rPr>
          <w:color w:val="auto"/>
          <w:sz w:val="24"/>
          <w:szCs w:val="24"/>
          <w:highlight w:val="none"/>
        </w:rPr>
        <w:t>铃声</w:t>
      </w:r>
      <w:r>
        <w:rPr>
          <w:rStyle w:val="26"/>
          <w:b w:val="0"/>
          <w:bCs w:val="0"/>
          <w:color w:val="auto"/>
          <w:sz w:val="24"/>
          <w:szCs w:val="24"/>
          <w:highlight w:val="none"/>
        </w:rPr>
        <w:t>零失误、准时播放</w:t>
      </w:r>
      <w:r>
        <w:rPr>
          <w:color w:val="auto"/>
          <w:sz w:val="24"/>
          <w:szCs w:val="24"/>
          <w:highlight w:val="none"/>
        </w:rPr>
        <w:t>，重大考试前专项校验</w:t>
      </w:r>
      <w:r>
        <w:rPr>
          <w:rFonts w:hint="eastAsia"/>
          <w:color w:val="auto"/>
          <w:sz w:val="24"/>
          <w:szCs w:val="24"/>
          <w:highlight w:val="none"/>
          <w:lang w:eastAsia="zh-CN"/>
        </w:rPr>
        <w:t>；</w:t>
      </w:r>
      <w:r>
        <w:rPr>
          <w:color w:val="auto"/>
          <w:sz w:val="24"/>
          <w:szCs w:val="24"/>
          <w:highlight w:val="none"/>
        </w:rPr>
        <w:t>任意分区可独立广播，紧急广播优先级别正常</w:t>
      </w:r>
      <w:r>
        <w:rPr>
          <w:rFonts w:hint="eastAsia"/>
          <w:color w:val="auto"/>
          <w:sz w:val="24"/>
          <w:szCs w:val="24"/>
          <w:highlight w:val="none"/>
          <w:lang w:eastAsia="zh-CN"/>
        </w:rPr>
        <w:t>；</w:t>
      </w:r>
      <w:r>
        <w:rPr>
          <w:color w:val="auto"/>
          <w:sz w:val="24"/>
          <w:szCs w:val="24"/>
          <w:highlight w:val="none"/>
        </w:rPr>
        <w:t>每</w:t>
      </w:r>
      <w:r>
        <w:rPr>
          <w:b w:val="0"/>
          <w:bCs w:val="0"/>
          <w:color w:val="auto"/>
          <w:sz w:val="24"/>
          <w:szCs w:val="24"/>
          <w:highlight w:val="none"/>
        </w:rPr>
        <w:t>月</w:t>
      </w:r>
      <w:r>
        <w:rPr>
          <w:rStyle w:val="26"/>
          <w:b w:val="0"/>
          <w:bCs w:val="0"/>
          <w:color w:val="auto"/>
          <w:sz w:val="24"/>
          <w:szCs w:val="24"/>
          <w:highlight w:val="none"/>
        </w:rPr>
        <w:t>全覆盖巡检</w:t>
      </w:r>
      <w:r>
        <w:rPr>
          <w:b w:val="0"/>
          <w:bCs w:val="0"/>
          <w:color w:val="auto"/>
          <w:sz w:val="24"/>
          <w:szCs w:val="24"/>
          <w:highlight w:val="none"/>
        </w:rPr>
        <w:t>一</w:t>
      </w:r>
      <w:r>
        <w:rPr>
          <w:color w:val="auto"/>
          <w:sz w:val="24"/>
          <w:szCs w:val="24"/>
          <w:highlight w:val="none"/>
        </w:rPr>
        <w:t>次，每学期全面调试</w:t>
      </w:r>
      <w:r>
        <w:rPr>
          <w:rFonts w:hint="eastAsia"/>
          <w:color w:val="auto"/>
          <w:sz w:val="24"/>
          <w:szCs w:val="24"/>
          <w:highlight w:val="none"/>
          <w:lang w:eastAsia="zh-CN"/>
        </w:rPr>
        <w:t>。</w:t>
      </w:r>
    </w:p>
    <w:p>
      <w:pPr>
        <w:numPr>
          <w:ilvl w:val="1"/>
          <w:numId w:val="0"/>
        </w:numPr>
        <w:tabs>
          <w:tab w:val="left" w:pos="1106"/>
        </w:tabs>
        <w:spacing w:line="360" w:lineRule="auto"/>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12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铃声</w:t>
      </w:r>
      <w:r>
        <w:rPr>
          <w:rFonts w:hint="eastAsia" w:ascii="宋体" w:hAnsi="宋体" w:cs="宋体"/>
          <w:b/>
          <w:bCs/>
          <w:color w:val="auto"/>
          <w:sz w:val="24"/>
          <w:szCs w:val="24"/>
          <w:highlight w:val="none"/>
        </w:rPr>
        <w:t>系统</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.1.运维内容</w:t>
      </w:r>
    </w:p>
    <w:p>
      <w:pPr>
        <w:pStyle w:val="2"/>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eastAsia="宋体" w:cs="宋体"/>
          <w:color w:val="auto"/>
          <w:sz w:val="24"/>
          <w:szCs w:val="24"/>
          <w:highlight w:val="none"/>
        </w:rPr>
        <w:t>智能打铃主机、定时控制器、软件、扬声器或接入公共广播。实现按课表自动打铃、作息定时提醒、自定义铃声、节假日模式。</w:t>
      </w:r>
    </w:p>
    <w:p>
      <w:pPr>
        <w:numPr>
          <w:ilvl w:val="2"/>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.2.运维要求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eastAsiaTheme="minorEastAsia"/>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color w:val="auto"/>
          <w:sz w:val="24"/>
          <w:szCs w:val="24"/>
          <w:highlight w:val="none"/>
        </w:rPr>
        <w:t>系统时间校准，确保与</w:t>
      </w:r>
      <w:r>
        <w:rPr>
          <w:rFonts w:hint="eastAsia"/>
          <w:color w:val="auto"/>
          <w:sz w:val="24"/>
          <w:szCs w:val="24"/>
          <w:highlight w:val="none"/>
          <w:lang w:val="en-US" w:eastAsia="zh-CN"/>
        </w:rPr>
        <w:t>北京</w:t>
      </w:r>
      <w:r>
        <w:rPr>
          <w:color w:val="auto"/>
          <w:sz w:val="24"/>
          <w:szCs w:val="24"/>
          <w:highlight w:val="none"/>
        </w:rPr>
        <w:t>标准时间一致</w:t>
      </w:r>
      <w:r>
        <w:rPr>
          <w:rFonts w:hint="eastAsia"/>
          <w:color w:val="auto"/>
          <w:sz w:val="24"/>
          <w:szCs w:val="24"/>
          <w:highlight w:val="none"/>
          <w:lang w:eastAsia="zh-CN"/>
        </w:rPr>
        <w:t>；</w:t>
      </w:r>
      <w:r>
        <w:rPr>
          <w:color w:val="auto"/>
          <w:sz w:val="24"/>
          <w:szCs w:val="24"/>
          <w:highlight w:val="none"/>
        </w:rPr>
        <w:t>作息时间表、铃声文件、播放任务检查</w:t>
      </w:r>
      <w:r>
        <w:rPr>
          <w:rFonts w:hint="eastAsia"/>
          <w:color w:val="auto"/>
          <w:sz w:val="24"/>
          <w:szCs w:val="24"/>
          <w:highlight w:val="none"/>
          <w:lang w:eastAsia="zh-CN"/>
        </w:rPr>
        <w:t>；</w:t>
      </w:r>
      <w:r>
        <w:rPr>
          <w:color w:val="auto"/>
          <w:sz w:val="24"/>
          <w:szCs w:val="24"/>
          <w:highlight w:val="none"/>
        </w:rPr>
        <w:t>自动 / 手动打铃功能测试，音量合适</w:t>
      </w:r>
      <w:r>
        <w:rPr>
          <w:rFonts w:hint="eastAsia"/>
          <w:color w:val="auto"/>
          <w:sz w:val="24"/>
          <w:szCs w:val="24"/>
          <w:highlight w:val="none"/>
          <w:lang w:eastAsia="zh-CN"/>
        </w:rPr>
        <w:t>；</w:t>
      </w:r>
      <w:r>
        <w:rPr>
          <w:color w:val="auto"/>
          <w:sz w:val="24"/>
          <w:szCs w:val="24"/>
          <w:highlight w:val="none"/>
        </w:rPr>
        <w:t>电源、备用电源、断电记忆功能检查</w:t>
      </w:r>
      <w:r>
        <w:rPr>
          <w:rFonts w:hint="eastAsia"/>
          <w:color w:val="auto"/>
          <w:sz w:val="24"/>
          <w:szCs w:val="24"/>
          <w:highlight w:val="none"/>
          <w:lang w:eastAsia="zh-CN"/>
        </w:rPr>
        <w:t>；</w:t>
      </w:r>
      <w:r>
        <w:rPr>
          <w:color w:val="auto"/>
          <w:sz w:val="24"/>
          <w:szCs w:val="24"/>
          <w:highlight w:val="none"/>
        </w:rPr>
        <w:t>学期 / 节假日自动切换任务设置</w:t>
      </w:r>
      <w:r>
        <w:rPr>
          <w:rFonts w:hint="eastAsia"/>
          <w:color w:val="auto"/>
          <w:sz w:val="24"/>
          <w:szCs w:val="24"/>
          <w:highlight w:val="none"/>
          <w:lang w:eastAsia="zh-CN"/>
        </w:rPr>
        <w:t>；</w:t>
      </w:r>
      <w:r>
        <w:rPr>
          <w:color w:val="auto"/>
          <w:sz w:val="24"/>
          <w:szCs w:val="24"/>
          <w:highlight w:val="none"/>
        </w:rPr>
        <w:t>故障报警、日志记录、异常处理</w:t>
      </w:r>
      <w:r>
        <w:rPr>
          <w:rFonts w:hint="eastAsia"/>
          <w:color w:val="auto"/>
          <w:sz w:val="24"/>
          <w:szCs w:val="24"/>
          <w:highlight w:val="none"/>
          <w:lang w:eastAsia="zh-CN"/>
        </w:rPr>
        <w:t>。</w:t>
      </w:r>
    </w:p>
    <w:p>
      <w:pPr>
        <w:pStyle w:val="2"/>
        <w:spacing w:line="360" w:lineRule="auto"/>
        <w:ind w:firstLine="480" w:firstLineChars="200"/>
        <w:rPr>
          <w:rFonts w:hint="eastAsia" w:ascii="宋体" w:hAnsi="宋体" w:eastAsia="宋体" w:cs="宋体"/>
          <w:color w:val="auto"/>
          <w:sz w:val="24"/>
          <w:szCs w:val="24"/>
          <w:highlight w:val="none"/>
          <w:lang w:eastAsia="zh-CN"/>
        </w:rPr>
      </w:pPr>
    </w:p>
    <w:p>
      <w:pPr>
        <w:widowControl/>
        <w:spacing w:line="360" w:lineRule="auto"/>
        <w:ind w:firstLine="482" w:firstLineChars="200"/>
        <w:jc w:val="left"/>
        <w:rPr>
          <w:rFonts w:hint="eastAsia"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bidi="ar"/>
        </w:rPr>
        <w:t>2.其他服务要求：</w:t>
      </w:r>
    </w:p>
    <w:p>
      <w:pPr>
        <w:spacing w:line="360" w:lineRule="auto"/>
        <w:ind w:firstLine="482" w:firstLineChars="200"/>
        <w:rPr>
          <w:rFonts w:hint="default"/>
          <w:color w:val="auto"/>
          <w:highlight w:val="none"/>
          <w:lang w:val="en-US"/>
        </w:rPr>
      </w:pPr>
      <w:r>
        <w:rPr>
          <w:rFonts w:hint="eastAsia" w:ascii="宋体" w:hAnsi="宋体" w:cs="宋体"/>
          <w:b/>
          <w:bCs/>
          <w:color w:val="auto"/>
          <w:sz w:val="24"/>
          <w:szCs w:val="24"/>
          <w:highlight w:val="none"/>
        </w:rPr>
        <w:t>2.1供应商须安排</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名专业人员在我校进行日常现场服务，直至维护合同期满，</w:t>
      </w:r>
      <w:r>
        <w:rPr>
          <w:rFonts w:hint="eastAsia" w:ascii="宋体" w:hAnsi="宋体" w:cs="宋体"/>
          <w:b/>
          <w:bCs/>
          <w:color w:val="auto"/>
          <w:sz w:val="24"/>
          <w:szCs w:val="24"/>
          <w:highlight w:val="none"/>
          <w:lang w:val="en-US" w:eastAsia="zh-CN"/>
        </w:rPr>
        <w:t>每学期开学、闭学做好设备的巡检，信息收集等工作，确保教学秩序不受影响。工作时间与学校行政上班相同，但当学校工作时间外有活动或学校各类考试有维护服务需求时，技术人员也应提供现场技术支持与服务，提前做好设备的安装、调试准备，坚守岗位，并于结束后检测回收、复位等。在周末或法定节假日可不在现场，但需保证突发情况于1小时内到位并开始处理。寒暑假期间定期到校检验和调试设备。</w:t>
      </w:r>
    </w:p>
    <w:p>
      <w:pPr>
        <w:pStyle w:val="66"/>
        <w:keepNext w:val="0"/>
        <w:keepLines w:val="0"/>
        <w:pageBreakBefore w:val="0"/>
        <w:numPr>
          <w:ilvl w:val="1"/>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2.2.供应商须全面了解和熟悉学校的所有电教相关系统，并对设备进行登记造册，建立台账，并根据学校现有设备及其他情况。</w:t>
      </w:r>
    </w:p>
    <w:p>
      <w:pPr>
        <w:pStyle w:val="66"/>
        <w:keepNext w:val="0"/>
        <w:keepLines w:val="0"/>
        <w:pageBreakBefore w:val="0"/>
        <w:numPr>
          <w:ilvl w:val="1"/>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2.2.1.供应商针对本项目提供</w:t>
      </w:r>
      <w:r>
        <w:rPr>
          <w:rFonts w:hint="eastAsia" w:ascii="宋体" w:hAnsi="宋体" w:cs="宋体"/>
          <w:color w:val="auto"/>
          <w:kern w:val="0"/>
          <w:sz w:val="24"/>
          <w:szCs w:val="24"/>
          <w:highlight w:val="none"/>
        </w:rPr>
        <w:t>办公设备系统服务方案，</w:t>
      </w:r>
      <w:r>
        <w:rPr>
          <w:rFonts w:hint="eastAsia" w:ascii="宋体" w:hAnsi="宋体" w:cs="宋体"/>
          <w:color w:val="auto"/>
          <w:sz w:val="24"/>
          <w:szCs w:val="24"/>
          <w:highlight w:val="none"/>
        </w:rPr>
        <w:t>方案包含现状、重难点分析等，维修内容覆盖本项目采购要求，维护方式符合采购人实际要求，服务方案有利于项目实施。</w:t>
      </w:r>
    </w:p>
    <w:p>
      <w:pPr>
        <w:pStyle w:val="66"/>
        <w:keepNext w:val="0"/>
        <w:keepLines w:val="0"/>
        <w:pageBreakBefore w:val="0"/>
        <w:numPr>
          <w:ilvl w:val="1"/>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2.2.2.</w:t>
      </w:r>
      <w:r>
        <w:rPr>
          <w:rFonts w:hint="eastAsia" w:ascii="宋体" w:hAnsi="宋体" w:cs="宋体"/>
          <w:color w:val="auto"/>
          <w:sz w:val="24"/>
          <w:szCs w:val="24"/>
          <w:highlight w:val="none"/>
        </w:rPr>
        <w:t>针对本项目提供整体维保方案，方案包含：人员配置、维保流程、维保办法等，整体维保方案符合采购人实际要求，有利于项目实施。</w:t>
      </w:r>
    </w:p>
    <w:p>
      <w:pPr>
        <w:pStyle w:val="66"/>
        <w:keepNext w:val="0"/>
        <w:keepLines w:val="0"/>
        <w:pageBreakBefore w:val="0"/>
        <w:numPr>
          <w:ilvl w:val="1"/>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2.2.3.供应商提供月度巡查方案，巡查方案包含巡查人员、秩序管理、巡查内容等，月度巡查方案符合采购人实际要求，有利于项目实施。</w:t>
      </w:r>
    </w:p>
    <w:p>
      <w:pPr>
        <w:pStyle w:val="66"/>
        <w:keepNext w:val="0"/>
        <w:keepLines w:val="0"/>
        <w:pageBreakBefore w:val="0"/>
        <w:numPr>
          <w:ilvl w:val="1"/>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2.2.4.供应商对学校楼宇结构及各个办公室及教室、功能室的布局位置的了解程度提供应急响应方案。</w:t>
      </w:r>
    </w:p>
    <w:p>
      <w:pPr>
        <w:pStyle w:val="66"/>
        <w:keepNext w:val="0"/>
        <w:keepLines w:val="0"/>
        <w:pageBreakBefore w:val="0"/>
        <w:numPr>
          <w:ilvl w:val="1"/>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2.3.供应商提供7×24小时电话服务，根据学校信息系统中的报修记录进行响应，在半个小时内提供上门维修服务，2小时内修复（硬件损坏，无法找到备件时除外）。</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2.4.供应商每学期要对服务范围内的投影设备进行一次除尘保洁（只对投影设备表面及过滤网的除尘，投影设备光学系统、主板等内部主要配件深度清洁需要另外收费）调试检修（原则上是开学前）。</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2.5.供应商在提供维修和保养服务后，需现场填写“服务记录”，如实反应设备的运转情况，并由学校相关人员签字确认。</w:t>
      </w:r>
    </w:p>
    <w:p>
      <w:pPr>
        <w:pStyle w:val="66"/>
        <w:keepNext w:val="0"/>
        <w:keepLines w:val="0"/>
        <w:pageBreakBefore w:val="0"/>
        <w:numPr>
          <w:ilvl w:val="1"/>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2.6.设备维修更换：维护期内若设备损坏需要更换新设备时，所需更换的设备由供应商向采购人报告，由采购人代表签字确认后，方可进行维修或更换。若供应商为了确保系统或设备的正常运行，应急修复需立即更换设备或配件的，必须在事后及时向采购人报告，更换后的损坏件应交由采购人查验。更换的设备（或器件）的型号参数不得低于原设备（或器件）型号参数，并记入设备维修（更换）记录单。</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2.7.在维护期间供应商有义务向设备的使用人员讲解相关的使用和保养知识，以避免不必要的人为损失和破坏。</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2.8.供应商每月底将学校所报的维护信息情况统计成表，交给学校</w:t>
      </w:r>
      <w:r>
        <w:rPr>
          <w:rFonts w:hint="eastAsia" w:ascii="宋体" w:hAnsi="宋体" w:cs="宋体"/>
          <w:color w:val="auto"/>
          <w:sz w:val="24"/>
          <w:szCs w:val="24"/>
          <w:highlight w:val="none"/>
          <w:lang w:val="en-US" w:eastAsia="zh-CN"/>
        </w:rPr>
        <w:t>负责科室</w:t>
      </w:r>
      <w:r>
        <w:rPr>
          <w:rFonts w:hint="eastAsia" w:ascii="宋体" w:hAnsi="宋体" w:cs="宋体"/>
          <w:color w:val="auto"/>
          <w:sz w:val="24"/>
          <w:szCs w:val="24"/>
          <w:highlight w:val="none"/>
        </w:rPr>
        <w:t>备查。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2.9.提供“服务项目”要求的维护工作，人工、交通、食宿、工具损耗等费用由供应商自行承担。</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2.10.供应商应切实加强现场管理，确保安全生产，在检修保养中发生人身、设备及第三者事故，采购人不承担任何责任。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本次维保服务的范围涉及学校信息中心的网络、服务器等各类应用系统中的账号、密码、师生资料、学校内部资料方方面面；涉及学校各类文件；涉及学校学科教育教学的各种资料、各类试卷。加强保密工作成为本次的核心内容之一。维护单位安排到采购人的维护人员须出具无犯罪证明，确保学校的师生生命安全、财产安全、数据安全、信息安全。特别是必须做好学校、教师、学生等信息安全和保密工作，如发生泄密事件学校有权按相关要求索赔，甚至追究法律责任。供应商须承诺承担本项目下保密义务, 未经采购人许可不得将因本次项目获得的信息向第三方外传。维保单位工作人员进入采购人处开展维保工作，必须遵守相关制度，服从采购单位的管理，并签订保密协议书。</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供应商负责合约范围内的智能化系统维修保养工作，对学校智能化系统工程有管理权。同时供应商在非所能控制情况下遭受损失或导致供应商维修延误，供应商无需负责任。该情形如下：政府条例之规定；火灾、水灾、台风、雷击、地震、爆炸、战争等非人为因素所造成的事故。</w:t>
      </w:r>
    </w:p>
    <w:p>
      <w:pPr>
        <w:pStyle w:val="66"/>
        <w:keepNext w:val="0"/>
        <w:keepLines w:val="0"/>
        <w:pageBreakBefore w:val="0"/>
        <w:numPr>
          <w:ilvl w:val="2"/>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2.13.供应商提供的维护人员若工作怠慢，或与采购人负责人发生吵骂打架等冲突，采购人有权提出更换人员。供应商原则上不得更换维护人员，特殊情况须提前七天内书面通知采购人负责人，经认可后方可进行调换。</w:t>
      </w:r>
    </w:p>
    <w:p>
      <w:pPr>
        <w:pStyle w:val="66"/>
        <w:keepNext w:val="0"/>
        <w:keepLines w:val="0"/>
        <w:pageBreakBefore w:val="0"/>
        <w:numPr>
          <w:ilvl w:val="2"/>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2.14.为了学校维护质量，项目经理需持证上岗，除工作不满足要求被学校调换以外，整个维保过程不可更换项目经理，供应商应对此作出书面承诺。如若违约，有权解除合同并处罚违约金。</w:t>
      </w:r>
    </w:p>
    <w:p>
      <w:pPr>
        <w:pStyle w:val="66"/>
        <w:keepNext w:val="0"/>
        <w:keepLines w:val="0"/>
        <w:pageBreakBefore w:val="0"/>
        <w:numPr>
          <w:ilvl w:val="2"/>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2.15.采购人若新购智能化相关设备如：监控主机、摄像头、光端机、路由器、交换机、光端机及广播功放等配件，由供应商提供产品技术支持，在同等价格条件下供应商有优先购置权，财政和政府采购有相关规定的，按相关规定执行。供应商需建立针对学校设备的应急备品库，满足学校设备故障的应急处理。</w:t>
      </w:r>
    </w:p>
    <w:p>
      <w:pPr>
        <w:pStyle w:val="66"/>
        <w:keepNext w:val="0"/>
        <w:keepLines w:val="0"/>
        <w:pageBreakBefore w:val="0"/>
        <w:numPr>
          <w:ilvl w:val="2"/>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2.16.供应商承诺“逢重大活动和有关检查期间，按要求无条件派遣人员配合工作开展，确保维保服务不出纰漏”。</w:t>
      </w:r>
    </w:p>
    <w:p>
      <w:pPr>
        <w:pStyle w:val="66"/>
        <w:keepNext w:val="0"/>
        <w:keepLines w:val="0"/>
        <w:pageBreakBefore w:val="0"/>
        <w:numPr>
          <w:ilvl w:val="2"/>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Theme="majorEastAsia" w:hAnsiTheme="majorEastAsia" w:eastAsiaTheme="majorEastAsia" w:cstheme="majorEastAsia"/>
          <w:i w:val="0"/>
          <w:iCs w:val="0"/>
          <w:color w:val="auto"/>
          <w:kern w:val="0"/>
          <w:sz w:val="24"/>
          <w:szCs w:val="24"/>
          <w:highlight w:val="none"/>
          <w:u w:val="none"/>
          <w:lang w:val="en-US" w:eastAsia="zh-CN" w:bidi="ar"/>
        </w:rPr>
      </w:pPr>
      <w:r>
        <w:rPr>
          <w:rFonts w:hint="eastAsia" w:cs="宋体"/>
          <w:color w:val="auto"/>
          <w:sz w:val="24"/>
          <w:szCs w:val="24"/>
          <w:highlight w:val="none"/>
          <w:lang w:val="en-US" w:eastAsia="zh-CN"/>
        </w:rPr>
        <w:t>2.17.供应商</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拟投入本项目的维护人员应具备高空作业证书。</w:t>
      </w:r>
    </w:p>
    <w:p>
      <w:pPr>
        <w:pStyle w:val="66"/>
        <w:keepNext w:val="0"/>
        <w:keepLines w:val="0"/>
        <w:pageBreakBefore w:val="0"/>
        <w:numPr>
          <w:ilvl w:val="2"/>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Theme="majorEastAsia" w:hAnsiTheme="majorEastAsia" w:eastAsiaTheme="majorEastAsia" w:cstheme="majorEastAsia"/>
          <w:i w:val="0"/>
          <w:iCs w:val="0"/>
          <w:color w:val="auto"/>
          <w:kern w:val="0"/>
          <w:sz w:val="24"/>
          <w:szCs w:val="24"/>
          <w:highlight w:val="none"/>
          <w:u w:val="none"/>
          <w:lang w:val="en-US" w:eastAsia="zh-CN" w:bidi="ar"/>
        </w:rPr>
      </w:pPr>
      <w:r>
        <w:rPr>
          <w:rFonts w:hint="eastAsia" w:cs="宋体"/>
          <w:color w:val="auto"/>
          <w:sz w:val="24"/>
          <w:szCs w:val="24"/>
          <w:highlight w:val="none"/>
          <w:lang w:val="en-US" w:eastAsia="zh-CN"/>
        </w:rPr>
        <w:t>2.18.供应商</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拟投入本项目的技术人员应持有有效特种作业操作证（电工类）。</w:t>
      </w:r>
    </w:p>
    <w:p>
      <w:pPr>
        <w:pStyle w:val="66"/>
        <w:keepNext w:val="0"/>
        <w:keepLines w:val="0"/>
        <w:pageBreakBefore w:val="0"/>
        <w:numPr>
          <w:ilvl w:val="2"/>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Theme="majorEastAsia" w:hAnsiTheme="majorEastAsia" w:eastAsiaTheme="majorEastAsia" w:cstheme="majorEastAsia"/>
          <w:i w:val="0"/>
          <w:iCs w:val="0"/>
          <w:color w:val="auto"/>
          <w:kern w:val="0"/>
          <w:sz w:val="24"/>
          <w:szCs w:val="24"/>
          <w:highlight w:val="none"/>
          <w:u w:val="none"/>
          <w:lang w:val="en-US" w:eastAsia="zh-CN" w:bidi="ar"/>
        </w:rPr>
      </w:pPr>
      <w:r>
        <w:rPr>
          <w:rFonts w:hint="eastAsia" w:cs="宋体"/>
          <w:color w:val="auto"/>
          <w:sz w:val="24"/>
          <w:szCs w:val="24"/>
          <w:highlight w:val="none"/>
          <w:lang w:val="en-US" w:eastAsia="zh-CN"/>
        </w:rPr>
        <w:t>2.19.供应商</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拟投入本项目的信创运维人员应具备有效的信创运维工程师认证证书。</w:t>
      </w:r>
    </w:p>
    <w:p>
      <w:pPr>
        <w:pStyle w:val="66"/>
        <w:keepNext w:val="0"/>
        <w:keepLines w:val="0"/>
        <w:pageBreakBefore w:val="0"/>
        <w:numPr>
          <w:ilvl w:val="2"/>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default" w:asciiTheme="majorEastAsia" w:hAnsiTheme="majorEastAsia" w:eastAsiaTheme="majorEastAsia" w:cstheme="majorEastAsia"/>
          <w:i w:val="0"/>
          <w:iCs w:val="0"/>
          <w:color w:val="auto"/>
          <w:kern w:val="0"/>
          <w:sz w:val="24"/>
          <w:szCs w:val="24"/>
          <w:highlight w:val="none"/>
          <w:u w:val="none"/>
          <w:lang w:val="en-US" w:eastAsia="zh-CN" w:bidi="ar"/>
        </w:rPr>
      </w:pPr>
      <w:r>
        <w:rPr>
          <w:rFonts w:hint="eastAsia" w:cs="宋体"/>
          <w:color w:val="auto"/>
          <w:sz w:val="24"/>
          <w:szCs w:val="24"/>
          <w:highlight w:val="none"/>
          <w:lang w:val="en-US" w:eastAsia="zh-CN"/>
        </w:rPr>
        <w:t>2.20.供应商</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拟投入本项目的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网络运维人员应具备中级及以上网络工程师证书。</w:t>
      </w:r>
    </w:p>
    <w:p>
      <w:pPr>
        <w:pStyle w:val="66"/>
        <w:keepNext w:val="0"/>
        <w:keepLines w:val="0"/>
        <w:pageBreakBefore w:val="0"/>
        <w:numPr>
          <w:ilvl w:val="2"/>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cs="宋体"/>
          <w:color w:val="auto"/>
          <w:sz w:val="24"/>
          <w:szCs w:val="24"/>
          <w:highlight w:val="none"/>
          <w:lang w:val="en-US" w:eastAsia="zh-CN"/>
        </w:rPr>
        <w:t>21</w:t>
      </w:r>
      <w:r>
        <w:rPr>
          <w:rFonts w:hint="eastAsia" w:ascii="宋体" w:hAnsi="宋体" w:cs="宋体"/>
          <w:color w:val="auto"/>
          <w:sz w:val="24"/>
          <w:szCs w:val="24"/>
          <w:highlight w:val="none"/>
        </w:rPr>
        <w:t>.本项目预算已包含成交供应商所需加班费用，学校不再另行支出，投标前应充分考虑此部分的费用。</w:t>
      </w:r>
    </w:p>
    <w:p>
      <w:pPr>
        <w:pStyle w:val="66"/>
        <w:keepNext w:val="0"/>
        <w:keepLines w:val="0"/>
        <w:pageBreakBefore w:val="0"/>
        <w:numPr>
          <w:ilvl w:val="2"/>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cs="宋体"/>
          <w:color w:val="auto"/>
          <w:sz w:val="24"/>
          <w:szCs w:val="24"/>
          <w:highlight w:val="none"/>
          <w:lang w:val="en-US" w:eastAsia="zh-CN"/>
        </w:rPr>
        <w:t>22</w:t>
      </w:r>
      <w:r>
        <w:rPr>
          <w:rFonts w:hint="eastAsia" w:ascii="宋体" w:hAnsi="宋体" w:cs="宋体"/>
          <w:color w:val="auto"/>
          <w:sz w:val="24"/>
          <w:szCs w:val="24"/>
          <w:highlight w:val="none"/>
        </w:rPr>
        <w:t>.供应商应当按照合同约定履行义务，完成维保服务工作。本项目不接受挂靠，也不得转包、分包给他人，否则采购人有权立即终止合同，成交供应商应承担给采购人造成的一切损失。</w:t>
      </w:r>
    </w:p>
    <w:p>
      <w:pPr>
        <w:pStyle w:val="66"/>
        <w:keepNext w:val="0"/>
        <w:keepLines w:val="0"/>
        <w:pageBreakBefore w:val="0"/>
        <w:numPr>
          <w:ilvl w:val="2"/>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cs="宋体"/>
          <w:color w:val="auto"/>
          <w:sz w:val="24"/>
          <w:szCs w:val="24"/>
          <w:highlight w:val="none"/>
          <w:lang w:val="en-US" w:eastAsia="zh-CN"/>
        </w:rPr>
        <w:t>23</w:t>
      </w:r>
      <w:r>
        <w:rPr>
          <w:rFonts w:hint="eastAsia" w:ascii="宋体" w:hAnsi="宋体" w:cs="宋体"/>
          <w:color w:val="auto"/>
          <w:sz w:val="24"/>
          <w:szCs w:val="24"/>
          <w:highlight w:val="none"/>
        </w:rPr>
        <w:t>.本项目成交后10个工作日内签订合同，合同每年签订一次。合同期满后经采购人考核通过，按本次成交价再续约签订下一年度合同，每年签订一次，直至履行期三年满结束。</w:t>
      </w:r>
    </w:p>
    <w:p>
      <w:pPr>
        <w:pStyle w:val="66"/>
        <w:keepNext w:val="0"/>
        <w:keepLines w:val="0"/>
        <w:pageBreakBefore w:val="0"/>
        <w:numPr>
          <w:ilvl w:val="2"/>
          <w:numId w:val="0"/>
        </w:numPr>
        <w:tabs>
          <w:tab w:val="left" w:pos="993"/>
        </w:tabs>
        <w:kinsoku/>
        <w:wordWrap/>
        <w:overflowPunct/>
        <w:topLinePunct w:val="0"/>
        <w:autoSpaceDE/>
        <w:autoSpaceDN/>
        <w:bidi w:val="0"/>
        <w:adjustRightInd/>
        <w:snapToGrid/>
        <w:spacing w:before="0" w:beforeAutospacing="0" w:after="0" w:afterAutospacing="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cs="宋体"/>
          <w:color w:val="auto"/>
          <w:sz w:val="24"/>
          <w:szCs w:val="24"/>
          <w:highlight w:val="none"/>
          <w:lang w:val="en-US" w:eastAsia="zh-CN"/>
        </w:rPr>
        <w:t>24</w:t>
      </w:r>
      <w:r>
        <w:rPr>
          <w:rFonts w:hint="eastAsia" w:ascii="宋体" w:hAnsi="宋体" w:cs="宋体"/>
          <w:color w:val="auto"/>
          <w:sz w:val="24"/>
          <w:szCs w:val="24"/>
          <w:highlight w:val="none"/>
        </w:rPr>
        <w:t>.供应商应在服务期间提供备件【24口交换机】，满足：</w:t>
      </w:r>
    </w:p>
    <w:p>
      <w:pPr>
        <w:pStyle w:val="6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支持通过网管中心平台一键替换“按钮”即可完成故障设备替换；</w:t>
      </w:r>
    </w:p>
    <w:p>
      <w:pPr>
        <w:pStyle w:val="6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支持通过APP进行远程管理，并且可以修改交换机网络配置；</w:t>
      </w:r>
    </w:p>
    <w:p>
      <w:pPr>
        <w:pStyle w:val="6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支持终端类型库，基于指纹终端识别库自动识别PC、路由器、摄像头设备、无线AP等；支持与外部安全感知平台联动，且联动实现从系统及接入层交换机对风险终端MAC地址进行封堵；交换机支持与外部防火墙联动，且联动实现从系统及接入层交换机对风险终端MAC地址进行封堵；支持在交换机上创建东西向安全策略，实现全网安全风险拦截，并支持各个区域/角色流量互访记录并呈现，支持攻击源定位，检测到攻击源后根据策略将终端拉黑，防止终端持续攻击。</w:t>
      </w:r>
    </w:p>
    <w:p>
      <w:pPr>
        <w:pStyle w:val="6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jc w:val="left"/>
        <w:textAlignment w:val="baseline"/>
        <w:rPr>
          <w:rFonts w:hint="eastAsia"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bidi="ar"/>
        </w:rPr>
        <w:t>3.其他维保要求</w:t>
      </w:r>
    </w:p>
    <w:p>
      <w:pPr>
        <w:pStyle w:val="6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3.1.除基础维保服务外，维保单位应满足以下要求：</w:t>
      </w:r>
    </w:p>
    <w:p>
      <w:pPr>
        <w:pStyle w:val="6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3.1.1.维保单位需对要维保的资产进行盘点，整合管理文档，数据资料，以帮助学校加强项目管理，同时方便自身开展后续维保工作。其</w:t>
      </w:r>
      <w:bookmarkStart w:id="35" w:name="OLE_LINK1"/>
      <w:r>
        <w:rPr>
          <w:rFonts w:hint="eastAsia" w:ascii="宋体" w:hAnsi="宋体" w:cs="宋体"/>
          <w:color w:val="auto"/>
          <w:sz w:val="24"/>
          <w:szCs w:val="24"/>
          <w:highlight w:val="none"/>
        </w:rPr>
        <w:t>中包含但不限于“全部的线路健康检测，提供网络拓</w:t>
      </w:r>
      <w:bookmarkEnd w:id="35"/>
      <w:r>
        <w:rPr>
          <w:rFonts w:hint="eastAsia" w:ascii="宋体" w:hAnsi="宋体" w:cs="宋体"/>
          <w:color w:val="auto"/>
          <w:sz w:val="24"/>
          <w:szCs w:val="24"/>
          <w:highlight w:val="none"/>
        </w:rPr>
        <w:t>扑结构的梳理和图纸更新等。”</w:t>
      </w:r>
    </w:p>
    <w:p>
      <w:pPr>
        <w:pStyle w:val="6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3.1.2.维保单位需提供打印设备耗材更换及维修工作（包括但不限于更换硒鼓、碳粉等），保证维持运转的基础库存。</w:t>
      </w:r>
    </w:p>
    <w:p>
      <w:pPr>
        <w:pStyle w:val="6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3.1.3.维保单位需做好设备的年检巡检等。</w:t>
      </w:r>
    </w:p>
    <w:p>
      <w:pPr>
        <w:pStyle w:val="6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3.1.4.若学校对维保单位提供的维保人员不满意，维保单位需及时、无条件更换合格人员，保障维保服务的质量。</w:t>
      </w:r>
    </w:p>
    <w:p>
      <w:pPr>
        <w:pStyle w:val="6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3.1.5.若涉及到一些小微工程,例如:重设备、批量设备搬运，破墙破土工程，复杂的弱电布线，强电工程等，维保公司应先提供工程联系单或提供实施方案以及相关费用清单等，经学校相关部门请示，获批后再进行实施所涉及费用根据实施方案和费用，按学校财务流程结算。</w:t>
      </w:r>
    </w:p>
    <w:p>
      <w:pPr>
        <w:widowControl/>
        <w:spacing w:line="360" w:lineRule="auto"/>
        <w:ind w:firstLine="482" w:firstLineChars="200"/>
        <w:jc w:val="left"/>
        <w:rPr>
          <w:rFonts w:hint="eastAsia"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bidi="ar"/>
        </w:rPr>
        <w:t>4.考核要求</w:t>
      </w:r>
    </w:p>
    <w:p>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 采购人以每一个月为一个记分周期，总务科安排相关部门对成交供应商的各个项目进行量化考核。得分率 90%以上评定等级为优，达到 80%以上为合格，低于 80%为不合格。得分 80%以上时承包酬金按合同总额付给；得分 80%分以下时，付给合同酬金总额的 80%。因成交供应商失误造成采购人经济财产损失或其它责任事故，除按以下考核量化标准扣分外，成交供应商还须承担相关的经济责任和法律责任。供应商应对此作出书面承诺。 </w:t>
      </w:r>
    </w:p>
    <w:p>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4.2 学校将依据合同规定每月及不定时对服务处的工作进行检查、考评。一年之内，出现综合考评不合格时，学校将以书面形式通知服务处限期整改，服务处须向学校提交整改措施报告，由学校监督实施。</w:t>
      </w: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spacing w:line="360" w:lineRule="auto"/>
        <w:ind w:left="425"/>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维保服务测评表</w:t>
      </w:r>
    </w:p>
    <w:tbl>
      <w:tblPr>
        <w:tblStyle w:val="24"/>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846"/>
        <w:gridCol w:w="4828"/>
        <w:gridCol w:w="964"/>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0" w:type="auto"/>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0" w:type="auto"/>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测评项目</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（总分100分）</w:t>
            </w:r>
          </w:p>
        </w:tc>
        <w:tc>
          <w:tcPr>
            <w:tcW w:w="4822" w:type="dxa"/>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评分细则参考及分重</w:t>
            </w:r>
          </w:p>
        </w:tc>
        <w:tc>
          <w:tcPr>
            <w:tcW w:w="963" w:type="dxa"/>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考核分数</w:t>
            </w:r>
          </w:p>
        </w:tc>
        <w:tc>
          <w:tcPr>
            <w:tcW w:w="0" w:type="auto"/>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0" w:type="auto"/>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0" w:type="auto"/>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维护人员服务态度及响应速度（20分）</w:t>
            </w:r>
          </w:p>
        </w:tc>
        <w:tc>
          <w:tcPr>
            <w:tcW w:w="4822" w:type="dxa"/>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1、维护热线是否畅通；（6分）</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2、接到报修是否半小时内做出响应，2小时内维修完成。（14分）</w:t>
            </w:r>
          </w:p>
        </w:tc>
        <w:tc>
          <w:tcPr>
            <w:tcW w:w="963" w:type="dxa"/>
            <w:vAlign w:val="center"/>
          </w:tcPr>
          <w:p>
            <w:pPr>
              <w:spacing w:line="360" w:lineRule="auto"/>
              <w:rPr>
                <w:rFonts w:hint="eastAsia" w:ascii="宋体" w:hAnsi="宋体" w:cs="宋体"/>
                <w:color w:val="auto"/>
                <w:sz w:val="24"/>
                <w:szCs w:val="24"/>
                <w:highlight w:val="none"/>
              </w:rPr>
            </w:pPr>
          </w:p>
        </w:tc>
        <w:tc>
          <w:tcPr>
            <w:tcW w:w="0" w:type="auto"/>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6" w:hRule="atLeast"/>
          <w:jc w:val="center"/>
        </w:trPr>
        <w:tc>
          <w:tcPr>
            <w:tcW w:w="0" w:type="auto"/>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0" w:type="auto"/>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技术熟练程度</w:t>
            </w:r>
          </w:p>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（30分）</w:t>
            </w:r>
          </w:p>
        </w:tc>
        <w:tc>
          <w:tcPr>
            <w:tcW w:w="4822" w:type="dxa"/>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维修是否能在1个小时内做出故障判断，提出维修方式，做出正确故障解释；（6分）</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维修中是否存在其他遗留问题未检测出；（9分）</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维修或更换的配件是否符合使用要求；（9分）</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维修后设备是否短期再次出现相同问题。（6分）</w:t>
            </w:r>
          </w:p>
        </w:tc>
        <w:tc>
          <w:tcPr>
            <w:tcW w:w="963" w:type="dxa"/>
            <w:vAlign w:val="center"/>
          </w:tcPr>
          <w:p>
            <w:pPr>
              <w:spacing w:line="360" w:lineRule="auto"/>
              <w:rPr>
                <w:rFonts w:hint="eastAsia" w:ascii="宋体" w:hAnsi="宋体" w:cs="宋体"/>
                <w:color w:val="auto"/>
                <w:sz w:val="24"/>
                <w:szCs w:val="24"/>
                <w:highlight w:val="none"/>
              </w:rPr>
            </w:pPr>
          </w:p>
        </w:tc>
        <w:tc>
          <w:tcPr>
            <w:tcW w:w="0" w:type="auto"/>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0" w:type="auto"/>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0" w:type="auto"/>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及时完成任务情况（30分）</w:t>
            </w:r>
          </w:p>
        </w:tc>
        <w:tc>
          <w:tcPr>
            <w:tcW w:w="4822" w:type="dxa"/>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根据不同故障情况是否能及时、按需解决故障（简单故障：当天内处理；更换配件故障：2-5个工作日内处理）；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是否按要求进行巡检、提交档案册及系统保养，并及时提交维修巡检报告。</w:t>
            </w:r>
          </w:p>
        </w:tc>
        <w:tc>
          <w:tcPr>
            <w:tcW w:w="963" w:type="dxa"/>
            <w:vAlign w:val="center"/>
          </w:tcPr>
          <w:p>
            <w:pPr>
              <w:spacing w:line="360" w:lineRule="auto"/>
              <w:rPr>
                <w:rFonts w:hint="eastAsia" w:ascii="宋体" w:hAnsi="宋体" w:cs="宋体"/>
                <w:color w:val="auto"/>
                <w:sz w:val="24"/>
                <w:szCs w:val="24"/>
                <w:highlight w:val="none"/>
              </w:rPr>
            </w:pPr>
          </w:p>
        </w:tc>
        <w:tc>
          <w:tcPr>
            <w:tcW w:w="0" w:type="auto"/>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0" w:type="auto"/>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0" w:type="auto"/>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职业道德、守纪等情况（20分）</w:t>
            </w:r>
          </w:p>
        </w:tc>
        <w:tc>
          <w:tcPr>
            <w:tcW w:w="4822" w:type="dxa"/>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是否有与报修人员沟通，并坚持以修为主，以换为辅的原则进行故障维修；（10分）</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是否遵守学校管理制度；（6分）</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维修过程中是否携带专业设备，安全维修。（4分）</w:t>
            </w:r>
          </w:p>
        </w:tc>
        <w:tc>
          <w:tcPr>
            <w:tcW w:w="963" w:type="dxa"/>
            <w:vAlign w:val="center"/>
          </w:tcPr>
          <w:p>
            <w:pPr>
              <w:spacing w:line="360" w:lineRule="auto"/>
              <w:rPr>
                <w:rFonts w:hint="eastAsia" w:ascii="宋体" w:hAnsi="宋体" w:cs="宋体"/>
                <w:color w:val="auto"/>
                <w:sz w:val="24"/>
                <w:szCs w:val="24"/>
                <w:highlight w:val="none"/>
              </w:rPr>
            </w:pPr>
          </w:p>
        </w:tc>
        <w:tc>
          <w:tcPr>
            <w:tcW w:w="0" w:type="auto"/>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217" w:type="dxa"/>
            <w:gridSpan w:val="3"/>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注：请在空格上填写分数，并累加总分。（满分100分，各项分重有标注）</w:t>
            </w:r>
          </w:p>
        </w:tc>
        <w:tc>
          <w:tcPr>
            <w:tcW w:w="1641" w:type="dxa"/>
            <w:gridSpan w:val="2"/>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0" w:type="auto"/>
            <w:gridSpan w:val="5"/>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合理建议：</w:t>
            </w:r>
          </w:p>
        </w:tc>
      </w:tr>
    </w:tbl>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.智能化系统维护包括：</w:t>
      </w:r>
      <w:r>
        <w:rPr>
          <w:rFonts w:hint="eastAsia" w:ascii="宋体" w:hAnsi="宋体" w:cs="宋体"/>
          <w:color w:val="auto"/>
          <w:sz w:val="24"/>
          <w:szCs w:val="24"/>
          <w:highlight w:val="none"/>
        </w:rPr>
        <w:t>校园广播系统、计算机网络系统、有线电视系统、办公设备系统（含打印机、电脑等）及智能化系统所包含的全部传输线缆的维护。</w:t>
      </w:r>
    </w:p>
    <w:p>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附件：</w:t>
      </w:r>
      <w:r>
        <w:rPr>
          <w:rFonts w:hint="eastAsia" w:ascii="宋体" w:hAnsi="宋体" w:cs="宋体"/>
          <w:color w:val="auto"/>
          <w:sz w:val="24"/>
          <w:szCs w:val="24"/>
          <w:highlight w:val="none"/>
        </w:rPr>
        <w:t>维保期间涉及到配件、耗材清单限价表</w:t>
      </w: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5064"/>
        <w:gridCol w:w="875"/>
        <w:gridCol w:w="1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506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型号</w:t>
            </w:r>
          </w:p>
        </w:tc>
        <w:tc>
          <w:tcPr>
            <w:tcW w:w="87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713" w:type="dxa"/>
            <w:tcBorders>
              <w:top w:val="single" w:color="000000" w:sz="4" w:space="0"/>
              <w:left w:val="single" w:color="000000" w:sz="4" w:space="0"/>
              <w:bottom w:val="single" w:color="000000" w:sz="4" w:space="0"/>
              <w:right w:val="single" w:color="000000" w:sz="4" w:space="0"/>
            </w:tcBorders>
            <w:shd w:val="clear" w:color="auto" w:fill="D0CEC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最高限制单价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惠普 M403dn 硒鼓</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佳能 LBP225 硒鼓</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夏普MX-B6053R 粉盒</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黑色碳粉BP-CT70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青色碳粉BP-CT70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洋红墨粉BP-CT70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黄色墨粉BP-CT70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M403dn 及M405dn 激光打印机搓纸轮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M403dn 及M405dn 激光打印机分页器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M403dn 及M405dn 激光打印机纸盒2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佳能 LBP225搓纸轮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佳能 LBP225分页器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佳能 LBP225纸盒2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笔记本电脑电源适配器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笔记本电脑电池</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笔记本电脑键盘</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笔记本电脑屏幕</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一体机ops主板更换（鸿合）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碳粉加粉120克</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USB3.0分线器 拓展4口集线器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HDMI转VGA线转换器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DP转VGA线转换器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Type-C转VGA线转换器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USB键盘</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USB鼠标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1.5米HDMI线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5米VGA线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3.5mm一分二莲花头音频线 3.5转双莲花音频线 1.5米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AUX音频线 3.5mm公对连接线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周界LED报警灯</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双防区张力控制主机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张力终端杆</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尾端连接器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万向滑轮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万向滑轮固定件</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光纤收发器、千兆3km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网络摄像机400万像素</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12V2A监控电源</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12V5A电源</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球机监控电源24V3A</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5V2A光纤收发器电源适配器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监控支架</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12V20A集中电源</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5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LED屏5V40A电源</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r>
    </w:tbl>
    <w:p>
      <w:pPr>
        <w:pStyle w:val="6"/>
        <w:spacing w:line="360" w:lineRule="auto"/>
        <w:ind w:left="0" w:leftChars="0" w:firstLine="0" w:firstLineChars="0"/>
        <w:rPr>
          <w:rFonts w:hint="eastAsia" w:eastAsia="宋体" w:cs="宋体"/>
          <w:b/>
          <w:color w:val="auto"/>
          <w:sz w:val="24"/>
          <w:szCs w:val="24"/>
          <w:highlight w:val="none"/>
        </w:rPr>
      </w:pPr>
    </w:p>
    <w:p>
      <w:pPr>
        <w:pStyle w:val="4"/>
        <w:spacing w:beforeLines="50" w:afterLines="50" w:line="360" w:lineRule="auto"/>
        <w:rPr>
          <w:rFonts w:ascii="宋体" w:hAnsi="宋体" w:eastAsia="宋体" w:cs="宋体"/>
          <w:color w:val="auto"/>
          <w:sz w:val="24"/>
          <w:szCs w:val="24"/>
          <w:highlight w:val="none"/>
        </w:rPr>
      </w:pPr>
      <w:bookmarkStart w:id="36" w:name="_Toc20852"/>
      <w:bookmarkStart w:id="37" w:name="_Toc12197"/>
      <w:r>
        <w:rPr>
          <w:rFonts w:hint="eastAsia" w:ascii="宋体" w:hAnsi="宋体" w:eastAsia="宋体" w:cs="宋体"/>
          <w:color w:val="auto"/>
          <w:sz w:val="24"/>
          <w:szCs w:val="24"/>
          <w:highlight w:val="none"/>
        </w:rPr>
        <w:t>三、商务条件</w:t>
      </w:r>
      <w:bookmarkEnd w:id="36"/>
      <w:bookmarkEnd w:id="37"/>
    </w:p>
    <w:p>
      <w:pPr>
        <w:spacing w:line="360" w:lineRule="auto"/>
        <w:ind w:firstLine="480" w:firstLineChars="200"/>
        <w:rPr>
          <w:rFonts w:hint="eastAsia" w:ascii="宋体" w:hAnsi="宋体" w:cs="宋体"/>
          <w:color w:val="auto"/>
          <w:sz w:val="24"/>
          <w:szCs w:val="24"/>
          <w:highlight w:val="none"/>
        </w:rPr>
      </w:pPr>
      <w:bookmarkStart w:id="38" w:name="_Toc2265"/>
      <w:bookmarkStart w:id="39" w:name="_Toc62114103"/>
      <w:r>
        <w:rPr>
          <w:rFonts w:hint="eastAsia" w:ascii="宋体" w:hAnsi="宋体" w:cs="宋体"/>
          <w:color w:val="auto"/>
          <w:sz w:val="24"/>
          <w:szCs w:val="24"/>
          <w:highlight w:val="none"/>
        </w:rPr>
        <w:t>1.服务期：合同签订之日起1年。本项目为可延续采购的服务项目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合同期满后，在预算资金有保障、服务价格不提高的前提下，成交供应商服务质量符合本次采购文件规定和采购人采购管理、考核等相关规定的情况下，经双方协商同意，可续签一年的服务合同。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.服务地点：</w:t>
      </w:r>
      <w:r>
        <w:rPr>
          <w:rFonts w:hint="eastAsia" w:ascii="宋体" w:hAnsi="宋体" w:cs="宋体"/>
          <w:color w:val="auto"/>
          <w:sz w:val="24"/>
          <w:szCs w:val="24"/>
          <w:highlight w:val="none"/>
          <w:lang w:val="en-US" w:eastAsia="zh-CN"/>
        </w:rPr>
        <w:t>采购人指定地点</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.是否收取履约保证金：否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.支付方式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成交供应商每季度统计一次实际产生的维保费及经确认发生的配件费用，并经采购人确认后，开具正式票据及清单，采购人按</w:t>
      </w:r>
      <w:r>
        <w:rPr>
          <w:rFonts w:hint="eastAsia" w:ascii="宋体" w:hAnsi="宋体" w:cs="宋体"/>
          <w:color w:val="auto"/>
          <w:sz w:val="24"/>
          <w:szCs w:val="24"/>
          <w:highlight w:val="none"/>
          <w:lang w:eastAsia="zh-CN"/>
        </w:rPr>
        <w:t>季度</w:t>
      </w:r>
      <w:r>
        <w:rPr>
          <w:rFonts w:hint="eastAsia" w:ascii="宋体" w:hAnsi="宋体" w:cs="宋体"/>
          <w:color w:val="auto"/>
          <w:sz w:val="24"/>
          <w:szCs w:val="24"/>
          <w:highlight w:val="none"/>
        </w:rPr>
        <w:t>支付相关费用。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.报价要求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总价为承包期限内的所有费用，应包括：人工成本（含人工费、保险、服装费、服务费、加班费等），行政办公费用，服务本项目所需的工具设备费用，设备工具折旧费，人员培训费，各项办公工具等易耗品，清洁用品，设备设施维修费用，临时任务等突击费，验收费用以及设施、设备的维护、运行和管理，保险，企业管理费，税费，采购代理费等相关费用，供应商应自行考虑应承担的风险。供应商一旦成交，采购人将不会对其报价做出其他补偿。</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.2供应商对每项标的只允许有一个报价，并且在合同履行过程中是固定不变的，不得以任何理由予以变更。以可变动价格提交的报价将被认为是非实质响应而被否决。</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.3供应商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在最后报价中未提供分项报价的，则按同一比率(μ)调整各分项价格(μ=最后总报价÷响应文件的总报价，调整后的分项价格＝响应文件的分项报价×μ)。（注：式中的价格为扣除不可竞争费用的价格）</w:t>
      </w:r>
    </w:p>
    <w:p>
      <w:pPr>
        <w:spacing w:line="360" w:lineRule="auto"/>
        <w:ind w:firstLine="482" w:firstLineChars="200"/>
        <w:rPr>
          <w:rFonts w:hint="default" w:ascii="宋体" w:hAnsi="宋体" w:eastAsia="宋体" w:cs="宋体"/>
          <w:color w:val="auto"/>
          <w:sz w:val="24"/>
          <w:szCs w:val="24"/>
          <w:highlight w:val="none"/>
          <w:lang w:val="en-US" w:eastAsia="zh-CN"/>
        </w:rPr>
      </w:pPr>
      <w:r>
        <w:rPr>
          <w:rFonts w:hint="eastAsia" w:ascii="宋体" w:hAnsi="宋体" w:cs="宋体"/>
          <w:b/>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.4本项目</w:t>
      </w:r>
      <w:r>
        <w:rPr>
          <w:rFonts w:hint="eastAsia" w:ascii="宋体" w:hAnsi="宋体" w:cs="宋体"/>
          <w:b/>
          <w:bCs/>
          <w:color w:val="auto"/>
          <w:sz w:val="24"/>
          <w:szCs w:val="24"/>
          <w:highlight w:val="none"/>
          <w:lang w:val="en-US" w:eastAsia="zh-CN"/>
        </w:rPr>
        <w:t>品目1-1</w:t>
      </w:r>
      <w:r>
        <w:rPr>
          <w:rFonts w:hint="eastAsia" w:ascii="宋体" w:hAnsi="宋体" w:cs="宋体"/>
          <w:b/>
          <w:bCs/>
          <w:color w:val="auto"/>
          <w:sz w:val="24"/>
          <w:szCs w:val="24"/>
          <w:highlight w:val="none"/>
        </w:rPr>
        <w:t>的采购</w:t>
      </w:r>
      <w:r>
        <w:rPr>
          <w:rFonts w:hint="eastAsia" w:ascii="宋体" w:hAnsi="宋体" w:cs="宋体"/>
          <w:b/>
          <w:bCs/>
          <w:color w:val="auto"/>
          <w:sz w:val="24"/>
          <w:szCs w:val="24"/>
          <w:highlight w:val="none"/>
          <w:lang w:val="en-US" w:eastAsia="zh-CN"/>
        </w:rPr>
        <w:t>总</w:t>
      </w:r>
      <w:r>
        <w:rPr>
          <w:rFonts w:hint="eastAsia" w:ascii="宋体" w:hAnsi="宋体" w:cs="宋体"/>
          <w:b/>
          <w:bCs/>
          <w:color w:val="auto"/>
          <w:sz w:val="24"/>
          <w:szCs w:val="24"/>
          <w:highlight w:val="none"/>
        </w:rPr>
        <w:t>预算为人民币</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万元，采购</w:t>
      </w:r>
      <w:r>
        <w:rPr>
          <w:rFonts w:hint="eastAsia" w:ascii="宋体" w:hAnsi="宋体" w:cs="宋体"/>
          <w:b/>
          <w:bCs/>
          <w:color w:val="auto"/>
          <w:sz w:val="24"/>
          <w:szCs w:val="24"/>
          <w:highlight w:val="none"/>
          <w:lang w:val="en-US" w:eastAsia="zh-CN"/>
        </w:rPr>
        <w:t>总</w:t>
      </w:r>
      <w:r>
        <w:rPr>
          <w:rFonts w:hint="eastAsia" w:ascii="宋体" w:hAnsi="宋体" w:cs="宋体"/>
          <w:b/>
          <w:bCs/>
          <w:color w:val="auto"/>
          <w:sz w:val="24"/>
          <w:szCs w:val="24"/>
          <w:highlight w:val="none"/>
        </w:rPr>
        <w:t>预算为供应商任一轮报价（包括但不限于响应文件中的报价以及供应商提交的最后报价）的最高限价，供应商任一轮报价超过采购</w:t>
      </w:r>
      <w:r>
        <w:rPr>
          <w:rFonts w:hint="eastAsia" w:ascii="宋体" w:hAnsi="宋体" w:cs="宋体"/>
          <w:b/>
          <w:bCs/>
          <w:color w:val="auto"/>
          <w:sz w:val="24"/>
          <w:szCs w:val="24"/>
          <w:highlight w:val="none"/>
          <w:lang w:val="en-US" w:eastAsia="zh-CN"/>
        </w:rPr>
        <w:t>总</w:t>
      </w:r>
      <w:r>
        <w:rPr>
          <w:rFonts w:hint="eastAsia" w:ascii="宋体" w:hAnsi="宋体" w:cs="宋体"/>
          <w:b/>
          <w:bCs/>
          <w:color w:val="auto"/>
          <w:sz w:val="24"/>
          <w:szCs w:val="24"/>
          <w:highlight w:val="none"/>
        </w:rPr>
        <w:t>预算的，其响应文件将被否决。</w:t>
      </w:r>
      <w:r>
        <w:rPr>
          <w:rFonts w:hint="eastAsia" w:ascii="宋体" w:hAnsi="宋体" w:cs="宋体"/>
          <w:b/>
          <w:bCs/>
          <w:color w:val="auto"/>
          <w:sz w:val="24"/>
          <w:szCs w:val="24"/>
          <w:highlight w:val="none"/>
          <w:lang w:val="en-US" w:eastAsia="zh-CN"/>
        </w:rPr>
        <w:t>品目1-2由</w:t>
      </w:r>
      <w:r>
        <w:rPr>
          <w:rFonts w:hint="eastAsia" w:ascii="宋体" w:hAnsi="宋体" w:eastAsia="宋体" w:cs="宋体"/>
          <w:b/>
          <w:bCs/>
          <w:color w:val="auto"/>
          <w:kern w:val="2"/>
          <w:sz w:val="24"/>
          <w:szCs w:val="24"/>
          <w:highlight w:val="none"/>
          <w:lang w:val="en-US" w:eastAsia="zh-CN" w:bidi="ar-SA"/>
        </w:rPr>
        <w:t>报价人按统一的折扣率进行报价</w:t>
      </w:r>
      <w:r>
        <w:rPr>
          <w:rFonts w:hint="eastAsia" w:ascii="宋体" w:hAnsi="宋体" w:cs="宋体"/>
          <w:b/>
          <w:bCs/>
          <w:color w:val="auto"/>
          <w:kern w:val="2"/>
          <w:sz w:val="24"/>
          <w:szCs w:val="24"/>
          <w:highlight w:val="none"/>
          <w:lang w:val="en-US" w:eastAsia="zh-CN" w:bidi="ar-SA"/>
        </w:rPr>
        <w:t>，</w:t>
      </w:r>
      <w:r>
        <w:rPr>
          <w:rFonts w:hint="eastAsia" w:ascii="宋体" w:hAnsi="宋体"/>
          <w:b/>
          <w:color w:val="auto"/>
          <w:sz w:val="24"/>
          <w:highlight w:val="none"/>
        </w:rPr>
        <w:t>报价折扣不得高于100%，否则作无效报价处理</w:t>
      </w:r>
      <w:r>
        <w:rPr>
          <w:rFonts w:hint="eastAsia" w:cs="宋体"/>
          <w:b/>
          <w:bCs/>
          <w:color w:val="auto"/>
          <w:kern w:val="0"/>
          <w:sz w:val="24"/>
          <w:highlight w:val="none"/>
          <w:lang w:eastAsia="zh-CN"/>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.5报价以人民币为货币单位，应分单价、小计和总价。供应商漏报的单价或每单价报价中漏报、少报的费用，视为此项费用已隐含在总报价中，成交后不得再向采购人收取任何费用。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.6本次采购为整体采购，供应商必须对采购项目的所有内容及服务进行完整报价响应。拆分报价或不完整响应的将视为无效响应。</w:t>
      </w:r>
    </w:p>
    <w:p>
      <w:pPr>
        <w:spacing w:line="360" w:lineRule="auto"/>
        <w:ind w:firstLine="480" w:firstLineChars="200"/>
        <w:rPr>
          <w:rFonts w:ascii="宋体" w:hAnsi="宋体" w:cs="宋体"/>
          <w:color w:val="auto"/>
          <w:sz w:val="24"/>
          <w:szCs w:val="24"/>
          <w:highlight w:val="none"/>
        </w:rPr>
      </w:pPr>
      <w:bookmarkStart w:id="40" w:name="_Toc22418"/>
      <w:bookmarkStart w:id="41" w:name="_Toc24737"/>
      <w:bookmarkStart w:id="42" w:name="_Toc25706"/>
      <w:bookmarkStart w:id="43" w:name="_Toc4883"/>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.验收条件及标准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.1服务完毕后应提供工作报告，由</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验收合格后双方签字确认。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.2验收</w:t>
      </w:r>
      <w:r>
        <w:rPr>
          <w:rFonts w:hint="eastAsia" w:ascii="宋体" w:hAnsi="宋体" w:cs="宋体"/>
          <w:color w:val="auto"/>
          <w:sz w:val="24"/>
          <w:szCs w:val="24"/>
          <w:highlight w:val="none"/>
          <w:lang w:val="en-US" w:eastAsia="zh-CN"/>
        </w:rPr>
        <w:t>依据</w:t>
      </w:r>
      <w:r>
        <w:rPr>
          <w:rFonts w:hint="eastAsia" w:ascii="宋体" w:hAnsi="宋体" w:cs="宋体"/>
          <w:color w:val="auto"/>
          <w:sz w:val="24"/>
          <w:szCs w:val="24"/>
          <w:highlight w:val="none"/>
        </w:rPr>
        <w:t>：采购文件、报价文件及国家、省、市有关的标准规定，均为验收依据。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.3验收时成交供应商代表必须在场。验收合格后，成交供应商凭用户出具的验收合格书至</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根据合同规定办理付款手续。</w:t>
      </w:r>
    </w:p>
    <w:bookmarkEnd w:id="38"/>
    <w:bookmarkEnd w:id="39"/>
    <w:bookmarkEnd w:id="40"/>
    <w:bookmarkEnd w:id="41"/>
    <w:bookmarkEnd w:id="42"/>
    <w:bookmarkEnd w:id="43"/>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.合同签订</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.1成交供应商接到成交通知后，与用户单位签订的技术及服务协议和</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签订合同。磋商文件、成交供应商的响应文件及其澄清文件均作为合同订立的基础。</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.踏勘内容及要求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.1本项目采购人不组织集中现场踏勘，供应商可自行对项目现场及周围环境进行踏勘，以便获取有关编制响应文件和签署合同所涉及现场的资料。供应商应自行承担踏勘现场所发生的费用。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2供应商及其人员经过施工现场管理人员的允许，可以踏勘为目的进入采购人的项目现场，但供应商及其人员不得因此使采购人及其人员承担有关的责任和蒙受损失。供应商并应对由此次踏勘现场而造成的人员死亡、人身伤害、财产损失、损害以及任何其它损失、损害和引起的费用和开支承担责任。供应商需提供现场踏勘报告及踏勘现场情况的图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.3采购人向供应商提供的有关现场的资料和数据，是采购人现有的能被供应商利用的资料。采购人对供应商做出的理解、推论和结论均不负责任，踏勘联系人及电话：</w:t>
      </w:r>
      <w:r>
        <w:rPr>
          <w:rFonts w:hint="eastAsia" w:ascii="宋体" w:hAnsi="宋体" w:cs="仿宋"/>
          <w:color w:val="auto"/>
          <w:sz w:val="24"/>
          <w:highlight w:val="none"/>
        </w:rPr>
        <w:t>0592-</w:t>
      </w:r>
      <w:r>
        <w:rPr>
          <w:rFonts w:hint="eastAsia" w:ascii="宋体" w:hAnsi="宋体" w:cs="仿宋"/>
          <w:color w:val="auto"/>
          <w:sz w:val="24"/>
          <w:highlight w:val="none"/>
          <w:lang w:val="en-US" w:eastAsia="zh-CN"/>
        </w:rPr>
        <w:t>3586972</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.其他要求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.1本项目供应商必须对所有内容完全响应，不得拆分。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.2供应商提供的服务必须符合国家相关标准或规范要求。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.3供应商应根据磋商文件要求在响应文件中进行逐项响应，并在响应文件中提供供应商情况介绍、服务质量保证体系、相关管理制度文件、专业技术力量配备等材料，以便磋商小组对供应商有更多的了解和认识。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.4供应商须承担本项目项下知识产权保护及保密义务, 未经采购人许可不得将因本次项目获得的信息向第三方外传。具体要求如下：</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4.1供应商须保障采购人在使用该项目工作成果或其任何一部分时不受到第三方关于侵犯知识产权的指控。如果任何第三方提出侵权指控与采购人无关，供应商须与第三方交涉并承担可能发生的责任与一切费用。如采购人因此而遭致损失的，成交供应商应赔偿该损失。</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.4.2本项目所有涉及到的工作成果的知识产权归采购人所有，成交供应商在交付工作成果时，必须移交全部资料，并提供销毁报告。</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.5供应商应提供报价一览表(汇总报价表)与分项明细报价表。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.6供应商应提供从事类似服务管理的主要管理人员应具备相关从业资格证书。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.7供应商提供的管理方案和人员配备方案必须满足采购人的实际需求，在工作内容和工作量不变的情况下，采购人不再支付因响应方案不完整而引起的费用。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.8本服务项目的成员如因违法、犯罪、伤病丧失工作能力等确属不能履行职责需要更换人员，所更换人员的资格、业绩和信誉不得低于成交时所承诺的条件，且必须经过采购人的同意。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.9供应商应当按照合同约定履行义务，完成成交项目的劳务服务工作，不得将劳务服务项目委托（转包）给他人，一经发现，采购人有权立即终止合同。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.10采购项目相关内容及要求中所述的服务内容为最低要求标准，成交供应商应视具体情况随时增加服务次数。</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.11采购项目相关内容及要求中的各项服务内容未明确具体人员配备情况的，供应商应根据采购人具体情况安排相关人员。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12供应商应根据本项目的特点，提供切实可行的管理方案、人员配备情况、人员培训计划、确保人员相对稳定的措施，并承诺其方案将根据采购人的实际需要进行完善和补充，在工作内容不改变的情况下不得追加任何费用，供应商在响应文件中应做出书面承诺。</w:t>
      </w:r>
    </w:p>
    <w:p>
      <w:pPr>
        <w:pStyle w:val="8"/>
        <w:numPr>
          <w:ilvl w:val="0"/>
          <w:numId w:val="0"/>
        </w:numPr>
        <w:spacing w:after="0"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lang w:val="en-US" w:eastAsia="zh-CN"/>
        </w:rPr>
        <w:t>10.资格要求</w:t>
      </w:r>
    </w:p>
    <w:p>
      <w:pPr>
        <w:snapToGrid w:val="0"/>
        <w:spacing w:line="360" w:lineRule="auto"/>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10</w:t>
      </w:r>
      <w:r>
        <w:rPr>
          <w:rFonts w:hint="eastAsia" w:ascii="宋体" w:hAnsi="宋体" w:cs="宋体"/>
          <w:b/>
          <w:bCs/>
          <w:color w:val="auto"/>
          <w:sz w:val="24"/>
          <w:szCs w:val="24"/>
          <w:highlight w:val="none"/>
        </w:rPr>
        <w:t>.1</w:t>
      </w:r>
      <w:r>
        <w:rPr>
          <w:rFonts w:hint="eastAsia" w:ascii="宋体" w:hAnsi="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p>
      <w:pPr>
        <w:spacing w:before="0" w:after="0" w:line="360" w:lineRule="auto"/>
        <w:ind w:left="0" w:firstLine="482" w:firstLineChars="200"/>
        <w:outlineLvl w:val="9"/>
        <w:rPr>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.2报价人全权代表若不是单位负责人，应提供单位授权书原件，并提供被授权代表身份证复印件。</w:t>
      </w:r>
    </w:p>
    <w:p>
      <w:pPr>
        <w:pStyle w:val="8"/>
        <w:numPr>
          <w:ilvl w:val="0"/>
          <w:numId w:val="0"/>
        </w:numPr>
        <w:spacing w:after="0" w:line="360" w:lineRule="auto"/>
        <w:ind w:firstLine="480" w:firstLineChars="200"/>
        <w:rPr>
          <w:rFonts w:ascii="宋体" w:hAnsi="宋体" w:cs="宋体"/>
          <w:color w:val="auto"/>
          <w:sz w:val="24"/>
          <w:highlight w:val="none"/>
        </w:rPr>
      </w:pPr>
    </w:p>
    <w:p>
      <w:pPr>
        <w:pStyle w:val="4"/>
        <w:spacing w:before="0" w:after="0" w:line="360" w:lineRule="auto"/>
        <w:rPr>
          <w:rFonts w:ascii="宋体" w:hAnsi="宋体" w:eastAsia="宋体" w:cs="宋体"/>
          <w:bCs w:val="0"/>
          <w:color w:val="auto"/>
          <w:sz w:val="24"/>
          <w:szCs w:val="24"/>
          <w:highlight w:val="none"/>
        </w:rPr>
      </w:pPr>
      <w:bookmarkStart w:id="44" w:name="_Toc24538"/>
      <w:bookmarkStart w:id="45" w:name="_Toc13390"/>
      <w:r>
        <w:rPr>
          <w:rFonts w:hint="eastAsia" w:ascii="宋体" w:hAnsi="宋体" w:eastAsia="宋体" w:cs="宋体"/>
          <w:bCs w:val="0"/>
          <w:color w:val="auto"/>
          <w:sz w:val="24"/>
          <w:szCs w:val="24"/>
          <w:highlight w:val="none"/>
        </w:rPr>
        <w:t>四、其他事项</w:t>
      </w:r>
      <w:bookmarkEnd w:id="44"/>
      <w:bookmarkEnd w:id="45"/>
    </w:p>
    <w:p>
      <w:pPr>
        <w:widowControl/>
        <w:spacing w:line="360" w:lineRule="auto"/>
        <w:ind w:firstLine="480" w:firstLineChars="200"/>
        <w:jc w:val="left"/>
        <w:rPr>
          <w:rFonts w:ascii="宋体" w:hAnsi="宋体"/>
          <w:color w:val="auto"/>
          <w:kern w:val="0"/>
          <w:sz w:val="24"/>
          <w:highlight w:val="none"/>
        </w:rPr>
      </w:pPr>
      <w:r>
        <w:rPr>
          <w:rFonts w:hint="eastAsia" w:ascii="宋体" w:hAnsi="宋体" w:cs="宋体"/>
          <w:color w:val="auto"/>
          <w:kern w:val="0"/>
          <w:sz w:val="24"/>
          <w:szCs w:val="24"/>
          <w:highlight w:val="none"/>
        </w:rPr>
        <w:t>1.除磋商文件另有规定外，若出现有关法律、法规和规章有强制性规定但磋商文件未列明的情形，则供应商应按照有关法律、法规和规章强制性规定执行</w:t>
      </w:r>
      <w:r>
        <w:rPr>
          <w:rFonts w:hint="eastAsia" w:ascii="宋体" w:hAnsi="宋体"/>
          <w:color w:val="auto"/>
          <w:kern w:val="0"/>
          <w:sz w:val="24"/>
          <w:highlight w:val="none"/>
        </w:rPr>
        <w:t>。</w:t>
      </w:r>
    </w:p>
    <w:p>
      <w:pPr>
        <w:tabs>
          <w:tab w:val="left" w:pos="5130"/>
        </w:tabs>
        <w:spacing w:line="360" w:lineRule="auto"/>
        <w:ind w:firstLine="480" w:firstLineChars="200"/>
        <w:rPr>
          <w:rFonts w:hint="eastAsia" w:ascii="宋体" w:hAnsi="宋体" w:eastAsia="宋体" w:cs="宋体"/>
          <w:b/>
          <w:color w:val="auto"/>
          <w:sz w:val="24"/>
          <w:szCs w:val="24"/>
          <w:highlight w:val="none"/>
        </w:rPr>
        <w:sectPr>
          <w:pgSz w:w="11906" w:h="16838"/>
          <w:pgMar w:top="1440" w:right="1797" w:bottom="1440" w:left="1797" w:header="851" w:footer="992" w:gutter="0"/>
          <w:cols w:space="720" w:num="1"/>
          <w:docGrid w:linePitch="312" w:charSpace="0"/>
        </w:sect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kern w:val="0"/>
          <w:sz w:val="24"/>
          <w:highlight w:val="none"/>
          <w:lang w:val="en-US" w:eastAsia="zh-CN"/>
        </w:rPr>
        <w:t>供应商报价时</w:t>
      </w:r>
      <w:r>
        <w:rPr>
          <w:rFonts w:hint="eastAsia" w:ascii="宋体" w:hAnsi="宋体" w:eastAsia="宋体" w:cs="宋体"/>
          <w:b w:val="0"/>
          <w:bCs w:val="0"/>
          <w:color w:val="auto"/>
          <w:kern w:val="0"/>
          <w:sz w:val="24"/>
          <w:highlight w:val="none"/>
        </w:rPr>
        <w:t>需随纸质报价文件递交完整的电子版报价文件（加盖</w:t>
      </w:r>
      <w:r>
        <w:rPr>
          <w:rFonts w:hint="eastAsia" w:ascii="宋体" w:hAnsi="宋体" w:eastAsia="宋体" w:cs="宋体"/>
          <w:b w:val="0"/>
          <w:bCs w:val="0"/>
          <w:color w:val="auto"/>
          <w:kern w:val="0"/>
          <w:sz w:val="24"/>
          <w:highlight w:val="none"/>
          <w:lang w:val="en-US" w:eastAsia="zh-CN"/>
        </w:rPr>
        <w:t>供应商</w:t>
      </w:r>
      <w:r>
        <w:rPr>
          <w:rFonts w:hint="eastAsia" w:ascii="宋体" w:hAnsi="宋体" w:eastAsia="宋体" w:cs="宋体"/>
          <w:b w:val="0"/>
          <w:bCs w:val="0"/>
          <w:color w:val="auto"/>
          <w:kern w:val="0"/>
          <w:sz w:val="24"/>
          <w:highlight w:val="none"/>
        </w:rPr>
        <w:t>公章的PDF版）</w:t>
      </w:r>
      <w:r>
        <w:rPr>
          <w:rFonts w:hint="eastAsia" w:ascii="宋体" w:hAnsi="宋体" w:eastAsia="宋体" w:cs="宋体"/>
          <w:b w:val="0"/>
          <w:bCs w:val="0"/>
          <w:color w:val="auto"/>
          <w:kern w:val="0"/>
          <w:sz w:val="24"/>
          <w:highlight w:val="none"/>
          <w:lang w:val="en-US" w:eastAsia="zh-CN"/>
        </w:rPr>
        <w:t>两</w:t>
      </w:r>
      <w:r>
        <w:rPr>
          <w:rFonts w:hint="eastAsia" w:ascii="宋体" w:hAnsi="宋体" w:eastAsia="宋体" w:cs="宋体"/>
          <w:b w:val="0"/>
          <w:bCs w:val="0"/>
          <w:color w:val="auto"/>
          <w:kern w:val="0"/>
          <w:sz w:val="24"/>
          <w:highlight w:val="none"/>
        </w:rPr>
        <w:t>份，以U盘或光盘形式提交。</w:t>
      </w:r>
    </w:p>
    <w:p>
      <w:pPr>
        <w:spacing w:line="360" w:lineRule="auto"/>
        <w:jc w:val="center"/>
        <w:outlineLvl w:val="0"/>
        <w:rPr>
          <w:rFonts w:hint="eastAsia" w:ascii="宋体" w:hAnsi="宋体" w:eastAsia="宋体" w:cs="宋体"/>
          <w:b/>
          <w:color w:val="auto"/>
          <w:sz w:val="24"/>
          <w:szCs w:val="24"/>
          <w:highlight w:val="none"/>
        </w:rPr>
      </w:pPr>
      <w:bookmarkStart w:id="46" w:name="_Toc28998"/>
      <w:bookmarkStart w:id="47" w:name="_Toc268599010"/>
      <w:r>
        <w:rPr>
          <w:rFonts w:hint="eastAsia" w:ascii="宋体" w:hAnsi="宋体" w:eastAsia="宋体" w:cs="宋体"/>
          <w:b/>
          <w:bCs/>
          <w:color w:val="auto"/>
          <w:sz w:val="32"/>
          <w:szCs w:val="32"/>
          <w:highlight w:val="none"/>
        </w:rPr>
        <w:t>第四章</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color w:val="auto"/>
          <w:sz w:val="32"/>
          <w:szCs w:val="32"/>
          <w:highlight w:val="none"/>
        </w:rPr>
        <w:t>政府采购合同</w:t>
      </w:r>
      <w:bookmarkEnd w:id="46"/>
    </w:p>
    <w:tbl>
      <w:tblPr>
        <w:tblStyle w:val="2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2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w:t>
            </w:r>
          </w:p>
        </w:tc>
      </w:tr>
    </w:tbl>
    <w:p>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合同号：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乙方（成交供应商）：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u w:val="single"/>
        </w:rPr>
        <w:t xml:space="preserve">     年   月   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根据甲方委托</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）的采购结果，乙方为成交供应商，现依照采购文件、</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报价文件及有关法律、法规、规章规定的内容，双方达成如下协议：</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一、合同标的和合同价格</w:t>
      </w:r>
    </w:p>
    <w:tbl>
      <w:tblPr>
        <w:tblStyle w:val="24"/>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二、乙方应按下列要求完成服务工作：</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1.服务地点：</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2.服务进度：</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3.服务质量要求：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4.服务期限要求：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三、为保证乙方有效进行服务工作，甲方应当向乙方提供下列工作条件和协作事项：</w:t>
      </w:r>
    </w:p>
    <w:p>
      <w:pPr>
        <w:spacing w:line="360" w:lineRule="auto"/>
        <w:ind w:right="-21" w:rightChars="-10" w:firstLine="500" w:firstLineChars="250"/>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1. 提供技术资料：</w:t>
      </w:r>
      <w:r>
        <w:rPr>
          <w:rFonts w:hint="eastAsia" w:ascii="宋体" w:hAnsi="宋体" w:eastAsia="宋体" w:cs="宋体"/>
          <w:color w:val="auto"/>
          <w:spacing w:val="-20"/>
          <w:sz w:val="24"/>
          <w:szCs w:val="24"/>
          <w:highlight w:val="none"/>
        </w:rPr>
        <w:cr/>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（3）</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 提供工作条件：</w:t>
      </w:r>
    </w:p>
    <w:p>
      <w:pPr>
        <w:spacing w:line="360" w:lineRule="auto"/>
        <w:ind w:right="-21" w:rightChars="-1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（3）</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p>
    <w:p>
      <w:pPr>
        <w:spacing w:line="360" w:lineRule="auto"/>
        <w:ind w:right="-21" w:rightChars="-10" w:firstLine="480" w:firstLineChars="20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3. 其他：</w:t>
      </w:r>
      <w:r>
        <w:rPr>
          <w:rFonts w:hint="eastAsia" w:ascii="宋体" w:hAnsi="宋体" w:eastAsia="宋体" w:cs="宋体"/>
          <w:color w:val="auto"/>
          <w:spacing w:val="-20"/>
          <w:sz w:val="24"/>
          <w:szCs w:val="24"/>
          <w:highlight w:val="none"/>
          <w:u w:val="single"/>
        </w:rPr>
        <w:t xml:space="preserve">                                                                              </w:t>
      </w:r>
    </w:p>
    <w:p>
      <w:pPr>
        <w:spacing w:line="360" w:lineRule="auto"/>
        <w:ind w:right="-21" w:rightChars="-1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 甲方提供上述工作条件和协作事项的时间及方式：</w:t>
      </w:r>
      <w:r>
        <w:rPr>
          <w:rFonts w:hint="eastAsia" w:ascii="宋体" w:hAnsi="宋体" w:eastAsia="宋体" w:cs="宋体"/>
          <w:color w:val="auto"/>
          <w:spacing w:val="-20"/>
          <w:sz w:val="24"/>
          <w:szCs w:val="24"/>
          <w:highlight w:val="none"/>
          <w:u w:val="single"/>
        </w:rPr>
        <w:t xml:space="preserve">                        </w:t>
      </w:r>
    </w:p>
    <w:p>
      <w:pPr>
        <w:spacing w:line="360" w:lineRule="auto"/>
        <w:ind w:right="-21" w:rightChars="-1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 甲方向乙方支付服务报酬及支付方式为:</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1.本合同价款为固定总价价款，项目结算时除合同另有约定外均不予调整。本合同价款为</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2.服务费由甲方分期支付给乙方。</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五、本合同的变更必须由双方协商一致，并以书面形式确定。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双方确定以下列标准和方式对乙方的服务工作成果进行验收：</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1、乙方完成服务工作的形式：</w:t>
      </w:r>
    </w:p>
    <w:p>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2、服务工作成果的验收标准：</w:t>
      </w:r>
      <w:r>
        <w:rPr>
          <w:rFonts w:hint="eastAsia" w:ascii="宋体" w:hAnsi="宋体" w:eastAsia="宋体" w:cs="宋体"/>
          <w:color w:val="auto"/>
          <w:sz w:val="24"/>
          <w:szCs w:val="24"/>
          <w:highlight w:val="none"/>
          <w:u w:val="single"/>
        </w:rPr>
        <w:t xml:space="preserve">  国家、地方和行业现行有关技术规范、标准、设计要求以及甲方有关指令。 </w:t>
      </w:r>
      <w:r>
        <w:rPr>
          <w:rFonts w:hint="eastAsia" w:ascii="宋体" w:hAnsi="宋体" w:eastAsia="宋体" w:cs="宋体"/>
          <w:color w:val="auto"/>
          <w:sz w:val="24"/>
          <w:szCs w:val="24"/>
          <w:highlight w:val="none"/>
        </w:rPr>
        <w:t xml:space="preserve"> </w:t>
      </w:r>
    </w:p>
    <w:p>
      <w:pPr>
        <w:spacing w:line="360" w:lineRule="auto"/>
        <w:ind w:firstLine="460" w:firstLineChars="19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3、服务工作成果的验收方法：</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4、在本合同有效期或约定的服务期内，乙方在接到甲方故障通知后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小时内应委派专业技术人员到现场免费提供咨询等服务。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七、双方确定，按以下约定承担各自的违约责任：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八、双方确定，在本协议有效期内，甲方指定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九、双方因履行本合同或与本合同有关一切事项而发生的争议，应协商解决。协商不成的，确定按以下第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仲裁委员会仲裁;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2.依法向项目所在地人民法院提出诉讼。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十、本合同一式</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份，送采购代理机构备份一份，具有同等法律效力.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十一、本合同经双方签字盖章后生效，有关权利义务全部履结后自动失效。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十二、补充条款。</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1.甲方编发的采购文件和乙方的报价文件（含修正和补充文件）以及相关的澄清确认函件（如有）均为本合同组成文件。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2.乙方的项目组成员和经批准的技术工作方案的任何调整均必须事先获得甲方的书面批准，否则按照违约事件处理。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3.乙方的履约保函等合同文件必须与本合同的签订同步提交。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5.本合同未尽事宜，双方另行补充。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bookmarkEnd w:id="47"/>
      <w:bookmarkStart w:id="48" w:name="_Toc268599011"/>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b/>
          <w:bCs/>
          <w:color w:val="auto"/>
          <w:sz w:val="32"/>
          <w:szCs w:val="32"/>
          <w:highlight w:val="none"/>
        </w:rPr>
      </w:pPr>
    </w:p>
    <w:p>
      <w:pPr>
        <w:spacing w:line="360" w:lineRule="auto"/>
        <w:jc w:val="center"/>
        <w:outlineLvl w:val="9"/>
        <w:rPr>
          <w:rFonts w:hint="eastAsia" w:ascii="宋体" w:hAnsi="宋体" w:eastAsia="宋体" w:cs="宋体"/>
          <w:b/>
          <w:bCs/>
          <w:color w:val="auto"/>
          <w:sz w:val="32"/>
          <w:szCs w:val="32"/>
          <w:highlight w:val="none"/>
        </w:rPr>
      </w:pPr>
    </w:p>
    <w:p>
      <w:pPr>
        <w:spacing w:line="360" w:lineRule="auto"/>
        <w:jc w:val="center"/>
        <w:outlineLvl w:val="9"/>
        <w:rPr>
          <w:rFonts w:hint="eastAsia" w:ascii="宋体" w:hAnsi="宋体" w:eastAsia="宋体" w:cs="宋体"/>
          <w:b/>
          <w:bCs/>
          <w:color w:val="auto"/>
          <w:sz w:val="32"/>
          <w:szCs w:val="32"/>
          <w:highlight w:val="none"/>
        </w:rPr>
      </w:pPr>
    </w:p>
    <w:p>
      <w:pPr>
        <w:spacing w:line="360" w:lineRule="auto"/>
        <w:jc w:val="center"/>
        <w:outlineLvl w:val="9"/>
        <w:rPr>
          <w:rFonts w:hint="eastAsia" w:ascii="宋体" w:hAnsi="宋体" w:eastAsia="宋体" w:cs="宋体"/>
          <w:b/>
          <w:bCs/>
          <w:color w:val="auto"/>
          <w:sz w:val="32"/>
          <w:szCs w:val="32"/>
          <w:highlight w:val="none"/>
        </w:rPr>
      </w:pPr>
    </w:p>
    <w:p>
      <w:pPr>
        <w:spacing w:line="360" w:lineRule="auto"/>
        <w:jc w:val="center"/>
        <w:outlineLvl w:val="9"/>
        <w:rPr>
          <w:rFonts w:hint="eastAsia" w:ascii="宋体" w:hAnsi="宋体" w:eastAsia="宋体" w:cs="宋体"/>
          <w:b/>
          <w:bCs/>
          <w:color w:val="auto"/>
          <w:sz w:val="32"/>
          <w:szCs w:val="32"/>
          <w:highlight w:val="none"/>
        </w:rPr>
      </w:pPr>
    </w:p>
    <w:p>
      <w:pPr>
        <w:spacing w:line="360" w:lineRule="auto"/>
        <w:jc w:val="center"/>
        <w:outlineLvl w:val="0"/>
        <w:rPr>
          <w:rFonts w:hint="eastAsia" w:ascii="宋体" w:hAnsi="宋体" w:eastAsia="宋体" w:cs="宋体"/>
          <w:b/>
          <w:bCs/>
          <w:color w:val="auto"/>
          <w:sz w:val="24"/>
          <w:szCs w:val="24"/>
          <w:highlight w:val="none"/>
        </w:rPr>
      </w:pPr>
      <w:bookmarkStart w:id="49" w:name="_Toc24630"/>
      <w:r>
        <w:rPr>
          <w:rFonts w:hint="eastAsia" w:ascii="宋体" w:hAnsi="宋体" w:eastAsia="宋体" w:cs="宋体"/>
          <w:b/>
          <w:bCs/>
          <w:color w:val="auto"/>
          <w:sz w:val="32"/>
          <w:szCs w:val="32"/>
          <w:highlight w:val="none"/>
        </w:rPr>
        <w:t>第五章</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报价文件格式</w:t>
      </w:r>
      <w:bookmarkEnd w:id="48"/>
      <w:bookmarkEnd w:id="49"/>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w:t>
            </w:r>
          </w:p>
        </w:tc>
      </w:tr>
    </w:tbl>
    <w:p>
      <w:pPr>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政府采购项目</w:t>
      </w: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pPr>
        <w:spacing w:line="360" w:lineRule="auto"/>
        <w:rPr>
          <w:rFonts w:hint="eastAsia" w:ascii="宋体" w:hAnsi="宋体"/>
          <w:b/>
          <w:color w:val="auto"/>
          <w:sz w:val="36"/>
          <w:highlight w:val="none"/>
        </w:rPr>
      </w:pPr>
    </w:p>
    <w:p>
      <w:pPr>
        <w:spacing w:line="360" w:lineRule="auto"/>
        <w:jc w:val="center"/>
        <w:rPr>
          <w:rFonts w:hint="eastAsia" w:ascii="宋体" w:hAnsi="宋体"/>
          <w:b/>
          <w:color w:val="auto"/>
          <w:sz w:val="36"/>
          <w:highlight w:val="none"/>
        </w:rPr>
      </w:pPr>
    </w:p>
    <w:p>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pPr>
        <w:spacing w:line="360" w:lineRule="auto"/>
        <w:rPr>
          <w:rFonts w:hint="eastAsia" w:ascii="宋体" w:hAnsi="宋体"/>
          <w:b/>
          <w:color w:val="auto"/>
          <w:sz w:val="36"/>
          <w:highlight w:val="none"/>
        </w:rPr>
      </w:pPr>
    </w:p>
    <w:p>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p>
    <w:p>
      <w:pPr>
        <w:spacing w:line="360" w:lineRule="auto"/>
        <w:rPr>
          <w:rFonts w:hint="eastAsia" w:ascii="宋体" w:hAnsi="宋体"/>
          <w:b/>
          <w:color w:val="auto"/>
          <w:sz w:val="36"/>
          <w:highlight w:val="none"/>
        </w:rPr>
      </w:pPr>
    </w:p>
    <w:p>
      <w:pPr>
        <w:spacing w:line="360" w:lineRule="auto"/>
        <w:rPr>
          <w:rFonts w:hint="eastAsia" w:ascii="宋体" w:hAnsi="宋体"/>
          <w:b/>
          <w:color w:val="auto"/>
          <w:sz w:val="36"/>
          <w:highlight w:val="none"/>
        </w:rPr>
      </w:pPr>
    </w:p>
    <w:p>
      <w:pPr>
        <w:spacing w:line="360" w:lineRule="auto"/>
        <w:rPr>
          <w:rFonts w:hint="eastAsia" w:ascii="宋体" w:hAnsi="宋体"/>
          <w:b/>
          <w:color w:val="auto"/>
          <w:sz w:val="36"/>
          <w:highlight w:val="none"/>
        </w:rPr>
      </w:pPr>
    </w:p>
    <w:p>
      <w:pPr>
        <w:spacing w:line="360" w:lineRule="auto"/>
        <w:rPr>
          <w:rFonts w:hint="eastAsia" w:ascii="宋体" w:hAnsi="宋体"/>
          <w:b/>
          <w:color w:val="auto"/>
          <w:sz w:val="36"/>
          <w:highlight w:val="none"/>
        </w:rPr>
      </w:pPr>
    </w:p>
    <w:p>
      <w:pPr>
        <w:spacing w:line="360" w:lineRule="auto"/>
        <w:rPr>
          <w:rFonts w:hint="eastAsia" w:ascii="宋体" w:hAnsi="宋体"/>
          <w:b/>
          <w:color w:val="auto"/>
          <w:sz w:val="36"/>
          <w:highlight w:val="none"/>
        </w:rPr>
      </w:pPr>
    </w:p>
    <w:p>
      <w:pPr>
        <w:pStyle w:val="6"/>
        <w:snapToGrid w:val="0"/>
        <w:spacing w:line="360" w:lineRule="auto"/>
        <w:ind w:firstLine="0"/>
        <w:jc w:val="center"/>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磋商响应声明函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磋商分项报价表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范围清单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报价人的资格证明文件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单位营业执照、税务登记证（或统一社会信用代码）</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磋商响应声明函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厦门万翔招标有限公司</w:t>
      </w:r>
      <w:r>
        <w:rPr>
          <w:rFonts w:hint="eastAsia" w:ascii="宋体" w:hAnsi="宋体" w:eastAsia="宋体" w:cs="宋体"/>
          <w:bCs/>
          <w:color w:val="auto"/>
          <w:sz w:val="24"/>
          <w:szCs w:val="24"/>
          <w:highlight w:val="none"/>
        </w:rPr>
        <w:t>：</w:t>
      </w:r>
    </w:p>
    <w:p>
      <w:pPr>
        <w:pStyle w:val="8"/>
        <w:spacing w:after="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项目政府采购的磋商邀请，本签字代表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提交下述文件正本一份和副本</w:t>
      </w:r>
      <w:r>
        <w:rPr>
          <w:rFonts w:hint="eastAsia" w:ascii="宋体" w:hAnsi="宋体" w:eastAsia="宋体" w:cs="宋体"/>
          <w:bCs/>
          <w:color w:val="auto"/>
          <w:sz w:val="24"/>
          <w:szCs w:val="24"/>
          <w:highlight w:val="none"/>
          <w:u w:val="single"/>
        </w:rPr>
        <w:t xml:space="preserve">  四 </w:t>
      </w:r>
      <w:r>
        <w:rPr>
          <w:rFonts w:hint="eastAsia" w:ascii="宋体" w:hAnsi="宋体" w:eastAsia="宋体" w:cs="宋体"/>
          <w:bCs/>
          <w:color w:val="auto"/>
          <w:sz w:val="24"/>
          <w:szCs w:val="24"/>
          <w:highlight w:val="none"/>
        </w:rPr>
        <w:t>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1.报价一览表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2.磋商分项报价表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3.服务说明一览表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4.范围清单</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5.技术规格和商务偏离表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6.报价人资格证明文件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元的磋商保证金。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所附详细报价表中规定的应提供和交付的服务报价价为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（3）报价人将按采购文件的规定履行合同责任和义务，在被确定为</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报价人将按采购文件的规定履行合同责任和义务。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（5）本报价文件报价有效期：在采购文件报价人须知前附表所规定的期限内保持有效。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（6）如果发生采购文件第二章报价人须知第12条所述情况，则同意采购代理机构不予退还磋商保证金。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（7）报价人同意按照采购单位要求提供与其磋商响应有关的一切数据或资料，完全理解贵方不一定要接受最低的报价或收到的任何磋商响应。</w:t>
      </w:r>
    </w:p>
    <w:p>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（8）与本磋商响应有关的一切正式往来通讯请寄：</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报价人代表签字：</w:t>
      </w:r>
      <w:r>
        <w:rPr>
          <w:rFonts w:hint="eastAsia" w:ascii="宋体" w:hAnsi="宋体" w:eastAsia="宋体" w:cs="宋体"/>
          <w:bCs/>
          <w:color w:val="auto"/>
          <w:sz w:val="24"/>
          <w:szCs w:val="24"/>
          <w:highlight w:val="none"/>
          <w:u w:val="single"/>
        </w:rPr>
        <w:t>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jc w:val="righ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pPr>
        <w:spacing w:line="360" w:lineRule="auto"/>
        <w:rPr>
          <w:rFonts w:hint="eastAsia" w:ascii="宋体" w:hAnsi="宋体" w:eastAsia="宋体" w:cs="宋体"/>
          <w:bCs/>
          <w:color w:val="auto"/>
          <w:sz w:val="24"/>
          <w:szCs w:val="24"/>
          <w:highlight w:val="none"/>
          <w:u w:val="single"/>
        </w:rPr>
      </w:pPr>
    </w:p>
    <w:p>
      <w:pPr>
        <w:spacing w:line="360" w:lineRule="auto"/>
        <w:rPr>
          <w:rFonts w:hint="eastAsia" w:ascii="宋体" w:hAnsi="宋体" w:eastAsia="宋体" w:cs="宋体"/>
          <w:bCs/>
          <w:color w:val="auto"/>
          <w:sz w:val="24"/>
          <w:szCs w:val="24"/>
          <w:highlight w:val="none"/>
          <w:u w:val="singl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pStyle w:val="67"/>
        <w:spacing w:line="360" w:lineRule="auto"/>
        <w:jc w:val="left"/>
        <w:rPr>
          <w:rFonts w:hint="eastAsia" w:hAnsi="宋体" w:eastAsia="宋体" w:cs="宋体"/>
          <w:color w:val="auto"/>
          <w:sz w:val="24"/>
          <w:szCs w:val="24"/>
          <w:highlight w:val="none"/>
        </w:rPr>
        <w:sectPr>
          <w:pgSz w:w="11906" w:h="16838"/>
          <w:pgMar w:top="1440" w:right="1797" w:bottom="1440" w:left="1797" w:header="851" w:footer="992" w:gutter="0"/>
          <w:cols w:space="720" w:num="1"/>
          <w:docGrid w:linePitch="312" w:charSpace="0"/>
        </w:sectPr>
      </w:pPr>
    </w:p>
    <w:p>
      <w:pPr>
        <w:pStyle w:val="67"/>
        <w:spacing w:line="360" w:lineRule="auto"/>
        <w:jc w:val="center"/>
        <w:rPr>
          <w:rFonts w:hint="eastAsia" w:hAnsi="宋体" w:eastAsia="宋体" w:cs="宋体"/>
          <w:b/>
          <w:color w:val="auto"/>
          <w:sz w:val="24"/>
          <w:szCs w:val="24"/>
          <w:highlight w:val="none"/>
        </w:rPr>
      </w:pPr>
      <w:bookmarkStart w:id="50" w:name="_Toc19912"/>
      <w:r>
        <w:rPr>
          <w:rFonts w:hint="eastAsia" w:hAnsi="宋体" w:eastAsia="宋体" w:cs="宋体"/>
          <w:b/>
          <w:color w:val="auto"/>
          <w:sz w:val="32"/>
          <w:szCs w:val="32"/>
          <w:highlight w:val="none"/>
        </w:rPr>
        <w:t>报价一览表</w:t>
      </w:r>
      <w:bookmarkEnd w:id="50"/>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               采购项目编号∶                       货币单位：</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606"/>
        <w:gridCol w:w="850"/>
        <w:gridCol w:w="1843"/>
        <w:gridCol w:w="2994"/>
        <w:gridCol w:w="1542"/>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信息化和安防维保服务</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维保期间涉及到打印机配件、耗材</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统一报价折扣率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服务范围</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服务要求</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服务标准</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注：1.此表正本与报价文件正本和磋商保证金凭证复印件一同装在一单独的信封内密封。</w:t>
      </w:r>
    </w:p>
    <w:p>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2.详细报价清单应另纸详列，且标明所报各种服务的数量和金额。       </w:t>
      </w:r>
    </w:p>
    <w:p>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sectPr>
          <w:footerReference r:id="rId8" w:type="default"/>
          <w:pgSz w:w="16838" w:h="11906" w:orient="landscape"/>
          <w:pgMar w:top="1797" w:right="1440" w:bottom="1797" w:left="1440" w:header="851" w:footer="992" w:gutter="0"/>
          <w:cols w:space="720" w:num="1"/>
          <w:docGrid w:linePitch="312" w:charSpace="0"/>
        </w:sectPr>
      </w:pPr>
    </w:p>
    <w:p>
      <w:pPr>
        <w:spacing w:line="360" w:lineRule="auto"/>
        <w:ind w:firstLine="2168" w:firstLineChars="900"/>
        <w:rPr>
          <w:rFonts w:hint="eastAsia" w:ascii="宋体" w:hAnsi="宋体" w:eastAsia="宋体" w:cs="宋体"/>
          <w:b/>
          <w:color w:val="auto"/>
          <w:sz w:val="24"/>
          <w:szCs w:val="24"/>
          <w:highlight w:val="none"/>
        </w:rPr>
      </w:pPr>
    </w:p>
    <w:p>
      <w:pPr>
        <w:spacing w:line="360" w:lineRule="auto"/>
        <w:ind w:firstLine="2891" w:firstLineChars="900"/>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磋商分项报价表（格式）</w:t>
      </w:r>
    </w:p>
    <w:p>
      <w:pPr>
        <w:pStyle w:val="11"/>
        <w:spacing w:line="360" w:lineRule="auto"/>
        <w:jc w:val="left"/>
        <w:rPr>
          <w:rFonts w:hint="eastAsia" w:hAnsi="宋体" w:eastAsia="宋体" w:cs="宋体"/>
          <w:color w:val="auto"/>
          <w:sz w:val="24"/>
          <w:szCs w:val="24"/>
          <w:highlight w:val="none"/>
        </w:rPr>
      </w:pP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Cs/>
          <w:color w:val="auto"/>
          <w:sz w:val="24"/>
          <w:szCs w:val="24"/>
          <w:highlight w:val="none"/>
        </w:rPr>
        <w:t>报价人名称：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tbl>
      <w:tblPr>
        <w:tblStyle w:val="2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服务合同包</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服务名称</w:t>
            </w:r>
          </w:p>
          <w:p>
            <w:pPr>
              <w:spacing w:line="360" w:lineRule="auto"/>
              <w:rPr>
                <w:rFonts w:hint="eastAsia" w:ascii="宋体" w:hAnsi="宋体" w:eastAsia="宋体" w:cs="宋体"/>
                <w:bCs/>
                <w:color w:val="auto"/>
                <w:sz w:val="24"/>
                <w:szCs w:val="24"/>
                <w:highlight w:val="none"/>
              </w:rPr>
            </w:pP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服务商(全称)</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技术服务费</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检验培训费</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保险</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报价总价计算方式</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Merge w:val="restart"/>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1902" w:type="dxa"/>
            <w:vMerge w:val="restart"/>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w:t>
            </w:r>
          </w:p>
        </w:tc>
        <w:tc>
          <w:tcPr>
            <w:tcW w:w="2076"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信息化和安防维保服务：</w:t>
            </w: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Merge w:val="continue"/>
            <w:noWrap w:val="0"/>
            <w:vAlign w:val="center"/>
          </w:tcPr>
          <w:p>
            <w:pPr>
              <w:spacing w:line="360" w:lineRule="auto"/>
              <w:rPr>
                <w:rFonts w:hint="eastAsia" w:ascii="宋体" w:hAnsi="宋体" w:eastAsia="宋体" w:cs="宋体"/>
                <w:bCs/>
                <w:color w:val="auto"/>
                <w:sz w:val="24"/>
                <w:szCs w:val="24"/>
                <w:highlight w:val="none"/>
              </w:rPr>
            </w:pPr>
          </w:p>
        </w:tc>
        <w:tc>
          <w:tcPr>
            <w:tcW w:w="1902" w:type="dxa"/>
            <w:vMerge w:val="continue"/>
            <w:noWrap w:val="0"/>
            <w:vAlign w:val="center"/>
          </w:tcPr>
          <w:p>
            <w:pPr>
              <w:spacing w:line="360" w:lineRule="auto"/>
              <w:rPr>
                <w:rFonts w:hint="eastAsia" w:ascii="宋体" w:hAnsi="宋体" w:eastAsia="宋体" w:cs="宋体"/>
                <w:bCs/>
                <w:color w:val="auto"/>
                <w:sz w:val="24"/>
                <w:szCs w:val="24"/>
                <w:highlight w:val="none"/>
              </w:rPr>
            </w:pPr>
          </w:p>
        </w:tc>
        <w:tc>
          <w:tcPr>
            <w:tcW w:w="2076" w:type="dxa"/>
            <w:noWrap w:val="0"/>
            <w:vAlign w:val="center"/>
          </w:tcPr>
          <w:p>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rPr>
              <w:t>维保期间涉及到打印机配件、耗材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服务期</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注：1.第1栏服务合同包/品目号系指“采购服务一览表”中该服务的合同包/品目号。</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2.报价总价应当通过栏目9的计算方式得出。</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4.此表第10项报价总价若与报价一览表有出入，以报价一览表报价价格为准。</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5.按服务的不同项目详细分项报价，若未详细分项报价将被视为没有实质性响应采购文件。</w:t>
      </w:r>
    </w:p>
    <w:p>
      <w:pPr>
        <w:pStyle w:val="67"/>
        <w:spacing w:line="360" w:lineRule="auto"/>
        <w:outlineLvl w:val="9"/>
        <w:rPr>
          <w:rFonts w:hint="eastAsia" w:hAnsi="宋体" w:eastAsia="宋体" w:cs="宋体"/>
          <w:bCs/>
          <w:color w:val="auto"/>
          <w:sz w:val="24"/>
          <w:szCs w:val="24"/>
          <w:highlight w:val="none"/>
          <w:u w:val="single"/>
        </w:rPr>
      </w:pPr>
      <w:r>
        <w:rPr>
          <w:rFonts w:hint="eastAsia" w:hAnsi="宋体" w:eastAsia="宋体" w:cs="宋体"/>
          <w:bCs/>
          <w:color w:val="auto"/>
          <w:sz w:val="24"/>
          <w:szCs w:val="24"/>
          <w:highlight w:val="none"/>
        </w:rPr>
        <w:t>报价人代表签名：</w:t>
      </w:r>
      <w:r>
        <w:rPr>
          <w:rFonts w:hint="eastAsia" w:hAnsi="宋体" w:eastAsia="宋体" w:cs="宋体"/>
          <w:bCs/>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sectPr>
          <w:footerReference r:id="rId9"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服务说明一览表</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（按服务合同包下品目号类别分别填写）</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                                    采购项目编号∶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详细服务项说明</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范围清单</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本清单应列明服务组成的主要项和关键项的名称、数量、服务商住址及单价；</w:t>
      </w:r>
    </w:p>
    <w:p>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360" w:lineRule="auto"/>
        <w:ind w:firstLine="660"/>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ind w:right="480" w:firstLine="120" w:firstLineChars="5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sectPr>
          <w:footerReference r:id="rId16"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报价人名称（</w:t>
      </w:r>
      <w:r>
        <w:rPr>
          <w:rFonts w:hint="eastAsia" w:ascii="宋体" w:hAnsi="宋体" w:cs="宋体"/>
          <w:bCs/>
          <w:color w:val="auto"/>
          <w:sz w:val="24"/>
          <w:szCs w:val="24"/>
          <w:highlight w:val="none"/>
          <w:lang w:eastAsia="zh-CN"/>
        </w:rPr>
        <w:t>全称</w:t>
      </w:r>
      <w:r>
        <w:rPr>
          <w:rFonts w:hint="eastAsia" w:ascii="宋体" w:hAnsi="宋体" w:eastAsia="宋体" w:cs="宋体"/>
          <w:bCs/>
          <w:color w:val="auto"/>
          <w:sz w:val="24"/>
          <w:szCs w:val="24"/>
          <w:highlight w:val="none"/>
        </w:rPr>
        <w:t>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2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注：1.报价人根据采购要求逐条说明磋商响应情况。</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报价</w:t>
      </w:r>
      <w:r>
        <w:rPr>
          <w:rFonts w:hint="eastAsia" w:ascii="宋体" w:hAnsi="宋体" w:eastAsia="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color w:val="auto"/>
          <w:sz w:val="24"/>
          <w:szCs w:val="24"/>
          <w:highlight w:val="none"/>
        </w:rPr>
        <w:t>。报价人存在弄虚作假行为的，将依法承担</w:t>
      </w:r>
      <w:r>
        <w:rPr>
          <w:rFonts w:hint="eastAsia" w:ascii="宋体" w:hAnsi="宋体" w:cs="宋体"/>
          <w:bCs/>
          <w:color w:val="auto"/>
          <w:sz w:val="24"/>
          <w:szCs w:val="24"/>
          <w:highlight w:val="none"/>
          <w:lang w:eastAsia="zh-CN"/>
        </w:rPr>
        <w:t>相应的法律责任</w:t>
      </w:r>
      <w:r>
        <w:rPr>
          <w:rFonts w:hint="eastAsia" w:ascii="宋体" w:hAnsi="宋体" w:eastAsia="宋体" w:cs="宋体"/>
          <w:bCs/>
          <w:color w:val="auto"/>
          <w:sz w:val="24"/>
          <w:szCs w:val="24"/>
          <w:highlight w:val="none"/>
        </w:rPr>
        <w:t>。</w:t>
      </w:r>
    </w:p>
    <w:p>
      <w:pPr>
        <w:spacing w:line="360" w:lineRule="auto"/>
        <w:jc w:val="center"/>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pPr>
        <w:spacing w:line="360" w:lineRule="auto"/>
        <w:ind w:right="-122" w:rightChars="-58"/>
        <w:rPr>
          <w:rFonts w:hint="eastAsia" w:ascii="宋体" w:hAnsi="宋体" w:eastAsia="宋体" w:cs="宋体"/>
          <w:color w:val="auto"/>
          <w:sz w:val="24"/>
          <w:szCs w:val="24"/>
          <w:highlight w:val="none"/>
        </w:rPr>
      </w:pPr>
    </w:p>
    <w:p>
      <w:pPr>
        <w:pStyle w:val="4"/>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bookmarkStart w:id="51" w:name="_Toc4638"/>
      <w:r>
        <w:rPr>
          <w:rFonts w:hint="eastAsia" w:ascii="宋体" w:hAnsi="宋体" w:eastAsia="宋体" w:cs="宋体"/>
          <w:color w:val="auto"/>
          <w:sz w:val="32"/>
          <w:szCs w:val="32"/>
          <w:highlight w:val="none"/>
        </w:rPr>
        <w:t>服务人员配备表</w:t>
      </w:r>
      <w:bookmarkEnd w:id="51"/>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报价人（全称）：                                        项目名称：</w:t>
      </w:r>
      <w:r>
        <w:rPr>
          <w:rFonts w:hint="eastAsia" w:ascii="宋体" w:hAnsi="宋体" w:eastAsia="宋体" w:cs="宋体"/>
          <w:color w:val="auto"/>
          <w:sz w:val="24"/>
          <w:szCs w:val="24"/>
          <w:highlight w:val="none"/>
          <w:u w:val="single"/>
        </w:rPr>
        <w:t xml:space="preserve">      </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051"/>
        <w:gridCol w:w="1563"/>
        <w:gridCol w:w="851"/>
        <w:gridCol w:w="851"/>
        <w:gridCol w:w="851"/>
        <w:gridCol w:w="948"/>
        <w:gridCol w:w="948"/>
        <w:gridCol w:w="995"/>
        <w:gridCol w:w="2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拟任职位</w:t>
            </w:r>
          </w:p>
        </w:tc>
        <w:tc>
          <w:tcPr>
            <w:tcW w:w="10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563"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身份证号码</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2891" w:type="dxa"/>
            <w:gridSpan w:val="3"/>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岗位资格证明</w:t>
            </w:r>
          </w:p>
        </w:tc>
        <w:tc>
          <w:tcPr>
            <w:tcW w:w="2772" w:type="dxa"/>
            <w:vMerge w:val="restart"/>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目前受</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雇单位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10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1563"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w:t>
            </w: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证号</w:t>
            </w:r>
          </w:p>
        </w:tc>
        <w:tc>
          <w:tcPr>
            <w:tcW w:w="2772" w:type="dxa"/>
            <w:vMerge w:val="continue"/>
            <w:tcBorders>
              <w:top w:val="single" w:color="auto" w:sz="12" w:space="0"/>
              <w:left w:val="single" w:color="auto" w:sz="4" w:space="0"/>
              <w:bottom w:val="single" w:color="auto" w:sz="4" w:space="0"/>
              <w:right w:val="single" w:color="auto" w:sz="12"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ind w:right="-122" w:rightChars="-58"/>
        <w:rPr>
          <w:rFonts w:hint="eastAsia" w:ascii="宋体" w:hAnsi="宋体" w:eastAsia="宋体" w:cs="宋体"/>
          <w:color w:val="auto"/>
          <w:sz w:val="24"/>
          <w:szCs w:val="24"/>
          <w:highlight w:val="none"/>
        </w:rPr>
        <w:sectPr>
          <w:footerReference r:id="rId17" w:type="default"/>
          <w:pgSz w:w="16838" w:h="11906" w:orient="landscape"/>
          <w:pgMar w:top="1797" w:right="1440" w:bottom="1797" w:left="1440" w:header="851" w:footer="992" w:gutter="0"/>
          <w:cols w:space="720" w:num="1"/>
          <w:docGrid w:linePitch="312" w:charSpace="0"/>
        </w:sectPr>
      </w:pPr>
    </w:p>
    <w:p>
      <w:pPr>
        <w:pStyle w:val="4"/>
        <w:keepNext w:val="0"/>
        <w:keepLines w:val="0"/>
        <w:spacing w:before="0" w:after="0" w:line="360" w:lineRule="auto"/>
        <w:ind w:left="68"/>
        <w:jc w:val="center"/>
        <w:rPr>
          <w:rFonts w:hint="eastAsia" w:ascii="宋体" w:hAnsi="宋体" w:eastAsia="宋体" w:cs="宋体"/>
          <w:color w:val="auto"/>
          <w:sz w:val="24"/>
          <w:szCs w:val="24"/>
          <w:highlight w:val="none"/>
        </w:rPr>
      </w:pPr>
      <w:bookmarkStart w:id="52" w:name="_Toc10601"/>
      <w:r>
        <w:rPr>
          <w:rFonts w:hint="eastAsia" w:ascii="宋体" w:hAnsi="宋体" w:eastAsia="宋体" w:cs="宋体"/>
          <w:color w:val="auto"/>
          <w:sz w:val="32"/>
          <w:szCs w:val="32"/>
          <w:highlight w:val="none"/>
        </w:rPr>
        <w:t>服务人员履历表</w:t>
      </w:r>
      <w:bookmarkEnd w:id="52"/>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r>
    </w:tbl>
    <w:p>
      <w:pPr>
        <w:pStyle w:val="4"/>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bookmarkStart w:id="53" w:name="_Toc21588"/>
      <w:r>
        <w:rPr>
          <w:rFonts w:hint="eastAsia" w:ascii="宋体" w:hAnsi="宋体" w:eastAsia="宋体" w:cs="宋体"/>
          <w:b w:val="0"/>
          <w:bCs w:val="0"/>
          <w:color w:val="auto"/>
          <w:sz w:val="24"/>
          <w:szCs w:val="24"/>
          <w:highlight w:val="none"/>
        </w:rPr>
        <w:t>注：拟派各专业人员应分别填写本表。人员没有填写本表的，视为缺此职位（岗位）</w:t>
      </w:r>
      <w:bookmarkEnd w:id="53"/>
    </w:p>
    <w:p>
      <w:pPr>
        <w:pStyle w:val="4"/>
        <w:keepNext w:val="0"/>
        <w:keepLines w:val="0"/>
        <w:spacing w:before="0" w:after="0" w:line="360" w:lineRule="auto"/>
        <w:ind w:left="68"/>
        <w:jc w:val="center"/>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w:t>
      </w:r>
      <w:bookmarkStart w:id="54" w:name="_Toc26653"/>
      <w:r>
        <w:rPr>
          <w:rFonts w:hint="eastAsia" w:ascii="宋体" w:hAnsi="宋体" w:eastAsia="宋体" w:cs="宋体"/>
          <w:b w:val="0"/>
          <w:bCs w:val="0"/>
          <w:color w:val="auto"/>
          <w:sz w:val="24"/>
          <w:szCs w:val="24"/>
          <w:highlight w:val="none"/>
        </w:rPr>
        <w:t>报价人代表：</w:t>
      </w:r>
      <w:bookmarkEnd w:id="54"/>
      <w:r>
        <w:rPr>
          <w:rFonts w:hint="eastAsia" w:ascii="宋体" w:hAnsi="宋体" w:eastAsia="宋体" w:cs="宋体"/>
          <w:b w:val="0"/>
          <w:bCs w:val="0"/>
          <w:color w:val="auto"/>
          <w:sz w:val="24"/>
          <w:szCs w:val="24"/>
          <w:highlight w:val="none"/>
          <w:u w:val="single"/>
        </w:rPr>
        <w:t xml:space="preserve">              </w:t>
      </w:r>
    </w:p>
    <w:p>
      <w:pPr>
        <w:pStyle w:val="4"/>
        <w:keepNext w:val="0"/>
        <w:keepLines w:val="0"/>
        <w:spacing w:before="0" w:after="0" w:line="360" w:lineRule="auto"/>
        <w:ind w:left="68"/>
        <w:jc w:val="center"/>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55" w:name="_Toc31068"/>
      <w:r>
        <w:rPr>
          <w:rFonts w:hint="eastAsia" w:ascii="宋体" w:hAnsi="宋体" w:eastAsia="宋体" w:cs="宋体"/>
          <w:b w:val="0"/>
          <w:color w:val="auto"/>
          <w:sz w:val="24"/>
          <w:szCs w:val="24"/>
          <w:highlight w:val="none"/>
        </w:rPr>
        <w:t>日期：</w:t>
      </w:r>
      <w:bookmarkEnd w:id="55"/>
      <w:r>
        <w:rPr>
          <w:rFonts w:hint="eastAsia" w:ascii="宋体" w:hAnsi="宋体" w:eastAsia="宋体" w:cs="宋体"/>
          <w:b w:val="0"/>
          <w:bCs w:val="0"/>
          <w:color w:val="auto"/>
          <w:sz w:val="24"/>
          <w:szCs w:val="24"/>
          <w:highlight w:val="none"/>
          <w:u w:val="single"/>
        </w:rPr>
        <w:t xml:space="preserve">             </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pStyle w:val="4"/>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bookmarkStart w:id="56" w:name="_Toc16357"/>
      <w:r>
        <w:rPr>
          <w:rFonts w:hint="eastAsia" w:ascii="宋体" w:hAnsi="宋体" w:eastAsia="宋体" w:cs="宋体"/>
          <w:b w:val="0"/>
          <w:bCs w:val="0"/>
          <w:color w:val="auto"/>
          <w:sz w:val="32"/>
          <w:szCs w:val="32"/>
          <w:highlight w:val="none"/>
        </w:rPr>
        <w:t>服务承诺质量承诺书</w:t>
      </w:r>
      <w:bookmarkEnd w:id="56"/>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承诺指标</w:t>
            </w:r>
          </w:p>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具体实施措施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注:以上表格可以自拟,但必须含以上项目内容</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ind w:left="480" w:leftChars="57" w:right="-122" w:rightChars="-58" w:hanging="360" w:hangingChars="15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报价人的资格证明文件</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32"/>
          <w:szCs w:val="32"/>
          <w:highlight w:val="none"/>
        </w:rPr>
        <w:t>关于资格的声明函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（项目编号）政府采购磋商邀请，本签字人愿意参加磋商，提供采购文件“采购服务及要求”中规定的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份，随报价文件一同递交。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pPr>
        <w:spacing w:line="360" w:lineRule="auto"/>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sectPr>
          <w:footerReference r:id="rId18"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Cs/>
          <w:color w:val="auto"/>
          <w:sz w:val="24"/>
          <w:szCs w:val="24"/>
          <w:highlight w:val="none"/>
        </w:rPr>
        <w:t xml:space="preserve">  </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报价人的资格声明</w:t>
      </w:r>
    </w:p>
    <w:p>
      <w:pPr>
        <w:spacing w:line="360" w:lineRule="auto"/>
        <w:jc w:val="center"/>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1.报价人概况：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pPr>
        <w:spacing w:line="360" w:lineRule="auto"/>
        <w:ind w:firstLine="840" w:firstLineChars="35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2.我方在此声明，我方具备并满足下列各项条款的规定。本声明如有虚假或不实之处，我方将失去合格报价人资格且我方的磋商保证金将不予退还。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3.最近三年磋商项目在国内主要用户的名称和地址：</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4.单位营业执照、税务登记证见附件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color w:val="auto"/>
          <w:sz w:val="24"/>
          <w:szCs w:val="24"/>
          <w:highlight w:val="none"/>
        </w:rPr>
        <w:t>营业执照有加载统一社会信用代码的，无需提供税务登记证、组织机构代码证)</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就我方全部所知，兹证明</w:t>
      </w:r>
      <w:r>
        <w:rPr>
          <w:rFonts w:hint="eastAsia" w:ascii="宋体" w:hAnsi="宋体" w:cs="宋体"/>
          <w:bCs/>
          <w:color w:val="auto"/>
          <w:sz w:val="24"/>
          <w:szCs w:val="24"/>
          <w:highlight w:val="none"/>
          <w:lang w:eastAsia="zh-CN"/>
        </w:rPr>
        <w:t>上述</w:t>
      </w:r>
      <w:r>
        <w:rPr>
          <w:rFonts w:hint="eastAsia" w:ascii="宋体" w:hAnsi="宋体" w:eastAsia="宋体" w:cs="宋体"/>
          <w:bCs/>
          <w:color w:val="auto"/>
          <w:sz w:val="24"/>
          <w:szCs w:val="24"/>
          <w:highlight w:val="none"/>
        </w:rPr>
        <w:t>声明是真实、正确的，并已提供了全部现有资料和数据，我方同意根据贵方要求出示文件予以证实。</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ind w:firstLine="120" w:firstLineChars="5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报价人（全称并加盖公章）：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单位授权书</w:t>
      </w:r>
    </w:p>
    <w:p>
      <w:pPr>
        <w:spacing w:line="360" w:lineRule="auto"/>
        <w:jc w:val="center"/>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p>
      <w:pPr>
        <w:pStyle w:val="11"/>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 xml:space="preserve">（报价人全称）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（报价人代表姓名）</w:t>
      </w:r>
      <w:r>
        <w:rPr>
          <w:rFonts w:hint="eastAsia" w:hAnsi="宋体" w:eastAsia="宋体" w:cs="宋体"/>
          <w:color w:val="auto"/>
          <w:sz w:val="24"/>
          <w:szCs w:val="24"/>
          <w:highlight w:val="none"/>
        </w:rPr>
        <w:t>为报价人代表，代表本公司参加贵司组织的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项目（项目编号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pPr>
        <w:pStyle w:val="11"/>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pStyle w:val="67"/>
        <w:spacing w:line="360" w:lineRule="auto"/>
        <w:jc w:val="center"/>
        <w:rPr>
          <w:rFonts w:hint="eastAsia" w:hAnsi="宋体" w:eastAsia="宋体" w:cs="宋体"/>
          <w:b/>
          <w:color w:val="auto"/>
          <w:sz w:val="32"/>
          <w:szCs w:val="32"/>
          <w:highlight w:val="none"/>
        </w:rPr>
      </w:pPr>
    </w:p>
    <w:p>
      <w:pPr>
        <w:pStyle w:val="67"/>
        <w:spacing w:line="360" w:lineRule="auto"/>
        <w:jc w:val="center"/>
        <w:rPr>
          <w:rFonts w:hint="eastAsia" w:hAnsi="宋体" w:eastAsia="宋体" w:cs="宋体"/>
          <w:b/>
          <w:color w:val="auto"/>
          <w:sz w:val="32"/>
          <w:szCs w:val="32"/>
          <w:highlight w:val="none"/>
        </w:rPr>
      </w:pPr>
    </w:p>
    <w:p>
      <w:pPr>
        <w:pStyle w:val="67"/>
        <w:spacing w:line="360" w:lineRule="auto"/>
        <w:jc w:val="center"/>
        <w:rPr>
          <w:rFonts w:hint="eastAsia" w:hAnsi="宋体" w:eastAsia="宋体" w:cs="宋体"/>
          <w:b/>
          <w:color w:val="auto"/>
          <w:sz w:val="32"/>
          <w:szCs w:val="32"/>
          <w:highlight w:val="none"/>
        </w:rPr>
      </w:pPr>
    </w:p>
    <w:p>
      <w:pPr>
        <w:pStyle w:val="67"/>
        <w:spacing w:line="360" w:lineRule="auto"/>
        <w:jc w:val="center"/>
        <w:rPr>
          <w:rFonts w:hint="eastAsia" w:hAnsi="宋体" w:eastAsia="宋体" w:cs="宋体"/>
          <w:b/>
          <w:color w:val="auto"/>
          <w:sz w:val="32"/>
          <w:szCs w:val="32"/>
          <w:highlight w:val="none"/>
        </w:rPr>
      </w:pPr>
    </w:p>
    <w:p>
      <w:pPr>
        <w:pStyle w:val="67"/>
        <w:spacing w:line="360" w:lineRule="auto"/>
        <w:jc w:val="center"/>
        <w:rPr>
          <w:rFonts w:hint="eastAsia" w:hAnsi="宋体" w:eastAsia="宋体" w:cs="宋体"/>
          <w:b/>
          <w:color w:val="auto"/>
          <w:sz w:val="32"/>
          <w:szCs w:val="32"/>
          <w:highlight w:val="none"/>
        </w:rPr>
      </w:pPr>
    </w:p>
    <w:p>
      <w:pPr>
        <w:pStyle w:val="67"/>
        <w:spacing w:line="360" w:lineRule="auto"/>
        <w:jc w:val="center"/>
        <w:rPr>
          <w:rFonts w:hint="eastAsia" w:hAnsi="宋体" w:eastAsia="宋体" w:cs="宋体"/>
          <w:color w:val="auto"/>
          <w:sz w:val="24"/>
          <w:szCs w:val="24"/>
          <w:highlight w:val="none"/>
        </w:rPr>
      </w:pPr>
      <w:bookmarkStart w:id="57" w:name="_Toc13160"/>
      <w:r>
        <w:rPr>
          <w:rFonts w:hint="eastAsia" w:hAnsi="宋体" w:eastAsia="宋体" w:cs="宋体"/>
          <w:b/>
          <w:color w:val="auto"/>
          <w:sz w:val="32"/>
          <w:szCs w:val="32"/>
          <w:highlight w:val="none"/>
        </w:rPr>
        <w:t>单位营业执照、税务登记证</w:t>
      </w:r>
      <w:bookmarkEnd w:id="57"/>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w:t>
      </w:r>
      <w:r>
        <w:rPr>
          <w:rFonts w:hint="eastAsia" w:ascii="宋体" w:hAnsi="宋体" w:cs="宋体"/>
          <w:color w:val="auto"/>
          <w:sz w:val="24"/>
          <w:szCs w:val="24"/>
          <w:highlight w:val="none"/>
          <w:lang w:eastAsia="zh-CN"/>
        </w:rPr>
        <w:t>营业执照</w:t>
      </w:r>
      <w:r>
        <w:rPr>
          <w:rFonts w:hint="eastAsia" w:ascii="宋体" w:hAnsi="宋体" w:eastAsia="宋体" w:cs="宋体"/>
          <w:color w:val="auto"/>
          <w:sz w:val="24"/>
          <w:szCs w:val="24"/>
          <w:highlight w:val="none"/>
        </w:rPr>
        <w:t>，真实有效。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pPr>
        <w:spacing w:line="360" w:lineRule="auto"/>
        <w:rPr>
          <w:rFonts w:hint="eastAsia" w:ascii="宋体" w:hAnsi="宋体" w:eastAsia="宋体" w:cs="宋体"/>
          <w:color w:val="auto"/>
          <w:sz w:val="24"/>
          <w:szCs w:val="24"/>
          <w:highlight w:val="none"/>
        </w:rPr>
      </w:pPr>
    </w:p>
    <w:p>
      <w:pPr>
        <w:pStyle w:val="8"/>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注：单位营业执照、税务登记证提供复印件，由企业加盖公章并注明复印件与原件一致。或提供含统一社会信用代码证照。</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tabs>
          <w:tab w:val="left" w:pos="2100"/>
          <w:tab w:val="center" w:pos="4201"/>
        </w:tabs>
        <w:spacing w:line="360" w:lineRule="auto"/>
        <w:jc w:val="left"/>
        <w:rPr>
          <w:rFonts w:hint="eastAsia" w:ascii="宋体" w:hAnsi="宋体" w:eastAsia="宋体" w:cs="宋体"/>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pPr>
        <w:pStyle w:val="67"/>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cr/>
      </w:r>
      <w:r>
        <w:rPr>
          <w:rFonts w:hint="eastAsia"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致：厦门万翔招标有限公司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政府采购磋商</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），如获成交，我们保证按采购文件的规定，以支票、汇票、电汇、现金或经贵公司认可的其他付款方式向贵司缴交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pPr>
        <w:spacing w:line="360" w:lineRule="auto"/>
        <w:rPr>
          <w:rFonts w:hint="eastAsia" w:ascii="宋体" w:hAnsi="宋体" w:eastAsia="宋体" w:cs="宋体"/>
          <w:b/>
          <w:color w:val="auto"/>
          <w:sz w:val="24"/>
          <w:szCs w:val="24"/>
          <w:highlight w:val="none"/>
        </w:rPr>
      </w:pPr>
    </w:p>
    <w:p>
      <w:pPr>
        <w:spacing w:line="360" w:lineRule="auto"/>
        <w:ind w:left="68"/>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附：廉洁承诺书</w:t>
      </w:r>
    </w:p>
    <w:p>
      <w:pPr>
        <w:widowControl/>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pPr>
        <w:widowControl/>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w:t>
      </w:r>
      <w:r>
        <w:rPr>
          <w:rFonts w:hint="eastAsia" w:ascii="宋体" w:hAnsi="宋体" w:cs="宋体"/>
          <w:color w:val="auto"/>
          <w:sz w:val="24"/>
          <w:szCs w:val="24"/>
          <w:highlight w:val="none"/>
          <w:lang w:eastAsia="zh-CN"/>
        </w:rPr>
        <w:t>5706818</w:t>
      </w:r>
      <w:r>
        <w:rPr>
          <w:rFonts w:hint="eastAsia" w:ascii="宋体" w:hAnsi="宋体" w:eastAsia="宋体" w:cs="宋体"/>
          <w:color w:val="auto"/>
          <w:sz w:val="24"/>
          <w:szCs w:val="24"/>
          <w:highlight w:val="none"/>
        </w:rPr>
        <w:t>；举报邮箱：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30"/>
          <w:rFonts w:hint="eastAsia" w:ascii="宋体" w:hAnsi="宋体" w:cs="宋体"/>
          <w:color w:val="auto"/>
          <w:sz w:val="24"/>
          <w:szCs w:val="24"/>
          <w:highlight w:val="none"/>
          <w:lang w:eastAsia="zh-CN"/>
        </w:rPr>
        <w:t>cts@iport.com.cn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360" w:lineRule="auto"/>
        <w:ind w:left="69" w:firstLine="460" w:firstLineChars="192"/>
        <w:rPr>
          <w:rStyle w:val="26"/>
          <w:rFonts w:hint="eastAsia" w:ascii="宋体" w:hAnsi="宋体" w:eastAsia="宋体" w:cs="宋体"/>
          <w:bCs w:val="0"/>
          <w:color w:val="auto"/>
          <w:sz w:val="24"/>
          <w:szCs w:val="24"/>
          <w:highlight w:val="none"/>
        </w:rPr>
      </w:pPr>
      <w:r>
        <w:rPr>
          <w:rFonts w:hint="eastAsia" w:ascii="宋体" w:hAnsi="宋体" w:eastAsia="宋体" w:cs="宋体"/>
          <w:color w:val="auto"/>
          <w:sz w:val="24"/>
          <w:szCs w:val="24"/>
          <w:highlight w:val="none"/>
        </w:rPr>
        <w:t>日期：</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退还磋商保证金申请表</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组织机构代码证</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磋商保证金金额</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收款单位名称</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开户银行（需填写完整）</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开户行账号（原来转磋商保证金账号）</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val="en-US" w:eastAsia="zh-CN"/>
        </w:rPr>
        <w:t>未成交供应商</w:t>
      </w:r>
      <w:r>
        <w:rPr>
          <w:rFonts w:hint="eastAsia" w:ascii="宋体" w:hAnsi="宋体" w:eastAsia="宋体" w:cs="宋体"/>
          <w:color w:val="auto"/>
          <w:sz w:val="24"/>
          <w:szCs w:val="24"/>
          <w:highlight w:val="none"/>
        </w:rPr>
        <w:t>将</w:t>
      </w:r>
      <w:r>
        <w:rPr>
          <w:rFonts w:hint="eastAsia" w:ascii="宋体" w:hAnsi="宋体" w:eastAsia="宋体" w:cs="宋体"/>
          <w:b w:val="0"/>
          <w:color w:val="auto"/>
          <w:sz w:val="24"/>
          <w:szCs w:val="24"/>
          <w:highlight w:val="none"/>
        </w:rPr>
        <w:t>退还</w:t>
      </w:r>
      <w:r>
        <w:rPr>
          <w:rFonts w:hint="eastAsia" w:ascii="宋体" w:hAnsi="宋体" w:eastAsia="宋体" w:cs="宋体"/>
          <w:b w:val="0"/>
          <w:color w:val="auto"/>
          <w:sz w:val="24"/>
          <w:szCs w:val="24"/>
          <w:highlight w:val="none"/>
          <w:lang w:val="en-US" w:eastAsia="zh-CN"/>
        </w:rPr>
        <w:t>磋商</w:t>
      </w:r>
      <w:r>
        <w:rPr>
          <w:rFonts w:hint="eastAsia" w:ascii="宋体" w:hAnsi="宋体" w:eastAsia="宋体" w:cs="宋体"/>
          <w:b w:val="0"/>
          <w:color w:val="auto"/>
          <w:sz w:val="24"/>
          <w:szCs w:val="24"/>
          <w:highlight w:val="none"/>
        </w:rPr>
        <w:t>保证金申请表</w:t>
      </w:r>
      <w:r>
        <w:rPr>
          <w:rFonts w:hint="eastAsia" w:ascii="宋体" w:hAnsi="宋体" w:eastAsia="宋体" w:cs="宋体"/>
          <w:color w:val="auto"/>
          <w:sz w:val="24"/>
          <w:szCs w:val="24"/>
          <w:highlight w:val="none"/>
          <w:lang w:val="en-US" w:eastAsia="zh-CN"/>
        </w:rPr>
        <w:t>发送</w:t>
      </w:r>
      <w:r>
        <w:rPr>
          <w:rFonts w:hint="eastAsia" w:ascii="宋体" w:hAnsi="宋体" w:eastAsia="宋体" w:cs="宋体"/>
          <w:color w:val="auto"/>
          <w:sz w:val="24"/>
          <w:szCs w:val="24"/>
          <w:highlight w:val="none"/>
        </w:rPr>
        <w:t>至厦门万翔招标有限公司（邮箱：wxwcn1@iport.com.cn；联系人及电话陈小姐0592-5703367），厦门万翔招标有限公司再安排退保证金。</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在接到厦门万翔招标有限公司发出的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结果通知书后，需尽快缴交完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并签订合同，再将合同复印件</w:t>
      </w:r>
      <w:r>
        <w:rPr>
          <w:rFonts w:hint="eastAsia" w:ascii="宋体" w:hAnsi="宋体" w:eastAsia="宋体" w:cs="宋体"/>
          <w:color w:val="auto"/>
          <w:sz w:val="24"/>
          <w:szCs w:val="24"/>
          <w:highlight w:val="none"/>
          <w:lang w:val="en-US" w:eastAsia="zh-CN"/>
        </w:rPr>
        <w:t>及</w:t>
      </w:r>
      <w:r>
        <w:rPr>
          <w:rFonts w:hint="eastAsia" w:ascii="宋体" w:hAnsi="宋体" w:eastAsia="宋体" w:cs="宋体"/>
          <w:b w:val="0"/>
          <w:color w:val="auto"/>
          <w:sz w:val="24"/>
          <w:szCs w:val="24"/>
          <w:highlight w:val="none"/>
        </w:rPr>
        <w:t>退还</w:t>
      </w:r>
      <w:r>
        <w:rPr>
          <w:rFonts w:hint="eastAsia" w:ascii="宋体" w:hAnsi="宋体" w:eastAsia="宋体" w:cs="宋体"/>
          <w:b w:val="0"/>
          <w:color w:val="auto"/>
          <w:sz w:val="24"/>
          <w:szCs w:val="24"/>
          <w:highlight w:val="none"/>
          <w:lang w:val="en-US" w:eastAsia="zh-CN"/>
        </w:rPr>
        <w:t>磋商</w:t>
      </w:r>
      <w:r>
        <w:rPr>
          <w:rFonts w:hint="eastAsia" w:ascii="宋体" w:hAnsi="宋体" w:eastAsia="宋体" w:cs="宋体"/>
          <w:b w:val="0"/>
          <w:color w:val="auto"/>
          <w:sz w:val="24"/>
          <w:szCs w:val="24"/>
          <w:highlight w:val="none"/>
        </w:rPr>
        <w:t>保证金申请表</w:t>
      </w:r>
      <w:r>
        <w:rPr>
          <w:rFonts w:hint="eastAsia" w:ascii="宋体" w:hAnsi="宋体" w:eastAsia="宋体" w:cs="宋体"/>
          <w:b w:val="0"/>
          <w:color w:val="auto"/>
          <w:sz w:val="24"/>
          <w:szCs w:val="24"/>
          <w:highlight w:val="none"/>
          <w:lang w:val="en-US" w:eastAsia="zh-CN"/>
        </w:rPr>
        <w:t>发送</w:t>
      </w:r>
      <w:r>
        <w:rPr>
          <w:rFonts w:hint="eastAsia" w:ascii="宋体" w:hAnsi="宋体" w:eastAsia="宋体" w:cs="宋体"/>
          <w:color w:val="auto"/>
          <w:sz w:val="24"/>
          <w:szCs w:val="24"/>
          <w:highlight w:val="none"/>
        </w:rPr>
        <w:t>至厦门万翔招标有限公司（邮箱：wxwcn1@iport.com.cn；联系人及电话陈小姐0592-5703367），厦门万翔招标有限公司再安排退保证金。由于以上信息错误导致保证金无法及时退还的责任由</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人自行负责。</w:t>
      </w: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（报价人名称，加盖公章）</w:t>
      </w:r>
    </w:p>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rPr>
          <w:rFonts w:hint="eastAsia" w:ascii="宋体" w:hAnsi="宋体" w:eastAsia="宋体" w:cs="宋体"/>
          <w:color w:val="auto"/>
          <w:sz w:val="24"/>
          <w:szCs w:val="24"/>
          <w:highlight w:val="none"/>
        </w:rPr>
        <w:sectPr>
          <w:pgSz w:w="11906" w:h="16838"/>
          <w:pgMar w:top="1440" w:right="1800" w:bottom="1440" w:left="1800" w:header="851" w:footer="992" w:gutter="0"/>
          <w:cols w:space="720" w:num="1"/>
          <w:docGrid w:type="lines" w:linePitch="312" w:charSpace="0"/>
        </w:sectPr>
      </w:pPr>
    </w:p>
    <w:p>
      <w:pPr>
        <w:spacing w:line="360" w:lineRule="auto"/>
        <w:ind w:firstLine="4160" w:firstLineChars="13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pPr>
        <w:spacing w:line="360" w:lineRule="auto"/>
        <w:ind w:firstLine="480" w:firstLineChars="200"/>
        <w:rPr>
          <w:rFonts w:hint="eastAsia" w:ascii="宋体" w:hAnsi="宋体" w:eastAsia="宋体" w:cs="宋体"/>
          <w:color w:val="auto"/>
          <w:sz w:val="24"/>
          <w:szCs w:val="24"/>
          <w:highlight w:val="none"/>
        </w:rPr>
      </w:pP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供应商提出质疑应当提交质疑函和必要的证明材料。质疑函应当包括下列内容：</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(一)供应商的姓名或者名称、地址、邮编、联系人及联系电话;</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评分响应要求</w:t>
      </w:r>
    </w:p>
    <w:tbl>
      <w:tblPr>
        <w:tblStyle w:val="24"/>
        <w:tblW w:w="0" w:type="auto"/>
        <w:tblInd w:w="0" w:type="dxa"/>
        <w:tblLayout w:type="fixed"/>
        <w:tblCellMar>
          <w:top w:w="0" w:type="dxa"/>
          <w:left w:w="108" w:type="dxa"/>
          <w:bottom w:w="0" w:type="dxa"/>
          <w:right w:w="108" w:type="dxa"/>
        </w:tblCellMar>
      </w:tblPr>
      <w:tblGrid>
        <w:gridCol w:w="883"/>
        <w:gridCol w:w="4328"/>
        <w:gridCol w:w="1701"/>
        <w:gridCol w:w="1560"/>
        <w:gridCol w:w="1134"/>
      </w:tblGrid>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序号</w:t>
            </w:r>
          </w:p>
        </w:tc>
        <w:tc>
          <w:tcPr>
            <w:tcW w:w="43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评分界定</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18" w:firstLineChars="4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满分分值</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响应内容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43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43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p>
        </w:tc>
        <w:tc>
          <w:tcPr>
            <w:tcW w:w="43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w:t>
            </w:r>
          </w:p>
        </w:tc>
        <w:tc>
          <w:tcPr>
            <w:tcW w:w="4328"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80"/>
                <w:tab w:val="left" w:pos="1080"/>
              </w:tabs>
              <w:spacing w:line="360" w:lineRule="auto"/>
              <w:rPr>
                <w:rFonts w:hint="eastAsia" w:ascii="宋体" w:hAnsi="宋体" w:eastAsia="宋体" w:cs="宋体"/>
                <w:bCs/>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4328" w:type="dxa"/>
            <w:tcBorders>
              <w:top w:val="single" w:color="auto" w:sz="4" w:space="0"/>
              <w:left w:val="single" w:color="auto" w:sz="4" w:space="0"/>
              <w:bottom w:val="single" w:color="auto" w:sz="4" w:space="0"/>
              <w:right w:val="single" w:color="auto" w:sz="4" w:space="0"/>
            </w:tcBorders>
            <w:noWrap w:val="0"/>
            <w:vAlign w:val="top"/>
          </w:tcPr>
          <w:p>
            <w:pPr>
              <w:tabs>
                <w:tab w:val="left" w:pos="720"/>
              </w:tabs>
              <w:spacing w:line="360" w:lineRule="auto"/>
              <w:ind w:right="18"/>
              <w:rPr>
                <w:rFonts w:hint="eastAsia" w:ascii="宋体" w:hAnsi="宋体" w:eastAsia="宋体" w:cs="宋体"/>
                <w:bCs/>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auto"/>
                <w:sz w:val="24"/>
                <w:szCs w:val="24"/>
                <w:highlight w:val="none"/>
              </w:rPr>
            </w:pPr>
          </w:p>
        </w:tc>
      </w:tr>
    </w:tbl>
    <w:p>
      <w:pPr>
        <w:widowControl/>
        <w:spacing w:line="360" w:lineRule="auto"/>
        <w:rPr>
          <w:rFonts w:hint="eastAsia" w:ascii="宋体" w:hAnsi="宋体" w:eastAsia="宋体" w:cs="宋体"/>
          <w:color w:val="auto"/>
          <w:sz w:val="24"/>
          <w:szCs w:val="24"/>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pStyle w:val="72"/>
        <w:spacing w:line="360" w:lineRule="auto"/>
        <w:jc w:val="center"/>
        <w:outlineLvl w:val="2"/>
        <w:rPr>
          <w:rFonts w:ascii="宋体" w:hAnsi="宋体" w:eastAsia="宋体" w:cs="宋体"/>
          <w:color w:val="auto"/>
          <w:sz w:val="24"/>
          <w:szCs w:val="24"/>
          <w:highlight w:val="none"/>
        </w:rPr>
      </w:pPr>
      <w:bookmarkStart w:id="58" w:name="_Toc425"/>
      <w:r>
        <w:rPr>
          <w:rFonts w:hint="eastAsia" w:ascii="宋体" w:hAnsi="宋体" w:cs="宋体"/>
          <w:b/>
          <w:color w:val="auto"/>
          <w:sz w:val="24"/>
          <w:szCs w:val="24"/>
          <w:highlight w:val="none"/>
          <w:lang w:eastAsia="zh-CN"/>
        </w:rPr>
        <w:t>采购文件</w:t>
      </w:r>
      <w:r>
        <w:rPr>
          <w:rFonts w:ascii="宋体" w:hAnsi="宋体" w:eastAsia="宋体" w:cs="宋体"/>
          <w:b/>
          <w:color w:val="auto"/>
          <w:sz w:val="24"/>
          <w:szCs w:val="24"/>
          <w:highlight w:val="none"/>
        </w:rPr>
        <w:t>规定的价格扣除证明材料（若有）</w:t>
      </w:r>
      <w:bookmarkEnd w:id="58"/>
    </w:p>
    <w:p>
      <w:pPr>
        <w:pStyle w:val="72"/>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1优先类节能产品、环境标志产品价格扣除证明材料（若有）</w:t>
      </w:r>
    </w:p>
    <w:p>
      <w:pPr>
        <w:pStyle w:val="72"/>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1-①优先类节能产品、环境标志产品统计表（价格扣除适用，若有）</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w:t>
      </w:r>
    </w:p>
    <w:p>
      <w:pPr>
        <w:pStyle w:val="72"/>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货币及单位：人民币元</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pPr>
              <w:pStyle w:val="72"/>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2"/>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pPr>
              <w:pStyle w:val="72"/>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内属于节能产品的报价总金额：</w:t>
            </w:r>
            <w:r>
              <w:rPr>
                <w:rFonts w:ascii="宋体" w:hAnsi="宋体" w:eastAsia="宋体" w:cs="宋体"/>
                <w:color w:val="auto"/>
                <w:sz w:val="24"/>
                <w:szCs w:val="24"/>
                <w:highlight w:val="none"/>
                <w:u w:val="single"/>
              </w:rPr>
              <w:t>　　　　　。</w:t>
            </w:r>
          </w:p>
        </w:tc>
      </w:tr>
    </w:tbl>
    <w:p>
      <w:pPr>
        <w:pStyle w:val="72"/>
        <w:spacing w:line="360" w:lineRule="auto"/>
        <w:jc w:val="left"/>
        <w:rPr>
          <w:rFonts w:ascii="宋体" w:hAnsi="宋体" w:eastAsia="宋体" w:cs="宋体"/>
          <w:color w:val="auto"/>
          <w:sz w:val="24"/>
          <w:szCs w:val="24"/>
          <w:highlight w:val="none"/>
        </w:rPr>
      </w:pP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pPr>
              <w:pStyle w:val="72"/>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2"/>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pPr>
              <w:pStyle w:val="72"/>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内属于环境标志产品的报价总金额：</w:t>
            </w:r>
            <w:r>
              <w:rPr>
                <w:rFonts w:ascii="宋体" w:hAnsi="宋体" w:eastAsia="宋体" w:cs="宋体"/>
                <w:color w:val="auto"/>
                <w:sz w:val="24"/>
                <w:szCs w:val="24"/>
                <w:highlight w:val="none"/>
                <w:u w:val="single"/>
              </w:rPr>
              <w:t>　　　　　。</w:t>
            </w:r>
          </w:p>
        </w:tc>
      </w:tr>
    </w:tbl>
    <w:p>
      <w:pPr>
        <w:pStyle w:val="72"/>
        <w:spacing w:line="360" w:lineRule="auto"/>
        <w:ind w:firstLine="480"/>
        <w:jc w:val="left"/>
        <w:rPr>
          <w:rFonts w:ascii="宋体" w:hAnsi="宋体" w:eastAsia="宋体" w:cs="宋体"/>
          <w:color w:val="auto"/>
          <w:sz w:val="24"/>
          <w:szCs w:val="24"/>
          <w:highlight w:val="none"/>
        </w:rPr>
      </w:pP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72"/>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1、对节能、环境标志产品计算价格扣除时，只依据</w:t>
      </w:r>
      <w:r>
        <w:rPr>
          <w:rFonts w:hint="eastAsia" w:ascii="宋体" w:hAnsi="宋体" w:eastAsia="宋体" w:cs="宋体"/>
          <w:color w:val="auto"/>
          <w:sz w:val="24"/>
          <w:szCs w:val="24"/>
          <w:highlight w:val="none"/>
          <w:lang w:eastAsia="zh-CN"/>
        </w:rPr>
        <w:t>报价</w:t>
      </w:r>
      <w:r>
        <w:rPr>
          <w:rFonts w:ascii="宋体" w:hAnsi="宋体" w:eastAsia="宋体" w:cs="宋体"/>
          <w:color w:val="auto"/>
          <w:sz w:val="24"/>
          <w:szCs w:val="24"/>
          <w:highlight w:val="none"/>
        </w:rPr>
        <w:t>文件“</w:t>
      </w:r>
      <w:r>
        <w:rPr>
          <w:rFonts w:hint="eastAsia" w:ascii="宋体" w:hAnsi="宋体" w:eastAsia="宋体" w:cs="宋体"/>
          <w:color w:val="auto"/>
          <w:sz w:val="24"/>
          <w:szCs w:val="24"/>
          <w:highlight w:val="none"/>
        </w:rPr>
        <w:t>报价人须知前附表5：节能、环境标志产品采购政策</w:t>
      </w:r>
      <w:r>
        <w:rPr>
          <w:rFonts w:ascii="宋体" w:hAnsi="宋体" w:eastAsia="宋体" w:cs="宋体"/>
          <w:color w:val="auto"/>
          <w:sz w:val="24"/>
          <w:szCs w:val="24"/>
          <w:highlight w:val="none"/>
        </w:rPr>
        <w:t>”。</w:t>
      </w:r>
    </w:p>
    <w:p>
      <w:pPr>
        <w:pStyle w:val="72"/>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2、本表以</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为单位，不同</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请分别填写；同一</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请按照其品目号顺序分别填写。</w:t>
      </w:r>
    </w:p>
    <w:p>
      <w:pPr>
        <w:pStyle w:val="72"/>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3、具体统计、计算：</w:t>
      </w:r>
    </w:p>
    <w:p>
      <w:pPr>
        <w:pStyle w:val="72"/>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rPr>
        <w:t>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若报价产品既属于节能产品又属于环境标志产品，分别计算价格扣除优惠。</w:t>
      </w:r>
    </w:p>
    <w:p>
      <w:pPr>
        <w:pStyle w:val="72"/>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3.2计算结果若除不尽，可四舍五入保留到小数点后两位。</w:t>
      </w:r>
    </w:p>
    <w:p>
      <w:pPr>
        <w:pStyle w:val="72"/>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eastAsia="宋体" w:cs="宋体"/>
          <w:color w:val="auto"/>
          <w:sz w:val="24"/>
          <w:szCs w:val="24"/>
          <w:highlight w:val="none"/>
          <w:lang w:eastAsia="zh-CN"/>
        </w:rPr>
        <w:t>采购文件</w:t>
      </w:r>
      <w:r>
        <w:rPr>
          <w:rFonts w:ascii="宋体" w:hAnsi="宋体" w:eastAsia="宋体" w:cs="宋体"/>
          <w:color w:val="auto"/>
          <w:sz w:val="24"/>
          <w:szCs w:val="24"/>
          <w:highlight w:val="none"/>
        </w:rPr>
        <w:t>要求认真统计、计算。</w:t>
      </w:r>
    </w:p>
    <w:p>
      <w:pPr>
        <w:pStyle w:val="72"/>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3.4若无节能、环境标志产品，不填写本表。</w:t>
      </w:r>
    </w:p>
    <w:p>
      <w:pPr>
        <w:pStyle w:val="72"/>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72"/>
        <w:spacing w:line="360" w:lineRule="auto"/>
        <w:ind w:firstLine="480"/>
        <w:jc w:val="right"/>
        <w:outlineLvl w:val="9"/>
        <w:rPr>
          <w:rFonts w:ascii="宋体" w:hAnsi="宋体" w:eastAsia="宋体" w:cs="宋体"/>
          <w:b/>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72"/>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1-②优先类节能产品、环境标志产品证明材料（价格扣除适用，若有）</w:t>
      </w:r>
    </w:p>
    <w:p>
      <w:pPr>
        <w:pStyle w:val="72"/>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2小型、微型企业产品等价格扣除证明材料（若有）</w:t>
      </w:r>
    </w:p>
    <w:p>
      <w:pPr>
        <w:pStyle w:val="72"/>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2-①中小企业声明函（价格扣除适用，若有）</w:t>
      </w:r>
    </w:p>
    <w:p>
      <w:pPr>
        <w:pStyle w:val="72"/>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中小企业声明函（货物）</w:t>
      </w:r>
    </w:p>
    <w:p>
      <w:pPr>
        <w:pStyle w:val="72"/>
        <w:spacing w:line="360" w:lineRule="auto"/>
        <w:ind w:firstLine="480"/>
        <w:jc w:val="left"/>
        <w:rPr>
          <w:rFonts w:ascii="宋体" w:hAnsi="宋体" w:eastAsia="宋体" w:cs="宋体"/>
          <w:color w:val="auto"/>
          <w:sz w:val="24"/>
          <w:szCs w:val="24"/>
          <w:highlight w:val="none"/>
        </w:rPr>
      </w:pP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pPr>
        <w:pStyle w:val="72"/>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72"/>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人须按</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中明确的所属行业填列，多品目项目中须按上表要求逐条填列，否则，其提供的中小企业声明将被判定为无效声明函，由此造成的后果由</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人自行承担（涉及资格的按无效</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处理；涉及价格评审优惠的，不予认定）。</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人应当对其出具的《中小企业声明函》真实性负责，</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人出具的《中小企业声明函》内容不实的，属于提供虚假材料谋取中标。在实际操作中，项目属性为货物且</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人希望获得中小企业政策支持的，应从制造商处获得充分、准确的信息。对相关制造商信息了解不充分，或者不能确定相关信息真实、准确的，不建议出具《中小企业声明函》。</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72"/>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中小企业声明函（工程、服务）</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pPr>
        <w:pStyle w:val="72"/>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72"/>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人须按</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中明确的所属行业填列，多品目项目中须按上表要求逐条填列，否则，其提供的中小企业声明将被判定为无效声明函，由此造成的后果由</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人自行承担（涉及资格的按无效</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处理；涉及价格评审优惠的，不予认定）。</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人应当对其出具的《中小企业声明函》真实性负责，</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人出具的《中小企业声明函》内容不实的，属于提供虚假材料谋取中标。在实际操作中，项目属性为货物且</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人希望获得中小企业政策支持的，应从制造商处获得充分、准确的信息。对相关制造商信息了解不充分，或者不能确定相关信息真实、准确的，不建议出具《中小企业声明函》。</w:t>
      </w:r>
    </w:p>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72"/>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2-②小型、微型企业等证明材料（价格扣除适用，若有）</w:t>
      </w:r>
    </w:p>
    <w:p>
      <w:pPr>
        <w:pStyle w:val="72"/>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要求提供相应证明材料，证明材料应与《中小企业声明函》的内容相一致，否则视为《中小企业声明函》内容不真实。</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人为监狱企业的，根据其提供的由省级以上监狱管理局、戒毒管理局（含新疆生产建设兵团）出具的属于监狱企业的证明文件进行认定，监狱企业视同小型、微型企业。</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人为残疾人福利性单位的，根据其提供的《残疾人福利性单位声明函》（格式附后）进行认定，残疾人福利性单位视同小型、微型企业。残疾人福利性单位属于小型、微型企业的，不重复享受政策。</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pPr>
        <w:pStyle w:val="72"/>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残疾人福利性单位声明函（价格扣除适用，若有）</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人郑重声明，根据《财政部 民政部 中国残疾人联合会关于促进残疾人就业政府采购政策的通知》（财库[2017]141号）、《政府采购促进中小企业发展管理办法》（财库〔2020〕46号）的规定，本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人为符合条件的残疾人福利性单位，且本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人参加贵单位的（填写“项目名称”）项目采购活动：</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）提供本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人制造的（填写“</w:t>
      </w:r>
      <w:r>
        <w:rPr>
          <w:rFonts w:hint="eastAsia" w:ascii="宋体" w:hAnsi="宋体" w:cs="宋体"/>
          <w:color w:val="auto"/>
          <w:sz w:val="24"/>
          <w:szCs w:val="24"/>
          <w:highlight w:val="none"/>
          <w:lang w:eastAsia="zh-CN"/>
        </w:rPr>
        <w:t>所报</w:t>
      </w:r>
      <w:r>
        <w:rPr>
          <w:rFonts w:ascii="宋体" w:hAnsi="宋体" w:eastAsia="宋体" w:cs="宋体"/>
          <w:color w:val="auto"/>
          <w:sz w:val="24"/>
          <w:szCs w:val="24"/>
          <w:highlight w:val="none"/>
        </w:rPr>
        <w:t>采购包、品目号”）货物，或提供其他残疾人福利性单位制造的（填写“</w:t>
      </w:r>
      <w:r>
        <w:rPr>
          <w:rFonts w:hint="eastAsia" w:ascii="宋体" w:hAnsi="宋体" w:cs="宋体"/>
          <w:color w:val="auto"/>
          <w:sz w:val="24"/>
          <w:szCs w:val="24"/>
          <w:highlight w:val="none"/>
          <w:lang w:eastAsia="zh-CN"/>
        </w:rPr>
        <w:t>所报</w:t>
      </w:r>
      <w:r>
        <w:rPr>
          <w:rFonts w:ascii="宋体" w:hAnsi="宋体" w:eastAsia="宋体" w:cs="宋体"/>
          <w:color w:val="auto"/>
          <w:sz w:val="24"/>
          <w:szCs w:val="24"/>
          <w:highlight w:val="none"/>
        </w:rPr>
        <w:t>采购包、品目号”）货物（不包括使用非残疾人福利性单位注册商标的货物）。（说明：只有部分货物由残疾人福利企业制造的，在该货物后标★）</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人承建的（填写“</w:t>
      </w:r>
      <w:r>
        <w:rPr>
          <w:rFonts w:hint="eastAsia" w:ascii="宋体" w:hAnsi="宋体" w:cs="宋体"/>
          <w:color w:val="auto"/>
          <w:sz w:val="24"/>
          <w:szCs w:val="24"/>
          <w:highlight w:val="none"/>
          <w:lang w:eastAsia="zh-CN"/>
        </w:rPr>
        <w:t>所报</w:t>
      </w:r>
      <w:r>
        <w:rPr>
          <w:rFonts w:ascii="宋体" w:hAnsi="宋体" w:eastAsia="宋体" w:cs="宋体"/>
          <w:color w:val="auto"/>
          <w:sz w:val="24"/>
          <w:szCs w:val="24"/>
          <w:highlight w:val="none"/>
        </w:rPr>
        <w:t>采购包、品目号”）工程</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人承接的（填写“</w:t>
      </w:r>
      <w:r>
        <w:rPr>
          <w:rFonts w:hint="eastAsia" w:ascii="宋体" w:hAnsi="宋体" w:cs="宋体"/>
          <w:color w:val="auto"/>
          <w:sz w:val="24"/>
          <w:szCs w:val="24"/>
          <w:highlight w:val="none"/>
          <w:lang w:eastAsia="zh-CN"/>
        </w:rPr>
        <w:t>所报</w:t>
      </w:r>
      <w:r>
        <w:rPr>
          <w:rFonts w:ascii="宋体" w:hAnsi="宋体" w:eastAsia="宋体" w:cs="宋体"/>
          <w:color w:val="auto"/>
          <w:sz w:val="24"/>
          <w:szCs w:val="24"/>
          <w:highlight w:val="none"/>
        </w:rPr>
        <w:t>采购包、品目号”）服务；</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人对上述声明的真实性负责。如有虚假，将依法承担相应责任。</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备注：</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1、请</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人按照实际情况编制填写本声明函，并在相应的（）中打“√”。</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2、若《残疾人福利性单位声明函》内容不真实，视为提供虚假材料。</w:t>
      </w:r>
    </w:p>
    <w:p>
      <w:pPr>
        <w:pStyle w:val="72"/>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72"/>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pPr>
        <w:pStyle w:val="72"/>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监狱企业证明材料</w:t>
      </w:r>
    </w:p>
    <w:p>
      <w:pPr>
        <w:pStyle w:val="72"/>
        <w:spacing w:line="360" w:lineRule="auto"/>
        <w:ind w:firstLine="480"/>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人为监狱企业，提供本单位制造的货物（承接的服务），并在</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文件中提供省级以上监狱管理局、戒毒管理局（含新疆生产建设兵团）出具的属于监狱企业的证明文件。</w:t>
      </w:r>
    </w:p>
    <w:p>
      <w:pPr>
        <w:pStyle w:val="72"/>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72"/>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3</w:t>
      </w:r>
      <w:r>
        <w:rPr>
          <w:rFonts w:hint="eastAsia" w:ascii="宋体" w:hAnsi="宋体" w:cs="宋体"/>
          <w:b/>
          <w:color w:val="auto"/>
          <w:sz w:val="24"/>
          <w:szCs w:val="24"/>
          <w:highlight w:val="none"/>
          <w:lang w:eastAsia="zh-CN"/>
        </w:rPr>
        <w:t>采购文件</w:t>
      </w:r>
      <w:r>
        <w:rPr>
          <w:rFonts w:ascii="宋体" w:hAnsi="宋体" w:eastAsia="宋体" w:cs="宋体"/>
          <w:b/>
          <w:color w:val="auto"/>
          <w:sz w:val="24"/>
          <w:szCs w:val="24"/>
          <w:highlight w:val="none"/>
        </w:rPr>
        <w:t>规定的其他价格扣除证明材料（若有）</w:t>
      </w:r>
    </w:p>
    <w:p>
      <w:pPr>
        <w:pStyle w:val="72"/>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pPr>
        <w:pStyle w:val="72"/>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人可享受</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规定的除“节能（非强制类）、环境标志产品价格扣除”及“小型、微型企业产品等价格扣除”外的其他价格扣除优惠，则</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要求提供相应证明材料。</w:t>
      </w: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联合体协议书</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若有）</w:t>
      </w:r>
    </w:p>
    <w:p>
      <w:pPr>
        <w:autoSpaceDE w:val="0"/>
        <w:autoSpaceDN w:val="0"/>
        <w:adjustRightInd w:val="0"/>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none"/>
        </w:rPr>
        <w:t xml:space="preserve">       （联合体名称）</w:t>
      </w:r>
      <w:r>
        <w:rPr>
          <w:rFonts w:hint="eastAsia" w:ascii="宋体" w:hAnsi="宋体" w:eastAsia="宋体" w:cs="宋体"/>
          <w:color w:val="auto"/>
          <w:sz w:val="24"/>
          <w:szCs w:val="24"/>
          <w:highlight w:val="none"/>
        </w:rPr>
        <w:t>联合体，共同参加</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rPr>
        <w:t>（项目名称）项目</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。现就联合体</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事宜订立如下协议。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（联合体名称）</w:t>
      </w:r>
      <w:r>
        <w:rPr>
          <w:rFonts w:hint="eastAsia" w:ascii="宋体" w:hAnsi="宋体" w:eastAsia="宋体" w:cs="宋体"/>
          <w:color w:val="auto"/>
          <w:sz w:val="24"/>
          <w:szCs w:val="24"/>
          <w:highlight w:val="none"/>
        </w:rPr>
        <w:t>联合体牵头人。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活动，签署文件，提交和接收相关的资料、信息及指示，进行合同谈判活动，负责合同实施阶段的组织和协调工作，以及处理与本项目有关的一切事宜。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3.联合体牵头人在本项目中签署的一切文件和处理的一切事宜，联合体各成员均予以承认。联合体各成员将严格按照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文件和合同的要求全面履行义务，并向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承担连带责任。</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联合体各成员单位内部的职责分工如下:</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 xml:space="preserve">                                                            ;</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5.本协议书自所有成员单位法定代表人（单位负责人）或其委托代理人签字，并盖单位章之日起生效，合同履行完毕后自动失效。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6.本协议书一式【】份，联合体成员和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各执一份。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注：由委托代理人签字的，应附授权委托书。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rPr>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pStyle w:val="3"/>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highlight w:val="none"/>
        </w:rPr>
      </w:pPr>
      <w:bookmarkStart w:id="59" w:name="_Toc30944"/>
      <w:r>
        <w:rPr>
          <w:rFonts w:hint="eastAsia"/>
          <w:color w:val="auto"/>
          <w:highlight w:val="none"/>
          <w:lang w:val="en-US" w:eastAsia="zh-CN"/>
        </w:rPr>
        <w:t>附件：福建省</w:t>
      </w:r>
      <w:r>
        <w:rPr>
          <w:rFonts w:hint="eastAsia"/>
          <w:color w:val="auto"/>
          <w:highlight w:val="none"/>
        </w:rPr>
        <w:t>政府采购供应商资格承诺函</w:t>
      </w:r>
      <w:bookmarkEnd w:id="59"/>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采购文件要求以及《中华人民共和国政府采购法》第二十二条规定的条件:</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名称(单位公章):</w:t>
      </w:r>
    </w:p>
    <w:p>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1.我单位(本人)专指参加政府采购活动的供应商(含自然人)</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(响应)文件中按此模板提供承诺函，否则，视为</w:t>
      </w:r>
      <w:r>
        <w:rPr>
          <w:rFonts w:hint="eastAsia" w:ascii="宋体" w:hAnsi="宋体" w:eastAsia="宋体" w:cs="宋体"/>
          <w:color w:val="auto"/>
          <w:sz w:val="24"/>
          <w:szCs w:val="24"/>
          <w:highlight w:val="none"/>
          <w:lang w:eastAsia="zh-CN"/>
        </w:rPr>
        <w:t>未按照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文件规定提交</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人的资格及资信文件，按资格审查不通过处理。</w:t>
      </w:r>
    </w:p>
    <w:p>
      <w:pPr>
        <w:spacing w:line="360" w:lineRule="auto"/>
        <w:rPr>
          <w:rFonts w:hint="eastAsia" w:ascii="宋体" w:hAnsi="宋体" w:eastAsia="宋体" w:cs="宋体"/>
          <w:color w:val="auto"/>
          <w:sz w:val="24"/>
          <w:szCs w:val="24"/>
          <w:highlight w:val="none"/>
        </w:rPr>
      </w:pPr>
    </w:p>
    <w:sectPr>
      <w:footerReference r:id="rId19"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rPr>
    </w:pPr>
    <w:r>
      <w:rPr>
        <w:rFonts w:hint="eastAsia"/>
      </w:rPr>
      <w:t xml:space="preserve">                                                                      </w:t>
    </w:r>
    <w:r>
      <w:rPr>
        <w:rFonts w:hint="eastAsia" w:ascii="宋体" w:hAnsi="宋体"/>
      </w:rPr>
      <w:t xml:space="preserve"> </w:t>
    </w:r>
    <w:r>
      <w:rPr>
        <w:rStyle w:val="27"/>
        <w:rFonts w:hint="eastAsia" w:ascii="宋体" w:hAnsi="宋体"/>
      </w:rPr>
      <w:t>第</w:t>
    </w:r>
    <w:r>
      <w:rPr>
        <w:rFonts w:ascii="宋体" w:hAnsi="宋体"/>
      </w:rPr>
      <w:fldChar w:fldCharType="begin"/>
    </w:r>
    <w:r>
      <w:rPr>
        <w:rStyle w:val="27"/>
        <w:rFonts w:ascii="宋体" w:hAnsi="宋体"/>
      </w:rPr>
      <w:instrText xml:space="preserve"> PAGE </w:instrText>
    </w:r>
    <w:r>
      <w:rPr>
        <w:rFonts w:ascii="宋体" w:hAnsi="宋体"/>
      </w:rPr>
      <w:fldChar w:fldCharType="separate"/>
    </w:r>
    <w:r>
      <w:rPr>
        <w:rStyle w:val="27"/>
        <w:rFonts w:ascii="宋体" w:hAnsi="宋体"/>
      </w:rPr>
      <w:t>72</w:t>
    </w:r>
    <w:r>
      <w:rPr>
        <w:rFonts w:ascii="宋体" w:hAnsi="宋体"/>
      </w:rPr>
      <w:fldChar w:fldCharType="end"/>
    </w:r>
    <w:r>
      <w:rPr>
        <w:rStyle w:val="27"/>
        <w:rFonts w:hint="eastAsia" w:ascii="宋体" w:hAnsi="宋体"/>
      </w:rPr>
      <w:t>页，共</w:t>
    </w:r>
    <w:r>
      <w:rPr>
        <w:rFonts w:ascii="宋体" w:hAnsi="宋体"/>
      </w:rPr>
      <w:fldChar w:fldCharType="begin"/>
    </w:r>
    <w:r>
      <w:rPr>
        <w:rStyle w:val="27"/>
        <w:rFonts w:ascii="宋体" w:hAnsi="宋体"/>
      </w:rPr>
      <w:instrText xml:space="preserve"> NUMPAGES </w:instrText>
    </w:r>
    <w:r>
      <w:rPr>
        <w:rFonts w:ascii="宋体" w:hAnsi="宋体"/>
      </w:rPr>
      <w:fldChar w:fldCharType="separate"/>
    </w:r>
    <w:r>
      <w:rPr>
        <w:rStyle w:val="27"/>
        <w:rFonts w:ascii="宋体" w:hAnsi="宋体"/>
      </w:rPr>
      <w:t>98</w:t>
    </w:r>
    <w:r>
      <w:rPr>
        <w:rFonts w:ascii="宋体" w:hAnsi="宋体"/>
      </w:rPr>
      <w:fldChar w:fldCharType="end"/>
    </w:r>
    <w:r>
      <w:rPr>
        <w:rStyle w:val="27"/>
        <w:rFonts w:hint="eastAsia"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780" w:firstLineChars="21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86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80</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5"/>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5"/>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5"/>
      <w:tabs>
        <w:tab w:val="left" w:pos="945"/>
      </w:tabs>
      <w:rPr>
        <w:rFonts w:hint="eastAsia"/>
      </w:rP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rPr>
    </w:pPr>
    <w:r>
      <w:rPr>
        <w:rFonts w:hint="eastAsia"/>
      </w:rPr>
      <w:t xml:space="preserve">                                             </w:t>
    </w:r>
    <w:r>
      <w:rPr>
        <w:rFonts w:hint="eastAsia" w:ascii="宋体" w:hAnsi="宋体"/>
      </w:rPr>
      <w:t xml:space="preserve">                             </w:t>
    </w:r>
    <w:r>
      <w:rPr>
        <w:rStyle w:val="27"/>
        <w:rFonts w:hint="eastAsia" w:ascii="宋体" w:hAnsi="宋体"/>
      </w:rPr>
      <w:t>第</w:t>
    </w:r>
    <w:r>
      <w:rPr>
        <w:rFonts w:ascii="宋体" w:hAnsi="宋体"/>
      </w:rPr>
      <w:fldChar w:fldCharType="begin"/>
    </w:r>
    <w:r>
      <w:rPr>
        <w:rStyle w:val="27"/>
        <w:rFonts w:ascii="宋体" w:hAnsi="宋体"/>
      </w:rPr>
      <w:instrText xml:space="preserve"> PAGE </w:instrText>
    </w:r>
    <w:r>
      <w:rPr>
        <w:rFonts w:ascii="宋体" w:hAnsi="宋体"/>
      </w:rPr>
      <w:fldChar w:fldCharType="separate"/>
    </w:r>
    <w:r>
      <w:rPr>
        <w:rStyle w:val="27"/>
        <w:rFonts w:ascii="宋体" w:hAnsi="宋体"/>
      </w:rPr>
      <w:t>69</w:t>
    </w:r>
    <w:r>
      <w:rPr>
        <w:rFonts w:ascii="宋体" w:hAnsi="宋体"/>
      </w:rPr>
      <w:fldChar w:fldCharType="end"/>
    </w:r>
    <w:r>
      <w:rPr>
        <w:rStyle w:val="27"/>
        <w:rFonts w:hint="eastAsia" w:ascii="宋体" w:hAnsi="宋体"/>
      </w:rPr>
      <w:t>页，共</w:t>
    </w:r>
    <w:r>
      <w:rPr>
        <w:rFonts w:ascii="宋体" w:hAnsi="宋体"/>
      </w:rPr>
      <w:fldChar w:fldCharType="begin"/>
    </w:r>
    <w:r>
      <w:rPr>
        <w:rStyle w:val="27"/>
        <w:rFonts w:ascii="宋体" w:hAnsi="宋体"/>
      </w:rPr>
      <w:instrText xml:space="preserve"> NUMPAGES </w:instrText>
    </w:r>
    <w:r>
      <w:rPr>
        <w:rFonts w:ascii="宋体" w:hAnsi="宋体"/>
      </w:rPr>
      <w:fldChar w:fldCharType="separate"/>
    </w:r>
    <w:r>
      <w:rPr>
        <w:rStyle w:val="27"/>
        <w:rFonts w:ascii="宋体" w:hAnsi="宋体"/>
      </w:rPr>
      <w:t>98</w:t>
    </w:r>
    <w:r>
      <w:rPr>
        <w:rFonts w:ascii="宋体" w:hAnsi="宋体"/>
      </w:rPr>
      <w:fldChar w:fldCharType="end"/>
    </w:r>
    <w:r>
      <w:rPr>
        <w:rStyle w:val="27"/>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rPr>
    </w:pPr>
    <w:r>
      <w:rPr>
        <w:rFonts w:hint="eastAsia"/>
      </w:rPr>
      <w:t xml:space="preserve">                                      </w:t>
    </w:r>
    <w:r>
      <w:rPr>
        <w:rFonts w:hint="eastAsia" w:ascii="宋体" w:hAnsi="宋体"/>
      </w:rPr>
      <w:t xml:space="preserve"> </w:t>
    </w:r>
    <w:r>
      <w:rPr>
        <w:rStyle w:val="27"/>
        <w:rFonts w:hint="eastAsia" w:ascii="宋体" w:hAnsi="宋体"/>
      </w:rPr>
      <w:t>第</w:t>
    </w:r>
    <w:r>
      <w:rPr>
        <w:rFonts w:ascii="宋体" w:hAnsi="宋体"/>
      </w:rPr>
      <w:fldChar w:fldCharType="begin"/>
    </w:r>
    <w:r>
      <w:rPr>
        <w:rStyle w:val="27"/>
        <w:rFonts w:ascii="宋体" w:hAnsi="宋体"/>
      </w:rPr>
      <w:instrText xml:space="preserve"> PAGE </w:instrText>
    </w:r>
    <w:r>
      <w:rPr>
        <w:rFonts w:ascii="宋体" w:hAnsi="宋体"/>
      </w:rPr>
      <w:fldChar w:fldCharType="separate"/>
    </w:r>
    <w:r>
      <w:rPr>
        <w:rStyle w:val="27"/>
        <w:rFonts w:ascii="宋体" w:hAnsi="宋体"/>
      </w:rPr>
      <w:t>70</w:t>
    </w:r>
    <w:r>
      <w:rPr>
        <w:rFonts w:ascii="宋体" w:hAnsi="宋体"/>
      </w:rPr>
      <w:fldChar w:fldCharType="end"/>
    </w:r>
    <w:r>
      <w:rPr>
        <w:rStyle w:val="27"/>
        <w:rFonts w:hint="eastAsia" w:ascii="宋体" w:hAnsi="宋体"/>
      </w:rPr>
      <w:t>页，共</w:t>
    </w:r>
    <w:r>
      <w:rPr>
        <w:rFonts w:ascii="宋体" w:hAnsi="宋体"/>
      </w:rPr>
      <w:fldChar w:fldCharType="begin"/>
    </w:r>
    <w:r>
      <w:rPr>
        <w:rStyle w:val="27"/>
        <w:rFonts w:ascii="宋体" w:hAnsi="宋体"/>
      </w:rPr>
      <w:instrText xml:space="preserve"> NUMPAGES </w:instrText>
    </w:r>
    <w:r>
      <w:rPr>
        <w:rFonts w:ascii="宋体" w:hAnsi="宋体"/>
      </w:rPr>
      <w:fldChar w:fldCharType="separate"/>
    </w:r>
    <w:r>
      <w:rPr>
        <w:rStyle w:val="27"/>
        <w:rFonts w:ascii="宋体" w:hAnsi="宋体"/>
      </w:rPr>
      <w:t>98</w:t>
    </w:r>
    <w:r>
      <w:rPr>
        <w:rFonts w:ascii="宋体" w:hAnsi="宋体"/>
      </w:rPr>
      <w:fldChar w:fldCharType="end"/>
    </w:r>
    <w:r>
      <w:rPr>
        <w:rStyle w:val="27"/>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sz w:val="21"/>
        <w:szCs w:val="21"/>
      </w:rPr>
    </w:pPr>
    <w:r>
      <w:rPr>
        <w:rFonts w:hint="eastAsia"/>
        <w:sz w:val="21"/>
        <w:szCs w:val="21"/>
      </w:rPr>
      <w:t>竞争性磋商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OWU5YzdjOTFkYTg0NWQxNDU0ZGM2NTM5MDA2MDkifQ=="/>
  </w:docVars>
  <w:rsids>
    <w:rsidRoot w:val="00826F6A"/>
    <w:rsid w:val="00004FCA"/>
    <w:rsid w:val="00015427"/>
    <w:rsid w:val="000303E7"/>
    <w:rsid w:val="00030994"/>
    <w:rsid w:val="00031ECA"/>
    <w:rsid w:val="000403E2"/>
    <w:rsid w:val="000456D2"/>
    <w:rsid w:val="00053914"/>
    <w:rsid w:val="00056ED7"/>
    <w:rsid w:val="00060F40"/>
    <w:rsid w:val="000708B5"/>
    <w:rsid w:val="000732C5"/>
    <w:rsid w:val="0008387C"/>
    <w:rsid w:val="00087CED"/>
    <w:rsid w:val="00093A34"/>
    <w:rsid w:val="00093FB5"/>
    <w:rsid w:val="000971CF"/>
    <w:rsid w:val="000A6A06"/>
    <w:rsid w:val="000B5B34"/>
    <w:rsid w:val="000D3F6B"/>
    <w:rsid w:val="000D4732"/>
    <w:rsid w:val="000E4EAA"/>
    <w:rsid w:val="000E5F6A"/>
    <w:rsid w:val="000E6E11"/>
    <w:rsid w:val="000F5947"/>
    <w:rsid w:val="001032F0"/>
    <w:rsid w:val="00107D2E"/>
    <w:rsid w:val="00115B27"/>
    <w:rsid w:val="001223B6"/>
    <w:rsid w:val="00122916"/>
    <w:rsid w:val="00124A71"/>
    <w:rsid w:val="00145FCA"/>
    <w:rsid w:val="0015486C"/>
    <w:rsid w:val="00163270"/>
    <w:rsid w:val="00181B2F"/>
    <w:rsid w:val="00190133"/>
    <w:rsid w:val="001925BC"/>
    <w:rsid w:val="00192AE6"/>
    <w:rsid w:val="001A052C"/>
    <w:rsid w:val="001B3193"/>
    <w:rsid w:val="001B3E4B"/>
    <w:rsid w:val="001B5DC4"/>
    <w:rsid w:val="001C6BDD"/>
    <w:rsid w:val="001D2B9A"/>
    <w:rsid w:val="001E32E9"/>
    <w:rsid w:val="001E4519"/>
    <w:rsid w:val="001E4D79"/>
    <w:rsid w:val="001F0EF0"/>
    <w:rsid w:val="00202C4E"/>
    <w:rsid w:val="00203852"/>
    <w:rsid w:val="00204031"/>
    <w:rsid w:val="00205C5B"/>
    <w:rsid w:val="00205F5C"/>
    <w:rsid w:val="00217737"/>
    <w:rsid w:val="00220A7A"/>
    <w:rsid w:val="002411A2"/>
    <w:rsid w:val="00241AF9"/>
    <w:rsid w:val="00253179"/>
    <w:rsid w:val="00262CC0"/>
    <w:rsid w:val="00265E22"/>
    <w:rsid w:val="00276A73"/>
    <w:rsid w:val="00293316"/>
    <w:rsid w:val="002A14ED"/>
    <w:rsid w:val="002A33AE"/>
    <w:rsid w:val="002A7CD3"/>
    <w:rsid w:val="002B70FF"/>
    <w:rsid w:val="002D5FD0"/>
    <w:rsid w:val="002D6E9E"/>
    <w:rsid w:val="002D6F42"/>
    <w:rsid w:val="002E15EC"/>
    <w:rsid w:val="002F23EA"/>
    <w:rsid w:val="002F2695"/>
    <w:rsid w:val="0031495C"/>
    <w:rsid w:val="003229E2"/>
    <w:rsid w:val="003243BD"/>
    <w:rsid w:val="00324F97"/>
    <w:rsid w:val="00326994"/>
    <w:rsid w:val="00330CEB"/>
    <w:rsid w:val="00336DE3"/>
    <w:rsid w:val="00347D7C"/>
    <w:rsid w:val="003522CC"/>
    <w:rsid w:val="00357F47"/>
    <w:rsid w:val="00365811"/>
    <w:rsid w:val="00374BCF"/>
    <w:rsid w:val="0039585F"/>
    <w:rsid w:val="003A697E"/>
    <w:rsid w:val="003B0A79"/>
    <w:rsid w:val="003B700D"/>
    <w:rsid w:val="003D03FA"/>
    <w:rsid w:val="003D3508"/>
    <w:rsid w:val="003E3AF8"/>
    <w:rsid w:val="003E71FD"/>
    <w:rsid w:val="003E785B"/>
    <w:rsid w:val="003F2644"/>
    <w:rsid w:val="00411025"/>
    <w:rsid w:val="00425F1A"/>
    <w:rsid w:val="00435F2D"/>
    <w:rsid w:val="00437B3B"/>
    <w:rsid w:val="00451ADF"/>
    <w:rsid w:val="00463346"/>
    <w:rsid w:val="00470C89"/>
    <w:rsid w:val="0047523A"/>
    <w:rsid w:val="0047611A"/>
    <w:rsid w:val="004778EE"/>
    <w:rsid w:val="0049507E"/>
    <w:rsid w:val="004965A1"/>
    <w:rsid w:val="004A198A"/>
    <w:rsid w:val="004B4025"/>
    <w:rsid w:val="004B4FB9"/>
    <w:rsid w:val="004B7C99"/>
    <w:rsid w:val="004C164D"/>
    <w:rsid w:val="004D263D"/>
    <w:rsid w:val="004D7F72"/>
    <w:rsid w:val="004E1F46"/>
    <w:rsid w:val="004E2A94"/>
    <w:rsid w:val="004E2B1D"/>
    <w:rsid w:val="004E2C29"/>
    <w:rsid w:val="005027EF"/>
    <w:rsid w:val="00502A8A"/>
    <w:rsid w:val="005068A1"/>
    <w:rsid w:val="00512ADA"/>
    <w:rsid w:val="00513323"/>
    <w:rsid w:val="005240C0"/>
    <w:rsid w:val="005365C6"/>
    <w:rsid w:val="005422CA"/>
    <w:rsid w:val="00543E58"/>
    <w:rsid w:val="00544C14"/>
    <w:rsid w:val="0055097B"/>
    <w:rsid w:val="005A00D1"/>
    <w:rsid w:val="005C320D"/>
    <w:rsid w:val="005C434E"/>
    <w:rsid w:val="005D12BE"/>
    <w:rsid w:val="005D4CFF"/>
    <w:rsid w:val="005E1736"/>
    <w:rsid w:val="005E5C49"/>
    <w:rsid w:val="005E5E98"/>
    <w:rsid w:val="005F22B7"/>
    <w:rsid w:val="005F2F27"/>
    <w:rsid w:val="00620D7A"/>
    <w:rsid w:val="00627D6E"/>
    <w:rsid w:val="00640F54"/>
    <w:rsid w:val="0065099D"/>
    <w:rsid w:val="00650FB3"/>
    <w:rsid w:val="00660C4C"/>
    <w:rsid w:val="00661B6C"/>
    <w:rsid w:val="00674EBA"/>
    <w:rsid w:val="00676FCA"/>
    <w:rsid w:val="006805FD"/>
    <w:rsid w:val="006918AC"/>
    <w:rsid w:val="006945EC"/>
    <w:rsid w:val="006975F4"/>
    <w:rsid w:val="006A3B17"/>
    <w:rsid w:val="006C64C3"/>
    <w:rsid w:val="006D2A09"/>
    <w:rsid w:val="006E11B4"/>
    <w:rsid w:val="006E33E6"/>
    <w:rsid w:val="006F6078"/>
    <w:rsid w:val="00700C10"/>
    <w:rsid w:val="007078FA"/>
    <w:rsid w:val="00722957"/>
    <w:rsid w:val="00727FAC"/>
    <w:rsid w:val="0073194D"/>
    <w:rsid w:val="00731F66"/>
    <w:rsid w:val="00734448"/>
    <w:rsid w:val="0074451D"/>
    <w:rsid w:val="00753CEC"/>
    <w:rsid w:val="00756B3E"/>
    <w:rsid w:val="007632B1"/>
    <w:rsid w:val="00764841"/>
    <w:rsid w:val="00772E08"/>
    <w:rsid w:val="00776A41"/>
    <w:rsid w:val="00785E91"/>
    <w:rsid w:val="00786C5B"/>
    <w:rsid w:val="00787DAA"/>
    <w:rsid w:val="007B0E13"/>
    <w:rsid w:val="007C47C7"/>
    <w:rsid w:val="007D5A5C"/>
    <w:rsid w:val="007D77AC"/>
    <w:rsid w:val="007F64F1"/>
    <w:rsid w:val="00820914"/>
    <w:rsid w:val="00825F94"/>
    <w:rsid w:val="00826F6A"/>
    <w:rsid w:val="0083339A"/>
    <w:rsid w:val="00851D28"/>
    <w:rsid w:val="008618EB"/>
    <w:rsid w:val="00867879"/>
    <w:rsid w:val="00874F39"/>
    <w:rsid w:val="00874F3E"/>
    <w:rsid w:val="00886F15"/>
    <w:rsid w:val="008B1404"/>
    <w:rsid w:val="008B6210"/>
    <w:rsid w:val="008D14FB"/>
    <w:rsid w:val="008D4306"/>
    <w:rsid w:val="008D79B9"/>
    <w:rsid w:val="008F099B"/>
    <w:rsid w:val="008F3D42"/>
    <w:rsid w:val="008F5E94"/>
    <w:rsid w:val="008F6D69"/>
    <w:rsid w:val="00925F1F"/>
    <w:rsid w:val="0093137A"/>
    <w:rsid w:val="009355AC"/>
    <w:rsid w:val="0093729D"/>
    <w:rsid w:val="00947285"/>
    <w:rsid w:val="009565BD"/>
    <w:rsid w:val="009571A8"/>
    <w:rsid w:val="00962A88"/>
    <w:rsid w:val="00964D71"/>
    <w:rsid w:val="009659F9"/>
    <w:rsid w:val="00965B65"/>
    <w:rsid w:val="00971EFA"/>
    <w:rsid w:val="009732B8"/>
    <w:rsid w:val="00987747"/>
    <w:rsid w:val="00992043"/>
    <w:rsid w:val="009968C1"/>
    <w:rsid w:val="00997AA5"/>
    <w:rsid w:val="009A6E5B"/>
    <w:rsid w:val="009C734F"/>
    <w:rsid w:val="009D3351"/>
    <w:rsid w:val="009F7246"/>
    <w:rsid w:val="00A175CF"/>
    <w:rsid w:val="00A22F3F"/>
    <w:rsid w:val="00A25FE5"/>
    <w:rsid w:val="00A327B8"/>
    <w:rsid w:val="00A43E9B"/>
    <w:rsid w:val="00A5347E"/>
    <w:rsid w:val="00A63B74"/>
    <w:rsid w:val="00A774EB"/>
    <w:rsid w:val="00A838F7"/>
    <w:rsid w:val="00A85A62"/>
    <w:rsid w:val="00A929ED"/>
    <w:rsid w:val="00A95CF9"/>
    <w:rsid w:val="00A9639B"/>
    <w:rsid w:val="00AA4AC1"/>
    <w:rsid w:val="00AA7D4D"/>
    <w:rsid w:val="00AB10D3"/>
    <w:rsid w:val="00AB5A0E"/>
    <w:rsid w:val="00AB5A3C"/>
    <w:rsid w:val="00AD32AF"/>
    <w:rsid w:val="00AE25EE"/>
    <w:rsid w:val="00AE2ED6"/>
    <w:rsid w:val="00B0289E"/>
    <w:rsid w:val="00B074E1"/>
    <w:rsid w:val="00B17B7B"/>
    <w:rsid w:val="00B21E9C"/>
    <w:rsid w:val="00B2533C"/>
    <w:rsid w:val="00B25422"/>
    <w:rsid w:val="00B40EE1"/>
    <w:rsid w:val="00B45CAF"/>
    <w:rsid w:val="00B57896"/>
    <w:rsid w:val="00B631A6"/>
    <w:rsid w:val="00B6324D"/>
    <w:rsid w:val="00B644AC"/>
    <w:rsid w:val="00B65A20"/>
    <w:rsid w:val="00B673BF"/>
    <w:rsid w:val="00B92D0F"/>
    <w:rsid w:val="00BA0EAD"/>
    <w:rsid w:val="00BA20E7"/>
    <w:rsid w:val="00BA2EEE"/>
    <w:rsid w:val="00BA7359"/>
    <w:rsid w:val="00BE2089"/>
    <w:rsid w:val="00BF0F4C"/>
    <w:rsid w:val="00BF1DC6"/>
    <w:rsid w:val="00BF431E"/>
    <w:rsid w:val="00C01E29"/>
    <w:rsid w:val="00C05341"/>
    <w:rsid w:val="00C420BD"/>
    <w:rsid w:val="00C43A93"/>
    <w:rsid w:val="00C652A1"/>
    <w:rsid w:val="00C70D1E"/>
    <w:rsid w:val="00C76E0E"/>
    <w:rsid w:val="00C778BA"/>
    <w:rsid w:val="00C93476"/>
    <w:rsid w:val="00C9764E"/>
    <w:rsid w:val="00CA0CF0"/>
    <w:rsid w:val="00CB724C"/>
    <w:rsid w:val="00CC000A"/>
    <w:rsid w:val="00CC0E8A"/>
    <w:rsid w:val="00CC1CE5"/>
    <w:rsid w:val="00CC2EF9"/>
    <w:rsid w:val="00CC2F92"/>
    <w:rsid w:val="00CD2332"/>
    <w:rsid w:val="00CD589C"/>
    <w:rsid w:val="00CE61EE"/>
    <w:rsid w:val="00CE7A27"/>
    <w:rsid w:val="00CF094E"/>
    <w:rsid w:val="00CF67E4"/>
    <w:rsid w:val="00CF7C23"/>
    <w:rsid w:val="00D139DC"/>
    <w:rsid w:val="00D14B11"/>
    <w:rsid w:val="00D20238"/>
    <w:rsid w:val="00D232E5"/>
    <w:rsid w:val="00D23474"/>
    <w:rsid w:val="00D26177"/>
    <w:rsid w:val="00D26CD8"/>
    <w:rsid w:val="00D36F98"/>
    <w:rsid w:val="00D401C3"/>
    <w:rsid w:val="00D43D9E"/>
    <w:rsid w:val="00D529EE"/>
    <w:rsid w:val="00D56EFD"/>
    <w:rsid w:val="00D7074A"/>
    <w:rsid w:val="00D74422"/>
    <w:rsid w:val="00DA2D75"/>
    <w:rsid w:val="00DB525D"/>
    <w:rsid w:val="00DC2203"/>
    <w:rsid w:val="00DC5C1F"/>
    <w:rsid w:val="00DD0D5E"/>
    <w:rsid w:val="00DD7997"/>
    <w:rsid w:val="00DE008E"/>
    <w:rsid w:val="00E148FF"/>
    <w:rsid w:val="00E25247"/>
    <w:rsid w:val="00E34527"/>
    <w:rsid w:val="00E4442C"/>
    <w:rsid w:val="00E514AA"/>
    <w:rsid w:val="00E6702C"/>
    <w:rsid w:val="00E7762F"/>
    <w:rsid w:val="00E80B7C"/>
    <w:rsid w:val="00E9294C"/>
    <w:rsid w:val="00E93162"/>
    <w:rsid w:val="00EA1A54"/>
    <w:rsid w:val="00EB2468"/>
    <w:rsid w:val="00EB4AEE"/>
    <w:rsid w:val="00EC3715"/>
    <w:rsid w:val="00ED0F4F"/>
    <w:rsid w:val="00ED38F5"/>
    <w:rsid w:val="00EF2C49"/>
    <w:rsid w:val="00F11077"/>
    <w:rsid w:val="00F12130"/>
    <w:rsid w:val="00F14343"/>
    <w:rsid w:val="00F15452"/>
    <w:rsid w:val="00F245BF"/>
    <w:rsid w:val="00F25D88"/>
    <w:rsid w:val="00F32EBD"/>
    <w:rsid w:val="00F34C9F"/>
    <w:rsid w:val="00F67591"/>
    <w:rsid w:val="00F705F5"/>
    <w:rsid w:val="00F74E64"/>
    <w:rsid w:val="00F75021"/>
    <w:rsid w:val="00F82DBB"/>
    <w:rsid w:val="00F91044"/>
    <w:rsid w:val="00F92FF7"/>
    <w:rsid w:val="00FA1AAE"/>
    <w:rsid w:val="00FA50F4"/>
    <w:rsid w:val="00FA6CE3"/>
    <w:rsid w:val="00FC0838"/>
    <w:rsid w:val="00FC5347"/>
    <w:rsid w:val="00FE357D"/>
    <w:rsid w:val="00FE446B"/>
    <w:rsid w:val="00FE6474"/>
    <w:rsid w:val="00FE707B"/>
    <w:rsid w:val="00FF57CB"/>
    <w:rsid w:val="016A4FB0"/>
    <w:rsid w:val="02C16C5D"/>
    <w:rsid w:val="039B34AB"/>
    <w:rsid w:val="048052C8"/>
    <w:rsid w:val="05AF0C4B"/>
    <w:rsid w:val="09060CCF"/>
    <w:rsid w:val="0B802FC0"/>
    <w:rsid w:val="0E81364F"/>
    <w:rsid w:val="0EAC0C2F"/>
    <w:rsid w:val="10CC7C4C"/>
    <w:rsid w:val="134E49AB"/>
    <w:rsid w:val="1467538C"/>
    <w:rsid w:val="16591BE3"/>
    <w:rsid w:val="174573E4"/>
    <w:rsid w:val="177E2BD8"/>
    <w:rsid w:val="1CE93ADB"/>
    <w:rsid w:val="1D2520DA"/>
    <w:rsid w:val="1D2B2547"/>
    <w:rsid w:val="21DB72EE"/>
    <w:rsid w:val="24620164"/>
    <w:rsid w:val="24714188"/>
    <w:rsid w:val="252F5CBE"/>
    <w:rsid w:val="268D1FE2"/>
    <w:rsid w:val="29253660"/>
    <w:rsid w:val="2955079D"/>
    <w:rsid w:val="2965733E"/>
    <w:rsid w:val="297F55A8"/>
    <w:rsid w:val="29FE2F4B"/>
    <w:rsid w:val="2B0C5BAD"/>
    <w:rsid w:val="2BB265D4"/>
    <w:rsid w:val="2BC67AFB"/>
    <w:rsid w:val="2C0716F3"/>
    <w:rsid w:val="2CBB0936"/>
    <w:rsid w:val="2E6A3F6E"/>
    <w:rsid w:val="302A3C52"/>
    <w:rsid w:val="31072342"/>
    <w:rsid w:val="332B7727"/>
    <w:rsid w:val="33A83F45"/>
    <w:rsid w:val="34EB7E53"/>
    <w:rsid w:val="35A377B5"/>
    <w:rsid w:val="35B14478"/>
    <w:rsid w:val="362E71CA"/>
    <w:rsid w:val="36866D8C"/>
    <w:rsid w:val="370A11CB"/>
    <w:rsid w:val="37541B0C"/>
    <w:rsid w:val="384E0F02"/>
    <w:rsid w:val="3A8754B5"/>
    <w:rsid w:val="3AD52F83"/>
    <w:rsid w:val="3B702E61"/>
    <w:rsid w:val="3BBA0BFE"/>
    <w:rsid w:val="3CB8586D"/>
    <w:rsid w:val="3D641B45"/>
    <w:rsid w:val="3D74141C"/>
    <w:rsid w:val="3F475F84"/>
    <w:rsid w:val="3FB73D77"/>
    <w:rsid w:val="41745724"/>
    <w:rsid w:val="420C4005"/>
    <w:rsid w:val="43D71C57"/>
    <w:rsid w:val="45212031"/>
    <w:rsid w:val="46A6452C"/>
    <w:rsid w:val="482D3528"/>
    <w:rsid w:val="49453B20"/>
    <w:rsid w:val="4A9E74DA"/>
    <w:rsid w:val="4B511135"/>
    <w:rsid w:val="4DC16CEF"/>
    <w:rsid w:val="4E14099E"/>
    <w:rsid w:val="4EDB4420"/>
    <w:rsid w:val="4F85093B"/>
    <w:rsid w:val="51EB0E4A"/>
    <w:rsid w:val="524272D1"/>
    <w:rsid w:val="53977C27"/>
    <w:rsid w:val="546A04F9"/>
    <w:rsid w:val="55763163"/>
    <w:rsid w:val="559612BE"/>
    <w:rsid w:val="57575892"/>
    <w:rsid w:val="579847DC"/>
    <w:rsid w:val="580E20A5"/>
    <w:rsid w:val="5B5E2783"/>
    <w:rsid w:val="5BC75B25"/>
    <w:rsid w:val="5BE95DFD"/>
    <w:rsid w:val="5C9C0CCC"/>
    <w:rsid w:val="5DE83427"/>
    <w:rsid w:val="5E6A6CE4"/>
    <w:rsid w:val="5ED05BA4"/>
    <w:rsid w:val="5F3C2ED6"/>
    <w:rsid w:val="608975AF"/>
    <w:rsid w:val="613F2D1B"/>
    <w:rsid w:val="61BD1E87"/>
    <w:rsid w:val="61DD6CB6"/>
    <w:rsid w:val="624D2468"/>
    <w:rsid w:val="62F847FD"/>
    <w:rsid w:val="640D28F6"/>
    <w:rsid w:val="646F17DD"/>
    <w:rsid w:val="64D261EF"/>
    <w:rsid w:val="654F0844"/>
    <w:rsid w:val="691014EC"/>
    <w:rsid w:val="695B48BA"/>
    <w:rsid w:val="69F23F64"/>
    <w:rsid w:val="6ACA1BE4"/>
    <w:rsid w:val="6C983412"/>
    <w:rsid w:val="6F9D0FC8"/>
    <w:rsid w:val="71021CE9"/>
    <w:rsid w:val="71816D87"/>
    <w:rsid w:val="728D004D"/>
    <w:rsid w:val="73981633"/>
    <w:rsid w:val="73CD5036"/>
    <w:rsid w:val="759A4A78"/>
    <w:rsid w:val="759D270C"/>
    <w:rsid w:val="75F701BD"/>
    <w:rsid w:val="77003E75"/>
    <w:rsid w:val="776C706F"/>
    <w:rsid w:val="77B262B5"/>
    <w:rsid w:val="78424A5B"/>
    <w:rsid w:val="78570853"/>
    <w:rsid w:val="789B3CC7"/>
    <w:rsid w:val="7EFF774B"/>
    <w:rsid w:val="7FDB59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6"/>
      <w:szCs w:val="20"/>
    </w:rPr>
  </w:style>
  <w:style w:type="paragraph" w:styleId="4">
    <w:name w:val="heading 2"/>
    <w:basedOn w:val="1"/>
    <w:next w:val="1"/>
    <w:link w:val="32"/>
    <w:qFormat/>
    <w:uiPriority w:val="0"/>
    <w:pPr>
      <w:keepNext/>
      <w:keepLines/>
      <w:spacing w:before="260" w:after="260" w:line="416" w:lineRule="auto"/>
      <w:outlineLvl w:val="1"/>
    </w:pPr>
    <w:rPr>
      <w:rFonts w:ascii="Arial" w:hAnsi="Arial" w:eastAsia="黑体"/>
      <w:b/>
      <w:bCs/>
      <w:sz w:val="30"/>
      <w:szCs w:val="32"/>
    </w:rPr>
  </w:style>
  <w:style w:type="paragraph" w:styleId="5">
    <w:name w:val="heading 3"/>
    <w:basedOn w:val="1"/>
    <w:next w:val="1"/>
    <w:link w:val="33"/>
    <w:qFormat/>
    <w:uiPriority w:val="9"/>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正文1"/>
    <w:qFormat/>
    <w:uiPriority w:val="0"/>
    <w:pPr>
      <w:jc w:val="both"/>
    </w:pPr>
    <w:rPr>
      <w:rFonts w:ascii="Times New Roman" w:hAnsi="Times New Roman" w:eastAsia="宋体" w:cs="Times New Roman"/>
      <w:kern w:val="2"/>
      <w:sz w:val="21"/>
      <w:szCs w:val="21"/>
      <w:lang w:val="en-US" w:eastAsia="zh-CN" w:bidi="ar-SA"/>
    </w:rPr>
  </w:style>
  <w:style w:type="paragraph" w:styleId="6">
    <w:name w:val="Normal Indent"/>
    <w:basedOn w:val="1"/>
    <w:link w:val="34"/>
    <w:qFormat/>
    <w:uiPriority w:val="0"/>
    <w:pPr>
      <w:ind w:firstLine="420"/>
    </w:pPr>
    <w:rPr>
      <w:rFonts w:ascii="宋体" w:hAnsi="宋体"/>
      <w:kern w:val="0"/>
      <w:sz w:val="20"/>
      <w:szCs w:val="20"/>
    </w:rPr>
  </w:style>
  <w:style w:type="paragraph" w:styleId="7">
    <w:name w:val="annotation text"/>
    <w:basedOn w:val="1"/>
    <w:link w:val="35"/>
    <w:unhideWhenUsed/>
    <w:qFormat/>
    <w:uiPriority w:val="99"/>
    <w:pPr>
      <w:jc w:val="left"/>
    </w:pPr>
  </w:style>
  <w:style w:type="paragraph" w:styleId="8">
    <w:name w:val="Body Text"/>
    <w:basedOn w:val="1"/>
    <w:next w:val="1"/>
    <w:link w:val="36"/>
    <w:qFormat/>
    <w:uiPriority w:val="0"/>
    <w:pPr>
      <w:spacing w:after="120"/>
    </w:pPr>
    <w:rPr>
      <w:szCs w:val="24"/>
    </w:rPr>
  </w:style>
  <w:style w:type="paragraph" w:styleId="9">
    <w:name w:val="Body Text Indent"/>
    <w:basedOn w:val="1"/>
    <w:next w:val="1"/>
    <w:link w:val="37"/>
    <w:qFormat/>
    <w:uiPriority w:val="0"/>
    <w:pPr>
      <w:spacing w:after="120"/>
      <w:ind w:left="420" w:leftChars="200"/>
    </w:pPr>
    <w:rPr>
      <w:szCs w:val="24"/>
    </w:rPr>
  </w:style>
  <w:style w:type="paragraph" w:styleId="10">
    <w:name w:val="toc 3"/>
    <w:basedOn w:val="1"/>
    <w:next w:val="1"/>
    <w:semiHidden/>
    <w:unhideWhenUsed/>
    <w:qFormat/>
    <w:uiPriority w:val="39"/>
    <w:pPr>
      <w:ind w:left="840" w:leftChars="400"/>
    </w:pPr>
  </w:style>
  <w:style w:type="paragraph" w:styleId="11">
    <w:name w:val="Plain Text"/>
    <w:basedOn w:val="1"/>
    <w:link w:val="38"/>
    <w:qFormat/>
    <w:uiPriority w:val="0"/>
    <w:rPr>
      <w:rFonts w:ascii="宋体" w:hAnsi="Courier New"/>
      <w:kern w:val="0"/>
      <w:sz w:val="20"/>
      <w:szCs w:val="20"/>
    </w:rPr>
  </w:style>
  <w:style w:type="paragraph" w:styleId="12">
    <w:name w:val="Date"/>
    <w:basedOn w:val="1"/>
    <w:next w:val="1"/>
    <w:link w:val="39"/>
    <w:qFormat/>
    <w:uiPriority w:val="0"/>
    <w:pPr>
      <w:ind w:left="100" w:leftChars="2500"/>
    </w:pPr>
  </w:style>
  <w:style w:type="paragraph" w:styleId="13">
    <w:name w:val="Body Text Indent 2"/>
    <w:basedOn w:val="1"/>
    <w:link w:val="40"/>
    <w:qFormat/>
    <w:uiPriority w:val="0"/>
    <w:pPr>
      <w:spacing w:after="120" w:line="480" w:lineRule="auto"/>
      <w:ind w:left="420" w:leftChars="200"/>
    </w:pPr>
    <w:rPr>
      <w:szCs w:val="24"/>
    </w:rPr>
  </w:style>
  <w:style w:type="paragraph" w:styleId="14">
    <w:name w:val="Balloon Text"/>
    <w:basedOn w:val="1"/>
    <w:link w:val="41"/>
    <w:qFormat/>
    <w:uiPriority w:val="0"/>
    <w:rPr>
      <w:kern w:val="0"/>
      <w:sz w:val="18"/>
      <w:szCs w:val="18"/>
    </w:rPr>
  </w:style>
  <w:style w:type="paragraph" w:styleId="15">
    <w:name w:val="footer"/>
    <w:basedOn w:val="1"/>
    <w:link w:val="42"/>
    <w:unhideWhenUsed/>
    <w:qFormat/>
    <w:uiPriority w:val="0"/>
    <w:pPr>
      <w:tabs>
        <w:tab w:val="center" w:pos="4153"/>
        <w:tab w:val="right" w:pos="8306"/>
      </w:tabs>
      <w:snapToGrid w:val="0"/>
      <w:jc w:val="left"/>
    </w:pPr>
    <w:rPr>
      <w:sz w:val="18"/>
      <w:szCs w:val="18"/>
    </w:rPr>
  </w:style>
  <w:style w:type="paragraph" w:styleId="16">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rPr>
      <w:rFonts w:ascii="Times New Roman" w:hAnsi="Times New Roman"/>
      <w:szCs w:val="24"/>
    </w:rPr>
  </w:style>
  <w:style w:type="paragraph" w:styleId="18">
    <w:name w:val="toc 2"/>
    <w:basedOn w:val="1"/>
    <w:next w:val="1"/>
    <w:qFormat/>
    <w:uiPriority w:val="39"/>
    <w:pPr>
      <w:ind w:left="420" w:leftChars="200"/>
    </w:pPr>
    <w:rPr>
      <w:rFonts w:ascii="Times New Roman" w:hAnsi="Times New Roman"/>
      <w:szCs w:val="20"/>
    </w:rPr>
  </w:style>
  <w:style w:type="paragraph" w:styleId="19">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0">
    <w:name w:val="Normal (Web)"/>
    <w:basedOn w:val="1"/>
    <w:unhideWhenUsed/>
    <w:qFormat/>
    <w:uiPriority w:val="99"/>
    <w:rPr>
      <w:rFonts w:ascii="Times New Roman" w:hAnsi="Times New Roman"/>
      <w:sz w:val="24"/>
      <w:szCs w:val="24"/>
    </w:rPr>
  </w:style>
  <w:style w:type="paragraph" w:styleId="21">
    <w:name w:val="annotation subject"/>
    <w:basedOn w:val="7"/>
    <w:next w:val="7"/>
    <w:link w:val="45"/>
    <w:unhideWhenUsed/>
    <w:qFormat/>
    <w:uiPriority w:val="99"/>
    <w:rPr>
      <w:b/>
      <w:bCs/>
    </w:rPr>
  </w:style>
  <w:style w:type="paragraph" w:styleId="22">
    <w:name w:val="Body Text First Indent"/>
    <w:basedOn w:val="8"/>
    <w:qFormat/>
    <w:uiPriority w:val="0"/>
    <w:pPr>
      <w:spacing w:after="120"/>
      <w:ind w:firstLine="420" w:firstLineChars="100"/>
      <w:jc w:val="both"/>
    </w:pPr>
    <w:rPr>
      <w:rFonts w:ascii="Times New Roman" w:hAnsi="Times New Roman" w:eastAsia="宋体"/>
      <w:kern w:val="2"/>
      <w:sz w:val="21"/>
      <w:szCs w:val="24"/>
    </w:rPr>
  </w:style>
  <w:style w:type="paragraph" w:styleId="23">
    <w:name w:val="Body Text First Indent 2"/>
    <w:basedOn w:val="9"/>
    <w:next w:val="1"/>
    <w:qFormat/>
    <w:uiPriority w:val="0"/>
    <w:pPr>
      <w:ind w:firstLine="420" w:firstLineChars="200"/>
    </w:pPr>
  </w:style>
  <w:style w:type="character" w:styleId="26">
    <w:name w:val="Strong"/>
    <w:basedOn w:val="25"/>
    <w:qFormat/>
    <w:uiPriority w:val="22"/>
    <w:rPr>
      <w:b/>
      <w:bCs/>
    </w:rPr>
  </w:style>
  <w:style w:type="character" w:styleId="27">
    <w:name w:val="page number"/>
    <w:basedOn w:val="25"/>
    <w:qFormat/>
    <w:uiPriority w:val="0"/>
  </w:style>
  <w:style w:type="character" w:styleId="28">
    <w:name w:val="FollowedHyperlink"/>
    <w:basedOn w:val="25"/>
    <w:qFormat/>
    <w:uiPriority w:val="99"/>
    <w:rPr>
      <w:color w:val="800080"/>
      <w:u w:val="single"/>
    </w:rPr>
  </w:style>
  <w:style w:type="character" w:styleId="29">
    <w:name w:val="Emphasis"/>
    <w:basedOn w:val="25"/>
    <w:qFormat/>
    <w:uiPriority w:val="20"/>
    <w:rPr>
      <w:i/>
      <w:iCs/>
    </w:rPr>
  </w:style>
  <w:style w:type="character" w:styleId="30">
    <w:name w:val="Hyperlink"/>
    <w:basedOn w:val="25"/>
    <w:unhideWhenUsed/>
    <w:qFormat/>
    <w:uiPriority w:val="99"/>
    <w:rPr>
      <w:color w:val="0000FF"/>
      <w:u w:val="single"/>
    </w:rPr>
  </w:style>
  <w:style w:type="character" w:styleId="31">
    <w:name w:val="annotation reference"/>
    <w:basedOn w:val="25"/>
    <w:unhideWhenUsed/>
    <w:qFormat/>
    <w:uiPriority w:val="99"/>
    <w:rPr>
      <w:sz w:val="21"/>
      <w:szCs w:val="21"/>
    </w:rPr>
  </w:style>
  <w:style w:type="character" w:customStyle="1" w:styleId="32">
    <w:name w:val="标题 2 Char"/>
    <w:basedOn w:val="25"/>
    <w:link w:val="4"/>
    <w:qFormat/>
    <w:uiPriority w:val="0"/>
    <w:rPr>
      <w:rFonts w:ascii="Arial" w:hAnsi="Arial" w:eastAsia="黑体"/>
      <w:b/>
      <w:bCs/>
      <w:kern w:val="2"/>
      <w:sz w:val="30"/>
      <w:szCs w:val="32"/>
    </w:rPr>
  </w:style>
  <w:style w:type="character" w:customStyle="1" w:styleId="33">
    <w:name w:val="标题 3 Char"/>
    <w:basedOn w:val="25"/>
    <w:link w:val="5"/>
    <w:qFormat/>
    <w:uiPriority w:val="9"/>
    <w:rPr>
      <w:b/>
      <w:bCs/>
      <w:kern w:val="2"/>
      <w:sz w:val="32"/>
      <w:szCs w:val="32"/>
    </w:rPr>
  </w:style>
  <w:style w:type="character" w:customStyle="1" w:styleId="34">
    <w:name w:val="正文缩进 Char"/>
    <w:link w:val="6"/>
    <w:qFormat/>
    <w:uiPriority w:val="0"/>
    <w:rPr>
      <w:rFonts w:ascii="宋体" w:hAnsi="宋体"/>
    </w:rPr>
  </w:style>
  <w:style w:type="character" w:customStyle="1" w:styleId="35">
    <w:name w:val="批注文字 Char"/>
    <w:basedOn w:val="25"/>
    <w:link w:val="7"/>
    <w:qFormat/>
    <w:uiPriority w:val="99"/>
    <w:rPr>
      <w:kern w:val="2"/>
      <w:sz w:val="21"/>
      <w:szCs w:val="22"/>
    </w:rPr>
  </w:style>
  <w:style w:type="character" w:customStyle="1" w:styleId="36">
    <w:name w:val="正文文本 Char"/>
    <w:link w:val="8"/>
    <w:qFormat/>
    <w:uiPriority w:val="0"/>
    <w:rPr>
      <w:kern w:val="2"/>
      <w:sz w:val="21"/>
      <w:szCs w:val="24"/>
    </w:rPr>
  </w:style>
  <w:style w:type="character" w:customStyle="1" w:styleId="37">
    <w:name w:val="正文文本缩进 Char"/>
    <w:link w:val="9"/>
    <w:qFormat/>
    <w:uiPriority w:val="0"/>
    <w:rPr>
      <w:kern w:val="2"/>
      <w:sz w:val="21"/>
      <w:szCs w:val="24"/>
    </w:rPr>
  </w:style>
  <w:style w:type="character" w:customStyle="1" w:styleId="38">
    <w:name w:val="纯文本 Char"/>
    <w:link w:val="11"/>
    <w:qFormat/>
    <w:uiPriority w:val="0"/>
    <w:rPr>
      <w:rFonts w:ascii="宋体" w:hAnsi="Courier New"/>
    </w:rPr>
  </w:style>
  <w:style w:type="character" w:customStyle="1" w:styleId="39">
    <w:name w:val="日期 Char"/>
    <w:basedOn w:val="25"/>
    <w:link w:val="12"/>
    <w:qFormat/>
    <w:uiPriority w:val="0"/>
    <w:rPr>
      <w:kern w:val="2"/>
      <w:sz w:val="21"/>
      <w:szCs w:val="22"/>
    </w:rPr>
  </w:style>
  <w:style w:type="character" w:customStyle="1" w:styleId="40">
    <w:name w:val="正文文本缩进 2 Char"/>
    <w:link w:val="13"/>
    <w:qFormat/>
    <w:uiPriority w:val="0"/>
    <w:rPr>
      <w:kern w:val="2"/>
      <w:sz w:val="21"/>
      <w:szCs w:val="24"/>
    </w:rPr>
  </w:style>
  <w:style w:type="character" w:customStyle="1" w:styleId="41">
    <w:name w:val="批注框文本 Char"/>
    <w:link w:val="14"/>
    <w:qFormat/>
    <w:uiPriority w:val="0"/>
    <w:rPr>
      <w:sz w:val="18"/>
      <w:szCs w:val="18"/>
    </w:rPr>
  </w:style>
  <w:style w:type="character" w:customStyle="1" w:styleId="42">
    <w:name w:val="页脚 Char"/>
    <w:basedOn w:val="25"/>
    <w:link w:val="15"/>
    <w:qFormat/>
    <w:uiPriority w:val="0"/>
    <w:rPr>
      <w:sz w:val="18"/>
      <w:szCs w:val="18"/>
    </w:rPr>
  </w:style>
  <w:style w:type="character" w:customStyle="1" w:styleId="43">
    <w:name w:val="页眉 Char"/>
    <w:basedOn w:val="25"/>
    <w:link w:val="16"/>
    <w:qFormat/>
    <w:uiPriority w:val="0"/>
    <w:rPr>
      <w:sz w:val="18"/>
      <w:szCs w:val="18"/>
    </w:rPr>
  </w:style>
  <w:style w:type="character" w:customStyle="1" w:styleId="44">
    <w:name w:val="HTML 预设格式 Char"/>
    <w:basedOn w:val="25"/>
    <w:link w:val="19"/>
    <w:semiHidden/>
    <w:qFormat/>
    <w:uiPriority w:val="99"/>
    <w:rPr>
      <w:rFonts w:ascii="宋体" w:hAnsi="宋体" w:cs="宋体"/>
      <w:sz w:val="24"/>
      <w:szCs w:val="24"/>
    </w:rPr>
  </w:style>
  <w:style w:type="character" w:customStyle="1" w:styleId="45">
    <w:name w:val="批注主题 Char"/>
    <w:basedOn w:val="35"/>
    <w:link w:val="21"/>
    <w:qFormat/>
    <w:uiPriority w:val="99"/>
    <w:rPr>
      <w:b/>
      <w:bCs/>
    </w:rPr>
  </w:style>
  <w:style w:type="character" w:customStyle="1" w:styleId="46">
    <w:name w:val="批注主题 Char1"/>
    <w:basedOn w:val="47"/>
    <w:semiHidden/>
    <w:qFormat/>
    <w:uiPriority w:val="99"/>
    <w:rPr>
      <w:b/>
      <w:bCs/>
    </w:rPr>
  </w:style>
  <w:style w:type="character" w:customStyle="1" w:styleId="47">
    <w:name w:val="批注文字 Char1"/>
    <w:basedOn w:val="25"/>
    <w:semiHidden/>
    <w:qFormat/>
    <w:uiPriority w:val="99"/>
    <w:rPr>
      <w:kern w:val="2"/>
      <w:sz w:val="21"/>
      <w:szCs w:val="22"/>
    </w:rPr>
  </w:style>
  <w:style w:type="character" w:customStyle="1" w:styleId="48">
    <w:name w:val="sp_dash"/>
    <w:basedOn w:val="25"/>
    <w:qFormat/>
    <w:uiPriority w:val="0"/>
  </w:style>
  <w:style w:type="character" w:customStyle="1" w:styleId="49">
    <w:name w:val="正文文本缩进 2 Char1"/>
    <w:basedOn w:val="25"/>
    <w:qFormat/>
    <w:uiPriority w:val="99"/>
    <w:rPr>
      <w:kern w:val="2"/>
      <w:sz w:val="21"/>
      <w:szCs w:val="22"/>
    </w:rPr>
  </w:style>
  <w:style w:type="character" w:customStyle="1" w:styleId="50">
    <w:name w:val="prc_air"/>
    <w:basedOn w:val="25"/>
    <w:qFormat/>
    <w:uiPriority w:val="0"/>
  </w:style>
  <w:style w:type="character" w:customStyle="1" w:styleId="51">
    <w:name w:val="正文文本缩进 Char1"/>
    <w:basedOn w:val="25"/>
    <w:qFormat/>
    <w:uiPriority w:val="99"/>
    <w:rPr>
      <w:kern w:val="2"/>
      <w:sz w:val="21"/>
      <w:szCs w:val="22"/>
    </w:rPr>
  </w:style>
  <w:style w:type="character" w:customStyle="1" w:styleId="52">
    <w:name w:val="批注框文本 Char1"/>
    <w:basedOn w:val="25"/>
    <w:qFormat/>
    <w:uiPriority w:val="99"/>
    <w:rPr>
      <w:kern w:val="2"/>
      <w:sz w:val="18"/>
      <w:szCs w:val="18"/>
    </w:rPr>
  </w:style>
  <w:style w:type="character" w:customStyle="1" w:styleId="53">
    <w:name w:val="正文文本 Char1"/>
    <w:basedOn w:val="25"/>
    <w:qFormat/>
    <w:uiPriority w:val="99"/>
    <w:rPr>
      <w:kern w:val="2"/>
      <w:sz w:val="21"/>
      <w:szCs w:val="22"/>
    </w:rPr>
  </w:style>
  <w:style w:type="character" w:customStyle="1" w:styleId="54">
    <w:name w:val="纯文本 Char1"/>
    <w:basedOn w:val="25"/>
    <w:qFormat/>
    <w:uiPriority w:val="99"/>
    <w:rPr>
      <w:rFonts w:ascii="宋体" w:hAnsi="Courier New" w:cs="Courier New"/>
      <w:kern w:val="2"/>
      <w:sz w:val="21"/>
      <w:szCs w:val="21"/>
    </w:rPr>
  </w:style>
  <w:style w:type="character" w:customStyle="1" w:styleId="55">
    <w:name w:val=" Char Char5"/>
    <w:qFormat/>
    <w:uiPriority w:val="0"/>
    <w:rPr>
      <w:rFonts w:eastAsia="宋体"/>
      <w:kern w:val="2"/>
      <w:sz w:val="18"/>
      <w:szCs w:val="18"/>
      <w:lang w:val="en-US" w:eastAsia="zh-CN" w:bidi="ar-SA"/>
    </w:rPr>
  </w:style>
  <w:style w:type="character" w:customStyle="1" w:styleId="56">
    <w:name w:val="apple-converted-space"/>
    <w:basedOn w:val="25"/>
    <w:qFormat/>
    <w:uiPriority w:val="0"/>
  </w:style>
  <w:style w:type="paragraph" w:customStyle="1" w:styleId="57">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8">
    <w:name w:val="正文+宋体"/>
    <w:basedOn w:val="20"/>
    <w:qFormat/>
    <w:uiPriority w:val="0"/>
    <w:pPr>
      <w:widowControl/>
      <w:shd w:val="clear" w:color="auto" w:fill="FFFFFF"/>
      <w:ind w:firstLine="480" w:firstLineChars="200"/>
      <w:jc w:val="left"/>
    </w:pPr>
    <w:rPr>
      <w:rFonts w:ascii="宋体" w:hAnsi="宋体" w:cs="宋体"/>
    </w:rPr>
  </w:style>
  <w:style w:type="paragraph" w:customStyle="1" w:styleId="59">
    <w:name w:val=" Char3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0">
    <w:name w:val="_Style 54"/>
    <w:semiHidden/>
    <w:qFormat/>
    <w:uiPriority w:val="99"/>
    <w:rPr>
      <w:rFonts w:ascii="Calibri" w:hAnsi="Calibri" w:eastAsia="宋体" w:cs="Times New Roman"/>
      <w:kern w:val="2"/>
      <w:sz w:val="21"/>
      <w:szCs w:val="22"/>
      <w:lang w:val="en-US" w:eastAsia="zh-CN" w:bidi="ar-SA"/>
    </w:rPr>
  </w:style>
  <w:style w:type="paragraph" w:customStyle="1" w:styleId="61">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63">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默认段落字体 Char"/>
    <w:basedOn w:val="1"/>
    <w:qFormat/>
    <w:uiPriority w:val="0"/>
    <w:rPr>
      <w:rFonts w:ascii="Times New Roman" w:hAnsi="Times New Roman"/>
      <w:szCs w:val="24"/>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6">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67">
    <w:name w:val="样式3"/>
    <w:basedOn w:val="11"/>
    <w:qFormat/>
    <w:uiPriority w:val="0"/>
    <w:pPr>
      <w:spacing w:line="0" w:lineRule="atLeast"/>
      <w:outlineLvl w:val="0"/>
    </w:pPr>
    <w:rPr>
      <w:sz w:val="28"/>
    </w:rPr>
  </w:style>
  <w:style w:type="paragraph" w:customStyle="1" w:styleId="68">
    <w:name w:val=" Char Char Char"/>
    <w:basedOn w:val="1"/>
    <w:qFormat/>
    <w:uiPriority w:val="0"/>
    <w:rPr>
      <w:rFonts w:ascii="Tahoma" w:hAnsi="Tahoma"/>
      <w:sz w:val="24"/>
      <w:szCs w:val="20"/>
    </w:rPr>
  </w:style>
  <w:style w:type="paragraph" w:customStyle="1" w:styleId="69">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
    <w:name w:val=" Char Char Char Char Char Char Char"/>
    <w:basedOn w:val="1"/>
    <w:qFormat/>
    <w:uiPriority w:val="0"/>
    <w:rPr>
      <w:rFonts w:ascii="Times New Roman" w:hAnsi="Times New Roman"/>
      <w:szCs w:val="24"/>
    </w:rPr>
  </w:style>
  <w:style w:type="paragraph" w:customStyle="1" w:styleId="71">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2">
    <w:name w:val="null3"/>
    <w:qFormat/>
    <w:uiPriority w:val="0"/>
    <w:rPr>
      <w:rFonts w:hint="eastAsia" w:ascii="Calibri" w:hAnsi="Calibri" w:eastAsia="宋体" w:cs="Times New Roman"/>
      <w:lang w:val="en-US" w:eastAsia="zh-CN" w:bidi="ar-SA"/>
    </w:rPr>
  </w:style>
  <w:style w:type="paragraph" w:customStyle="1" w:styleId="73">
    <w:name w:val="段"/>
    <w:next w:val="1"/>
    <w:qFormat/>
    <w:uiPriority w:val="0"/>
    <w:pPr>
      <w:autoSpaceDE w:val="0"/>
      <w:autoSpaceDN w:val="0"/>
      <w:ind w:firstLine="200" w:firstLineChars="200"/>
      <w:jc w:val="both"/>
    </w:pPr>
    <w:rPr>
      <w:rFonts w:ascii="宋体"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45508</Words>
  <Characters>48100</Characters>
  <Lines>318</Lines>
  <Paragraphs>89</Paragraphs>
  <TotalTime>16</TotalTime>
  <ScaleCrop>false</ScaleCrop>
  <LinksUpToDate>false</LinksUpToDate>
  <CharactersWithSpaces>53399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2014-12-31T12:40:00Z</dcterms:created>
  <dc:creator>黄超群</dc:creator>
  <cp:lastModifiedBy>钟素雅</cp:lastModifiedBy>
  <dcterms:modified xsi:type="dcterms:W3CDTF">2026-04-07T08:10:43Z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B301ADD426C9403EB41C06B3EA489E77</vt:lpwstr>
  </property>
  <property fmtid="{D5CDD505-2E9C-101B-9397-08002B2CF9AE}" pid="4" name="KSOTemplateDocerSaveRecord">
    <vt:lpwstr>eyJoZGlkIjoiMjgxZGQ3NGE4NTY5YjAxMDRjYzYwNmIyNWU5ZWFhODQiLCJ1c2VySWQiOiI3ODY4NTI5MTYifQ==</vt:lpwstr>
  </property>
</Properties>
</file>