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954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万翔综合布线</w:t>
      </w:r>
      <w:r>
        <w:rPr>
          <w:rFonts w:hint="eastAsia" w:ascii="仿宋" w:hAnsi="仿宋" w:eastAsia="仿宋" w:cs="仿宋"/>
          <w:b/>
          <w:bCs/>
          <w:color w:val="auto"/>
          <w:sz w:val="28"/>
          <w:szCs w:val="28"/>
        </w:rPr>
        <w:t>供应商合作征集函</w:t>
      </w:r>
    </w:p>
    <w:p w14:paraId="2EB683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因业务发展的需要，万翔网商计划</w:t>
      </w:r>
      <w:r>
        <w:rPr>
          <w:rFonts w:hint="eastAsia" w:ascii="仿宋" w:hAnsi="仿宋" w:eastAsia="仿宋" w:cs="仿宋"/>
          <w:color w:val="auto"/>
          <w:sz w:val="24"/>
          <w:szCs w:val="24"/>
          <w:lang w:val="en-US" w:eastAsia="zh-CN"/>
        </w:rPr>
        <w:t>征集综合布线框架合作供应商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rPr>
        <w:t>满足政府客户、企业客户</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购买需求。现就</w:t>
      </w:r>
      <w:r>
        <w:rPr>
          <w:rFonts w:hint="eastAsia" w:ascii="仿宋" w:hAnsi="仿宋" w:eastAsia="仿宋" w:cs="仿宋"/>
          <w:color w:val="auto"/>
          <w:sz w:val="24"/>
          <w:szCs w:val="24"/>
          <w:lang w:val="en-US" w:eastAsia="zh-CN"/>
        </w:rPr>
        <w:t>“综合布线采购项目</w:t>
      </w:r>
      <w:r>
        <w:rPr>
          <w:rFonts w:hint="eastAsia" w:ascii="仿宋" w:hAnsi="仿宋" w:eastAsia="仿宋" w:cs="仿宋"/>
          <w:color w:val="auto"/>
          <w:sz w:val="24"/>
          <w:szCs w:val="24"/>
        </w:rPr>
        <w:t>”开展候选供应商公开征集，诚邀符合资格条件的供应商参与。</w:t>
      </w:r>
    </w:p>
    <w:p w14:paraId="272868DE">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029352D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lang w:val="en-US" w:eastAsia="zh-CN"/>
        </w:rPr>
        <w:t>万翔自营综合布线采购项目</w:t>
      </w:r>
    </w:p>
    <w:p w14:paraId="63F061C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万翔自营综合布线采购</w:t>
      </w:r>
    </w:p>
    <w:p w14:paraId="464A34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约200</w:t>
      </w:r>
      <w:r>
        <w:rPr>
          <w:rFonts w:hint="eastAsia" w:ascii="仿宋" w:hAnsi="仿宋" w:eastAsia="仿宋" w:cs="仿宋"/>
          <w:sz w:val="24"/>
          <w:szCs w:val="24"/>
          <w:highlight w:val="none"/>
        </w:rPr>
        <w:t>万元，</w:t>
      </w:r>
      <w:r>
        <w:rPr>
          <w:rFonts w:hint="eastAsia" w:ascii="仿宋" w:hAnsi="仿宋" w:eastAsia="仿宋" w:cs="仿宋"/>
          <w:sz w:val="24"/>
          <w:szCs w:val="24"/>
          <w:lang w:val="en-US" w:eastAsia="zh-CN"/>
        </w:rPr>
        <w:t>按项目实际需求采购</w:t>
      </w:r>
      <w:r>
        <w:rPr>
          <w:rFonts w:hint="eastAsia" w:ascii="仿宋" w:hAnsi="仿宋" w:eastAsia="仿宋" w:cs="仿宋"/>
          <w:sz w:val="24"/>
          <w:szCs w:val="24"/>
        </w:rPr>
        <w:t>。</w:t>
      </w:r>
    </w:p>
    <w:p w14:paraId="102F5A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w:t>
      </w:r>
      <w:r>
        <w:rPr>
          <w:rFonts w:hint="eastAsia" w:ascii="仿宋" w:hAnsi="仿宋" w:eastAsia="仿宋" w:cs="仿宋"/>
          <w:sz w:val="24"/>
          <w:szCs w:val="24"/>
          <w:lang w:val="en-US" w:eastAsia="zh-CN"/>
        </w:rPr>
        <w:t>30</w:t>
      </w:r>
      <w:r>
        <w:rPr>
          <w:rFonts w:hint="eastAsia" w:ascii="仿宋" w:hAnsi="仿宋" w:eastAsia="仿宋" w:cs="仿宋"/>
          <w:sz w:val="24"/>
          <w:szCs w:val="24"/>
        </w:rPr>
        <w:t>天内付款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零星采购项目按此标准，实际项目可依情况进行补充调整</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18A9D1F">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其他说明：综合布线包含前期现勘、绘图、施工安装服务、配件辅材（模块、跳线、配线架、跳线、电源线、机柜等）</w:t>
      </w:r>
    </w:p>
    <w:p w14:paraId="138D0506">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37954558">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FCE0603">
      <w:pPr>
        <w:spacing w:line="44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（一）</w:t>
      </w:r>
      <w:r>
        <w:rPr>
          <w:rFonts w:hint="eastAsia" w:ascii="仿宋" w:hAnsi="仿宋" w:eastAsia="仿宋" w:cs="仿宋"/>
          <w:sz w:val="24"/>
          <w:szCs w:val="24"/>
          <w:u w:val="none"/>
        </w:rPr>
        <w:t>报名供应商具有独立法人资格、独立承担民事责任的能力，专业从事</w:t>
      </w:r>
      <w:r>
        <w:rPr>
          <w:rFonts w:hint="eastAsia" w:ascii="仿宋" w:hAnsi="仿宋" w:eastAsia="仿宋" w:cs="仿宋"/>
          <w:sz w:val="24"/>
          <w:szCs w:val="24"/>
          <w:u w:val="none"/>
          <w:lang w:val="en-US" w:eastAsia="zh-CN"/>
        </w:rPr>
        <w:t>综合布线</w:t>
      </w:r>
      <w:r>
        <w:rPr>
          <w:rFonts w:hint="eastAsia" w:ascii="仿宋" w:hAnsi="仿宋" w:eastAsia="仿宋" w:cs="仿宋"/>
          <w:sz w:val="24"/>
          <w:szCs w:val="24"/>
          <w:u w:val="none"/>
        </w:rPr>
        <w:t>行业3年及以上</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提供以往合作案例销售合同截图证明</w:t>
      </w:r>
      <w:r>
        <w:rPr>
          <w:rFonts w:hint="eastAsia" w:ascii="仿宋" w:hAnsi="仿宋" w:eastAsia="仿宋" w:cs="仿宋"/>
          <w:sz w:val="24"/>
          <w:szCs w:val="24"/>
          <w:u w:val="none"/>
        </w:rPr>
        <w:t>。</w:t>
      </w:r>
    </w:p>
    <w:p w14:paraId="52AD06EF">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r>
        <w:rPr>
          <w:rFonts w:hint="eastAsia" w:ascii="仿宋" w:hAnsi="仿宋" w:eastAsia="仿宋" w:cs="仿宋"/>
          <w:sz w:val="24"/>
          <w:szCs w:val="24"/>
          <w:lang w:eastAsia="zh-CN"/>
        </w:rPr>
        <w:t>要求提供国家企业信用信息公示系统（https://shiming.gsxt.gov.cn/）中“</w:t>
      </w:r>
      <w:r>
        <w:rPr>
          <w:rFonts w:hint="eastAsia" w:ascii="仿宋" w:hAnsi="仿宋" w:eastAsia="仿宋" w:cs="仿宋"/>
          <w:sz w:val="24"/>
          <w:szCs w:val="24"/>
          <w:lang w:val="en-US" w:eastAsia="zh-CN"/>
        </w:rPr>
        <w:t>列入严重违法失信名单（黑名单）信息</w:t>
      </w:r>
      <w:r>
        <w:rPr>
          <w:rFonts w:hint="eastAsia" w:ascii="仿宋" w:hAnsi="仿宋" w:eastAsia="仿宋" w:cs="仿宋"/>
          <w:sz w:val="24"/>
          <w:szCs w:val="24"/>
          <w:lang w:eastAsia="zh-CN"/>
        </w:rPr>
        <w:t>”的截图证明材料并加盖报名供应商公章。</w:t>
      </w:r>
    </w:p>
    <w:p w14:paraId="3F04C99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w:t>
      </w:r>
      <w:r>
        <w:rPr>
          <w:rFonts w:hint="eastAsia" w:ascii="仿宋" w:hAnsi="仿宋" w:eastAsia="仿宋" w:cs="仿宋"/>
          <w:sz w:val="24"/>
          <w:szCs w:val="24"/>
          <w:lang w:eastAsia="zh-CN"/>
        </w:rPr>
        <w:t>（要求提供中国执行信息公开网（https://zxgk.court.gov.cn/）中查询结果的截图证明材料并加盖报名供应商公章）</w:t>
      </w:r>
      <w:r>
        <w:rPr>
          <w:rFonts w:hint="eastAsia" w:ascii="仿宋" w:hAnsi="仿宋" w:eastAsia="仿宋" w:cs="仿宋"/>
          <w:sz w:val="24"/>
          <w:szCs w:val="24"/>
        </w:rPr>
        <w:t>，企业未被列入重大税收违法案件当事人名单、政府采购严重违法失信行为记录名单、经营异常名录及万翔网商、翔业集团黑名单。</w:t>
      </w:r>
    </w:p>
    <w:p w14:paraId="2B417175">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（四）报名供应商应提供有效的证明材料，包括但不限于公司技术团队资质（</w:t>
      </w:r>
      <w:r>
        <w:rPr>
          <w:rFonts w:hint="eastAsia" w:ascii="仿宋" w:hAnsi="仿宋" w:eastAsia="仿宋" w:cs="仿宋"/>
          <w:color w:val="FF0000"/>
          <w:sz w:val="24"/>
          <w:szCs w:val="24"/>
          <w:lang w:val="en-US" w:eastAsia="zh-CN"/>
        </w:rPr>
        <w:t>*</w:t>
      </w:r>
      <w:r>
        <w:rPr>
          <w:rFonts w:hint="eastAsia" w:ascii="仿宋" w:hAnsi="仿宋" w:eastAsia="仿宋" w:cs="仿宋"/>
          <w:b/>
          <w:bCs/>
          <w:color w:val="FF0000"/>
          <w:sz w:val="24"/>
          <w:szCs w:val="24"/>
          <w:lang w:val="en-US" w:eastAsia="zh-CN"/>
        </w:rPr>
        <w:t>必须提供技术名单和社保缴纳证明</w:t>
      </w:r>
      <w:r>
        <w:rPr>
          <w:rFonts w:hint="eastAsia" w:ascii="仿宋" w:hAnsi="仿宋" w:eastAsia="仿宋" w:cs="仿宋"/>
          <w:sz w:val="24"/>
          <w:szCs w:val="24"/>
          <w:lang w:eastAsia="zh-CN"/>
        </w:rPr>
        <w:t>）、项目运作案例等，以证明具备完善的技术服务体系和强大的本地化服务能力，能够提供覆盖售前、售中、售后的全生命周期技术支持与服务保障。</w:t>
      </w:r>
    </w:p>
    <w:p w14:paraId="4D632783">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w:t>
      </w:r>
      <w:r>
        <w:rPr>
          <w:rFonts w:hint="default" w:ascii="仿宋" w:hAnsi="仿宋" w:eastAsia="仿宋" w:cs="仿宋"/>
          <w:sz w:val="24"/>
          <w:szCs w:val="24"/>
          <w:lang w:val="en-US" w:eastAsia="zh-CN"/>
        </w:rPr>
        <w:t>报名供应商必须能提供</w:t>
      </w:r>
      <w:r>
        <w:rPr>
          <w:rFonts w:hint="eastAsia" w:ascii="仿宋" w:hAnsi="仿宋" w:eastAsia="仿宋" w:cs="仿宋"/>
          <w:sz w:val="24"/>
          <w:szCs w:val="24"/>
          <w:lang w:val="en-US" w:eastAsia="zh-CN"/>
        </w:rPr>
        <w:t>厦门</w:t>
      </w:r>
      <w:r>
        <w:rPr>
          <w:rFonts w:hint="default" w:ascii="仿宋" w:hAnsi="仿宋" w:eastAsia="仿宋" w:cs="仿宋"/>
          <w:sz w:val="24"/>
          <w:szCs w:val="24"/>
          <w:lang w:val="en-US" w:eastAsia="zh-CN"/>
        </w:rPr>
        <w:t>本地化服务：在本地注册或设立的办事处等机构的，须提供营业执照等相关证明。</w:t>
      </w:r>
    </w:p>
    <w:p w14:paraId="66F5B837">
      <w:pPr>
        <w:spacing w:line="440" w:lineRule="exact"/>
        <w:ind w:firstLine="482" w:firstLineChars="200"/>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六</w:t>
      </w: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至少提供一项线缆或综合布线产品品牌授权书或品牌厂家</w:t>
      </w:r>
      <w:bookmarkStart w:id="0" w:name="_GoBack"/>
      <w:bookmarkEnd w:id="0"/>
      <w:r>
        <w:rPr>
          <w:rFonts w:hint="eastAsia" w:ascii="仿宋" w:hAnsi="仿宋" w:eastAsia="仿宋" w:cs="仿宋"/>
          <w:b/>
          <w:bCs/>
          <w:color w:val="FF0000"/>
          <w:sz w:val="24"/>
          <w:szCs w:val="24"/>
          <w:lang w:val="en-US" w:eastAsia="zh-CN"/>
        </w:rPr>
        <w:t>项目授权书</w:t>
      </w:r>
    </w:p>
    <w:p w14:paraId="7C5C763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报名供应商承诺可</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7516A5E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）可以提供相应税率的增值税专用发票。</w:t>
      </w:r>
    </w:p>
    <w:p w14:paraId="6FDC184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492FBC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457878C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3768B4D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233F1F3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442DE04C">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4、“三、合格供应商要求”中所要求提供和承诺的材料。</w:t>
      </w:r>
    </w:p>
    <w:p w14:paraId="4624547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9A7C7F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1、请按上述要求提供报名材料，报名资料须提供加盖公章的原件或复印件，对于未按要求加盖公章或法人签字的原件电子扫描件视为报名资料缺漏，采购人将拒绝接受其报名。</w:t>
      </w:r>
    </w:p>
    <w:p w14:paraId="520F78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410621A6">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五、入围资格评选及项目选派原则：</w:t>
      </w:r>
    </w:p>
    <w:p w14:paraId="524DAC36">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5.1入围评选：采购人根据报名供应商提供的材料进行评选，符合“合格供应商要求”的将确定为本次综合布线框架合作供应商征集的入围候选供应商。</w:t>
      </w:r>
    </w:p>
    <w:p w14:paraId="631154C6">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5.2入围供应商派单原则如下：</w:t>
      </w:r>
    </w:p>
    <w:p w14:paraId="451ECA6D">
      <w:pPr>
        <w:spacing w:line="440" w:lineRule="exact"/>
        <w:ind w:firstLine="482" w:firstLineChars="2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5.2.1</w:t>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派单方式：</w:t>
      </w:r>
      <w:r>
        <w:rPr>
          <w:rFonts w:hint="eastAsia" w:ascii="仿宋" w:hAnsi="仿宋" w:eastAsia="仿宋" w:cs="仿宋"/>
          <w:sz w:val="24"/>
          <w:szCs w:val="24"/>
          <w:lang w:val="en-US" w:eastAsia="zh-CN"/>
        </w:rPr>
        <w:t>项目采用轮选制依次派单。当轮选至某供应商时，若该供应商因故不具备承接条件（如团队调整、资源不足等），则取消其本次派单资格及当轮次合作机会，并按轮选顺序顺延至下一位入围供应商。</w:t>
      </w:r>
    </w:p>
    <w:p w14:paraId="1D8BF22E">
      <w:pPr>
        <w:spacing w:line="440" w:lineRule="exact"/>
        <w:ind w:firstLine="482" w:firstLineChars="200"/>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5.2.2响应时效要求：</w:t>
      </w:r>
      <w:r>
        <w:rPr>
          <w:rFonts w:hint="eastAsia" w:ascii="仿宋" w:hAnsi="仿宋" w:eastAsia="仿宋" w:cs="仿宋"/>
          <w:b w:val="0"/>
          <w:bCs w:val="0"/>
          <w:sz w:val="24"/>
          <w:szCs w:val="24"/>
          <w:lang w:val="en-US" w:eastAsia="zh-CN"/>
        </w:rPr>
        <w:t>接到派单通知的供应商须在</w:t>
      </w:r>
      <w:r>
        <w:rPr>
          <w:rFonts w:hint="default" w:ascii="仿宋" w:hAnsi="仿宋" w:eastAsia="仿宋" w:cs="仿宋"/>
          <w:b w:val="0"/>
          <w:bCs w:val="0"/>
          <w:sz w:val="24"/>
          <w:szCs w:val="24"/>
          <w:lang w:val="en-US" w:eastAsia="zh-CN"/>
        </w:rPr>
        <w:t>1小时内明确响应。若未在规定时间内响应，视为“响应不及时”，将扣除两次派单资格（即连续跳过两次派单机会），并由轮选顺序中的下一名供应商替补承接。</w:t>
      </w:r>
    </w:p>
    <w:p w14:paraId="5A8DFAE2">
      <w:pPr>
        <w:spacing w:line="440" w:lineRule="exact"/>
        <w:ind w:firstLine="482" w:firstLineChars="200"/>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5.2.3报价方案考核：</w:t>
      </w:r>
      <w:r>
        <w:rPr>
          <w:rFonts w:hint="eastAsia" w:ascii="仿宋" w:hAnsi="仿宋" w:eastAsia="仿宋" w:cs="仿宋"/>
          <w:b w:val="0"/>
          <w:bCs w:val="0"/>
          <w:sz w:val="24"/>
          <w:szCs w:val="24"/>
          <w:lang w:val="en-US" w:eastAsia="zh-CN"/>
        </w:rPr>
        <w:t>供应商需在规定时限内提交报价方案。若存在以下情形，将依据严重程度进行处罚。</w:t>
      </w:r>
      <w:r>
        <w:rPr>
          <w:rFonts w:hint="eastAsia" w:ascii="仿宋" w:hAnsi="仿宋" w:eastAsia="仿宋" w:cs="仿宋"/>
          <w:b/>
          <w:bCs/>
          <w:sz w:val="24"/>
          <w:szCs w:val="24"/>
          <w:lang w:val="en-US" w:eastAsia="zh-CN"/>
        </w:rPr>
        <w:t>报价方案不及时</w:t>
      </w:r>
      <w:r>
        <w:rPr>
          <w:rFonts w:hint="default" w:ascii="仿宋" w:hAnsi="仿宋" w:eastAsia="仿宋" w:cs="仿宋"/>
          <w:b/>
          <w:bCs/>
          <w:sz w:val="24"/>
          <w:szCs w:val="24"/>
          <w:lang w:val="en-US" w:eastAsia="zh-CN"/>
        </w:rPr>
        <w:t>：</w:t>
      </w:r>
      <w:r>
        <w:rPr>
          <w:rFonts w:hint="default" w:ascii="仿宋" w:hAnsi="仿宋" w:eastAsia="仿宋" w:cs="仿宋"/>
          <w:b w:val="0"/>
          <w:bCs w:val="0"/>
          <w:sz w:val="24"/>
          <w:szCs w:val="24"/>
          <w:lang w:val="en-US" w:eastAsia="zh-CN"/>
        </w:rPr>
        <w:t>未在规定时限内提交报价的，取消本轮承接资格，并视情况扣除一次或两次派单资格。</w:t>
      </w:r>
      <w:r>
        <w:rPr>
          <w:rFonts w:hint="eastAsia" w:ascii="仿宋" w:hAnsi="仿宋" w:eastAsia="仿宋" w:cs="仿宋"/>
          <w:b/>
          <w:bCs/>
          <w:sz w:val="24"/>
          <w:szCs w:val="24"/>
          <w:lang w:val="en-US" w:eastAsia="zh-CN"/>
        </w:rPr>
        <w:t>报价方案过高</w:t>
      </w:r>
      <w:r>
        <w:rPr>
          <w:rFonts w:hint="default" w:ascii="仿宋" w:hAnsi="仿宋" w:eastAsia="仿宋" w:cs="仿宋"/>
          <w:b/>
          <w:bCs/>
          <w:sz w:val="24"/>
          <w:szCs w:val="24"/>
          <w:lang w:val="en-US" w:eastAsia="zh-CN"/>
        </w:rPr>
        <w:t>：</w:t>
      </w:r>
      <w:r>
        <w:rPr>
          <w:rFonts w:hint="default" w:ascii="仿宋" w:hAnsi="仿宋" w:eastAsia="仿宋" w:cs="仿宋"/>
          <w:b w:val="0"/>
          <w:bCs w:val="0"/>
          <w:sz w:val="24"/>
          <w:szCs w:val="24"/>
          <w:lang w:val="en-US" w:eastAsia="zh-CN"/>
        </w:rPr>
        <w:t>经审核，报价明显高于市场公允价格、历史成交价或项目预算，且无合理依据的，视为无效报价，取消本轮承接资格，并扣除一次派单资格。</w:t>
      </w:r>
    </w:p>
    <w:p w14:paraId="0C533847">
      <w:pPr>
        <w:spacing w:line="440" w:lineRule="exact"/>
        <w:ind w:firstLine="482" w:firstLineChars="200"/>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5.2.4实施过程违规处理：</w:t>
      </w:r>
      <w:r>
        <w:rPr>
          <w:rFonts w:hint="default" w:ascii="仿宋" w:hAnsi="仿宋" w:eastAsia="仿宋" w:cs="仿宋"/>
          <w:b w:val="0"/>
          <w:bCs w:val="0"/>
          <w:sz w:val="24"/>
          <w:szCs w:val="24"/>
          <w:lang w:val="en-US" w:eastAsia="zh-CN"/>
        </w:rPr>
        <w:t>在项目实施过程中，若供应商存在违反合同约定、操作规程、质量标准或安全管理规定等行为，将依据违规情节的严重程度，给予暂停派单、扣除派单次数乃至取消入围资格的处理。</w:t>
      </w:r>
    </w:p>
    <w:p w14:paraId="4221448E">
      <w:pPr>
        <w:spacing w:line="440" w:lineRule="exact"/>
        <w:ind w:firstLine="480" w:firstLineChars="200"/>
        <w:rPr>
          <w:rFonts w:hint="eastAsia" w:ascii="Segoe UI" w:hAnsi="Segoe UI" w:eastAsia="宋体" w:cs="Segoe UI"/>
          <w:i w:val="0"/>
          <w:iCs w:val="0"/>
          <w:caps w:val="0"/>
          <w:color w:val="0F1115"/>
          <w:spacing w:val="0"/>
          <w:sz w:val="24"/>
          <w:szCs w:val="24"/>
          <w:shd w:val="clear" w:fill="FFFFFF"/>
          <w:lang w:val="en-US" w:eastAsia="zh-CN"/>
        </w:rPr>
      </w:pPr>
      <w:r>
        <w:rPr>
          <w:rFonts w:hint="eastAsia" w:ascii="仿宋" w:hAnsi="仿宋" w:eastAsia="仿宋" w:cs="仿宋"/>
          <w:b w:val="0"/>
          <w:bCs w:val="0"/>
          <w:sz w:val="24"/>
          <w:szCs w:val="24"/>
          <w:lang w:val="en-US" w:eastAsia="zh-CN"/>
        </w:rPr>
        <w:t>5.2.5</w:t>
      </w:r>
      <w:r>
        <w:rPr>
          <w:rStyle w:val="5"/>
          <w:rFonts w:ascii="Segoe UI" w:hAnsi="Segoe UI" w:eastAsia="Segoe UI" w:cs="Segoe UI"/>
          <w:b/>
          <w:bCs/>
          <w:i w:val="0"/>
          <w:iCs w:val="0"/>
          <w:caps w:val="0"/>
          <w:color w:val="0F1115"/>
          <w:spacing w:val="0"/>
          <w:sz w:val="24"/>
          <w:szCs w:val="24"/>
          <w:shd w:val="clear" w:fill="FFFFFF"/>
        </w:rPr>
        <w:t>退出机制</w:t>
      </w:r>
      <w:r>
        <w:rPr>
          <w:rStyle w:val="5"/>
          <w:rFonts w:hint="eastAsia" w:ascii="Segoe UI" w:hAnsi="Segoe UI" w:cs="Segoe UI"/>
          <w:b/>
          <w:bCs/>
          <w:i w:val="0"/>
          <w:iCs w:val="0"/>
          <w:caps w:val="0"/>
          <w:color w:val="0F1115"/>
          <w:spacing w:val="0"/>
          <w:sz w:val="24"/>
          <w:szCs w:val="24"/>
          <w:shd w:val="clear" w:fill="FFFFFF"/>
          <w:lang w:eastAsia="zh-CN"/>
        </w:rPr>
        <w:t>：</w:t>
      </w:r>
      <w:r>
        <w:rPr>
          <w:rFonts w:hint="default" w:ascii="仿宋" w:hAnsi="仿宋" w:eastAsia="仿宋" w:cs="仿宋"/>
          <w:b w:val="0"/>
          <w:bCs w:val="0"/>
          <w:sz w:val="24"/>
          <w:szCs w:val="24"/>
          <w:lang w:val="en-US" w:eastAsia="zh-CN"/>
        </w:rPr>
        <w:t>入围供应商若因自身原因（如团队调整、业务方向变更、资源不足等）无法继续承接项目的，应主动报备。经确认后，将取消其剩余派单资格及合作资格，并由备选供应商依序递补。</w:t>
      </w:r>
      <w:r>
        <w:rPr>
          <w:rFonts w:hint="eastAsia" w:ascii="仿宋" w:hAnsi="仿宋" w:eastAsia="仿宋" w:cs="仿宋"/>
          <w:b w:val="0"/>
          <w:bCs w:val="0"/>
          <w:sz w:val="24"/>
          <w:szCs w:val="24"/>
          <w:lang w:val="en-US" w:eastAsia="zh-CN"/>
        </w:rPr>
        <w:t>若严重违反规定并对最终用户或者征集方造成损失，立马终止合作。</w:t>
      </w:r>
    </w:p>
    <w:p w14:paraId="4E12FBEF">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7DC2CF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3449C51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25303A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w:t>
      </w:r>
      <w:r>
        <w:rPr>
          <w:rFonts w:hint="eastAsia" w:ascii="仿宋" w:hAnsi="仿宋" w:eastAsia="仿宋" w:cs="仿宋"/>
          <w:sz w:val="24"/>
          <w:szCs w:val="24"/>
          <w:lang w:val="en-US" w:eastAsia="zh-CN"/>
        </w:rPr>
        <w:t>方式及</w:t>
      </w:r>
      <w:r>
        <w:rPr>
          <w:rFonts w:hint="eastAsia" w:ascii="仿宋" w:hAnsi="仿宋" w:eastAsia="仿宋" w:cs="仿宋"/>
          <w:sz w:val="24"/>
          <w:szCs w:val="24"/>
        </w:rPr>
        <w:t>资料接收地址：</w:t>
      </w:r>
    </w:p>
    <w:p w14:paraId="629A451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电子邮件形式进行报名</w:t>
      </w:r>
      <w:r>
        <w:rPr>
          <w:rFonts w:hint="eastAsia" w:ascii="仿宋" w:hAnsi="仿宋" w:eastAsia="仿宋" w:cs="仿宋"/>
          <w:sz w:val="24"/>
          <w:szCs w:val="24"/>
          <w:lang w:eastAsia="zh-CN"/>
        </w:rPr>
        <w:t>：</w:t>
      </w:r>
      <w:r>
        <w:rPr>
          <w:rFonts w:hint="eastAsia" w:ascii="仿宋" w:hAnsi="仿宋" w:eastAsia="仿宋" w:cs="仿宋"/>
          <w:sz w:val="24"/>
          <w:szCs w:val="24"/>
        </w:rPr>
        <w:t>供应商应当在截止时间前向指定邮箱wanxiangiport@163.com发送经供应商盖章扫描的</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p>
    <w:p w14:paraId="16BCDF9D">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E7C0A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E0DE58C">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7F4E0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2E4BF67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70A3A56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叶经理</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69052</w:t>
      </w:r>
      <w:r>
        <w:rPr>
          <w:rFonts w:hint="eastAsia" w:ascii="仿宋" w:hAnsi="仿宋" w:eastAsia="仿宋" w:cs="仿宋"/>
          <w:sz w:val="24"/>
          <w:szCs w:val="24"/>
        </w:rPr>
        <w:t xml:space="preserve">） </w:t>
      </w:r>
    </w:p>
    <w:p w14:paraId="4C74FE4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797F63D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2A9EDE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w:t>
      </w:r>
    </w:p>
    <w:p w14:paraId="33CA7B06">
      <w:pPr>
        <w:jc w:val="both"/>
        <w:rPr>
          <w:rFonts w:hint="eastAsia" w:ascii="仿宋" w:hAnsi="仿宋" w:eastAsia="仿宋" w:cs="仿宋"/>
          <w:b/>
          <w:bCs/>
          <w:sz w:val="28"/>
          <w:szCs w:val="28"/>
        </w:rPr>
      </w:pPr>
    </w:p>
    <w:p w14:paraId="0F17A8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OTk3YjgwMzkxZGQ3NTRhNzBiNTFmOWUzZThjMjgifQ=="/>
  </w:docVars>
  <w:rsids>
    <w:rsidRoot w:val="12807CCF"/>
    <w:rsid w:val="08283748"/>
    <w:rsid w:val="08554C5B"/>
    <w:rsid w:val="0A6D40BA"/>
    <w:rsid w:val="0C970E9C"/>
    <w:rsid w:val="0F1F51E4"/>
    <w:rsid w:val="11BA7B07"/>
    <w:rsid w:val="12807CCF"/>
    <w:rsid w:val="1E252DC7"/>
    <w:rsid w:val="23B42883"/>
    <w:rsid w:val="25237319"/>
    <w:rsid w:val="27D3610E"/>
    <w:rsid w:val="28EE2D47"/>
    <w:rsid w:val="307A6987"/>
    <w:rsid w:val="38CA0D0F"/>
    <w:rsid w:val="4B2B2820"/>
    <w:rsid w:val="59396C37"/>
    <w:rsid w:val="67A86E1E"/>
    <w:rsid w:val="7A71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2148</Words>
  <Characters>2272</Characters>
  <Lines>0</Lines>
  <Paragraphs>0</Paragraphs>
  <TotalTime>27</TotalTime>
  <ScaleCrop>false</ScaleCrop>
  <LinksUpToDate>false</LinksUpToDate>
  <CharactersWithSpaces>2275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2026-01-04T06:23:00Z</dcterms:created>
  <dc:creator>叶晓丹</dc:creator>
  <cp:lastModifiedBy>叶晓丹</cp:lastModifiedBy>
  <dcterms:modified xsi:type="dcterms:W3CDTF">2026-03-25T01:33:13Z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0323A708938644E98973931D049A2F44_11</vt:lpwstr>
  </property>
</Properties>
</file>