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line="579" w:lineRule="exact"/>
        <w:jc w:val="center"/>
        <w:textAlignment w:val="auto"/>
        <w:outlineLvl w:val="0"/>
        <w:rPr>
          <w:rFonts w:hint="eastAsia" w:ascii="宋体" w:hAnsi="宋体" w:eastAsia="宋体" w:cs="宋体"/>
          <w:b/>
          <w:sz w:val="24"/>
          <w:szCs w:val="24"/>
          <w:lang w:val="en-US" w:eastAsia="zh-CN"/>
        </w:rPr>
      </w:pPr>
      <w:r>
        <w:rPr>
          <w:rFonts w:hint="eastAsia" w:ascii="宋体" w:hAnsi="宋体" w:eastAsia="宋体" w:cs="宋体"/>
          <w:b/>
          <w:sz w:val="24"/>
          <w:szCs w:val="24"/>
          <w:lang w:val="en-US" w:eastAsia="zh-CN"/>
        </w:rPr>
        <w:t>《</w:t>
      </w:r>
      <w:r>
        <w:rPr>
          <w:rFonts w:hint="eastAsia" w:ascii="宋体" w:hAnsi="宋体" w:eastAsia="宋体" w:cs="宋体"/>
          <w:b w:val="0"/>
          <w:bCs w:val="0"/>
          <w:sz w:val="24"/>
          <w:szCs w:val="24"/>
          <w:highlight w:val="none"/>
          <w:lang w:eastAsia="zh-CN"/>
        </w:rPr>
        <w:t>厦门国际银行</w:t>
      </w:r>
      <w:r>
        <w:rPr>
          <w:rFonts w:hint="eastAsia" w:ascii="宋体" w:hAnsi="宋体" w:eastAsia="宋体" w:cs="宋体"/>
          <w:b w:val="0"/>
          <w:bCs w:val="0"/>
          <w:sz w:val="24"/>
          <w:szCs w:val="24"/>
          <w:highlight w:val="none"/>
          <w:lang w:val="en-US" w:eastAsia="zh-CN"/>
        </w:rPr>
        <w:t>交易型客户信息管理</w:t>
      </w:r>
      <w:r>
        <w:rPr>
          <w:rFonts w:hint="eastAsia" w:ascii="宋体" w:hAnsi="宋体" w:eastAsia="宋体" w:cs="宋体"/>
          <w:b w:val="0"/>
          <w:bCs w:val="0"/>
          <w:sz w:val="24"/>
          <w:szCs w:val="24"/>
          <w:highlight w:val="none"/>
          <w:lang w:eastAsia="zh-CN"/>
        </w:rPr>
        <w:t>信创建设项目</w:t>
      </w:r>
      <w:r>
        <w:rPr>
          <w:rFonts w:hint="eastAsia" w:ascii="宋体" w:hAnsi="宋体" w:eastAsia="宋体" w:cs="宋体"/>
          <w:b/>
          <w:sz w:val="24"/>
          <w:szCs w:val="24"/>
          <w:lang w:val="en-US" w:eastAsia="zh-CN"/>
        </w:rPr>
        <w:t>》供应商征集反馈材料-公司名称（全称）</w:t>
      </w:r>
    </w:p>
    <w:p>
      <w:pPr>
        <w:ind w:left="0" w:leftChars="0" w:firstLine="0" w:firstLineChars="0"/>
        <w:jc w:val="center"/>
        <w:rPr>
          <w:rFonts w:hint="eastAsia" w:ascii="宋体" w:hAnsi="宋体" w:eastAsia="宋体" w:cs="宋体"/>
          <w:b/>
          <w:bCs/>
          <w:sz w:val="24"/>
          <w:szCs w:val="24"/>
          <w:lang w:val="en-US" w:eastAsia="zh-CN"/>
        </w:rPr>
      </w:pPr>
    </w:p>
    <w:p>
      <w:pPr>
        <w:ind w:left="0" w:leftChars="0" w:firstLine="0" w:firstLineChars="0"/>
        <w:jc w:val="center"/>
        <w:outlineLvl w:val="0"/>
        <w:rPr>
          <w:rFonts w:hint="eastAsia" w:ascii="宋体" w:hAnsi="宋体" w:eastAsia="宋体" w:cs="宋体"/>
          <w:b/>
          <w:bCs/>
          <w:color w:val="FF0000"/>
          <w:sz w:val="24"/>
          <w:szCs w:val="24"/>
          <w:highlight w:val="none"/>
          <w:lang w:val="en-US" w:eastAsia="zh-CN"/>
        </w:rPr>
      </w:pPr>
      <w:r>
        <w:rPr>
          <w:rFonts w:hint="eastAsia" w:ascii="宋体" w:hAnsi="宋体" w:eastAsia="宋体" w:cs="宋体"/>
          <w:b/>
          <w:bCs/>
          <w:sz w:val="24"/>
          <w:szCs w:val="24"/>
          <w:lang w:val="en-US" w:eastAsia="zh-CN"/>
        </w:rPr>
        <w:t>目录指引</w:t>
      </w:r>
      <w:r>
        <w:rPr>
          <w:rFonts w:hint="eastAsia" w:ascii="宋体" w:hAnsi="宋体" w:eastAsia="宋体" w:cs="宋体"/>
          <w:b/>
          <w:bCs/>
          <w:color w:val="FF0000"/>
          <w:sz w:val="24"/>
          <w:szCs w:val="24"/>
          <w:highlight w:val="none"/>
          <w:lang w:val="en-US" w:eastAsia="zh-CN"/>
        </w:rPr>
        <w:t>（请报名供应商据实修改）</w:t>
      </w:r>
    </w:p>
    <w:p>
      <w:pPr>
        <w:pStyle w:val="7"/>
        <w:keepNext w:val="0"/>
        <w:keepLines w:val="0"/>
        <w:pageBreakBefore w:val="0"/>
        <w:widowControl w:val="0"/>
        <w:tabs>
          <w:tab w:val="left" w:pos="992"/>
        </w:tabs>
        <w:kinsoku/>
        <w:wordWrap/>
        <w:overflowPunct/>
        <w:topLinePunct/>
        <w:autoSpaceDE/>
        <w:autoSpaceDN/>
        <w:bidi w:val="0"/>
        <w:adjustRightInd/>
        <w:snapToGrid/>
        <w:ind w:left="0" w:leftChars="0" w:firstLine="0" w:firstLineChars="0"/>
        <w:jc w:val="center"/>
        <w:textAlignment w:val="auto"/>
        <w:outlineLvl w:val="0"/>
        <w:rPr>
          <w:rFonts w:hint="eastAsia" w:ascii="宋体" w:hAnsi="宋体" w:eastAsia="宋体" w:cs="宋体"/>
          <w:b/>
          <w:bCs/>
          <w:color w:val="FF0000"/>
          <w:kern w:val="2"/>
          <w:sz w:val="24"/>
          <w:szCs w:val="24"/>
          <w:highlight w:val="none"/>
          <w:lang w:val="en-US" w:eastAsia="zh-CN" w:bidi="ar-SA"/>
        </w:rPr>
      </w:pPr>
      <w:r>
        <w:rPr>
          <w:rFonts w:hint="eastAsia" w:ascii="宋体" w:hAnsi="宋体" w:eastAsia="宋体" w:cs="宋体"/>
          <w:b/>
          <w:bCs/>
          <w:color w:val="FF0000"/>
          <w:kern w:val="2"/>
          <w:sz w:val="24"/>
          <w:szCs w:val="24"/>
          <w:highlight w:val="none"/>
          <w:lang w:val="en-US" w:eastAsia="zh-CN" w:bidi="ar-SA"/>
        </w:rPr>
        <w:t>第一部分 对应页码P1-P20</w:t>
      </w:r>
    </w:p>
    <w:p>
      <w:pPr>
        <w:pStyle w:val="7"/>
        <w:tabs>
          <w:tab w:val="left" w:pos="992"/>
        </w:tabs>
        <w:ind w:left="0" w:leftChars="0" w:firstLine="0" w:firstLineChars="0"/>
        <w:jc w:val="center"/>
        <w:outlineLvl w:val="0"/>
        <w:rPr>
          <w:rFonts w:hint="eastAsia" w:ascii="宋体" w:hAnsi="宋体" w:eastAsia="宋体" w:cs="宋体"/>
          <w:b/>
          <w:bCs/>
          <w:color w:val="FF0000"/>
          <w:kern w:val="2"/>
          <w:sz w:val="24"/>
          <w:szCs w:val="24"/>
          <w:highlight w:val="none"/>
          <w:lang w:val="en-US" w:eastAsia="zh-CN" w:bidi="ar-SA"/>
        </w:rPr>
      </w:pPr>
      <w:r>
        <w:rPr>
          <w:rFonts w:hint="eastAsia" w:ascii="宋体" w:hAnsi="宋体" w:eastAsia="宋体" w:cs="宋体"/>
          <w:b/>
          <w:bCs/>
          <w:color w:val="FF0000"/>
          <w:kern w:val="2"/>
          <w:sz w:val="24"/>
          <w:szCs w:val="24"/>
          <w:highlight w:val="none"/>
          <w:lang w:val="en-US" w:eastAsia="zh-CN" w:bidi="ar-SA"/>
        </w:rPr>
        <w:t>第二部分 对应页码P21-P30</w:t>
      </w:r>
    </w:p>
    <w:p>
      <w:pPr>
        <w:pStyle w:val="7"/>
        <w:tabs>
          <w:tab w:val="left" w:pos="992"/>
        </w:tabs>
        <w:ind w:left="0" w:leftChars="0" w:firstLine="0" w:firstLineChars="0"/>
        <w:jc w:val="center"/>
        <w:outlineLvl w:val="0"/>
        <w:rPr>
          <w:rFonts w:hint="eastAsia" w:ascii="宋体" w:hAnsi="宋体" w:eastAsia="宋体" w:cs="宋体"/>
          <w:b/>
          <w:bCs/>
          <w:color w:val="FF0000"/>
          <w:kern w:val="2"/>
          <w:sz w:val="24"/>
          <w:szCs w:val="24"/>
          <w:highlight w:val="none"/>
          <w:lang w:val="en-US" w:eastAsia="zh-CN" w:bidi="ar-SA"/>
        </w:rPr>
      </w:pPr>
      <w:r>
        <w:rPr>
          <w:rFonts w:hint="eastAsia" w:ascii="宋体" w:hAnsi="宋体" w:eastAsia="宋体" w:cs="宋体"/>
          <w:b/>
          <w:bCs/>
          <w:color w:val="FF0000"/>
          <w:kern w:val="2"/>
          <w:sz w:val="24"/>
          <w:szCs w:val="24"/>
          <w:highlight w:val="none"/>
          <w:lang w:val="en-US" w:eastAsia="zh-CN" w:bidi="ar-SA"/>
        </w:rPr>
        <w:t>第三部分 对应页码P31-P40</w:t>
      </w:r>
    </w:p>
    <w:p>
      <w:pPr>
        <w:keepNext w:val="0"/>
        <w:keepLines w:val="0"/>
        <w:pageBreakBefore w:val="0"/>
        <w:widowControl w:val="0"/>
        <w:kinsoku/>
        <w:wordWrap/>
        <w:overflowPunct/>
        <w:topLinePunct w:val="0"/>
        <w:autoSpaceDE/>
        <w:autoSpaceDN/>
        <w:bidi w:val="0"/>
        <w:adjustRightInd/>
        <w:snapToGrid/>
        <w:spacing w:line="579" w:lineRule="exact"/>
        <w:ind w:firstLine="640" w:firstLineChars="200"/>
        <w:textAlignment w:val="auto"/>
        <w:outlineLvl w:val="1"/>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一、供应商报名基础信息材料</w:t>
      </w:r>
    </w:p>
    <w:p>
      <w:pPr>
        <w:numPr>
          <w:ilvl w:val="0"/>
          <w:numId w:val="0"/>
        </w:numPr>
        <w:outlineLvl w:val="1"/>
        <w:rPr>
          <w:rFonts w:hint="eastAsia" w:ascii="宋体" w:hAnsi="宋体" w:eastAsia="宋体" w:cs="宋体"/>
          <w:color w:val="auto"/>
          <w:sz w:val="24"/>
          <w:szCs w:val="24"/>
          <w:highlight w:val="none"/>
          <w:lang w:val="en-US" w:eastAsia="zh-CN"/>
        </w:rPr>
      </w:pPr>
    </w:p>
    <w:p>
      <w:pPr>
        <w:numPr>
          <w:ilvl w:val="0"/>
          <w:numId w:val="0"/>
        </w:numPr>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1.营业执照（事业单位法人证书或类似执业许可证）</w:t>
      </w:r>
    </w:p>
    <w:p>
      <w:pPr>
        <w:rPr>
          <w:rFonts w:hint="eastAsia" w:ascii="宋体" w:hAnsi="宋体" w:eastAsia="宋体" w:cs="宋体"/>
          <w:sz w:val="24"/>
          <w:szCs w:val="24"/>
        </w:rPr>
      </w:pPr>
    </w:p>
    <w:p>
      <w:pPr>
        <w:rPr>
          <w:rFonts w:hint="eastAsia" w:ascii="宋体" w:hAnsi="宋体" w:eastAsia="宋体" w:cs="宋体"/>
          <w:sz w:val="24"/>
          <w:szCs w:val="24"/>
        </w:rPr>
      </w:pPr>
    </w:p>
    <w:p>
      <w:pPr>
        <w:pStyle w:val="6"/>
        <w:rPr>
          <w:rFonts w:hint="eastAsia" w:ascii="宋体" w:hAnsi="宋体" w:eastAsia="宋体" w:cs="宋体"/>
          <w:sz w:val="24"/>
          <w:szCs w:val="24"/>
        </w:rPr>
      </w:pPr>
    </w:p>
    <w:p>
      <w:pPr>
        <w:pStyle w:val="7"/>
        <w:rPr>
          <w:rFonts w:hint="eastAsia"/>
        </w:rPr>
      </w:pPr>
    </w:p>
    <w:p>
      <w:pPr>
        <w:pStyle w:val="7"/>
        <w:rPr>
          <w:rFonts w:hint="eastAsia" w:ascii="宋体" w:hAnsi="宋体" w:eastAsia="宋体" w:cs="宋体"/>
          <w:sz w:val="24"/>
          <w:szCs w:val="24"/>
        </w:rPr>
      </w:pPr>
    </w:p>
    <w:p>
      <w:pPr>
        <w:pStyle w:val="7"/>
        <w:rPr>
          <w:rFonts w:hint="eastAsia"/>
        </w:rPr>
      </w:pPr>
    </w:p>
    <w:p>
      <w:pPr>
        <w:pStyle w:val="7"/>
        <w:rPr>
          <w:rFonts w:hint="eastAsia"/>
        </w:rPr>
      </w:pPr>
    </w:p>
    <w:p>
      <w:pPr>
        <w:pStyle w:val="7"/>
        <w:rPr>
          <w:rFonts w:hint="eastAsia"/>
        </w:rPr>
      </w:pPr>
    </w:p>
    <w:p>
      <w:pPr>
        <w:pStyle w:val="7"/>
        <w:rPr>
          <w:rFonts w:hint="eastAsia"/>
        </w:rPr>
      </w:pPr>
    </w:p>
    <w:p>
      <w:pPr>
        <w:pStyle w:val="7"/>
        <w:rPr>
          <w:rFonts w:hint="eastAsia"/>
        </w:rPr>
        <w:sectPr>
          <w:pgSz w:w="11906" w:h="16838"/>
          <w:pgMar w:top="1440" w:right="1800" w:bottom="1440" w:left="1800" w:header="851" w:footer="992" w:gutter="0"/>
          <w:cols w:space="425" w:num="1"/>
          <w:docGrid w:type="lines" w:linePitch="312" w:charSpace="0"/>
        </w:sectPr>
      </w:pPr>
    </w:p>
    <w:p>
      <w:pPr>
        <w:pStyle w:val="7"/>
        <w:rPr>
          <w:rFonts w:hint="eastAsia"/>
        </w:rPr>
      </w:pPr>
    </w:p>
    <w:p>
      <w:pPr>
        <w:pStyle w:val="7"/>
        <w:rPr>
          <w:rFonts w:hint="eastAsia" w:ascii="宋体" w:hAnsi="宋体" w:eastAsia="宋体" w:cs="宋体"/>
          <w:sz w:val="24"/>
          <w:szCs w:val="24"/>
        </w:rPr>
      </w:pPr>
    </w:p>
    <w:p>
      <w:pPr>
        <w:numPr>
          <w:ilvl w:val="0"/>
          <w:numId w:val="0"/>
        </w:numPr>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2</w:t>
      </w:r>
      <w:r>
        <w:rPr>
          <w:rFonts w:hint="eastAsia" w:ascii="宋体" w:hAnsi="宋体" w:eastAsia="宋体" w:cs="宋体"/>
          <w:color w:val="auto"/>
          <w:sz w:val="24"/>
          <w:szCs w:val="24"/>
          <w:highlight w:val="none"/>
          <w:lang w:val="en-US" w:eastAsia="zh-CN"/>
        </w:rPr>
        <w:t>.近三年经公司内部审核流程审定的财务会计报表（资产负债表、现金流量表和利润表）原件扫描件或有效的企业资信证明材料（证明材料不全不予认可）。</w:t>
      </w:r>
    </w:p>
    <w:p>
      <w:pPr>
        <w:pStyle w:val="6"/>
        <w:widowControl w:val="0"/>
        <w:numPr>
          <w:ilvl w:val="0"/>
          <w:numId w:val="0"/>
        </w:numPr>
        <w:topLinePunct/>
        <w:autoSpaceDE w:val="0"/>
        <w:autoSpaceDN w:val="0"/>
        <w:adjustRightInd w:val="0"/>
        <w:spacing w:after="120" w:line="312" w:lineRule="atLeast"/>
        <w:jc w:val="both"/>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sectPr>
          <w:pgSz w:w="11906" w:h="16838"/>
          <w:pgMar w:top="1440" w:right="1800" w:bottom="1440" w:left="1800" w:header="851" w:footer="992" w:gutter="0"/>
          <w:cols w:space="425" w:num="1"/>
          <w:docGrid w:type="lines" w:linePitch="312" w:charSpace="0"/>
        </w:sectPr>
      </w:pPr>
    </w:p>
    <w:p>
      <w:pPr>
        <w:pStyle w:val="7"/>
        <w:rPr>
          <w:rFonts w:hint="eastAsia" w:ascii="宋体" w:hAnsi="宋体" w:eastAsia="宋体" w:cs="宋体"/>
          <w:sz w:val="24"/>
          <w:szCs w:val="24"/>
          <w:lang w:eastAsia="zh-CN"/>
        </w:rPr>
      </w:pPr>
    </w:p>
    <w:p>
      <w:pPr>
        <w:pStyle w:val="7"/>
        <w:rPr>
          <w:rFonts w:hint="eastAsia" w:ascii="宋体" w:hAnsi="宋体" w:eastAsia="宋体" w:cs="宋体"/>
          <w:sz w:val="24"/>
          <w:szCs w:val="24"/>
          <w:lang w:eastAsia="zh-CN"/>
        </w:rPr>
      </w:pPr>
    </w:p>
    <w:p>
      <w:pPr>
        <w:numPr>
          <w:ilvl w:val="0"/>
          <w:numId w:val="0"/>
        </w:numPr>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3</w:t>
      </w:r>
      <w:r>
        <w:rPr>
          <w:rFonts w:hint="eastAsia" w:ascii="宋体" w:hAnsi="宋体" w:eastAsia="宋体" w:cs="宋体"/>
          <w:color w:val="auto"/>
          <w:sz w:val="24"/>
          <w:szCs w:val="24"/>
          <w:highlight w:val="none"/>
          <w:lang w:val="en-US" w:eastAsia="zh-CN"/>
        </w:rPr>
        <w:t>.未被“信用中国”网列入“重大税收违法失信主体”</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(查询地址：</w:t>
      </w:r>
      <w:r>
        <w:rPr>
          <w:rFonts w:hint="eastAsia" w:ascii="宋体" w:hAnsi="宋体" w:eastAsia="宋体" w:cs="宋体"/>
          <w:color w:val="auto"/>
          <w:sz w:val="24"/>
          <w:szCs w:val="24"/>
          <w:highlight w:val="none"/>
          <w:u w:val="none"/>
          <w:lang w:val="en-US" w:eastAsia="zh-CN"/>
        </w:rPr>
        <w:t>https://www.creditchina.gov.cn/）</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截图示例如下：【请删除示例】</w:t>
      </w:r>
    </w:p>
    <w:p>
      <w:pPr>
        <w:numPr>
          <w:ilvl w:val="0"/>
          <w:numId w:val="0"/>
        </w:numPr>
        <w:ind w:leftChars="200"/>
        <w:outlineLvl w:val="9"/>
        <w:rPr>
          <w:rFonts w:hint="eastAsia" w:ascii="宋体" w:hAnsi="宋体" w:eastAsia="宋体" w:cs="宋体"/>
          <w:color w:val="auto"/>
          <w:sz w:val="24"/>
          <w:szCs w:val="24"/>
          <w:highlight w:val="none"/>
          <w:lang w:val="en-US" w:eastAsia="zh-CN"/>
        </w:rPr>
      </w:pPr>
      <w:r>
        <w:rPr>
          <w:rFonts w:hint="eastAsia" w:ascii="宋体" w:hAnsi="宋体" w:eastAsia="宋体" w:cs="宋体"/>
          <w:sz w:val="24"/>
          <w:szCs w:val="24"/>
        </w:rPr>
        <w:drawing>
          <wp:inline distT="0" distB="0" distL="114300" distR="114300">
            <wp:extent cx="5271770" cy="2578735"/>
            <wp:effectExtent l="0" t="0" r="11430" b="12065"/>
            <wp:docPr id="10"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6"/>
                    <pic:cNvPicPr>
                      <a:picLocks noChangeAspect="1"/>
                    </pic:cNvPicPr>
                  </pic:nvPicPr>
                  <pic:blipFill>
                    <a:blip r:embed="rId4"/>
                    <a:stretch>
                      <a:fillRect/>
                    </a:stretch>
                  </pic:blipFill>
                  <pic:spPr>
                    <a:xfrm>
                      <a:off x="0" y="0"/>
                      <a:ext cx="5271770" cy="2578735"/>
                    </a:xfrm>
                    <a:prstGeom prst="rect">
                      <a:avLst/>
                    </a:prstGeom>
                    <a:noFill/>
                    <a:ln>
                      <a:noFill/>
                    </a:ln>
                  </pic:spPr>
                </pic:pic>
              </a:graphicData>
            </a:graphic>
          </wp:inline>
        </w:drawing>
      </w:r>
    </w:p>
    <w:p>
      <w:pPr>
        <w:numPr>
          <w:ilvl w:val="0"/>
          <w:numId w:val="0"/>
        </w:numPr>
        <w:ind w:leftChars="200"/>
        <w:outlineLvl w:val="9"/>
        <w:rPr>
          <w:rFonts w:hint="eastAsia" w:ascii="宋体" w:hAnsi="宋体" w:eastAsia="宋体" w:cs="宋体"/>
          <w:color w:val="auto"/>
          <w:sz w:val="24"/>
          <w:szCs w:val="24"/>
          <w:highlight w:val="none"/>
          <w:lang w:val="en-US" w:eastAsia="zh-CN"/>
        </w:rPr>
        <w:sectPr>
          <w:pgSz w:w="11906" w:h="16838"/>
          <w:pgMar w:top="1440" w:right="1800" w:bottom="1440" w:left="1800" w:header="851" w:footer="992" w:gutter="0"/>
          <w:cols w:space="425" w:num="1"/>
          <w:docGrid w:type="lines" w:linePitch="312" w:charSpace="0"/>
        </w:sectPr>
      </w:pPr>
    </w:p>
    <w:p>
      <w:pPr>
        <w:pStyle w:val="2"/>
        <w:numPr>
          <w:ilvl w:val="3"/>
          <w:numId w:val="0"/>
        </w:numPr>
        <w:tabs>
          <w:tab w:val="clear" w:pos="864"/>
        </w:tabs>
        <w:ind w:leftChars="0"/>
        <w:rPr>
          <w:rFonts w:hint="eastAsia"/>
          <w:lang w:val="en-US" w:eastAsia="zh-CN"/>
        </w:rPr>
      </w:pP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4</w:t>
      </w:r>
      <w:r>
        <w:rPr>
          <w:rFonts w:hint="eastAsia" w:ascii="宋体" w:hAnsi="宋体" w:eastAsia="宋体" w:cs="宋体"/>
          <w:color w:val="auto"/>
          <w:sz w:val="24"/>
          <w:szCs w:val="24"/>
          <w:highlight w:val="none"/>
          <w:lang w:val="en-US" w:eastAsia="zh-CN"/>
        </w:rPr>
        <w:t>.未被“中国执行信息公开网”列入“失信被执行人查询”</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(查询地址：</w:t>
      </w:r>
      <w:r>
        <w:rPr>
          <w:rFonts w:hint="eastAsia" w:ascii="宋体" w:hAnsi="宋体" w:eastAsia="宋体" w:cs="宋体"/>
          <w:color w:val="auto"/>
          <w:sz w:val="24"/>
          <w:szCs w:val="24"/>
          <w:highlight w:val="none"/>
          <w:u w:val="none"/>
          <w:lang w:val="en-US" w:eastAsia="zh-CN"/>
        </w:rPr>
        <w:t>https://zxgk.court.gov.cn/shixin/）</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截图示例如下：【请删除示例】</w:t>
      </w:r>
    </w:p>
    <w:p>
      <w:pPr>
        <w:numPr>
          <w:ilvl w:val="0"/>
          <w:numId w:val="0"/>
        </w:numPr>
        <w:ind w:leftChars="200"/>
        <w:outlineLvl w:val="9"/>
        <w:rPr>
          <w:rFonts w:hint="eastAsia" w:ascii="宋体" w:hAnsi="宋体" w:eastAsia="宋体" w:cs="宋体"/>
          <w:color w:val="auto"/>
          <w:sz w:val="24"/>
          <w:szCs w:val="24"/>
          <w:highlight w:val="none"/>
          <w:lang w:val="en-US" w:eastAsia="zh-CN"/>
        </w:rPr>
      </w:pPr>
    </w:p>
    <w:p>
      <w:pPr>
        <w:pStyle w:val="6"/>
        <w:ind w:left="0" w:leftChars="0" w:firstLine="0" w:firstLineChars="0"/>
        <w:jc w:val="both"/>
        <w:rPr>
          <w:rFonts w:hint="eastAsia" w:ascii="宋体" w:hAnsi="宋体" w:eastAsia="宋体" w:cs="宋体"/>
          <w:sz w:val="24"/>
          <w:szCs w:val="24"/>
          <w:lang w:val="en-US" w:eastAsia="zh-CN"/>
        </w:rPr>
      </w:pPr>
      <w:r>
        <w:rPr>
          <w:rFonts w:hint="eastAsia" w:ascii="宋体" w:hAnsi="宋体" w:eastAsia="宋体" w:cs="宋体"/>
          <w:sz w:val="24"/>
          <w:szCs w:val="24"/>
        </w:rPr>
        <w:drawing>
          <wp:inline distT="0" distB="0" distL="114300" distR="114300">
            <wp:extent cx="5264785" cy="2796540"/>
            <wp:effectExtent l="0" t="0" r="5715" b="10160"/>
            <wp:docPr id="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pic:cNvPicPr>
                      <a:picLocks noChangeAspect="1"/>
                    </pic:cNvPicPr>
                  </pic:nvPicPr>
                  <pic:blipFill>
                    <a:blip r:embed="rId5"/>
                    <a:stretch>
                      <a:fillRect/>
                    </a:stretch>
                  </pic:blipFill>
                  <pic:spPr>
                    <a:xfrm>
                      <a:off x="0" y="0"/>
                      <a:ext cx="5264785" cy="2796540"/>
                    </a:xfrm>
                    <a:prstGeom prst="rect">
                      <a:avLst/>
                    </a:prstGeom>
                    <a:noFill/>
                    <a:ln>
                      <a:noFill/>
                    </a:ln>
                  </pic:spPr>
                </pic:pic>
              </a:graphicData>
            </a:graphic>
          </wp:inline>
        </w:drawing>
      </w:r>
    </w:p>
    <w:p>
      <w:pPr>
        <w:numPr>
          <w:ilvl w:val="0"/>
          <w:numId w:val="0"/>
        </w:numPr>
        <w:ind w:leftChars="200"/>
        <w:outlineLvl w:val="9"/>
        <w:rPr>
          <w:rFonts w:hint="eastAsia" w:ascii="宋体" w:hAnsi="宋体" w:eastAsia="宋体" w:cs="宋体"/>
          <w:color w:val="auto"/>
          <w:sz w:val="24"/>
          <w:szCs w:val="24"/>
          <w:highlight w:val="none"/>
          <w:lang w:val="en-US" w:eastAsia="zh-CN"/>
        </w:rPr>
      </w:pPr>
    </w:p>
    <w:p>
      <w:pPr>
        <w:numPr>
          <w:ilvl w:val="0"/>
          <w:numId w:val="0"/>
        </w:numPr>
        <w:ind w:leftChars="200"/>
        <w:outlineLvl w:val="9"/>
        <w:rPr>
          <w:rFonts w:hint="eastAsia" w:ascii="宋体" w:hAnsi="宋体" w:eastAsia="宋体" w:cs="宋体"/>
          <w:color w:val="auto"/>
          <w:sz w:val="24"/>
          <w:szCs w:val="24"/>
          <w:highlight w:val="none"/>
          <w:lang w:val="en-US" w:eastAsia="zh-CN"/>
        </w:rPr>
        <w:sectPr>
          <w:pgSz w:w="11906" w:h="16838"/>
          <w:pgMar w:top="1440" w:right="1800" w:bottom="1440" w:left="1800" w:header="851" w:footer="992" w:gutter="0"/>
          <w:cols w:space="425" w:num="1"/>
          <w:docGrid w:type="lines" w:linePitch="312" w:charSpace="0"/>
        </w:sectPr>
      </w:pPr>
    </w:p>
    <w:p>
      <w:pPr>
        <w:pStyle w:val="2"/>
        <w:numPr>
          <w:ilvl w:val="3"/>
          <w:numId w:val="0"/>
        </w:numPr>
        <w:tabs>
          <w:tab w:val="clear" w:pos="864"/>
        </w:tabs>
        <w:ind w:leftChars="0"/>
        <w:rPr>
          <w:rFonts w:hint="eastAsia"/>
          <w:lang w:val="en-US" w:eastAsia="zh-CN"/>
        </w:rPr>
      </w:pP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5</w:t>
      </w:r>
      <w:r>
        <w:rPr>
          <w:rFonts w:hint="eastAsia" w:ascii="宋体" w:hAnsi="宋体" w:eastAsia="宋体" w:cs="宋体"/>
          <w:color w:val="auto"/>
          <w:sz w:val="24"/>
          <w:szCs w:val="24"/>
          <w:highlight w:val="none"/>
          <w:lang w:val="en-US" w:eastAsia="zh-CN"/>
        </w:rPr>
        <w:t>.未被“中国政府采购网”列入“政府采购严重违法失信行为信息记录名单”</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(查询地址：</w:t>
      </w:r>
      <w:r>
        <w:rPr>
          <w:rFonts w:hint="eastAsia" w:ascii="宋体" w:hAnsi="宋体" w:eastAsia="宋体" w:cs="宋体"/>
          <w:color w:val="auto"/>
          <w:sz w:val="24"/>
          <w:szCs w:val="24"/>
          <w:highlight w:val="none"/>
          <w:u w:val="none"/>
          <w:lang w:val="en-US" w:eastAsia="zh-CN"/>
        </w:rPr>
        <w:t>https://www.ccgp.gov.cn/search/cr/）</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截图示例如下：【请删除示例】</w:t>
      </w:r>
    </w:p>
    <w:p>
      <w:pPr>
        <w:numPr>
          <w:ilvl w:val="0"/>
          <w:numId w:val="0"/>
        </w:numPr>
        <w:ind w:leftChars="200"/>
        <w:outlineLvl w:val="9"/>
        <w:rPr>
          <w:rFonts w:hint="eastAsia" w:ascii="宋体" w:hAnsi="宋体" w:eastAsia="宋体" w:cs="宋体"/>
          <w:color w:val="auto"/>
          <w:sz w:val="24"/>
          <w:szCs w:val="24"/>
          <w:highlight w:val="none"/>
          <w:lang w:val="en-US" w:eastAsia="zh-CN"/>
        </w:rPr>
      </w:pPr>
    </w:p>
    <w:p>
      <w:pPr>
        <w:pStyle w:val="6"/>
        <w:ind w:left="0" w:leftChars="0" w:firstLine="0" w:firstLineChars="0"/>
        <w:rPr>
          <w:rFonts w:hint="eastAsia" w:ascii="宋体" w:hAnsi="宋体" w:eastAsia="宋体" w:cs="宋体"/>
          <w:sz w:val="24"/>
          <w:szCs w:val="24"/>
          <w:lang w:val="en-US" w:eastAsia="zh-CN"/>
        </w:rPr>
      </w:pPr>
      <w:r>
        <w:rPr>
          <w:rFonts w:hint="eastAsia" w:ascii="宋体" w:hAnsi="宋体" w:eastAsia="宋体" w:cs="宋体"/>
          <w:sz w:val="24"/>
          <w:szCs w:val="24"/>
        </w:rPr>
        <w:drawing>
          <wp:inline distT="0" distB="0" distL="114300" distR="114300">
            <wp:extent cx="5264785" cy="2917825"/>
            <wp:effectExtent l="0" t="0" r="5715" b="3175"/>
            <wp:docPr id="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pic:cNvPicPr>
                      <a:picLocks noChangeAspect="1"/>
                    </pic:cNvPicPr>
                  </pic:nvPicPr>
                  <pic:blipFill>
                    <a:blip r:embed="rId6"/>
                    <a:stretch>
                      <a:fillRect/>
                    </a:stretch>
                  </pic:blipFill>
                  <pic:spPr>
                    <a:xfrm>
                      <a:off x="0" y="0"/>
                      <a:ext cx="5264785" cy="2917825"/>
                    </a:xfrm>
                    <a:prstGeom prst="rect">
                      <a:avLst/>
                    </a:prstGeom>
                    <a:noFill/>
                    <a:ln>
                      <a:noFill/>
                    </a:ln>
                  </pic:spPr>
                </pic:pic>
              </a:graphicData>
            </a:graphic>
          </wp:inline>
        </w:drawing>
      </w:r>
    </w:p>
    <w:p>
      <w:pPr>
        <w:numPr>
          <w:ilvl w:val="0"/>
          <w:numId w:val="0"/>
        </w:numPr>
        <w:ind w:leftChars="200"/>
        <w:outlineLvl w:val="1"/>
        <w:rPr>
          <w:rFonts w:hint="eastAsia" w:ascii="宋体" w:hAnsi="宋体" w:eastAsia="宋体" w:cs="宋体"/>
          <w:color w:val="auto"/>
          <w:sz w:val="24"/>
          <w:szCs w:val="24"/>
          <w:highlight w:val="none"/>
          <w:lang w:val="en-US" w:eastAsia="zh-CN"/>
        </w:rPr>
        <w:sectPr>
          <w:pgSz w:w="11906" w:h="16838"/>
          <w:pgMar w:top="1440" w:right="1800" w:bottom="1440" w:left="1800" w:header="851" w:footer="992" w:gutter="0"/>
          <w:cols w:space="425" w:num="1"/>
          <w:docGrid w:type="lines" w:linePitch="312" w:charSpace="0"/>
        </w:sectPr>
      </w:pP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6</w:t>
      </w:r>
      <w:r>
        <w:rPr>
          <w:rFonts w:hint="eastAsia" w:ascii="宋体" w:hAnsi="宋体" w:eastAsia="宋体" w:cs="宋体"/>
          <w:color w:val="auto"/>
          <w:sz w:val="24"/>
          <w:szCs w:val="24"/>
          <w:highlight w:val="none"/>
          <w:lang w:val="en-US" w:eastAsia="zh-CN"/>
        </w:rPr>
        <w:t>.未被“国家企业信用信息公示系统”-“列入严重违法失信企业名单”</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(查询地址：</w:t>
      </w:r>
      <w:r>
        <w:rPr>
          <w:rFonts w:hint="eastAsia" w:ascii="宋体" w:hAnsi="宋体" w:eastAsia="宋体" w:cs="宋体"/>
          <w:color w:val="auto"/>
          <w:sz w:val="24"/>
          <w:szCs w:val="24"/>
          <w:highlight w:val="none"/>
          <w:u w:val="none"/>
          <w:lang w:val="en-US" w:eastAsia="zh-CN"/>
        </w:rPr>
        <w:t>https://www.gsxt.gov.cn/index.html）</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截图示例如下：【请删除示例】</w:t>
      </w:r>
    </w:p>
    <w:p>
      <w:pPr>
        <w:pStyle w:val="6"/>
        <w:ind w:left="0" w:leftChars="0" w:firstLine="0" w:firstLineChars="0"/>
        <w:rPr>
          <w:rFonts w:hint="eastAsia" w:ascii="宋体" w:hAnsi="宋体" w:eastAsia="宋体" w:cs="宋体"/>
          <w:sz w:val="24"/>
          <w:szCs w:val="24"/>
          <w:lang w:val="en-US" w:eastAsia="zh-CN"/>
        </w:rPr>
      </w:pPr>
      <w:r>
        <w:rPr>
          <w:rFonts w:hint="eastAsia" w:ascii="宋体" w:hAnsi="宋体" w:eastAsia="宋体" w:cs="宋体"/>
          <w:sz w:val="24"/>
          <w:szCs w:val="24"/>
        </w:rPr>
        <w:drawing>
          <wp:inline distT="0" distB="0" distL="114300" distR="114300">
            <wp:extent cx="5268595" cy="3101975"/>
            <wp:effectExtent l="0" t="0" r="1905" b="9525"/>
            <wp:docPr id="1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7"/>
                    <pic:cNvPicPr>
                      <a:picLocks noChangeAspect="1"/>
                    </pic:cNvPicPr>
                  </pic:nvPicPr>
                  <pic:blipFill>
                    <a:blip r:embed="rId7"/>
                    <a:stretch>
                      <a:fillRect/>
                    </a:stretch>
                  </pic:blipFill>
                  <pic:spPr>
                    <a:xfrm>
                      <a:off x="0" y="0"/>
                      <a:ext cx="5268595" cy="3101975"/>
                    </a:xfrm>
                    <a:prstGeom prst="rect">
                      <a:avLst/>
                    </a:prstGeom>
                    <a:noFill/>
                    <a:ln>
                      <a:noFill/>
                    </a:ln>
                  </pic:spPr>
                </pic:pic>
              </a:graphicData>
            </a:graphic>
          </wp:inline>
        </w:drawing>
      </w:r>
    </w:p>
    <w:p>
      <w:pPr>
        <w:numPr>
          <w:ilvl w:val="0"/>
          <w:numId w:val="0"/>
        </w:numPr>
        <w:ind w:leftChars="200"/>
        <w:outlineLvl w:val="1"/>
        <w:rPr>
          <w:rFonts w:hint="eastAsia" w:ascii="宋体" w:hAnsi="宋体" w:cs="宋体"/>
          <w:color w:val="auto"/>
          <w:sz w:val="24"/>
          <w:szCs w:val="24"/>
          <w:highlight w:val="none"/>
          <w:lang w:val="en-US" w:eastAsia="zh-CN"/>
        </w:rPr>
        <w:sectPr>
          <w:pgSz w:w="11906" w:h="16838"/>
          <w:pgMar w:top="1440" w:right="1800" w:bottom="1440" w:left="1800" w:header="851" w:footer="992" w:gutter="0"/>
          <w:cols w:space="425" w:num="1"/>
          <w:docGrid w:type="lines" w:linePitch="312" w:charSpace="0"/>
        </w:sectPr>
      </w:pP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7</w:t>
      </w:r>
      <w:r>
        <w:rPr>
          <w:rFonts w:hint="eastAsia" w:ascii="宋体" w:hAnsi="宋体" w:eastAsia="宋体" w:cs="宋体"/>
          <w:color w:val="auto"/>
          <w:sz w:val="24"/>
          <w:szCs w:val="24"/>
          <w:highlight w:val="none"/>
          <w:lang w:val="en-US" w:eastAsia="zh-CN"/>
        </w:rPr>
        <w:t>.未被“国家企业信用信息公示系统”-“列入经营异常名录信息”</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(查询地址：</w:t>
      </w:r>
      <w:r>
        <w:rPr>
          <w:rFonts w:hint="eastAsia" w:ascii="宋体" w:hAnsi="宋体" w:eastAsia="宋体" w:cs="宋体"/>
          <w:color w:val="auto"/>
          <w:sz w:val="24"/>
          <w:szCs w:val="24"/>
          <w:highlight w:val="none"/>
          <w:u w:val="none"/>
          <w:lang w:val="en-US" w:eastAsia="zh-CN"/>
        </w:rPr>
        <w:t>https://www.gsxt.gov.cn/index.html）</w:t>
      </w:r>
    </w:p>
    <w:p>
      <w:pPr>
        <w:numPr>
          <w:ilvl w:val="0"/>
          <w:numId w:val="0"/>
        </w:numPr>
        <w:ind w:leftChars="200"/>
        <w:outlineLvl w:val="1"/>
        <w:rPr>
          <w:rFonts w:hint="eastAsia" w:ascii="宋体" w:hAnsi="宋体" w:eastAsia="宋体" w:cs="宋体"/>
          <w:color w:val="auto"/>
          <w:sz w:val="24"/>
          <w:szCs w:val="24"/>
          <w:highlight w:val="none"/>
          <w:lang w:val="en-US" w:eastAsia="zh-CN"/>
        </w:rPr>
      </w:pPr>
      <w:r>
        <w:rPr>
          <w:rFonts w:hint="eastAsia" w:ascii="宋体" w:hAnsi="宋体" w:eastAsia="宋体" w:cs="宋体"/>
          <w:color w:val="auto"/>
          <w:sz w:val="24"/>
          <w:szCs w:val="24"/>
          <w:highlight w:val="none"/>
          <w:lang w:val="en-US" w:eastAsia="zh-CN"/>
        </w:rPr>
        <w:t>截图示例如下：【请删除示例】</w:t>
      </w:r>
    </w:p>
    <w:p>
      <w:pPr>
        <w:pStyle w:val="6"/>
        <w:ind w:left="0" w:leftChars="0" w:firstLine="0" w:firstLineChars="0"/>
        <w:rPr>
          <w:rFonts w:hint="eastAsia" w:ascii="宋体" w:hAnsi="宋体" w:eastAsia="宋体" w:cs="宋体"/>
          <w:sz w:val="24"/>
          <w:szCs w:val="24"/>
        </w:rPr>
        <w:sectPr>
          <w:pgSz w:w="11906" w:h="16838"/>
          <w:pgMar w:top="1440" w:right="1800" w:bottom="1440" w:left="1800" w:header="851" w:footer="992" w:gutter="0"/>
          <w:cols w:space="425" w:num="1"/>
          <w:docGrid w:type="lines" w:linePitch="312" w:charSpace="0"/>
        </w:sectPr>
      </w:pPr>
      <w:r>
        <w:rPr>
          <w:rFonts w:hint="eastAsia" w:ascii="宋体" w:hAnsi="宋体" w:eastAsia="宋体" w:cs="宋体"/>
          <w:sz w:val="24"/>
          <w:szCs w:val="24"/>
        </w:rPr>
        <w:drawing>
          <wp:inline distT="0" distB="0" distL="114300" distR="114300">
            <wp:extent cx="5267960" cy="2881630"/>
            <wp:effectExtent l="0" t="0" r="2540" b="1270"/>
            <wp:docPr id="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5"/>
                    <pic:cNvPicPr>
                      <a:picLocks noChangeAspect="1"/>
                    </pic:cNvPicPr>
                  </pic:nvPicPr>
                  <pic:blipFill>
                    <a:blip r:embed="rId8"/>
                    <a:stretch>
                      <a:fillRect/>
                    </a:stretch>
                  </pic:blipFill>
                  <pic:spPr>
                    <a:xfrm>
                      <a:off x="0" y="0"/>
                      <a:ext cx="5267960" cy="2881630"/>
                    </a:xfrm>
                    <a:prstGeom prst="rect">
                      <a:avLst/>
                    </a:prstGeom>
                    <a:noFill/>
                    <a:ln>
                      <a:noFill/>
                    </a:ln>
                  </pic:spPr>
                </pic:pic>
              </a:graphicData>
            </a:graphic>
          </wp:inline>
        </w:drawing>
      </w:r>
    </w:p>
    <w:p>
      <w:pPr>
        <w:pStyle w:val="7"/>
        <w:rPr>
          <w:rFonts w:hint="eastAsia"/>
          <w:lang w:val="en-US" w:eastAsia="zh-CN"/>
        </w:rPr>
      </w:pPr>
    </w:p>
    <w:p>
      <w:pPr>
        <w:numPr>
          <w:ilvl w:val="0"/>
          <w:numId w:val="0"/>
        </w:numPr>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8.</w:t>
      </w:r>
      <w:r>
        <w:rPr>
          <w:rFonts w:hint="eastAsia" w:ascii="宋体" w:hAnsi="宋体" w:eastAsia="宋体" w:cs="宋体"/>
          <w:color w:val="auto"/>
          <w:sz w:val="24"/>
          <w:szCs w:val="24"/>
          <w:highlight w:val="none"/>
          <w:lang w:val="en-US" w:eastAsia="zh-CN"/>
        </w:rPr>
        <w:t>提供业务连续性管理相关制度、服务响应方案</w:t>
      </w:r>
    </w:p>
    <w:p>
      <w:pPr>
        <w:pStyle w:val="6"/>
        <w:rPr>
          <w:rFonts w:hint="eastAsia" w:ascii="宋体" w:hAnsi="宋体" w:eastAsia="宋体" w:cs="宋体"/>
          <w:color w:val="auto"/>
          <w:sz w:val="24"/>
          <w:szCs w:val="24"/>
          <w:highlight w:val="none"/>
          <w:lang w:val="en-US" w:eastAsia="zh-CN"/>
        </w:rPr>
      </w:pPr>
    </w:p>
    <w:p>
      <w:pPr>
        <w:pStyle w:val="7"/>
        <w:rPr>
          <w:rFonts w:hint="eastAsia"/>
          <w:lang w:val="en-US" w:eastAsia="zh-CN"/>
        </w:rPr>
        <w:sectPr>
          <w:pgSz w:w="11906" w:h="16838"/>
          <w:pgMar w:top="1440" w:right="1800" w:bottom="1440" w:left="1800" w:header="851" w:footer="992" w:gutter="0"/>
          <w:cols w:space="425" w:num="1"/>
          <w:docGrid w:type="lines" w:linePitch="312" w:charSpace="0"/>
        </w:sectPr>
      </w:pPr>
    </w:p>
    <w:p>
      <w:pPr>
        <w:pStyle w:val="7"/>
        <w:rPr>
          <w:rFonts w:hint="eastAsia"/>
          <w:lang w:val="en-US" w:eastAsia="zh-CN"/>
        </w:rPr>
      </w:pPr>
    </w:p>
    <w:p>
      <w:pPr>
        <w:numPr>
          <w:ilvl w:val="0"/>
          <w:numId w:val="0"/>
        </w:numPr>
        <w:ind w:firstLine="480" w:firstLineChars="200"/>
        <w:outlineLvl w:val="1"/>
        <w:rPr>
          <w:rFonts w:hint="eastAsia" w:ascii="宋体" w:hAnsi="宋体" w:eastAsia="宋体" w:cs="宋体"/>
          <w:color w:val="auto"/>
          <w:sz w:val="24"/>
          <w:szCs w:val="24"/>
          <w:highlight w:val="none"/>
          <w:lang w:val="en-US" w:eastAsia="zh-CN"/>
        </w:rPr>
      </w:pPr>
      <w:r>
        <w:rPr>
          <w:rFonts w:hint="eastAsia" w:ascii="宋体" w:hAnsi="宋体" w:cs="宋体"/>
          <w:color w:val="auto"/>
          <w:sz w:val="24"/>
          <w:szCs w:val="24"/>
          <w:highlight w:val="none"/>
          <w:lang w:val="en-US" w:eastAsia="zh-CN"/>
        </w:rPr>
        <w:t>9</w:t>
      </w:r>
      <w:r>
        <w:rPr>
          <w:rFonts w:hint="eastAsia" w:ascii="宋体" w:hAnsi="宋体" w:eastAsia="宋体" w:cs="宋体"/>
          <w:color w:val="auto"/>
          <w:sz w:val="24"/>
          <w:szCs w:val="24"/>
          <w:highlight w:val="none"/>
          <w:lang w:val="en-US" w:eastAsia="zh-CN"/>
        </w:rPr>
        <w:t>.投标人必须通过软件能力成熟度CMMI资质认证（3级及以上），提供相关证明材料的复印件</w:t>
      </w:r>
    </w:p>
    <w:p>
      <w:pPr>
        <w:numPr>
          <w:ilvl w:val="0"/>
          <w:numId w:val="0"/>
        </w:numPr>
        <w:ind w:leftChars="200"/>
        <w:outlineLvl w:val="9"/>
        <w:rPr>
          <w:rFonts w:hint="eastAsia" w:ascii="宋体" w:hAnsi="宋体" w:eastAsia="宋体" w:cs="宋体"/>
          <w:color w:val="auto"/>
          <w:sz w:val="24"/>
          <w:szCs w:val="24"/>
          <w:highlight w:val="none"/>
          <w:lang w:val="en-US" w:eastAsia="zh-CN"/>
        </w:rPr>
      </w:pP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pP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pP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pP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sectPr>
          <w:pgSz w:w="11906" w:h="16838"/>
          <w:pgMar w:top="1440" w:right="1800" w:bottom="1440" w:left="1800" w:header="851" w:footer="992" w:gutter="0"/>
          <w:cols w:space="425" w:num="1"/>
          <w:docGrid w:type="lines" w:linePitch="312" w:charSpace="0"/>
        </w:sectPr>
      </w:pP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sectPr>
          <w:pgSz w:w="11906" w:h="16838"/>
          <w:pgMar w:top="1440" w:right="1800" w:bottom="1440" w:left="1800" w:header="851" w:footer="992" w:gutter="0"/>
          <w:cols w:space="425" w:num="1"/>
          <w:docGrid w:type="lines" w:linePitch="312" w:charSpace="0"/>
        </w:sectPr>
      </w:pPr>
      <w:r>
        <w:rPr>
          <w:rFonts w:hint="eastAsia" w:ascii="宋体" w:eastAsia="宋体" w:cs="Times New Roman"/>
          <w:i w:val="0"/>
          <w:iCs w:val="0"/>
          <w:caps w:val="0"/>
          <w:color w:val="000000"/>
          <w:spacing w:val="0"/>
          <w:kern w:val="0"/>
          <w:sz w:val="24"/>
          <w:szCs w:val="24"/>
          <w:lang w:val="en-US" w:eastAsia="zh-CN"/>
        </w:rPr>
        <w:t>10.</w:t>
      </w:r>
      <w:bookmarkStart w:id="0" w:name="_GoBack"/>
      <w:bookmarkEnd w:id="0"/>
      <w:r>
        <w:rPr>
          <w:rFonts w:hint="eastAsia" w:ascii="宋体" w:eastAsia="宋体" w:cs="Times New Roman"/>
          <w:i w:val="0"/>
          <w:iCs w:val="0"/>
          <w:caps w:val="0"/>
          <w:color w:val="000000"/>
          <w:spacing w:val="0"/>
          <w:kern w:val="0"/>
          <w:sz w:val="24"/>
          <w:szCs w:val="24"/>
          <w:lang w:val="en-US" w:eastAsia="zh-CN"/>
        </w:rPr>
        <w:t>为增值税一般纳税人（提供一般纳税人证明材料)</w:t>
      </w:r>
    </w:p>
    <w:p>
      <w:pPr>
        <w:pStyle w:val="7"/>
        <w:keepNext w:val="0"/>
        <w:keepLines w:val="0"/>
        <w:widowControl w:val="0"/>
        <w:numPr>
          <w:ilvl w:val="0"/>
          <w:numId w:val="0"/>
        </w:numPr>
        <w:suppressLineNumbers w:val="0"/>
        <w:topLinePunct/>
        <w:spacing w:before="0" w:beforeAutospacing="0" w:after="0" w:afterAutospacing="0"/>
        <w:ind w:leftChars="200" w:right="0" w:rightChars="0"/>
        <w:jc w:val="both"/>
        <w:rPr>
          <w:rFonts w:hint="eastAsia" w:ascii="宋体" w:hAnsi="宋体" w:eastAsia="宋体" w:cs="宋体"/>
          <w:color w:val="000000"/>
          <w:sz w:val="24"/>
          <w:szCs w:val="24"/>
          <w:highlight w:val="none"/>
          <w:lang w:val="en-US" w:eastAsia="zh-CN"/>
        </w:rPr>
      </w:pPr>
    </w:p>
    <w:p>
      <w:pPr>
        <w:keepNext w:val="0"/>
        <w:keepLines w:val="0"/>
        <w:pageBreakBefore w:val="0"/>
        <w:widowControl w:val="0"/>
        <w:kinsoku/>
        <w:wordWrap/>
        <w:overflowPunct/>
        <w:topLinePunct w:val="0"/>
        <w:autoSpaceDE/>
        <w:autoSpaceDN/>
        <w:bidi w:val="0"/>
        <w:adjustRightInd/>
        <w:snapToGrid/>
        <w:spacing w:line="579" w:lineRule="exact"/>
        <w:ind w:firstLine="640" w:firstLineChars="200"/>
        <w:textAlignment w:val="auto"/>
        <w:outlineLvl w:val="1"/>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二、与本项目相关的案例情况</w:t>
      </w:r>
    </w:p>
    <w:p>
      <w:pPr>
        <w:keepNext w:val="0"/>
        <w:keepLines w:val="0"/>
        <w:pageBreakBefore w:val="0"/>
        <w:kinsoku/>
        <w:wordWrap/>
        <w:overflowPunct/>
        <w:autoSpaceDE/>
        <w:autoSpaceDN/>
        <w:bidi w:val="0"/>
        <w:adjustRightInd/>
        <w:snapToGrid/>
        <w:spacing w:line="579" w:lineRule="exact"/>
        <w:ind w:firstLine="480" w:firstLineChars="200"/>
        <w:textAlignment w:val="auto"/>
        <w:outlineLvl w:val="9"/>
        <w:rPr>
          <w:rFonts w:hint="eastAsia" w:ascii="宋体" w:hAnsi="宋体" w:eastAsia="宋体" w:cs="宋体"/>
          <w:b w:val="0"/>
          <w:bCs w:val="0"/>
          <w:sz w:val="24"/>
          <w:szCs w:val="24"/>
          <w:highlight w:val="none"/>
        </w:rPr>
      </w:pPr>
      <w:r>
        <w:rPr>
          <w:rFonts w:hint="eastAsia" w:ascii="宋体" w:hAnsi="宋体" w:eastAsia="宋体" w:cs="宋体"/>
          <w:b w:val="0"/>
          <w:bCs w:val="0"/>
          <w:sz w:val="24"/>
          <w:szCs w:val="24"/>
          <w:highlight w:val="none"/>
        </w:rPr>
        <w:t>《</w:t>
      </w:r>
      <w:r>
        <w:rPr>
          <w:rFonts w:hint="eastAsia" w:ascii="宋体" w:hAnsi="宋体" w:eastAsia="宋体" w:cs="宋体"/>
          <w:b w:val="0"/>
          <w:bCs w:val="0"/>
          <w:sz w:val="24"/>
          <w:szCs w:val="24"/>
          <w:highlight w:val="none"/>
          <w:lang w:val="en-US" w:eastAsia="zh-CN"/>
        </w:rPr>
        <w:t>厦门国际银行交易型客户信息管理系统信创建设项目</w:t>
      </w:r>
      <w:r>
        <w:rPr>
          <w:rFonts w:hint="eastAsia" w:ascii="宋体" w:hAnsi="宋体" w:eastAsia="宋体" w:cs="宋体"/>
          <w:b w:val="0"/>
          <w:bCs w:val="0"/>
          <w:sz w:val="24"/>
          <w:szCs w:val="24"/>
          <w:highlight w:val="none"/>
        </w:rPr>
        <w:t>》相关案例情况：</w:t>
      </w:r>
    </w:p>
    <w:p>
      <w:pPr>
        <w:keepNext w:val="0"/>
        <w:keepLines w:val="0"/>
        <w:pageBreakBefore w:val="0"/>
        <w:kinsoku/>
        <w:wordWrap/>
        <w:overflowPunct/>
        <w:autoSpaceDE/>
        <w:autoSpaceDN/>
        <w:bidi w:val="0"/>
        <w:adjustRightInd/>
        <w:snapToGrid/>
        <w:spacing w:line="579" w:lineRule="exact"/>
        <w:ind w:firstLine="480" w:firstLineChars="200"/>
        <w:textAlignment w:val="auto"/>
        <w:outlineLvl w:val="9"/>
        <w:rPr>
          <w:rFonts w:hint="eastAsia" w:ascii="宋体" w:hAnsi="宋体" w:eastAsia="宋体" w:cs="宋体"/>
          <w:b w:val="0"/>
          <w:bCs w:val="0"/>
          <w:sz w:val="24"/>
          <w:szCs w:val="24"/>
          <w:highlight w:val="none"/>
          <w:lang w:val="en-US" w:eastAsia="zh-CN"/>
        </w:rPr>
      </w:pPr>
      <w:r>
        <w:rPr>
          <w:rFonts w:hint="eastAsia" w:ascii="宋体" w:hAnsi="宋体" w:eastAsia="宋体" w:cs="宋体"/>
          <w:b w:val="0"/>
          <w:bCs w:val="0"/>
          <w:sz w:val="24"/>
          <w:szCs w:val="24"/>
          <w:highlight w:val="none"/>
        </w:rPr>
        <w:t>（</w:t>
      </w:r>
      <w:r>
        <w:rPr>
          <w:rFonts w:hint="eastAsia" w:ascii="宋体" w:hAnsi="宋体" w:eastAsia="宋体" w:cs="宋体"/>
          <w:b w:val="0"/>
          <w:bCs w:val="0"/>
          <w:sz w:val="24"/>
          <w:szCs w:val="24"/>
          <w:highlight w:val="none"/>
          <w:lang w:val="en-US" w:eastAsia="zh-CN"/>
        </w:rPr>
        <w:t>近三年（2022年1月1日至今）国内资产规模5000</w:t>
      </w:r>
      <w:r>
        <w:rPr>
          <w:rFonts w:hint="eastAsia" w:ascii="宋体" w:hAnsi="宋体" w:cs="宋体"/>
          <w:b w:val="0"/>
          <w:bCs w:val="0"/>
          <w:sz w:val="24"/>
          <w:szCs w:val="24"/>
          <w:highlight w:val="none"/>
          <w:lang w:val="en-US" w:eastAsia="zh-CN"/>
        </w:rPr>
        <w:t>亿</w:t>
      </w:r>
      <w:r>
        <w:rPr>
          <w:rFonts w:hint="eastAsia" w:ascii="宋体" w:hAnsi="宋体" w:eastAsia="宋体" w:cs="宋体"/>
          <w:b w:val="0"/>
          <w:bCs w:val="0"/>
          <w:sz w:val="24"/>
          <w:szCs w:val="24"/>
          <w:highlight w:val="none"/>
          <w:lang w:val="en-US" w:eastAsia="zh-CN"/>
        </w:rPr>
        <w:t>元人民币（截至2024年底）以上</w:t>
      </w:r>
      <w:r>
        <w:rPr>
          <w:rFonts w:hint="eastAsia" w:ascii="宋体" w:hAnsi="宋体" w:cs="宋体"/>
          <w:b w:val="0"/>
          <w:bCs w:val="0"/>
          <w:sz w:val="24"/>
          <w:szCs w:val="24"/>
          <w:highlight w:val="none"/>
          <w:lang w:val="en-US" w:eastAsia="zh-CN"/>
        </w:rPr>
        <w:t>（含）</w:t>
      </w:r>
      <w:r>
        <w:rPr>
          <w:rFonts w:hint="eastAsia" w:ascii="宋体" w:hAnsi="宋体" w:eastAsia="宋体" w:cs="宋体"/>
          <w:b w:val="0"/>
          <w:bCs w:val="0"/>
          <w:sz w:val="24"/>
          <w:szCs w:val="24"/>
          <w:highlight w:val="none"/>
          <w:lang w:val="en-US" w:eastAsia="zh-CN"/>
        </w:rPr>
        <w:t>银行客户信息管理系统项目建设案例</w:t>
      </w:r>
      <w:r>
        <w:rPr>
          <w:rFonts w:hint="eastAsia" w:ascii="宋体" w:hAnsi="宋体" w:cs="宋体"/>
          <w:b w:val="0"/>
          <w:bCs w:val="0"/>
          <w:sz w:val="24"/>
          <w:szCs w:val="24"/>
          <w:highlight w:val="none"/>
          <w:lang w:val="en-US" w:eastAsia="zh-CN"/>
        </w:rPr>
        <w:t>，</w:t>
      </w:r>
      <w:r>
        <w:rPr>
          <w:rFonts w:hint="eastAsia" w:ascii="宋体" w:hAnsi="宋体" w:eastAsia="宋体" w:cs="宋体"/>
          <w:kern w:val="0"/>
          <w:sz w:val="24"/>
          <w:szCs w:val="24"/>
          <w:lang w:val="en-US" w:eastAsia="zh-CN" w:bidi="ar"/>
        </w:rPr>
        <w:t>此处客户信息管理系统是企业级客户信息管理系统，合同名称或合同实施页范围内包含客户信息管理或客户信息系统或ECIF或客户中心或客户中台关键字,若仅涉及网贷、信用卡等单一业务条线客户信息管理的项目或者无基础产品的人力开发类项目、合作开发类型项目、咨询类项目、维保类项目、升级改造类项目为无效案例</w:t>
      </w:r>
      <w:r>
        <w:rPr>
          <w:rFonts w:hint="eastAsia" w:ascii="宋体" w:hAnsi="宋体" w:eastAsia="宋体" w:cs="宋体"/>
          <w:b w:val="0"/>
          <w:bCs w:val="0"/>
          <w:sz w:val="24"/>
          <w:szCs w:val="24"/>
          <w:highlight w:val="none"/>
          <w:lang w:val="en-US" w:eastAsia="zh-CN"/>
        </w:rPr>
        <w:t>）</w:t>
      </w:r>
    </w:p>
    <w:tbl>
      <w:tblPr>
        <w:tblStyle w:val="11"/>
        <w:tblW w:w="4998"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72"/>
        <w:gridCol w:w="2497"/>
        <w:gridCol w:w="1721"/>
        <w:gridCol w:w="1877"/>
        <w:gridCol w:w="145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5" w:hRule="atLeast"/>
        </w:trPr>
        <w:tc>
          <w:tcPr>
            <w:tcW w:w="570" w:type="pct"/>
            <w:vAlign w:val="center"/>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b/>
                <w:bCs/>
                <w:sz w:val="24"/>
                <w:szCs w:val="24"/>
                <w:lang w:val="en-US" w:eastAsia="zh-CN"/>
              </w:rPr>
            </w:pPr>
            <w:r>
              <w:rPr>
                <w:rFonts w:hint="eastAsia" w:ascii="宋体" w:hAnsi="宋体" w:eastAsia="宋体" w:cs="宋体"/>
                <w:b/>
                <w:bCs/>
                <w:sz w:val="24"/>
                <w:szCs w:val="24"/>
                <w:lang w:val="en-US" w:eastAsia="zh-CN"/>
              </w:rPr>
              <w:t>序号</w:t>
            </w:r>
          </w:p>
        </w:tc>
        <w:tc>
          <w:tcPr>
            <w:tcW w:w="1465" w:type="pct"/>
            <w:vAlign w:val="center"/>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b/>
                <w:bCs/>
                <w:sz w:val="24"/>
                <w:szCs w:val="24"/>
              </w:rPr>
            </w:pPr>
            <w:r>
              <w:rPr>
                <w:rFonts w:hint="eastAsia" w:ascii="宋体" w:hAnsi="宋体" w:eastAsia="宋体" w:cs="宋体"/>
                <w:b/>
                <w:bCs/>
                <w:sz w:val="24"/>
                <w:szCs w:val="24"/>
              </w:rPr>
              <w:t>甲方</w:t>
            </w:r>
          </w:p>
        </w:tc>
        <w:tc>
          <w:tcPr>
            <w:tcW w:w="1010" w:type="pct"/>
            <w:vAlign w:val="center"/>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b/>
                <w:bCs/>
                <w:sz w:val="24"/>
                <w:szCs w:val="24"/>
              </w:rPr>
            </w:pPr>
            <w:r>
              <w:rPr>
                <w:rFonts w:hint="eastAsia" w:ascii="宋体" w:hAnsi="宋体" w:eastAsia="宋体" w:cs="宋体"/>
                <w:b/>
                <w:bCs/>
                <w:sz w:val="24"/>
                <w:szCs w:val="24"/>
              </w:rPr>
              <w:t>合同名称</w:t>
            </w:r>
          </w:p>
        </w:tc>
        <w:tc>
          <w:tcPr>
            <w:tcW w:w="1101" w:type="pct"/>
            <w:vAlign w:val="center"/>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b/>
                <w:bCs/>
                <w:sz w:val="24"/>
                <w:szCs w:val="24"/>
              </w:rPr>
            </w:pPr>
            <w:r>
              <w:rPr>
                <w:rFonts w:hint="eastAsia" w:ascii="宋体" w:hAnsi="宋体" w:eastAsia="宋体" w:cs="宋体"/>
                <w:b/>
                <w:bCs/>
                <w:sz w:val="24"/>
                <w:szCs w:val="24"/>
              </w:rPr>
              <w:t>案例简介</w:t>
            </w:r>
          </w:p>
        </w:tc>
        <w:tc>
          <w:tcPr>
            <w:tcW w:w="852" w:type="pct"/>
            <w:vAlign w:val="center"/>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b/>
                <w:bCs/>
                <w:sz w:val="24"/>
                <w:szCs w:val="24"/>
              </w:rPr>
            </w:pPr>
            <w:r>
              <w:rPr>
                <w:rFonts w:hint="eastAsia" w:ascii="宋体" w:hAnsi="宋体" w:eastAsia="宋体" w:cs="宋体"/>
                <w:b/>
                <w:bCs/>
                <w:sz w:val="24"/>
                <w:szCs w:val="24"/>
              </w:rPr>
              <w:t>页码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1" w:hRule="atLeast"/>
        </w:trPr>
        <w:tc>
          <w:tcPr>
            <w:tcW w:w="570" w:type="pct"/>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jc w:val="center"/>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1</w:t>
            </w:r>
          </w:p>
        </w:tc>
        <w:tc>
          <w:tcPr>
            <w:tcW w:w="1465" w:type="pct"/>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textAlignment w:val="auto"/>
              <w:rPr>
                <w:rFonts w:hint="eastAsia" w:ascii="宋体" w:hAnsi="宋体" w:eastAsia="宋体" w:cs="宋体"/>
                <w:sz w:val="24"/>
                <w:szCs w:val="24"/>
              </w:rPr>
            </w:pPr>
            <w:r>
              <w:rPr>
                <w:rFonts w:hint="eastAsia" w:ascii="宋体" w:hAnsi="宋体" w:eastAsia="宋体" w:cs="宋体"/>
                <w:sz w:val="24"/>
                <w:szCs w:val="24"/>
              </w:rPr>
              <w:t>例：建设银行</w:t>
            </w:r>
            <w:r>
              <w:rPr>
                <w:rFonts w:hint="eastAsia" w:ascii="宋体" w:hAnsi="宋体" w:eastAsia="宋体" w:cs="宋体"/>
                <w:sz w:val="24"/>
                <w:szCs w:val="24"/>
              </w:rPr>
              <w:br w:type="textWrapping"/>
            </w:r>
            <w:r>
              <w:rPr>
                <w:rFonts w:hint="eastAsia" w:ascii="宋体" w:hAnsi="宋体" w:eastAsia="宋体" w:cs="宋体"/>
                <w:sz w:val="24"/>
                <w:szCs w:val="24"/>
              </w:rPr>
              <w:t>（甲方全称）</w:t>
            </w:r>
          </w:p>
        </w:tc>
        <w:tc>
          <w:tcPr>
            <w:tcW w:w="101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101"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852" w:type="pct"/>
          </w:tcPr>
          <w:p>
            <w:pPr>
              <w:keepNext w:val="0"/>
              <w:keepLines w:val="0"/>
              <w:pageBreakBefore w:val="0"/>
              <w:widowControl w:val="0"/>
              <w:kinsoku/>
              <w:wordWrap/>
              <w:overflowPunct/>
              <w:topLinePunct/>
              <w:autoSpaceDE/>
              <w:autoSpaceDN/>
              <w:bidi w:val="0"/>
              <w:adjustRightInd/>
              <w:snapToGrid/>
              <w:spacing w:line="460" w:lineRule="exact"/>
              <w:ind w:left="0" w:leftChars="0" w:firstLine="0" w:firstLineChars="0"/>
              <w:textAlignment w:val="auto"/>
              <w:rPr>
                <w:rFonts w:hint="eastAsia" w:ascii="宋体" w:hAnsi="宋体" w:eastAsia="宋体" w:cs="宋体"/>
                <w:sz w:val="24"/>
                <w:szCs w:val="24"/>
              </w:rPr>
            </w:pPr>
            <w:r>
              <w:rPr>
                <w:rFonts w:hint="eastAsia" w:ascii="宋体" w:hAnsi="宋体" w:eastAsia="宋体" w:cs="宋体"/>
                <w:sz w:val="24"/>
                <w:szCs w:val="24"/>
              </w:rPr>
              <w:t>查见本文档第四部分第*页</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8" w:hRule="atLeast"/>
        </w:trPr>
        <w:tc>
          <w:tcPr>
            <w:tcW w:w="570" w:type="pct"/>
          </w:tcPr>
          <w:p>
            <w:pPr>
              <w:keepNext w:val="0"/>
              <w:keepLines w:val="0"/>
              <w:pageBreakBefore w:val="0"/>
              <w:widowControl w:val="0"/>
              <w:kinsoku/>
              <w:wordWrap/>
              <w:overflowPunct/>
              <w:topLinePunct/>
              <w:autoSpaceDE/>
              <w:autoSpaceDN/>
              <w:bidi w:val="0"/>
              <w:adjustRightInd/>
              <w:snapToGrid/>
              <w:spacing w:line="460" w:lineRule="exact"/>
              <w:jc w:val="center"/>
              <w:textAlignment w:val="auto"/>
              <w:rPr>
                <w:rFonts w:hint="eastAsia" w:ascii="宋体" w:hAnsi="宋体" w:eastAsia="宋体" w:cs="宋体"/>
                <w:sz w:val="24"/>
                <w:szCs w:val="24"/>
                <w:lang w:val="en-US" w:eastAsia="zh-CN"/>
              </w:rPr>
            </w:pPr>
            <w:r>
              <w:rPr>
                <w:rFonts w:hint="eastAsia" w:ascii="宋体" w:hAnsi="宋体" w:eastAsia="宋体" w:cs="宋体"/>
                <w:sz w:val="24"/>
                <w:szCs w:val="24"/>
                <w:lang w:val="en-US" w:eastAsia="zh-CN"/>
              </w:rPr>
              <w:t>2</w:t>
            </w:r>
          </w:p>
        </w:tc>
        <w:tc>
          <w:tcPr>
            <w:tcW w:w="1465"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01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101"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852"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57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465"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01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101"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852"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1" w:hRule="atLeast"/>
        </w:trPr>
        <w:tc>
          <w:tcPr>
            <w:tcW w:w="57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465"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010"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1101"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c>
          <w:tcPr>
            <w:tcW w:w="852" w:type="pct"/>
          </w:tcPr>
          <w:p>
            <w:pPr>
              <w:keepNext w:val="0"/>
              <w:keepLines w:val="0"/>
              <w:pageBreakBefore w:val="0"/>
              <w:widowControl w:val="0"/>
              <w:kinsoku/>
              <w:wordWrap/>
              <w:overflowPunct/>
              <w:topLinePunct/>
              <w:autoSpaceDE/>
              <w:autoSpaceDN/>
              <w:bidi w:val="0"/>
              <w:adjustRightInd/>
              <w:snapToGrid/>
              <w:spacing w:line="460" w:lineRule="exact"/>
              <w:textAlignment w:val="auto"/>
              <w:rPr>
                <w:rFonts w:hint="eastAsia" w:ascii="宋体" w:hAnsi="宋体" w:eastAsia="宋体" w:cs="宋体"/>
                <w:sz w:val="24"/>
                <w:szCs w:val="24"/>
              </w:rPr>
            </w:pPr>
          </w:p>
        </w:tc>
      </w:tr>
    </w:tbl>
    <w:p>
      <w:pPr>
        <w:keepNext w:val="0"/>
        <w:keepLines w:val="0"/>
        <w:pageBreakBefore w:val="0"/>
        <w:kinsoku/>
        <w:wordWrap/>
        <w:overflowPunct/>
        <w:autoSpaceDE/>
        <w:autoSpaceDN/>
        <w:bidi w:val="0"/>
        <w:adjustRightInd/>
        <w:snapToGrid/>
        <w:spacing w:line="579" w:lineRule="exact"/>
        <w:ind w:firstLine="482" w:firstLineChars="200"/>
        <w:textAlignment w:val="auto"/>
        <w:outlineLvl w:val="9"/>
        <w:rPr>
          <w:rFonts w:hint="eastAsia" w:ascii="宋体" w:hAnsi="宋体" w:eastAsia="宋体" w:cs="宋体"/>
          <w:b/>
          <w:bCs/>
          <w:color w:val="FF0000"/>
          <w:sz w:val="24"/>
          <w:szCs w:val="24"/>
          <w:lang w:val="en-US" w:eastAsia="zh-CN"/>
        </w:rPr>
      </w:pPr>
      <w:r>
        <w:rPr>
          <w:rFonts w:hint="eastAsia" w:ascii="宋体" w:hAnsi="宋体" w:eastAsia="宋体" w:cs="宋体"/>
          <w:b/>
          <w:bCs/>
          <w:color w:val="FF0000"/>
          <w:sz w:val="24"/>
          <w:szCs w:val="24"/>
          <w:lang w:val="en-US" w:eastAsia="zh-CN"/>
        </w:rPr>
        <w:t>在此根据上述合作所列合同清单依次附录合同证明材料。服务内容证明页的扫描件</w:t>
      </w:r>
      <w:r>
        <w:rPr>
          <w:rFonts w:hint="eastAsia" w:ascii="宋体" w:hAnsi="宋体" w:cs="宋体"/>
          <w:b/>
          <w:bCs/>
          <w:color w:val="FF0000"/>
          <w:sz w:val="24"/>
          <w:szCs w:val="24"/>
          <w:lang w:val="en-US" w:eastAsia="zh-CN"/>
        </w:rPr>
        <w:t>（合同上须能清晰体现服务内容，合同签订时间及合同双方盖章，不符合上述要求的案例，视为无效案例）</w:t>
      </w:r>
      <w:r>
        <w:rPr>
          <w:rFonts w:hint="eastAsia" w:ascii="宋体" w:hAnsi="宋体" w:eastAsia="宋体" w:cs="宋体"/>
          <w:b/>
          <w:bCs/>
          <w:color w:val="FF0000"/>
          <w:sz w:val="24"/>
          <w:szCs w:val="24"/>
          <w:lang w:val="en-US" w:eastAsia="zh-CN"/>
        </w:rPr>
        <w:t>。</w:t>
      </w:r>
    </w:p>
    <w:p>
      <w:pPr>
        <w:keepNext w:val="0"/>
        <w:keepLines w:val="0"/>
        <w:pageBreakBefore w:val="0"/>
        <w:widowControl w:val="0"/>
        <w:kinsoku/>
        <w:wordWrap/>
        <w:overflowPunct/>
        <w:topLinePunct w:val="0"/>
        <w:autoSpaceDE/>
        <w:autoSpaceDN/>
        <w:bidi w:val="0"/>
        <w:adjustRightInd/>
        <w:snapToGrid/>
        <w:spacing w:line="579" w:lineRule="exact"/>
        <w:ind w:firstLine="640" w:firstLineChars="200"/>
        <w:textAlignment w:val="auto"/>
        <w:outlineLvl w:val="1"/>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三、详细介绍</w:t>
      </w:r>
    </w:p>
    <w:p>
      <w:pPr>
        <w:keepNext w:val="0"/>
        <w:keepLines w:val="0"/>
        <w:pageBreakBefore w:val="0"/>
        <w:kinsoku/>
        <w:wordWrap/>
        <w:overflowPunct/>
        <w:autoSpaceDE/>
        <w:autoSpaceDN/>
        <w:bidi w:val="0"/>
        <w:adjustRightInd/>
        <w:snapToGrid/>
        <w:spacing w:line="579" w:lineRule="exact"/>
        <w:ind w:firstLine="480" w:firstLineChars="200"/>
        <w:textAlignment w:val="auto"/>
        <w:outlineLvl w:val="2"/>
        <w:rPr>
          <w:rFonts w:hint="eastAsia" w:ascii="宋体" w:hAnsi="宋体" w:eastAsia="宋体" w:cs="宋体"/>
          <w:b w:val="0"/>
          <w:bCs w:val="0"/>
          <w:sz w:val="24"/>
          <w:szCs w:val="24"/>
        </w:rPr>
      </w:pP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lang w:val="en-US" w:eastAsia="zh-CN"/>
        </w:rPr>
        <w:t>一</w:t>
      </w:r>
      <w:r>
        <w:rPr>
          <w:rFonts w:hint="eastAsia" w:ascii="宋体" w:hAnsi="宋体" w:eastAsia="宋体" w:cs="宋体"/>
          <w:b w:val="0"/>
          <w:bCs w:val="0"/>
          <w:sz w:val="24"/>
          <w:szCs w:val="24"/>
          <w:lang w:eastAsia="zh-CN"/>
        </w:rPr>
        <w:t>）</w:t>
      </w:r>
      <w:r>
        <w:rPr>
          <w:rFonts w:hint="eastAsia" w:ascii="宋体" w:hAnsi="宋体" w:eastAsia="宋体" w:cs="宋体"/>
          <w:b w:val="0"/>
          <w:bCs w:val="0"/>
          <w:sz w:val="24"/>
          <w:szCs w:val="24"/>
        </w:rPr>
        <w:t>公司简介</w:t>
      </w:r>
    </w:p>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bCs/>
          <w:color w:val="0000FF"/>
          <w:sz w:val="24"/>
          <w:szCs w:val="24"/>
        </w:rPr>
      </w:pPr>
      <w:r>
        <w:rPr>
          <w:rFonts w:hint="eastAsia" w:ascii="宋体" w:hAnsi="宋体" w:eastAsia="宋体" w:cs="宋体"/>
          <w:color w:val="000000" w:themeColor="text1"/>
          <w:sz w:val="24"/>
          <w:szCs w:val="24"/>
          <w:lang w:val="en-US" w:eastAsia="zh-CN"/>
          <w14:textFill>
            <w14:solidFill>
              <w14:schemeClr w14:val="tx1"/>
            </w14:solidFill>
          </w14:textFill>
        </w:rPr>
        <w:t>包括但不限于：公司全称，统一社会信用代码，公司类型，注册资本，法人代表姓名，企业网址，纳税人类型，员工数量，公司通讯地址及邮编，联系人及职务，联系人手机号码及电子邮箱地址，公司主营业务，分公司或办事处的详细地址和联系方式。</w:t>
      </w:r>
    </w:p>
    <w:p>
      <w:pPr>
        <w:keepNext w:val="0"/>
        <w:keepLines w:val="0"/>
        <w:pageBreakBefore w:val="0"/>
        <w:kinsoku/>
        <w:wordWrap/>
        <w:overflowPunct/>
        <w:autoSpaceDE/>
        <w:autoSpaceDN/>
        <w:bidi w:val="0"/>
        <w:adjustRightInd/>
        <w:snapToGrid/>
        <w:spacing w:line="579" w:lineRule="exact"/>
        <w:ind w:firstLine="480" w:firstLineChars="200"/>
        <w:textAlignment w:val="auto"/>
        <w:outlineLvl w:val="2"/>
        <w:rPr>
          <w:rFonts w:hint="eastAsia" w:ascii="宋体" w:hAnsi="宋体" w:eastAsia="宋体" w:cs="宋体"/>
          <w:b w:val="0"/>
          <w:bCs w:val="0"/>
          <w:sz w:val="24"/>
          <w:szCs w:val="24"/>
          <w:lang w:eastAsia="zh-CN"/>
        </w:rPr>
      </w:pPr>
      <w:r>
        <w:rPr>
          <w:rFonts w:hint="eastAsia" w:ascii="宋体" w:hAnsi="宋体" w:eastAsia="宋体" w:cs="宋体"/>
          <w:b w:val="0"/>
          <w:bCs w:val="0"/>
          <w:sz w:val="24"/>
          <w:szCs w:val="24"/>
          <w:lang w:eastAsia="zh-CN"/>
        </w:rPr>
        <w:t>（二）公司资质、认证等材料（</w:t>
      </w:r>
      <w:r>
        <w:rPr>
          <w:rFonts w:hint="eastAsia" w:ascii="宋体" w:hAnsi="宋体" w:eastAsia="宋体" w:cs="宋体"/>
          <w:b w:val="0"/>
          <w:bCs w:val="0"/>
          <w:sz w:val="24"/>
          <w:szCs w:val="24"/>
          <w:lang w:val="en-US" w:eastAsia="zh-CN"/>
        </w:rPr>
        <w:t>扫描件</w:t>
      </w:r>
      <w:r>
        <w:rPr>
          <w:rFonts w:hint="eastAsia" w:ascii="宋体" w:hAnsi="宋体" w:eastAsia="宋体" w:cs="宋体"/>
          <w:b w:val="0"/>
          <w:bCs w:val="0"/>
          <w:sz w:val="24"/>
          <w:szCs w:val="24"/>
          <w:lang w:eastAsia="zh-CN"/>
        </w:rPr>
        <w:t>）</w:t>
      </w:r>
    </w:p>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包括但不限于：</w:t>
      </w:r>
    </w:p>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1.行业资质认证。例如：质量管理体系认证，环境管理体系认证，职业健康安全管理体系认证等。</w:t>
      </w:r>
    </w:p>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color w:val="000000" w:themeColor="text1"/>
          <w:sz w:val="24"/>
          <w:szCs w:val="24"/>
          <w:lang w:val="en-US" w:eastAsia="zh-CN"/>
          <w14:textFill>
            <w14:solidFill>
              <w14:schemeClr w14:val="tx1"/>
            </w14:solidFill>
          </w14:textFill>
        </w:rPr>
      </w:pPr>
      <w:r>
        <w:rPr>
          <w:rFonts w:hint="eastAsia" w:ascii="宋体" w:hAnsi="宋体" w:eastAsia="宋体" w:cs="宋体"/>
          <w:color w:val="000000" w:themeColor="text1"/>
          <w:sz w:val="24"/>
          <w:szCs w:val="24"/>
          <w:lang w:val="en-US" w:eastAsia="zh-CN"/>
          <w14:textFill>
            <w14:solidFill>
              <w14:schemeClr w14:val="tx1"/>
            </w14:solidFill>
          </w14:textFill>
        </w:rPr>
        <w:t>2.产品认证。如3C 认证等。</w:t>
      </w:r>
    </w:p>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bCs/>
          <w:sz w:val="24"/>
          <w:szCs w:val="24"/>
        </w:rPr>
      </w:pPr>
      <w:r>
        <w:rPr>
          <w:rFonts w:hint="eastAsia" w:ascii="宋体" w:hAnsi="宋体" w:eastAsia="宋体" w:cs="宋体"/>
          <w:color w:val="000000" w:themeColor="text1"/>
          <w:sz w:val="24"/>
          <w:szCs w:val="24"/>
          <w:lang w:val="en-US" w:eastAsia="zh-CN"/>
          <w14:textFill>
            <w14:solidFill>
              <w14:schemeClr w14:val="tx1"/>
            </w14:solidFill>
          </w14:textFill>
        </w:rPr>
        <w:t>3.技术能力介绍：①公司拥有的自主知识产权名称、数量（须提供扫描件作为证明），②行业内龙头企业排名或优质企业资质认证材料。</w:t>
      </w:r>
    </w:p>
    <w:p>
      <w:pPr>
        <w:keepNext w:val="0"/>
        <w:keepLines w:val="0"/>
        <w:pageBreakBefore w:val="0"/>
        <w:kinsoku/>
        <w:wordWrap/>
        <w:overflowPunct/>
        <w:autoSpaceDE/>
        <w:autoSpaceDN/>
        <w:bidi w:val="0"/>
        <w:adjustRightInd/>
        <w:snapToGrid/>
        <w:spacing w:line="579" w:lineRule="exact"/>
        <w:ind w:firstLine="480" w:firstLineChars="200"/>
        <w:textAlignment w:val="auto"/>
        <w:outlineLvl w:val="2"/>
        <w:rPr>
          <w:rFonts w:hint="eastAsia" w:ascii="宋体" w:hAnsi="宋体" w:eastAsia="宋体" w:cs="宋体"/>
          <w:b w:val="0"/>
          <w:bCs w:val="0"/>
          <w:sz w:val="24"/>
          <w:szCs w:val="24"/>
          <w:lang w:val="en-US" w:eastAsia="zh-CN"/>
        </w:rPr>
      </w:pPr>
      <w:r>
        <w:rPr>
          <w:rFonts w:hint="eastAsia" w:ascii="宋体" w:hAnsi="宋体" w:eastAsia="宋体" w:cs="宋体"/>
          <w:b w:val="0"/>
          <w:bCs w:val="0"/>
          <w:sz w:val="24"/>
          <w:szCs w:val="24"/>
          <w:lang w:val="en-US" w:eastAsia="zh-CN"/>
        </w:rPr>
        <w:t>（三）与厦门国际银行历史合作情况</w:t>
      </w:r>
    </w:p>
    <w:tbl>
      <w:tblPr>
        <w:tblStyle w:val="10"/>
        <w:tblpPr w:leftFromText="180" w:rightFromText="180" w:vertAnchor="text" w:horzAnchor="page" w:tblpX="1894" w:tblpY="345"/>
        <w:tblOverlap w:val="never"/>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897"/>
        <w:gridCol w:w="1691"/>
        <w:gridCol w:w="1265"/>
        <w:gridCol w:w="1233"/>
        <w:gridCol w:w="1276"/>
        <w:gridCol w:w="215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923" w:hRule="atLeast"/>
        </w:trPr>
        <w:tc>
          <w:tcPr>
            <w:tcW w:w="8522" w:type="dxa"/>
            <w:gridSpan w:val="6"/>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pageBreakBefore w:val="0"/>
              <w:widowControl/>
              <w:numPr>
                <w:ilvl w:val="0"/>
                <w:numId w:val="0"/>
              </w:numPr>
              <w:kinsoku/>
              <w:wordWrap/>
              <w:overflowPunct/>
              <w:topLinePunct w:val="0"/>
              <w:autoSpaceDE/>
              <w:autoSpaceDN/>
              <w:bidi w:val="0"/>
              <w:adjustRightInd/>
              <w:snapToGrid/>
              <w:spacing w:line="579" w:lineRule="exact"/>
              <w:ind w:firstLine="480" w:firstLineChars="200"/>
              <w:jc w:val="left"/>
              <w:textAlignment w:val="auto"/>
              <w:rPr>
                <w:rFonts w:hint="eastAsia" w:ascii="宋体" w:hAnsi="宋体" w:eastAsia="宋体" w:cs="宋体"/>
                <w:b/>
                <w:bCs/>
                <w:i w:val="0"/>
                <w:iCs w:val="0"/>
                <w:color w:val="000000"/>
                <w:sz w:val="24"/>
                <w:szCs w:val="24"/>
                <w:u w:val="none"/>
              </w:rPr>
            </w:pPr>
            <w:r>
              <w:rPr>
                <w:rFonts w:hint="eastAsia" w:ascii="宋体" w:hAnsi="宋体" w:eastAsia="宋体" w:cs="宋体"/>
                <w:color w:val="000000" w:themeColor="text1"/>
                <w:sz w:val="24"/>
                <w:szCs w:val="24"/>
                <w:lang w:val="en-US" w:eastAsia="zh-CN"/>
                <w14:textFill>
                  <w14:solidFill>
                    <w14:schemeClr w14:val="tx1"/>
                  </w14:solidFill>
                </w14:textFill>
              </w:rPr>
              <w:t>提供与厦门国际银行近两年采购合作情况，并说明是否在与厦门国际银行的历史合作期间出现违约或严重过失行为的情况说明。</w:t>
            </w:r>
            <w:r>
              <w:rPr>
                <w:rFonts w:hint="eastAsia" w:ascii="宋体" w:hAnsi="宋体" w:eastAsia="宋体" w:cs="宋体"/>
                <w:b/>
                <w:bCs/>
                <w:i w:val="0"/>
                <w:iCs w:val="0"/>
                <w:color w:val="000000"/>
                <w:kern w:val="0"/>
                <w:sz w:val="24"/>
                <w:szCs w:val="24"/>
                <w:u w:val="none"/>
                <w:lang w:val="en-US" w:eastAsia="zh-CN" w:bidi="ar"/>
              </w:rPr>
              <w:t>与厦门国际银行合作情况</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1694" w:hRule="atLeast"/>
        </w:trPr>
        <w:tc>
          <w:tcPr>
            <w:tcW w:w="89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序号</w:t>
            </w:r>
          </w:p>
        </w:tc>
        <w:tc>
          <w:tcPr>
            <w:tcW w:w="1691"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合作起止时间</w:t>
            </w:r>
          </w:p>
        </w:tc>
        <w:tc>
          <w:tcPr>
            <w:tcW w:w="126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合同名称</w:t>
            </w:r>
          </w:p>
        </w:tc>
        <w:tc>
          <w:tcPr>
            <w:tcW w:w="1233"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合同编号</w:t>
            </w:r>
          </w:p>
        </w:tc>
        <w:tc>
          <w:tcPr>
            <w:tcW w:w="1276"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center"/>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厦门国际银行机构名称</w:t>
            </w:r>
          </w:p>
        </w:tc>
        <w:tc>
          <w:tcPr>
            <w:tcW w:w="2159"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autoSpaceDE/>
              <w:autoSpaceDN/>
              <w:bidi w:val="0"/>
              <w:adjustRightInd/>
              <w:snapToGrid/>
              <w:spacing w:line="460" w:lineRule="exact"/>
              <w:ind w:left="0" w:leftChars="0" w:firstLine="0" w:firstLineChars="0"/>
              <w:jc w:val="left"/>
              <w:textAlignment w:val="center"/>
              <w:rPr>
                <w:rFonts w:hint="eastAsia" w:ascii="宋体" w:hAnsi="宋体" w:eastAsia="宋体" w:cs="宋体"/>
                <w:b/>
                <w:bCs/>
                <w:i w:val="0"/>
                <w:iCs w:val="0"/>
                <w:color w:val="000000"/>
                <w:sz w:val="24"/>
                <w:szCs w:val="24"/>
                <w:u w:val="none"/>
              </w:rPr>
            </w:pPr>
            <w:r>
              <w:rPr>
                <w:rFonts w:hint="eastAsia" w:ascii="宋体" w:hAnsi="宋体" w:eastAsia="宋体" w:cs="宋体"/>
                <w:b/>
                <w:bCs/>
                <w:i w:val="0"/>
                <w:iCs w:val="0"/>
                <w:color w:val="000000"/>
                <w:kern w:val="0"/>
                <w:sz w:val="24"/>
                <w:szCs w:val="24"/>
                <w:u w:val="none"/>
                <w:lang w:val="en-US" w:eastAsia="zh-CN" w:bidi="ar"/>
              </w:rPr>
              <w:t>与厦门国际银行历史合作期间出现违约或严重过失行为的情况说明（不限于近两年）</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446" w:hRule="atLeast"/>
        </w:trPr>
        <w:tc>
          <w:tcPr>
            <w:tcW w:w="8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1</w:t>
            </w:r>
          </w:p>
        </w:tc>
        <w:tc>
          <w:tcPr>
            <w:tcW w:w="1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21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8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2</w:t>
            </w:r>
          </w:p>
        </w:tc>
        <w:tc>
          <w:tcPr>
            <w:tcW w:w="1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21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8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r>
              <w:rPr>
                <w:rFonts w:hint="eastAsia" w:ascii="宋体" w:hAnsi="宋体" w:eastAsia="宋体" w:cs="宋体"/>
                <w:i w:val="0"/>
                <w:iCs w:val="0"/>
                <w:color w:val="000000"/>
                <w:kern w:val="0"/>
                <w:sz w:val="24"/>
                <w:szCs w:val="24"/>
                <w:u w:val="none"/>
                <w:lang w:val="en-US" w:eastAsia="zh-CN" w:bidi="ar"/>
              </w:rPr>
              <w:t>...</w:t>
            </w:r>
          </w:p>
        </w:tc>
        <w:tc>
          <w:tcPr>
            <w:tcW w:w="1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21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312" w:hRule="atLeast"/>
        </w:trPr>
        <w:tc>
          <w:tcPr>
            <w:tcW w:w="898"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keepNext w:val="0"/>
              <w:keepLines w:val="0"/>
              <w:widowControl/>
              <w:suppressLineNumbers w:val="0"/>
              <w:ind w:left="0" w:leftChars="0" w:firstLine="0" w:firstLineChars="0"/>
              <w:jc w:val="both"/>
              <w:textAlignment w:val="center"/>
              <w:rPr>
                <w:rFonts w:hint="eastAsia" w:ascii="宋体" w:hAnsi="宋体" w:eastAsia="宋体" w:cs="宋体"/>
                <w:i w:val="0"/>
                <w:iCs w:val="0"/>
                <w:color w:val="000000"/>
                <w:sz w:val="24"/>
                <w:szCs w:val="24"/>
                <w:u w:val="none"/>
              </w:rPr>
            </w:pPr>
          </w:p>
        </w:tc>
        <w:tc>
          <w:tcPr>
            <w:tcW w:w="1691"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65"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33"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1276"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c>
          <w:tcPr>
            <w:tcW w:w="2159" w:type="dxa"/>
            <w:tcBorders>
              <w:top w:val="single" w:color="000000" w:sz="4" w:space="0"/>
              <w:left w:val="single" w:color="000000" w:sz="4" w:space="0"/>
              <w:bottom w:val="single" w:color="000000" w:sz="4" w:space="0"/>
              <w:right w:val="single" w:color="000000" w:sz="4" w:space="0"/>
            </w:tcBorders>
            <w:shd w:val="clear" w:color="auto" w:fill="auto"/>
            <w:noWrap/>
            <w:vAlign w:val="center"/>
          </w:tcPr>
          <w:p>
            <w:pPr>
              <w:jc w:val="both"/>
              <w:rPr>
                <w:rFonts w:hint="eastAsia" w:ascii="宋体" w:hAnsi="宋体" w:eastAsia="宋体" w:cs="宋体"/>
                <w:i w:val="0"/>
                <w:iCs w:val="0"/>
                <w:color w:val="000000"/>
                <w:sz w:val="24"/>
                <w:szCs w:val="24"/>
                <w:u w:val="none"/>
              </w:rPr>
            </w:pPr>
          </w:p>
        </w:tc>
      </w:tr>
    </w:tbl>
    <w:p>
      <w:pPr>
        <w:keepNext w:val="0"/>
        <w:keepLines w:val="0"/>
        <w:pageBreakBefore w:val="0"/>
        <w:widowControl w:val="0"/>
        <w:kinsoku/>
        <w:wordWrap/>
        <w:overflowPunct/>
        <w:topLinePunct w:val="0"/>
        <w:autoSpaceDE/>
        <w:autoSpaceDN/>
        <w:bidi w:val="0"/>
        <w:adjustRightInd/>
        <w:snapToGrid/>
        <w:spacing w:line="579" w:lineRule="exact"/>
        <w:jc w:val="left"/>
        <w:textAlignment w:val="auto"/>
        <w:outlineLvl w:val="9"/>
        <w:rPr>
          <w:rFonts w:hint="eastAsia" w:ascii="宋体" w:hAnsi="宋体" w:eastAsia="宋体" w:cs="宋体"/>
          <w:b/>
          <w:sz w:val="24"/>
          <w:szCs w:val="24"/>
          <w:lang w:val="en-US" w:eastAsia="zh-CN"/>
        </w:rPr>
      </w:pPr>
    </w:p>
    <w:p>
      <w:pPr>
        <w:rPr>
          <w:rFonts w:hint="eastAsia" w:ascii="宋体" w:hAnsi="宋体" w:eastAsia="宋体" w:cs="宋体"/>
          <w:sz w:val="24"/>
          <w:szCs w:val="24"/>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1"/>
    <w:family w:val="roman"/>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彩虹粗仿宋">
    <w:altName w:val="仿宋"/>
    <w:panose1 w:val="00000000000000000000"/>
    <w:charset w:val="00"/>
    <w:family w:val="auto"/>
    <w:pitch w:val="default"/>
    <w:sig w:usb0="00000000" w:usb1="00000000" w:usb2="00000000" w:usb3="00000000" w:csb0="00000000"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19"/>
    <w:multiLevelType w:val="multilevel"/>
    <w:tmpl w:val="00000019"/>
    <w:lvl w:ilvl="0" w:tentative="0">
      <w:start w:val="1"/>
      <w:numFmt w:val="decimal"/>
      <w:lvlText w:val="%1"/>
      <w:lvlJc w:val="left"/>
      <w:pPr>
        <w:tabs>
          <w:tab w:val="left" w:pos="432"/>
        </w:tabs>
        <w:ind w:left="432" w:hanging="432"/>
      </w:pPr>
      <w:rPr>
        <w:rFonts w:hint="default" w:ascii="Times New Roman" w:hAnsi="Times New Roman" w:eastAsia="宋体"/>
      </w:rPr>
    </w:lvl>
    <w:lvl w:ilvl="1" w:tentative="0">
      <w:start w:val="1"/>
      <w:numFmt w:val="decimal"/>
      <w:lvlText w:val="%1.%2"/>
      <w:lvlJc w:val="left"/>
      <w:pPr>
        <w:tabs>
          <w:tab w:val="left" w:pos="576"/>
        </w:tabs>
        <w:ind w:left="576" w:hanging="576"/>
      </w:pPr>
      <w:rPr>
        <w:rFonts w:hint="default" w:ascii="Times New Roman" w:hAnsi="Times New Roman" w:eastAsia="宋体"/>
      </w:rPr>
    </w:lvl>
    <w:lvl w:ilvl="2" w:tentative="0">
      <w:start w:val="1"/>
      <w:numFmt w:val="decimal"/>
      <w:lvlText w:val="%1.%2.%3"/>
      <w:lvlJc w:val="left"/>
      <w:pPr>
        <w:tabs>
          <w:tab w:val="left" w:pos="720"/>
        </w:tabs>
        <w:ind w:left="720" w:hanging="720"/>
      </w:pPr>
      <w:rPr>
        <w:rFonts w:hint="default" w:ascii="Times New Roman" w:hAnsi="Times New Roman" w:eastAsia="宋体"/>
      </w:rPr>
    </w:lvl>
    <w:lvl w:ilvl="3" w:tentative="0">
      <w:start w:val="1"/>
      <w:numFmt w:val="decimal"/>
      <w:pStyle w:val="2"/>
      <w:lvlText w:val="%1.%2.%3.%4"/>
      <w:lvlJc w:val="left"/>
      <w:pPr>
        <w:tabs>
          <w:tab w:val="left" w:pos="864"/>
        </w:tabs>
        <w:ind w:left="864" w:hanging="864"/>
      </w:pPr>
      <w:rPr>
        <w:rFonts w:hint="default" w:ascii="Times New Roman" w:hAnsi="Times New Roman" w:eastAsia="宋体"/>
      </w:rPr>
    </w:lvl>
    <w:lvl w:ilvl="4" w:tentative="0">
      <w:start w:val="1"/>
      <w:numFmt w:val="decimal"/>
      <w:lvlText w:val="%1.%2.%3.%4.%5"/>
      <w:lvlJc w:val="left"/>
      <w:pPr>
        <w:tabs>
          <w:tab w:val="left" w:pos="1008"/>
        </w:tabs>
        <w:ind w:left="1008" w:hanging="1008"/>
      </w:pPr>
      <w:rPr>
        <w:rFonts w:hint="default" w:ascii="Times New Roman" w:hAnsi="Times New Roman" w:eastAsia="宋体"/>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1">
    <w:nsid w:val="36C42D9A"/>
    <w:multiLevelType w:val="multilevel"/>
    <w:tmpl w:val="36C42D9A"/>
    <w:lvl w:ilvl="0" w:tentative="0">
      <w:start w:val="1"/>
      <w:numFmt w:val="decimal"/>
      <w:lvlText w:val="%1."/>
      <w:lvlJc w:val="left"/>
      <w:pPr>
        <w:tabs>
          <w:tab w:val="left" w:pos="425"/>
        </w:tabs>
        <w:ind w:left="425" w:hanging="425"/>
      </w:pPr>
      <w:rPr>
        <w:rFonts w:hint="default" w:ascii="Times New Roman" w:hAnsi="Times New Roman" w:eastAsia="黑体"/>
        <w:b/>
        <w:i w:val="0"/>
        <w:sz w:val="36"/>
      </w:rPr>
    </w:lvl>
    <w:lvl w:ilvl="1" w:tentative="0">
      <w:start w:val="1"/>
      <w:numFmt w:val="decimal"/>
      <w:lvlText w:val="%1.%2."/>
      <w:lvlJc w:val="left"/>
      <w:pPr>
        <w:tabs>
          <w:tab w:val="left" w:pos="567"/>
        </w:tabs>
        <w:ind w:left="567" w:hanging="567"/>
      </w:pPr>
      <w:rPr>
        <w:rFonts w:hint="default" w:ascii="Times New Roman" w:hAnsi="Times New Roman" w:eastAsia="黑体"/>
        <w:b/>
        <w:i w:val="0"/>
        <w:sz w:val="30"/>
      </w:rPr>
    </w:lvl>
    <w:lvl w:ilvl="2" w:tentative="0">
      <w:start w:val="1"/>
      <w:numFmt w:val="decimal"/>
      <w:lvlText w:val="%1.%2.%3."/>
      <w:lvlJc w:val="left"/>
      <w:pPr>
        <w:tabs>
          <w:tab w:val="left" w:pos="1135"/>
        </w:tabs>
        <w:ind w:left="1135" w:hanging="709"/>
      </w:pPr>
      <w:rPr>
        <w:rFonts w:hint="eastAsia"/>
      </w:rPr>
    </w:lvl>
    <w:lvl w:ilvl="3" w:tentative="0">
      <w:start w:val="1"/>
      <w:numFmt w:val="decimal"/>
      <w:pStyle w:val="3"/>
      <w:isLgl/>
      <w:lvlText w:val="%1.%2.%3.%4."/>
      <w:lvlJc w:val="left"/>
      <w:pPr>
        <w:tabs>
          <w:tab w:val="left" w:pos="851"/>
        </w:tabs>
        <w:ind w:left="851" w:hanging="851"/>
      </w:pPr>
      <w:rPr>
        <w:rFonts w:hint="default" w:ascii="Times New Roman" w:hAnsi="Times New Roman" w:eastAsia="宋体"/>
        <w:b/>
        <w:i w:val="0"/>
        <w:sz w:val="28"/>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5966279D"/>
    <w:rsid w:val="003058FF"/>
    <w:rsid w:val="004368FD"/>
    <w:rsid w:val="005E16A6"/>
    <w:rsid w:val="00664CBD"/>
    <w:rsid w:val="00BE37EE"/>
    <w:rsid w:val="00D07AE6"/>
    <w:rsid w:val="00E50727"/>
    <w:rsid w:val="016F27E7"/>
    <w:rsid w:val="017659F6"/>
    <w:rsid w:val="01793DA0"/>
    <w:rsid w:val="01A916C8"/>
    <w:rsid w:val="01E34D25"/>
    <w:rsid w:val="01FF0DD2"/>
    <w:rsid w:val="02303339"/>
    <w:rsid w:val="024C0ED1"/>
    <w:rsid w:val="02AC5A72"/>
    <w:rsid w:val="02AC7FF1"/>
    <w:rsid w:val="02ED6B7B"/>
    <w:rsid w:val="031F252E"/>
    <w:rsid w:val="03A11802"/>
    <w:rsid w:val="03C6073D"/>
    <w:rsid w:val="03E9547A"/>
    <w:rsid w:val="04174CC4"/>
    <w:rsid w:val="04177243"/>
    <w:rsid w:val="042929E0"/>
    <w:rsid w:val="043964FE"/>
    <w:rsid w:val="043D5677"/>
    <w:rsid w:val="0446450F"/>
    <w:rsid w:val="04AC2FBA"/>
    <w:rsid w:val="051F7A75"/>
    <w:rsid w:val="05556245"/>
    <w:rsid w:val="05700779"/>
    <w:rsid w:val="05B437EC"/>
    <w:rsid w:val="06254DA5"/>
    <w:rsid w:val="064033D0"/>
    <w:rsid w:val="06600081"/>
    <w:rsid w:val="06A83CF9"/>
    <w:rsid w:val="06AC0501"/>
    <w:rsid w:val="06CC711A"/>
    <w:rsid w:val="06D85838"/>
    <w:rsid w:val="07075397"/>
    <w:rsid w:val="0716432D"/>
    <w:rsid w:val="07560379"/>
    <w:rsid w:val="077446C6"/>
    <w:rsid w:val="07BF4B46"/>
    <w:rsid w:val="08302865"/>
    <w:rsid w:val="0842189C"/>
    <w:rsid w:val="087245E9"/>
    <w:rsid w:val="08793F74"/>
    <w:rsid w:val="088F4710"/>
    <w:rsid w:val="08A615C0"/>
    <w:rsid w:val="08C76272"/>
    <w:rsid w:val="091153EC"/>
    <w:rsid w:val="09122E6E"/>
    <w:rsid w:val="09781919"/>
    <w:rsid w:val="09A301DE"/>
    <w:rsid w:val="09D403DB"/>
    <w:rsid w:val="09F97ECE"/>
    <w:rsid w:val="0A3A19D7"/>
    <w:rsid w:val="0ACF1ECA"/>
    <w:rsid w:val="0AF7780B"/>
    <w:rsid w:val="0AFE7196"/>
    <w:rsid w:val="0B45790A"/>
    <w:rsid w:val="0BCC68EA"/>
    <w:rsid w:val="0C403025"/>
    <w:rsid w:val="0C7711FF"/>
    <w:rsid w:val="0C9D11C1"/>
    <w:rsid w:val="0CA230CA"/>
    <w:rsid w:val="0CB145DE"/>
    <w:rsid w:val="0CDD11A6"/>
    <w:rsid w:val="0CE8253A"/>
    <w:rsid w:val="0D583AF2"/>
    <w:rsid w:val="0DBC3817"/>
    <w:rsid w:val="0DE12751"/>
    <w:rsid w:val="0DED7F9F"/>
    <w:rsid w:val="0DF35EEF"/>
    <w:rsid w:val="0FCF7D7E"/>
    <w:rsid w:val="0FDD1292"/>
    <w:rsid w:val="0FF40EB8"/>
    <w:rsid w:val="105C1A17"/>
    <w:rsid w:val="10AB6468"/>
    <w:rsid w:val="1104237A"/>
    <w:rsid w:val="11314143"/>
    <w:rsid w:val="113B4A52"/>
    <w:rsid w:val="116B5221"/>
    <w:rsid w:val="117074AB"/>
    <w:rsid w:val="11991A21"/>
    <w:rsid w:val="11A90789"/>
    <w:rsid w:val="11CB4341"/>
    <w:rsid w:val="12974C65"/>
    <w:rsid w:val="12A56222"/>
    <w:rsid w:val="12B02035"/>
    <w:rsid w:val="12B23AE1"/>
    <w:rsid w:val="136712B7"/>
    <w:rsid w:val="13DD0D7A"/>
    <w:rsid w:val="13FA6B54"/>
    <w:rsid w:val="141879C0"/>
    <w:rsid w:val="142741A0"/>
    <w:rsid w:val="14684DBE"/>
    <w:rsid w:val="14927FCC"/>
    <w:rsid w:val="14CD7B51"/>
    <w:rsid w:val="1510089B"/>
    <w:rsid w:val="151F016D"/>
    <w:rsid w:val="1555358D"/>
    <w:rsid w:val="156825AE"/>
    <w:rsid w:val="15C80049"/>
    <w:rsid w:val="165E247A"/>
    <w:rsid w:val="167C6BF3"/>
    <w:rsid w:val="169A03A1"/>
    <w:rsid w:val="169D1326"/>
    <w:rsid w:val="17186E9E"/>
    <w:rsid w:val="171D50F7"/>
    <w:rsid w:val="1720607C"/>
    <w:rsid w:val="17687AF5"/>
    <w:rsid w:val="179773BA"/>
    <w:rsid w:val="183945CA"/>
    <w:rsid w:val="18550677"/>
    <w:rsid w:val="190E112B"/>
    <w:rsid w:val="19401195"/>
    <w:rsid w:val="198A75DD"/>
    <w:rsid w:val="198E4EFC"/>
    <w:rsid w:val="19911C2F"/>
    <w:rsid w:val="19CC27E2"/>
    <w:rsid w:val="19EB3F91"/>
    <w:rsid w:val="1A340F0D"/>
    <w:rsid w:val="1A4C3F2D"/>
    <w:rsid w:val="1A7A5DFE"/>
    <w:rsid w:val="1A905DA4"/>
    <w:rsid w:val="1AA027BB"/>
    <w:rsid w:val="1ABC6868"/>
    <w:rsid w:val="1AD00D8B"/>
    <w:rsid w:val="1B0E446E"/>
    <w:rsid w:val="1B5A546C"/>
    <w:rsid w:val="1B5D5E41"/>
    <w:rsid w:val="1B8F3F03"/>
    <w:rsid w:val="1B920E49"/>
    <w:rsid w:val="1B9D0129"/>
    <w:rsid w:val="1BC34E9C"/>
    <w:rsid w:val="1BD85D3B"/>
    <w:rsid w:val="1BF47641"/>
    <w:rsid w:val="1C29427F"/>
    <w:rsid w:val="1C2B35C6"/>
    <w:rsid w:val="1C7A6BC9"/>
    <w:rsid w:val="1C900D6C"/>
    <w:rsid w:val="1CC1153B"/>
    <w:rsid w:val="1CC37A9C"/>
    <w:rsid w:val="1D097731"/>
    <w:rsid w:val="1D636934"/>
    <w:rsid w:val="1D851566"/>
    <w:rsid w:val="1DAC49BC"/>
    <w:rsid w:val="1DAE7EBF"/>
    <w:rsid w:val="1DCE2972"/>
    <w:rsid w:val="1DD71083"/>
    <w:rsid w:val="1E2E1A92"/>
    <w:rsid w:val="1E7B3D90"/>
    <w:rsid w:val="1F062763"/>
    <w:rsid w:val="1F1D785B"/>
    <w:rsid w:val="1F477FE0"/>
    <w:rsid w:val="1F4A3163"/>
    <w:rsid w:val="1F7D2C0B"/>
    <w:rsid w:val="1F8964CB"/>
    <w:rsid w:val="1FD06C40"/>
    <w:rsid w:val="1FD31DC3"/>
    <w:rsid w:val="1FE61544"/>
    <w:rsid w:val="200F41A6"/>
    <w:rsid w:val="20392DEC"/>
    <w:rsid w:val="20831A0C"/>
    <w:rsid w:val="20F477FA"/>
    <w:rsid w:val="20F9458B"/>
    <w:rsid w:val="21B90909"/>
    <w:rsid w:val="220D61EA"/>
    <w:rsid w:val="22104BF0"/>
    <w:rsid w:val="22261FBF"/>
    <w:rsid w:val="22952C4B"/>
    <w:rsid w:val="22B26978"/>
    <w:rsid w:val="22BD058C"/>
    <w:rsid w:val="22C16F92"/>
    <w:rsid w:val="22C72045"/>
    <w:rsid w:val="23042EFF"/>
    <w:rsid w:val="236906A5"/>
    <w:rsid w:val="23CC074A"/>
    <w:rsid w:val="23FF0395"/>
    <w:rsid w:val="241565BF"/>
    <w:rsid w:val="246031BB"/>
    <w:rsid w:val="24BF51D3"/>
    <w:rsid w:val="24F95938"/>
    <w:rsid w:val="250052C3"/>
    <w:rsid w:val="25172400"/>
    <w:rsid w:val="255C215A"/>
    <w:rsid w:val="25A20300"/>
    <w:rsid w:val="25C7728B"/>
    <w:rsid w:val="265B427B"/>
    <w:rsid w:val="266E0D1D"/>
    <w:rsid w:val="2670099D"/>
    <w:rsid w:val="26C22FC5"/>
    <w:rsid w:val="26F356F3"/>
    <w:rsid w:val="26F674BD"/>
    <w:rsid w:val="271E783C"/>
    <w:rsid w:val="273245C8"/>
    <w:rsid w:val="276115AA"/>
    <w:rsid w:val="27700540"/>
    <w:rsid w:val="277E52D7"/>
    <w:rsid w:val="27DC5671"/>
    <w:rsid w:val="2804582E"/>
    <w:rsid w:val="2855533A"/>
    <w:rsid w:val="28AC15F7"/>
    <w:rsid w:val="28F05539"/>
    <w:rsid w:val="291256ED"/>
    <w:rsid w:val="293C4333"/>
    <w:rsid w:val="296F1E90"/>
    <w:rsid w:val="29F66FE5"/>
    <w:rsid w:val="2A257B34"/>
    <w:rsid w:val="2A783D3B"/>
    <w:rsid w:val="2A850E52"/>
    <w:rsid w:val="2A8F5B8C"/>
    <w:rsid w:val="2AAD2F10"/>
    <w:rsid w:val="2AF00502"/>
    <w:rsid w:val="2AFC4314"/>
    <w:rsid w:val="2B754E4B"/>
    <w:rsid w:val="2BF46648"/>
    <w:rsid w:val="2BF77A2F"/>
    <w:rsid w:val="2C2C6C04"/>
    <w:rsid w:val="2C3260E4"/>
    <w:rsid w:val="2C480104"/>
    <w:rsid w:val="2C7C309A"/>
    <w:rsid w:val="2C856399"/>
    <w:rsid w:val="2CD53B9A"/>
    <w:rsid w:val="2CEA02BC"/>
    <w:rsid w:val="2D105F7D"/>
    <w:rsid w:val="2D6C7591"/>
    <w:rsid w:val="2DD54502"/>
    <w:rsid w:val="2E2519E1"/>
    <w:rsid w:val="2E81295C"/>
    <w:rsid w:val="2EC044AC"/>
    <w:rsid w:val="2EF9001C"/>
    <w:rsid w:val="2F2759E6"/>
    <w:rsid w:val="2F2E0DFC"/>
    <w:rsid w:val="2F616747"/>
    <w:rsid w:val="2F811CCF"/>
    <w:rsid w:val="2FA96FD4"/>
    <w:rsid w:val="2FB9045A"/>
    <w:rsid w:val="2FC01FE3"/>
    <w:rsid w:val="2FC05867"/>
    <w:rsid w:val="2FCD07AE"/>
    <w:rsid w:val="2FDD3A11"/>
    <w:rsid w:val="30BE1F06"/>
    <w:rsid w:val="31F9317B"/>
    <w:rsid w:val="32273A57"/>
    <w:rsid w:val="32296F5A"/>
    <w:rsid w:val="323068E5"/>
    <w:rsid w:val="32940808"/>
    <w:rsid w:val="32CE64C4"/>
    <w:rsid w:val="32E5510F"/>
    <w:rsid w:val="334D3839"/>
    <w:rsid w:val="335E5CD2"/>
    <w:rsid w:val="33B078FC"/>
    <w:rsid w:val="33C521FE"/>
    <w:rsid w:val="33DD78A5"/>
    <w:rsid w:val="344F1C20"/>
    <w:rsid w:val="3461207D"/>
    <w:rsid w:val="348103B3"/>
    <w:rsid w:val="348338B6"/>
    <w:rsid w:val="34CC172C"/>
    <w:rsid w:val="34DE074D"/>
    <w:rsid w:val="35046101"/>
    <w:rsid w:val="3519182B"/>
    <w:rsid w:val="354C7397"/>
    <w:rsid w:val="359212FB"/>
    <w:rsid w:val="35BD2339"/>
    <w:rsid w:val="365B1D40"/>
    <w:rsid w:val="36F558B9"/>
    <w:rsid w:val="370B41DA"/>
    <w:rsid w:val="3727738D"/>
    <w:rsid w:val="37541156"/>
    <w:rsid w:val="375D3FE4"/>
    <w:rsid w:val="37C25F06"/>
    <w:rsid w:val="380F1889"/>
    <w:rsid w:val="38242728"/>
    <w:rsid w:val="383529C2"/>
    <w:rsid w:val="38604B0B"/>
    <w:rsid w:val="387A0F38"/>
    <w:rsid w:val="38A464F9"/>
    <w:rsid w:val="38AE268C"/>
    <w:rsid w:val="38DA4E5A"/>
    <w:rsid w:val="39453E84"/>
    <w:rsid w:val="3956631D"/>
    <w:rsid w:val="39B20C35"/>
    <w:rsid w:val="39BF5D4C"/>
    <w:rsid w:val="39D12CC6"/>
    <w:rsid w:val="3A104852"/>
    <w:rsid w:val="3A1A7360"/>
    <w:rsid w:val="3A7754FB"/>
    <w:rsid w:val="3ACB1702"/>
    <w:rsid w:val="3B044D5F"/>
    <w:rsid w:val="3B075CE3"/>
    <w:rsid w:val="3B1144F8"/>
    <w:rsid w:val="3BAF3BA9"/>
    <w:rsid w:val="3BB30C3E"/>
    <w:rsid w:val="3C8903DE"/>
    <w:rsid w:val="3CC505C3"/>
    <w:rsid w:val="3D3E1186"/>
    <w:rsid w:val="3D8263F7"/>
    <w:rsid w:val="3D9B3133"/>
    <w:rsid w:val="3DBB109A"/>
    <w:rsid w:val="3DE67444"/>
    <w:rsid w:val="3DFA733B"/>
    <w:rsid w:val="3E0E1FAB"/>
    <w:rsid w:val="3E1E6276"/>
    <w:rsid w:val="3F0E033E"/>
    <w:rsid w:val="40306F5A"/>
    <w:rsid w:val="405E0E7C"/>
    <w:rsid w:val="408469E4"/>
    <w:rsid w:val="40A13D96"/>
    <w:rsid w:val="40ED3B30"/>
    <w:rsid w:val="40F70F22"/>
    <w:rsid w:val="41E356A7"/>
    <w:rsid w:val="41E97A3C"/>
    <w:rsid w:val="421A3603"/>
    <w:rsid w:val="426E308D"/>
    <w:rsid w:val="42C4584B"/>
    <w:rsid w:val="43382755"/>
    <w:rsid w:val="434E26FB"/>
    <w:rsid w:val="43521101"/>
    <w:rsid w:val="43B72693"/>
    <w:rsid w:val="43F577A8"/>
    <w:rsid w:val="43F94D92"/>
    <w:rsid w:val="44345991"/>
    <w:rsid w:val="4480735A"/>
    <w:rsid w:val="44DC0C08"/>
    <w:rsid w:val="45117DDD"/>
    <w:rsid w:val="4549123C"/>
    <w:rsid w:val="454959B9"/>
    <w:rsid w:val="45765E8A"/>
    <w:rsid w:val="459A44BE"/>
    <w:rsid w:val="45F334FF"/>
    <w:rsid w:val="464F2F27"/>
    <w:rsid w:val="46770525"/>
    <w:rsid w:val="46B3080E"/>
    <w:rsid w:val="47400072"/>
    <w:rsid w:val="47457D7D"/>
    <w:rsid w:val="477A5376"/>
    <w:rsid w:val="478046DF"/>
    <w:rsid w:val="47A655C7"/>
    <w:rsid w:val="47B2292F"/>
    <w:rsid w:val="47C64CDD"/>
    <w:rsid w:val="47D84D6D"/>
    <w:rsid w:val="48077E3B"/>
    <w:rsid w:val="48112949"/>
    <w:rsid w:val="483E2513"/>
    <w:rsid w:val="4936052D"/>
    <w:rsid w:val="4941303B"/>
    <w:rsid w:val="49C60D15"/>
    <w:rsid w:val="4A5F5A11"/>
    <w:rsid w:val="4A726C30"/>
    <w:rsid w:val="4A8401CF"/>
    <w:rsid w:val="4AEF35C9"/>
    <w:rsid w:val="4B3A447A"/>
    <w:rsid w:val="4BB12126"/>
    <w:rsid w:val="4BCE1B16"/>
    <w:rsid w:val="4BD51861"/>
    <w:rsid w:val="4C6870EB"/>
    <w:rsid w:val="4C73767A"/>
    <w:rsid w:val="4C7F6D10"/>
    <w:rsid w:val="4C9011A8"/>
    <w:rsid w:val="4CDA0323"/>
    <w:rsid w:val="4CE17CAE"/>
    <w:rsid w:val="4CF637FC"/>
    <w:rsid w:val="4D1F5594"/>
    <w:rsid w:val="4D233F9A"/>
    <w:rsid w:val="4D405AC9"/>
    <w:rsid w:val="4D4D4FCD"/>
    <w:rsid w:val="4D99745C"/>
    <w:rsid w:val="4DFF0486"/>
    <w:rsid w:val="4E19322E"/>
    <w:rsid w:val="4E8D576B"/>
    <w:rsid w:val="4F396F09"/>
    <w:rsid w:val="4F5E0042"/>
    <w:rsid w:val="4FAF23CA"/>
    <w:rsid w:val="4FB64B8F"/>
    <w:rsid w:val="503B1E49"/>
    <w:rsid w:val="507A7515"/>
    <w:rsid w:val="50DD3E04"/>
    <w:rsid w:val="50E0009B"/>
    <w:rsid w:val="50E23A41"/>
    <w:rsid w:val="516A1362"/>
    <w:rsid w:val="5190584A"/>
    <w:rsid w:val="519F50F9"/>
    <w:rsid w:val="51BC33A4"/>
    <w:rsid w:val="51FB670C"/>
    <w:rsid w:val="52405AA6"/>
    <w:rsid w:val="526151B7"/>
    <w:rsid w:val="5381780D"/>
    <w:rsid w:val="53820B12"/>
    <w:rsid w:val="53887198"/>
    <w:rsid w:val="53D57297"/>
    <w:rsid w:val="540B4DE1"/>
    <w:rsid w:val="54167D00"/>
    <w:rsid w:val="547748A2"/>
    <w:rsid w:val="54B3343B"/>
    <w:rsid w:val="54CD0514"/>
    <w:rsid w:val="54CE2D32"/>
    <w:rsid w:val="54D371BA"/>
    <w:rsid w:val="551769A9"/>
    <w:rsid w:val="553D5564"/>
    <w:rsid w:val="55804D54"/>
    <w:rsid w:val="55876A89"/>
    <w:rsid w:val="55D55760"/>
    <w:rsid w:val="55DF2B6F"/>
    <w:rsid w:val="56031AAA"/>
    <w:rsid w:val="567355E1"/>
    <w:rsid w:val="56AD0617"/>
    <w:rsid w:val="56BB1258"/>
    <w:rsid w:val="56CE0279"/>
    <w:rsid w:val="57435CBA"/>
    <w:rsid w:val="57555BD4"/>
    <w:rsid w:val="57916962"/>
    <w:rsid w:val="57BC687D"/>
    <w:rsid w:val="58017371"/>
    <w:rsid w:val="58366547"/>
    <w:rsid w:val="58420FE4"/>
    <w:rsid w:val="584F166F"/>
    <w:rsid w:val="58D66E60"/>
    <w:rsid w:val="58F94086"/>
    <w:rsid w:val="591D2FC1"/>
    <w:rsid w:val="5966279D"/>
    <w:rsid w:val="597D59E0"/>
    <w:rsid w:val="599B1691"/>
    <w:rsid w:val="5A0E034B"/>
    <w:rsid w:val="5A3B2FC5"/>
    <w:rsid w:val="5A4D36B3"/>
    <w:rsid w:val="5A5D71D1"/>
    <w:rsid w:val="5AB752E1"/>
    <w:rsid w:val="5B3439B1"/>
    <w:rsid w:val="5BA97648"/>
    <w:rsid w:val="5C233E9E"/>
    <w:rsid w:val="5C281CBF"/>
    <w:rsid w:val="5C807415"/>
    <w:rsid w:val="5CA7000F"/>
    <w:rsid w:val="5D6A3E66"/>
    <w:rsid w:val="5DAF56F2"/>
    <w:rsid w:val="5DBD55D9"/>
    <w:rsid w:val="5DE331BA"/>
    <w:rsid w:val="5E5F2BE4"/>
    <w:rsid w:val="5F1D0A18"/>
    <w:rsid w:val="5F4F1B56"/>
    <w:rsid w:val="5F8F32D6"/>
    <w:rsid w:val="5F94195C"/>
    <w:rsid w:val="5FA266F3"/>
    <w:rsid w:val="5FB54E3C"/>
    <w:rsid w:val="5FC11526"/>
    <w:rsid w:val="5FC324AB"/>
    <w:rsid w:val="5FDD3055"/>
    <w:rsid w:val="6009519E"/>
    <w:rsid w:val="60672FB9"/>
    <w:rsid w:val="608332BC"/>
    <w:rsid w:val="60A62A9D"/>
    <w:rsid w:val="60C53352"/>
    <w:rsid w:val="612E74FF"/>
    <w:rsid w:val="61466DA4"/>
    <w:rsid w:val="61610F6D"/>
    <w:rsid w:val="617443F0"/>
    <w:rsid w:val="61EE50B9"/>
    <w:rsid w:val="621E49EA"/>
    <w:rsid w:val="622B6B98"/>
    <w:rsid w:val="62367D31"/>
    <w:rsid w:val="63371AD2"/>
    <w:rsid w:val="63382DD7"/>
    <w:rsid w:val="63B05E77"/>
    <w:rsid w:val="63ED5D7D"/>
    <w:rsid w:val="640311C5"/>
    <w:rsid w:val="64053424"/>
    <w:rsid w:val="647A0E64"/>
    <w:rsid w:val="64B63248"/>
    <w:rsid w:val="64C847E7"/>
    <w:rsid w:val="64CE1089"/>
    <w:rsid w:val="65354E1B"/>
    <w:rsid w:val="65960337"/>
    <w:rsid w:val="65C14BB3"/>
    <w:rsid w:val="65D14C99"/>
    <w:rsid w:val="65FD6DE2"/>
    <w:rsid w:val="6622379F"/>
    <w:rsid w:val="66847F92"/>
    <w:rsid w:val="66B94F97"/>
    <w:rsid w:val="67DE4D23"/>
    <w:rsid w:val="67F655A9"/>
    <w:rsid w:val="67F66B9D"/>
    <w:rsid w:val="67FF52AE"/>
    <w:rsid w:val="68515FB2"/>
    <w:rsid w:val="68A66D41"/>
    <w:rsid w:val="68F56AC0"/>
    <w:rsid w:val="69187F79"/>
    <w:rsid w:val="69272B1F"/>
    <w:rsid w:val="695113D8"/>
    <w:rsid w:val="69AD252C"/>
    <w:rsid w:val="69E01F40"/>
    <w:rsid w:val="69F05A5E"/>
    <w:rsid w:val="6ACD1F90"/>
    <w:rsid w:val="6B352EA6"/>
    <w:rsid w:val="6B9C7C98"/>
    <w:rsid w:val="6BD623FB"/>
    <w:rsid w:val="6BDC6503"/>
    <w:rsid w:val="6BEA5819"/>
    <w:rsid w:val="6BFA38B5"/>
    <w:rsid w:val="6BFD22BB"/>
    <w:rsid w:val="6C083732"/>
    <w:rsid w:val="6C386C1D"/>
    <w:rsid w:val="6CA1116E"/>
    <w:rsid w:val="6D033D67"/>
    <w:rsid w:val="6D2F5FA9"/>
    <w:rsid w:val="6D8952C5"/>
    <w:rsid w:val="6D8B4F45"/>
    <w:rsid w:val="6D8D7122"/>
    <w:rsid w:val="6D940137"/>
    <w:rsid w:val="6D9F3BE5"/>
    <w:rsid w:val="6DE40E56"/>
    <w:rsid w:val="6E486DB1"/>
    <w:rsid w:val="6E617526"/>
    <w:rsid w:val="6ED71B9D"/>
    <w:rsid w:val="6F3704E1"/>
    <w:rsid w:val="6F3E5FCD"/>
    <w:rsid w:val="708304A5"/>
    <w:rsid w:val="708B58B2"/>
    <w:rsid w:val="70F0156D"/>
    <w:rsid w:val="70F55374"/>
    <w:rsid w:val="718E63D9"/>
    <w:rsid w:val="724768B5"/>
    <w:rsid w:val="724D0996"/>
    <w:rsid w:val="72601FB5"/>
    <w:rsid w:val="728C62FC"/>
    <w:rsid w:val="72EB4117"/>
    <w:rsid w:val="733A10F5"/>
    <w:rsid w:val="733D289D"/>
    <w:rsid w:val="737A2701"/>
    <w:rsid w:val="73897499"/>
    <w:rsid w:val="738F6E24"/>
    <w:rsid w:val="73CD7F8D"/>
    <w:rsid w:val="73DB72A3"/>
    <w:rsid w:val="73E42131"/>
    <w:rsid w:val="73EC1AF7"/>
    <w:rsid w:val="73EE3803"/>
    <w:rsid w:val="74073BE0"/>
    <w:rsid w:val="74321EB0"/>
    <w:rsid w:val="745558E8"/>
    <w:rsid w:val="7458686C"/>
    <w:rsid w:val="74756863"/>
    <w:rsid w:val="74777121"/>
    <w:rsid w:val="74982ED9"/>
    <w:rsid w:val="74B10200"/>
    <w:rsid w:val="74B16002"/>
    <w:rsid w:val="74B44D47"/>
    <w:rsid w:val="753361F3"/>
    <w:rsid w:val="75581E1B"/>
    <w:rsid w:val="75820799"/>
    <w:rsid w:val="75830558"/>
    <w:rsid w:val="75C847A1"/>
    <w:rsid w:val="75D00657"/>
    <w:rsid w:val="75ED4657"/>
    <w:rsid w:val="75F60897"/>
    <w:rsid w:val="76203C5A"/>
    <w:rsid w:val="76804F78"/>
    <w:rsid w:val="76AB70C1"/>
    <w:rsid w:val="76D77B85"/>
    <w:rsid w:val="76DE6E0E"/>
    <w:rsid w:val="77997C43"/>
    <w:rsid w:val="779A3A7E"/>
    <w:rsid w:val="77A71A39"/>
    <w:rsid w:val="77DF61B9"/>
    <w:rsid w:val="785712FB"/>
    <w:rsid w:val="78726CE8"/>
    <w:rsid w:val="78925933"/>
    <w:rsid w:val="78DD2859"/>
    <w:rsid w:val="78FA5E90"/>
    <w:rsid w:val="79330017"/>
    <w:rsid w:val="794D6390"/>
    <w:rsid w:val="79602E32"/>
    <w:rsid w:val="79734051"/>
    <w:rsid w:val="797804D9"/>
    <w:rsid w:val="798B5E75"/>
    <w:rsid w:val="79DC01FD"/>
    <w:rsid w:val="79DD5C7F"/>
    <w:rsid w:val="79F26B1E"/>
    <w:rsid w:val="7B1072F5"/>
    <w:rsid w:val="7B373932"/>
    <w:rsid w:val="7B704D90"/>
    <w:rsid w:val="7BC36D99"/>
    <w:rsid w:val="7BD409DD"/>
    <w:rsid w:val="7C2F648C"/>
    <w:rsid w:val="7C3847D9"/>
    <w:rsid w:val="7C3F1C46"/>
    <w:rsid w:val="7C4B37FA"/>
    <w:rsid w:val="7C513864"/>
    <w:rsid w:val="7C941670"/>
    <w:rsid w:val="7CE1176F"/>
    <w:rsid w:val="7DAD7BBE"/>
    <w:rsid w:val="7DF30332"/>
    <w:rsid w:val="7E1B01F2"/>
    <w:rsid w:val="7E903A34"/>
    <w:rsid w:val="7EA50156"/>
    <w:rsid w:val="7EB85AF2"/>
    <w:rsid w:val="7EB96DF7"/>
    <w:rsid w:val="7ED03198"/>
    <w:rsid w:val="7EF746DD"/>
    <w:rsid w:val="7F0C0DFF"/>
    <w:rsid w:val="7F2464A6"/>
    <w:rsid w:val="7F7B98EB"/>
    <w:rsid w:val="7FC65CAF"/>
    <w:rsid w:val="7FE27B5E"/>
    <w:rsid w:val="FFBFDA97"/>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qFormat="1"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iPriority="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qFormat="1" w:unhideWhenUsed="0"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topLinePunct/>
      <w:jc w:val="both"/>
    </w:pPr>
    <w:rPr>
      <w:rFonts w:ascii="Times New Roman" w:hAnsi="Times New Roman" w:eastAsia="宋体" w:cs="Times New Roman"/>
      <w:kern w:val="2"/>
      <w:sz w:val="24"/>
      <w:szCs w:val="24"/>
      <w:lang w:val="en-US" w:eastAsia="zh-CN" w:bidi="ar-SA"/>
    </w:rPr>
  </w:style>
  <w:style w:type="paragraph" w:styleId="3">
    <w:name w:val="heading 4"/>
    <w:basedOn w:val="1"/>
    <w:next w:val="1"/>
    <w:qFormat/>
    <w:uiPriority w:val="0"/>
    <w:pPr>
      <w:keepNext/>
      <w:keepLines/>
      <w:numPr>
        <w:ilvl w:val="3"/>
        <w:numId w:val="1"/>
      </w:numPr>
      <w:spacing w:after="156" w:afterLines="50" w:line="360" w:lineRule="auto"/>
      <w:outlineLvl w:val="3"/>
    </w:pPr>
    <w:rPr>
      <w:rFonts w:ascii="Times New Roman" w:hAnsi="Times New Roman"/>
      <w:b/>
      <w:bCs/>
      <w:sz w:val="28"/>
      <w:szCs w:val="28"/>
    </w:rPr>
  </w:style>
  <w:style w:type="character" w:default="1" w:styleId="12">
    <w:name w:val="Default Paragraph Font"/>
    <w:semiHidden/>
    <w:qFormat/>
    <w:uiPriority w:val="0"/>
  </w:style>
  <w:style w:type="table" w:default="1" w:styleId="10">
    <w:name w:val="Normal Table"/>
    <w:semiHidden/>
    <w:qFormat/>
    <w:uiPriority w:val="0"/>
    <w:tblPr>
      <w:tblCellMar>
        <w:top w:w="0" w:type="dxa"/>
        <w:left w:w="108" w:type="dxa"/>
        <w:bottom w:w="0" w:type="dxa"/>
        <w:right w:w="108" w:type="dxa"/>
      </w:tblCellMar>
    </w:tblPr>
  </w:style>
  <w:style w:type="paragraph" w:customStyle="1" w:styleId="2">
    <w:name w:val="标题_自定义_4"/>
    <w:basedOn w:val="3"/>
    <w:qFormat/>
    <w:uiPriority w:val="0"/>
    <w:pPr>
      <w:numPr>
        <w:ilvl w:val="3"/>
        <w:numId w:val="2"/>
      </w:numPr>
      <w:spacing w:line="372" w:lineRule="auto"/>
    </w:pPr>
    <w:rPr>
      <w:rFonts w:ascii="Times New Roman" w:hAnsi="Cambria" w:eastAsia="宋体" w:cs="Times New Roman"/>
      <w:sz w:val="24"/>
      <w:szCs w:val="24"/>
    </w:rPr>
  </w:style>
  <w:style w:type="paragraph" w:styleId="4">
    <w:name w:val="annotation text"/>
    <w:basedOn w:val="1"/>
    <w:qFormat/>
    <w:uiPriority w:val="0"/>
    <w:pPr>
      <w:jc w:val="left"/>
    </w:pPr>
  </w:style>
  <w:style w:type="paragraph" w:styleId="5">
    <w:name w:val="Body Text Indent"/>
    <w:basedOn w:val="1"/>
    <w:next w:val="6"/>
    <w:qFormat/>
    <w:uiPriority w:val="0"/>
    <w:pPr>
      <w:autoSpaceDE w:val="0"/>
      <w:autoSpaceDN w:val="0"/>
      <w:adjustRightInd w:val="0"/>
      <w:spacing w:after="120" w:line="360" w:lineRule="atLeast"/>
      <w:ind w:left="900"/>
    </w:pPr>
    <w:rPr>
      <w:rFonts w:ascii="楷体_GB2312" w:eastAsia="楷体_GB2312"/>
      <w:kern w:val="0"/>
      <w:sz w:val="28"/>
      <w:szCs w:val="20"/>
    </w:rPr>
  </w:style>
  <w:style w:type="paragraph" w:styleId="6">
    <w:name w:val="Body Text First Indent 2"/>
    <w:basedOn w:val="5"/>
    <w:next w:val="7"/>
    <w:qFormat/>
    <w:uiPriority w:val="0"/>
    <w:pPr>
      <w:tabs>
        <w:tab w:val="left" w:pos="0"/>
        <w:tab w:val="left" w:pos="993"/>
        <w:tab w:val="left" w:pos="1134"/>
      </w:tabs>
      <w:spacing w:line="312" w:lineRule="atLeast"/>
      <w:ind w:firstLine="420"/>
    </w:pPr>
  </w:style>
  <w:style w:type="paragraph" w:customStyle="1" w:styleId="7">
    <w:name w:val="正文格式"/>
    <w:basedOn w:val="1"/>
    <w:qFormat/>
    <w:uiPriority w:val="0"/>
    <w:pPr>
      <w:keepNext w:val="0"/>
      <w:keepLines w:val="0"/>
      <w:widowControl w:val="0"/>
      <w:suppressLineNumbers w:val="0"/>
      <w:spacing w:before="0" w:beforeAutospacing="0" w:after="0" w:afterAutospacing="0"/>
      <w:ind w:left="0" w:right="0" w:firstLine="200" w:firstLineChars="200"/>
      <w:jc w:val="both"/>
    </w:pPr>
    <w:rPr>
      <w:rFonts w:hint="default" w:ascii="宋体" w:hAnsi="宋体" w:eastAsia="彩虹粗仿宋" w:cs="Times New Roman"/>
      <w:kern w:val="2"/>
      <w:sz w:val="28"/>
      <w:szCs w:val="28"/>
      <w:lang w:val="en-US" w:eastAsia="zh-CN" w:bidi="ar"/>
    </w:rPr>
  </w:style>
  <w:style w:type="paragraph" w:styleId="8">
    <w:name w:val="Plain Text"/>
    <w:basedOn w:val="1"/>
    <w:semiHidden/>
    <w:unhideWhenUsed/>
    <w:qFormat/>
    <w:uiPriority w:val="0"/>
    <w:pPr>
      <w:spacing w:line="360" w:lineRule="auto"/>
      <w:ind w:firstLine="560" w:firstLineChars="200"/>
      <w:jc w:val="left"/>
    </w:pPr>
    <w:rPr>
      <w:rFonts w:ascii="宋体" w:hAnsi="Courier New"/>
      <w:sz w:val="24"/>
      <w:szCs w:val="28"/>
    </w:rPr>
  </w:style>
  <w:style w:type="paragraph" w:styleId="9">
    <w:name w:val="HTML Preformatted"/>
    <w:basedOn w:val="1"/>
    <w:semiHidden/>
    <w:qFormat/>
    <w:uiPriority w:val="0"/>
    <w:pPr>
      <w:topLinePunct w:val="0"/>
    </w:pPr>
    <w:rPr>
      <w:rFonts w:ascii="Courier New" w:hAnsi="Courier New" w:cs="Courier New"/>
      <w:sz w:val="20"/>
      <w:szCs w:val="20"/>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3">
    <w:name w:val="正文首行缩进 21"/>
    <w:basedOn w:val="14"/>
    <w:qFormat/>
    <w:uiPriority w:val="0"/>
    <w:pPr>
      <w:widowControl/>
      <w:ind w:firstLine="420"/>
    </w:pPr>
    <w:rPr>
      <w:szCs w:val="20"/>
    </w:rPr>
  </w:style>
  <w:style w:type="paragraph" w:customStyle="1" w:styleId="14">
    <w:name w:val="正文文本缩进1"/>
    <w:basedOn w:val="1"/>
    <w:qFormat/>
    <w:uiPriority w:val="0"/>
    <w:pPr>
      <w:spacing w:line="500" w:lineRule="exact"/>
      <w:ind w:firstLine="880"/>
    </w:pPr>
    <w:rPr>
      <w:szCs w:val="22"/>
    </w:rPr>
  </w:style>
  <w:style w:type="paragraph" w:styleId="15">
    <w:name w:val="List Paragraph"/>
    <w:basedOn w:val="1"/>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numbering" Target="numbering.xml"/><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Pages>10</Pages>
  <Words>0</Words>
  <Characters>0</Characters>
  <Lines>0</Lines>
  <Paragraphs>0</Paragraphs>
  <TotalTime>0</TotalTime>
  <ScaleCrop>false</ScaleCrop>
  <LinksUpToDate>false</LinksUpToDate>
  <CharactersWithSpaces>0</CharactersWithSpaces>
  <Application>WPS Office_11.8.2.12094_F1E327BC-269C-435d-A152-05C5408002CA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2024-11-21T19:06:00Z</dcterms:created>
  <dc:creator>石瑜</dc:creator>
  <cp:lastModifiedBy>采购工作组</cp:lastModifiedBy>
  <dcterms:modified xsi:type="dcterms:W3CDTF">2025-09-26T02:54:29Z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2052-11.8.2.12094</vt:lpwstr>
  </property>
  <property fmtid="{D5CDD505-2E9C-101B-9397-08002B2CF9AE}" pid="3" name="ICV">
    <vt:lpwstr>1D3D6C5842F741EE865877370BE1C212</vt:lpwstr>
  </property>
</Properties>
</file>