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EFCE7">
      <w:pPr>
        <w:spacing w:line="360" w:lineRule="auto"/>
        <w:rPr>
          <w:rFonts w:hint="eastAsia" w:ascii="宋体" w:hAnsi="宋体"/>
          <w:b/>
          <w:color w:val="000000" w:themeColor="text1"/>
          <w:sz w:val="52"/>
          <w:szCs w:val="52"/>
          <w:highlight w:val="none"/>
          <w14:textFill>
            <w14:solidFill>
              <w14:schemeClr w14:val="tx1"/>
            </w14:solidFill>
          </w14:textFill>
        </w:rPr>
      </w:pPr>
    </w:p>
    <w:p w14:paraId="3B18DE04">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4596D2D">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2A00E4E6">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5B5E0C75">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7CA54B27">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5416A447">
      <w:pPr>
        <w:spacing w:line="360" w:lineRule="auto"/>
        <w:rPr>
          <w:rFonts w:hint="eastAsia" w:ascii="宋体" w:hAnsi="宋体"/>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highlight w:val="none"/>
          <w:lang w:val="en-US" w:eastAsia="zh-CN"/>
          <w14:textFill>
            <w14:solidFill>
              <w14:schemeClr w14:val="tx1"/>
            </w14:solidFill>
          </w14:textFill>
        </w:rPr>
        <w:t xml:space="preserve"> </w:t>
      </w: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lang w:eastAsia="zh-CN"/>
          <w14:textFill>
            <w14:solidFill>
              <w14:schemeClr w14:val="tx1"/>
            </w14:solidFill>
          </w14:textFill>
        </w:rPr>
        <w:t>XM2025-TZ0349</w:t>
      </w:r>
    </w:p>
    <w:p w14:paraId="5A2F6510">
      <w:pPr>
        <w:spacing w:line="360" w:lineRule="auto"/>
        <w:ind w:left="2884" w:leftChars="513" w:hanging="1807" w:hangingChars="500"/>
        <w:jc w:val="left"/>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项目名称：2025-2026年度生态环境空间管控排污许可数据应用服务</w:t>
      </w:r>
    </w:p>
    <w:p w14:paraId="48F3D43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B3D7F0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013349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3B4B4A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BF33A5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76C0DED">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：厦门市生态环境局</w:t>
      </w:r>
    </w:p>
    <w:p w14:paraId="41BBE8F8">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2687E9D2">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4219DF2">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2016654">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63B7F745">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667B57BD">
      <w:pPr>
        <w:pStyle w:val="7"/>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22CBE44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7B11591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7753F07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BE862F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41EB86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11F1F17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609689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05B3EC47">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w:t>
      </w:r>
      <w:r>
        <w:rPr>
          <w:rFonts w:hint="eastAsia" w:ascii="宋体" w:hAnsi="宋体" w:cs="宋体"/>
          <w:color w:val="000000" w:themeColor="text1"/>
          <w:sz w:val="24"/>
          <w:szCs w:val="24"/>
          <w:highlight w:val="none"/>
          <w:lang w:eastAsia="zh-CN"/>
          <w14:textFill>
            <w14:solidFill>
              <w14:schemeClr w14:val="tx1"/>
            </w14:solidFill>
          </w14:textFill>
        </w:rPr>
        <w:t>27.8</w:t>
      </w:r>
      <w:r>
        <w:rPr>
          <w:rFonts w:hint="eastAsia" w:ascii="宋体" w:hAnsi="宋体" w:eastAsia="宋体" w:cs="宋体"/>
          <w:color w:val="000000" w:themeColor="text1"/>
          <w:sz w:val="24"/>
          <w:szCs w:val="24"/>
          <w:highlight w:val="none"/>
          <w14:textFill>
            <w14:solidFill>
              <w14:schemeClr w14:val="tx1"/>
            </w14:solidFill>
          </w14:textFill>
        </w:rPr>
        <w:t>0；朱姗姗   2991131、18050082825</w:t>
      </w:r>
    </w:p>
    <w:p w14:paraId="23103B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6C797C3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984E3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434FED16">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35CE42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3BFA2B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08B73E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5A7C2A2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34EFDE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E25E25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14A1A1F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72F0B41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3C9BC14">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C090B1F">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7F7837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2C9B615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19A0BAD">
      <w:pPr>
        <w:pStyle w:val="20"/>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3A66B9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第二章 </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36F0CBDB">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须知前附表1 ........................... ...</w:t>
      </w:r>
    </w:p>
    <w:p w14:paraId="41F9A6B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 ...................... ...... .</w:t>
      </w:r>
    </w:p>
    <w:p w14:paraId="28855129">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须知前附表3 .................... ...... ...</w:t>
      </w:r>
    </w:p>
    <w:p w14:paraId="5A93BF9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须知前附表4..................... ...... ...</w:t>
      </w:r>
    </w:p>
    <w:p w14:paraId="687F5DA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356B26F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77D21809">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的编写.......................... .......</w:t>
      </w:r>
    </w:p>
    <w:p w14:paraId="78536B06">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的提交.................................</w:t>
      </w:r>
    </w:p>
    <w:p w14:paraId="6B18EC4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的评估和比较...................... ..</w:t>
      </w:r>
    </w:p>
    <w:p w14:paraId="4E7A0508">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231D2FE8">
      <w:pPr>
        <w:pStyle w:val="20"/>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4970ED43">
      <w:pPr>
        <w:pStyle w:val="20"/>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E4DAE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 xml:space="preserve">第五章 </w:t>
      </w:r>
      <w:r>
        <w:rPr>
          <w:rFonts w:hint="eastAsia" w:ascii="宋体" w:hAnsi="宋体" w:cs="宋体"/>
          <w:b/>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
          <w:color w:val="000000" w:themeColor="text1"/>
          <w:sz w:val="24"/>
          <w:szCs w:val="24"/>
          <w:highlight w:val="none"/>
          <w14:textFill>
            <w14:solidFill>
              <w14:schemeClr w14:val="tx1"/>
            </w14:solidFill>
          </w14:textFill>
        </w:rPr>
        <w:t>（格式）</w:t>
      </w:r>
      <w:r>
        <w:rPr>
          <w:rFonts w:hint="eastAsia" w:ascii="宋体" w:hAnsi="宋体" w:eastAsia="宋体" w:cs="宋体"/>
          <w:color w:val="000000" w:themeColor="text1"/>
          <w:sz w:val="24"/>
          <w:szCs w:val="24"/>
          <w:highlight w:val="none"/>
          <w14:textFill>
            <w14:solidFill>
              <w14:schemeClr w14:val="tx1"/>
            </w14:solidFill>
          </w14:textFill>
        </w:rPr>
        <w:t>.............................. ......</w:t>
      </w:r>
    </w:p>
    <w:p w14:paraId="3A42BE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6870136">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57105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A4071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EB112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B88D6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611C03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8E767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AA3A6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CB74E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6C56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EA460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DAFF9D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32E0AF7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C257A4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81ACFA">
      <w:pPr>
        <w:tabs>
          <w:tab w:val="left" w:pos="900"/>
        </w:tabs>
        <w:spacing w:line="360" w:lineRule="auto"/>
        <w:ind w:firstLine="482" w:firstLineChars="200"/>
        <w:rPr>
          <w:rFonts w:hint="eastAsia" w:ascii="宋体" w:hAnsi="宋体" w:eastAsia="宋体" w:cs="宋体"/>
          <w:b/>
          <w:bCs/>
          <w:color w:val="000000" w:themeColor="text1"/>
          <w:sz w:val="21"/>
          <w:szCs w:val="21"/>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14:textFill>
            <w14:solidFill>
              <w14:schemeClr w14:val="tx1"/>
            </w14:solidFill>
          </w14:textFill>
        </w:rPr>
        <w:t>厦门市生态环境局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color w:val="000000" w:themeColor="text1"/>
          <w:sz w:val="24"/>
          <w:szCs w:val="24"/>
          <w:highlight w:val="none"/>
          <w14:textFill>
            <w14:solidFill>
              <w14:schemeClr w14:val="tx1"/>
            </w14:solidFill>
          </w14:textFill>
        </w:rPr>
        <w:t>2025-2026</w:t>
      </w:r>
      <w:r>
        <w:rPr>
          <w:rFonts w:hint="eastAsia" w:ascii="宋体" w:hAnsi="宋体" w:cs="宋体"/>
          <w:color w:val="000000" w:themeColor="text1"/>
          <w:sz w:val="21"/>
          <w:szCs w:val="21"/>
          <w:highlight w:val="none"/>
          <w14:textFill>
            <w14:solidFill>
              <w14:schemeClr w14:val="tx1"/>
            </w14:solidFill>
          </w14:textFill>
        </w:rPr>
        <w:t>年度生态环境空间管控排污许可数据应用服务</w:t>
      </w:r>
      <w:r>
        <w:rPr>
          <w:rFonts w:hint="eastAsia" w:ascii="宋体" w:hAnsi="宋体" w:eastAsia="宋体" w:cs="宋体"/>
          <w:bCs/>
          <w:color w:val="000000" w:themeColor="text1"/>
          <w:sz w:val="21"/>
          <w:szCs w:val="21"/>
          <w:highlight w:val="none"/>
          <w14:textFill>
            <w14:solidFill>
              <w14:schemeClr w14:val="tx1"/>
            </w14:solidFill>
          </w14:textFill>
        </w:rPr>
        <w:t>的采购</w:t>
      </w:r>
      <w:r>
        <w:rPr>
          <w:rFonts w:hint="eastAsia" w:ascii="宋体" w:hAnsi="宋体" w:eastAsia="宋体" w:cs="宋体"/>
          <w:color w:val="000000" w:themeColor="text1"/>
          <w:sz w:val="21"/>
          <w:szCs w:val="21"/>
          <w:highlight w:val="none"/>
          <w14:textFill>
            <w14:solidFill>
              <w14:schemeClr w14:val="tx1"/>
            </w14:solidFill>
          </w14:textFill>
        </w:rPr>
        <w:t>采用</w:t>
      </w:r>
      <w:r>
        <w:rPr>
          <w:rFonts w:hint="eastAsia" w:ascii="宋体" w:hAnsi="宋体" w:eastAsia="宋体" w:cs="宋体"/>
          <w:b/>
          <w:color w:val="000000" w:themeColor="text1"/>
          <w:sz w:val="21"/>
          <w:szCs w:val="21"/>
          <w:highlight w:val="none"/>
          <w:u w:val="single"/>
          <w14:textFill>
            <w14:solidFill>
              <w14:schemeClr w14:val="tx1"/>
            </w14:solidFill>
          </w14:textFill>
        </w:rPr>
        <w:t>竞争性磋商方式</w:t>
      </w:r>
      <w:r>
        <w:rPr>
          <w:rFonts w:hint="eastAsia" w:ascii="宋体" w:hAnsi="宋体" w:eastAsia="宋体" w:cs="宋体"/>
          <w:color w:val="000000" w:themeColor="text1"/>
          <w:sz w:val="21"/>
          <w:szCs w:val="21"/>
          <w:highlight w:val="none"/>
          <w14:textFill>
            <w14:solidFill>
              <w14:schemeClr w14:val="tx1"/>
            </w14:solidFill>
          </w14:textFill>
        </w:rPr>
        <w:t>进行。现欢迎国内合格</w:t>
      </w:r>
      <w:r>
        <w:rPr>
          <w:rFonts w:hint="eastAsia" w:ascii="宋体" w:hAnsi="宋体" w:cs="宋体"/>
          <w:color w:val="000000" w:themeColor="text1"/>
          <w:sz w:val="21"/>
          <w:szCs w:val="21"/>
          <w:highlight w:val="none"/>
          <w:lang w:eastAsia="zh-CN"/>
          <w14:textFill>
            <w14:solidFill>
              <w14:schemeClr w14:val="tx1"/>
            </w14:solidFill>
          </w14:textFill>
        </w:rPr>
        <w:t>供应商</w:t>
      </w:r>
      <w:r>
        <w:rPr>
          <w:rFonts w:hint="eastAsia" w:ascii="宋体" w:hAnsi="宋体" w:eastAsia="宋体" w:cs="宋体"/>
          <w:color w:val="000000" w:themeColor="text1"/>
          <w:sz w:val="21"/>
          <w:szCs w:val="21"/>
          <w:highlight w:val="none"/>
          <w14:textFill>
            <w14:solidFill>
              <w14:schemeClr w14:val="tx1"/>
            </w14:solidFill>
          </w14:textFill>
        </w:rPr>
        <w:t>密封提交</w:t>
      </w:r>
      <w:r>
        <w:rPr>
          <w:rFonts w:hint="eastAsia" w:ascii="宋体" w:hAnsi="宋体" w:cs="宋体"/>
          <w:color w:val="000000" w:themeColor="text1"/>
          <w:sz w:val="21"/>
          <w:szCs w:val="21"/>
          <w:highlight w:val="none"/>
          <w:lang w:eastAsia="zh-CN"/>
          <w14:textFill>
            <w14:solidFill>
              <w14:schemeClr w14:val="tx1"/>
            </w14:solidFill>
          </w14:textFill>
        </w:rPr>
        <w:t>磋商响应文件</w:t>
      </w:r>
      <w:r>
        <w:rPr>
          <w:rFonts w:hint="eastAsia" w:ascii="宋体" w:hAnsi="宋体" w:eastAsia="宋体" w:cs="宋体"/>
          <w:color w:val="000000" w:themeColor="text1"/>
          <w:sz w:val="21"/>
          <w:szCs w:val="21"/>
          <w:highlight w:val="none"/>
          <w14:textFill>
            <w14:solidFill>
              <w14:schemeClr w14:val="tx1"/>
            </w14:solidFill>
          </w14:textFill>
        </w:rPr>
        <w:t>。</w:t>
      </w:r>
    </w:p>
    <w:p w14:paraId="3AEA32C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XM2025-TZ0349</w:t>
      </w:r>
      <w:r>
        <w:rPr>
          <w:rFonts w:hint="eastAsia" w:ascii="宋体" w:hAnsi="宋体" w:eastAsia="宋体" w:cs="宋体"/>
          <w:color w:val="000000" w:themeColor="text1"/>
          <w:sz w:val="24"/>
          <w:szCs w:val="24"/>
          <w:highlight w:val="none"/>
          <w14:textFill>
            <w14:solidFill>
              <w14:schemeClr w14:val="tx1"/>
            </w14:solidFill>
          </w14:textFill>
        </w:rPr>
        <w:t>。</w:t>
      </w:r>
    </w:p>
    <w:p w14:paraId="260290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61EE249C">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29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8</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183418BC">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每个合同包</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元人民币，售后不退。</w:t>
      </w:r>
    </w:p>
    <w:p w14:paraId="58F90235">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9</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应在截止时间前将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将被拒绝。</w:t>
      </w:r>
    </w:p>
    <w:p w14:paraId="5AEA525D">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63F8CF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对本次磋商活动事项如有疑问的，请在磋商截止时间5日之前，以书面形式与采购代理机构联系。</w:t>
      </w:r>
    </w:p>
    <w:p w14:paraId="49FBAE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lang w:val="en-US" w:eastAsia="zh-CN"/>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关注。</w:t>
      </w:r>
    </w:p>
    <w:p w14:paraId="7FA032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520FBBF1">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7"/>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3BE4C6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vAlign w:val="center"/>
          </w:tcPr>
          <w:p w14:paraId="7E0BFED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vAlign w:val="center"/>
          </w:tcPr>
          <w:p w14:paraId="1B98AFC2">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vAlign w:val="center"/>
          </w:tcPr>
          <w:p w14:paraId="032BB4E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vAlign w:val="center"/>
          </w:tcPr>
          <w:p w14:paraId="255854B4">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vAlign w:val="center"/>
          </w:tcPr>
          <w:p w14:paraId="57F0C7D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E2FF1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1FF0924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vAlign w:val="center"/>
          </w:tcPr>
          <w:p w14:paraId="2C7B0C0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vAlign w:val="center"/>
          </w:tcPr>
          <w:p w14:paraId="75ED2E2E">
            <w:pPr>
              <w:spacing w:line="360" w:lineRule="auto"/>
              <w:ind w:firstLine="240" w:firstLineChars="100"/>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vAlign w:val="center"/>
          </w:tcPr>
          <w:p w14:paraId="126FDD25">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vAlign w:val="center"/>
          </w:tcPr>
          <w:p w14:paraId="05D0E3E9">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7B0152E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7D95E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5FE0767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vAlign w:val="center"/>
          </w:tcPr>
          <w:p w14:paraId="24DEA2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vAlign w:val="center"/>
          </w:tcPr>
          <w:p w14:paraId="11E0032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745AF5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vAlign w:val="center"/>
          </w:tcPr>
          <w:p w14:paraId="3EEDE2A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545F1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4CF259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vAlign w:val="center"/>
          </w:tcPr>
          <w:p w14:paraId="2A74AAB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vAlign w:val="center"/>
          </w:tcPr>
          <w:p w14:paraId="66A0810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vAlign w:val="center"/>
          </w:tcPr>
          <w:p w14:paraId="7AE370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vAlign w:val="center"/>
          </w:tcPr>
          <w:p w14:paraId="6881947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182BE3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3DC4038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vAlign w:val="center"/>
          </w:tcPr>
          <w:p w14:paraId="51EF0407">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vAlign w:val="center"/>
          </w:tcPr>
          <w:p w14:paraId="01B8C57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vAlign w:val="center"/>
          </w:tcPr>
          <w:p w14:paraId="2C9F0E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vAlign w:val="center"/>
          </w:tcPr>
          <w:p w14:paraId="6BF04CB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02B429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17386F8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vAlign w:val="center"/>
          </w:tcPr>
          <w:p w14:paraId="69AE57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vAlign w:val="center"/>
          </w:tcPr>
          <w:p w14:paraId="64F7816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3EEE9D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vAlign w:val="center"/>
          </w:tcPr>
          <w:p w14:paraId="54D65B8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8EBCC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vAlign w:val="center"/>
          </w:tcPr>
          <w:p w14:paraId="750C2F5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vAlign w:val="center"/>
          </w:tcPr>
          <w:p w14:paraId="5D0479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vAlign w:val="center"/>
          </w:tcPr>
          <w:p w14:paraId="498E63E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vAlign w:val="center"/>
          </w:tcPr>
          <w:p w14:paraId="439C40A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vAlign w:val="center"/>
          </w:tcPr>
          <w:p w14:paraId="065DA7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0573C4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F21D0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45BD15C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1CA3EC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vAlign w:val="center"/>
          </w:tcPr>
          <w:p w14:paraId="3116C51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vAlign w:val="center"/>
          </w:tcPr>
          <w:p w14:paraId="4C5D46C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vAlign w:val="center"/>
          </w:tcPr>
          <w:p w14:paraId="249E61D5">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vAlign w:val="center"/>
          </w:tcPr>
          <w:p w14:paraId="7DBF4AE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vAlign w:val="center"/>
          </w:tcPr>
          <w:p w14:paraId="6960C448">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0ACDE3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146AFD9">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7"/>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0B6C2E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vAlign w:val="center"/>
          </w:tcPr>
          <w:p w14:paraId="1E04245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vAlign w:val="center"/>
          </w:tcPr>
          <w:p w14:paraId="20934A6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vAlign w:val="center"/>
          </w:tcPr>
          <w:p w14:paraId="6E7F82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09770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303811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vAlign w:val="center"/>
          </w:tcPr>
          <w:p w14:paraId="44DCA0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vAlign w:val="center"/>
          </w:tcPr>
          <w:p w14:paraId="7A723D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19B0EF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vAlign w:val="center"/>
          </w:tcPr>
          <w:p w14:paraId="07667E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vAlign w:val="center"/>
          </w:tcPr>
          <w:p w14:paraId="33DB5A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vAlign w:val="center"/>
          </w:tcPr>
          <w:p w14:paraId="0C9D5F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5C6B4D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vAlign w:val="center"/>
          </w:tcPr>
          <w:p w14:paraId="3D52FA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vAlign w:val="center"/>
          </w:tcPr>
          <w:p w14:paraId="31C1D7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573352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须将相关的费用缴交至上表对应的账号，缴错账号而产生的一切后果由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69AD576C">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7E0B8D0E">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2B92C96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619E64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563B9F25">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1C9C4B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75B5A2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3873B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75BEFAE8">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45B86C2A">
      <w:pPr>
        <w:pStyle w:val="9"/>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575C276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7"/>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930"/>
        <w:gridCol w:w="1990"/>
        <w:gridCol w:w="610"/>
        <w:gridCol w:w="1950"/>
        <w:gridCol w:w="1260"/>
        <w:gridCol w:w="960"/>
      </w:tblGrid>
      <w:tr w14:paraId="53C5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5" w:type="dxa"/>
            <w:vAlign w:val="center"/>
          </w:tcPr>
          <w:p w14:paraId="030F60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930" w:type="dxa"/>
            <w:vAlign w:val="center"/>
          </w:tcPr>
          <w:p w14:paraId="2E582F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990" w:type="dxa"/>
            <w:vAlign w:val="center"/>
          </w:tcPr>
          <w:p w14:paraId="37D3B8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610" w:type="dxa"/>
            <w:vAlign w:val="center"/>
          </w:tcPr>
          <w:p w14:paraId="513692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950" w:type="dxa"/>
            <w:vAlign w:val="center"/>
          </w:tcPr>
          <w:p w14:paraId="417DD5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260" w:type="dxa"/>
            <w:vAlign w:val="center"/>
          </w:tcPr>
          <w:p w14:paraId="2F37713A">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960" w:type="dxa"/>
            <w:vAlign w:val="center"/>
          </w:tcPr>
          <w:p w14:paraId="08B451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7EECF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265" w:type="dxa"/>
            <w:vAlign w:val="center"/>
          </w:tcPr>
          <w:p w14:paraId="5A09D5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930" w:type="dxa"/>
            <w:vAlign w:val="center"/>
          </w:tcPr>
          <w:p w14:paraId="270037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990" w:type="dxa"/>
            <w:vAlign w:val="center"/>
          </w:tcPr>
          <w:p w14:paraId="713A0E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2025-2026年度生态环境空间管控排污许可数据应用服务</w:t>
            </w:r>
          </w:p>
        </w:tc>
        <w:tc>
          <w:tcPr>
            <w:tcW w:w="610" w:type="dxa"/>
            <w:vAlign w:val="center"/>
          </w:tcPr>
          <w:p w14:paraId="67CD00C2">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950" w:type="dxa"/>
            <w:vAlign w:val="center"/>
          </w:tcPr>
          <w:p w14:paraId="523D48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260" w:type="dxa"/>
            <w:vAlign w:val="center"/>
          </w:tcPr>
          <w:p w14:paraId="6708D8A5">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960" w:type="dxa"/>
            <w:vAlign w:val="center"/>
          </w:tcPr>
          <w:p w14:paraId="49956D4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4C7A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265" w:type="dxa"/>
            <w:vAlign w:val="center"/>
          </w:tcPr>
          <w:p w14:paraId="28B915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700" w:type="dxa"/>
            <w:gridSpan w:val="6"/>
            <w:vAlign w:val="center"/>
          </w:tcPr>
          <w:p w14:paraId="308810DE">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13634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265" w:type="dxa"/>
            <w:vAlign w:val="center"/>
          </w:tcPr>
          <w:p w14:paraId="7E9F71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700" w:type="dxa"/>
            <w:gridSpan w:val="6"/>
            <w:vAlign w:val="center"/>
          </w:tcPr>
          <w:p w14:paraId="6A9D461A">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7014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265" w:type="dxa"/>
            <w:vAlign w:val="center"/>
          </w:tcPr>
          <w:p w14:paraId="79A235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700" w:type="dxa"/>
            <w:gridSpan w:val="6"/>
            <w:vAlign w:val="center"/>
          </w:tcPr>
          <w:p w14:paraId="6506DD5B">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54C7721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14CE66E">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必须对合同包内所有内容进行完整报价。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可按合同包响应，评审与成交以合同包为单位。</w:t>
      </w:r>
    </w:p>
    <w:p w14:paraId="2E81DB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6A8D08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32679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3AE67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D7264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6DD9638">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4B63587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51C975DD">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0A10EA6">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30392392">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6737762">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D049FD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52E4769">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5AAE9E5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74645EA2">
      <w:pPr>
        <w:pStyle w:val="69"/>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5EF902A5">
      <w:pPr>
        <w:pStyle w:val="69"/>
        <w:spacing w:line="360" w:lineRule="auto"/>
        <w:rPr>
          <w:rFonts w:hint="eastAsia" w:hAnsi="宋体" w:eastAsia="宋体" w:cs="宋体"/>
          <w:color w:val="000000" w:themeColor="text1"/>
          <w:highlight w:val="none"/>
          <w14:textFill>
            <w14:solidFill>
              <w14:schemeClr w14:val="tx1"/>
            </w14:solidFill>
          </w14:textFill>
        </w:rPr>
      </w:pPr>
    </w:p>
    <w:p w14:paraId="18650DC6">
      <w:pPr>
        <w:pStyle w:val="69"/>
        <w:spacing w:line="360" w:lineRule="auto"/>
        <w:rPr>
          <w:rFonts w:hint="eastAsia" w:hAnsi="宋体" w:eastAsia="宋体" w:cs="宋体"/>
          <w:color w:val="000000" w:themeColor="text1"/>
          <w:highlight w:val="none"/>
          <w14:textFill>
            <w14:solidFill>
              <w14:schemeClr w14:val="tx1"/>
            </w14:solidFill>
          </w14:textFill>
        </w:rPr>
      </w:pPr>
    </w:p>
    <w:p w14:paraId="1868AB1D">
      <w:pPr>
        <w:pStyle w:val="69"/>
        <w:spacing w:line="360" w:lineRule="auto"/>
        <w:rPr>
          <w:rFonts w:hint="eastAsia" w:hAnsi="宋体" w:eastAsia="宋体" w:cs="宋体"/>
          <w:color w:val="000000" w:themeColor="text1"/>
          <w:highlight w:val="none"/>
          <w14:textFill>
            <w14:solidFill>
              <w14:schemeClr w14:val="tx1"/>
            </w14:solidFill>
          </w14:textFill>
        </w:rPr>
      </w:pPr>
    </w:p>
    <w:tbl>
      <w:tblPr>
        <w:tblStyle w:val="27"/>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7BA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tcPr>
          <w:p w14:paraId="05CBD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0430420">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须知》应载明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准备</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所必须的信息，以及递交</w:t>
            </w:r>
            <w:r>
              <w:rPr>
                <w:rFonts w:hint="eastAsia" w:ascii="宋体" w:hAnsi="宋体" w:cs="宋体"/>
                <w:color w:val="000000" w:themeColor="text1"/>
                <w:kern w:val="0"/>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kern w:val="0"/>
                <w:sz w:val="24"/>
                <w:szCs w:val="24"/>
                <w:highlight w:val="none"/>
                <w14:textFill>
                  <w14:solidFill>
                    <w14:schemeClr w14:val="tx1"/>
                  </w14:solidFill>
                </w14:textFill>
              </w:rPr>
              <w:t xml:space="preserve">、评审和签订合同等有关规定。 </w:t>
            </w:r>
          </w:p>
          <w:p w14:paraId="743266B7">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7EEF3E0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811E3B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066C6A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1EDCD8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5A4AC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0F336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6952C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D7BB6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FC463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DBE8A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F03F0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2AD2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C90171A">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EEF05A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1833E9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837E6C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ED1289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56497B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2F9C7CB">
      <w:pPr>
        <w:pStyle w:val="26"/>
        <w:rPr>
          <w:rFonts w:hint="eastAsia" w:ascii="宋体" w:hAnsi="宋体" w:eastAsia="宋体" w:cs="宋体"/>
          <w:b/>
          <w:bCs/>
          <w:color w:val="000000" w:themeColor="text1"/>
          <w:sz w:val="32"/>
          <w:szCs w:val="32"/>
          <w:highlight w:val="none"/>
          <w14:textFill>
            <w14:solidFill>
              <w14:schemeClr w14:val="tx1"/>
            </w14:solidFill>
          </w14:textFill>
        </w:rPr>
      </w:pPr>
    </w:p>
    <w:p w14:paraId="219DAEE6">
      <w:pPr>
        <w:pStyle w:val="25"/>
        <w:rPr>
          <w:rFonts w:hint="eastAsia"/>
          <w:color w:val="000000" w:themeColor="text1"/>
          <w:highlight w:val="none"/>
          <w14:textFill>
            <w14:solidFill>
              <w14:schemeClr w14:val="tx1"/>
            </w14:solidFill>
          </w14:textFill>
        </w:rPr>
      </w:pPr>
    </w:p>
    <w:p w14:paraId="1194B86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须知前附表1</w:t>
      </w:r>
    </w:p>
    <w:p w14:paraId="0930B619">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须知》中条款的项号相对应的。如果有矛盾的话，应以本附表为准。 </w:t>
      </w:r>
    </w:p>
    <w:tbl>
      <w:tblPr>
        <w:tblStyle w:val="27"/>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53E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tcPr>
          <w:p w14:paraId="4F05F4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tcPr>
          <w:p w14:paraId="26249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tcPr>
          <w:p w14:paraId="7DCF18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6DB8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68EFEF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vAlign w:val="center"/>
          </w:tcPr>
          <w:p w14:paraId="7A28D5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vAlign w:val="center"/>
          </w:tcPr>
          <w:p w14:paraId="3619C3C8">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lang w:eastAsia="zh-CN"/>
                <w14:textFill>
                  <w14:solidFill>
                    <w14:schemeClr w14:val="tx1"/>
                  </w14:solidFill>
                </w14:textFill>
              </w:rPr>
              <w:t>2025-2026年度生态环境空间管控排污许可数据应用服务</w:t>
            </w:r>
          </w:p>
          <w:p w14:paraId="00712386">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采购人名称：厦门市生态环境局</w:t>
            </w:r>
          </w:p>
          <w:p w14:paraId="6D613DC2">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采购人地址：厦门市思明区鹭江街道小学路158号                   </w:t>
            </w:r>
          </w:p>
          <w:p w14:paraId="0A661ADE">
            <w:pPr>
              <w:spacing w:line="360" w:lineRule="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lang w:eastAsia="zh-CN"/>
                <w14:textFill>
                  <w14:solidFill>
                    <w14:schemeClr w14:val="tx1"/>
                  </w14:solidFill>
                </w14:textFill>
              </w:rPr>
              <w:t>2025-2026年度生态环境空间管控排污许可数据应用服务</w:t>
            </w:r>
            <w:r>
              <w:rPr>
                <w:rFonts w:hint="eastAsia" w:ascii="宋体" w:hAnsi="宋体" w:cs="宋体"/>
                <w:color w:val="000000" w:themeColor="text1"/>
                <w:sz w:val="24"/>
                <w:szCs w:val="24"/>
                <w:highlight w:val="none"/>
                <w14:textFill>
                  <w14:solidFill>
                    <w14:schemeClr w14:val="tx1"/>
                  </w14:solidFill>
                </w14:textFill>
              </w:rPr>
              <w:t xml:space="preserve">                     </w:t>
            </w:r>
          </w:p>
          <w:p w14:paraId="40CF895B">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lang w:eastAsia="zh-CN"/>
                <w14:textFill>
                  <w14:solidFill>
                    <w14:schemeClr w14:val="tx1"/>
                  </w14:solidFill>
                </w14:textFill>
              </w:rPr>
              <w:t>XM2025-TZ0349</w:t>
            </w:r>
          </w:p>
        </w:tc>
      </w:tr>
      <w:tr w14:paraId="06EC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14:paraId="637253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vAlign w:val="center"/>
          </w:tcPr>
          <w:p w14:paraId="269C2E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7BC784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55728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60EB70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vAlign w:val="center"/>
          </w:tcPr>
          <w:p w14:paraId="1104E2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vAlign w:val="center"/>
          </w:tcPr>
          <w:p w14:paraId="774AB7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6BB379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价须知》第3条，以及第三章《采购内容及要求》有关内容。</w:t>
            </w:r>
          </w:p>
        </w:tc>
      </w:tr>
      <w:tr w14:paraId="0E62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14:paraId="4025A3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vAlign w:val="center"/>
          </w:tcPr>
          <w:p w14:paraId="2EA061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vAlign w:val="center"/>
          </w:tcPr>
          <w:p w14:paraId="0643B5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420DA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7A6E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316DEE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vAlign w:val="center"/>
          </w:tcPr>
          <w:p w14:paraId="50888D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vAlign w:val="center"/>
          </w:tcPr>
          <w:p w14:paraId="55AC1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37CC40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422B6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提交截止时间：详见磋商邀请。</w:t>
            </w:r>
          </w:p>
        </w:tc>
      </w:tr>
      <w:tr w14:paraId="5AA56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14:paraId="100B01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vAlign w:val="center"/>
          </w:tcPr>
          <w:p w14:paraId="798643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vAlign w:val="center"/>
          </w:tcPr>
          <w:p w14:paraId="66FB7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3EEE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vAlign w:val="center"/>
          </w:tcPr>
          <w:p w14:paraId="6FEF34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vAlign w:val="center"/>
          </w:tcPr>
          <w:p w14:paraId="156A16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tcPr>
          <w:p w14:paraId="1718DF1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06E957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w:t>
            </w:r>
            <w:r>
              <w:rPr>
                <w:rFonts w:hint="eastAsia" w:ascii="宋体" w:hAnsi="宋体" w:cs="宋体"/>
                <w:color w:val="000000" w:themeColor="text1"/>
                <w:sz w:val="24"/>
                <w:szCs w:val="24"/>
                <w:highlight w:val="none"/>
                <w:u w:val="singl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14:textFill>
                  <w14:solidFill>
                    <w14:schemeClr w14:val="tx1"/>
                  </w14:solidFill>
                </w14:textFill>
              </w:rPr>
              <w:t>须知前附表3》；</w:t>
            </w:r>
          </w:p>
        </w:tc>
      </w:tr>
      <w:tr w14:paraId="406F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vAlign w:val="center"/>
          </w:tcPr>
          <w:p w14:paraId="6364A5F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vAlign w:val="center"/>
          </w:tcPr>
          <w:p w14:paraId="06D8595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vAlign w:val="center"/>
          </w:tcPr>
          <w:p w14:paraId="4363D6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DE06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1C0381B1">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tcPr>
                <w:p w14:paraId="46C47DCE">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3A6F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2DDF4B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tcPr>
                <w:p w14:paraId="04A63E8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527EB5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58FE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0E316B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6B78A14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684BB4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A83D1A8">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4、若按上述标准计算后不足3000元的，按3000元收取。</w:t>
            </w:r>
          </w:p>
          <w:p w14:paraId="7667C0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FEF633D">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须知前附表2:资格性、符合性检查表</w:t>
      </w:r>
    </w:p>
    <w:p w14:paraId="0C7D2F0F">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的报价是否有效的重要依据。</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17229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734D3F0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374C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4C5AF7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4AC04D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38AEB6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7527CD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7C3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C3C39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tcPr>
          <w:p w14:paraId="367143A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57CBB4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tcPr>
          <w:p w14:paraId="16E35F2D">
            <w:pPr>
              <w:pStyle w:val="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w:t>
            </w:r>
            <w:r>
              <w:rPr>
                <w:rFonts w:hint="eastAsia" w:hAnsi="宋体" w:cs="宋体"/>
                <w:b/>
                <w:color w:val="000000" w:themeColor="text1"/>
                <w:sz w:val="24"/>
                <w:szCs w:val="24"/>
                <w:highlight w:val="none"/>
                <w:lang w:val="en-US" w:eastAsia="zh-CN"/>
                <w14:textFill>
                  <w14:solidFill>
                    <w14:schemeClr w14:val="tx1"/>
                  </w14:solidFill>
                </w14:textFill>
              </w:rPr>
              <w:t>供应商</w:t>
            </w:r>
          </w:p>
          <w:p w14:paraId="5561A5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497C1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26EF0C7B">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66BD76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706637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1F5CAC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147AA7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17B2E9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99608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8FD8A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FED20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22618C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669569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629686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303548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616AF2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66DF64B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57B077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07FA71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7AEAF4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17506E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697DD9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6F6F7F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2C2C86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3C36EF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A8052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5BCD82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0AE547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799D9A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19680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43003B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2D0BDC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6D74A9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39338B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4E66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1A099E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tcPr>
          <w:p w14:paraId="557E04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vAlign w:val="center"/>
          </w:tcPr>
          <w:p w14:paraId="4E09D0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76803449">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w:t>
            </w:r>
            <w:r>
              <w:rPr>
                <w:rFonts w:hint="eastAsia" w:ascii="宋体" w:hAnsi="宋体" w:cs="宋体"/>
                <w:color w:val="000000" w:themeColor="text1"/>
                <w:sz w:val="24"/>
                <w:szCs w:val="24"/>
                <w:highlight w:val="none"/>
                <w:lang w:eastAsia="zh-CN"/>
                <w14:textFill>
                  <w14:solidFill>
                    <w14:schemeClr w14:val="tx1"/>
                  </w14:solidFill>
                </w14:textFill>
              </w:rPr>
              <w:t>信用中国(福建厦门)（credit.xm.gov.cn）</w:t>
            </w:r>
            <w:r>
              <w:rPr>
                <w:rFonts w:hint="eastAsia" w:ascii="宋体" w:hAnsi="宋体" w:eastAsia="宋体" w:cs="宋体"/>
                <w:color w:val="000000" w:themeColor="text1"/>
                <w:sz w:val="24"/>
                <w:szCs w:val="24"/>
                <w:highlight w:val="none"/>
                <w14:textFill>
                  <w14:solidFill>
                    <w14:schemeClr w14:val="tx1"/>
                  </w14:solidFill>
                </w14:textFill>
              </w:rPr>
              <w:t>查询并打印</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信用记录（以下简称：“评审专家的查询结果”）。②查询结果存在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存在不良信用记录应被拒绝参与政府采购活动相关信息的，其资格审查不合格。</w:t>
            </w:r>
          </w:p>
        </w:tc>
      </w:tr>
      <w:tr w14:paraId="7959C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14:paraId="28E5CB6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614E5C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07C61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52960D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vAlign w:val="center"/>
          </w:tcPr>
          <w:p w14:paraId="3C2864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vAlign w:val="center"/>
          </w:tcPr>
          <w:p w14:paraId="038751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vAlign w:val="center"/>
          </w:tcPr>
          <w:p w14:paraId="6AF01E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A91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6670B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vAlign w:val="center"/>
          </w:tcPr>
          <w:p w14:paraId="5D164C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vAlign w:val="center"/>
          </w:tcPr>
          <w:p w14:paraId="2850B8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tcPr>
          <w:p w14:paraId="33C5E9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未按规定的响应截止时间之前提交的，其响应将被拒绝。</w:t>
            </w:r>
          </w:p>
        </w:tc>
      </w:tr>
      <w:tr w14:paraId="7F857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0B099B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vAlign w:val="center"/>
          </w:tcPr>
          <w:p w14:paraId="402954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239D7D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tcPr>
          <w:p w14:paraId="34DCD48A">
            <w:pPr>
              <w:pStyle w:val="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0A7261D7">
            <w:pPr>
              <w:pStyle w:val="3"/>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可被作响应无效处理。</w:t>
            </w:r>
          </w:p>
          <w:p w14:paraId="20A43A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tc>
      </w:tr>
      <w:tr w14:paraId="27154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164FF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vAlign w:val="center"/>
          </w:tcPr>
          <w:p w14:paraId="390B3F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69464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tcPr>
          <w:p w14:paraId="39AF4E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有效期：</w:t>
            </w:r>
          </w:p>
          <w:p w14:paraId="165C4D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5A933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被拒绝。</w:t>
            </w:r>
          </w:p>
        </w:tc>
      </w:tr>
      <w:tr w14:paraId="5596E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357586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vAlign w:val="center"/>
          </w:tcPr>
          <w:p w14:paraId="25A16B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3DA77B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tcPr>
          <w:p w14:paraId="22C9DFF1">
            <w:pPr>
              <w:pStyle w:val="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6FE3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05B24E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vAlign w:val="center"/>
          </w:tcPr>
          <w:p w14:paraId="77DDE8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51F885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tcPr>
          <w:p w14:paraId="63862927">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字迹模糊不清的，其磋商响应将被拒绝。</w:t>
            </w:r>
          </w:p>
        </w:tc>
      </w:tr>
      <w:tr w14:paraId="2CE1B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706777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vAlign w:val="center"/>
          </w:tcPr>
          <w:p w14:paraId="3FCD32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1C0A4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tcPr>
          <w:p w14:paraId="7383C171">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14.1 </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应将</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名称、采购项目名称及“正本”或“副本”。</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未密封可导致其磋商被拒绝。</w:t>
            </w:r>
          </w:p>
          <w:p w14:paraId="67F63889">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为无效</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，将被拒绝。</w:t>
            </w:r>
          </w:p>
          <w:p w14:paraId="6FBE03C0">
            <w:pPr>
              <w:pStyle w:val="71"/>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在磋商响应截止期后不得修改、撤回</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在报价截止期后修改</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的，其磋商响应将被拒绝。</w:t>
            </w:r>
          </w:p>
        </w:tc>
      </w:tr>
      <w:tr w14:paraId="6D5CE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60B39D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vAlign w:val="center"/>
          </w:tcPr>
          <w:p w14:paraId="7805BB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70D984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tcPr>
          <w:p w14:paraId="33C3FF8F">
            <w:pPr>
              <w:pStyle w:val="3"/>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w:t>
            </w:r>
            <w:r>
              <w:rPr>
                <w:rFonts w:hint="eastAsia" w:hAnsi="宋体" w:cs="宋体"/>
                <w:b/>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b/>
                <w:color w:val="000000" w:themeColor="text1"/>
                <w:sz w:val="24"/>
                <w:szCs w:val="24"/>
                <w:highlight w:val="none"/>
                <w:lang w:val="en-US" w:eastAsia="zh-CN"/>
                <w14:textFill>
                  <w14:solidFill>
                    <w14:schemeClr w14:val="tx1"/>
                  </w14:solidFill>
                </w14:textFill>
              </w:rPr>
              <w:t>的初审</w:t>
            </w:r>
          </w:p>
          <w:p w14:paraId="11A9C3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5B639A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27EDA0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7A075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4EC8FC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7E40C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59BC21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D6938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587A5BF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758894B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24C8B2E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2507B09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1D4656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7E17FE6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6FB400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41C2D0C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3328506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6C7BA63">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0529E735">
            <w:pPr>
              <w:pStyle w:val="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提交的</w:t>
            </w:r>
            <w:r>
              <w:rPr>
                <w:rFonts w:hint="eastAsia" w:hAnsi="宋体" w:cs="宋体"/>
                <w:color w:val="000000" w:themeColor="text1"/>
                <w:sz w:val="24"/>
                <w:szCs w:val="24"/>
                <w:highlight w:val="none"/>
                <w:lang w:val="en-US" w:eastAsia="zh-CN"/>
                <w14:textFill>
                  <w14:solidFill>
                    <w14:schemeClr w14:val="tx1"/>
                  </w14:solidFill>
                </w14:textFill>
              </w:rPr>
              <w:t>磋商响应文件</w:t>
            </w:r>
            <w:r>
              <w:rPr>
                <w:rFonts w:hint="eastAsia" w:hAnsi="宋体" w:eastAsia="宋体" w:cs="宋体"/>
                <w:color w:val="000000" w:themeColor="text1"/>
                <w:sz w:val="24"/>
                <w:szCs w:val="24"/>
                <w:highlight w:val="none"/>
                <w:lang w:val="en-US" w:eastAsia="zh-CN"/>
                <w14:textFill>
                  <w14:solidFill>
                    <w14:schemeClr w14:val="tx1"/>
                  </w14:solidFill>
                </w14:textFill>
              </w:rPr>
              <w:t>将给予保密，但不予退回。</w:t>
            </w:r>
          </w:p>
          <w:p w14:paraId="0F1814C5">
            <w:pPr>
              <w:pStyle w:val="7"/>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w:t>
            </w:r>
            <w:r>
              <w:rPr>
                <w:rFonts w:hint="eastAsia" w:cs="宋体"/>
                <w:color w:val="000000" w:themeColor="text1"/>
                <w:sz w:val="24"/>
                <w:szCs w:val="24"/>
                <w:highlight w:val="none"/>
                <w:lang w:val="en-US" w:eastAsia="zh-CN"/>
                <w14:textFill>
                  <w14:solidFill>
                    <w14:schemeClr w14:val="tx1"/>
                  </w14:solidFill>
                </w14:textFill>
              </w:rPr>
              <w:t>供应商</w:t>
            </w:r>
            <w:r>
              <w:rPr>
                <w:rFonts w:hint="eastAsia" w:eastAsia="宋体" w:cs="宋体"/>
                <w:color w:val="000000" w:themeColor="text1"/>
                <w:sz w:val="24"/>
                <w:szCs w:val="24"/>
                <w:highlight w:val="none"/>
                <w:lang w:val="en-US" w:eastAsia="zh-CN"/>
                <w14:textFill>
                  <w14:solidFill>
                    <w14:schemeClr w14:val="tx1"/>
                  </w14:solidFill>
                </w14:textFill>
              </w:rPr>
              <w:t>资格和报价产品均必须满足中华人民共和国相关法律法规及行业的强制性要求，否则将作无效响应处理。</w:t>
            </w:r>
          </w:p>
        </w:tc>
      </w:tr>
      <w:tr w14:paraId="7F90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14:paraId="2ED9A7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vAlign w:val="center"/>
          </w:tcPr>
          <w:p w14:paraId="27F53DC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vAlign w:val="center"/>
          </w:tcPr>
          <w:p w14:paraId="139819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tcPr>
          <w:p w14:paraId="416E87FC">
            <w:pPr>
              <w:pStyle w:val="3"/>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应按磋商小组要求作出书面说明并提供相关证明材料，不能合理说明或不能提供相关证明材料的，可作无效报价处理。</w:t>
            </w:r>
          </w:p>
        </w:tc>
      </w:tr>
      <w:tr w14:paraId="7583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6C7E1FA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tcPr>
          <w:p w14:paraId="6376FD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79644F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16A79371">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应符合“资格性要求”部分做资格审查，没有提供相关证明文件或文件未按规定签署盖章者将导致报价无效。</w:t>
            </w:r>
          </w:p>
        </w:tc>
      </w:tr>
      <w:tr w14:paraId="499B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0D6EB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tcPr>
          <w:p w14:paraId="16CB79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tcPr>
          <w:p w14:paraId="43A505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tcPr>
          <w:p w14:paraId="7F6BC3C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对这些关键性条款还存在任何负偏离或不满足将导致报价无效。</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必须自行承担责任。</w:t>
            </w:r>
          </w:p>
        </w:tc>
      </w:tr>
      <w:tr w14:paraId="5CFE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7E4439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tcPr>
          <w:p w14:paraId="16C9E43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6E53A6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6DACAFDF">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应按照采购文件格式要求在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为联合体的，联合体各方均应提供《廉洁承诺书》原件），否则作无效报价处理。</w:t>
            </w:r>
          </w:p>
        </w:tc>
      </w:tr>
      <w:tr w14:paraId="20144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8B0DC51">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tcPr>
          <w:p w14:paraId="54893E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3D6354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0566EB3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060A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59E0186E">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tcPr>
          <w:p w14:paraId="3650E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493FA4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73FEB8F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6FDF9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0FD90509">
            <w:pPr>
              <w:spacing w:line="360" w:lineRule="auto"/>
              <w:jc w:val="center"/>
              <w:rPr>
                <w:rFonts w:hint="eastAsia" w:ascii="宋体" w:hAnsi="宋体" w:cs="宋体"/>
                <w:color w:val="000000" w:themeColor="text1"/>
                <w:sz w:val="24"/>
                <w:szCs w:val="24"/>
                <w:highlight w:val="none"/>
                <w:lang w:val="en-US" w:eastAsia="zh-CN"/>
                <w14:textFill>
                  <w14:solidFill>
                    <w14:schemeClr w14:val="tx1"/>
                  </w14:solidFill>
                </w14:textFill>
              </w:rPr>
            </w:pPr>
          </w:p>
        </w:tc>
        <w:tc>
          <w:tcPr>
            <w:tcW w:w="456" w:type="dxa"/>
            <w:tcBorders>
              <w:top w:val="single" w:color="auto" w:sz="4" w:space="0"/>
              <w:left w:val="single" w:color="auto" w:sz="4" w:space="0"/>
              <w:bottom w:val="single" w:color="auto" w:sz="4" w:space="0"/>
              <w:right w:val="single" w:color="auto" w:sz="4" w:space="0"/>
            </w:tcBorders>
          </w:tcPr>
          <w:p w14:paraId="0B977B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58D097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293BC9A6">
            <w:pPr>
              <w:widowControl/>
              <w:spacing w:line="360" w:lineRule="auto"/>
              <w:ind w:left="0"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★3.3供应商承诺在成交后，自行</w:t>
            </w:r>
            <w:r>
              <w:rPr>
                <w:rFonts w:hint="eastAsia" w:ascii="宋体" w:hAnsi="宋体" w:cs="宋体"/>
                <w:b/>
                <w:bCs/>
                <w:color w:val="000000" w:themeColor="text1"/>
                <w:kern w:val="0"/>
                <w:sz w:val="24"/>
                <w:szCs w:val="24"/>
                <w:highlight w:val="none"/>
                <w:lang w:eastAsia="zh-CN"/>
                <w14:textFill>
                  <w14:solidFill>
                    <w14:schemeClr w14:val="tx1"/>
                  </w14:solidFill>
                </w14:textFill>
              </w:rPr>
              <w:t>负责</w:t>
            </w:r>
            <w:r>
              <w:rPr>
                <w:rFonts w:hint="eastAsia" w:ascii="宋体" w:hAnsi="宋体" w:cs="宋体"/>
                <w:b/>
                <w:bCs/>
                <w:color w:val="000000" w:themeColor="text1"/>
                <w:kern w:val="0"/>
                <w:sz w:val="24"/>
                <w:szCs w:val="24"/>
                <w:highlight w:val="none"/>
                <w14:textFill>
                  <w14:solidFill>
                    <w14:schemeClr w14:val="tx1"/>
                  </w14:solidFill>
                </w14:textFill>
              </w:rPr>
              <w:t>获取厦门市排污许可数据，且所产生的费用由成交供应商自行承担，采购人将不再追加价款。（须提供书面承诺</w:t>
            </w:r>
            <w:r>
              <w:rPr>
                <w:rFonts w:hint="eastAsia" w:ascii="宋体" w:hAnsi="宋体" w:cs="宋体"/>
                <w:b/>
                <w:bCs/>
                <w:color w:val="000000" w:themeColor="text1"/>
                <w:kern w:val="0"/>
                <w:sz w:val="24"/>
                <w:szCs w:val="24"/>
                <w:highlight w:val="none"/>
                <w:lang w:val="en-US" w:eastAsia="zh-CN"/>
                <w14:textFill>
                  <w14:solidFill>
                    <w14:schemeClr w14:val="tx1"/>
                  </w14:solidFill>
                </w14:textFill>
              </w:rPr>
              <w:t>并加盖单位公章</w:t>
            </w:r>
            <w:r>
              <w:rPr>
                <w:rFonts w:hint="eastAsia" w:ascii="宋体" w:hAnsi="宋体" w:cs="宋体"/>
                <w:b/>
                <w:bCs/>
                <w:color w:val="000000" w:themeColor="text1"/>
                <w:kern w:val="0"/>
                <w:sz w:val="24"/>
                <w:szCs w:val="24"/>
                <w:highlight w:val="none"/>
                <w14:textFill>
                  <w14:solidFill>
                    <w14:schemeClr w14:val="tx1"/>
                  </w14:solidFill>
                </w14:textFill>
              </w:rPr>
              <w:t>，格式自拟）</w:t>
            </w:r>
          </w:p>
        </w:tc>
      </w:tr>
      <w:tr w14:paraId="7BCB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14:paraId="395F79B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tcPr>
          <w:p w14:paraId="0A20B7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tcPr>
          <w:p w14:paraId="2B20132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tcPr>
          <w:p w14:paraId="024CC88F">
            <w:pPr>
              <w:spacing w:line="360" w:lineRule="auto"/>
              <w:ind w:left="69"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w:t>
            </w:r>
            <w:r>
              <w:rPr>
                <w:rFonts w:hint="eastAsia" w:ascii="宋体" w:hAnsi="宋体" w:cs="宋体"/>
                <w:b/>
                <w:bCs/>
                <w:color w:val="000000" w:themeColor="text1"/>
                <w:kern w:val="0"/>
                <w:sz w:val="24"/>
                <w:szCs w:val="24"/>
                <w:highlight w:val="none"/>
                <w:lang w:val="en-US" w:eastAsia="zh-CN"/>
                <w14:textFill>
                  <w14:solidFill>
                    <w14:schemeClr w14:val="tx1"/>
                  </w14:solidFill>
                </w14:textFill>
              </w:rPr>
              <w:t>6.</w:t>
            </w:r>
            <w:r>
              <w:rPr>
                <w:rFonts w:hint="eastAsia" w:ascii="宋体" w:hAnsi="宋体" w:cs="宋体"/>
                <w:b/>
                <w:bCs/>
                <w:color w:val="000000" w:themeColor="text1"/>
                <w:kern w:val="0"/>
                <w:sz w:val="24"/>
                <w:szCs w:val="24"/>
                <w:highlight w:val="none"/>
                <w14:textFill>
                  <w14:solidFill>
                    <w14:schemeClr w14:val="tx1"/>
                  </w14:solidFill>
                </w14:textFill>
              </w:rPr>
              <w:t>1本采购项目的采购预算为人民币27.8万元整，采购预算为供应商任一轮报价（包括但不限于响应文件中的报价以及供应商提交的最后报价）的最高限价，供应商任一轮报价超过采购预算的，其响应文件将作无效报价处理。</w:t>
            </w:r>
          </w:p>
        </w:tc>
      </w:tr>
    </w:tbl>
    <w:p w14:paraId="510D3D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2E1B5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9362B9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73DE8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B1A8D9">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B7C9BF6">
      <w:pPr>
        <w:spacing w:line="360" w:lineRule="auto"/>
        <w:ind w:left="0" w:firstLine="0" w:firstLineChars="0"/>
        <w:rPr>
          <w:rStyle w:val="30"/>
          <w:rFonts w:hint="eastAsia" w:ascii="宋体" w:hAnsi="宋体" w:eastAsia="宋体" w:cs="宋体"/>
          <w:bCs w:val="0"/>
          <w:color w:val="000000" w:themeColor="text1"/>
          <w:sz w:val="24"/>
          <w:szCs w:val="24"/>
          <w:highlight w:val="none"/>
          <w14:textFill>
            <w14:solidFill>
              <w14:schemeClr w14:val="tx1"/>
            </w14:solidFill>
          </w14:textFill>
        </w:rPr>
      </w:pPr>
    </w:p>
    <w:p w14:paraId="3D51B81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9E0D0B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7927A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F0D9E1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FB5354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24E278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5383FA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E665FCF">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u w:val="single"/>
          <w14:textFill>
            <w14:solidFill>
              <w14:schemeClr w14:val="tx1"/>
            </w14:solidFill>
          </w14:textFill>
        </w:rPr>
        <w:t>须知前附表3：磋商规则、评审标准</w:t>
      </w:r>
    </w:p>
    <w:tbl>
      <w:tblPr>
        <w:tblStyle w:val="2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1DD9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2EE3C5A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087F4F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按照采购文件规定提交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p w14:paraId="044368A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进行资格性和符合性审查，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”条款要求，不进入磋商程序；磋商小组在对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的有效性、完整性和响应程度进行审查时，可以要求</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中含义不明确、同类问题表述不一致或者有明显文字和计算错误的内容等作出必要的澄清、说明或者更正。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需以书面形式作出澄清、说明或者更正，但澄清、说明或者更正不得超出</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的范围或者改变</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的实质性内容，同时也不接受</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主动澄清。符合实质性响应要求的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进入磋商程序。 </w:t>
            </w:r>
          </w:p>
          <w:p w14:paraId="2E84FE6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分别进行磋商，磋商顺序采用随机抽取的方法确认。</w:t>
            </w:r>
          </w:p>
          <w:p w14:paraId="630DB3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提出重点的磋商内容，根据采购文件及有关规定，磋商小组与进入磋商程序的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进行一轮或多轮磋商。</w:t>
            </w:r>
          </w:p>
          <w:p w14:paraId="1E8048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下一轮磋商时间。</w:t>
            </w:r>
          </w:p>
          <w:p w14:paraId="3E538D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34AF21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62B581EA">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递交的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澄清、更正等文件、最终报价应予密封并交至采购代理机构指定人员，报价部分单独密封。采购代理机构工作人员在收齐全部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材料后，统一送达磋商小组。</w:t>
            </w:r>
          </w:p>
          <w:p w14:paraId="1795F15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后，由磋商小组采用综合评分法对提交最后报价的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和最后报价进行综合评分。</w:t>
            </w:r>
          </w:p>
          <w:p w14:paraId="18826F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签署</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的应该是采购文件要求的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代表，磋商时应出示身份证原件。</w:t>
            </w:r>
          </w:p>
          <w:p w14:paraId="076D3C2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5A15E7FD">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692FBE9B">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281D789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3A7F6CCD">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40661C61">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.采用竞争性磋商采购方式的政府购买服务项目，在采购过程中符合要求的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只有1家的，应当终止竞争性采购活动，发布终止公告并说明原因，重新开展采购活动。 </w:t>
            </w:r>
          </w:p>
        </w:tc>
      </w:tr>
      <w:tr w14:paraId="5BA99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tcPr>
          <w:p w14:paraId="705FC53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560944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708767E5">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1F0F50E">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57F18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trPr>
        <w:tc>
          <w:tcPr>
            <w:tcW w:w="8613" w:type="dxa"/>
          </w:tcPr>
          <w:p w14:paraId="7EE154A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2ACC8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170C0D3E">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0D45CB9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64FBADBC">
      <w:pPr>
        <w:pStyle w:val="5"/>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313DD89">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3D2D5216">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39D38F91">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01A9CA68">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7"/>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7460"/>
        <w:gridCol w:w="763"/>
      </w:tblGrid>
      <w:tr w14:paraId="7DAE7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880" w:type="dxa"/>
            <w:vAlign w:val="center"/>
          </w:tcPr>
          <w:p w14:paraId="256E2B81">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序号</w:t>
            </w:r>
          </w:p>
        </w:tc>
        <w:tc>
          <w:tcPr>
            <w:tcW w:w="7460" w:type="dxa"/>
            <w:vAlign w:val="center"/>
          </w:tcPr>
          <w:p w14:paraId="7AD5416B">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细则内容</w:t>
            </w:r>
          </w:p>
        </w:tc>
        <w:tc>
          <w:tcPr>
            <w:tcW w:w="763" w:type="dxa"/>
            <w:vAlign w:val="center"/>
          </w:tcPr>
          <w:p w14:paraId="241B9F92">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分值</w:t>
            </w:r>
          </w:p>
        </w:tc>
      </w:tr>
      <w:tr w14:paraId="523BA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3552886C">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w:t>
            </w:r>
          </w:p>
        </w:tc>
        <w:tc>
          <w:tcPr>
            <w:tcW w:w="7460" w:type="dxa"/>
            <w:vAlign w:val="center"/>
          </w:tcPr>
          <w:p w14:paraId="5C693593">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根据供应商对采购文件第三章“2.</w:t>
            </w:r>
            <w:r>
              <w:rPr>
                <w:rFonts w:hint="eastAsia" w:ascii="宋体" w:hAnsi="宋体"/>
                <w:color w:val="000000" w:themeColor="text1"/>
                <w:sz w:val="24"/>
                <w:highlight w:val="none"/>
                <w:lang w:val="en-US" w:eastAsia="zh-CN"/>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.2详细功能描述”中“工作事项”的响应承诺情况进行评价：共计25项要求，供应商每满足一项得1分，满分25分。供应商需提供书面承诺（格式自拟）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，否则不得分。</w:t>
            </w:r>
          </w:p>
        </w:tc>
        <w:tc>
          <w:tcPr>
            <w:tcW w:w="763" w:type="dxa"/>
            <w:vAlign w:val="center"/>
          </w:tcPr>
          <w:p w14:paraId="008D4C20">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25分</w:t>
            </w:r>
          </w:p>
        </w:tc>
      </w:tr>
      <w:tr w14:paraId="0AA0B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7CF9E618">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1-2</w:t>
            </w:r>
          </w:p>
        </w:tc>
        <w:tc>
          <w:tcPr>
            <w:tcW w:w="7460" w:type="dxa"/>
            <w:vAlign w:val="center"/>
          </w:tcPr>
          <w:p w14:paraId="18C0946F">
            <w:pPr>
              <w:tabs>
                <w:tab w:val="left" w:pos="2041"/>
                <w:tab w:val="left" w:pos="5907"/>
                <w:tab w:val="left" w:pos="9344"/>
              </w:tabs>
              <w:spacing w:line="480" w:lineRule="atLeast"/>
              <w:rPr>
                <w:rFonts w:hint="eastAsia"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w:t>
            </w:r>
            <w:r>
              <w:rPr>
                <w:rFonts w:hint="eastAsia" w:ascii="宋体" w:hAnsi="宋体"/>
                <w:color w:val="000000" w:themeColor="text1"/>
                <w:sz w:val="24"/>
                <w:highlight w:val="none"/>
                <w:lang w:val="en-US" w:eastAsia="zh-CN"/>
                <w14:textFill>
                  <w14:solidFill>
                    <w14:schemeClr w14:val="tx1"/>
                  </w14:solidFill>
                </w14:textFill>
              </w:rPr>
              <w:t>针对</w:t>
            </w:r>
            <w:r>
              <w:rPr>
                <w:rFonts w:hint="eastAsia" w:ascii="宋体" w:hAnsi="宋体"/>
                <w:color w:val="000000" w:themeColor="text1"/>
                <w:sz w:val="24"/>
                <w:highlight w:val="none"/>
                <w14:textFill>
                  <w14:solidFill>
                    <w14:schemeClr w14:val="tx1"/>
                  </w14:solidFill>
                </w14:textFill>
              </w:rPr>
              <w:t>本项目熟悉程度情况进行评价： ①对该项内容有</w:t>
            </w:r>
            <w:r>
              <w:rPr>
                <w:rFonts w:hint="eastAsia" w:ascii="宋体" w:hAnsi="宋体"/>
                <w:color w:val="000000" w:themeColor="text1"/>
                <w:sz w:val="24"/>
                <w:highlight w:val="none"/>
                <w:lang w:val="en-US" w:eastAsia="zh-CN"/>
                <w14:textFill>
                  <w14:solidFill>
                    <w14:schemeClr w14:val="tx1"/>
                  </w14:solidFill>
                </w14:textFill>
              </w:rPr>
              <w:t>作</w:t>
            </w:r>
            <w:r>
              <w:rPr>
                <w:rFonts w:hint="eastAsia" w:ascii="宋体" w:hAnsi="宋体"/>
                <w:color w:val="000000" w:themeColor="text1"/>
                <w:sz w:val="24"/>
                <w:highlight w:val="none"/>
                <w14:textFill>
                  <w14:solidFill>
                    <w14:schemeClr w14:val="tx1"/>
                  </w14:solidFill>
                </w14:textFill>
              </w:rPr>
              <w:t>出响应，提供本项目熟悉程度情况</w:t>
            </w:r>
            <w:r>
              <w:rPr>
                <w:rFonts w:hint="eastAsia" w:ascii="宋体" w:hAnsi="宋体"/>
                <w:color w:val="000000" w:themeColor="text1"/>
                <w:sz w:val="24"/>
                <w:highlight w:val="none"/>
                <w:lang w:val="en-US" w:eastAsia="zh-CN"/>
                <w14:textFill>
                  <w14:solidFill>
                    <w14:schemeClr w14:val="tx1"/>
                  </w14:solidFill>
                </w14:textFill>
              </w:rPr>
              <w:t>介绍</w:t>
            </w:r>
            <w:r>
              <w:rPr>
                <w:rFonts w:hint="eastAsia" w:ascii="宋体" w:hAnsi="宋体"/>
                <w:color w:val="000000" w:themeColor="text1"/>
                <w:sz w:val="24"/>
                <w:highlight w:val="none"/>
                <w14:textFill>
                  <w14:solidFill>
                    <w14:schemeClr w14:val="tx1"/>
                  </w14:solidFill>
                </w14:textFill>
              </w:rPr>
              <w:t>的得1分； ②在满足①的基础上，熟悉程度情况中包括但不限于项目背景、项目概况、项目目标、项目进展的得3分；③未提供相关内容或提供的内容不符合本项目</w:t>
            </w:r>
            <w:r>
              <w:rPr>
                <w:rFonts w:hint="eastAsia" w:ascii="宋体" w:hAnsi="宋体"/>
                <w:color w:val="000000" w:themeColor="text1"/>
                <w:sz w:val="24"/>
                <w:highlight w:val="none"/>
                <w:lang w:val="en-US" w:eastAsia="zh-CN"/>
                <w14:textFill>
                  <w14:solidFill>
                    <w14:schemeClr w14:val="tx1"/>
                  </w14:solidFill>
                </w14:textFill>
              </w:rPr>
              <w:t>内容</w:t>
            </w:r>
            <w:r>
              <w:rPr>
                <w:rFonts w:hint="eastAsia" w:ascii="宋体" w:hAnsi="宋体"/>
                <w:color w:val="000000" w:themeColor="text1"/>
                <w:sz w:val="24"/>
                <w:highlight w:val="none"/>
                <w14:textFill>
                  <w14:solidFill>
                    <w14:schemeClr w14:val="tx1"/>
                  </w14:solidFill>
                </w14:textFill>
              </w:rPr>
              <w:t>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1571D2DE">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604C2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27C17BE0">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1-3</w:t>
            </w:r>
          </w:p>
        </w:tc>
        <w:tc>
          <w:tcPr>
            <w:tcW w:w="7460" w:type="dxa"/>
            <w:vAlign w:val="center"/>
          </w:tcPr>
          <w:p w14:paraId="33617C60">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根据供应商提供的本项目重点难点分析方案进行评价：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，提供本项目重点难点分析方案</w:t>
            </w:r>
            <w:r>
              <w:rPr>
                <w:rFonts w:hint="eastAsia" w:ascii="宋体" w:hAnsi="宋体"/>
                <w:color w:val="000000" w:themeColor="text1"/>
                <w:sz w:val="24"/>
                <w:highlight w:val="none"/>
                <w:lang w:val="en-US" w:eastAsia="zh-CN"/>
                <w14:textFill>
                  <w14:solidFill>
                    <w14:schemeClr w14:val="tx1"/>
                  </w14:solidFill>
                </w14:textFill>
              </w:rPr>
              <w:t>的</w:t>
            </w:r>
            <w:r>
              <w:rPr>
                <w:rFonts w:hint="eastAsia" w:ascii="宋体" w:hAnsi="宋体"/>
                <w:color w:val="000000" w:themeColor="text1"/>
                <w:sz w:val="24"/>
                <w:highlight w:val="none"/>
                <w14:textFill>
                  <w14:solidFill>
                    <w14:schemeClr w14:val="tx1"/>
                  </w14:solidFill>
                </w14:textFill>
              </w:rPr>
              <w:t>得1分； ②在满足①的基础上，详细阐述项目的重点及难点的解决方案，有针对性的应急处理机制</w:t>
            </w:r>
            <w:r>
              <w:rPr>
                <w:rFonts w:hint="eastAsia" w:ascii="宋体" w:hAnsi="宋体"/>
                <w:color w:val="000000" w:themeColor="text1"/>
                <w:sz w:val="24"/>
                <w:highlight w:val="none"/>
                <w:lang w:val="en-US" w:eastAsia="zh-CN"/>
                <w14:textFill>
                  <w14:solidFill>
                    <w14:schemeClr w14:val="tx1"/>
                  </w14:solidFill>
                </w14:textFill>
              </w:rPr>
              <w:t>及措施的</w:t>
            </w:r>
            <w:r>
              <w:rPr>
                <w:rFonts w:hint="eastAsia" w:ascii="宋体" w:hAnsi="宋体"/>
                <w:color w:val="000000" w:themeColor="text1"/>
                <w:sz w:val="24"/>
                <w:highlight w:val="none"/>
                <w14:textFill>
                  <w14:solidFill>
                    <w14:schemeClr w14:val="tx1"/>
                  </w14:solidFill>
                </w14:textFill>
              </w:rPr>
              <w:t>，得3分；③未提供相关内容或提供的内容不符合本项目要求的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4FBADF0E">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0FE93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7C0A00B3">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1-4</w:t>
            </w:r>
          </w:p>
        </w:tc>
        <w:tc>
          <w:tcPr>
            <w:tcW w:w="7460" w:type="dxa"/>
            <w:vAlign w:val="center"/>
          </w:tcPr>
          <w:p w14:paraId="374ABA5B">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根据供应商提供的本项目总体技术方案进行评价：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，提供本项目总体技术方案的得1分； ②在满足①的基础上，总体技术方案中包括但不限于服务内容、服务时间、服务方式、技术保障措施，</w:t>
            </w:r>
            <w:r>
              <w:rPr>
                <w:rFonts w:hint="eastAsia" w:ascii="宋体" w:hAnsi="宋体"/>
                <w:color w:val="000000" w:themeColor="text1"/>
                <w:sz w:val="24"/>
                <w:highlight w:val="none"/>
                <w:lang w:val="en-US" w:eastAsia="zh-CN"/>
                <w14:textFill>
                  <w14:solidFill>
                    <w14:schemeClr w14:val="tx1"/>
                  </w14:solidFill>
                </w14:textFill>
              </w:rPr>
              <w:t>方案详细具体、</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56C7B235">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61D18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4DCCAD8C">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1-5</w:t>
            </w:r>
          </w:p>
        </w:tc>
        <w:tc>
          <w:tcPr>
            <w:tcW w:w="7460" w:type="dxa"/>
            <w:vAlign w:val="center"/>
          </w:tcPr>
          <w:p w14:paraId="3D2CA780">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根据供应商提供的本项目服务质量保证措施情况进行评价：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，提供本项目服务质量保证措施的得1分； ②在满足①的基础上，服务质量保证措施情况中包括但不限于提升项目服务质量</w:t>
            </w:r>
            <w:r>
              <w:rPr>
                <w:rFonts w:hint="eastAsia" w:ascii="宋体" w:hAnsi="宋体"/>
                <w:color w:val="000000" w:themeColor="text1"/>
                <w:sz w:val="24"/>
                <w:highlight w:val="none"/>
                <w:lang w:val="en-US" w:eastAsia="zh-CN"/>
                <w14:textFill>
                  <w14:solidFill>
                    <w14:schemeClr w14:val="tx1"/>
                  </w14:solidFill>
                </w14:textFill>
              </w:rPr>
              <w:t>措施</w:t>
            </w:r>
            <w:r>
              <w:rPr>
                <w:rFonts w:hint="eastAsia" w:ascii="宋体" w:hAnsi="宋体"/>
                <w:color w:val="000000" w:themeColor="text1"/>
                <w:sz w:val="24"/>
                <w:highlight w:val="none"/>
                <w14:textFill>
                  <w14:solidFill>
                    <w14:schemeClr w14:val="tx1"/>
                  </w14:solidFill>
                </w14:textFill>
              </w:rPr>
              <w:t>，措施</w:t>
            </w:r>
            <w:r>
              <w:rPr>
                <w:rFonts w:hint="eastAsia" w:ascii="宋体" w:hAnsi="宋体"/>
                <w:color w:val="000000" w:themeColor="text1"/>
                <w:sz w:val="24"/>
                <w:highlight w:val="none"/>
                <w:lang w:val="en-US" w:eastAsia="zh-CN"/>
                <w14:textFill>
                  <w14:solidFill>
                    <w14:schemeClr w14:val="tx1"/>
                  </w14:solidFill>
                </w14:textFill>
              </w:rPr>
              <w:t>具体、有针对性</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5C3DF613">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71FE2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713ED950">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1-6</w:t>
            </w:r>
          </w:p>
        </w:tc>
        <w:tc>
          <w:tcPr>
            <w:tcW w:w="7460" w:type="dxa"/>
            <w:vAlign w:val="center"/>
          </w:tcPr>
          <w:p w14:paraId="1F8C3E27">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根据供应商提供的本项目整体工作阶段及任务划分、进度控制、关键时间节点把握情况进行评价：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，提供本项目整体工作阶段及任务划分、进度控制、关键时间节点把握情况的得1分； ②在满足①的基础上，本项目整体工作阶段及任务划分</w:t>
            </w:r>
            <w:r>
              <w:rPr>
                <w:rFonts w:hint="eastAsia" w:ascii="宋体" w:hAnsi="宋体"/>
                <w:color w:val="000000" w:themeColor="text1"/>
                <w:sz w:val="24"/>
                <w:highlight w:val="none"/>
                <w:lang w:val="en-US" w:eastAsia="zh-CN"/>
                <w14:textFill>
                  <w14:solidFill>
                    <w14:schemeClr w14:val="tx1"/>
                  </w14:solidFill>
                </w14:textFill>
              </w:rPr>
              <w:t>详细具体</w:t>
            </w:r>
            <w:r>
              <w:rPr>
                <w:rFonts w:hint="eastAsia" w:ascii="宋体" w:hAnsi="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有提供</w:t>
            </w:r>
            <w:r>
              <w:rPr>
                <w:rFonts w:hint="eastAsia" w:ascii="宋体" w:hAnsi="宋体"/>
                <w:color w:val="000000" w:themeColor="text1"/>
                <w:sz w:val="24"/>
                <w:highlight w:val="none"/>
                <w14:textFill>
                  <w14:solidFill>
                    <w14:schemeClr w14:val="tx1"/>
                  </w14:solidFill>
                </w14:textFill>
              </w:rPr>
              <w:t>进度控制</w:t>
            </w:r>
            <w:r>
              <w:rPr>
                <w:rFonts w:hint="eastAsia" w:ascii="宋体" w:hAnsi="宋体"/>
                <w:color w:val="000000" w:themeColor="text1"/>
                <w:sz w:val="24"/>
                <w:highlight w:val="none"/>
                <w:lang w:val="en-US" w:eastAsia="zh-CN"/>
                <w14:textFill>
                  <w14:solidFill>
                    <w14:schemeClr w14:val="tx1"/>
                  </w14:solidFill>
                </w14:textFill>
              </w:rPr>
              <w:t>措施</w:t>
            </w:r>
            <w:r>
              <w:rPr>
                <w:rFonts w:hint="eastAsia" w:ascii="宋体" w:hAnsi="宋体"/>
                <w:color w:val="000000" w:themeColor="text1"/>
                <w:sz w:val="24"/>
                <w:highlight w:val="none"/>
                <w14:textFill>
                  <w14:solidFill>
                    <w14:schemeClr w14:val="tx1"/>
                  </w14:solidFill>
                </w14:textFill>
              </w:rPr>
              <w:t>、关键时间节点</w:t>
            </w:r>
            <w:r>
              <w:rPr>
                <w:rFonts w:hint="eastAsia" w:ascii="宋体" w:hAnsi="宋体"/>
                <w:color w:val="000000" w:themeColor="text1"/>
                <w:sz w:val="24"/>
                <w:highlight w:val="none"/>
                <w:lang w:val="en-US" w:eastAsia="zh-CN"/>
                <w14:textFill>
                  <w14:solidFill>
                    <w14:schemeClr w14:val="tx1"/>
                  </w14:solidFill>
                </w14:textFill>
              </w:rPr>
              <w:t>保障措施</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03A8BCB4">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40EEA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62BD6EBB">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1-7</w:t>
            </w:r>
          </w:p>
        </w:tc>
        <w:tc>
          <w:tcPr>
            <w:tcW w:w="7460" w:type="dxa"/>
            <w:vAlign w:val="center"/>
          </w:tcPr>
          <w:p w14:paraId="3C8D5BAF">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根据供应商提供的本项目工作管理制度进行评价：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，提供本项目工作管理制度的得1分； ②在满足①的基础上，工作管理制度中包括但不限于管理制度、人员岗位安排、工作流程、资料档案管理、劳动保障，</w:t>
            </w:r>
            <w:r>
              <w:rPr>
                <w:rFonts w:hint="eastAsia" w:ascii="宋体" w:hAnsi="宋体"/>
                <w:color w:val="000000" w:themeColor="text1"/>
                <w:sz w:val="24"/>
                <w:highlight w:val="none"/>
                <w:lang w:val="en-US" w:eastAsia="zh-CN"/>
                <w14:textFill>
                  <w14:solidFill>
                    <w14:schemeClr w14:val="tx1"/>
                  </w14:solidFill>
                </w14:textFill>
              </w:rPr>
              <w:t>制度详细具体、</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28F19B81">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3BB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3B589A06">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1-8</w:t>
            </w:r>
          </w:p>
        </w:tc>
        <w:tc>
          <w:tcPr>
            <w:tcW w:w="7460" w:type="dxa"/>
            <w:vAlign w:val="center"/>
          </w:tcPr>
          <w:p w14:paraId="24A9000B">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根据供应商提供的本项目服务人员培训计划方案进行评价：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，提供本项目服务人员培训计划方案的得1分； ②在满足①的基础上，服务人员培训计划方案中包括但不限于人员</w:t>
            </w:r>
            <w:r>
              <w:rPr>
                <w:rFonts w:hint="eastAsia" w:ascii="宋体" w:hAnsi="宋体"/>
                <w:color w:val="000000" w:themeColor="text1"/>
                <w:sz w:val="24"/>
                <w:highlight w:val="none"/>
                <w:lang w:val="en-US" w:eastAsia="zh-CN"/>
                <w14:textFill>
                  <w14:solidFill>
                    <w14:schemeClr w14:val="tx1"/>
                  </w14:solidFill>
                </w14:textFill>
              </w:rPr>
              <w:t>培训</w:t>
            </w:r>
            <w:r>
              <w:rPr>
                <w:rFonts w:hint="eastAsia" w:ascii="宋体" w:hAnsi="宋体"/>
                <w:color w:val="000000" w:themeColor="text1"/>
                <w:sz w:val="24"/>
                <w:highlight w:val="none"/>
                <w14:textFill>
                  <w14:solidFill>
                    <w14:schemeClr w14:val="tx1"/>
                  </w14:solidFill>
                </w14:textFill>
              </w:rPr>
              <w:t>内容、</w:t>
            </w:r>
            <w:r>
              <w:rPr>
                <w:rFonts w:hint="eastAsia" w:ascii="宋体" w:hAnsi="宋体"/>
                <w:color w:val="000000" w:themeColor="text1"/>
                <w:sz w:val="24"/>
                <w:highlight w:val="none"/>
                <w:lang w:val="en-US" w:eastAsia="zh-CN"/>
                <w14:textFill>
                  <w14:solidFill>
                    <w14:schemeClr w14:val="tx1"/>
                  </w14:solidFill>
                </w14:textFill>
              </w:rPr>
              <w:t>人</w:t>
            </w:r>
            <w:r>
              <w:rPr>
                <w:rFonts w:hint="eastAsia" w:ascii="宋体" w:hAnsi="宋体"/>
                <w:color w:val="000000" w:themeColor="text1"/>
                <w:sz w:val="24"/>
                <w:highlight w:val="none"/>
                <w14:textFill>
                  <w14:solidFill>
                    <w14:schemeClr w14:val="tx1"/>
                  </w14:solidFill>
                </w14:textFill>
              </w:rPr>
              <w:t>员培训考核制度、培训流程，</w:t>
            </w:r>
            <w:r>
              <w:rPr>
                <w:rFonts w:hint="eastAsia" w:ascii="宋体" w:hAnsi="宋体"/>
                <w:color w:val="000000" w:themeColor="text1"/>
                <w:sz w:val="24"/>
                <w:highlight w:val="none"/>
                <w:lang w:val="en-US" w:eastAsia="zh-CN"/>
                <w14:textFill>
                  <w14:solidFill>
                    <w14:schemeClr w14:val="tx1"/>
                  </w14:solidFill>
                </w14:textFill>
              </w:rPr>
              <w:t>方案详细具体、有针对性</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3590FD1A">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分</w:t>
            </w:r>
          </w:p>
        </w:tc>
      </w:tr>
      <w:tr w14:paraId="78AC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5D77284E">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1-9</w:t>
            </w:r>
          </w:p>
        </w:tc>
        <w:tc>
          <w:tcPr>
            <w:tcW w:w="7460" w:type="dxa"/>
            <w:vAlign w:val="center"/>
          </w:tcPr>
          <w:p w14:paraId="669D87EB">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根据供应商提供的本项目应急处理方案进行评价： ①对该项内容有</w:t>
            </w:r>
            <w:r>
              <w:rPr>
                <w:rFonts w:hint="eastAsia" w:ascii="宋体" w:hAnsi="宋体"/>
                <w:color w:val="000000" w:themeColor="text1"/>
                <w:sz w:val="24"/>
                <w:highlight w:val="none"/>
                <w:lang w:eastAsia="zh-CN"/>
                <w14:textFill>
                  <w14:solidFill>
                    <w14:schemeClr w14:val="tx1"/>
                  </w14:solidFill>
                </w14:textFill>
              </w:rPr>
              <w:t>作出响应</w:t>
            </w:r>
            <w:r>
              <w:rPr>
                <w:rFonts w:hint="eastAsia" w:ascii="宋体" w:hAnsi="宋体"/>
                <w:color w:val="000000" w:themeColor="text1"/>
                <w:sz w:val="24"/>
                <w:highlight w:val="none"/>
                <w14:textFill>
                  <w14:solidFill>
                    <w14:schemeClr w14:val="tx1"/>
                  </w14:solidFill>
                </w14:textFill>
              </w:rPr>
              <w:t>，提供本项目应急处理方案的得1分； ②在满足①的基础上，应急处理方案中包括但不限于应急处理程序、应急响应时间、应急处置人员安排、应急处理措施，</w:t>
            </w:r>
            <w:r>
              <w:rPr>
                <w:rFonts w:hint="eastAsia" w:ascii="宋体" w:hAnsi="宋体"/>
                <w:color w:val="000000" w:themeColor="text1"/>
                <w:sz w:val="24"/>
                <w:highlight w:val="none"/>
                <w:lang w:val="en-US" w:eastAsia="zh-CN"/>
                <w14:textFill>
                  <w14:solidFill>
                    <w14:schemeClr w14:val="tx1"/>
                  </w14:solidFill>
                </w14:textFill>
              </w:rPr>
              <w:t>方案详细具体、有针对性</w:t>
            </w:r>
            <w:r>
              <w:rPr>
                <w:rFonts w:hint="eastAsia" w:ascii="宋体" w:hAnsi="宋体"/>
                <w:color w:val="000000" w:themeColor="text1"/>
                <w:sz w:val="24"/>
                <w:highlight w:val="none"/>
                <w14:textFill>
                  <w14:solidFill>
                    <w14:schemeClr w14:val="tx1"/>
                  </w14:solidFill>
                </w14:textFill>
              </w:rPr>
              <w:t>且有利于项目顺利实施的得3分；③未提供相关内容或提供的内容不符合本项目要求的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45CA16E7">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5ECD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22D7F64D">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1-10</w:t>
            </w:r>
          </w:p>
        </w:tc>
        <w:tc>
          <w:tcPr>
            <w:tcW w:w="7460" w:type="dxa"/>
            <w:vAlign w:val="center"/>
          </w:tcPr>
          <w:p w14:paraId="4B12C423">
            <w:pPr>
              <w:tabs>
                <w:tab w:val="left" w:pos="2041"/>
                <w:tab w:val="left" w:pos="5907"/>
                <w:tab w:val="left" w:pos="9344"/>
              </w:tabs>
              <w:spacing w:line="480" w:lineRule="atLeas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根据供应商提供的数据和资料保密管理方案进行评价：①</w:t>
            </w:r>
            <w:r>
              <w:rPr>
                <w:rFonts w:hint="eastAsia" w:ascii="宋体" w:hAnsi="宋体"/>
                <w:color w:val="000000" w:themeColor="text1"/>
                <w:sz w:val="24"/>
                <w:highlight w:val="none"/>
                <w:lang w:val="en-US" w:eastAsia="zh-CN"/>
                <w14:textFill>
                  <w14:solidFill>
                    <w14:schemeClr w14:val="tx1"/>
                  </w14:solidFill>
                </w14:textFill>
              </w:rPr>
              <w:t>有提供</w:t>
            </w:r>
            <w:r>
              <w:rPr>
                <w:rFonts w:hint="eastAsia" w:ascii="宋体" w:hAnsi="宋体"/>
                <w:color w:val="000000" w:themeColor="text1"/>
                <w:sz w:val="24"/>
                <w:highlight w:val="none"/>
                <w14:textFill>
                  <w14:solidFill>
                    <w14:schemeClr w14:val="tx1"/>
                  </w14:solidFill>
                </w14:textFill>
              </w:rPr>
              <w:t>数据和资料保密管理方案，虽存在缺漏、细节不够清晰但不影响项目实施的得1分；</w:t>
            </w:r>
          </w:p>
          <w:p w14:paraId="523898C8">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②在满足①的基础上，能针对本项目实际情况，考虑本项目具体特点，内容描述完整全面符合实际需求，细节考虑到位的得3分；③未提供相关内容或提供的内容不符合本项目要求的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4A0BFA44">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2457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5A723BC9">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1-11</w:t>
            </w:r>
          </w:p>
        </w:tc>
        <w:tc>
          <w:tcPr>
            <w:tcW w:w="7460" w:type="dxa"/>
            <w:vAlign w:val="center"/>
          </w:tcPr>
          <w:p w14:paraId="3AF55089">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供应商结合本项目的实际情况，对服务内容和采购要求提出可行性建议，并对于采购人具有实用性且获得磋商小组认可的，每提供1项得1分，满分2分，否则不得分。</w:t>
            </w:r>
          </w:p>
        </w:tc>
        <w:tc>
          <w:tcPr>
            <w:tcW w:w="763" w:type="dxa"/>
            <w:vAlign w:val="center"/>
          </w:tcPr>
          <w:p w14:paraId="622796BA">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2分</w:t>
            </w:r>
          </w:p>
        </w:tc>
      </w:tr>
      <w:tr w14:paraId="7E54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44533070">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1-12</w:t>
            </w:r>
          </w:p>
        </w:tc>
        <w:tc>
          <w:tcPr>
            <w:tcW w:w="7460" w:type="dxa"/>
            <w:vAlign w:val="center"/>
          </w:tcPr>
          <w:p w14:paraId="3EC61510">
            <w:pPr>
              <w:tabs>
                <w:tab w:val="left" w:pos="2041"/>
                <w:tab w:val="left" w:pos="5907"/>
                <w:tab w:val="left" w:pos="9344"/>
              </w:tabs>
              <w:spacing w:line="480" w:lineRule="atLeast"/>
              <w:rPr>
                <w:rFonts w:hint="eastAsia" w:ascii="宋体" w:hAnsi="宋体" w:eastAsia="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根据供应商对本项目服务承诺响应速度情况进行评价：供应商承诺接到采购人通知后≤2小时响应的得3分；供应商承诺接到采购人通知后＞2小时响应的得1分；未提供相关内容或提供的内容不符合本项目要求的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p w14:paraId="53A8599E">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，否则不得分。</w:t>
            </w:r>
          </w:p>
        </w:tc>
        <w:tc>
          <w:tcPr>
            <w:tcW w:w="763" w:type="dxa"/>
            <w:vAlign w:val="center"/>
          </w:tcPr>
          <w:p w14:paraId="31D93350">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293F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73D8E899">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1-13</w:t>
            </w:r>
          </w:p>
        </w:tc>
        <w:tc>
          <w:tcPr>
            <w:tcW w:w="7460" w:type="dxa"/>
            <w:vAlign w:val="center"/>
          </w:tcPr>
          <w:p w14:paraId="28FEE60A">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供应商承诺在项目实施过程中能够配合采购人提出的合理意见</w:t>
            </w:r>
            <w:r>
              <w:rPr>
                <w:rFonts w:hint="eastAsia" w:ascii="宋体" w:hAnsi="宋体"/>
                <w:color w:val="000000" w:themeColor="text1"/>
                <w:sz w:val="24"/>
                <w:highlight w:val="none"/>
                <w:lang w:val="en-US" w:eastAsia="zh-CN"/>
                <w14:textFill>
                  <w14:solidFill>
                    <w14:schemeClr w14:val="tx1"/>
                  </w14:solidFill>
                </w14:textFill>
              </w:rPr>
              <w:t>整改</w:t>
            </w:r>
            <w:bookmarkStart w:id="58" w:name="_GoBack"/>
            <w:bookmarkEnd w:id="58"/>
            <w:r>
              <w:rPr>
                <w:rFonts w:hint="eastAsia" w:ascii="宋体" w:hAnsi="宋体"/>
                <w:color w:val="000000" w:themeColor="text1"/>
                <w:sz w:val="24"/>
                <w:highlight w:val="none"/>
                <w14:textFill>
                  <w14:solidFill>
                    <w14:schemeClr w14:val="tx1"/>
                  </w14:solidFill>
                </w14:textFill>
              </w:rPr>
              <w:t>并接受采购人监督的得2分；未提供相关内容或提供的内容不符合本项目要求的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p w14:paraId="100AABA5">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5CD66AAE">
            <w:pPr>
              <w:widowControl/>
              <w:spacing w:line="480" w:lineRule="atLeast"/>
              <w:jc w:val="center"/>
              <w:rPr>
                <w:rFonts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2分</w:t>
            </w:r>
          </w:p>
        </w:tc>
      </w:tr>
      <w:tr w14:paraId="4ADDE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1500DB67">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1-14</w:t>
            </w:r>
          </w:p>
        </w:tc>
        <w:tc>
          <w:tcPr>
            <w:tcW w:w="7460" w:type="dxa"/>
            <w:vAlign w:val="center"/>
          </w:tcPr>
          <w:p w14:paraId="36252A91">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供应商承诺在成交后遵守行业内保密义务的得3分；未提供相关内容或提供的内容不符合本项目要求的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p w14:paraId="363141EF">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0C85F6CF">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096D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0" w:type="dxa"/>
            <w:vAlign w:val="center"/>
          </w:tcPr>
          <w:p w14:paraId="02E8D45C">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1-15</w:t>
            </w:r>
          </w:p>
        </w:tc>
        <w:tc>
          <w:tcPr>
            <w:tcW w:w="7460" w:type="dxa"/>
            <w:vAlign w:val="center"/>
          </w:tcPr>
          <w:p w14:paraId="2AD894A0">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供应商承诺在项目实施过程中遵守诚信原则，确保各项工作成果真实，并接受采购人监督的得3分；未提供相关内容或提供的内容不符合本项目要求的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p w14:paraId="0795248E">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w:t>
            </w:r>
          </w:p>
        </w:tc>
        <w:tc>
          <w:tcPr>
            <w:tcW w:w="763" w:type="dxa"/>
            <w:vAlign w:val="center"/>
          </w:tcPr>
          <w:p w14:paraId="0071C77E">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bl>
    <w:p w14:paraId="5633055C">
      <w:pPr>
        <w:pStyle w:val="5"/>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EDDE0C">
      <w:pPr>
        <w:rPr>
          <w:rFonts w:hint="eastAsia" w:ascii="宋体" w:hAnsi="宋体" w:eastAsia="宋体" w:cs="宋体"/>
          <w:color w:val="000000" w:themeColor="text1"/>
          <w:sz w:val="24"/>
          <w:szCs w:val="24"/>
          <w:highlight w:val="none"/>
          <w14:textFill>
            <w14:solidFill>
              <w14:schemeClr w14:val="tx1"/>
            </w14:solidFill>
          </w14:textFill>
        </w:rPr>
      </w:pPr>
    </w:p>
    <w:p w14:paraId="40A70E46">
      <w:pPr>
        <w:rPr>
          <w:rFonts w:hint="eastAsia" w:ascii="宋体" w:hAnsi="宋体" w:eastAsia="宋体" w:cs="宋体"/>
          <w:color w:val="000000" w:themeColor="text1"/>
          <w:sz w:val="24"/>
          <w:szCs w:val="24"/>
          <w:highlight w:val="none"/>
          <w14:textFill>
            <w14:solidFill>
              <w14:schemeClr w14:val="tx1"/>
            </w14:solidFill>
          </w14:textFill>
        </w:rPr>
      </w:pPr>
    </w:p>
    <w:p w14:paraId="65A1AD6E">
      <w:pPr>
        <w:rPr>
          <w:rFonts w:hint="eastAsia" w:ascii="宋体" w:hAnsi="宋体" w:eastAsia="宋体" w:cs="宋体"/>
          <w:color w:val="000000" w:themeColor="text1"/>
          <w:sz w:val="24"/>
          <w:szCs w:val="24"/>
          <w:highlight w:val="none"/>
          <w14:textFill>
            <w14:solidFill>
              <w14:schemeClr w14:val="tx1"/>
            </w14:solidFill>
          </w14:textFill>
        </w:rPr>
      </w:pPr>
    </w:p>
    <w:p w14:paraId="7AE4A2D8">
      <w:pPr>
        <w:rPr>
          <w:rFonts w:hint="eastAsia" w:ascii="宋体" w:hAnsi="宋体" w:eastAsia="宋体" w:cs="宋体"/>
          <w:color w:val="000000" w:themeColor="text1"/>
          <w:sz w:val="24"/>
          <w:szCs w:val="24"/>
          <w:highlight w:val="none"/>
          <w14:textFill>
            <w14:solidFill>
              <w14:schemeClr w14:val="tx1"/>
            </w14:solidFill>
          </w14:textFill>
        </w:rPr>
      </w:pPr>
    </w:p>
    <w:p w14:paraId="10EBE3D4">
      <w:pPr>
        <w:rPr>
          <w:rFonts w:hint="eastAsia" w:ascii="宋体" w:hAnsi="宋体" w:eastAsia="宋体" w:cs="宋体"/>
          <w:color w:val="000000" w:themeColor="text1"/>
          <w:sz w:val="24"/>
          <w:szCs w:val="24"/>
          <w:highlight w:val="none"/>
          <w14:textFill>
            <w14:solidFill>
              <w14:schemeClr w14:val="tx1"/>
            </w14:solidFill>
          </w14:textFill>
        </w:rPr>
      </w:pPr>
    </w:p>
    <w:p w14:paraId="18BF3552">
      <w:pPr>
        <w:rPr>
          <w:rFonts w:hint="eastAsia" w:ascii="宋体" w:hAnsi="宋体" w:eastAsia="宋体" w:cs="宋体"/>
          <w:color w:val="000000" w:themeColor="text1"/>
          <w:sz w:val="24"/>
          <w:szCs w:val="24"/>
          <w:highlight w:val="none"/>
          <w14:textFill>
            <w14:solidFill>
              <w14:schemeClr w14:val="tx1"/>
            </w14:solidFill>
          </w14:textFill>
        </w:rPr>
      </w:pPr>
    </w:p>
    <w:p w14:paraId="77F6D5A5">
      <w:pPr>
        <w:rPr>
          <w:rFonts w:hint="eastAsia" w:ascii="宋体" w:hAnsi="宋体" w:eastAsia="宋体" w:cs="宋体"/>
          <w:color w:val="000000" w:themeColor="text1"/>
          <w:sz w:val="24"/>
          <w:szCs w:val="24"/>
          <w:highlight w:val="none"/>
          <w14:textFill>
            <w14:solidFill>
              <w14:schemeClr w14:val="tx1"/>
            </w14:solidFill>
          </w14:textFill>
        </w:rPr>
      </w:pPr>
    </w:p>
    <w:p w14:paraId="6F56E1A5">
      <w:pPr>
        <w:rPr>
          <w:rFonts w:hint="eastAsia" w:ascii="宋体" w:hAnsi="宋体" w:eastAsia="宋体" w:cs="宋体"/>
          <w:color w:val="000000" w:themeColor="text1"/>
          <w:sz w:val="24"/>
          <w:szCs w:val="24"/>
          <w:highlight w:val="none"/>
          <w14:textFill>
            <w14:solidFill>
              <w14:schemeClr w14:val="tx1"/>
            </w14:solidFill>
          </w14:textFill>
        </w:rPr>
      </w:pPr>
    </w:p>
    <w:p w14:paraId="0EBC127E">
      <w:pPr>
        <w:rPr>
          <w:rFonts w:hint="eastAsia" w:ascii="宋体" w:hAnsi="宋体" w:eastAsia="宋体" w:cs="宋体"/>
          <w:color w:val="000000" w:themeColor="text1"/>
          <w:sz w:val="24"/>
          <w:szCs w:val="24"/>
          <w:highlight w:val="none"/>
          <w14:textFill>
            <w14:solidFill>
              <w14:schemeClr w14:val="tx1"/>
            </w14:solidFill>
          </w14:textFill>
        </w:rPr>
      </w:pPr>
    </w:p>
    <w:p w14:paraId="691D4A1C">
      <w:pPr>
        <w:rPr>
          <w:rFonts w:hint="eastAsia" w:ascii="宋体" w:hAnsi="宋体" w:eastAsia="宋体" w:cs="宋体"/>
          <w:color w:val="000000" w:themeColor="text1"/>
          <w:sz w:val="24"/>
          <w:szCs w:val="24"/>
          <w:highlight w:val="none"/>
          <w14:textFill>
            <w14:solidFill>
              <w14:schemeClr w14:val="tx1"/>
            </w14:solidFill>
          </w14:textFill>
        </w:rPr>
      </w:pPr>
    </w:p>
    <w:p w14:paraId="516FFD30">
      <w:pPr>
        <w:pStyle w:val="7"/>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（二）商务评分（F2）标准（满分</w:t>
      </w:r>
      <w:r>
        <w:rPr>
          <w:rFonts w:hint="eastAsia" w:cs="宋体"/>
          <w:b/>
          <w:color w:val="000000" w:themeColor="text1"/>
          <w:sz w:val="24"/>
          <w:szCs w:val="24"/>
          <w:highlight w:val="none"/>
          <w:lang w:val="en-US" w:eastAsia="zh-CN"/>
          <w14:textFill>
            <w14:solidFill>
              <w14:schemeClr w14:val="tx1"/>
            </w14:solidFill>
          </w14:textFill>
        </w:rPr>
        <w:t>25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7"/>
        <w:tblW w:w="9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971"/>
        <w:gridCol w:w="1130"/>
      </w:tblGrid>
      <w:tr w14:paraId="2F6C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707" w:type="dxa"/>
            <w:vAlign w:val="center"/>
          </w:tcPr>
          <w:p w14:paraId="12B8232C">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序号</w:t>
            </w:r>
          </w:p>
        </w:tc>
        <w:tc>
          <w:tcPr>
            <w:tcW w:w="6971" w:type="dxa"/>
            <w:vAlign w:val="center"/>
          </w:tcPr>
          <w:p w14:paraId="11ACEEA9">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细则内容</w:t>
            </w:r>
          </w:p>
        </w:tc>
        <w:tc>
          <w:tcPr>
            <w:tcW w:w="1130" w:type="dxa"/>
            <w:vAlign w:val="center"/>
          </w:tcPr>
          <w:p w14:paraId="13C7CE39">
            <w:pPr>
              <w:tabs>
                <w:tab w:val="left" w:pos="-1080"/>
                <w:tab w:val="left" w:pos="180"/>
                <w:tab w:val="left" w:pos="1080"/>
              </w:tabs>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分值</w:t>
            </w:r>
          </w:p>
        </w:tc>
      </w:tr>
      <w:tr w14:paraId="55DF9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43934127">
            <w:pPr>
              <w:tabs>
                <w:tab w:val="left" w:pos="2041"/>
                <w:tab w:val="left" w:pos="5907"/>
                <w:tab w:val="left" w:pos="9344"/>
              </w:tabs>
              <w:spacing w:line="480" w:lineRule="atLeast"/>
              <w:jc w:val="center"/>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w:t>
            </w:r>
          </w:p>
        </w:tc>
        <w:tc>
          <w:tcPr>
            <w:tcW w:w="6971" w:type="dxa"/>
            <w:vAlign w:val="center"/>
          </w:tcPr>
          <w:p w14:paraId="23772B7D">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供应商具有有效的质量管理体系认证证书的得1分；须提供有效期内的认证证书复印件进行佐证</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否则不得分。</w:t>
            </w:r>
          </w:p>
        </w:tc>
        <w:tc>
          <w:tcPr>
            <w:tcW w:w="1130" w:type="dxa"/>
            <w:vAlign w:val="center"/>
          </w:tcPr>
          <w:p w14:paraId="53B442ED">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1分</w:t>
            </w:r>
          </w:p>
        </w:tc>
      </w:tr>
      <w:tr w14:paraId="1687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29AFF18B">
            <w:pPr>
              <w:spacing w:line="480" w:lineRule="atLeast"/>
              <w:jc w:val="center"/>
              <w:rPr>
                <w:rFonts w:ascii="宋体" w:hAnsi="宋体"/>
                <w:color w:val="000000" w:themeColor="text1"/>
                <w:sz w:val="24"/>
                <w:highlight w:val="none"/>
                <w14:textFill>
                  <w14:solidFill>
                    <w14:schemeClr w14:val="tx1"/>
                  </w14:solidFill>
                </w14:textFill>
              </w:rPr>
            </w:pPr>
            <w:r>
              <w:rPr>
                <w:rFonts w:ascii="宋体" w:hAnsi="宋体" w:cs="宋体"/>
                <w:color w:val="000000" w:themeColor="text1"/>
                <w:kern w:val="0"/>
                <w:sz w:val="24"/>
                <w:highlight w:val="none"/>
                <w14:textFill>
                  <w14:solidFill>
                    <w14:schemeClr w14:val="tx1"/>
                  </w14:solidFill>
                </w14:textFill>
              </w:rPr>
              <w:t>2</w:t>
            </w:r>
            <w:r>
              <w:rPr>
                <w:rFonts w:hint="eastAsia" w:ascii="宋体" w:hAnsi="宋体" w:cs="宋体"/>
                <w:color w:val="000000" w:themeColor="text1"/>
                <w:kern w:val="0"/>
                <w:sz w:val="24"/>
                <w:highlight w:val="none"/>
                <w14:textFill>
                  <w14:solidFill>
                    <w14:schemeClr w14:val="tx1"/>
                  </w14:solidFill>
                </w14:textFill>
              </w:rPr>
              <w:t>-2</w:t>
            </w:r>
          </w:p>
        </w:tc>
        <w:tc>
          <w:tcPr>
            <w:tcW w:w="6971" w:type="dxa"/>
            <w:vAlign w:val="center"/>
          </w:tcPr>
          <w:p w14:paraId="685BC45F">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供应商承诺在成交后，服务期内</w:t>
            </w:r>
            <w:r>
              <w:rPr>
                <w:rFonts w:hint="eastAsia" w:ascii="宋体" w:hAnsi="宋体" w:cs="宋体"/>
                <w:color w:val="000000" w:themeColor="text1"/>
                <w:kern w:val="0"/>
                <w:sz w:val="24"/>
                <w:highlight w:val="none"/>
                <w:lang w:eastAsia="zh-CN"/>
                <w14:textFill>
                  <w14:solidFill>
                    <w14:schemeClr w14:val="tx1"/>
                  </w14:solidFill>
                </w14:textFill>
              </w:rPr>
              <w:t>采购人</w:t>
            </w:r>
            <w:r>
              <w:rPr>
                <w:rFonts w:hint="eastAsia" w:ascii="宋体" w:hAnsi="宋体" w:cs="宋体"/>
                <w:color w:val="000000" w:themeColor="text1"/>
                <w:kern w:val="0"/>
                <w:sz w:val="24"/>
                <w:highlight w:val="none"/>
                <w14:textFill>
                  <w14:solidFill>
                    <w14:schemeClr w14:val="tx1"/>
                  </w14:solidFill>
                </w14:textFill>
              </w:rPr>
              <w:t>发现服务期内成交供应商审核的排污许可证执行报告填报规范性存在问题的，成交供应商应免费按照</w:t>
            </w:r>
            <w:r>
              <w:rPr>
                <w:rFonts w:hint="eastAsia" w:ascii="宋体" w:hAnsi="宋体" w:cs="宋体"/>
                <w:color w:val="000000" w:themeColor="text1"/>
                <w:kern w:val="0"/>
                <w:sz w:val="24"/>
                <w:highlight w:val="none"/>
                <w:lang w:eastAsia="zh-CN"/>
                <w14:textFill>
                  <w14:solidFill>
                    <w14:schemeClr w14:val="tx1"/>
                  </w14:solidFill>
                </w14:textFill>
              </w:rPr>
              <w:t>采购人</w:t>
            </w:r>
            <w:r>
              <w:rPr>
                <w:rFonts w:hint="eastAsia" w:ascii="宋体" w:hAnsi="宋体" w:cs="宋体"/>
                <w:color w:val="000000" w:themeColor="text1"/>
                <w:kern w:val="0"/>
                <w:sz w:val="24"/>
                <w:highlight w:val="none"/>
                <w14:textFill>
                  <w14:solidFill>
                    <w14:schemeClr w14:val="tx1"/>
                  </w14:solidFill>
                </w14:textFill>
              </w:rPr>
              <w:t>要求，指导排污单位对排污许可证执行报告存在的问题进行纠正变更的得3分；未提供相关内容或提供的内容不符合本项目要求的</w:t>
            </w:r>
            <w:r>
              <w:rPr>
                <w:rFonts w:hint="eastAsia" w:ascii="宋体" w:hAnsi="宋体" w:cs="宋体"/>
                <w:color w:val="000000" w:themeColor="text1"/>
                <w:kern w:val="0"/>
                <w:sz w:val="24"/>
                <w:highlight w:val="none"/>
                <w:lang w:eastAsia="zh-CN"/>
                <w14:textFill>
                  <w14:solidFill>
                    <w14:schemeClr w14:val="tx1"/>
                  </w14:solidFill>
                </w14:textFill>
              </w:rPr>
              <w:t>不得分</w:t>
            </w:r>
            <w:r>
              <w:rPr>
                <w:rFonts w:hint="eastAsia" w:ascii="宋体" w:hAnsi="宋体" w:cs="宋体"/>
                <w:color w:val="000000" w:themeColor="text1"/>
                <w:kern w:val="0"/>
                <w:sz w:val="24"/>
                <w:highlight w:val="none"/>
                <w14:textFill>
                  <w14:solidFill>
                    <w14:schemeClr w14:val="tx1"/>
                  </w14:solidFill>
                </w14:textFill>
              </w:rPr>
              <w:t>。</w:t>
            </w:r>
          </w:p>
          <w:p w14:paraId="0B7F764C">
            <w:pPr>
              <w:tabs>
                <w:tab w:val="left" w:pos="2041"/>
                <w:tab w:val="left" w:pos="5907"/>
                <w:tab w:val="left" w:pos="9344"/>
              </w:tabs>
              <w:spacing w:line="480" w:lineRule="atLeast"/>
              <w:rPr>
                <w:rFonts w:hint="eastAsia"/>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注：</w:t>
            </w:r>
            <w:r>
              <w:rPr>
                <w:rFonts w:hint="eastAsia" w:ascii="宋体" w:hAnsi="宋体"/>
                <w:color w:val="000000" w:themeColor="text1"/>
                <w:sz w:val="24"/>
                <w:highlight w:val="none"/>
                <w14:textFill>
                  <w14:solidFill>
                    <w14:schemeClr w14:val="tx1"/>
                  </w14:solidFill>
                </w14:textFill>
              </w:rPr>
              <w:t>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w:t>
            </w:r>
          </w:p>
        </w:tc>
        <w:tc>
          <w:tcPr>
            <w:tcW w:w="1130" w:type="dxa"/>
            <w:vAlign w:val="center"/>
          </w:tcPr>
          <w:p w14:paraId="2EB521A0">
            <w:pPr>
              <w:widowControl/>
              <w:spacing w:line="480" w:lineRule="atLeas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7675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365927C2">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2-3</w:t>
            </w:r>
          </w:p>
        </w:tc>
        <w:tc>
          <w:tcPr>
            <w:tcW w:w="6971" w:type="dxa"/>
            <w:vAlign w:val="center"/>
          </w:tcPr>
          <w:p w14:paraId="5A18B4DE">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供应商承诺在成交后，</w:t>
            </w:r>
            <w:r>
              <w:rPr>
                <w:rFonts w:hint="eastAsia" w:ascii="宋体" w:hAnsi="宋体" w:cs="宋体"/>
                <w:color w:val="000000" w:themeColor="text1"/>
                <w:kern w:val="0"/>
                <w:sz w:val="24"/>
                <w:highlight w:val="none"/>
                <w14:textFill>
                  <w14:solidFill>
                    <w14:schemeClr w14:val="tx1"/>
                  </w14:solidFill>
                </w14:textFill>
              </w:rPr>
              <w:t>提供服务期内7×24小时的技术咨询服务</w:t>
            </w:r>
            <w:r>
              <w:rPr>
                <w:rFonts w:hint="eastAsia" w:ascii="宋体" w:hAnsi="宋体"/>
                <w:color w:val="000000" w:themeColor="text1"/>
                <w:sz w:val="24"/>
                <w:highlight w:val="none"/>
                <w14:textFill>
                  <w14:solidFill>
                    <w14:schemeClr w14:val="tx1"/>
                  </w14:solidFill>
                </w14:textFill>
              </w:rPr>
              <w:t>的得3分；未提供相关内容或提供的内容不符合本项目要求的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hint="eastAsia" w:ascii="宋体" w:hAnsi="宋体"/>
                <w:color w:val="000000" w:themeColor="text1"/>
                <w:sz w:val="24"/>
                <w:highlight w:val="none"/>
                <w14:textFill>
                  <w14:solidFill>
                    <w14:schemeClr w14:val="tx1"/>
                  </w14:solidFill>
                </w14:textFill>
              </w:rPr>
              <w:t>。</w:t>
            </w:r>
          </w:p>
          <w:p w14:paraId="4E51F5C0">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注：须提供书面承诺（格式自拟）</w:t>
            </w:r>
            <w:r>
              <w:rPr>
                <w:rFonts w:hint="eastAsia" w:ascii="宋体" w:hAnsi="宋体"/>
                <w:color w:val="000000" w:themeColor="text1"/>
                <w:sz w:val="24"/>
                <w:highlight w:val="none"/>
                <w:lang w:val="en-US" w:eastAsia="zh-CN"/>
                <w14:textFill>
                  <w14:solidFill>
                    <w14:schemeClr w14:val="tx1"/>
                  </w14:solidFill>
                </w14:textFill>
              </w:rPr>
              <w:t>并加盖单位公章</w:t>
            </w:r>
            <w:r>
              <w:rPr>
                <w:rFonts w:hint="eastAsia" w:ascii="宋体" w:hAnsi="宋体"/>
                <w:color w:val="000000" w:themeColor="text1"/>
                <w:sz w:val="24"/>
                <w:highlight w:val="none"/>
                <w14:textFill>
                  <w14:solidFill>
                    <w14:schemeClr w14:val="tx1"/>
                  </w14:solidFill>
                </w14:textFill>
              </w:rPr>
              <w:t>。</w:t>
            </w:r>
          </w:p>
        </w:tc>
        <w:tc>
          <w:tcPr>
            <w:tcW w:w="1130" w:type="dxa"/>
            <w:vAlign w:val="center"/>
          </w:tcPr>
          <w:p w14:paraId="705584F3">
            <w:pPr>
              <w:widowControl/>
              <w:spacing w:line="480" w:lineRule="atLeast"/>
              <w:jc w:val="center"/>
              <w:rPr>
                <w:rFonts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37D97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1204499E">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p>
        </w:tc>
        <w:tc>
          <w:tcPr>
            <w:tcW w:w="6971" w:type="dxa"/>
            <w:vAlign w:val="center"/>
          </w:tcPr>
          <w:p w14:paraId="1984F3E5">
            <w:pPr>
              <w:tabs>
                <w:tab w:val="left" w:pos="2041"/>
                <w:tab w:val="left" w:pos="5907"/>
                <w:tab w:val="left" w:pos="9344"/>
              </w:tabs>
              <w:spacing w:line="480" w:lineRule="atLeas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承诺项目执行期间，如相关技术规范发生变化，项目全部实施材料按新的规范开展，包括重新调查、档案重建、重新制作（返工）的部分不计入项目实施费用的得3分；未提供相关内容或提供的内容不符合本项目要求的</w:t>
            </w:r>
            <w:r>
              <w:rPr>
                <w:rFonts w:hint="eastAsia" w:ascii="宋体" w:hAnsi="宋体" w:cs="宋体"/>
                <w:color w:val="000000" w:themeColor="text1"/>
                <w:kern w:val="0"/>
                <w:sz w:val="24"/>
                <w:highlight w:val="none"/>
                <w:lang w:eastAsia="zh-CN"/>
                <w14:textFill>
                  <w14:solidFill>
                    <w14:schemeClr w14:val="tx1"/>
                  </w14:solidFill>
                </w14:textFill>
              </w:rPr>
              <w:t>不得分</w:t>
            </w:r>
            <w:r>
              <w:rPr>
                <w:rFonts w:hint="eastAsia" w:ascii="宋体" w:hAnsi="宋体" w:cs="宋体"/>
                <w:color w:val="000000" w:themeColor="text1"/>
                <w:kern w:val="0"/>
                <w:sz w:val="24"/>
                <w:highlight w:val="none"/>
                <w14:textFill>
                  <w14:solidFill>
                    <w14:schemeClr w14:val="tx1"/>
                  </w14:solidFill>
                </w14:textFill>
              </w:rPr>
              <w:t>。</w:t>
            </w:r>
          </w:p>
          <w:p w14:paraId="0BD12332">
            <w:pPr>
              <w:tabs>
                <w:tab w:val="left" w:pos="2041"/>
                <w:tab w:val="left" w:pos="5907"/>
                <w:tab w:val="left" w:pos="9344"/>
              </w:tabs>
              <w:spacing w:line="480" w:lineRule="atLeas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注：</w:t>
            </w:r>
            <w:r>
              <w:rPr>
                <w:rFonts w:hint="eastAsia" w:ascii="宋体" w:hAnsi="宋体" w:cs="宋体"/>
                <w:color w:val="000000" w:themeColor="text1"/>
                <w:kern w:val="0"/>
                <w:sz w:val="24"/>
                <w:highlight w:val="none"/>
                <w:lang w:eastAsia="zh-CN"/>
                <w14:textFill>
                  <w14:solidFill>
                    <w14:schemeClr w14:val="tx1"/>
                  </w14:solidFill>
                </w14:textFill>
              </w:rPr>
              <w:t>须提供书面承诺（格式自拟）并加盖单位公章。</w:t>
            </w:r>
          </w:p>
        </w:tc>
        <w:tc>
          <w:tcPr>
            <w:tcW w:w="1130" w:type="dxa"/>
            <w:vAlign w:val="center"/>
          </w:tcPr>
          <w:p w14:paraId="6E138A1C">
            <w:pPr>
              <w:widowControl/>
              <w:spacing w:line="480" w:lineRule="atLeast"/>
              <w:jc w:val="center"/>
              <w:rPr>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19211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4996F752">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2-5</w:t>
            </w:r>
          </w:p>
        </w:tc>
        <w:tc>
          <w:tcPr>
            <w:tcW w:w="6971" w:type="dxa"/>
            <w:vAlign w:val="center"/>
          </w:tcPr>
          <w:p w14:paraId="11D22072">
            <w:pPr>
              <w:tabs>
                <w:tab w:val="left" w:pos="2041"/>
                <w:tab w:val="left" w:pos="5907"/>
                <w:tab w:val="left" w:pos="9344"/>
              </w:tabs>
              <w:spacing w:line="480" w:lineRule="atLeas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供应商承诺严格按照国家、省市的有关政策执行，保护项目团队成员的合法权益</w:t>
            </w:r>
            <w:r>
              <w:rPr>
                <w:rFonts w:hint="eastAsia" w:ascii="宋体" w:hAnsi="宋体"/>
                <w:color w:val="000000" w:themeColor="text1"/>
                <w:sz w:val="24"/>
                <w:highlight w:val="none"/>
                <w:lang w:val="en-US" w:eastAsia="zh-CN"/>
                <w14:textFill>
                  <w14:solidFill>
                    <w14:schemeClr w14:val="tx1"/>
                  </w14:solidFill>
                </w14:textFill>
              </w:rPr>
              <w:t>，</w:t>
            </w:r>
            <w:r>
              <w:rPr>
                <w:rFonts w:ascii="宋体" w:hAnsi="宋体"/>
                <w:color w:val="000000" w:themeColor="text1"/>
                <w:sz w:val="24"/>
                <w:highlight w:val="none"/>
                <w14:textFill>
                  <w14:solidFill>
                    <w14:schemeClr w14:val="tx1"/>
                  </w14:solidFill>
                </w14:textFill>
              </w:rPr>
              <w:t>若国家、省市的相关政策有调整，则按最新政策执行，团队人员待遇必须符合现行政策要求的得3分；未提供相关内容或提供的内容不符合本项目要求的</w:t>
            </w:r>
            <w:r>
              <w:rPr>
                <w:rFonts w:hint="eastAsia" w:ascii="宋体" w:hAnsi="宋体"/>
                <w:color w:val="000000" w:themeColor="text1"/>
                <w:sz w:val="24"/>
                <w:highlight w:val="none"/>
                <w:lang w:eastAsia="zh-CN"/>
                <w14:textFill>
                  <w14:solidFill>
                    <w14:schemeClr w14:val="tx1"/>
                  </w14:solidFill>
                </w14:textFill>
              </w:rPr>
              <w:t>不得分</w:t>
            </w:r>
            <w:r>
              <w:rPr>
                <w:rFonts w:ascii="宋体" w:hAnsi="宋体"/>
                <w:color w:val="000000" w:themeColor="text1"/>
                <w:sz w:val="24"/>
                <w:highlight w:val="none"/>
                <w14:textFill>
                  <w14:solidFill>
                    <w14:schemeClr w14:val="tx1"/>
                  </w14:solidFill>
                </w14:textFill>
              </w:rPr>
              <w:t>。</w:t>
            </w:r>
          </w:p>
          <w:p w14:paraId="4D2FC51D">
            <w:pPr>
              <w:tabs>
                <w:tab w:val="left" w:pos="2041"/>
                <w:tab w:val="left" w:pos="5907"/>
                <w:tab w:val="left" w:pos="9344"/>
              </w:tabs>
              <w:spacing w:line="480" w:lineRule="atLeast"/>
              <w:rPr>
                <w:rFonts w:hint="eastAsia" w:ascii="宋体" w:hAnsi="宋体" w:eastAsia="宋体" w:cs="宋体"/>
                <w:color w:val="000000" w:themeColor="text1"/>
                <w:sz w:val="24"/>
                <w:highlight w:val="none"/>
                <w:lang w:eastAsia="zh-CN"/>
                <w14:textFill>
                  <w14:solidFill>
                    <w14:schemeClr w14:val="tx1"/>
                  </w14:solidFill>
                </w14:textFill>
              </w:rPr>
            </w:pPr>
            <w:r>
              <w:rPr>
                <w:rFonts w:ascii="宋体" w:hAnsi="宋体"/>
                <w:color w:val="000000" w:themeColor="text1"/>
                <w:sz w:val="24"/>
                <w:highlight w:val="none"/>
                <w14:textFill>
                  <w14:solidFill>
                    <w14:schemeClr w14:val="tx1"/>
                  </w14:solidFill>
                </w14:textFill>
              </w:rPr>
              <w:t>注：</w:t>
            </w:r>
            <w:r>
              <w:rPr>
                <w:rFonts w:hint="eastAsia" w:ascii="宋体" w:hAnsi="宋体"/>
                <w:color w:val="000000" w:themeColor="text1"/>
                <w:sz w:val="24"/>
                <w:highlight w:val="none"/>
                <w:lang w:eastAsia="zh-CN"/>
                <w14:textFill>
                  <w14:solidFill>
                    <w14:schemeClr w14:val="tx1"/>
                  </w14:solidFill>
                </w14:textFill>
              </w:rPr>
              <w:t>须提供书面承诺（格式自拟）并加盖单位公章。</w:t>
            </w:r>
          </w:p>
        </w:tc>
        <w:tc>
          <w:tcPr>
            <w:tcW w:w="1130" w:type="dxa"/>
            <w:vAlign w:val="center"/>
          </w:tcPr>
          <w:p w14:paraId="1DF34CC8">
            <w:pPr>
              <w:pStyle w:val="7"/>
              <w:spacing w:line="480" w:lineRule="atLeast"/>
              <w:ind w:firstLine="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3分</w:t>
            </w:r>
          </w:p>
        </w:tc>
      </w:tr>
      <w:tr w14:paraId="50A91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6F10AE7D">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2-6</w:t>
            </w:r>
          </w:p>
        </w:tc>
        <w:tc>
          <w:tcPr>
            <w:tcW w:w="6971" w:type="dxa"/>
            <w:vAlign w:val="center"/>
          </w:tcPr>
          <w:p w14:paraId="1024D9F0">
            <w:pPr>
              <w:tabs>
                <w:tab w:val="left" w:pos="2041"/>
                <w:tab w:val="left" w:pos="5907"/>
                <w:tab w:val="left" w:pos="9344"/>
              </w:tabs>
              <w:spacing w:line="480" w:lineRule="atLeast"/>
              <w:rPr>
                <w:rFonts w:hint="default" w:ascii="宋体" w:hAnsi="宋体" w:cs="宋体"/>
                <w:color w:val="000000" w:themeColor="text1"/>
                <w:sz w:val="24"/>
                <w:highlight w:val="none"/>
                <w:lang w:val="en-US"/>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供应商承诺提供数据资料客观公正、不弄虚作假，且近三年内，未因数据造假收到相关政府部门的通报批评的得3分；</w:t>
            </w:r>
            <w:r>
              <w:rPr>
                <w:rFonts w:hint="eastAsia" w:ascii="宋体" w:hAnsi="宋体"/>
                <w:color w:val="000000" w:themeColor="text1"/>
                <w:sz w:val="24"/>
                <w:highlight w:val="none"/>
                <w:lang w:eastAsia="zh-CN"/>
                <w14:textFill>
                  <w14:solidFill>
                    <w14:schemeClr w14:val="tx1"/>
                  </w14:solidFill>
                </w14:textFill>
              </w:rPr>
              <w:t>须提供书面承诺（格式自拟）并加盖单位公章，</w:t>
            </w:r>
            <w:r>
              <w:rPr>
                <w:rFonts w:hint="eastAsia" w:ascii="宋体" w:hAnsi="宋体"/>
                <w:color w:val="000000" w:themeColor="text1"/>
                <w:sz w:val="24"/>
                <w:highlight w:val="none"/>
                <w:lang w:val="en-US" w:eastAsia="zh-CN"/>
                <w14:textFill>
                  <w14:solidFill>
                    <w14:schemeClr w14:val="tx1"/>
                  </w14:solidFill>
                </w14:textFill>
              </w:rPr>
              <w:t>否则不得分。</w:t>
            </w:r>
          </w:p>
        </w:tc>
        <w:tc>
          <w:tcPr>
            <w:tcW w:w="1130" w:type="dxa"/>
            <w:vAlign w:val="center"/>
          </w:tcPr>
          <w:p w14:paraId="77583FC8">
            <w:pPr>
              <w:pStyle w:val="7"/>
              <w:spacing w:line="480" w:lineRule="atLeast"/>
              <w:ind w:firstLine="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3分</w:t>
            </w:r>
          </w:p>
        </w:tc>
      </w:tr>
      <w:tr w14:paraId="73D60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246CA2C7">
            <w:pPr>
              <w:spacing w:line="480" w:lineRule="atLeas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2-7</w:t>
            </w:r>
          </w:p>
        </w:tc>
        <w:tc>
          <w:tcPr>
            <w:tcW w:w="6971" w:type="dxa"/>
            <w:vAlign w:val="center"/>
          </w:tcPr>
          <w:p w14:paraId="3FE6657E">
            <w:pPr>
              <w:pStyle w:val="26"/>
              <w:keepNext w:val="0"/>
              <w:keepLines w:val="0"/>
              <w:pageBreakBefore w:val="0"/>
              <w:kinsoku/>
              <w:wordWrap/>
              <w:overflowPunct/>
              <w:topLinePunct w:val="0"/>
              <w:autoSpaceDE/>
              <w:autoSpaceDN/>
              <w:bidi w:val="0"/>
              <w:adjustRightInd/>
              <w:snapToGrid/>
              <w:spacing w:line="480" w:lineRule="atLeast"/>
              <w:ind w:left="0" w:leftChars="0" w:firstLine="0" w:firstLineChars="0"/>
              <w:textAlignment w:val="auto"/>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供应商可提供与排污许可相关的计算机软件著作权登记证书。每提供1个得1分，</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满分</w:t>
            </w:r>
            <w:r>
              <w:rPr>
                <w:rFonts w:hint="eastAsia" w:ascii="宋体" w:hAnsi="宋体" w:eastAsia="宋体" w:cs="宋体"/>
                <w:color w:val="000000" w:themeColor="text1"/>
                <w:sz w:val="24"/>
                <w:highlight w:val="none"/>
                <w14:textFill>
                  <w14:solidFill>
                    <w14:schemeClr w14:val="tx1"/>
                  </w14:solidFill>
                </w14:textFill>
              </w:rPr>
              <w:t>3分</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。须</w:t>
            </w: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提供</w:t>
            </w:r>
            <w:r>
              <w:rPr>
                <w:rFonts w:hint="eastAsia" w:ascii="宋体" w:hAnsi="宋体"/>
                <w:color w:val="000000" w:themeColor="text1"/>
                <w:sz w:val="24"/>
                <w:highlight w:val="none"/>
                <w14:textFill>
                  <w14:solidFill>
                    <w14:schemeClr w14:val="tx1"/>
                  </w14:solidFill>
                </w14:textFill>
              </w:rPr>
              <w:t>登记证书</w:t>
            </w: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复印件，否则不得分。</w:t>
            </w:r>
          </w:p>
        </w:tc>
        <w:tc>
          <w:tcPr>
            <w:tcW w:w="1130" w:type="dxa"/>
            <w:vAlign w:val="center"/>
          </w:tcPr>
          <w:p w14:paraId="37D3C6E7">
            <w:pPr>
              <w:widowControl/>
              <w:spacing w:line="480" w:lineRule="atLeas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3分</w:t>
            </w:r>
          </w:p>
        </w:tc>
      </w:tr>
      <w:tr w14:paraId="33A2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18B17ED2">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2-8</w:t>
            </w:r>
          </w:p>
        </w:tc>
        <w:tc>
          <w:tcPr>
            <w:tcW w:w="6971" w:type="dxa"/>
          </w:tcPr>
          <w:p w14:paraId="11CDC835">
            <w:pPr>
              <w:pStyle w:val="80"/>
              <w:keepNext w:val="0"/>
              <w:keepLines w:val="0"/>
              <w:pageBreakBefore w:val="0"/>
              <w:kinsoku/>
              <w:wordWrap/>
              <w:overflowPunct/>
              <w:topLinePunct w:val="0"/>
              <w:autoSpaceDE/>
              <w:autoSpaceDN/>
              <w:bidi w:val="0"/>
              <w:adjustRightInd/>
              <w:snapToGrid/>
              <w:spacing w:line="480" w:lineRule="atLeast"/>
              <w:textAlignment w:val="auto"/>
              <w:rPr>
                <w:rFonts w:hint="default" w:ascii="宋体" w:hAnsi="宋体" w:eastAsia="宋体" w:cs="Times New Roman"/>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Times New Roman"/>
                <w:color w:val="000000" w:themeColor="text1"/>
                <w:sz w:val="24"/>
                <w:highlight w:val="none"/>
                <w14:textFill>
                  <w14:solidFill>
                    <w14:schemeClr w14:val="tx1"/>
                  </w14:solidFill>
                </w14:textFill>
              </w:rPr>
              <w:t>根据供应商</w:t>
            </w:r>
            <w:r>
              <w:rPr>
                <w:rFonts w:hint="eastAsia" w:ascii="宋体" w:hAnsi="宋体" w:eastAsia="宋体" w:cs="Times New Roman"/>
                <w:color w:val="000000" w:themeColor="text1"/>
                <w:sz w:val="24"/>
                <w:highlight w:val="none"/>
                <w:lang w:eastAsia="zh-CN"/>
                <w14:textFill>
                  <w14:solidFill>
                    <w14:schemeClr w14:val="tx1"/>
                  </w14:solidFill>
                </w14:textFill>
              </w:rPr>
              <w:t>提供</w:t>
            </w:r>
            <w:r>
              <w:rPr>
                <w:rFonts w:hint="eastAsia" w:ascii="宋体" w:hAnsi="宋体" w:eastAsia="宋体" w:cs="Times New Roman"/>
                <w:color w:val="000000" w:themeColor="text1"/>
                <w:sz w:val="24"/>
                <w:highlight w:val="none"/>
                <w14:textFill>
                  <w14:solidFill>
                    <w14:schemeClr w14:val="tx1"/>
                  </w14:solidFill>
                </w14:textFill>
              </w:rPr>
              <w:t>自</w:t>
            </w:r>
            <w:r>
              <w:rPr>
                <w:rFonts w:hint="eastAsia" w:ascii="宋体" w:hAnsi="宋体" w:cs="Times New Roman"/>
                <w:color w:val="000000" w:themeColor="text1"/>
                <w:sz w:val="24"/>
                <w:highlight w:val="none"/>
                <w:lang w:val="en-US" w:eastAsia="zh-CN"/>
                <w14:textFill>
                  <w14:solidFill>
                    <w14:schemeClr w14:val="tx1"/>
                  </w14:solidFill>
                </w14:textFill>
              </w:rPr>
              <w:t>2021</w:t>
            </w:r>
            <w:r>
              <w:rPr>
                <w:rFonts w:hint="eastAsia" w:ascii="宋体" w:hAnsi="宋体" w:eastAsia="宋体" w:cs="Times New Roman"/>
                <w:color w:val="000000" w:themeColor="text1"/>
                <w:sz w:val="24"/>
                <w:highlight w:val="none"/>
                <w14:textFill>
                  <w14:solidFill>
                    <w14:schemeClr w14:val="tx1"/>
                  </w14:solidFill>
                </w14:textFill>
              </w:rPr>
              <w:t>年1月1日（以</w:t>
            </w: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评价报告</w:t>
            </w:r>
            <w:r>
              <w:rPr>
                <w:rFonts w:hint="eastAsia" w:ascii="宋体" w:hAnsi="宋体" w:eastAsia="宋体" w:cs="Times New Roman"/>
                <w:color w:val="000000" w:themeColor="text1"/>
                <w:sz w:val="24"/>
                <w:highlight w:val="none"/>
                <w14:textFill>
                  <w14:solidFill>
                    <w14:schemeClr w14:val="tx1"/>
                  </w14:solidFill>
                </w14:textFill>
              </w:rPr>
              <w:t>出具时间为准）</w:t>
            </w:r>
            <w:r>
              <w:rPr>
                <w:rFonts w:hint="eastAsia" w:ascii="宋体" w:hAnsi="宋体" w:cs="Times New Roman"/>
                <w:color w:val="000000" w:themeColor="text1"/>
                <w:sz w:val="24"/>
                <w:highlight w:val="none"/>
                <w:lang w:val="en-US" w:eastAsia="zh-CN"/>
                <w14:textFill>
                  <w14:solidFill>
                    <w14:schemeClr w14:val="tx1"/>
                  </w14:solidFill>
                </w14:textFill>
              </w:rPr>
              <w:t>至磋商截止时间</w:t>
            </w:r>
            <w:r>
              <w:rPr>
                <w:rFonts w:hint="eastAsia" w:ascii="宋体" w:hAnsi="宋体" w:eastAsia="宋体" w:cs="Times New Roman"/>
                <w:color w:val="000000" w:themeColor="text1"/>
                <w:kern w:val="2"/>
                <w:sz w:val="24"/>
                <w:szCs w:val="24"/>
                <w:highlight w:val="none"/>
                <w:lang w:val="en-US" w:eastAsia="zh-CN" w:bidi="ar-SA"/>
                <w14:textFill>
                  <w14:solidFill>
                    <w14:schemeClr w14:val="tx1"/>
                  </w14:solidFill>
                </w14:textFill>
              </w:rPr>
              <w:t>与排污许可相关的科学技术成果正面评价报告</w:t>
            </w:r>
            <w:r>
              <w:rPr>
                <w:rFonts w:hint="eastAsia" w:ascii="宋体" w:hAnsi="宋体" w:cs="Times New Roman"/>
                <w:color w:val="000000" w:themeColor="text1"/>
                <w:kern w:val="2"/>
                <w:sz w:val="24"/>
                <w:szCs w:val="24"/>
                <w:highlight w:val="none"/>
                <w:lang w:val="en-US" w:eastAsia="zh-CN" w:bidi="ar-SA"/>
                <w14:textFill>
                  <w14:solidFill>
                    <w14:schemeClr w14:val="tx1"/>
                  </w14:solidFill>
                </w14:textFill>
              </w:rPr>
              <w:t>或业主满意度评价</w:t>
            </w:r>
            <w:r>
              <w:rPr>
                <w:rFonts w:hint="eastAsia" w:ascii="宋体" w:hAnsi="宋体"/>
                <w:color w:val="000000" w:themeColor="text1"/>
                <w:sz w:val="24"/>
                <w:szCs w:val="24"/>
                <w:highlight w:val="none"/>
                <w:lang w:val="en-US" w:eastAsia="zh-CN"/>
                <w14:textFill>
                  <w14:solidFill>
                    <w14:schemeClr w14:val="tx1"/>
                  </w14:solidFill>
                </w14:textFill>
              </w:rPr>
              <w:t>加盖业主单位公章</w:t>
            </w:r>
            <w:r>
              <w:rPr>
                <w:rFonts w:hint="eastAsia" w:ascii="宋体" w:hAnsi="宋体" w:eastAsia="宋体" w:cs="Times New Roman"/>
                <w:color w:val="000000" w:themeColor="text1"/>
                <w:sz w:val="24"/>
                <w:highlight w:val="none"/>
                <w14:textFill>
                  <w14:solidFill>
                    <w14:schemeClr w14:val="tx1"/>
                  </w14:solidFill>
                </w14:textFill>
              </w:rPr>
              <w:t>（</w:t>
            </w:r>
            <w:r>
              <w:rPr>
                <w:rFonts w:hint="eastAsia" w:ascii="宋体" w:hAnsi="宋体" w:eastAsia="宋体" w:cs="Times New Roman"/>
                <w:color w:val="000000" w:themeColor="text1"/>
                <w:sz w:val="24"/>
                <w:highlight w:val="none"/>
                <w:lang w:eastAsia="zh-CN"/>
                <w14:textFill>
                  <w14:solidFill>
                    <w14:schemeClr w14:val="tx1"/>
                  </w14:solidFill>
                </w14:textFill>
              </w:rPr>
              <w:t>如</w:t>
            </w:r>
            <w:r>
              <w:rPr>
                <w:rFonts w:hint="eastAsia" w:ascii="宋体" w:hAnsi="宋体" w:eastAsia="宋体" w:cs="Times New Roman"/>
                <w:color w:val="000000" w:themeColor="text1"/>
                <w:sz w:val="24"/>
                <w:highlight w:val="none"/>
                <w14:textFill>
                  <w14:solidFill>
                    <w14:schemeClr w14:val="tx1"/>
                  </w14:solidFill>
                </w14:textFill>
              </w:rPr>
              <w:t>优秀、优良、满意、表扬或好评</w:t>
            </w:r>
            <w:r>
              <w:rPr>
                <w:rFonts w:hint="eastAsia" w:ascii="宋体" w:hAnsi="宋体" w:cs="Times New Roman"/>
                <w:color w:val="000000" w:themeColor="text1"/>
                <w:sz w:val="24"/>
                <w:highlight w:val="none"/>
                <w:lang w:val="en-US" w:eastAsia="zh-CN"/>
                <w14:textFill>
                  <w14:solidFill>
                    <w14:schemeClr w14:val="tx1"/>
                  </w14:solidFill>
                </w14:textFill>
              </w:rPr>
              <w:t>等</w:t>
            </w:r>
            <w:r>
              <w:rPr>
                <w:rFonts w:hint="eastAsia" w:ascii="宋体" w:hAnsi="宋体" w:eastAsia="宋体" w:cs="Times New Roman"/>
                <w:color w:val="000000" w:themeColor="text1"/>
                <w:sz w:val="24"/>
                <w:highlight w:val="none"/>
                <w14:textFill>
                  <w14:solidFill>
                    <w14:schemeClr w14:val="tx1"/>
                  </w14:solidFill>
                </w14:textFill>
              </w:rPr>
              <w:t>）的，每提供1个得1分，满分3分。须提供相应报告</w:t>
            </w:r>
            <w:r>
              <w:rPr>
                <w:rFonts w:hint="eastAsia" w:ascii="宋体" w:hAnsi="宋体" w:cs="Times New Roman"/>
                <w:color w:val="000000" w:themeColor="text1"/>
                <w:kern w:val="2"/>
                <w:sz w:val="24"/>
                <w:szCs w:val="24"/>
                <w:highlight w:val="none"/>
                <w:lang w:val="en-US" w:eastAsia="zh-CN" w:bidi="ar-SA"/>
                <w14:textFill>
                  <w14:solidFill>
                    <w14:schemeClr w14:val="tx1"/>
                  </w14:solidFill>
                </w14:textFill>
              </w:rPr>
              <w:t>或业主满意度评价</w:t>
            </w:r>
            <w:r>
              <w:rPr>
                <w:rFonts w:hint="eastAsia" w:ascii="宋体" w:hAnsi="宋体" w:eastAsia="宋体" w:cs="Times New Roman"/>
                <w:color w:val="000000" w:themeColor="text1"/>
                <w:sz w:val="24"/>
                <w:szCs w:val="24"/>
                <w:highlight w:val="none"/>
                <w:lang w:val="en-US" w:eastAsia="zh-CN"/>
                <w14:textFill>
                  <w14:solidFill>
                    <w14:schemeClr w14:val="tx1"/>
                  </w14:solidFill>
                </w14:textFill>
              </w:rPr>
              <w:t>加盖业主单位公章</w:t>
            </w:r>
            <w:r>
              <w:rPr>
                <w:rFonts w:hint="eastAsia" w:ascii="宋体" w:hAnsi="宋体" w:eastAsia="宋体" w:cs="Times New Roman"/>
                <w:color w:val="000000" w:themeColor="text1"/>
                <w:sz w:val="24"/>
                <w:highlight w:val="none"/>
                <w14:textFill>
                  <w14:solidFill>
                    <w14:schemeClr w14:val="tx1"/>
                  </w14:solidFill>
                </w14:textFill>
              </w:rPr>
              <w:t>及相应的合同复印件，否则不得分。</w:t>
            </w:r>
          </w:p>
        </w:tc>
        <w:tc>
          <w:tcPr>
            <w:tcW w:w="1130" w:type="dxa"/>
            <w:vAlign w:val="center"/>
          </w:tcPr>
          <w:p w14:paraId="03F49E54">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3分</w:t>
            </w:r>
          </w:p>
        </w:tc>
      </w:tr>
      <w:tr w14:paraId="3B03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7" w:type="dxa"/>
            <w:vAlign w:val="center"/>
          </w:tcPr>
          <w:p w14:paraId="7252F33D">
            <w:pPr>
              <w:spacing w:line="480" w:lineRule="atLeast"/>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2-9</w:t>
            </w:r>
          </w:p>
        </w:tc>
        <w:tc>
          <w:tcPr>
            <w:tcW w:w="6971" w:type="dxa"/>
          </w:tcPr>
          <w:p w14:paraId="49E740C2">
            <w:pPr>
              <w:tabs>
                <w:tab w:val="left" w:pos="2041"/>
                <w:tab w:val="left" w:pos="5907"/>
                <w:tab w:val="left" w:pos="9344"/>
              </w:tabs>
              <w:spacing w:line="480" w:lineRule="atLeas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根据供应商</w:t>
            </w:r>
            <w:r>
              <w:rPr>
                <w:rFonts w:hint="eastAsia" w:ascii="宋体" w:hAnsi="宋体"/>
                <w:color w:val="000000" w:themeColor="text1"/>
                <w:sz w:val="24"/>
                <w:highlight w:val="none"/>
                <w:lang w:val="en-US" w:eastAsia="zh-CN"/>
                <w14:textFill>
                  <w14:solidFill>
                    <w14:schemeClr w14:val="tx1"/>
                  </w14:solidFill>
                </w14:textFill>
              </w:rPr>
              <w:t>近三年</w:t>
            </w:r>
            <w:r>
              <w:rPr>
                <w:rFonts w:hint="eastAsia" w:ascii="宋体" w:hAnsi="宋体"/>
                <w:color w:val="000000" w:themeColor="text1"/>
                <w:sz w:val="24"/>
                <w:highlight w:val="none"/>
                <w14:textFill>
                  <w14:solidFill>
                    <w14:schemeClr w14:val="tx1"/>
                  </w14:solidFill>
                </w14:textFill>
              </w:rPr>
              <w:t>承接过</w:t>
            </w:r>
            <w:r>
              <w:rPr>
                <w:rFonts w:hint="eastAsia" w:ascii="宋体" w:hAnsi="宋体"/>
                <w:color w:val="000000" w:themeColor="text1"/>
                <w:sz w:val="24"/>
                <w:highlight w:val="none"/>
                <w:lang w:val="en-US" w:eastAsia="zh-CN"/>
                <w14:textFill>
                  <w14:solidFill>
                    <w14:schemeClr w14:val="tx1"/>
                  </w14:solidFill>
                </w14:textFill>
              </w:rPr>
              <w:t>与排污许可相关</w:t>
            </w:r>
            <w:r>
              <w:rPr>
                <w:rFonts w:hint="eastAsia" w:ascii="宋体" w:hAnsi="宋体"/>
                <w:color w:val="000000" w:themeColor="text1"/>
                <w:sz w:val="24"/>
                <w:highlight w:val="none"/>
                <w14:textFill>
                  <w14:solidFill>
                    <w14:schemeClr w14:val="tx1"/>
                  </w14:solidFill>
                </w14:textFill>
              </w:rPr>
              <w:t>业绩进行评分：供应商每提供1个业绩证明材料得1分，满分3分</w:t>
            </w:r>
            <w:r>
              <w:rPr>
                <w:rFonts w:hint="eastAsia" w:ascii="宋体" w:hAnsi="宋体"/>
                <w:color w:val="000000" w:themeColor="text1"/>
                <w:sz w:val="24"/>
                <w:highlight w:val="none"/>
                <w:lang w:eastAsia="zh-CN"/>
                <w14:textFill>
                  <w14:solidFill>
                    <w14:schemeClr w14:val="tx1"/>
                  </w14:solidFill>
                </w14:textFill>
              </w:rPr>
              <w:t>，</w:t>
            </w:r>
            <w:r>
              <w:rPr>
                <w:rFonts w:hint="eastAsia" w:ascii="宋体" w:hAnsi="宋体"/>
                <w:color w:val="000000" w:themeColor="text1"/>
                <w:sz w:val="24"/>
                <w:highlight w:val="none"/>
                <w:lang w:val="en-US" w:eastAsia="zh-CN"/>
                <w14:textFill>
                  <w14:solidFill>
                    <w14:schemeClr w14:val="tx1"/>
                  </w14:solidFill>
                </w14:textFill>
              </w:rPr>
              <w:t>未提供不得分。</w:t>
            </w:r>
          </w:p>
          <w:p w14:paraId="0AA9F0E8">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磋商响应供应商须在响应文件中提供该业绩项目以下资料复印件作为证明材料：</w:t>
            </w:r>
            <w:r>
              <w:rPr>
                <w:rFonts w:hint="eastAsia" w:ascii="宋体" w:hAnsi="宋体" w:eastAsia="宋体" w:cs="Times New Roman"/>
                <w:color w:val="000000" w:themeColor="text1"/>
                <w:sz w:val="24"/>
                <w:highlight w:val="none"/>
                <w:lang w:eastAsia="zh-CN"/>
                <w14:textFill>
                  <w14:solidFill>
                    <w14:schemeClr w14:val="tx1"/>
                  </w14:solidFill>
                </w14:textFill>
              </w:rPr>
              <w:t>①</w:t>
            </w:r>
            <w:r>
              <w:rPr>
                <w:rFonts w:hint="eastAsia" w:ascii="宋体" w:hAnsi="宋体" w:eastAsia="宋体" w:cs="宋体"/>
                <w:color w:val="000000" w:themeColor="text1"/>
                <w:sz w:val="24"/>
                <w:szCs w:val="24"/>
                <w:highlight w:val="none"/>
                <w14:textFill>
                  <w14:solidFill>
                    <w14:schemeClr w14:val="tx1"/>
                  </w14:solidFill>
                </w14:textFill>
              </w:rPr>
              <w:t>中标（成交）公告（提供相关网站中标（成交）公告的下载网页及其网址）、</w:t>
            </w:r>
            <w:r>
              <w:rPr>
                <w:rFonts w:hint="eastAsia" w:ascii="宋体" w:hAnsi="宋体" w:eastAsia="宋体" w:cs="Times New Roman"/>
                <w:color w:val="000000" w:themeColor="text1"/>
                <w:sz w:val="24"/>
                <w:highlight w:val="none"/>
                <w:lang w:eastAsia="zh-CN"/>
                <w14:textFill>
                  <w14:solidFill>
                    <w14:schemeClr w14:val="tx1"/>
                  </w14:solidFill>
                </w14:textFill>
              </w:rPr>
              <w:t>②</w:t>
            </w:r>
            <w:r>
              <w:rPr>
                <w:rFonts w:hint="eastAsia" w:ascii="宋体" w:hAnsi="宋体" w:eastAsia="宋体" w:cs="宋体"/>
                <w:color w:val="000000" w:themeColor="text1"/>
                <w:sz w:val="24"/>
                <w:szCs w:val="24"/>
                <w:highlight w:val="none"/>
                <w14:textFill>
                  <w14:solidFill>
                    <w14:schemeClr w14:val="tx1"/>
                  </w14:solidFill>
                </w14:textFill>
              </w:rPr>
              <w:t>中标（成交）通知书复印件、</w:t>
            </w:r>
            <w:r>
              <w:rPr>
                <w:rFonts w:hint="eastAsia" w:ascii="宋体" w:hAnsi="宋体" w:eastAsia="宋体" w:cs="Times New Roman"/>
                <w:color w:val="000000" w:themeColor="text1"/>
                <w:sz w:val="24"/>
                <w:highlight w:val="none"/>
                <w:lang w:eastAsia="zh-CN"/>
                <w14:textFill>
                  <w14:solidFill>
                    <w14:schemeClr w14:val="tx1"/>
                  </w14:solidFill>
                </w14:textFill>
              </w:rPr>
              <w:t>③</w:t>
            </w:r>
            <w:r>
              <w:rPr>
                <w:rFonts w:hint="eastAsia" w:ascii="宋体" w:hAnsi="宋体" w:eastAsia="宋体" w:cs="宋体"/>
                <w:color w:val="000000" w:themeColor="text1"/>
                <w:sz w:val="24"/>
                <w:szCs w:val="24"/>
                <w:highlight w:val="none"/>
                <w14:textFill>
                  <w14:solidFill>
                    <w14:schemeClr w14:val="tx1"/>
                  </w14:solidFill>
                </w14:textFill>
              </w:rPr>
              <w:t>采购合同文本复印件；</w:t>
            </w:r>
            <w:r>
              <w:rPr>
                <w:rFonts w:hint="eastAsia" w:ascii="宋体" w:hAnsi="宋体" w:cs="宋体"/>
                <w:color w:val="000000" w:themeColor="text1"/>
                <w:sz w:val="24"/>
                <w:szCs w:val="24"/>
                <w:highlight w:val="none"/>
                <w14:textFill>
                  <w14:solidFill>
                    <w14:schemeClr w14:val="tx1"/>
                  </w14:solidFill>
                </w14:textFill>
              </w:rPr>
              <w:t>④能够证明该业绩项目已经采购人验收合格的相关证明文件复印件；如未按采购文件要求提供该项业绩完整资料的，评委对该项业绩应不予采信。</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按省里的规定业绩要验收证明材料。</w:t>
            </w:r>
            <w:r>
              <w:rPr>
                <w:rFonts w:hint="eastAsia" w:ascii="宋体" w:hAnsi="宋体" w:cs="宋体"/>
                <w:color w:val="000000" w:themeColor="text1"/>
                <w:sz w:val="24"/>
                <w:szCs w:val="24"/>
                <w:highlight w:val="none"/>
                <w:lang w:eastAsia="zh-CN"/>
                <w14:textFill>
                  <w14:solidFill>
                    <w14:schemeClr w14:val="tx1"/>
                  </w14:solidFill>
                </w14:textFill>
              </w:rPr>
              <w:t>）</w:t>
            </w:r>
          </w:p>
        </w:tc>
        <w:tc>
          <w:tcPr>
            <w:tcW w:w="1130" w:type="dxa"/>
            <w:vAlign w:val="center"/>
          </w:tcPr>
          <w:p w14:paraId="615B8FD9">
            <w:pPr>
              <w:tabs>
                <w:tab w:val="left" w:pos="2041"/>
                <w:tab w:val="left" w:pos="5907"/>
                <w:tab w:val="left" w:pos="9344"/>
              </w:tabs>
              <w:spacing w:line="480" w:lineRule="atLeast"/>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3分</w:t>
            </w:r>
          </w:p>
        </w:tc>
      </w:tr>
    </w:tbl>
    <w:p w14:paraId="0161E5C3">
      <w:pPr>
        <w:pStyle w:val="25"/>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8DDA05C">
      <w:pPr>
        <w:pStyle w:val="26"/>
        <w:rPr>
          <w:rFonts w:hint="eastAsia"/>
          <w:color w:val="000000" w:themeColor="text1"/>
          <w:highlight w:val="none"/>
          <w14:textFill>
            <w14:solidFill>
              <w14:schemeClr w14:val="tx1"/>
            </w14:solidFill>
          </w14:textFill>
        </w:rPr>
      </w:pPr>
    </w:p>
    <w:p w14:paraId="5F9DFF94">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3853DE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的价格为磋商基准价，其价格分为满分。其他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的评审价</w:t>
      </w:r>
    </w:p>
    <w:p w14:paraId="4C930F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351DBB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1AC489">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供应商</w:t>
      </w:r>
      <w:r>
        <w:rPr>
          <w:rFonts w:hint="eastAsia" w:ascii="宋体" w:hAnsi="宋体" w:eastAsia="宋体" w:cs="宋体"/>
          <w:color w:val="000000" w:themeColor="text1"/>
          <w:sz w:val="32"/>
          <w:szCs w:val="32"/>
          <w:highlight w:val="none"/>
          <w14:textFill>
            <w14:solidFill>
              <w14:schemeClr w14:val="tx1"/>
            </w14:solidFill>
          </w14:textFill>
        </w:rPr>
        <w:t>须知前附表4：中小企业及监狱企业优惠办法</w:t>
      </w:r>
    </w:p>
    <w:tbl>
      <w:tblPr>
        <w:tblStyle w:val="2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C86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vAlign w:val="center"/>
          </w:tcPr>
          <w:p w14:paraId="538218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vAlign w:val="center"/>
          </w:tcPr>
          <w:p w14:paraId="207E2D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vAlign w:val="center"/>
          </w:tcPr>
          <w:p w14:paraId="4A24816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5F0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vAlign w:val="center"/>
          </w:tcPr>
          <w:p w14:paraId="0F9031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vAlign w:val="center"/>
          </w:tcPr>
          <w:p w14:paraId="3CF22EC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vAlign w:val="center"/>
          </w:tcPr>
          <w:p w14:paraId="763BB414">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12058D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860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vAlign w:val="center"/>
          </w:tcPr>
          <w:p w14:paraId="2F093CB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vAlign w:val="center"/>
          </w:tcPr>
          <w:p w14:paraId="72087C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tcPr>
          <w:p w14:paraId="6EA090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7503EB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3C0F3D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A97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vAlign w:val="center"/>
          </w:tcPr>
          <w:p w14:paraId="2BA26019">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vAlign w:val="center"/>
          </w:tcPr>
          <w:p w14:paraId="048E1D3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tcPr>
          <w:p w14:paraId="78270A5A">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为中小企业（含中型、小型、微型企业，下同）：</w:t>
            </w:r>
          </w:p>
          <w:p w14:paraId="4F0E76D8">
            <w:pPr>
              <w:spacing w:line="360" w:lineRule="auto"/>
              <w:ind w:left="0" w:firstLine="464" w:firstLineChars="200"/>
              <w:rPr>
                <w:rFonts w:hint="default" w:ascii="宋体" w:hAnsi="宋体" w:eastAsia="宋体" w:cs="宋体"/>
                <w:color w:val="000000" w:themeColor="text1"/>
                <w:spacing w:val="-4"/>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cs="宋体"/>
                <w:color w:val="000000" w:themeColor="text1"/>
                <w:spacing w:val="-4"/>
                <w:sz w:val="24"/>
                <w:szCs w:val="24"/>
                <w:highlight w:val="none"/>
                <w:lang w:val="en-US" w:eastAsia="zh-CN"/>
                <w14:textFill>
                  <w14:solidFill>
                    <w14:schemeClr w14:val="tx1"/>
                  </w14:solidFill>
                </w14:textFill>
              </w:rPr>
              <w:t>全免</w:t>
            </w:r>
          </w:p>
          <w:p w14:paraId="570E7D6B">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2D631099">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4827C113">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13750C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136E1183">
            <w:pPr>
              <w:pStyle w:val="26"/>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199311DC">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6B459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0D6964F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vAlign w:val="center"/>
          </w:tcPr>
          <w:p w14:paraId="79D6037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软件和信息技术服务业</w:t>
            </w:r>
            <w:r>
              <w:rPr>
                <w:rFonts w:hint="eastAsia" w:ascii="宋体" w:hAnsi="宋体" w:eastAsia="宋体" w:cs="宋体"/>
                <w:color w:val="000000" w:themeColor="text1"/>
                <w:sz w:val="24"/>
                <w:szCs w:val="24"/>
                <w:highlight w:val="none"/>
                <w:u w:val="single"/>
                <w14:textFill>
                  <w14:solidFill>
                    <w14:schemeClr w14:val="tx1"/>
                  </w14:solidFill>
                </w14:textFill>
              </w:rPr>
              <w:t>行业。</w:t>
            </w:r>
          </w:p>
        </w:tc>
        <w:tc>
          <w:tcPr>
            <w:tcW w:w="6256" w:type="dxa"/>
            <w:tcBorders>
              <w:bottom w:val="single" w:color="auto" w:sz="4" w:space="0"/>
            </w:tcBorders>
          </w:tcPr>
          <w:p w14:paraId="44E02A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142F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06FD674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vAlign w:val="center"/>
          </w:tcPr>
          <w:p w14:paraId="1049E794">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tcPr>
          <w:p w14:paraId="4ED43A3B">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将不被视为中小企业：</w:t>
            </w:r>
          </w:p>
          <w:p w14:paraId="106F95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不符合“工信部联企业[2011]300号”规定的中小企业标准的；</w:t>
            </w:r>
          </w:p>
          <w:p w14:paraId="4909CA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586774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中标明的中小企业产品的制造商不符合“工信部联企业[2011]300号”规定的中小企业标准的；</w:t>
            </w:r>
          </w:p>
          <w:p w14:paraId="652C15BE">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1481ADEE">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还应承担由此引起的其他经济、法律责任。出现此种情形时，采购人、采购代理机构将有关情况上报政府采购监管部门，由监管部门按有关规定对其进行相应处罚。</w:t>
            </w:r>
          </w:p>
          <w:p w14:paraId="2B1F29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列入不良行为记录名单，在一至三年内禁止该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w:t>
            </w:r>
            <w:r>
              <w:rPr>
                <w:rFonts w:hint="eastAsia" w:ascii="宋体" w:hAnsi="宋体" w:cs="宋体"/>
                <w:b/>
                <w:i/>
                <w:color w:val="000000" w:themeColor="text1"/>
                <w:kern w:val="0"/>
                <w:sz w:val="24"/>
                <w:szCs w:val="24"/>
                <w:highlight w:val="none"/>
                <w:u w:val="single"/>
                <w:lang w:eastAsia="zh-CN"/>
                <w14:textFill>
                  <w14:solidFill>
                    <w14:schemeClr w14:val="tx1"/>
                  </w14:solidFill>
                </w14:textFill>
              </w:rPr>
              <w:t>供应商</w:t>
            </w:r>
            <w:r>
              <w:rPr>
                <w:rFonts w:hint="eastAsia" w:ascii="宋体" w:hAnsi="宋体" w:eastAsia="宋体" w:cs="宋体"/>
                <w:b/>
                <w:i/>
                <w:color w:val="000000" w:themeColor="text1"/>
                <w:kern w:val="0"/>
                <w:sz w:val="24"/>
                <w:szCs w:val="24"/>
                <w:highlight w:val="none"/>
                <w:u w:val="single"/>
                <w14:textFill>
                  <w14:solidFill>
                    <w14:schemeClr w14:val="tx1"/>
                  </w14:solidFill>
                </w14:textFill>
              </w:rPr>
              <w:t>自行承担。）</w:t>
            </w:r>
          </w:p>
        </w:tc>
      </w:tr>
    </w:tbl>
    <w:p w14:paraId="6DB89AA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489B7A3">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55916D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40D3901">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029DC99">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C529A0A">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0CBB732">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6FFB6262">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FFBF7E9">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B8F774F">
      <w:pPr>
        <w:pStyle w:val="3"/>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78B8E243">
      <w:pPr>
        <w:pStyle w:val="3"/>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0BE84A">
      <w:pPr>
        <w:pStyle w:val="3"/>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790190B9">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4C1A89DE">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786EFA2F">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378715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18E90D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1A2A92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07D93D0C">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”系指购买了本采购文件，且已经提交或准备提交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的服务商或承包商。</w:t>
      </w:r>
    </w:p>
    <w:p w14:paraId="6F19BE5D">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“货物”系指各种形态和种类的物品，包括原材料、燃料、设备、产品等。</w:t>
      </w:r>
    </w:p>
    <w:p w14:paraId="4FCD8566">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72D32734">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5DCBCA37">
      <w:pPr>
        <w:pStyle w:val="3"/>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w:t>
      </w:r>
      <w:r>
        <w:rPr>
          <w:rFonts w:hint="eastAsia" w:hAnsi="宋体" w:cs="宋体"/>
          <w:b/>
          <w:color w:val="000000" w:themeColor="text1"/>
          <w:sz w:val="24"/>
          <w:szCs w:val="24"/>
          <w:highlight w:val="none"/>
          <w:lang w:eastAsia="zh-CN"/>
          <w14:textFill>
            <w14:solidFill>
              <w14:schemeClr w14:val="tx1"/>
            </w14:solidFill>
          </w14:textFill>
        </w:rPr>
        <w:t>供应商</w:t>
      </w:r>
    </w:p>
    <w:p w14:paraId="603872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826D0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0F47C2DC">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6A947F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79A58A7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06B7C0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4FB24A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093868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7202C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AE66E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47645E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4E4D1F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3348D4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23CB54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一并提交采购代理机构。联合体各方签订共同磋商协议后，不得再以自己名义单独在同一项目中响应，也不得组成新的联合体参加同一项目响应。</w:t>
      </w:r>
    </w:p>
    <w:p w14:paraId="6DFA83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中仅加盖联合体一方公章的相关文件，对联合体各方均具有约束力。</w:t>
      </w:r>
    </w:p>
    <w:p w14:paraId="0BC4B08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70ED075B">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6015FA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1F5FC9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78BD78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21E485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0DA5CD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151CEE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3E91E3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20FF8E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由同一单位或者个人编制；</w:t>
      </w:r>
    </w:p>
    <w:p w14:paraId="433437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322264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载明的项目管理成员为同一人；</w:t>
      </w:r>
    </w:p>
    <w:p w14:paraId="76BF89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异常一致或者报价呈规律性差异；</w:t>
      </w:r>
    </w:p>
    <w:p w14:paraId="653AEC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相互混装；</w:t>
      </w:r>
    </w:p>
    <w:p w14:paraId="3C4FA9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4CE13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错、漏之处一致或雷同，且不能合理解释的；</w:t>
      </w:r>
    </w:p>
    <w:p w14:paraId="534619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2D0D8F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0490A5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368EBF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B344ACE">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6E10FA60">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应承担其准备与参加磋商所涉及的一切费用。</w:t>
      </w:r>
    </w:p>
    <w:p w14:paraId="54FFC8F1">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231D5A27">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5.1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承担。</w:t>
      </w:r>
    </w:p>
    <w:p w14:paraId="7EEA0C8A">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不拥有相应的知识产权，则在报价中必须包括合法获取该知识产权的相关费用。</w:t>
      </w:r>
    </w:p>
    <w:p w14:paraId="1177CDA1">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20391CD2">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529C4747">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7C7019C5">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7CB2BBC1">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3501C1EF">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411AC1E4">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5393BE9B">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w:t>
      </w:r>
    </w:p>
    <w:p w14:paraId="68FEDA6D">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4D14E6FD">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7E5ED118">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格式</w:t>
      </w:r>
    </w:p>
    <w:p w14:paraId="58C205DF">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767F2E91">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366DBA7F">
      <w:pPr>
        <w:pStyle w:val="7"/>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36B1666">
      <w:pPr>
        <w:pStyle w:val="7"/>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在准备</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时有合理的时间考虑</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的修改，采购代理机构可酌情推迟磋商响应截止时间，但应当至少在截止时间3个工作日前将变更时间以书面形式通知所有获取采购文件的</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，该修改内容为采购文件的组成部分。在此情况下，采购人和</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受磋商响应截止期制约的所有权利和义务均应延长至新的截止日期。</w:t>
      </w:r>
    </w:p>
    <w:p w14:paraId="0829F8D6">
      <w:pPr>
        <w:pStyle w:val="7"/>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69DEF9BE">
      <w:pPr>
        <w:pStyle w:val="7"/>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w:t>
      </w:r>
      <w:r>
        <w:rPr>
          <w:rFonts w:hint="eastAsia" w:cs="宋体"/>
          <w:b/>
          <w:color w:val="000000" w:themeColor="text1"/>
          <w:sz w:val="32"/>
          <w:szCs w:val="32"/>
          <w:highlight w:val="none"/>
          <w:lang w:eastAsia="zh-CN"/>
          <w14:textFill>
            <w14:solidFill>
              <w14:schemeClr w14:val="tx1"/>
            </w14:solidFill>
          </w14:textFill>
        </w:rPr>
        <w:t>磋商响应文件</w:t>
      </w:r>
      <w:r>
        <w:rPr>
          <w:rFonts w:hint="eastAsia" w:eastAsia="宋体" w:cs="宋体"/>
          <w:b/>
          <w:color w:val="000000" w:themeColor="text1"/>
          <w:sz w:val="32"/>
          <w:szCs w:val="32"/>
          <w:highlight w:val="none"/>
          <w14:textFill>
            <w14:solidFill>
              <w14:schemeClr w14:val="tx1"/>
            </w14:solidFill>
          </w14:textFill>
        </w:rPr>
        <w:t>的编写</w:t>
      </w:r>
    </w:p>
    <w:p w14:paraId="05D9E71D">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12BC2719">
      <w:pPr>
        <w:pStyle w:val="3"/>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应仔细阅读采购文件的所有内容，按采购文件的要求提供</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应对采购文件的要求作出实质性响应，并保证所提供的全部资料的真实性，否则其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可被作响应无效处理。</w:t>
      </w:r>
    </w:p>
    <w:p w14:paraId="3F3C7771">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p w14:paraId="48B29370">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语言及报价要求</w:t>
      </w:r>
    </w:p>
    <w:p w14:paraId="7747F422">
      <w:pPr>
        <w:pStyle w:val="3"/>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中所附或所引用的原件不是中文时，应附中文译文。各种计量单位及符号应采用国际上统一使用的公制计量单位和符号。</w:t>
      </w:r>
    </w:p>
    <w:p w14:paraId="1BEB0138">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的组成</w:t>
      </w:r>
    </w:p>
    <w:p w14:paraId="3AE65876">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应包括下列部分：</w:t>
      </w:r>
    </w:p>
    <w:p w14:paraId="651CC2B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10272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094524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2A5B57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6F407FD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610A9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8D529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资格证明文件</w:t>
      </w:r>
    </w:p>
    <w:p w14:paraId="39AACA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22D20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23857BC1">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应交的其他资料</w:t>
      </w:r>
    </w:p>
    <w:p w14:paraId="0EA9FEDC">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519E2D88">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从</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被拒绝。</w:t>
      </w:r>
    </w:p>
    <w:p w14:paraId="6F83D9F8">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11.2特殊情况下采购代理机构可于磋商有效期满之前书面要求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同意延长有效期，</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应在采购代理机构规定的期限内以书面形式予以答复。</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可以拒绝上述要求而其磋商保证金可按规定予以退还。</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答复不明确或者逾期未答复的，均视为拒绝上述要求。对于接受该要求的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，既不要求也不允许其修改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，但将要求其相应延长磋商保证金有效期，有关退还和不予退还磋商保证金的规定在报价有效期延长期内继续有效。      </w:t>
      </w:r>
    </w:p>
    <w:p w14:paraId="551B191B">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1D5E43C1">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的组成部分之一。</w:t>
      </w:r>
    </w:p>
    <w:p w14:paraId="5BABD332">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应在提交</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之前向采购代理机构指定的政府采购保证金专户缴交</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须知前附表要求的磋商保证金。联合体参加磋商的，可以由联合体中的一方或者共同提交磋商保证金，以一方名义提交磋商保证金的，对联合体各方均具有约束力。</w:t>
      </w:r>
    </w:p>
    <w:p w14:paraId="11F71D4C">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的行为而引起的风险。</w:t>
      </w:r>
    </w:p>
    <w:p w14:paraId="1552A7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09AD15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3DA38893">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17077C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为中小企业的，其磋商保证金</w:t>
      </w:r>
      <w:r>
        <w:rPr>
          <w:rFonts w:hint="eastAsia" w:ascii="宋体" w:hAnsi="宋体" w:cs="宋体"/>
          <w:color w:val="000000" w:themeColor="text1"/>
          <w:sz w:val="24"/>
          <w:szCs w:val="24"/>
          <w:highlight w:val="none"/>
          <w:lang w:val="en-US"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未按照采购文件格式要求在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中提供《中小企业声明函》的，其磋商响应作无效响应处理。</w:t>
      </w:r>
    </w:p>
    <w:p w14:paraId="72C4C8D9">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2351ABD7">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65C3F113">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40FA1D93">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w:t>
      </w:r>
    </w:p>
    <w:p w14:paraId="162A8EB7">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7BB0B31E">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在提交最后报价后，撤回磋商响应；</w:t>
      </w:r>
    </w:p>
    <w:p w14:paraId="7C7AB994">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6E34DD5D">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9647021">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750675B5">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中提供虚假材料的；</w:t>
      </w:r>
    </w:p>
    <w:p w14:paraId="6051450A">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33C89404">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p>
    <w:p w14:paraId="367140E4">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7CF7844F">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或者采购代理机构恶意串通的；</w:t>
      </w:r>
    </w:p>
    <w:p w14:paraId="5FC80B4E">
      <w:pPr>
        <w:pStyle w:val="3"/>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52576367">
      <w:pPr>
        <w:pStyle w:val="3"/>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08A727BC">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的格式</w:t>
      </w:r>
    </w:p>
    <w:p w14:paraId="5938229D">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须编制由本须知第10条规定文件组成的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4F7D0C44">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的法定代表人或授权代表签字并加盖公章，如由后者签字，应提供“单位授权委托书”。</w:t>
      </w:r>
    </w:p>
    <w:p w14:paraId="572A6CEC">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54352C1B">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应提交证明其拟供货物、服务、工程符合采购文件要求的技术</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，该文件可以是文字资料、图纸和数据，并须提供货物、服务、工程主要技术性能的详细描述。</w:t>
      </w:r>
    </w:p>
    <w:p w14:paraId="334B9CAD">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21E3063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应无涂改和行间插字，除非这些改动是根据采购代理机构的指示进行的，或者是为改正</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造成的必须修改的错误而进行的。有改动时，修改处应由法定代表人或授权代表签字证明或加盖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0ECC360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字迹模糊不清的，其磋商响应将被拒绝。</w:t>
      </w:r>
    </w:p>
    <w:p w14:paraId="46A39F7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47F9EF80">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应将上述文件按顺序装订成册、打印页码，并编列</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被误读或漏读，该磋商响应可能被视为无效响应或承担不利的评审结果。</w:t>
      </w:r>
    </w:p>
    <w:p w14:paraId="04FEC4C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E732BF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6B7A072">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05BAF7DC">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的提交</w:t>
      </w:r>
    </w:p>
    <w:p w14:paraId="2D921F0E">
      <w:pPr>
        <w:pStyle w:val="71"/>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的密封、标记和递交</w:t>
      </w:r>
    </w:p>
    <w:p w14:paraId="1F81700A">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正本和副本分别用信封密封，并标明采购文件编号、</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名称、采购项目名称及“正本”或“副本”。</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未密封可导致其磋商被拒绝。</w:t>
      </w:r>
    </w:p>
    <w:p w14:paraId="46B9388D">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之前（指磋商邀请中规定的磋商日期及时间）不准启封”的字样，并加盖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公章或由磋商代表签字。     </w:t>
      </w:r>
    </w:p>
    <w:p w14:paraId="3676F8CE">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由邮局或专人送交，</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按第14.1条至14.2条中的规定进行密封和标记后，按磋商邀请函注明的地址送至接收人。</w:t>
      </w:r>
    </w:p>
    <w:p w14:paraId="62E4C026">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的误投或提前拆封的责任。</w:t>
      </w:r>
    </w:p>
    <w:p w14:paraId="3D5C3C9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应在磋商邀请中规定的截止时间前送达，迟到的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为无效</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，将被拒绝。</w:t>
      </w:r>
    </w:p>
    <w:p w14:paraId="488DC259">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在磋商响应截止时间前，可以对所提交的采购文件进行修改或者撤回，并书面通知采购代理机构。修改的内容和撤回通知应当按本须知要求签署、盖章、密封，并作为</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的组成部分。</w:t>
      </w:r>
    </w:p>
    <w:p w14:paraId="77A06DB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在磋商响应截止期后不得修改、撤回</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在报价截止期后修改</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的，其磋商响应将被拒绝。</w:t>
      </w:r>
    </w:p>
    <w:p w14:paraId="028FB23C">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可以为2家。属于政府购买服务项目的，在采购过程中符合要求的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只有1家的，应当终止采购活动，发布项目终止公告并说明原因，重新开展采购活动。</w:t>
      </w:r>
    </w:p>
    <w:p w14:paraId="6ECF0E1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D605ABF">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66677A2">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2D6593A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C92131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7C2B1D4">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w:t>
      </w:r>
      <w:r>
        <w:rPr>
          <w:rFonts w:hint="eastAsia" w:hAnsi="宋体" w:cs="宋体"/>
          <w:b/>
          <w:color w:val="000000" w:themeColor="text1"/>
          <w:sz w:val="32"/>
          <w:szCs w:val="32"/>
          <w:highlight w:val="none"/>
          <w:lang w:eastAsia="zh-CN"/>
          <w14:textFill>
            <w14:solidFill>
              <w14:schemeClr w14:val="tx1"/>
            </w14:solidFill>
          </w14:textFill>
        </w:rPr>
        <w:t>磋商响应文件</w:t>
      </w:r>
      <w:r>
        <w:rPr>
          <w:rFonts w:hint="eastAsia" w:hAnsi="宋体" w:eastAsia="宋体" w:cs="宋体"/>
          <w:b/>
          <w:color w:val="000000" w:themeColor="text1"/>
          <w:sz w:val="32"/>
          <w:szCs w:val="32"/>
          <w:highlight w:val="none"/>
          <w14:textFill>
            <w14:solidFill>
              <w14:schemeClr w14:val="tx1"/>
            </w14:solidFill>
          </w14:textFill>
        </w:rPr>
        <w:t>的评估和比较</w:t>
      </w:r>
    </w:p>
    <w:p w14:paraId="4D114B51">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44EAC144">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须知前附表中所规定的时间、地点磋商（如有推迟情形，以推迟后的时间、地点为准）。</w:t>
      </w:r>
    </w:p>
    <w:p w14:paraId="2297762B">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和有关方面代表参加。</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一般应派授权代表参加磋商，并办理签到手续。</w:t>
      </w:r>
    </w:p>
    <w:p w14:paraId="3F485D3F">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35F919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进行审查、质疑、评估和比较，进行磋商并做出授予合同的建议。</w:t>
      </w:r>
    </w:p>
    <w:p w14:paraId="257538A6">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w:t>
      </w:r>
      <w:r>
        <w:rPr>
          <w:rFonts w:hint="eastAsia" w:hAnsi="宋体" w:cs="宋体"/>
          <w:b/>
          <w:color w:val="000000" w:themeColor="text1"/>
          <w:sz w:val="24"/>
          <w:szCs w:val="24"/>
          <w:highlight w:val="none"/>
          <w:lang w:eastAsia="zh-CN"/>
          <w14:textFill>
            <w14:solidFill>
              <w14:schemeClr w14:val="tx1"/>
            </w14:solidFill>
          </w14:textFill>
        </w:rPr>
        <w:t>磋商响应文件</w:t>
      </w:r>
      <w:r>
        <w:rPr>
          <w:rFonts w:hint="eastAsia" w:hAnsi="宋体" w:eastAsia="宋体" w:cs="宋体"/>
          <w:b/>
          <w:color w:val="000000" w:themeColor="text1"/>
          <w:sz w:val="24"/>
          <w:szCs w:val="24"/>
          <w:highlight w:val="none"/>
          <w14:textFill>
            <w14:solidFill>
              <w14:schemeClr w14:val="tx1"/>
            </w14:solidFill>
          </w14:textFill>
        </w:rPr>
        <w:t>的初审</w:t>
      </w:r>
    </w:p>
    <w:p w14:paraId="7A0AE8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的评估，都采用相同的程序和标准。评议过程将严格按照采购文件的要求和条件进行。</w:t>
      </w:r>
    </w:p>
    <w:p w14:paraId="17C97A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的审查、澄清、评估和比较以及推荐成交候选人的一切情况都不得透露给任一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660684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的评审、比较或者推荐候选人的行为，都将导致其磋商响应被拒绝，并被没收磋商保证金。</w:t>
      </w:r>
    </w:p>
    <w:p w14:paraId="684387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17.1磋商小组将对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进行审查，以确定</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 xml:space="preserve">是否完整、有无计算上的错误、是否提交了磋商保证金、文件是否已正确签署。 </w:t>
      </w:r>
    </w:p>
    <w:p w14:paraId="29F2E0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1D55C28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中报价一览表内容与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中明细表内容不一致的，以报价一览表为准。</w:t>
      </w:r>
    </w:p>
    <w:p w14:paraId="69EAD5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的大写金额和小写金额不一致的，以大写金额为准；总价金额与按单价汇总金额不一致的，以单价金额计算结果为准；单价金额小数点有明显错位的，应以总价为准，并修改单价；对不同文字文本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的解释发生异议的，以中文文本为准。</w:t>
      </w:r>
    </w:p>
    <w:p w14:paraId="01786E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中的算术错误进行更正，其响应将被拒绝并没收其磋商保证金。</w:t>
      </w:r>
    </w:p>
    <w:p w14:paraId="694AD7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BA47C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092A60AA">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将不进行评估，其响应将按照无效响应处理。凡有下列情况之一者，</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也将被视为未实质性响应采购文件要求：</w:t>
      </w:r>
    </w:p>
    <w:p w14:paraId="3AC06DB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4DCD59A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7A11A07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3343811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内容与采购文件内容及要求有重大偏离或保留的；</w:t>
      </w:r>
    </w:p>
    <w:p w14:paraId="35D2030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8A0379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241B11F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中提供虚假或失实资料的；</w:t>
      </w:r>
    </w:p>
    <w:p w14:paraId="1691BDE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5D9774D7">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本身的内容，而不寻求其他的外部证据。</w:t>
      </w:r>
    </w:p>
    <w:p w14:paraId="6EBCF1EA">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提交的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将给予保密，但不予退回。</w:t>
      </w:r>
    </w:p>
    <w:p w14:paraId="736DB002">
      <w:pPr>
        <w:pStyle w:val="7"/>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资格和报价产品均必须满足中华人民共和国相关法律法规及行业的强制性要求，否则将作无效响应处理。</w:t>
      </w:r>
    </w:p>
    <w:p w14:paraId="0543059E">
      <w:pPr>
        <w:pStyle w:val="7"/>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1F6B4207">
      <w:pPr>
        <w:pStyle w:val="7"/>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作出必要的澄清、说明或者纠正。</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的澄清、说明或者补正应当在磋商小组规定的时间内以书面形式作出，由其法定代表人或者授权代表签字，并不得超出</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的范围或者改变</w:t>
      </w:r>
      <w:r>
        <w:rPr>
          <w:rFonts w:hint="eastAsia" w:cs="宋体"/>
          <w:color w:val="000000" w:themeColor="text1"/>
          <w:sz w:val="24"/>
          <w:szCs w:val="24"/>
          <w:highlight w:val="none"/>
          <w:lang w:eastAsia="zh-CN"/>
          <w14:textFill>
            <w14:solidFill>
              <w14:schemeClr w14:val="tx1"/>
            </w14:solidFill>
          </w14:textFill>
        </w:rPr>
        <w:t>磋商响应文件</w:t>
      </w:r>
      <w:r>
        <w:rPr>
          <w:rFonts w:hint="eastAsia" w:eastAsia="宋体" w:cs="宋体"/>
          <w:color w:val="000000" w:themeColor="text1"/>
          <w:sz w:val="24"/>
          <w:szCs w:val="24"/>
          <w:highlight w:val="none"/>
          <w14:textFill>
            <w14:solidFill>
              <w14:schemeClr w14:val="tx1"/>
            </w14:solidFill>
          </w14:textFill>
        </w:rPr>
        <w:t>的实质性内容。</w:t>
      </w:r>
    </w:p>
    <w:p w14:paraId="0D48CD2C">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712B201E">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须知前附表3所述评审方法与标准，对资格性检查和符合性检查合格的采购文件进行商务和技术评估，综合比较与评价。</w:t>
      </w:r>
    </w:p>
    <w:p w14:paraId="34CE4BE5">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该项最高报价加入漏（缺）报人的磋商响应报价进行评审。对多报及赠送项的价格评审时不予核减，全部进入评审价评议。</w:t>
      </w:r>
    </w:p>
    <w:p w14:paraId="75AB8C83">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应按磋商小组要求作出书面说明并提供相关证明材料，不能合理说明或不能提供相关证明材料的，可作无效报价处理。</w:t>
      </w:r>
    </w:p>
    <w:p w14:paraId="7C1C2DDB">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01A6108">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6ABC8D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98CDE86">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4EE1F0D">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15F57D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F36C516">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D5B0E07">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2830142F">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1C88A583">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3B8A727A">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5502F81">
      <w:pPr>
        <w:pStyle w:val="71"/>
        <w:spacing w:line="360" w:lineRule="auto"/>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82E22BB">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52BB1E4D">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07673817">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 xml:space="preserve">符合采购文件要求，按采购文件确定评审方法、标准，经磋商小组评审并推荐成交候选人。 </w:t>
      </w:r>
    </w:p>
    <w:p w14:paraId="3454B8EB">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4843BE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厦门市生态环境局官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409071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2515B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64DB62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退还其磋商保证金（含保函）。在合同签订后5个工作日内，以原缴交方式退还成交供应商的磋商保证金。</w:t>
      </w:r>
    </w:p>
    <w:p w14:paraId="395977C0">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BA40BDE">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w:t>
      </w: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0日内，根据采购文件确定的事项和成交供应商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，参照本采购文件第四章的《合同》文本签订合同。双方所签订的合同不得对采购文件和成交供应商</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77E2D094">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、补充或修改的文件及澄清或承诺文件等，均为双方签订合同的组成部分，并与合同一并作为本采购文件所列采购项目的互补性法律文件，与合同具有同等法律效力。</w:t>
      </w:r>
    </w:p>
    <w:p w14:paraId="41745A4A">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038A42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5044C477">
      <w:pPr>
        <w:pStyle w:val="3"/>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55CD995B">
      <w:pPr>
        <w:pStyle w:val="3"/>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3B94B5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06AB0A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2D608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74F04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7B670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0E641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4E2F73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F61B2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750CF4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ACDF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E90DCE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B8FAA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43BD7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49CB352">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D3CDC37">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9B8E4B">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209B24">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05A1B80">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1EF990">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BDF603B">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E796641">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D9E519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E10F2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5542D139">
      <w:pPr>
        <w:autoSpaceDE w:val="0"/>
        <w:autoSpaceDN w:val="0"/>
        <w:adjustRightInd w:val="0"/>
        <w:spacing w:line="500" w:lineRule="exact"/>
        <w:outlineLvl w:val="1"/>
        <w:rPr>
          <w:rFonts w:hint="eastAsia" w:ascii="宋体" w:hAnsi="宋体" w:cs="VGLWRU+å®ä½"/>
          <w:b/>
          <w:color w:val="000000" w:themeColor="text1"/>
          <w:spacing w:val="2"/>
          <w:sz w:val="24"/>
          <w:szCs w:val="24"/>
          <w:highlight w:val="none"/>
          <w14:textFill>
            <w14:solidFill>
              <w14:schemeClr w14:val="tx1"/>
            </w14:solidFill>
          </w14:textFill>
        </w:rPr>
      </w:pPr>
      <w:bookmarkStart w:id="0" w:name="_Toc140485501"/>
      <w:bookmarkStart w:id="1" w:name="_Toc89791698"/>
      <w:bookmarkStart w:id="2" w:name="_Toc36867048"/>
      <w:bookmarkStart w:id="3" w:name="_Toc36974051"/>
      <w:bookmarkStart w:id="4" w:name="_Toc89791596"/>
      <w:bookmarkStart w:id="5" w:name="_Toc90180873"/>
      <w:bookmarkStart w:id="6" w:name="_Toc151886856"/>
      <w:bookmarkStart w:id="7" w:name="_Toc32815547"/>
      <w:bookmarkStart w:id="8" w:name="_Toc116895408"/>
      <w:bookmarkStart w:id="9" w:name="_Toc105315000"/>
      <w:bookmarkStart w:id="10" w:name="_Toc327948617"/>
      <w:bookmarkStart w:id="11" w:name="_Toc432356148"/>
      <w:bookmarkStart w:id="12" w:name="_Toc37236847"/>
      <w:bookmarkStart w:id="13" w:name="_Toc34471344"/>
      <w:bookmarkStart w:id="14" w:name="_Toc346300367"/>
      <w:bookmarkStart w:id="15" w:name="_Toc36973198"/>
      <w:bookmarkStart w:id="16" w:name="_Toc116869901"/>
      <w:bookmarkStart w:id="17" w:name="_Toc36885854"/>
      <w:bookmarkStart w:id="18" w:name="_Toc36974340"/>
      <w:bookmarkStart w:id="19" w:name="_Toc330567034"/>
      <w:bookmarkStart w:id="20" w:name="_Toc432356150"/>
      <w:bookmarkStart w:id="21" w:name="_Toc172776051"/>
      <w:bookmarkStart w:id="22" w:name="_Toc347060296"/>
      <w:bookmarkStart w:id="23" w:name="_Toc36973985"/>
      <w:bookmarkStart w:id="24" w:name="_Toc36974289"/>
      <w:bookmarkStart w:id="25" w:name="_Toc36974207"/>
      <w:r>
        <w:rPr>
          <w:rFonts w:hint="eastAsia" w:ascii="宋体" w:hAnsi="宋体" w:cs="VGLWRU+å®ä½"/>
          <w:b/>
          <w:color w:val="000000" w:themeColor="text1"/>
          <w:spacing w:val="2"/>
          <w:sz w:val="24"/>
          <w:szCs w:val="24"/>
          <w:highlight w:val="none"/>
          <w14:textFill>
            <w14:solidFill>
              <w14:schemeClr w14:val="tx1"/>
            </w14:solidFill>
          </w14:textFill>
        </w:rPr>
        <w:t>一、项目概况</w:t>
      </w:r>
      <w:bookmarkEnd w:id="0"/>
    </w:p>
    <w:p w14:paraId="1360999F">
      <w:pPr>
        <w:spacing w:before="120" w:beforeLines="50" w:after="120" w:afterLines="50" w:line="360" w:lineRule="auto"/>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lang w:val="en-US" w:eastAsia="zh-CN"/>
          <w14:textFill>
            <w14:solidFill>
              <w14:schemeClr w14:val="tx1"/>
            </w14:solidFill>
          </w14:textFill>
        </w:rPr>
        <w:t>1</w:t>
      </w:r>
      <w:r>
        <w:rPr>
          <w:rFonts w:hint="eastAsia" w:ascii="宋体" w:hAnsi="宋体"/>
          <w:bCs/>
          <w:color w:val="000000" w:themeColor="text1"/>
          <w:sz w:val="24"/>
          <w:szCs w:val="24"/>
          <w:highlight w:val="none"/>
          <w14:textFill>
            <w14:solidFill>
              <w14:schemeClr w14:val="tx1"/>
            </w14:solidFill>
          </w14:textFill>
        </w:rPr>
        <w:t>排污许可“一证式”管理是生态环境部门的重要工作职责，但在日常管理中，存在信息化水平不高、工作量大等痛点、难点问题。</w:t>
      </w:r>
    </w:p>
    <w:p w14:paraId="40CBD95E">
      <w:pPr>
        <w:spacing w:before="120" w:beforeLines="50" w:after="120" w:afterLines="50" w:line="360" w:lineRule="auto"/>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lang w:eastAsia="zh-CN"/>
          <w14:textFill>
            <w14:solidFill>
              <w14:schemeClr w14:val="tx1"/>
            </w14:solidFill>
          </w14:textFill>
        </w:rPr>
        <w:t>1</w:t>
      </w:r>
      <w:r>
        <w:rPr>
          <w:rFonts w:hint="eastAsia" w:ascii="宋体" w:hAnsi="宋体"/>
          <w:bCs/>
          <w:color w:val="000000" w:themeColor="text1"/>
          <w:sz w:val="24"/>
          <w:szCs w:val="24"/>
          <w:highlight w:val="none"/>
          <w:lang w:val="en-US" w:eastAsia="zh-CN"/>
          <w14:textFill>
            <w14:solidFill>
              <w14:schemeClr w14:val="tx1"/>
            </w14:solidFill>
          </w14:textFill>
        </w:rPr>
        <w:t>.1一</w:t>
      </w:r>
      <w:r>
        <w:rPr>
          <w:rFonts w:hint="eastAsia" w:ascii="宋体" w:hAnsi="宋体"/>
          <w:bCs/>
          <w:color w:val="000000" w:themeColor="text1"/>
          <w:sz w:val="24"/>
          <w:szCs w:val="24"/>
          <w:highlight w:val="none"/>
          <w14:textFill>
            <w14:solidFill>
              <w14:schemeClr w14:val="tx1"/>
            </w14:solidFill>
          </w14:textFill>
        </w:rPr>
        <w:t>是排污许可数据分类、检索、统计困难，工作人员要统计不同要求的数据，只能采取登录国家排污许可证管理信息平台，逐一查找企业相关信息，再手工逐项对数据复制到表格，存在效率低，易出错</w:t>
      </w:r>
      <w:r>
        <w:rPr>
          <w:rFonts w:hint="eastAsia" w:ascii="宋体" w:hAnsi="宋体"/>
          <w:bCs/>
          <w:color w:val="000000" w:themeColor="text1"/>
          <w:sz w:val="24"/>
          <w:szCs w:val="24"/>
          <w:highlight w:val="none"/>
          <w:lang w:eastAsia="zh-CN"/>
          <w14:textFill>
            <w14:solidFill>
              <w14:schemeClr w14:val="tx1"/>
            </w14:solidFill>
          </w14:textFill>
        </w:rPr>
        <w:t>等</w:t>
      </w:r>
      <w:r>
        <w:rPr>
          <w:rFonts w:hint="eastAsia" w:ascii="宋体" w:hAnsi="宋体"/>
          <w:bCs/>
          <w:color w:val="000000" w:themeColor="text1"/>
          <w:sz w:val="24"/>
          <w:szCs w:val="24"/>
          <w:highlight w:val="none"/>
          <w14:textFill>
            <w14:solidFill>
              <w14:schemeClr w14:val="tx1"/>
            </w14:solidFill>
          </w14:textFill>
        </w:rPr>
        <w:t>问题。</w:t>
      </w:r>
    </w:p>
    <w:p w14:paraId="6D83E38C">
      <w:pPr>
        <w:spacing w:before="120" w:beforeLines="50" w:after="120" w:afterLines="50" w:line="360" w:lineRule="auto"/>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lang w:val="en-US" w:eastAsia="zh-CN"/>
          <w14:textFill>
            <w14:solidFill>
              <w14:schemeClr w14:val="tx1"/>
            </w14:solidFill>
          </w14:textFill>
        </w:rPr>
        <w:t>1.2</w:t>
      </w:r>
      <w:r>
        <w:rPr>
          <w:rFonts w:hint="eastAsia" w:ascii="宋体" w:hAnsi="宋体"/>
          <w:bCs/>
          <w:color w:val="000000" w:themeColor="text1"/>
          <w:sz w:val="24"/>
          <w:szCs w:val="24"/>
          <w:highlight w:val="none"/>
          <w14:textFill>
            <w14:solidFill>
              <w14:schemeClr w14:val="tx1"/>
            </w14:solidFill>
          </w14:textFill>
        </w:rPr>
        <w:t>二是排污许可证和执行报告审核工作审核任务重、技术难度高、可用人数少，排污许可证审核工作涉及所有国民经济分类行业，行业规范和技术要点复杂，其中涵盖生态环境工作的方方面面，包括行业工艺流程、产排污节点、污染物种类、污染治理设施、污染治理工艺、排放口设置要求、排放口各类污染物排放限值合规性、排放量的核算比对确认、可行性技术要求、自行监测管理要求、自动监测管理要求、环境管理台账记录、对审核人员提出了较高的技术要求，</w:t>
      </w:r>
      <w:r>
        <w:rPr>
          <w:rFonts w:hint="eastAsia" w:ascii="宋体" w:hAnsi="宋体"/>
          <w:bCs/>
          <w:color w:val="000000" w:themeColor="text1"/>
          <w:sz w:val="24"/>
          <w:szCs w:val="24"/>
          <w:highlight w:val="none"/>
          <w:lang w:val="en-US" w:eastAsia="zh-CN"/>
          <w14:textFill>
            <w14:solidFill>
              <w14:schemeClr w14:val="tx1"/>
            </w14:solidFill>
          </w14:textFill>
        </w:rPr>
        <w:t>厦门市</w:t>
      </w:r>
      <w:r>
        <w:rPr>
          <w:rFonts w:hint="eastAsia" w:ascii="宋体" w:hAnsi="宋体"/>
          <w:bCs/>
          <w:color w:val="000000" w:themeColor="text1"/>
          <w:sz w:val="24"/>
          <w:szCs w:val="24"/>
          <w:highlight w:val="none"/>
          <w14:textFill>
            <w14:solidFill>
              <w14:schemeClr w14:val="tx1"/>
            </w14:solidFill>
          </w14:textFill>
        </w:rPr>
        <w:t>生态环境局的排污许可证和排污许可执行报告审核工作量</w:t>
      </w:r>
      <w:r>
        <w:rPr>
          <w:rFonts w:hint="eastAsia" w:ascii="宋体" w:hAnsi="宋体"/>
          <w:bCs/>
          <w:color w:val="000000" w:themeColor="text1"/>
          <w:sz w:val="24"/>
          <w:szCs w:val="24"/>
          <w:highlight w:val="none"/>
          <w:lang w:eastAsia="zh-CN"/>
          <w14:textFill>
            <w14:solidFill>
              <w14:schemeClr w14:val="tx1"/>
            </w14:solidFill>
          </w14:textFill>
        </w:rPr>
        <w:t>较</w:t>
      </w:r>
      <w:r>
        <w:rPr>
          <w:rFonts w:hint="eastAsia" w:ascii="宋体" w:hAnsi="宋体"/>
          <w:bCs/>
          <w:color w:val="000000" w:themeColor="text1"/>
          <w:sz w:val="24"/>
          <w:szCs w:val="24"/>
          <w:highlight w:val="none"/>
          <w14:textFill>
            <w14:solidFill>
              <w14:schemeClr w14:val="tx1"/>
            </w14:solidFill>
          </w14:textFill>
        </w:rPr>
        <w:t>大，技术能力欠缺的问题。</w:t>
      </w:r>
    </w:p>
    <w:p w14:paraId="74C5A55B">
      <w:pPr>
        <w:spacing w:before="120" w:beforeLines="50" w:after="120" w:afterLines="50" w:line="360" w:lineRule="auto"/>
        <w:ind w:firstLine="480" w:firstLineChars="200"/>
        <w:rPr>
          <w:rFonts w:hint="eastAsia"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lang w:val="en-US" w:eastAsia="zh-CN"/>
          <w14:textFill>
            <w14:solidFill>
              <w14:schemeClr w14:val="tx1"/>
            </w14:solidFill>
          </w14:textFill>
        </w:rPr>
        <w:t>1.3</w:t>
      </w:r>
      <w:r>
        <w:rPr>
          <w:rFonts w:hint="eastAsia" w:ascii="宋体" w:hAnsi="宋体"/>
          <w:bCs/>
          <w:color w:val="000000" w:themeColor="text1"/>
          <w:sz w:val="24"/>
          <w:szCs w:val="24"/>
          <w:highlight w:val="none"/>
          <w14:textFill>
            <w14:solidFill>
              <w14:schemeClr w14:val="tx1"/>
            </w14:solidFill>
          </w14:textFill>
        </w:rPr>
        <w:t>三是目前</w:t>
      </w:r>
      <w:r>
        <w:rPr>
          <w:rFonts w:hint="eastAsia" w:ascii="宋体" w:hAnsi="宋体"/>
          <w:bCs/>
          <w:color w:val="000000" w:themeColor="text1"/>
          <w:sz w:val="24"/>
          <w:szCs w:val="24"/>
          <w:highlight w:val="none"/>
          <w:lang w:val="en-US" w:eastAsia="zh-CN"/>
          <w14:textFill>
            <w14:solidFill>
              <w14:schemeClr w14:val="tx1"/>
            </w14:solidFill>
          </w14:textFill>
        </w:rPr>
        <w:t>我市</w:t>
      </w:r>
      <w:r>
        <w:rPr>
          <w:rFonts w:hint="eastAsia" w:ascii="宋体" w:hAnsi="宋体"/>
          <w:bCs/>
          <w:color w:val="000000" w:themeColor="text1"/>
          <w:sz w:val="24"/>
          <w:szCs w:val="24"/>
          <w:highlight w:val="none"/>
          <w:lang w:eastAsia="zh-CN"/>
          <w14:textFill>
            <w14:solidFill>
              <w14:schemeClr w14:val="tx1"/>
            </w14:solidFill>
          </w14:textFill>
        </w:rPr>
        <w:t>排污许可回流</w:t>
      </w:r>
      <w:r>
        <w:rPr>
          <w:rFonts w:hint="eastAsia" w:ascii="宋体" w:hAnsi="宋体"/>
          <w:bCs/>
          <w:color w:val="000000" w:themeColor="text1"/>
          <w:sz w:val="24"/>
          <w:szCs w:val="24"/>
          <w:highlight w:val="none"/>
          <w14:textFill>
            <w14:solidFill>
              <w14:schemeClr w14:val="tx1"/>
            </w14:solidFill>
          </w14:textFill>
        </w:rPr>
        <w:t>数据</w:t>
      </w:r>
      <w:r>
        <w:rPr>
          <w:rFonts w:hint="eastAsia" w:ascii="宋体" w:hAnsi="宋体"/>
          <w:bCs/>
          <w:color w:val="000000" w:themeColor="text1"/>
          <w:sz w:val="24"/>
          <w:szCs w:val="24"/>
          <w:highlight w:val="none"/>
          <w:lang w:eastAsia="zh-CN"/>
          <w14:textFill>
            <w14:solidFill>
              <w14:schemeClr w14:val="tx1"/>
            </w14:solidFill>
          </w14:textFill>
        </w:rPr>
        <w:t>存在部分错漏</w:t>
      </w:r>
      <w:r>
        <w:rPr>
          <w:rFonts w:hint="eastAsia" w:ascii="宋体" w:hAnsi="宋体"/>
          <w:bCs/>
          <w:color w:val="000000" w:themeColor="text1"/>
          <w:sz w:val="24"/>
          <w:szCs w:val="24"/>
          <w:highlight w:val="none"/>
          <w14:textFill>
            <w14:solidFill>
              <w14:schemeClr w14:val="tx1"/>
            </w14:solidFill>
          </w14:textFill>
        </w:rPr>
        <w:t>。</w:t>
      </w:r>
      <w:r>
        <w:rPr>
          <w:rFonts w:hint="eastAsia" w:ascii="宋体" w:hAnsi="宋体"/>
          <w:bCs/>
          <w:color w:val="000000" w:themeColor="text1"/>
          <w:sz w:val="24"/>
          <w:szCs w:val="24"/>
          <w:highlight w:val="none"/>
          <w:lang w:eastAsia="zh-CN"/>
          <w14:textFill>
            <w14:solidFill>
              <w14:schemeClr w14:val="tx1"/>
            </w14:solidFill>
          </w14:textFill>
        </w:rPr>
        <w:t>通过上级部门的回流的生态环境部排污许可证核发平台数据存在错漏等情形，需进一步梳理核对，确保数据完全匹配</w:t>
      </w:r>
      <w:r>
        <w:rPr>
          <w:rFonts w:hint="eastAsia" w:ascii="宋体" w:hAnsi="宋体"/>
          <w:bCs/>
          <w:color w:val="000000" w:themeColor="text1"/>
          <w:sz w:val="24"/>
          <w:szCs w:val="24"/>
          <w:highlight w:val="none"/>
          <w14:textFill>
            <w14:solidFill>
              <w14:schemeClr w14:val="tx1"/>
            </w14:solidFill>
          </w14:textFill>
        </w:rPr>
        <w:t>。</w:t>
      </w:r>
    </w:p>
    <w:p w14:paraId="40D696DC">
      <w:pPr>
        <w:spacing w:before="120" w:beforeLines="50" w:after="120" w:afterLines="50"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lang w:val="en-US" w:eastAsia="zh-CN"/>
          <w14:textFill>
            <w14:solidFill>
              <w14:schemeClr w14:val="tx1"/>
            </w14:solidFill>
          </w14:textFill>
        </w:rPr>
        <w:t>1.4</w:t>
      </w:r>
      <w:r>
        <w:rPr>
          <w:rFonts w:hint="eastAsia" w:ascii="宋体" w:hAnsi="宋体"/>
          <w:bCs/>
          <w:color w:val="000000" w:themeColor="text1"/>
          <w:sz w:val="24"/>
          <w:szCs w:val="24"/>
          <w:highlight w:val="none"/>
          <w14:textFill>
            <w14:solidFill>
              <w14:schemeClr w14:val="tx1"/>
            </w14:solidFill>
          </w14:textFill>
        </w:rPr>
        <w:t>四是排污许可制度作为企业环境管理的核心制度，是各级环境保护督察，各类专项环境保护检查的重点，在开展企业排污许可制度执行情况检查工作中，企业普遍存在环境管理台账记录不规范、自行监测频次、项目遗漏、执行报告报送不及时</w:t>
      </w:r>
      <w:r>
        <w:rPr>
          <w:rFonts w:hint="eastAsia" w:ascii="宋体" w:hAnsi="宋体"/>
          <w:bCs/>
          <w:color w:val="000000" w:themeColor="text1"/>
          <w:sz w:val="24"/>
          <w:szCs w:val="24"/>
          <w:highlight w:val="none"/>
          <w:lang w:eastAsia="zh-CN"/>
          <w14:textFill>
            <w14:solidFill>
              <w14:schemeClr w14:val="tx1"/>
            </w14:solidFill>
          </w14:textFill>
        </w:rPr>
        <w:t>等</w:t>
      </w:r>
      <w:r>
        <w:rPr>
          <w:rFonts w:hint="eastAsia" w:ascii="宋体" w:hAnsi="宋体"/>
          <w:bCs/>
          <w:color w:val="000000" w:themeColor="text1"/>
          <w:sz w:val="24"/>
          <w:szCs w:val="24"/>
          <w:highlight w:val="none"/>
          <w14:textFill>
            <w14:solidFill>
              <w14:schemeClr w14:val="tx1"/>
            </w14:solidFill>
          </w14:textFill>
        </w:rPr>
        <w:t>问题，</w:t>
      </w:r>
      <w:r>
        <w:rPr>
          <w:rFonts w:hint="eastAsia" w:ascii="宋体" w:hAnsi="宋体"/>
          <w:bCs/>
          <w:color w:val="000000" w:themeColor="text1"/>
          <w:sz w:val="24"/>
          <w:szCs w:val="24"/>
          <w:highlight w:val="none"/>
          <w:lang w:eastAsia="zh-CN"/>
          <w14:textFill>
            <w14:solidFill>
              <w14:schemeClr w14:val="tx1"/>
            </w14:solidFill>
          </w14:textFill>
        </w:rPr>
        <w:t>需要高效的发现问题并及时反馈</w:t>
      </w:r>
      <w:r>
        <w:rPr>
          <w:rFonts w:hint="eastAsia" w:ascii="宋体" w:hAnsi="宋体"/>
          <w:bCs/>
          <w:color w:val="000000" w:themeColor="text1"/>
          <w:sz w:val="24"/>
          <w:szCs w:val="24"/>
          <w:highlight w:val="none"/>
          <w14:textFill>
            <w14:solidFill>
              <w14:schemeClr w14:val="tx1"/>
            </w14:solidFill>
          </w14:textFill>
        </w:rPr>
        <w:t>。</w:t>
      </w:r>
    </w:p>
    <w:p w14:paraId="33A6155B">
      <w:pPr>
        <w:autoSpaceDE w:val="0"/>
        <w:autoSpaceDN w:val="0"/>
        <w:snapToGrid w:val="0"/>
        <w:spacing w:line="500" w:lineRule="exact"/>
        <w:ind w:firstLine="480" w:firstLineChars="200"/>
        <w:rPr>
          <w:rFonts w:hint="eastAsia" w:ascii="宋体" w:hAnsi="宋体"/>
          <w:color w:val="000000" w:themeColor="text1"/>
          <w:sz w:val="24"/>
          <w:highlight w:val="none"/>
          <w14:textFill>
            <w14:solidFill>
              <w14:schemeClr w14:val="tx1"/>
            </w14:solidFill>
          </w14:textFill>
        </w:rPr>
      </w:pPr>
    </w:p>
    <w:p w14:paraId="64472DDC">
      <w:pPr>
        <w:pStyle w:val="2"/>
        <w:rPr>
          <w:rFonts w:hint="eastAsia" w:ascii="宋体" w:hAnsi="宋体"/>
          <w:color w:val="000000" w:themeColor="text1"/>
          <w:sz w:val="24"/>
          <w:highlight w:val="none"/>
          <w14:textFill>
            <w14:solidFill>
              <w14:schemeClr w14:val="tx1"/>
            </w14:solidFill>
          </w14:textFill>
        </w:rPr>
      </w:pPr>
    </w:p>
    <w:p w14:paraId="7DD7ED70">
      <w:pPr>
        <w:pStyle w:val="3"/>
        <w:rPr>
          <w:rFonts w:hint="eastAsia" w:ascii="宋体" w:hAnsi="宋体"/>
          <w:color w:val="000000" w:themeColor="text1"/>
          <w:sz w:val="24"/>
          <w:highlight w:val="none"/>
          <w14:textFill>
            <w14:solidFill>
              <w14:schemeClr w14:val="tx1"/>
            </w14:solidFill>
          </w14:textFill>
        </w:rPr>
      </w:pPr>
    </w:p>
    <w:p w14:paraId="64520DEB">
      <w:pPr>
        <w:pStyle w:val="3"/>
        <w:rPr>
          <w:rFonts w:hint="eastAsia" w:ascii="宋体" w:hAnsi="宋体"/>
          <w:color w:val="000000" w:themeColor="text1"/>
          <w:sz w:val="24"/>
          <w:highlight w:val="none"/>
          <w14:textFill>
            <w14:solidFill>
              <w14:schemeClr w14:val="tx1"/>
            </w14:solidFill>
          </w14:textFill>
        </w:rPr>
      </w:pPr>
    </w:p>
    <w:p w14:paraId="6BFA34DB">
      <w:pPr>
        <w:pStyle w:val="3"/>
        <w:rPr>
          <w:rFonts w:hint="eastAsia" w:ascii="宋体" w:hAnsi="宋体"/>
          <w:color w:val="000000" w:themeColor="text1"/>
          <w:sz w:val="24"/>
          <w:highlight w:val="none"/>
          <w14:textFill>
            <w14:solidFill>
              <w14:schemeClr w14:val="tx1"/>
            </w14:solidFill>
          </w14:textFill>
        </w:rPr>
      </w:pPr>
    </w:p>
    <w:p w14:paraId="76658B8E">
      <w:pPr>
        <w:pStyle w:val="3"/>
        <w:rPr>
          <w:rFonts w:hint="eastAsia" w:ascii="宋体" w:hAnsi="宋体"/>
          <w:color w:val="000000" w:themeColor="text1"/>
          <w:sz w:val="24"/>
          <w:highlight w:val="none"/>
          <w14:textFill>
            <w14:solidFill>
              <w14:schemeClr w14:val="tx1"/>
            </w14:solidFill>
          </w14:textFill>
        </w:rPr>
      </w:pPr>
    </w:p>
    <w:p w14:paraId="4EFD3EA6">
      <w:pPr>
        <w:pStyle w:val="3"/>
        <w:rPr>
          <w:rFonts w:hint="eastAsia" w:ascii="宋体" w:hAnsi="宋体"/>
          <w:color w:val="000000" w:themeColor="text1"/>
          <w:sz w:val="24"/>
          <w:highlight w:val="none"/>
          <w14:textFill>
            <w14:solidFill>
              <w14:schemeClr w14:val="tx1"/>
            </w14:solidFill>
          </w14:textFill>
        </w:rPr>
      </w:pPr>
    </w:p>
    <w:p w14:paraId="08EBEE1F">
      <w:pPr>
        <w:autoSpaceDE w:val="0"/>
        <w:autoSpaceDN w:val="0"/>
        <w:adjustRightInd w:val="0"/>
        <w:spacing w:line="500" w:lineRule="exact"/>
        <w:ind w:left="0"/>
        <w:outlineLvl w:val="1"/>
        <w:rPr>
          <w:rFonts w:hint="eastAsia" w:ascii="宋体" w:hAnsi="宋体" w:eastAsia="宋体" w:cs="VGLWRU+å®ä½"/>
          <w:b/>
          <w:bCs w:val="0"/>
          <w:color w:val="000000" w:themeColor="text1"/>
          <w:spacing w:val="2"/>
          <w:sz w:val="24"/>
          <w:szCs w:val="24"/>
          <w:highlight w:val="none"/>
          <w14:textFill>
            <w14:solidFill>
              <w14:schemeClr w14:val="tx1"/>
            </w14:solidFill>
          </w14:textFill>
        </w:rPr>
      </w:pPr>
      <w:bookmarkStart w:id="26" w:name="_Toc16084"/>
      <w:bookmarkStart w:id="27" w:name="_Toc140485502"/>
      <w:r>
        <w:rPr>
          <w:rFonts w:hint="eastAsia" w:ascii="宋体" w:hAnsi="宋体" w:eastAsia="宋体" w:cs="VGLWRU+å®ä½"/>
          <w:b/>
          <w:bCs w:val="0"/>
          <w:color w:val="000000" w:themeColor="text1"/>
          <w:spacing w:val="2"/>
          <w:sz w:val="24"/>
          <w:szCs w:val="24"/>
          <w:highlight w:val="none"/>
          <w14:textFill>
            <w14:solidFill>
              <w14:schemeClr w14:val="tx1"/>
            </w14:solidFill>
          </w14:textFill>
        </w:rPr>
        <w:t>二、技术要求</w:t>
      </w:r>
      <w:bookmarkEnd w:id="26"/>
    </w:p>
    <w:p w14:paraId="1ADCA452">
      <w:pPr>
        <w:pStyle w:val="4"/>
        <w:spacing w:line="360" w:lineRule="auto"/>
        <w:jc w:val="both"/>
        <w:rPr>
          <w:rFonts w:hint="eastAsia" w:ascii="宋体" w:hAnsi="宋体" w:eastAsia="宋体" w:cs="宋体"/>
          <w:b w:val="0"/>
          <w:color w:val="000000" w:themeColor="text1"/>
          <w:sz w:val="24"/>
          <w:szCs w:val="24"/>
          <w:highlight w:val="none"/>
          <w14:textFill>
            <w14:solidFill>
              <w14:schemeClr w14:val="tx1"/>
            </w14:solidFill>
          </w14:textFill>
        </w:rPr>
      </w:pPr>
      <w:bookmarkStart w:id="28" w:name="_Toc113347644"/>
      <w:bookmarkStart w:id="29" w:name="_Toc345589814"/>
      <w:bookmarkStart w:id="30" w:name="_Toc2833"/>
      <w:r>
        <w:rPr>
          <w:rFonts w:hint="eastAsia" w:ascii="宋体" w:hAnsi="宋体" w:eastAsia="宋体" w:cs="宋体"/>
          <w:b w:val="0"/>
          <w:color w:val="000000" w:themeColor="text1"/>
          <w:sz w:val="24"/>
          <w:szCs w:val="24"/>
          <w:highlight w:val="none"/>
          <w14:textFill>
            <w14:solidFill>
              <w14:schemeClr w14:val="tx1"/>
            </w14:solidFill>
          </w14:textFill>
        </w:rPr>
        <w:t>2、排污许可数据应用原则</w:t>
      </w:r>
      <w:bookmarkEnd w:id="28"/>
      <w:bookmarkEnd w:id="29"/>
      <w:bookmarkEnd w:id="30"/>
    </w:p>
    <w:p w14:paraId="339AF5CE">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w:t>
      </w:r>
      <w:r>
        <w:rPr>
          <w:rFonts w:hint="eastAsia" w:ascii="宋体" w:hAnsi="宋体" w:eastAsia="宋体" w:cs="宋体"/>
          <w:color w:val="000000" w:themeColor="text1"/>
          <w:kern w:val="0"/>
          <w:sz w:val="24"/>
          <w:szCs w:val="24"/>
          <w:highlight w:val="none"/>
          <w14:textFill>
            <w14:solidFill>
              <w14:schemeClr w14:val="tx1"/>
            </w14:solidFill>
          </w14:textFill>
        </w:rPr>
        <w:t>系统</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应用原则</w:t>
      </w:r>
    </w:p>
    <w:p w14:paraId="7BD6B6F2">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ECB74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Cs/>
          <w:color w:val="000000" w:themeColor="text1"/>
          <w:sz w:val="24"/>
          <w:szCs w:val="24"/>
          <w:highlight w:val="none"/>
          <w14:textFill>
            <w14:solidFill>
              <w14:schemeClr w14:val="tx1"/>
            </w14:solidFill>
          </w14:textFill>
        </w:rPr>
        <w:t>统一性</w:t>
      </w:r>
      <w:r>
        <w:rPr>
          <w:rFonts w:hint="eastAsia" w:ascii="宋体" w:hAnsi="宋体" w:eastAsia="宋体" w:cs="宋体"/>
          <w:color w:val="000000" w:themeColor="text1"/>
          <w:sz w:val="24"/>
          <w:szCs w:val="24"/>
          <w:highlight w:val="none"/>
          <w14:textFill>
            <w14:solidFill>
              <w14:schemeClr w14:val="tx1"/>
            </w14:solidFill>
          </w14:textFill>
        </w:rPr>
        <w:t>原则</w:t>
      </w:r>
    </w:p>
    <w:p w14:paraId="5FF9C427">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排污许可数据应用必须统一规范，统一性首先体现在与现有环保各业务实现统一规范、统一标准，实现局内环保数据共享共用。通过制定统一的数据交换与共享标准，建设统一的数据交换数据库，可以降低接口的复杂性，有效实现数据库与各业务数据共享与交换，消除目前所出现的“信息孤岛”，实现生态环境局各个系统之间的互联互通。</w:t>
      </w:r>
    </w:p>
    <w:p w14:paraId="17BE24C8">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2）标准化原则</w:t>
      </w:r>
    </w:p>
    <w:p w14:paraId="1AA2D1A7">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充分参考相关的国际标准、国家标准、行业标准，在严格遵循相关标准的基础上，结合系统</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应用</w:t>
      </w:r>
      <w:r>
        <w:rPr>
          <w:rFonts w:hint="eastAsia" w:ascii="宋体" w:hAnsi="宋体" w:eastAsia="宋体" w:cs="宋体"/>
          <w:bCs/>
          <w:color w:val="000000" w:themeColor="text1"/>
          <w:sz w:val="24"/>
          <w:szCs w:val="24"/>
          <w:highlight w:val="none"/>
          <w14:textFill>
            <w14:solidFill>
              <w14:schemeClr w14:val="tx1"/>
            </w14:solidFill>
          </w14:textFill>
        </w:rPr>
        <w:t>的具体情况，逐步</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形成</w:t>
      </w:r>
      <w:r>
        <w:rPr>
          <w:rFonts w:hint="eastAsia" w:ascii="宋体" w:hAnsi="宋体" w:eastAsia="宋体" w:cs="宋体"/>
          <w:bCs/>
          <w:color w:val="000000" w:themeColor="text1"/>
          <w:sz w:val="24"/>
          <w:szCs w:val="24"/>
          <w:highlight w:val="none"/>
          <w14:textFill>
            <w14:solidFill>
              <w14:schemeClr w14:val="tx1"/>
            </w14:solidFill>
          </w14:textFill>
        </w:rPr>
        <w:t>一套科学、实用、完善的标准规范体系。</w:t>
      </w:r>
    </w:p>
    <w:p w14:paraId="4F4A7869">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在系统平台、技术等选型时，使系统的通信环境、软件环境相互间依赖减至最小，使其各自发挥自身优势。另一方面也要强调各种系统之间的通信和信息交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换，以信息资源共享为有效的基本出发点。</w:t>
      </w:r>
    </w:p>
    <w:p w14:paraId="32E63EC5">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3）整合现有资源原则</w:t>
      </w:r>
    </w:p>
    <w:p w14:paraId="61D286E5">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在完全依赖已建成的网络和系统资源的基础上，科学合理进行整合现有数据、现有系统，将保存的数据和相关信息进行相应整合，达到高效利用。</w:t>
      </w:r>
    </w:p>
    <w:p w14:paraId="7F688569">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4）实用性原则</w:t>
      </w:r>
    </w:p>
    <w:p w14:paraId="7CA1DB58">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以实际需求为基础，不片面追求技术的先进性和超前性，确保应用系统的简单实用，为操作者提供实用、操作简单方便的应用。</w:t>
      </w:r>
    </w:p>
    <w:p w14:paraId="1945361E">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秉承”把复杂的事情简单化、简单的事情规范化”的</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使用</w:t>
      </w:r>
      <w:r>
        <w:rPr>
          <w:rFonts w:hint="eastAsia" w:ascii="宋体" w:hAnsi="宋体" w:eastAsia="宋体" w:cs="宋体"/>
          <w:bCs/>
          <w:color w:val="000000" w:themeColor="text1"/>
          <w:sz w:val="24"/>
          <w:szCs w:val="24"/>
          <w:highlight w:val="none"/>
          <w14:textFill>
            <w14:solidFill>
              <w14:schemeClr w14:val="tx1"/>
            </w14:solidFill>
          </w14:textFill>
        </w:rPr>
        <w:t>原则，从使用者的实际工作出发要彻底改变传统</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应用</w:t>
      </w:r>
      <w:r>
        <w:rPr>
          <w:rFonts w:hint="eastAsia" w:ascii="宋体" w:hAnsi="宋体" w:eastAsia="宋体" w:cs="宋体"/>
          <w:bCs/>
          <w:color w:val="000000" w:themeColor="text1"/>
          <w:sz w:val="24"/>
          <w:szCs w:val="24"/>
          <w:highlight w:val="none"/>
          <w14:textFill>
            <w14:solidFill>
              <w14:schemeClr w14:val="tx1"/>
            </w14:solidFill>
          </w14:textFill>
        </w:rPr>
        <w:t>单调、繁琐的计算机操作方式，功能要清晰、简洁、友好、易用和一致，注重整体风格布局，精心设计界面中诸如按钮位置、数据表现方式等细节，使操作者能够方便地操作和比较容易地理解界面所表达的信息和内容，便于使用者快速掌握系统的使用。各功能模块本身要最大限度地简化操作，使用者应无需长时间的训练和磨合，在相当短的周期内就可以熟悉操作，迅速为广大工作人员接受和乐于使用。</w:t>
      </w:r>
    </w:p>
    <w:p w14:paraId="28BCADF8">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5）安全性原则</w:t>
      </w:r>
    </w:p>
    <w:p w14:paraId="35401EC4">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充分考虑应用系统的安全性，从各个方面保证系统的安全性，如访问安全性、操作安全性、数据安全性等，符合国家有关安全保密部门的要求。</w:t>
      </w:r>
    </w:p>
    <w:p w14:paraId="240A205C">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系统具备严格的等级访问及授权机制；对于认定的关键及敏感数据，只有经过授权的合法使用者才能使用访问及修改，并具有完备的日志及审核功能。系统应该有一套完整的安全机制，保证系统能够抵抗内部和外部的黑客性质的攻击。</w:t>
      </w:r>
    </w:p>
    <w:p w14:paraId="42CF935E">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确保数据的安全性。系统中存在大量的数据，要确保使用者不能够直接存取关键数据，而只能通过相关的功能模块对数据进行操作，建立完备的数据备份与灾难恢复机制及策略。</w:t>
      </w:r>
    </w:p>
    <w:p w14:paraId="7DD28E6F">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系统将提供有效的、严格的分级管理模式，把系统管理员和各级科室的应用管理员的权限分开，按照各自的职责范围划定管理权限，在保证各施其责的基础上，保证数据的安全性。</w:t>
      </w:r>
    </w:p>
    <w:p w14:paraId="2B700D5B">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6）扩展性原则</w:t>
      </w:r>
    </w:p>
    <w:p w14:paraId="2EDDCAA5">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充分考虑业务规模和结构的发展变化，使所使用的系统构架和应用均具备可扩展性，能够随着应用的逐步完善和信息量的逐渐增加不断地进行扩展，同时考虑各个功能模块可重复利用，降低系统扩展的复杂性。</w:t>
      </w:r>
    </w:p>
    <w:p w14:paraId="15B333D7">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7）先进性原则</w:t>
      </w:r>
    </w:p>
    <w:p w14:paraId="5E53F143">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信息技术中尤其是软件技术发展较迅速，新理念、新体系、新技术迭相推出，这造成了新的、先进的和成熟的技术之间的矛盾。为了满足系统在很长的生命周期内有持续的扩展性和稳定性。因此，在设计理念、技术体系、产品选用等方面要求先进和成熟相结合。</w:t>
      </w:r>
    </w:p>
    <w:p w14:paraId="0D6B7B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系统设计依据</w:t>
      </w:r>
    </w:p>
    <w:p w14:paraId="08BF5A2A">
      <w:pPr>
        <w:snapToGrid w:val="0"/>
        <w:spacing w:line="360" w:lineRule="auto"/>
        <w:ind w:left="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国家有关设计规范、标准及相关文件要求；</w:t>
      </w:r>
    </w:p>
    <w:p w14:paraId="3CF7F048">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《排污许可管理条例》</w:t>
      </w:r>
    </w:p>
    <w:p w14:paraId="194D0B49">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生态环境部《环评与排污许可监管行动计划（2021-2023年）》</w:t>
      </w:r>
    </w:p>
    <w:p w14:paraId="606A672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生态环境部《排污许可提质增效行动计划（2022-2024年）》</w:t>
      </w:r>
    </w:p>
    <w:p w14:paraId="598C27C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总则（HJ942-2018)</w:t>
      </w:r>
    </w:p>
    <w:p w14:paraId="072658EB">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火电行业排污许可证申请与核发技术规范</w:t>
      </w:r>
    </w:p>
    <w:p w14:paraId="5539760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造纸行业排污许可证申请与核发技术规范</w:t>
      </w:r>
    </w:p>
    <w:p w14:paraId="58F2BE6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钢铁工业（HJ846-2017)</w:t>
      </w:r>
    </w:p>
    <w:p w14:paraId="0A674E8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水泥工业（HJ847-2017)</w:t>
      </w:r>
    </w:p>
    <w:p w14:paraId="2DEE109B">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石化工业（HJ853-2017)</w:t>
      </w:r>
    </w:p>
    <w:p w14:paraId="45ABFBDD">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炼焦化学工业（HJ854-2017)</w:t>
      </w:r>
    </w:p>
    <w:p w14:paraId="5B0D15BC">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电镀工业（HJ855-2017)</w:t>
      </w:r>
    </w:p>
    <w:p w14:paraId="642A91B7">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玻璃工业—平板玻璃（HJ856-2017)</w:t>
      </w:r>
    </w:p>
    <w:p w14:paraId="624A2487">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制药工业—原料药制造（HJ858.1-2017)</w:t>
      </w:r>
    </w:p>
    <w:p w14:paraId="32237267">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制革及毛皮加工工业—制革工业（HJ859.1-2017)</w:t>
      </w:r>
    </w:p>
    <w:p w14:paraId="11F7A6E2">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农副食品加工工业—制糖工业（HJ860.1-2017)</w:t>
      </w:r>
    </w:p>
    <w:p w14:paraId="1470B72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纺织印染工业（HJ861-2017)</w:t>
      </w:r>
    </w:p>
    <w:p w14:paraId="0C9F86C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农药制造工业（HJ862-2017)</w:t>
      </w:r>
    </w:p>
    <w:p w14:paraId="5E217A2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有色金属工业—铅锌冶炼（HJ863.1-2017)</w:t>
      </w:r>
    </w:p>
    <w:p w14:paraId="33C20E7A">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有色金属工业—铝冶炼（HJ863.2-2017)</w:t>
      </w:r>
    </w:p>
    <w:p w14:paraId="6370FC3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有色金属工业—铜冶炼（HJ863.3-2017)</w:t>
      </w:r>
    </w:p>
    <w:p w14:paraId="03F08C1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化肥工业-氮肥（HJ864.1-2017)</w:t>
      </w:r>
    </w:p>
    <w:p w14:paraId="11830AED">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有色金属工业—汞冶炼（HJ931-2017)</w:t>
      </w:r>
    </w:p>
    <w:p w14:paraId="0AE2464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有色金属工业—镁冶炼（HJ933-2017)</w:t>
      </w:r>
    </w:p>
    <w:p w14:paraId="500F61D3">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有色金属工业—镍冶炼（HJ934-2017)</w:t>
      </w:r>
    </w:p>
    <w:p w14:paraId="62243F5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有色金属工业—钛冶炼（HJ935-2017)</w:t>
      </w:r>
    </w:p>
    <w:p w14:paraId="0BC00BE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有色金属工业—锡冶炼（HJ936-2017)</w:t>
      </w:r>
    </w:p>
    <w:p w14:paraId="457CA809">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有色金属工业—钴冶炼（HJ937-2017)</w:t>
      </w:r>
    </w:p>
    <w:p w14:paraId="55FB7407">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有色金属工业—锑冶炼（HJ938-2017)</w:t>
      </w:r>
    </w:p>
    <w:p w14:paraId="0AC329C3">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农副食品加工工业—淀粉工业（HJ860.2-2018)</w:t>
      </w:r>
    </w:p>
    <w:p w14:paraId="6FB28AC0">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农副食品加工工业—屠宰及肉类加工工业（HJ860.3-2018)</w:t>
      </w:r>
    </w:p>
    <w:p w14:paraId="5557136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有色金属工业-再生金属（HJ863.4-2018)</w:t>
      </w:r>
    </w:p>
    <w:p w14:paraId="29974A8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磷肥、 钾肥 、复混钾肥 、有机肥料及微生物肥料工业（HJ864.2-2018)</w:t>
      </w:r>
    </w:p>
    <w:p w14:paraId="0BD1207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锅炉（HJ953-2018)</w:t>
      </w:r>
    </w:p>
    <w:p w14:paraId="18414D8C">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陶瓷砖瓦工业（HJ954-2018)</w:t>
      </w:r>
    </w:p>
    <w:p w14:paraId="3FE2B7A0">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电池工业（HJ967-2018）</w:t>
      </w:r>
    </w:p>
    <w:p w14:paraId="61ED0D7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汽车制造业（HJ971-2018）</w:t>
      </w:r>
    </w:p>
    <w:p w14:paraId="1AAD16F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水处理（试行）（HJ978-2018）</w:t>
      </w:r>
    </w:p>
    <w:p w14:paraId="1743023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家具制造工业（HJ1027-2019）</w:t>
      </w:r>
    </w:p>
    <w:p w14:paraId="5B605AA8">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酒、饮料制造工业（发布稿）（HJ1028-2019）</w:t>
      </w:r>
    </w:p>
    <w:p w14:paraId="7406B596">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畜禽养殖行业（HJ1029-2019）</w:t>
      </w:r>
    </w:p>
    <w:p w14:paraId="408AC60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食品制造工业—乳制品制造工业（HJ1030.1-2019）</w:t>
      </w:r>
    </w:p>
    <w:p w14:paraId="2AA8DE45">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食品制造工业-调味品、发酵制品制造工业（HJ1030.2-2019）</w:t>
      </w:r>
    </w:p>
    <w:p w14:paraId="3C139E83">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食品制造工业-方便食品、食品及饲料添加剂制造工业（HJ1030.3-2019）</w:t>
      </w:r>
    </w:p>
    <w:p w14:paraId="6EA92335">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电子工业（HJ1031-2019）</w:t>
      </w:r>
    </w:p>
    <w:p w14:paraId="47828E8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人造板工业（HJ1032-2019）</w:t>
      </w:r>
    </w:p>
    <w:p w14:paraId="1436E7FA">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工业固体废物和危险废物治理（HJ1033-2019）</w:t>
      </w:r>
    </w:p>
    <w:p w14:paraId="16ED4363">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废弃资源加工工业（HJ1034-2019）</w:t>
      </w:r>
    </w:p>
    <w:p w14:paraId="296A0D58">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无机化学工业（HJ1035-2019）</w:t>
      </w:r>
    </w:p>
    <w:p w14:paraId="22B4D83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聚氯乙烯工业（HJ1036-2019）</w:t>
      </w:r>
    </w:p>
    <w:p w14:paraId="5ACBACD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危险废物焚烧（HJ1038-2019）</w:t>
      </w:r>
    </w:p>
    <w:p w14:paraId="561AF750">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生活垃圾焚烧（HJ1039-2019）</w:t>
      </w:r>
    </w:p>
    <w:p w14:paraId="3ECFE10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制药工业-生物药品制品制造（HJ1062-2019）</w:t>
      </w:r>
    </w:p>
    <w:p w14:paraId="55E38333">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制药工业-化学药品制剂制造（HJ1063-2019）</w:t>
      </w:r>
    </w:p>
    <w:p w14:paraId="77DD11D2">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制药工业-中成药生产（HJ1064-2019）</w:t>
      </w:r>
    </w:p>
    <w:p w14:paraId="777FE87F">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制革及毛皮加工工业-毛皮加工工业（HJ1065-2019）</w:t>
      </w:r>
    </w:p>
    <w:p w14:paraId="6876F892">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印刷工业（HJ1066－2019）</w:t>
      </w:r>
    </w:p>
    <w:p w14:paraId="4362600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煤炭加工-合成气和液体燃料生产（HJ1101-2020）</w:t>
      </w:r>
    </w:p>
    <w:p w14:paraId="56117BA5">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化学纤维制造业（HJ1102-2020）</w:t>
      </w:r>
    </w:p>
    <w:p w14:paraId="462A46AB">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专用化学产品制造工业（HJ1103-2020）</w:t>
      </w:r>
    </w:p>
    <w:p w14:paraId="5F7B6058">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日用化学产品制造工业（HJ1104-2020）</w:t>
      </w:r>
    </w:p>
    <w:p w14:paraId="3DAC116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医疗机构（HJ1105-2020）</w:t>
      </w:r>
    </w:p>
    <w:p w14:paraId="22497ACE">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环境卫生管理业（HJ1106-2020）</w:t>
      </w:r>
    </w:p>
    <w:p w14:paraId="3FEDECAA">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码头（HJ1107-2020）</w:t>
      </w:r>
    </w:p>
    <w:p w14:paraId="368B73FB">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羽毛（绒）加工工业（HJ1108-2020）</w:t>
      </w:r>
    </w:p>
    <w:p w14:paraId="6A87BFB7">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农副食品加工工业-水产品加工工业（HJ1109-2020）</w:t>
      </w:r>
    </w:p>
    <w:p w14:paraId="1E80D20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农副食品加工工业—饲料加工、植物油加工工业（HJ1110-2020）</w:t>
      </w:r>
    </w:p>
    <w:p w14:paraId="48CBFB80">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金属铸造工业（HJ1115-2020）</w:t>
      </w:r>
    </w:p>
    <w:p w14:paraId="62E2909C">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涂料、油墨、颜料及类似产品制造业（HJ1116-2020）</w:t>
      </w:r>
    </w:p>
    <w:p w14:paraId="2E4E849C">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铁合金、电解锰工业（HJ1117-2020）</w:t>
      </w:r>
    </w:p>
    <w:p w14:paraId="2915BB64">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储油库、加油站（HJ1118-2020）</w:t>
      </w:r>
    </w:p>
    <w:p w14:paraId="368C04AC">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石墨及其他非金属矿物制品制造（HJ1119-2020）</w:t>
      </w:r>
    </w:p>
    <w:p w14:paraId="4B01942B">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水处理通用工序（HJ1120-2020）</w:t>
      </w:r>
    </w:p>
    <w:p w14:paraId="3BA76301">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工业炉窑（HJ1121-2020）</w:t>
      </w:r>
    </w:p>
    <w:p w14:paraId="15203290">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橡胶和塑料制品工业（HJ1122-2020）</w:t>
      </w:r>
    </w:p>
    <w:p w14:paraId="33775AE8">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制鞋工业（HJ1123-2020）</w:t>
      </w:r>
    </w:p>
    <w:p w14:paraId="649D77C5">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铁路、船舶、航空航天和其他运输设备制造业（HJ1124-2020）</w:t>
      </w:r>
    </w:p>
    <w:p w14:paraId="50C52352">
      <w:pPr>
        <w:pStyle w:val="70"/>
        <w:numPr>
          <w:ilvl w:val="0"/>
          <w:numId w:val="1"/>
        </w:numPr>
        <w:spacing w:line="360" w:lineRule="auto"/>
        <w:ind w:firstLineChars="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排污许可证申请与核发技术规范 稀有稀土金属冶炼（HJ1125-2020）</w:t>
      </w:r>
    </w:p>
    <w:p w14:paraId="4DA30076">
      <w:pPr>
        <w:pStyle w:val="4"/>
        <w:spacing w:line="360" w:lineRule="auto"/>
        <w:jc w:val="both"/>
        <w:rPr>
          <w:rFonts w:hint="eastAsia" w:ascii="宋体" w:hAnsi="宋体" w:eastAsia="宋体" w:cs="宋体"/>
          <w:b w:val="0"/>
          <w:color w:val="000000" w:themeColor="text1"/>
          <w:sz w:val="24"/>
          <w:szCs w:val="24"/>
          <w:highlight w:val="none"/>
          <w14:textFill>
            <w14:solidFill>
              <w14:schemeClr w14:val="tx1"/>
            </w14:solidFill>
          </w14:textFill>
        </w:rPr>
      </w:pPr>
      <w:bookmarkStart w:id="31" w:name="_Toc144610247"/>
      <w:bookmarkStart w:id="32" w:name="_Toc13640"/>
      <w:bookmarkStart w:id="33" w:name="_Toc345589815"/>
      <w:r>
        <w:rPr>
          <w:rFonts w:hint="eastAsia" w:ascii="宋体" w:hAnsi="宋体" w:cs="宋体"/>
          <w:b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color w:val="000000" w:themeColor="text1"/>
          <w:sz w:val="24"/>
          <w:szCs w:val="24"/>
          <w:highlight w:val="none"/>
          <w14:textFill>
            <w14:solidFill>
              <w14:schemeClr w14:val="tx1"/>
            </w14:solidFill>
          </w14:textFill>
        </w:rPr>
        <w:t>3、</w:t>
      </w:r>
      <w:bookmarkEnd w:id="31"/>
      <w:r>
        <w:rPr>
          <w:rFonts w:hint="eastAsia" w:ascii="宋体" w:hAnsi="宋体" w:eastAsia="宋体" w:cs="宋体"/>
          <w:b w:val="0"/>
          <w:color w:val="000000" w:themeColor="text1"/>
          <w:sz w:val="24"/>
          <w:szCs w:val="24"/>
          <w:highlight w:val="none"/>
          <w14:textFill>
            <w14:solidFill>
              <w14:schemeClr w14:val="tx1"/>
            </w14:solidFill>
          </w14:textFill>
        </w:rPr>
        <w:t>项目</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服务</w:t>
      </w:r>
      <w:r>
        <w:rPr>
          <w:rFonts w:hint="eastAsia" w:ascii="宋体" w:hAnsi="宋体" w:eastAsia="宋体" w:cs="宋体"/>
          <w:b w:val="0"/>
          <w:color w:val="000000" w:themeColor="text1"/>
          <w:sz w:val="24"/>
          <w:szCs w:val="24"/>
          <w:highlight w:val="none"/>
          <w14:textFill>
            <w14:solidFill>
              <w14:schemeClr w14:val="tx1"/>
            </w14:solidFill>
          </w14:textFill>
        </w:rPr>
        <w:t>内容</w:t>
      </w:r>
      <w:bookmarkEnd w:id="32"/>
      <w:bookmarkEnd w:id="33"/>
    </w:p>
    <w:p w14:paraId="2AB79C39">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bookmarkStart w:id="34" w:name="_Toc144610248"/>
      <w:r>
        <w:rPr>
          <w:rFonts w:hint="eastAsia" w:ascii="宋体" w:hAnsi="宋体" w:eastAsia="宋体" w:cs="宋体"/>
          <w:bCs/>
          <w:color w:val="000000" w:themeColor="text1"/>
          <w:sz w:val="24"/>
          <w:szCs w:val="24"/>
          <w:highlight w:val="none"/>
          <w:lang w:val="en-US" w:eastAsia="zh-CN"/>
          <w14:textFill>
            <w14:solidFill>
              <w14:schemeClr w14:val="tx1"/>
            </w14:solidFill>
          </w14:textFill>
        </w:rPr>
        <w:t>对</w:t>
      </w:r>
      <w:r>
        <w:rPr>
          <w:rFonts w:hint="eastAsia" w:ascii="宋体" w:hAnsi="宋体" w:eastAsia="宋体" w:cs="宋体"/>
          <w:bCs/>
          <w:color w:val="000000" w:themeColor="text1"/>
          <w:sz w:val="24"/>
          <w:szCs w:val="24"/>
          <w:highlight w:val="none"/>
          <w14:textFill>
            <w14:solidFill>
              <w14:schemeClr w14:val="tx1"/>
            </w14:solidFill>
          </w14:textFill>
        </w:rPr>
        <w:t>我市排污许可持证单位在全国排污许可证管理信息平台提交的排污许可证的年度、季度执行报告开展智能规范性审核（实际排放量和附图附件除外），自动生成审核意见（企业疑似问题）；对我市企业已提交的排污许可证申请表和已核发的排污许可证分时段、按行业开展智能质量复核，自动生成复核意见（企业疑似问题）；提供排污许可执行报告数据应用分析软件供</w:t>
      </w:r>
      <w:r>
        <w:rPr>
          <w:rFonts w:hint="eastAsia" w:ascii="宋体" w:hAnsi="宋体" w:cs="宋体"/>
          <w:bCs/>
          <w:color w:val="000000" w:themeColor="text1"/>
          <w:sz w:val="24"/>
          <w:szCs w:val="24"/>
          <w:highlight w:val="none"/>
          <w:lang w:eastAsia="zh-CN"/>
          <w14:textFill>
            <w14:solidFill>
              <w14:schemeClr w14:val="tx1"/>
            </w14:solidFill>
          </w14:textFill>
        </w:rPr>
        <w:t>采购人</w:t>
      </w:r>
      <w:r>
        <w:rPr>
          <w:rFonts w:hint="eastAsia" w:ascii="宋体" w:hAnsi="宋体" w:eastAsia="宋体" w:cs="宋体"/>
          <w:bCs/>
          <w:color w:val="000000" w:themeColor="text1"/>
          <w:sz w:val="24"/>
          <w:szCs w:val="24"/>
          <w:highlight w:val="none"/>
          <w14:textFill>
            <w14:solidFill>
              <w14:schemeClr w14:val="tx1"/>
            </w14:solidFill>
          </w14:textFill>
        </w:rPr>
        <w:t>日常使用，可对执行报告中数据进行分类统计，可提供执行报告未提交、迟报等信息数据统计和查看。</w:t>
      </w:r>
    </w:p>
    <w:p w14:paraId="7C1BDD72">
      <w:pPr>
        <w:spacing w:before="120" w:beforeLines="50" w:after="120" w:afterLines="50"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）同步国家平台排污许可管理数据，建立本地资源数据中心</w:t>
      </w:r>
    </w:p>
    <w:p w14:paraId="6BEAADE0">
      <w:pPr>
        <w:spacing w:before="120" w:beforeLines="50" w:after="120" w:afterLines="5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主要实现与国家排污许可证管理信息平台排污许可证内容数据和排污许可证执行报告数据</w:t>
      </w:r>
      <w:r>
        <w:rPr>
          <w:rFonts w:hint="eastAsia" w:ascii="宋体" w:hAnsi="宋体" w:eastAsia="宋体" w:cs="宋体"/>
          <w:color w:val="000000" w:themeColor="text1"/>
          <w:sz w:val="24"/>
          <w:szCs w:val="24"/>
          <w:highlight w:val="none"/>
          <w:lang w:val="en-US" w:eastAsia="zh-CN"/>
          <w14:textFill>
            <w14:solidFill>
              <w14:schemeClr w14:val="tx1"/>
            </w14:solidFill>
          </w14:textFill>
        </w:rPr>
        <w:t>回流</w:t>
      </w:r>
      <w:r>
        <w:rPr>
          <w:rFonts w:hint="eastAsia" w:ascii="宋体" w:hAnsi="宋体" w:eastAsia="宋体" w:cs="宋体"/>
          <w:color w:val="000000" w:themeColor="text1"/>
          <w:sz w:val="24"/>
          <w:szCs w:val="24"/>
          <w:highlight w:val="none"/>
          <w14:textFill>
            <w14:solidFill>
              <w14:schemeClr w14:val="tx1"/>
            </w14:solidFill>
          </w14:textFill>
        </w:rPr>
        <w:t>，实现《全国排污许可证管理信息平台数据共享接口》V1.9版本中的42个接口和《执行报告共享接口文档》V1.0版本中的15个接口，建设国家平台中涉及</w:t>
      </w:r>
      <w:r>
        <w:rPr>
          <w:rFonts w:hint="eastAsia" w:ascii="宋体" w:hAnsi="宋体" w:eastAsia="宋体" w:cs="宋体"/>
          <w:color w:val="000000" w:themeColor="text1"/>
          <w:sz w:val="24"/>
          <w:szCs w:val="24"/>
          <w:highlight w:val="none"/>
          <w:lang w:val="en-US" w:eastAsia="zh-CN"/>
          <w14:textFill>
            <w14:solidFill>
              <w14:schemeClr w14:val="tx1"/>
            </w14:solidFill>
          </w14:textFill>
        </w:rPr>
        <w:t>我市</w:t>
      </w:r>
      <w:r>
        <w:rPr>
          <w:rFonts w:hint="eastAsia" w:ascii="宋体" w:hAnsi="宋体" w:eastAsia="宋体" w:cs="宋体"/>
          <w:color w:val="000000" w:themeColor="text1"/>
          <w:sz w:val="24"/>
          <w:szCs w:val="24"/>
          <w:highlight w:val="none"/>
          <w14:textFill>
            <w14:solidFill>
              <w14:schemeClr w14:val="tx1"/>
            </w14:solidFill>
          </w14:textFill>
        </w:rPr>
        <w:t>排污企业的许可证及业务办理的环保行业数据池。</w:t>
      </w:r>
    </w:p>
    <w:p w14:paraId="0B08BECE">
      <w:pPr>
        <w:spacing w:before="120" w:beforeLines="50" w:after="120" w:afterLines="50"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开展</w:t>
      </w:r>
      <w:r>
        <w:rPr>
          <w:rFonts w:hint="eastAsia" w:ascii="宋体" w:hAnsi="宋体" w:eastAsia="宋体" w:cs="宋体"/>
          <w:color w:val="000000" w:themeColor="text1"/>
          <w:sz w:val="24"/>
          <w:szCs w:val="24"/>
          <w:highlight w:val="none"/>
          <w14:textFill>
            <w14:solidFill>
              <w14:schemeClr w14:val="tx1"/>
            </w14:solidFill>
          </w14:textFill>
        </w:rPr>
        <w:t>执行报告自动</w:t>
      </w:r>
      <w:r>
        <w:rPr>
          <w:rFonts w:hint="eastAsia" w:ascii="宋体" w:hAnsi="宋体" w:eastAsia="宋体" w:cs="宋体"/>
          <w:color w:val="000000" w:themeColor="text1"/>
          <w:sz w:val="24"/>
          <w:szCs w:val="24"/>
          <w:highlight w:val="none"/>
          <w:lang w:val="en-US" w:eastAsia="zh-CN"/>
          <w14:textFill>
            <w14:solidFill>
              <w14:schemeClr w14:val="tx1"/>
            </w14:solidFill>
          </w14:textFill>
        </w:rPr>
        <w:t>辅助</w:t>
      </w:r>
      <w:r>
        <w:rPr>
          <w:rFonts w:hint="eastAsia" w:ascii="宋体" w:hAnsi="宋体" w:eastAsia="宋体" w:cs="宋体"/>
          <w:color w:val="000000" w:themeColor="text1"/>
          <w:sz w:val="24"/>
          <w:szCs w:val="24"/>
          <w:highlight w:val="none"/>
          <w14:textFill>
            <w14:solidFill>
              <w14:schemeClr w14:val="tx1"/>
            </w14:solidFill>
          </w14:textFill>
        </w:rPr>
        <w:t>审核</w:t>
      </w:r>
      <w:r>
        <w:rPr>
          <w:rFonts w:hint="eastAsia" w:ascii="宋体" w:hAnsi="宋体" w:eastAsia="宋体" w:cs="宋体"/>
          <w:color w:val="000000" w:themeColor="text1"/>
          <w:sz w:val="24"/>
          <w:szCs w:val="24"/>
          <w:highlight w:val="none"/>
          <w:lang w:val="en-US" w:eastAsia="zh-CN"/>
          <w14:textFill>
            <w14:solidFill>
              <w14:schemeClr w14:val="tx1"/>
            </w14:solidFill>
          </w14:textFill>
        </w:rPr>
        <w:t>和许可证智能辅助复核</w:t>
      </w:r>
    </w:p>
    <w:p w14:paraId="13217171">
      <w:pPr>
        <w:spacing w:before="120" w:beforeLines="50" w:after="120" w:afterLines="5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主要实现许可证执行月报、季报</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年报的自动审核</w:t>
      </w:r>
      <w:r>
        <w:rPr>
          <w:rFonts w:hint="eastAsia" w:ascii="宋体" w:hAnsi="宋体" w:eastAsia="宋体" w:cs="宋体"/>
          <w:color w:val="000000" w:themeColor="text1"/>
          <w:sz w:val="24"/>
          <w:szCs w:val="24"/>
          <w:highlight w:val="none"/>
          <w:lang w:val="en-US" w:eastAsia="zh-CN"/>
          <w14:textFill>
            <w14:solidFill>
              <w14:schemeClr w14:val="tx1"/>
            </w14:solidFill>
          </w14:textFill>
        </w:rPr>
        <w:t>和许可证内容的智能复核</w:t>
      </w:r>
      <w:r>
        <w:rPr>
          <w:rFonts w:hint="eastAsia" w:ascii="宋体" w:hAnsi="宋体" w:eastAsia="宋体" w:cs="宋体"/>
          <w:color w:val="000000" w:themeColor="text1"/>
          <w:sz w:val="24"/>
          <w:szCs w:val="24"/>
          <w:highlight w:val="none"/>
          <w14:textFill>
            <w14:solidFill>
              <w14:schemeClr w14:val="tx1"/>
            </w14:solidFill>
          </w14:textFill>
        </w:rPr>
        <w:t>。根据企业排污许可证申报及管理的相关数据信息对企业填报的执行报告数据和内容通过后台进行自动审核；</w:t>
      </w:r>
      <w:r>
        <w:rPr>
          <w:rFonts w:hint="eastAsia" w:ascii="宋体" w:hAnsi="宋体" w:eastAsia="宋体" w:cs="宋体"/>
          <w:color w:val="000000" w:themeColor="text1"/>
          <w:sz w:val="24"/>
          <w:szCs w:val="24"/>
          <w:highlight w:val="none"/>
          <w:lang w:val="en-US" w:eastAsia="zh-CN"/>
          <w14:textFill>
            <w14:solidFill>
              <w14:schemeClr w14:val="tx1"/>
            </w14:solidFill>
          </w14:textFill>
        </w:rPr>
        <w:t>依据各行业技术规范对企业提交的申请表内容开展智能复核；</w:t>
      </w:r>
      <w:r>
        <w:rPr>
          <w:rFonts w:hint="eastAsia" w:ascii="宋体" w:hAnsi="宋体" w:eastAsia="宋体" w:cs="宋体"/>
          <w:color w:val="000000" w:themeColor="text1"/>
          <w:sz w:val="24"/>
          <w:szCs w:val="24"/>
          <w:highlight w:val="none"/>
          <w14:textFill>
            <w14:solidFill>
              <w14:schemeClr w14:val="tx1"/>
            </w14:solidFill>
          </w14:textFill>
        </w:rPr>
        <w:t>系统自动将审核纠错问题及参考意见，直接推送至企业，便于企业发现问题并快速解决问题。</w:t>
      </w:r>
    </w:p>
    <w:p w14:paraId="0695627B">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本</w:t>
      </w:r>
      <w:r>
        <w:rPr>
          <w:rFonts w:hint="eastAsia" w:ascii="宋体" w:hAnsi="宋体" w:eastAsia="宋体" w:cs="宋体"/>
          <w:color w:val="000000" w:themeColor="text1"/>
          <w:sz w:val="24"/>
          <w:szCs w:val="24"/>
          <w:highlight w:val="none"/>
          <w:lang w:val="en-US" w:eastAsia="zh-CN"/>
          <w14:textFill>
            <w14:solidFill>
              <w14:schemeClr w14:val="tx1"/>
            </w14:solidFill>
          </w14:textFill>
        </w:rPr>
        <w:t>应用服务</w:t>
      </w:r>
      <w:r>
        <w:rPr>
          <w:rFonts w:hint="eastAsia" w:ascii="宋体" w:hAnsi="宋体" w:eastAsia="宋体" w:cs="宋体"/>
          <w:color w:val="000000" w:themeColor="text1"/>
          <w:sz w:val="24"/>
          <w:szCs w:val="24"/>
          <w:highlight w:val="none"/>
          <w14:textFill>
            <w14:solidFill>
              <w14:schemeClr w14:val="tx1"/>
            </w14:solidFill>
          </w14:textFill>
        </w:rPr>
        <w:t>时间为</w:t>
      </w:r>
      <w:r>
        <w:rPr>
          <w:rFonts w:hint="eastAsia" w:ascii="宋体" w:hAnsi="宋体" w:cs="宋体"/>
          <w:color w:val="000000" w:themeColor="text1"/>
          <w:sz w:val="24"/>
          <w:szCs w:val="24"/>
          <w:highlight w:val="none"/>
          <w:lang w:val="en-US" w:eastAsia="zh-CN"/>
          <w14:textFill>
            <w14:solidFill>
              <w14:schemeClr w14:val="tx1"/>
            </w14:solidFill>
          </w14:textFill>
        </w:rPr>
        <w:t>合同签订之日起</w:t>
      </w:r>
      <w:r>
        <w:rPr>
          <w:rFonts w:hint="eastAsia" w:ascii="宋体" w:hAnsi="宋体" w:eastAsia="宋体" w:cs="宋体"/>
          <w:color w:val="000000" w:themeColor="text1"/>
          <w:sz w:val="24"/>
          <w:szCs w:val="24"/>
          <w:highlight w:val="none"/>
          <w14:textFill>
            <w14:solidFill>
              <w14:schemeClr w14:val="tx1"/>
            </w14:solidFill>
          </w14:textFill>
        </w:rPr>
        <w:t>至202</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日。</w:t>
      </w:r>
    </w:p>
    <w:bookmarkEnd w:id="34"/>
    <w:p w14:paraId="14AC58DB">
      <w:pPr>
        <w:pStyle w:val="4"/>
        <w:spacing w:before="120" w:after="120" w:line="360" w:lineRule="auto"/>
        <w:jc w:val="left"/>
        <w:rPr>
          <w:rFonts w:hint="eastAsia" w:ascii="宋体" w:hAnsi="宋体" w:eastAsia="宋体" w:cs="宋体"/>
          <w:b w:val="0"/>
          <w:color w:val="000000" w:themeColor="text1"/>
          <w:sz w:val="24"/>
          <w:szCs w:val="24"/>
          <w:highlight w:val="none"/>
          <w14:textFill>
            <w14:solidFill>
              <w14:schemeClr w14:val="tx1"/>
            </w14:solidFill>
          </w14:textFill>
        </w:rPr>
      </w:pPr>
      <w:bookmarkStart w:id="35" w:name="_Toc345589816"/>
      <w:bookmarkStart w:id="36" w:name="_Toc25455"/>
      <w:r>
        <w:rPr>
          <w:rFonts w:hint="eastAsia" w:ascii="宋体" w:hAnsi="宋体" w:cs="宋体"/>
          <w:b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val="0"/>
          <w:color w:val="000000" w:themeColor="text1"/>
          <w:sz w:val="24"/>
          <w:szCs w:val="24"/>
          <w:highlight w:val="none"/>
          <w14:textFill>
            <w14:solidFill>
              <w14:schemeClr w14:val="tx1"/>
            </w14:solidFill>
          </w14:textFill>
        </w:rPr>
        <w:t>4、</w:t>
      </w:r>
      <w:bookmarkEnd w:id="35"/>
      <w:r>
        <w:rPr>
          <w:rFonts w:hint="eastAsia" w:ascii="宋体" w:hAnsi="宋体" w:eastAsia="宋体" w:cs="宋体"/>
          <w:b w:val="0"/>
          <w:color w:val="000000" w:themeColor="text1"/>
          <w:sz w:val="24"/>
          <w:szCs w:val="24"/>
          <w:highlight w:val="none"/>
          <w14:textFill>
            <w14:solidFill>
              <w14:schemeClr w14:val="tx1"/>
            </w14:solidFill>
          </w14:textFill>
        </w:rPr>
        <w:t>项目</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实施</w:t>
      </w:r>
      <w:r>
        <w:rPr>
          <w:rFonts w:hint="eastAsia" w:ascii="宋体" w:hAnsi="宋体" w:eastAsia="宋体" w:cs="宋体"/>
          <w:b w:val="0"/>
          <w:color w:val="000000" w:themeColor="text1"/>
          <w:sz w:val="24"/>
          <w:szCs w:val="24"/>
          <w:highlight w:val="none"/>
          <w14:textFill>
            <w14:solidFill>
              <w14:schemeClr w14:val="tx1"/>
            </w14:solidFill>
          </w14:textFill>
        </w:rPr>
        <w:t>方案</w:t>
      </w:r>
      <w:bookmarkEnd w:id="36"/>
    </w:p>
    <w:p w14:paraId="20EAA994">
      <w:pPr>
        <w:tabs>
          <w:tab w:val="left" w:pos="540"/>
        </w:tabs>
        <w:spacing w:before="240" w:beforeLines="100" w:after="120" w:afterLines="50" w:line="360" w:lineRule="auto"/>
        <w:ind w:right="170"/>
        <w:outlineLvl w:val="1"/>
        <w:rPr>
          <w:rFonts w:hint="eastAsia" w:ascii="宋体" w:hAnsi="宋体" w:eastAsia="宋体" w:cs="宋体"/>
          <w:b/>
          <w:color w:val="000000" w:themeColor="text1"/>
          <w:sz w:val="24"/>
          <w:szCs w:val="24"/>
          <w:highlight w:val="none"/>
          <w14:textFill>
            <w14:solidFill>
              <w14:schemeClr w14:val="tx1"/>
            </w14:solidFill>
          </w14:textFill>
        </w:rPr>
      </w:pPr>
      <w:bookmarkStart w:id="37" w:name="_Toc24071"/>
      <w:r>
        <w:rPr>
          <w:rStyle w:val="36"/>
          <w:rFonts w:hint="eastAsia" w:ascii="宋体" w:hAnsi="宋体" w:cs="宋体"/>
          <w:color w:val="000000" w:themeColor="text1"/>
          <w:sz w:val="24"/>
          <w:szCs w:val="24"/>
          <w:highlight w:val="none"/>
          <w:lang w:val="en-US" w:eastAsia="zh-CN"/>
          <w14:textFill>
            <w14:solidFill>
              <w14:schemeClr w14:val="tx1"/>
            </w14:solidFill>
          </w14:textFill>
        </w:rPr>
        <w:t>2.</w:t>
      </w:r>
      <w:r>
        <w:rPr>
          <w:rStyle w:val="36"/>
          <w:rFonts w:hint="eastAsia" w:ascii="宋体" w:hAnsi="宋体" w:eastAsia="宋体" w:cs="宋体"/>
          <w:color w:val="000000" w:themeColor="text1"/>
          <w:sz w:val="24"/>
          <w:szCs w:val="24"/>
          <w:highlight w:val="none"/>
          <w14:textFill>
            <w14:solidFill>
              <w14:schemeClr w14:val="tx1"/>
            </w14:solidFill>
          </w14:textFill>
        </w:rPr>
        <w:t xml:space="preserve">4.1 </w:t>
      </w:r>
      <w:r>
        <w:rPr>
          <w:rStyle w:val="36"/>
          <w:rFonts w:hint="eastAsia" w:ascii="宋体" w:hAnsi="宋体" w:eastAsia="宋体" w:cs="宋体"/>
          <w:color w:val="000000" w:themeColor="text1"/>
          <w:sz w:val="24"/>
          <w:szCs w:val="24"/>
          <w:highlight w:val="none"/>
          <w:lang w:val="en-US" w:eastAsia="zh-CN"/>
          <w14:textFill>
            <w14:solidFill>
              <w14:schemeClr w14:val="tx1"/>
            </w14:solidFill>
          </w14:textFill>
        </w:rPr>
        <w:t>实施内容</w:t>
      </w:r>
      <w:bookmarkEnd w:id="37"/>
    </w:p>
    <w:p w14:paraId="4FB0B6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主要</w:t>
      </w:r>
      <w:r>
        <w:rPr>
          <w:rFonts w:hint="eastAsia" w:ascii="宋体" w:hAnsi="宋体" w:eastAsia="宋体" w:cs="宋体"/>
          <w:color w:val="000000" w:themeColor="text1"/>
          <w:sz w:val="24"/>
          <w:szCs w:val="24"/>
          <w:highlight w:val="none"/>
          <w:lang w:val="en-US" w:eastAsia="zh-CN"/>
          <w14:textFill>
            <w14:solidFill>
              <w14:schemeClr w14:val="tx1"/>
            </w14:solidFill>
          </w14:textFill>
        </w:rPr>
        <w:t>设置</w:t>
      </w:r>
      <w:r>
        <w:rPr>
          <w:rFonts w:hint="eastAsia" w:ascii="宋体" w:hAnsi="宋体" w:eastAsia="宋体" w:cs="宋体"/>
          <w:color w:val="000000" w:themeColor="text1"/>
          <w:sz w:val="24"/>
          <w:szCs w:val="24"/>
          <w:highlight w:val="none"/>
          <w14:textFill>
            <w14:solidFill>
              <w14:schemeClr w14:val="tx1"/>
            </w14:solidFill>
          </w14:textFill>
        </w:rPr>
        <w:t>“一</w:t>
      </w:r>
      <w:r>
        <w:rPr>
          <w:rFonts w:hint="eastAsia" w:ascii="宋体" w:hAnsi="宋体" w:eastAsia="宋体" w:cs="宋体"/>
          <w:color w:val="000000" w:themeColor="text1"/>
          <w:sz w:val="24"/>
          <w:szCs w:val="24"/>
          <w:highlight w:val="none"/>
          <w:lang w:val="en-US" w:eastAsia="zh-CN"/>
          <w14:textFill>
            <w14:solidFill>
              <w14:schemeClr w14:val="tx1"/>
            </w14:solidFill>
          </w14:textFill>
        </w:rPr>
        <w:t>个</w:t>
      </w:r>
      <w:r>
        <w:rPr>
          <w:rFonts w:hint="eastAsia" w:ascii="宋体" w:hAnsi="宋体" w:eastAsia="宋体" w:cs="宋体"/>
          <w:color w:val="000000" w:themeColor="text1"/>
          <w:sz w:val="24"/>
          <w:szCs w:val="24"/>
          <w:highlight w:val="none"/>
          <w14:textFill>
            <w14:solidFill>
              <w14:schemeClr w14:val="tx1"/>
            </w14:solidFill>
          </w14:textFill>
        </w:rPr>
        <w:t>中心”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实现</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二个应用</w:t>
      </w:r>
      <w:r>
        <w:rPr>
          <w:rFonts w:hint="eastAsia" w:ascii="宋体" w:hAnsi="宋体" w:eastAsia="宋体" w:cs="宋体"/>
          <w:color w:val="000000" w:themeColor="text1"/>
          <w:sz w:val="24"/>
          <w:szCs w:val="24"/>
          <w:highlight w:val="none"/>
          <w14:textFill>
            <w14:solidFill>
              <w14:schemeClr w14:val="tx1"/>
            </w14:solidFill>
          </w14:textFill>
        </w:rPr>
        <w:t>”。</w:t>
      </w:r>
    </w:p>
    <w:p w14:paraId="6A62B1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同步国家平台排污许可管理数据，</w:t>
      </w:r>
      <w:r>
        <w:rPr>
          <w:rFonts w:hint="eastAsia" w:ascii="宋体" w:hAnsi="宋体" w:eastAsia="宋体" w:cs="宋体"/>
          <w:color w:val="000000" w:themeColor="text1"/>
          <w:sz w:val="24"/>
          <w:szCs w:val="24"/>
          <w:highlight w:val="none"/>
          <w:lang w:val="en-US" w:eastAsia="zh-CN"/>
          <w14:textFill>
            <w14:solidFill>
              <w14:schemeClr w14:val="tx1"/>
            </w14:solidFill>
          </w14:textFill>
        </w:rPr>
        <w:t>设置排污许可</w:t>
      </w:r>
      <w:r>
        <w:rPr>
          <w:rFonts w:hint="eastAsia" w:ascii="宋体" w:hAnsi="宋体" w:eastAsia="宋体" w:cs="宋体"/>
          <w:color w:val="000000" w:themeColor="text1"/>
          <w:sz w:val="24"/>
          <w:szCs w:val="24"/>
          <w:highlight w:val="none"/>
          <w14:textFill>
            <w14:solidFill>
              <w14:schemeClr w14:val="tx1"/>
            </w14:solidFill>
          </w14:textFill>
        </w:rPr>
        <w:t>资源数据池</w:t>
      </w:r>
      <w:r>
        <w:rPr>
          <w:rFonts w:hint="eastAsia" w:ascii="宋体" w:hAnsi="宋体" w:eastAsia="宋体" w:cs="宋体"/>
          <w:color w:val="000000" w:themeColor="text1"/>
          <w:sz w:val="24"/>
          <w:szCs w:val="24"/>
          <w:highlight w:val="none"/>
          <w:lang w:eastAsia="zh-CN"/>
          <w14:textFill>
            <w14:solidFill>
              <w14:schemeClr w14:val="tx1"/>
            </w14:solidFill>
          </w14:textFill>
        </w:rPr>
        <w:t>。从国家排污许可信息化管理平台中回流排污许可管理数据（主要包括许可证副本数据和执行报告数据），</w:t>
      </w:r>
      <w:r>
        <w:rPr>
          <w:rFonts w:hint="eastAsia" w:ascii="宋体" w:hAnsi="宋体" w:eastAsia="宋体" w:cs="宋体"/>
          <w:color w:val="000000" w:themeColor="text1"/>
          <w:sz w:val="24"/>
          <w:szCs w:val="24"/>
          <w:highlight w:val="none"/>
          <w:lang w:val="en-US" w:eastAsia="zh-CN"/>
          <w14:textFill>
            <w14:solidFill>
              <w14:schemeClr w14:val="tx1"/>
            </w14:solidFill>
          </w14:textFill>
        </w:rPr>
        <w:t>设置排污许可</w:t>
      </w:r>
      <w:r>
        <w:rPr>
          <w:rFonts w:hint="eastAsia" w:ascii="宋体" w:hAnsi="宋体" w:eastAsia="宋体" w:cs="宋体"/>
          <w:color w:val="000000" w:themeColor="text1"/>
          <w:sz w:val="24"/>
          <w:szCs w:val="24"/>
          <w:highlight w:val="none"/>
          <w:lang w:eastAsia="zh-CN"/>
          <w14:textFill>
            <w14:solidFill>
              <w14:schemeClr w14:val="tx1"/>
            </w14:solidFill>
          </w14:textFill>
        </w:rPr>
        <w:t>数据池。主要对接《全国排污许可证管理信息平台数据共享接口》V1.9版本中的42个接口和《执行报告共享接口文档》V1.0版本中的15个接口。首先进行数据采集、清洗并依据75个主行业和699个子行业按排污许可证和执行报告两个维度共上万个表格要求进行数据解析，为了便于后续的数据综合检索，将所有数据进行打散并独立存储，建立“以排污许可证为核心”的资源数据仓库，形成以排污许可一证式管理为核心的业务数据链，实现数据共享各业务系统使用。</w:t>
      </w:r>
    </w:p>
    <w:p w14:paraId="14A894D3">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实现数据查询统计应用。</w:t>
      </w:r>
      <w:r>
        <w:rPr>
          <w:rFonts w:hint="eastAsia" w:ascii="宋体" w:hAnsi="宋体" w:eastAsia="宋体" w:cs="宋体"/>
          <w:color w:val="000000" w:themeColor="text1"/>
          <w:sz w:val="24"/>
          <w:szCs w:val="24"/>
          <w:highlight w:val="none"/>
          <w14:textFill>
            <w14:solidFill>
              <w14:schemeClr w14:val="tx1"/>
            </w14:solidFill>
          </w14:textFill>
        </w:rPr>
        <w:t>以排污许可“一证式”管理为核心，以服务于政府决策机构、职能部门的一线工作人员为目标，对排污许可信息统一收集、存储、管理，并实现各级联网、数据集成、信息共享。</w:t>
      </w:r>
      <w:r>
        <w:rPr>
          <w:rFonts w:hint="eastAsia" w:ascii="宋体" w:hAnsi="宋体" w:eastAsia="宋体" w:cs="宋体"/>
          <w:color w:val="000000" w:themeColor="text1"/>
          <w:sz w:val="24"/>
          <w:szCs w:val="24"/>
          <w:highlight w:val="none"/>
          <w:lang w:val="en-US" w:eastAsia="zh-CN"/>
          <w14:textFill>
            <w14:solidFill>
              <w14:schemeClr w14:val="tx1"/>
            </w14:solidFill>
          </w14:textFill>
        </w:rPr>
        <w:t>实现：</w:t>
      </w:r>
    </w:p>
    <w:p w14:paraId="1AE21286">
      <w:pPr>
        <w:pStyle w:val="26"/>
        <w:numPr>
          <w:ilvl w:val="0"/>
          <w:numId w:val="2"/>
        </w:numPr>
        <w:ind w:left="1260" w:leftChars="0" w:hanging="420" w:firstLineChars="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排污许可所有数据的可定制化高级查询（关系表达式的逻辑组合查询）；</w:t>
      </w:r>
    </w:p>
    <w:p w14:paraId="3CF7938F">
      <w:pPr>
        <w:pStyle w:val="26"/>
        <w:numPr>
          <w:ilvl w:val="0"/>
          <w:numId w:val="2"/>
        </w:numPr>
        <w:ind w:left="1260" w:leftChars="0" w:hanging="420" w:firstLineChars="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排污许可所有数据的统计与高级导出（所见即所得的表单定制导出）；</w:t>
      </w:r>
    </w:p>
    <w:p w14:paraId="3980424B">
      <w:pPr>
        <w:pStyle w:val="26"/>
        <w:numPr>
          <w:ilvl w:val="0"/>
          <w:numId w:val="2"/>
        </w:numPr>
        <w:ind w:left="1260" w:leftChars="0" w:hanging="420" w:firstLineChars="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专项定制查询；</w:t>
      </w:r>
    </w:p>
    <w:p w14:paraId="22EA0B92">
      <w:pPr>
        <w:pStyle w:val="26"/>
        <w:numPr>
          <w:ilvl w:val="0"/>
          <w:numId w:val="2"/>
        </w:numPr>
        <w:ind w:left="1260" w:leftChars="0" w:hanging="420" w:firstLineChars="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企业排污许可执行情况的预警与信息推送。</w:t>
      </w:r>
    </w:p>
    <w:p w14:paraId="4C8E5A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实现排污许可执行报告自动审核和许可证质量智能复核。</w:t>
      </w:r>
      <w:r>
        <w:rPr>
          <w:rFonts w:hint="eastAsia" w:ascii="宋体" w:hAnsi="宋体" w:eastAsia="宋体" w:cs="宋体"/>
          <w:color w:val="000000" w:themeColor="text1"/>
          <w:sz w:val="24"/>
          <w:szCs w:val="24"/>
          <w:highlight w:val="none"/>
          <w14:textFill>
            <w14:solidFill>
              <w14:schemeClr w14:val="tx1"/>
            </w14:solidFill>
          </w14:textFill>
        </w:rPr>
        <w:t>可以自动向每个企业发送排污许可证质量预检报告和排污许可执行报告自动审核结果，智能提出存在的质量问题以及修改建议，以便企业自行修正变更；可以为每个企业自动生成年度排污许可证执行报告内容规范性审核表，除附图附件和计算过程外其他内容实现自动填写，一键导出。</w:t>
      </w:r>
    </w:p>
    <w:p w14:paraId="4D4AD93D">
      <w:pPr>
        <w:tabs>
          <w:tab w:val="left" w:pos="540"/>
        </w:tabs>
        <w:spacing w:before="240" w:beforeLines="100" w:after="120" w:afterLines="50" w:line="360" w:lineRule="auto"/>
        <w:ind w:right="170"/>
        <w:outlineLvl w:val="1"/>
        <w:rPr>
          <w:rStyle w:val="36"/>
          <w:rFonts w:hint="eastAsia" w:ascii="宋体" w:hAnsi="宋体" w:eastAsia="宋体" w:cs="宋体"/>
          <w:color w:val="000000" w:themeColor="text1"/>
          <w:sz w:val="24"/>
          <w:szCs w:val="24"/>
          <w:highlight w:val="none"/>
          <w14:textFill>
            <w14:solidFill>
              <w14:schemeClr w14:val="tx1"/>
            </w14:solidFill>
          </w14:textFill>
        </w:rPr>
      </w:pPr>
      <w:bookmarkStart w:id="38" w:name="_Toc31948"/>
      <w:bookmarkStart w:id="39" w:name="_Toc345589817"/>
      <w:r>
        <w:rPr>
          <w:rStyle w:val="36"/>
          <w:rFonts w:hint="eastAsia" w:ascii="宋体" w:hAnsi="宋体" w:cs="宋体"/>
          <w:color w:val="000000" w:themeColor="text1"/>
          <w:sz w:val="24"/>
          <w:szCs w:val="24"/>
          <w:highlight w:val="none"/>
          <w:lang w:val="en-US" w:eastAsia="zh-CN"/>
          <w14:textFill>
            <w14:solidFill>
              <w14:schemeClr w14:val="tx1"/>
            </w14:solidFill>
          </w14:textFill>
        </w:rPr>
        <w:t>2.</w:t>
      </w:r>
      <w:r>
        <w:rPr>
          <w:rStyle w:val="36"/>
          <w:rFonts w:hint="eastAsia" w:ascii="宋体" w:hAnsi="宋体" w:eastAsia="宋体" w:cs="宋体"/>
          <w:color w:val="000000" w:themeColor="text1"/>
          <w:sz w:val="24"/>
          <w:szCs w:val="24"/>
          <w:highlight w:val="none"/>
          <w14:textFill>
            <w14:solidFill>
              <w14:schemeClr w14:val="tx1"/>
            </w14:solidFill>
          </w14:textFill>
        </w:rPr>
        <w:t>4.2 详细功能描述</w:t>
      </w:r>
      <w:bookmarkEnd w:id="38"/>
    </w:p>
    <w:bookmarkEnd w:id="39"/>
    <w:p w14:paraId="79732CA6">
      <w:pPr>
        <w:spacing w:before="120" w:beforeLines="50" w:after="120" w:afterLines="5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排污许可数据应用服务功能清单如下：</w:t>
      </w:r>
    </w:p>
    <w:tbl>
      <w:tblPr>
        <w:tblStyle w:val="27"/>
        <w:tblW w:w="82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6"/>
        <w:gridCol w:w="696"/>
        <w:gridCol w:w="696"/>
        <w:gridCol w:w="6328"/>
      </w:tblGrid>
      <w:tr w14:paraId="41F10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6E1C40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序号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5FBA3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单元</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D19AF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模组</w:t>
            </w:r>
          </w:p>
        </w:tc>
        <w:tc>
          <w:tcPr>
            <w:tcW w:w="6328" w:type="dxa"/>
            <w:tcBorders>
              <w:top w:val="single" w:color="000000" w:sz="4" w:space="0"/>
              <w:left w:val="single" w:color="000000" w:sz="4" w:space="0"/>
              <w:bottom w:val="single" w:color="000000" w:sz="4" w:space="0"/>
              <w:right w:val="single" w:color="000000" w:sz="4" w:space="0"/>
            </w:tcBorders>
            <w:noWrap/>
            <w:vAlign w:val="center"/>
          </w:tcPr>
          <w:p w14:paraId="0B4C298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工作事项</w:t>
            </w:r>
          </w:p>
        </w:tc>
      </w:tr>
      <w:tr w14:paraId="0543C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7C4479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1</w:t>
            </w:r>
          </w:p>
        </w:tc>
        <w:tc>
          <w:tcPr>
            <w:tcW w:w="656" w:type="dxa"/>
            <w:tcBorders>
              <w:top w:val="single" w:color="000000" w:sz="4" w:space="0"/>
              <w:left w:val="single" w:color="000000" w:sz="4" w:space="0"/>
              <w:bottom w:val="single" w:color="000000" w:sz="4" w:space="0"/>
              <w:right w:val="single" w:color="000000" w:sz="4" w:space="0"/>
            </w:tcBorders>
            <w:vAlign w:val="center"/>
          </w:tcPr>
          <w:p w14:paraId="3D8F614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排污许可数据池</w:t>
            </w:r>
          </w:p>
        </w:tc>
        <w:tc>
          <w:tcPr>
            <w:tcW w:w="656" w:type="dxa"/>
            <w:tcBorders>
              <w:top w:val="single" w:color="000000" w:sz="4" w:space="0"/>
              <w:left w:val="single" w:color="000000" w:sz="4" w:space="0"/>
              <w:bottom w:val="single" w:color="000000" w:sz="4" w:space="0"/>
              <w:right w:val="single" w:color="000000" w:sz="4" w:space="0"/>
            </w:tcBorders>
            <w:vAlign w:val="center"/>
          </w:tcPr>
          <w:p w14:paraId="6BEB0A5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排污许可数据库</w:t>
            </w:r>
          </w:p>
        </w:tc>
        <w:tc>
          <w:tcPr>
            <w:tcW w:w="6328" w:type="dxa"/>
            <w:tcBorders>
              <w:top w:val="single" w:color="000000" w:sz="4" w:space="0"/>
              <w:left w:val="single" w:color="000000" w:sz="4" w:space="0"/>
              <w:bottom w:val="single" w:color="000000" w:sz="4" w:space="0"/>
              <w:right w:val="single" w:color="000000" w:sz="4" w:space="0"/>
            </w:tcBorders>
            <w:vAlign w:val="center"/>
          </w:tcPr>
          <w:p w14:paraId="40CD384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从国家排污许可信息化管理平台中回流排污许可管理数据（主要包括许可证副本数据和执行报告数据），设置排污许可数据池。主要对接《全国排污许可证管理信息平台数据共享接口》V1.9版本中的42个接口和《执行报告共享接口文档》V1.0版本中的15个接口。首先进行数据采集、清洗并依据75个主行业和699个子行业按排污许可证和执行报告两个维度共上万个表格要求进行数据解析，为了便于后续的数据综合检索，需将所有的数据进行打散并独立存储，建立“以排污许可证为核心”的资源数据仓库，形成以排污许可一证式管理为核心的业务数据链，达到数据共享各业务系统使用的建设目标。</w:t>
            </w:r>
          </w:p>
        </w:tc>
      </w:tr>
      <w:tr w14:paraId="7E8D5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14:paraId="21EF77F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2</w:t>
            </w:r>
          </w:p>
        </w:tc>
        <w:tc>
          <w:tcPr>
            <w:tcW w:w="656" w:type="dxa"/>
            <w:vMerge w:val="restart"/>
            <w:tcBorders>
              <w:top w:val="single" w:color="000000" w:sz="4" w:space="0"/>
              <w:left w:val="single" w:color="000000" w:sz="4" w:space="0"/>
              <w:bottom w:val="single" w:color="000000" w:sz="4" w:space="0"/>
              <w:right w:val="single" w:color="000000" w:sz="4" w:space="0"/>
            </w:tcBorders>
            <w:vAlign w:val="center"/>
          </w:tcPr>
          <w:p w14:paraId="6DA33D9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排污许可信息管理</w:t>
            </w:r>
          </w:p>
        </w:tc>
        <w:tc>
          <w:tcPr>
            <w:tcW w:w="656" w:type="dxa"/>
            <w:vMerge w:val="restart"/>
            <w:tcBorders>
              <w:top w:val="single" w:color="000000" w:sz="4" w:space="0"/>
              <w:left w:val="single" w:color="000000" w:sz="4" w:space="0"/>
              <w:bottom w:val="single" w:color="000000" w:sz="4" w:space="0"/>
              <w:right w:val="single" w:color="000000" w:sz="4" w:space="0"/>
            </w:tcBorders>
            <w:vAlign w:val="center"/>
          </w:tcPr>
          <w:p w14:paraId="6497CCF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排污许可证副本查询与导出</w:t>
            </w:r>
          </w:p>
        </w:tc>
        <w:tc>
          <w:tcPr>
            <w:tcW w:w="6328" w:type="dxa"/>
            <w:vMerge w:val="restart"/>
            <w:tcBorders>
              <w:top w:val="single" w:color="000000" w:sz="4" w:space="0"/>
              <w:left w:val="single" w:color="000000" w:sz="4" w:space="0"/>
              <w:bottom w:val="single" w:color="000000" w:sz="4" w:space="0"/>
              <w:right w:val="single" w:color="000000" w:sz="4" w:space="0"/>
            </w:tcBorders>
            <w:vAlign w:val="center"/>
          </w:tcPr>
          <w:p w14:paraId="352668C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为便于监管人员方便、高效的通过离散数据进行企业和要素查询，设立排污许可证副本查询与导出模块，模块主要要素内容包括：时间、有效状态、控制区域、区域、上报频次、执行排放标准、许可证管理类别、监测方式、企业名称、主要污染物类别、行业类别、排放类型、排放口类型、排放口高度、排污去向、固体废弃物类型、污染物名称、许可排放范围、许可排污占比等，通过上述要素的单选或多选，实现查询、统计与导出。</w:t>
            </w:r>
          </w:p>
        </w:tc>
      </w:tr>
      <w:tr w14:paraId="76F2E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195D2C61">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75889E29">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07128D1">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328" w:type="dxa"/>
            <w:vMerge w:val="continue"/>
            <w:tcBorders>
              <w:top w:val="single" w:color="000000" w:sz="4" w:space="0"/>
              <w:left w:val="single" w:color="000000" w:sz="4" w:space="0"/>
              <w:bottom w:val="single" w:color="000000" w:sz="4" w:space="0"/>
              <w:right w:val="single" w:color="000000" w:sz="4" w:space="0"/>
            </w:tcBorders>
            <w:vAlign w:val="center"/>
          </w:tcPr>
          <w:p w14:paraId="12E7688A">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14:paraId="65EB8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318EF935">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A02E8AD">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7E95C3C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排污许可证副本高级查询与高级导出</w:t>
            </w:r>
          </w:p>
        </w:tc>
        <w:tc>
          <w:tcPr>
            <w:tcW w:w="6328" w:type="dxa"/>
            <w:tcBorders>
              <w:top w:val="single" w:color="000000" w:sz="4" w:space="0"/>
              <w:left w:val="single" w:color="000000" w:sz="4" w:space="0"/>
              <w:bottom w:val="single" w:color="000000" w:sz="4" w:space="0"/>
              <w:right w:val="single" w:color="000000" w:sz="4" w:space="0"/>
            </w:tcBorders>
            <w:vAlign w:val="center"/>
          </w:tcPr>
          <w:p w14:paraId="53D99C75">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高级查询的主要要素内容包括：时间、有效状态、控制区域、区域、上报频次、执行排放标准、许可证管理类别、监测方式、企业名称、主要污染物类别、行业类别、排放类型、排放口类型、排放口高度、排污去向、固体废弃物类型、污染物名称、许可排放范围、许可排污占比等；高级导出的内容涵盖排污许可证副本全要素并通过智能化计算，自动关联序号、百分比及排名等二次计算数据内容。</w:t>
            </w:r>
          </w:p>
        </w:tc>
      </w:tr>
      <w:tr w14:paraId="092D9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4AB3CB59">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2A51DB0A">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6D0497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排污许可执行报告查询与导出</w:t>
            </w:r>
          </w:p>
        </w:tc>
        <w:tc>
          <w:tcPr>
            <w:tcW w:w="6328" w:type="dxa"/>
            <w:tcBorders>
              <w:top w:val="single" w:color="000000" w:sz="4" w:space="0"/>
              <w:left w:val="single" w:color="000000" w:sz="4" w:space="0"/>
              <w:bottom w:val="single" w:color="000000" w:sz="4" w:space="0"/>
              <w:right w:val="single" w:color="000000" w:sz="4" w:space="0"/>
            </w:tcBorders>
            <w:vAlign w:val="center"/>
          </w:tcPr>
          <w:p w14:paraId="7B444A2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为便于监管人员方便、高效的通过离散数据进行企业和要素的查询，设立排污许可执行报告查询与导出模块，模块主要要素内容包括：时间、报告提交状态、控制区域、区域、报告类型、执行排放标准、许可证管理类别、监测方式、企业名称、主要污染物类别、行业类别、排污去向、污染物名称、实际排污量范围、实际排污占比、许可量值、余量等，通过上述要素的单选或多选，实现查询、统计与导出。</w:t>
            </w:r>
          </w:p>
        </w:tc>
      </w:tr>
      <w:tr w14:paraId="0204F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AD7EA5D">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6A3040F1">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4B7784D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排污许可执行报告高级查询与高级导出</w:t>
            </w:r>
          </w:p>
        </w:tc>
        <w:tc>
          <w:tcPr>
            <w:tcW w:w="6328" w:type="dxa"/>
            <w:tcBorders>
              <w:top w:val="single" w:color="000000" w:sz="4" w:space="0"/>
              <w:left w:val="single" w:color="000000" w:sz="4" w:space="0"/>
              <w:bottom w:val="single" w:color="000000" w:sz="4" w:space="0"/>
              <w:right w:val="single" w:color="000000" w:sz="4" w:space="0"/>
            </w:tcBorders>
            <w:vAlign w:val="center"/>
          </w:tcPr>
          <w:p w14:paraId="7038ADF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高级查询的主要要素内容包括：时间、报告提交状态、控制区域、区域、报告类型、执行排放标准、许可证管理类别、监测方式、企业名称、主要污染物类别、行业类别、排污去向、污染物名称、实际排污量范围、实际排污占比、许可量值、余量；高级导出的内容涵盖排污许可执行报告全要素并通过智能化计算，自动关联序号、百分比及排名等二次计算数据内容。</w:t>
            </w:r>
          </w:p>
        </w:tc>
      </w:tr>
      <w:tr w14:paraId="45C82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5700FF52">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44001D1F">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18BA0C9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企业画像</w:t>
            </w:r>
          </w:p>
        </w:tc>
        <w:tc>
          <w:tcPr>
            <w:tcW w:w="6328" w:type="dxa"/>
            <w:tcBorders>
              <w:top w:val="single" w:color="000000" w:sz="4" w:space="0"/>
              <w:left w:val="single" w:color="000000" w:sz="4" w:space="0"/>
              <w:bottom w:val="single" w:color="000000" w:sz="4" w:space="0"/>
              <w:right w:val="single" w:color="000000" w:sz="4" w:space="0"/>
            </w:tcBorders>
            <w:vAlign w:val="center"/>
          </w:tcPr>
          <w:p w14:paraId="607226D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企业画像为一企一档，主要内容包括企业基本信息、企业许可证发放过程及版本留痕存储；企业历次许可证内容、副本内容、历次执行报告内容、历次上传附件内容、异常审核问题、超标报警信息、余量不足信息、废气污染物排放去向信息与数据分析、废水污染物排放去向信息与数据分析、排放口坐标位置信息GIS显示、各类污染物年度月季排放量曲线显示、各类污染物历年排放量汇总曲线显示、各类污染物年度排放浓度曲线显示等内容。涵盖了企业全部档案和数据内容。</w:t>
            </w:r>
          </w:p>
        </w:tc>
      </w:tr>
      <w:tr w14:paraId="6C375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7EF04753">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360A7E9">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2DA411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模糊匹配检索</w:t>
            </w:r>
          </w:p>
        </w:tc>
        <w:tc>
          <w:tcPr>
            <w:tcW w:w="6328" w:type="dxa"/>
            <w:tcBorders>
              <w:top w:val="single" w:color="000000" w:sz="4" w:space="0"/>
              <w:left w:val="single" w:color="000000" w:sz="4" w:space="0"/>
              <w:bottom w:val="single" w:color="000000" w:sz="4" w:space="0"/>
              <w:right w:val="single" w:color="000000" w:sz="4" w:space="0"/>
            </w:tcBorders>
            <w:vAlign w:val="center"/>
          </w:tcPr>
          <w:p w14:paraId="655DFA2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监管部门在对企业日常监管过程中，经常会遇到监管要素无从查起的工作难点问题。譬如，要对辖区内企业开展涉硫酸物质的摸排工作，监管人员只能挨个企业走访、调查、登记。工作效率低、统计困难、数据不准确。系统设置模糊匹配功能，只要输入要查询的要素名称如硫酸，系统可以借助人工智能识别模型，以打散存储的数据仓库为基础，以企业排污许可证载明事项内容和执行报告填报内容，快速检索出涉硫酸的企业及其所涉及硫酸的工艺环节，如：原材料、成品、半成品、燃料、设备、危险固废、一般固废、污染物、生产单元、生</w:t>
            </w:r>
            <w:r>
              <w:rPr>
                <w:rFonts w:hint="eastAsia" w:ascii="宋体" w:hAnsi="宋体" w:cs="宋体"/>
                <w:i w:val="0"/>
                <w:iCs w:val="0"/>
                <w:color w:val="000000" w:themeColor="text1"/>
                <w:kern w:val="0"/>
                <w:sz w:val="24"/>
                <w:szCs w:val="24"/>
                <w:highlight w:val="none"/>
                <w:u w:val="none"/>
                <w:lang w:val="en-US" w:eastAsia="zh-CN"/>
                <w14:textFill>
                  <w14:solidFill>
                    <w14:schemeClr w14:val="tx1"/>
                  </w14:solidFill>
                </w14:textFill>
              </w:rPr>
              <w:t>产</w:t>
            </w: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设施、治污设施、企业基本信息、排放口、产污环节、污染治理设施工艺等内容。</w:t>
            </w:r>
          </w:p>
        </w:tc>
      </w:tr>
      <w:tr w14:paraId="6D9B6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19F02888">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3DABDCAB">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1609552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定点周边检索</w:t>
            </w:r>
          </w:p>
        </w:tc>
        <w:tc>
          <w:tcPr>
            <w:tcW w:w="6328" w:type="dxa"/>
            <w:tcBorders>
              <w:top w:val="single" w:color="000000" w:sz="4" w:space="0"/>
              <w:left w:val="single" w:color="000000" w:sz="4" w:space="0"/>
              <w:bottom w:val="single" w:color="000000" w:sz="4" w:space="0"/>
              <w:right w:val="single" w:color="000000" w:sz="4" w:space="0"/>
            </w:tcBorders>
            <w:vAlign w:val="center"/>
          </w:tcPr>
          <w:p w14:paraId="01FE358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监管部门在对区域环境监测过程中，经常会遇到老百姓投诉某个区域有异味或环境污染等问题。因为是在公共区域，所</w:t>
            </w:r>
            <w:r>
              <w:rPr>
                <w:rFonts w:hint="eastAsia" w:ascii="宋体" w:hAnsi="宋体" w:cs="宋体"/>
                <w:i w:val="0"/>
                <w:iCs w:val="0"/>
                <w:color w:val="000000" w:themeColor="text1"/>
                <w:kern w:val="0"/>
                <w:sz w:val="24"/>
                <w:szCs w:val="24"/>
                <w:highlight w:val="none"/>
                <w:u w:val="none"/>
                <w:lang w:val="en-US" w:eastAsia="zh-CN"/>
                <w14:textFill>
                  <w14:solidFill>
                    <w14:schemeClr w14:val="tx1"/>
                  </w14:solidFill>
                </w14:textFill>
              </w:rPr>
              <w:t>以</w:t>
            </w: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通常很难确定污染源头企业。利用坐标系混合转换算法等技术，以打散存储的数据仓库为基础，以企业排污许可证载明事项内容和执行报告填报内容为依据，输入任一点坐标位置及覆盖范围公里数，系统可快速检索出周边存在哪些排污企业及距离该点的直线距离。通过选择具体污染物名称，可检索出涉及该污染物排放的企业名单、许可排放量、实际排放量、区域污染区排放占比、排放方式等内容，结合当时的气象条件如风向等，为实现</w:t>
            </w:r>
            <w:r>
              <w:rPr>
                <w:rFonts w:hint="eastAsia" w:ascii="宋体" w:hAnsi="宋体" w:cs="宋体"/>
                <w:i w:val="0"/>
                <w:iCs w:val="0"/>
                <w:color w:val="000000" w:themeColor="text1"/>
                <w:kern w:val="0"/>
                <w:sz w:val="24"/>
                <w:szCs w:val="24"/>
                <w:highlight w:val="none"/>
                <w:u w:val="none"/>
                <w:lang w:val="en-US" w:eastAsia="zh-CN"/>
                <w14:textFill>
                  <w14:solidFill>
                    <w14:schemeClr w14:val="tx1"/>
                  </w14:solidFill>
                </w14:textFill>
              </w:rPr>
              <w:t>精</w:t>
            </w: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准溯源分析提供详尽数据支撑。</w:t>
            </w:r>
          </w:p>
        </w:tc>
      </w:tr>
      <w:tr w14:paraId="55B11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5BD0CE3D">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1FE9E3E">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42E008F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排放口检索</w:t>
            </w:r>
          </w:p>
        </w:tc>
        <w:tc>
          <w:tcPr>
            <w:tcW w:w="6328" w:type="dxa"/>
            <w:tcBorders>
              <w:top w:val="single" w:color="000000" w:sz="4" w:space="0"/>
              <w:left w:val="single" w:color="000000" w:sz="4" w:space="0"/>
              <w:bottom w:val="single" w:color="000000" w:sz="4" w:space="0"/>
              <w:right w:val="single" w:color="000000" w:sz="4" w:space="0"/>
            </w:tcBorders>
            <w:vAlign w:val="center"/>
          </w:tcPr>
          <w:p w14:paraId="5349D4F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监管部门在日常管理中，需要对区域内所有企业排放口进行精准管控，不同排放口高度和区域排放口数量及密度分布，在精准管控中极为重要。以打散存储的数据仓库为基础，以企业排污许可证载明事项内容和执行报告填报内容为依据，建立排放口检索功能，查询内容包括区域、行业类型、排放类型、排放口类型、排放口高度信息、符合查询条件的企业数量和排放口数量等信息。</w:t>
            </w:r>
          </w:p>
        </w:tc>
      </w:tr>
      <w:tr w14:paraId="3C7C3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7A4E78B5">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228242E">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02AF939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许可证到期统计、导出及预警提醒</w:t>
            </w:r>
          </w:p>
        </w:tc>
        <w:tc>
          <w:tcPr>
            <w:tcW w:w="6328" w:type="dxa"/>
            <w:tcBorders>
              <w:top w:val="single" w:color="000000" w:sz="4" w:space="0"/>
              <w:left w:val="single" w:color="000000" w:sz="4" w:space="0"/>
              <w:bottom w:val="single" w:color="000000" w:sz="4" w:space="0"/>
              <w:right w:val="single" w:color="000000" w:sz="4" w:space="0"/>
            </w:tcBorders>
            <w:vAlign w:val="center"/>
          </w:tcPr>
          <w:p w14:paraId="186ADA2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证到期没有申请延续或办理新证的企业不允许生产。如果违反，面临20-100万元的罚款。为了帮助企业规避被处罚风险，系统设置许可证到期前90天信息提醒功能。系统自动检索出小于90天的企业名单，以一定的间隔频次，持续向持证企业推送提醒，同时会在临近期推送当地环境管理局，督促企业完成证件延续或新证申领。对于过期未领取新证或办理延续的企业，系统会自动生成许可证过期企业清单并发送执法人员，协助开展执法检查。检索内容包括：年度、状态、控制区域、上报频次、主要污染物类别、许可证管理类别、证件有效期天数选择、企业名称、行业类别等。</w:t>
            </w:r>
          </w:p>
        </w:tc>
      </w:tr>
      <w:tr w14:paraId="6090B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479F6A42">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26D5F180">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0E2845C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执行报告未提交统计、导出及报警提醒</w:t>
            </w:r>
          </w:p>
        </w:tc>
        <w:tc>
          <w:tcPr>
            <w:tcW w:w="6328" w:type="dxa"/>
            <w:tcBorders>
              <w:top w:val="single" w:color="000000" w:sz="4" w:space="0"/>
              <w:left w:val="single" w:color="000000" w:sz="4" w:space="0"/>
              <w:bottom w:val="single" w:color="000000" w:sz="4" w:space="0"/>
              <w:right w:val="single" w:color="000000" w:sz="4" w:space="0"/>
            </w:tcBorders>
            <w:vAlign w:val="center"/>
          </w:tcPr>
          <w:p w14:paraId="021FDC4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按排污许可管理条例要求，企业必须按规定时间提交执行报告（包括月报、季报和年报）。对于未按时提交或未提交的企业按次处罚，每次罚款5000-20000元。为了帮助企业规避被处罚风险，系统自动识别企业需提交的报告类型和时间节点，在提交到期前15天以一定的间隔频次，自动持续向持证企业推送提醒，同时会在临近期推送当地环境管理局，督促企业及时提交执行报告。对于按期</w:t>
            </w:r>
            <w:r>
              <w:rPr>
                <w:rFonts w:hint="eastAsia" w:ascii="宋体" w:hAnsi="宋体" w:cs="宋体"/>
                <w:i w:val="0"/>
                <w:iCs w:val="0"/>
                <w:color w:val="000000" w:themeColor="text1"/>
                <w:kern w:val="0"/>
                <w:sz w:val="24"/>
                <w:szCs w:val="24"/>
                <w:highlight w:val="none"/>
                <w:u w:val="none"/>
                <w:lang w:val="en-US" w:eastAsia="zh-CN"/>
                <w14:textFill>
                  <w14:solidFill>
                    <w14:schemeClr w14:val="tx1"/>
                  </w14:solidFill>
                </w14:textFill>
              </w:rPr>
              <w:t>未</w:t>
            </w: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提交报告的企业，系统会自动生成未提交企业清单并发送执法人员，协助开展执法检查。查询统计内容包括区域、报告类型、年度、控制区类、许可证管理类别、企业名称、行业类型、未提交报告内容、详细内容信息、自动推送等。</w:t>
            </w:r>
          </w:p>
        </w:tc>
      </w:tr>
      <w:tr w14:paraId="105AF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70C15D77">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0F27149F">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1394C20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执行报告迟报统计、导出</w:t>
            </w:r>
          </w:p>
        </w:tc>
        <w:tc>
          <w:tcPr>
            <w:tcW w:w="6328" w:type="dxa"/>
            <w:tcBorders>
              <w:top w:val="single" w:color="000000" w:sz="4" w:space="0"/>
              <w:left w:val="single" w:color="000000" w:sz="4" w:space="0"/>
              <w:bottom w:val="single" w:color="000000" w:sz="4" w:space="0"/>
              <w:right w:val="single" w:color="000000" w:sz="4" w:space="0"/>
            </w:tcBorders>
            <w:vAlign w:val="center"/>
          </w:tcPr>
          <w:p w14:paraId="1FBAB48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按排污许可管理条例要求，企业必须按规定时间提交执行报告（包括月报、季报和年报）。对于未按时提交的企业按次处罚，每次罚款5000-20000元。对于未按期提交报告的企业，系统会自动生成迟报企业清单并发送执法人员，协助开展执法检查。包括区域、报告类型、年度、报告次数、企业名称、首次提报时间、报告更新时间等。</w:t>
            </w:r>
          </w:p>
        </w:tc>
      </w:tr>
      <w:tr w14:paraId="59F68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27D079D7">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5B83A3FA">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428F19C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实际排放量超标统计、导出及报警提醒</w:t>
            </w:r>
          </w:p>
        </w:tc>
        <w:tc>
          <w:tcPr>
            <w:tcW w:w="6328" w:type="dxa"/>
            <w:tcBorders>
              <w:top w:val="single" w:color="000000" w:sz="4" w:space="0"/>
              <w:left w:val="single" w:color="000000" w:sz="4" w:space="0"/>
              <w:bottom w:val="single" w:color="000000" w:sz="4" w:space="0"/>
              <w:right w:val="single" w:color="000000" w:sz="4" w:space="0"/>
            </w:tcBorders>
            <w:vAlign w:val="center"/>
          </w:tcPr>
          <w:p w14:paraId="258E0E1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按排污许可管理条例要求，企业不得超许可排放量要求排放污染物。对于超标排放的企业处20-100万元的罚款，对于超标排放量按实际排放量另行计算处罚。系统通过实时监控企业的实际排放量与许可证许可排放量进行实时匹配，自动生成超标排放企业清单及污染物清单和超标倍数并发送执法人员，协助开展执法检查。包括：年度、控制区域、区域、主要污染物类别、污染物种类、许可证管理类别、实际许可排放比选择、企业名称、行业类别、排放口编号、许可排放量、实际排放量、排放占比、操作查看等。</w:t>
            </w:r>
          </w:p>
        </w:tc>
      </w:tr>
      <w:tr w14:paraId="2508C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5AC11E6A">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0BDEC4FA">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6B92E6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许可排放量余额不足统计、导出及预警提醒</w:t>
            </w:r>
          </w:p>
        </w:tc>
        <w:tc>
          <w:tcPr>
            <w:tcW w:w="6328" w:type="dxa"/>
            <w:tcBorders>
              <w:top w:val="single" w:color="000000" w:sz="4" w:space="0"/>
              <w:left w:val="single" w:color="000000" w:sz="4" w:space="0"/>
              <w:bottom w:val="single" w:color="000000" w:sz="4" w:space="0"/>
              <w:right w:val="single" w:color="000000" w:sz="4" w:space="0"/>
            </w:tcBorders>
            <w:vAlign w:val="center"/>
          </w:tcPr>
          <w:p w14:paraId="64A44A5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按排污许可管理条例要求，企业不得超许可排放量要求排放污染物。对于超标排放的企业处20-100万元的罚款，对于超标排放量按实际排放量另行计算处罚。系统通过实时监控企业的实际排放量与许可证许可排放量进行实时匹配，通过指标预测、图标定制、大数据管控等方法，实时推送企业余量不足情况，提醒企业达标排放。内容包括：区域、污染物种类、余量占比选择、企业名称、排放口编号、许可排放量、实际排放量、排放占比、操作查看等。</w:t>
            </w:r>
          </w:p>
        </w:tc>
      </w:tr>
      <w:tr w14:paraId="1FB7B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2EBBA294">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87EC235">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396FCE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执行报告管理</w:t>
            </w:r>
          </w:p>
        </w:tc>
        <w:tc>
          <w:tcPr>
            <w:tcW w:w="6328" w:type="dxa"/>
            <w:tcBorders>
              <w:top w:val="single" w:color="000000" w:sz="4" w:space="0"/>
              <w:left w:val="single" w:color="000000" w:sz="4" w:space="0"/>
              <w:bottom w:val="single" w:color="000000" w:sz="4" w:space="0"/>
              <w:right w:val="single" w:color="000000" w:sz="4" w:space="0"/>
            </w:tcBorders>
            <w:vAlign w:val="center"/>
          </w:tcPr>
          <w:p w14:paraId="51C012D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文档内容包括：排污许可证执行情况汇总表、企业基本信息表（产品产量表、原辅材料表、能源消耗表、生产运行情况表）、污染防治设施运行情况（污染治理设施正常运转信息、污染治理设施异常运转信息、小结、自行储存/利用/处置设施合规情况说明表）、自行监测情况（正常时段排放信息、非正常时段排放信息、小结）、台账管理信息（台账管理表、小结）、实际排放情况及达标判定分析、信息公开情况、企业内部情况环境体系建设与运行情况、其他排污许可证规定的内容执行情况、其他需要说明的情况、附件等。检索内容包括年度、区域、企业名称、报告类型、行业类别、首次提交时间、修改时间、报告名称及导出PDF文件等。</w:t>
            </w:r>
          </w:p>
        </w:tc>
      </w:tr>
      <w:tr w14:paraId="1DA18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33ABDB2E">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0161E7EF">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3BCA068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许可证副本管理</w:t>
            </w:r>
          </w:p>
        </w:tc>
        <w:tc>
          <w:tcPr>
            <w:tcW w:w="6328" w:type="dxa"/>
            <w:tcBorders>
              <w:top w:val="single" w:color="000000" w:sz="4" w:space="0"/>
              <w:left w:val="single" w:color="000000" w:sz="4" w:space="0"/>
              <w:bottom w:val="single" w:color="000000" w:sz="4" w:space="0"/>
              <w:right w:val="single" w:color="000000" w:sz="4" w:space="0"/>
            </w:tcBorders>
            <w:vAlign w:val="center"/>
          </w:tcPr>
          <w:p w14:paraId="55663A4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文档内容包括：基本信息、大气污染物排放-排放口、大气污染物排放-有组织排放许可限值、大气污染物排放-无组织排放许可条件、大气污染物排放-特殊情况下许可限值、大气污染物排放-排污单位大气排放总许可量、水污染物排放-排放口、水污染物排放-排放许可限值、噪声排放信息、固体废物排放信息、环境管理要求-自行监测、环境管理要求-环境管理台账记录、环境管理要求-执行（守法）报告、环境管理要求-信息公开、环境管理要求-其他控制及管理要求、许可证变更、延续记录、其他许可内容、改正规定、排污单位登记信息-主要产品及产能、排污单位登记信息-主要原辅材料及燃料、排污单位登记信息-产排污节点污染物及污染治理设施、排污单位登记信息-排污权使用和交易信息、补充登记信息、附图或附件。内容检索与查询包括年度、区域、发证日期、变更日期、当前是否有效、许可证编号、企业名称、行业类别、业务类型、申报办结时间及导出PDF文件等。</w:t>
            </w:r>
          </w:p>
        </w:tc>
      </w:tr>
      <w:tr w14:paraId="37546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A7E8721">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52112AE6">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59D0924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申报表企业列表</w:t>
            </w:r>
          </w:p>
        </w:tc>
        <w:tc>
          <w:tcPr>
            <w:tcW w:w="6328" w:type="dxa"/>
            <w:tcBorders>
              <w:top w:val="single" w:color="000000" w:sz="4" w:space="0"/>
              <w:left w:val="single" w:color="000000" w:sz="4" w:space="0"/>
              <w:bottom w:val="single" w:color="000000" w:sz="4" w:space="0"/>
              <w:right w:val="single" w:color="000000" w:sz="4" w:space="0"/>
            </w:tcBorders>
            <w:vAlign w:val="center"/>
          </w:tcPr>
          <w:p w14:paraId="0460417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文档内容包括：基本信息、大气污染物排放-排放口、大气污染物排放-有组织排放许可限值、大气污染物排放-无组织排放许可条件、大气污染物排放-特殊情况下许可限值、大气污染物排放-排污单位大气排放总许可量、水污染物排放-排放口、水污染物排放-排放许可限值、噪声排放信息、固体废物排放信息、环境管理要求-自行监测、环境管理要求-环境管理台账记录、环境管理要求-执行（守法）报告、环境管理要求-信息公开、环境管理要求-其他控制及管理要求、许可证变更、延续记录、其他许可内容、改正规定、排污单位登记信息-主要产品及产能、排污单位登记信息-主要原辅材料及燃料、排污单位登记信息-产排污节点污染物及污染治理设施、排污单位登记信息-排污权使用和交易信息、补充登记信息、附图或附件等。检索内容包括年度、是否有效、区域、许可证号、企业名称、污染物种类、排放量范围、行业类别、剩余时间等。</w:t>
            </w:r>
          </w:p>
        </w:tc>
      </w:tr>
      <w:tr w14:paraId="0BFDC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A31EBEC">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763FA8DF">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683A59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GIS一张图</w:t>
            </w:r>
          </w:p>
        </w:tc>
        <w:tc>
          <w:tcPr>
            <w:tcW w:w="6328" w:type="dxa"/>
            <w:tcBorders>
              <w:top w:val="single" w:color="000000" w:sz="4" w:space="0"/>
              <w:left w:val="single" w:color="000000" w:sz="4" w:space="0"/>
              <w:bottom w:val="single" w:color="000000" w:sz="4" w:space="0"/>
              <w:right w:val="single" w:color="000000" w:sz="4" w:space="0"/>
            </w:tcBorders>
            <w:vAlign w:val="center"/>
          </w:tcPr>
          <w:p w14:paraId="0C4BC27D">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基于详尽的指标体系，将采集的数据形象化、直观化、具体化，通过管理图形、仪表盘、预警等方式，监控、分析关键指标、业务目标，帮助决策人员、业务分析人员了解全局的整体运行活动。显示内容包括：实施状态显示、年度、区域、污染物、企业名称、审核疑似问题企业、排放超标企业、余量不足企业、余量充足企业等内容。</w:t>
            </w:r>
          </w:p>
        </w:tc>
      </w:tr>
      <w:tr w14:paraId="7F03C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21991535">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02700FEB">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2BADF7D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水环境分析与溯源</w:t>
            </w:r>
          </w:p>
        </w:tc>
        <w:tc>
          <w:tcPr>
            <w:tcW w:w="6328" w:type="dxa"/>
            <w:tcBorders>
              <w:top w:val="single" w:color="000000" w:sz="4" w:space="0"/>
              <w:left w:val="single" w:color="000000" w:sz="4" w:space="0"/>
              <w:bottom w:val="single" w:color="000000" w:sz="4" w:space="0"/>
              <w:right w:val="single" w:color="000000" w:sz="4" w:space="0"/>
            </w:tcBorders>
            <w:vAlign w:val="center"/>
          </w:tcPr>
          <w:p w14:paraId="62B6FA45">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监管部门在对区域环境监测过程中，经常会遇到监测河流或断面出现环境污染、数据超标等问题。城镇污水处理厂也常常受到进水超标而导致系统出现问题等严重事件。因为是在公共河流或共同受纳的污水厂，所</w:t>
            </w:r>
            <w:r>
              <w:rPr>
                <w:rFonts w:hint="eastAsia" w:ascii="宋体" w:hAnsi="宋体" w:cs="宋体"/>
                <w:i w:val="0"/>
                <w:iCs w:val="0"/>
                <w:color w:val="000000" w:themeColor="text1"/>
                <w:kern w:val="0"/>
                <w:sz w:val="24"/>
                <w:szCs w:val="24"/>
                <w:highlight w:val="none"/>
                <w:u w:val="none"/>
                <w:lang w:val="en-US" w:eastAsia="zh-CN"/>
                <w14:textFill>
                  <w14:solidFill>
                    <w14:schemeClr w14:val="tx1"/>
                  </w14:solidFill>
                </w14:textFill>
              </w:rPr>
              <w:t>以</w:t>
            </w: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通常很难确定污染源头企业。以打散存储的数据仓库为基础，以企业排污许可证载明事项内容和执行报告填报内容为依据，输入任一受纳水体或城镇污水处理厂，即可查询出排入该收纳水体或污水厂的所有企业名单、总排放量、各企业排放量及排放占比等数据。为污染物溯源分析提供强有力的数据支撑。查询内容包括：时间、排放去向、污染物范围、污染物种类、排水口类型、显示数据占比、数量占比柱状图显示、企业数量汇总、关联企业跳转等。</w:t>
            </w:r>
          </w:p>
        </w:tc>
      </w:tr>
      <w:tr w14:paraId="0540B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73AFEF3B">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2E1CF5B3">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7274244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大气环境分析与溯源</w:t>
            </w:r>
          </w:p>
        </w:tc>
        <w:tc>
          <w:tcPr>
            <w:tcW w:w="6328" w:type="dxa"/>
            <w:tcBorders>
              <w:top w:val="single" w:color="000000" w:sz="4" w:space="0"/>
              <w:left w:val="single" w:color="000000" w:sz="4" w:space="0"/>
              <w:bottom w:val="single" w:color="000000" w:sz="4" w:space="0"/>
              <w:right w:val="single" w:color="000000" w:sz="4" w:space="0"/>
            </w:tcBorders>
            <w:vAlign w:val="center"/>
          </w:tcPr>
          <w:p w14:paraId="0C87441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监管部门在对区域环境监测过程中，经常会遇到大气监测出现环境污染、数据超标等问题。因为是在公共区域，所以通常很难确定污染源头企业。以打散存储的数据仓库为基础，以企业排污许可证载明事项内容和执行报告填报内容为依据，输入任一区域位置，即可查询出排入该区域的所有企业名单、总排放量、各企业排放量及排放占比等数据。为污染物溯源分析提供强有力的数据支撑。查询内容包括：时间、污染物范围、污染物种类、显示数据占比、数量占比柱状图显示、企业数量汇总等。</w:t>
            </w:r>
          </w:p>
        </w:tc>
      </w:tr>
      <w:tr w14:paraId="5FF39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57A9EB0D">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1210313C">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1C9B9B3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决策驾驶舱</w:t>
            </w:r>
          </w:p>
        </w:tc>
        <w:tc>
          <w:tcPr>
            <w:tcW w:w="6328" w:type="dxa"/>
            <w:tcBorders>
              <w:top w:val="single" w:color="000000" w:sz="4" w:space="0"/>
              <w:left w:val="single" w:color="000000" w:sz="4" w:space="0"/>
              <w:bottom w:val="single" w:color="000000" w:sz="4" w:space="0"/>
              <w:right w:val="single" w:color="000000" w:sz="4" w:space="0"/>
            </w:tcBorders>
            <w:vAlign w:val="center"/>
          </w:tcPr>
          <w:p w14:paraId="6063F3E5">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管理驾驶舱是一个为管理层提供的「一站式」（One-Step）决策支持的管理信息中心系统，通过对排污许可证和执行报告中企业数量、区域与行业分布、污染物许可与排放数据等数据的综合分析，可为管理者分析区域行业布局、区域重点行业管理、区域环境风险、区域产业结构调整等决策，提供详尽数据支撑。从业务需求出发，实现业务操作的提醒、监控和预警功能，内容包括：许可证企业数量按区域分组统计显示、许可证企业数量按行业分组统计显示、许可证企业数量按污染物分组统计显示、执行报告排放总量按区域分组统计显示、执行报告排放总量按行业分组统计显示、执行报告排放总量按污染物分组统计显示、审核疑似问题企业统计、企业排放量超标统计、许可证到期统计、执行报告未提交统计等。</w:t>
            </w:r>
          </w:p>
        </w:tc>
      </w:tr>
      <w:tr w14:paraId="7E7FF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56" w:type="dxa"/>
            <w:vMerge w:val="restart"/>
            <w:tcBorders>
              <w:top w:val="single" w:color="000000" w:sz="4" w:space="0"/>
              <w:left w:val="single" w:color="000000" w:sz="4" w:space="0"/>
              <w:right w:val="single" w:color="000000" w:sz="4" w:space="0"/>
            </w:tcBorders>
            <w:noWrap/>
            <w:vAlign w:val="center"/>
          </w:tcPr>
          <w:p w14:paraId="4A36CC3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3</w:t>
            </w:r>
          </w:p>
        </w:tc>
        <w:tc>
          <w:tcPr>
            <w:tcW w:w="656" w:type="dxa"/>
            <w:vMerge w:val="restart"/>
            <w:tcBorders>
              <w:top w:val="single" w:color="000000" w:sz="4" w:space="0"/>
              <w:left w:val="single" w:color="000000" w:sz="4" w:space="0"/>
              <w:right w:val="single" w:color="000000" w:sz="4" w:space="0"/>
            </w:tcBorders>
            <w:vAlign w:val="center"/>
          </w:tcPr>
          <w:p w14:paraId="26DF1B0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排污许可双百审核</w:t>
            </w:r>
          </w:p>
        </w:tc>
        <w:tc>
          <w:tcPr>
            <w:tcW w:w="656" w:type="dxa"/>
            <w:tcBorders>
              <w:top w:val="single" w:color="000000" w:sz="4" w:space="0"/>
              <w:left w:val="single" w:color="000000" w:sz="4" w:space="0"/>
              <w:bottom w:val="single" w:color="000000" w:sz="4" w:space="0"/>
              <w:right w:val="single" w:color="000000" w:sz="4" w:space="0"/>
            </w:tcBorders>
            <w:vAlign w:val="center"/>
          </w:tcPr>
          <w:p w14:paraId="6FC280A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执行报告规范表智能审核</w:t>
            </w:r>
          </w:p>
        </w:tc>
        <w:tc>
          <w:tcPr>
            <w:tcW w:w="6328" w:type="dxa"/>
            <w:tcBorders>
              <w:top w:val="single" w:color="000000" w:sz="4" w:space="0"/>
              <w:left w:val="single" w:color="000000" w:sz="4" w:space="0"/>
              <w:bottom w:val="single" w:color="000000" w:sz="4" w:space="0"/>
              <w:right w:val="single" w:color="000000" w:sz="4" w:space="0"/>
            </w:tcBorders>
            <w:vAlign w:val="center"/>
          </w:tcPr>
          <w:p w14:paraId="50D4C6E8">
            <w:pPr>
              <w:keepNext w:val="0"/>
              <w:keepLines w:val="0"/>
              <w:widowControl/>
              <w:suppressLineNumbers w:val="0"/>
              <w:jc w:val="left"/>
              <w:textAlignment w:val="cente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审核任务重，可用人数少”、“审核工作技术要求高”、“审核工作缺乏信息化支持，手段原始”是目前一线业务部门的基本现状。这也是生态环境部门一直以来难以解决的痛点、难点问题。在许可证和执行报告审核工作中，所有审核内容及技术要点依靠人工方式查阅、计算或比对得到，效率低，易出错。根据生态环境部《固定污染源排污许可证质量、执行报告审核指导工作方案》的要求，从2021起，开展排污许可证执行报告提交率及内容规范性审核。</w:t>
            </w:r>
          </w:p>
          <w:p w14:paraId="0D32908D">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在生态环境部《环评与排污许可监管行动计划（2021-2023年）》中，将企业执行报告提交率和合规率的核查作为重点，并制定了实现执行报告提交率100%和合规率100%的双百目标的明确要求。按《国家排污许可执行报告内容规范性审核表》规定的4项主要内容21项细分内容的要求，对相关要素进行审核。内容包括：遗漏填报-主要原料用量、遗漏填报-能源消耗、遗漏填报-运行时间、遗漏填报-主要产品产量、遗漏填报-全年生产负荷、遗漏填报-取排水、填报内容存在逻辑性错误、遗漏填报-开始时间、遗漏填报-结束时间、遗漏填报-故障设施、遗漏填报-故障原因、遗漏填报-采取的应对措施、遗漏填报-各排放因子浓度、未填报“污染防治设施异常情况汇总表”，且未在小结中说明不存在异常情况、遗漏填报-废水主要排放口、遗漏填报-废水一般排放口合计、遗漏填报-废气主要排放口、遗漏填报-废气其他合计、年度合计实际排放量计算错误。</w:t>
            </w:r>
          </w:p>
        </w:tc>
      </w:tr>
      <w:tr w14:paraId="67024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5" w:hRule="atLeast"/>
        </w:trPr>
        <w:tc>
          <w:tcPr>
            <w:tcW w:w="656" w:type="dxa"/>
            <w:vMerge w:val="continue"/>
            <w:tcBorders>
              <w:left w:val="single" w:color="000000" w:sz="4" w:space="0"/>
              <w:right w:val="single" w:color="000000" w:sz="4" w:space="0"/>
            </w:tcBorders>
            <w:noWrap/>
            <w:vAlign w:val="center"/>
          </w:tcPr>
          <w:p w14:paraId="636C9C6C">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left w:val="single" w:color="000000" w:sz="4" w:space="0"/>
              <w:right w:val="single" w:color="000000" w:sz="4" w:space="0"/>
            </w:tcBorders>
            <w:vAlign w:val="center"/>
          </w:tcPr>
          <w:p w14:paraId="2B2E4F1B">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795E4E3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执行报告全要素智能审核</w:t>
            </w:r>
          </w:p>
        </w:tc>
        <w:tc>
          <w:tcPr>
            <w:tcW w:w="6328" w:type="dxa"/>
            <w:tcBorders>
              <w:top w:val="single" w:color="000000" w:sz="4" w:space="0"/>
              <w:left w:val="single" w:color="000000" w:sz="4" w:space="0"/>
              <w:bottom w:val="single" w:color="000000" w:sz="4" w:space="0"/>
              <w:right w:val="single" w:color="000000" w:sz="4" w:space="0"/>
            </w:tcBorders>
            <w:vAlign w:val="center"/>
          </w:tcPr>
          <w:p w14:paraId="1DD6437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对企业排污许可执行报告除《国家排污许可执行报告内容规范性审核表》规定内容要素之外的所有要素进行审核，包括：排污许可证执行情况汇总表、企业基本信息表（产品产量表、原辅材料表、能源消耗表、生产运行情况表）、污染防治设施运行情况（污染治理设施正常运转信息、污染治理设施异常运转信息、小结、自行储存/利用/处置设施合规情况说明表）、自行监测情况（正常时段排放信息、非正常时段排放信息、小结）、台账管理信息（台账管理表、小结）、实际排放情况及达标判定分析、信息公开情况、企业内部情况环境体系建设与运行情况、其他排污许可证规定的内容执行情况、其他需要说明的情况、附件等。将审核结果直接显示，自动生成PDF文件并自动推送企业邮箱。</w:t>
            </w:r>
          </w:p>
        </w:tc>
      </w:tr>
      <w:tr w14:paraId="213CF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left w:val="single" w:color="000000" w:sz="4" w:space="0"/>
              <w:right w:val="single" w:color="000000" w:sz="4" w:space="0"/>
            </w:tcBorders>
            <w:noWrap/>
            <w:vAlign w:val="center"/>
          </w:tcPr>
          <w:p w14:paraId="171302D1">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left w:val="single" w:color="000000" w:sz="4" w:space="0"/>
              <w:right w:val="single" w:color="000000" w:sz="4" w:space="0"/>
            </w:tcBorders>
            <w:vAlign w:val="center"/>
          </w:tcPr>
          <w:p w14:paraId="273E0488">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516A1DA9">
            <w:pPr>
              <w:keepNext w:val="0"/>
              <w:keepLines w:val="0"/>
              <w:widowControl/>
              <w:suppressLineNumbers w:val="0"/>
              <w:jc w:val="left"/>
              <w:textAlignment w:val="cente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许可证质量审核表智能复核</w:t>
            </w:r>
          </w:p>
        </w:tc>
        <w:tc>
          <w:tcPr>
            <w:tcW w:w="6328" w:type="dxa"/>
            <w:tcBorders>
              <w:top w:val="single" w:color="000000" w:sz="4" w:space="0"/>
              <w:left w:val="single" w:color="000000" w:sz="4" w:space="0"/>
              <w:bottom w:val="single" w:color="000000" w:sz="4" w:space="0"/>
              <w:right w:val="single" w:color="000000" w:sz="4" w:space="0"/>
            </w:tcBorders>
            <w:vAlign w:val="center"/>
          </w:tcPr>
          <w:p w14:paraId="1AD9DC8D">
            <w:pPr>
              <w:keepNext w:val="0"/>
              <w:keepLines w:val="0"/>
              <w:widowControl/>
              <w:suppressLineNumbers w:val="0"/>
              <w:jc w:val="left"/>
              <w:textAlignment w:val="cente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按《国家排污许可证质量审核表》规定的15项主要内容58项细分内容的要求，对相关要素进行审核。内容包括：管理类别是否正确、主要排放口识别为一般排放口、遗漏无组织排放大气污染因子、遗漏废水污染因子、废气有行业排放标准和地方排放标准的，未从严执行、废气遗漏填报污染物排放速率、废水有行业排放标准和地方排放标准的，未从严执行、废水污染因子排放浓度限值错误、废水污染物混合排放的排放口，排放标准中无混合排放浓度要求，但未执行各限值要求中最严格的排放浓度、废水其他问题、遗漏许可量控制因子、有组织二氧化硫、有组织氮氧化物、有组织颗粒物、有组织挥发性有机物、有组织其他因子、无组织颗粒物、无组织挥发性有机物、无组织其他因子、废水化学需氧量、废水氨氮、废水总氮、废水其他因子、许可排放量计算方法合规 、计算方法、公式选取错误、计算参数选取错误、许可排放量计算结果正确 、数学计算错误、未按照总量指标（若有）、环评批复指标（若有）从严选取、其他情况、无组织管控要求合规 、遗漏填报、管控措施不符合技术规范要求、遗漏有组织废气监测因子、遗漏无组织废气监测因子、遗漏生产废水监测因子、遗漏生活污水监测因子、遗漏雨水监测因子、有组织废气频次不合规、无组织废气频次不合规、生产废水频次不合规、生活污水频次不合规、雨水频次不合规、遗漏监测记录信息、保存期限错误、上报频次错误、上报时间错误、明确执行报告填报主要内容、时间 、信息公开方式、内容合规 、固体废物污染防控要求合规 、危险废物自行贮存防控要求不合规、危险废物自行利用/处置防控要求不合规、危险废物委托贮存/利用/处置防控要求不合规、一般工业固体废物自行贮存/利用/处置防控要求不合规、一般工业固体废物委托贮存/利用/处置防控要求不合规。</w:t>
            </w:r>
          </w:p>
        </w:tc>
      </w:tr>
      <w:tr w14:paraId="27D76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56" w:type="dxa"/>
            <w:vMerge w:val="continue"/>
            <w:tcBorders>
              <w:left w:val="single" w:color="000000" w:sz="4" w:space="0"/>
              <w:bottom w:val="single" w:color="000000" w:sz="4" w:space="0"/>
              <w:right w:val="single" w:color="000000" w:sz="4" w:space="0"/>
            </w:tcBorders>
            <w:noWrap/>
            <w:vAlign w:val="center"/>
          </w:tcPr>
          <w:p w14:paraId="724C915C">
            <w:pPr>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vMerge w:val="continue"/>
            <w:tcBorders>
              <w:left w:val="single" w:color="000000" w:sz="4" w:space="0"/>
              <w:bottom w:val="single" w:color="000000" w:sz="4" w:space="0"/>
              <w:right w:val="single" w:color="000000" w:sz="4" w:space="0"/>
            </w:tcBorders>
            <w:vAlign w:val="center"/>
          </w:tcPr>
          <w:p w14:paraId="4C94A104">
            <w:pPr>
              <w:jc w:val="left"/>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656" w:type="dxa"/>
            <w:tcBorders>
              <w:top w:val="single" w:color="000000" w:sz="4" w:space="0"/>
              <w:left w:val="single" w:color="000000" w:sz="4" w:space="0"/>
              <w:bottom w:val="single" w:color="000000" w:sz="4" w:space="0"/>
              <w:right w:val="single" w:color="000000" w:sz="4" w:space="0"/>
            </w:tcBorders>
            <w:vAlign w:val="center"/>
          </w:tcPr>
          <w:p w14:paraId="5562166D">
            <w:pPr>
              <w:keepNext w:val="0"/>
              <w:keepLines w:val="0"/>
              <w:widowControl/>
              <w:suppressLineNumbers w:val="0"/>
              <w:jc w:val="left"/>
              <w:textAlignment w:val="cente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许可证全要素智能审核</w:t>
            </w:r>
          </w:p>
        </w:tc>
        <w:tc>
          <w:tcPr>
            <w:tcW w:w="6328" w:type="dxa"/>
            <w:tcBorders>
              <w:top w:val="single" w:color="000000" w:sz="4" w:space="0"/>
              <w:left w:val="single" w:color="000000" w:sz="4" w:space="0"/>
              <w:bottom w:val="single" w:color="000000" w:sz="4" w:space="0"/>
              <w:right w:val="single" w:color="000000" w:sz="4" w:space="0"/>
            </w:tcBorders>
            <w:vAlign w:val="center"/>
          </w:tcPr>
          <w:p w14:paraId="5F3CA7F4">
            <w:pPr>
              <w:keepNext w:val="0"/>
              <w:keepLines w:val="0"/>
              <w:widowControl/>
              <w:suppressLineNumbers w:val="0"/>
              <w:jc w:val="left"/>
              <w:textAlignment w:val="cente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14:textFill>
                  <w14:solidFill>
                    <w14:schemeClr w14:val="tx1"/>
                  </w14:solidFill>
                </w14:textFill>
              </w:rPr>
              <w:t>对企业排污许可证除《国家排污许可证质量审核表》规定内容要素之外的所有要素，进行审核。按审核要点的不同，分为重点问题和一般问题。主要审核内容包括：基本信息、大气污染物排放-排放口、大气污染物排放-有组织排放许可限值、大气污染物排放-无组织排放许可条件、大气污染物排放-特殊情况下许可限值、大气污染物排放-排污单位大气排放总许可量、水污染物排放-排放口、水污染物排放-排放许可限值、噪声排放信息、固体废物排放信息、环境管理要求-自行监测、环境管理要求-环境管理台账记录、环境管理要求-执行（守法）报告、环境管理要求-信息公开、环境管理要求-其他控制及管理要求、许可证变更、延续记录、其他许可内容、改正规定、排污单位登记信息-主要产品及产能、排污单位登记信息-主要原辅材料及燃料、排污单位登记信息-产排污节点污染物及污染治理设施、排污单位登记信息-排污权使用和交易信息、补充登记信息、附图或附件等。</w:t>
            </w:r>
          </w:p>
        </w:tc>
      </w:tr>
    </w:tbl>
    <w:p w14:paraId="69BE72E7">
      <w:pPr>
        <w:pStyle w:val="26"/>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39A4F5CA">
      <w:pPr>
        <w:spacing w:line="80" w:lineRule="exact"/>
        <w:ind w:left="-359" w:leftChars="-171" w:firstLine="357" w:firstLineChars="149"/>
        <w:rPr>
          <w:rFonts w:hint="eastAsia" w:ascii="宋体" w:hAnsi="宋体" w:eastAsia="宋体" w:cs="宋体"/>
          <w:color w:val="000000" w:themeColor="text1"/>
          <w:sz w:val="24"/>
          <w:szCs w:val="24"/>
          <w:highlight w:val="none"/>
          <w14:textFill>
            <w14:solidFill>
              <w14:schemeClr w14:val="tx1"/>
            </w14:solidFill>
          </w14:textFill>
        </w:rPr>
      </w:pPr>
    </w:p>
    <w:p w14:paraId="5EE23812">
      <w:pPr>
        <w:spacing w:line="80" w:lineRule="exact"/>
        <w:ind w:left="-359" w:leftChars="-171" w:firstLine="357" w:firstLineChars="149"/>
        <w:rPr>
          <w:rFonts w:hint="eastAsia" w:ascii="宋体" w:hAnsi="宋体" w:eastAsia="宋体" w:cs="宋体"/>
          <w:color w:val="000000" w:themeColor="text1"/>
          <w:sz w:val="24"/>
          <w:szCs w:val="24"/>
          <w:highlight w:val="none"/>
          <w14:textFill>
            <w14:solidFill>
              <w14:schemeClr w14:val="tx1"/>
            </w14:solidFill>
          </w14:textFill>
        </w:rPr>
      </w:pPr>
    </w:p>
    <w:p w14:paraId="1932B827">
      <w:pPr>
        <w:spacing w:line="80" w:lineRule="exact"/>
        <w:ind w:left="-359" w:leftChars="-171" w:firstLine="357" w:firstLineChars="149"/>
        <w:rPr>
          <w:rFonts w:hint="eastAsia" w:ascii="宋体" w:hAnsi="宋体" w:eastAsia="宋体" w:cs="宋体"/>
          <w:color w:val="000000" w:themeColor="text1"/>
          <w:sz w:val="24"/>
          <w:szCs w:val="24"/>
          <w:highlight w:val="none"/>
          <w14:textFill>
            <w14:solidFill>
              <w14:schemeClr w14:val="tx1"/>
            </w14:solidFill>
          </w14:textFill>
        </w:rPr>
      </w:pPr>
    </w:p>
    <w:p w14:paraId="391840F7">
      <w:pPr>
        <w:spacing w:line="80" w:lineRule="exact"/>
        <w:ind w:left="-359" w:leftChars="-171" w:firstLine="357" w:firstLineChars="149"/>
        <w:rPr>
          <w:rFonts w:hint="eastAsia" w:ascii="宋体" w:hAnsi="宋体" w:eastAsia="宋体" w:cs="宋体"/>
          <w:color w:val="000000" w:themeColor="text1"/>
          <w:sz w:val="24"/>
          <w:szCs w:val="24"/>
          <w:highlight w:val="none"/>
          <w14:textFill>
            <w14:solidFill>
              <w14:schemeClr w14:val="tx1"/>
            </w14:solidFill>
          </w14:textFill>
        </w:rPr>
      </w:pPr>
    </w:p>
    <w:p w14:paraId="64224E45">
      <w:pPr>
        <w:spacing w:line="360" w:lineRule="exact"/>
        <w:ind w:left="-359" w:leftChars="-171" w:firstLine="357" w:firstLineChars="149"/>
        <w:rPr>
          <w:rFonts w:hint="eastAsia" w:ascii="宋体" w:hAnsi="宋体" w:eastAsia="宋体" w:cs="宋体"/>
          <w:bCs/>
          <w:color w:val="000000" w:themeColor="text1"/>
          <w:sz w:val="24"/>
          <w:szCs w:val="24"/>
          <w:highlight w:val="none"/>
          <w14:textFill>
            <w14:solidFill>
              <w14:schemeClr w14:val="tx1"/>
            </w14:solidFill>
          </w14:textFill>
        </w:rPr>
      </w:pPr>
    </w:p>
    <w:p w14:paraId="41B068A9">
      <w:pPr>
        <w:rPr>
          <w:rFonts w:hint="eastAsia" w:ascii="宋体" w:hAnsi="宋体" w:eastAsia="宋体" w:cs="宋体"/>
          <w:bCs/>
          <w:color w:val="000000" w:themeColor="text1"/>
          <w:sz w:val="24"/>
          <w:szCs w:val="24"/>
          <w:highlight w:val="none"/>
          <w14:textFill>
            <w14:solidFill>
              <w14:schemeClr w14:val="tx1"/>
            </w14:solidFill>
          </w14:textFill>
        </w:rPr>
      </w:pPr>
    </w:p>
    <w:p w14:paraId="0FC24593">
      <w:pPr>
        <w:pStyle w:val="4"/>
        <w:spacing w:before="0" w:after="0" w:line="240" w:lineRule="auto"/>
        <w:jc w:val="left"/>
        <w:rPr>
          <w:rStyle w:val="37"/>
          <w:rFonts w:hint="eastAsia" w:ascii="宋体" w:hAnsi="宋体" w:eastAsia="宋体" w:cs="宋体"/>
          <w:b w:val="0"/>
          <w:color w:val="000000" w:themeColor="text1"/>
          <w:sz w:val="24"/>
          <w:szCs w:val="24"/>
          <w:highlight w:val="none"/>
          <w14:textFill>
            <w14:solidFill>
              <w14:schemeClr w14:val="tx1"/>
            </w14:solidFill>
          </w14:textFill>
        </w:rPr>
      </w:pPr>
      <w:r>
        <w:rPr>
          <w:rStyle w:val="37"/>
          <w:rFonts w:hint="eastAsia" w:ascii="宋体" w:hAnsi="宋体" w:eastAsia="宋体" w:cs="宋体"/>
          <w:b w:val="0"/>
          <w:color w:val="000000" w:themeColor="text1"/>
          <w:sz w:val="24"/>
          <w:szCs w:val="24"/>
          <w:highlight w:val="none"/>
          <w14:textFill>
            <w14:solidFill>
              <w14:schemeClr w14:val="tx1"/>
            </w14:solidFill>
          </w14:textFill>
        </w:rPr>
        <w:br w:type="page"/>
      </w:r>
      <w:bookmarkStart w:id="40" w:name="_Toc23493"/>
      <w:r>
        <w:rPr>
          <w:rStyle w:val="37"/>
          <w:rFonts w:hint="eastAsia" w:ascii="宋体" w:hAnsi="宋体" w:cs="宋体"/>
          <w:b w:val="0"/>
          <w:color w:val="000000" w:themeColor="text1"/>
          <w:sz w:val="24"/>
          <w:szCs w:val="24"/>
          <w:highlight w:val="none"/>
          <w:lang w:val="en-US" w:eastAsia="zh-CN"/>
          <w14:textFill>
            <w14:solidFill>
              <w14:schemeClr w14:val="tx1"/>
            </w14:solidFill>
          </w14:textFill>
        </w:rPr>
        <w:t>2.</w:t>
      </w:r>
      <w:r>
        <w:rPr>
          <w:rStyle w:val="37"/>
          <w:rFonts w:hint="eastAsia" w:ascii="宋体" w:hAnsi="宋体" w:eastAsia="宋体" w:cs="宋体"/>
          <w:b w:val="0"/>
          <w:color w:val="000000" w:themeColor="text1"/>
          <w:sz w:val="24"/>
          <w:szCs w:val="24"/>
          <w:highlight w:val="none"/>
          <w:lang w:val="en-US"/>
          <w14:textFill>
            <w14:solidFill>
              <w14:schemeClr w14:val="tx1"/>
            </w14:solidFill>
          </w14:textFill>
        </w:rPr>
        <w:t>5</w:t>
      </w:r>
      <w:r>
        <w:rPr>
          <w:rStyle w:val="37"/>
          <w:rFonts w:hint="eastAsia" w:ascii="宋体" w:hAnsi="宋体" w:eastAsia="宋体" w:cs="宋体"/>
          <w:b w:val="0"/>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kern w:val="44"/>
          <w:sz w:val="24"/>
          <w:szCs w:val="24"/>
          <w:highlight w:val="none"/>
          <w:lang w:val="en-US" w:eastAsia="zh-CN" w:bidi="ar-SA"/>
          <w14:textFill>
            <w14:solidFill>
              <w14:schemeClr w14:val="tx1"/>
            </w14:solidFill>
          </w14:textFill>
        </w:rPr>
        <w:t>数据资源目录清单</w:t>
      </w:r>
      <w:bookmarkEnd w:id="40"/>
    </w:p>
    <w:tbl>
      <w:tblPr>
        <w:tblStyle w:val="27"/>
        <w:tblW w:w="491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824"/>
        <w:gridCol w:w="883"/>
        <w:gridCol w:w="3076"/>
        <w:gridCol w:w="1515"/>
        <w:gridCol w:w="780"/>
        <w:gridCol w:w="641"/>
      </w:tblGrid>
      <w:tr w14:paraId="50D7B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tblHeader/>
        </w:trPr>
        <w:tc>
          <w:tcPr>
            <w:tcW w:w="397" w:type="pct"/>
            <w:vMerge w:val="restart"/>
            <w:shd w:val="clear" w:color="auto" w:fill="F1F1F1"/>
            <w:vAlign w:val="center"/>
          </w:tcPr>
          <w:p w14:paraId="02D7F0C0">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信息资源分类</w:t>
            </w:r>
          </w:p>
        </w:tc>
        <w:tc>
          <w:tcPr>
            <w:tcW w:w="491" w:type="pct"/>
            <w:vMerge w:val="restart"/>
            <w:shd w:val="clear" w:color="auto" w:fill="F1F1F1"/>
            <w:vAlign w:val="center"/>
          </w:tcPr>
          <w:p w14:paraId="14A86CB5">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信息资源名称</w:t>
            </w:r>
          </w:p>
        </w:tc>
        <w:tc>
          <w:tcPr>
            <w:tcW w:w="526" w:type="pct"/>
            <w:vMerge w:val="restart"/>
            <w:shd w:val="clear" w:color="auto" w:fill="F1F1F1"/>
            <w:vAlign w:val="center"/>
          </w:tcPr>
          <w:p w14:paraId="23AD9174">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信息资源提供方</w:t>
            </w:r>
          </w:p>
        </w:tc>
        <w:tc>
          <w:tcPr>
            <w:tcW w:w="1833" w:type="pct"/>
            <w:vMerge w:val="restart"/>
            <w:shd w:val="clear" w:color="auto" w:fill="F1F1F1"/>
            <w:vAlign w:val="center"/>
          </w:tcPr>
          <w:p w14:paraId="60607235">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信息资源摘要</w:t>
            </w:r>
          </w:p>
        </w:tc>
        <w:tc>
          <w:tcPr>
            <w:tcW w:w="1368" w:type="pct"/>
            <w:gridSpan w:val="2"/>
            <w:vMerge w:val="restart"/>
            <w:shd w:val="clear" w:color="auto" w:fill="F1F1F1"/>
            <w:vAlign w:val="center"/>
          </w:tcPr>
          <w:p w14:paraId="461E90F2">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信息项信息</w:t>
            </w:r>
          </w:p>
        </w:tc>
        <w:tc>
          <w:tcPr>
            <w:tcW w:w="382" w:type="pct"/>
            <w:vMerge w:val="restart"/>
            <w:shd w:val="clear" w:color="auto" w:fill="F1F1F1"/>
            <w:vAlign w:val="center"/>
          </w:tcPr>
          <w:p w14:paraId="72689646">
            <w:pPr>
              <w:widowControl/>
              <w:spacing w:line="24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更新周期</w:t>
            </w:r>
          </w:p>
        </w:tc>
      </w:tr>
      <w:tr w14:paraId="34F2F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97" w:type="pct"/>
            <w:vMerge w:val="continue"/>
            <w:shd w:val="clear" w:color="auto" w:fill="F1F1F1"/>
            <w:vAlign w:val="center"/>
          </w:tcPr>
          <w:p w14:paraId="2EA0A730">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491" w:type="pct"/>
            <w:vMerge w:val="continue"/>
            <w:shd w:val="clear" w:color="auto" w:fill="F1F1F1"/>
            <w:vAlign w:val="center"/>
          </w:tcPr>
          <w:p w14:paraId="5F9E290A">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6" w:type="pct"/>
            <w:vMerge w:val="continue"/>
            <w:shd w:val="clear" w:color="auto" w:fill="F1F1F1"/>
            <w:vAlign w:val="center"/>
          </w:tcPr>
          <w:p w14:paraId="6BAB3C21">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833" w:type="pct"/>
            <w:vMerge w:val="continue"/>
            <w:shd w:val="clear" w:color="auto" w:fill="F1F1F1"/>
            <w:vAlign w:val="center"/>
          </w:tcPr>
          <w:p w14:paraId="68850995">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368" w:type="pct"/>
            <w:gridSpan w:val="2"/>
            <w:vMerge w:val="continue"/>
            <w:shd w:val="clear" w:color="auto" w:fill="F1F1F1"/>
            <w:vAlign w:val="center"/>
          </w:tcPr>
          <w:p w14:paraId="7D289FCD">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382" w:type="pct"/>
            <w:vMerge w:val="continue"/>
            <w:shd w:val="clear" w:color="auto" w:fill="F1F1F1"/>
            <w:vAlign w:val="center"/>
          </w:tcPr>
          <w:p w14:paraId="527C4CCF">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10A5F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7" w:type="pct"/>
            <w:vMerge w:val="continue"/>
            <w:shd w:val="clear" w:color="auto" w:fill="F1F1F1"/>
            <w:vAlign w:val="center"/>
          </w:tcPr>
          <w:p w14:paraId="6CB43A7E">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491" w:type="pct"/>
            <w:vMerge w:val="continue"/>
            <w:shd w:val="clear" w:color="auto" w:fill="F1F1F1"/>
            <w:vAlign w:val="center"/>
          </w:tcPr>
          <w:p w14:paraId="3FE75BEF">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6" w:type="pct"/>
            <w:vMerge w:val="continue"/>
            <w:shd w:val="clear" w:color="auto" w:fill="F1F1F1"/>
            <w:vAlign w:val="center"/>
          </w:tcPr>
          <w:p w14:paraId="1AC8619D">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833" w:type="pct"/>
            <w:vMerge w:val="continue"/>
            <w:shd w:val="clear" w:color="auto" w:fill="F1F1F1"/>
            <w:vAlign w:val="center"/>
          </w:tcPr>
          <w:p w14:paraId="73ABB03E">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903" w:type="pct"/>
            <w:shd w:val="clear" w:color="auto" w:fill="F1F1F1"/>
            <w:vAlign w:val="center"/>
          </w:tcPr>
          <w:p w14:paraId="25A22A85">
            <w:pPr>
              <w:widowControl/>
              <w:spacing w:line="36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信息项</w:t>
            </w:r>
          </w:p>
        </w:tc>
        <w:tc>
          <w:tcPr>
            <w:tcW w:w="465" w:type="pct"/>
            <w:shd w:val="clear" w:color="auto" w:fill="F1F1F1"/>
            <w:vAlign w:val="center"/>
          </w:tcPr>
          <w:p w14:paraId="714095E4">
            <w:pPr>
              <w:widowControl/>
              <w:spacing w:line="360" w:lineRule="auto"/>
              <w:ind w:firstLine="0" w:firstLineChars="0"/>
              <w:jc w:val="center"/>
              <w:textAlignment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数据类型</w:t>
            </w:r>
          </w:p>
        </w:tc>
        <w:tc>
          <w:tcPr>
            <w:tcW w:w="382" w:type="pct"/>
            <w:vMerge w:val="continue"/>
            <w:shd w:val="clear" w:color="auto" w:fill="F1F1F1"/>
            <w:vAlign w:val="center"/>
          </w:tcPr>
          <w:p w14:paraId="2ED3ACA3">
            <w:pPr>
              <w:spacing w:line="360" w:lineRule="auto"/>
              <w:ind w:firstLine="560"/>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1F98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7" w:type="pct"/>
            <w:vAlign w:val="center"/>
          </w:tcPr>
          <w:p w14:paraId="6A31197A">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政务部门信息资源类</w:t>
            </w:r>
          </w:p>
        </w:tc>
        <w:tc>
          <w:tcPr>
            <w:tcW w:w="491" w:type="pct"/>
            <w:vAlign w:val="center"/>
          </w:tcPr>
          <w:p w14:paraId="1399290A">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排污许可证信息</w:t>
            </w:r>
          </w:p>
        </w:tc>
        <w:tc>
          <w:tcPr>
            <w:tcW w:w="526" w:type="pct"/>
            <w:vAlign w:val="center"/>
          </w:tcPr>
          <w:p w14:paraId="4E2F97C4">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市生态环境局</w:t>
            </w:r>
          </w:p>
        </w:tc>
        <w:tc>
          <w:tcPr>
            <w:tcW w:w="1833" w:type="pct"/>
            <w:vAlign w:val="center"/>
          </w:tcPr>
          <w:p w14:paraId="63C02A2A">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企业基本信息、</w:t>
            </w:r>
          </w:p>
          <w:p w14:paraId="353D000B">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大气污染物排放-排放口、</w:t>
            </w:r>
          </w:p>
          <w:p w14:paraId="73FB3D8C">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大气污染物排放-有组织排放许可限值、</w:t>
            </w:r>
          </w:p>
          <w:p w14:paraId="57FF3C15">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大气污染物排放-无组织排放许可条件、</w:t>
            </w:r>
          </w:p>
          <w:p w14:paraId="6BB2A838">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大气污染物排放-特殊情况下许可限值、</w:t>
            </w:r>
          </w:p>
          <w:p w14:paraId="3370C55C">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大气污染物排放-排污单位大气排放总许可量、</w:t>
            </w:r>
          </w:p>
          <w:p w14:paraId="218BBC1D">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水污染物排放-排放口、</w:t>
            </w:r>
          </w:p>
          <w:p w14:paraId="731B3021">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水污染物排放-排放许可限值、</w:t>
            </w:r>
          </w:p>
          <w:p w14:paraId="56FAE36D">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噪声排放信息、</w:t>
            </w:r>
          </w:p>
          <w:p w14:paraId="544111B5">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固体废物排放信息、</w:t>
            </w:r>
          </w:p>
          <w:p w14:paraId="4006F545">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环境管理要求-自行监测、</w:t>
            </w:r>
          </w:p>
          <w:p w14:paraId="7E00DF5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环境管理要求-环境管理台账记录、</w:t>
            </w:r>
          </w:p>
          <w:p w14:paraId="3DC66B4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环境管理要求-执行（守法）报告、</w:t>
            </w:r>
          </w:p>
          <w:p w14:paraId="67604F0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环境管理要求-信息公开、</w:t>
            </w:r>
          </w:p>
          <w:p w14:paraId="4023D9BD">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环境管理要求-其他控制及管理要求、</w:t>
            </w:r>
          </w:p>
          <w:p w14:paraId="517B53A1">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许可证变更、</w:t>
            </w:r>
          </w:p>
          <w:p w14:paraId="3C0864F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延续记录、</w:t>
            </w:r>
          </w:p>
          <w:p w14:paraId="449BFC49">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其他许可内容、</w:t>
            </w:r>
          </w:p>
          <w:p w14:paraId="6A395F44">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改正规定、</w:t>
            </w:r>
          </w:p>
          <w:p w14:paraId="7D3B0A8B">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排污单位登记信息-主要产品及产能、</w:t>
            </w:r>
          </w:p>
          <w:p w14:paraId="213E54B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排污单位登记信息-主要原辅材料及燃料、</w:t>
            </w:r>
          </w:p>
          <w:p w14:paraId="53071DE5">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排污单位登记信息-产排污节点污染物及污染治理设施、</w:t>
            </w:r>
          </w:p>
          <w:p w14:paraId="3C5B0A36">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排污单位登记信息-排污权使用和交易信息、</w:t>
            </w:r>
          </w:p>
          <w:p w14:paraId="322B0CAB">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补充登记信息、</w:t>
            </w:r>
          </w:p>
          <w:p w14:paraId="1D5315B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附图或附件</w:t>
            </w:r>
          </w:p>
        </w:tc>
        <w:tc>
          <w:tcPr>
            <w:tcW w:w="903" w:type="pct"/>
            <w:vAlign w:val="center"/>
          </w:tcPr>
          <w:p w14:paraId="43023B64">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全市排污许可证数据</w:t>
            </w:r>
          </w:p>
        </w:tc>
        <w:tc>
          <w:tcPr>
            <w:tcW w:w="465" w:type="pct"/>
            <w:vAlign w:val="center"/>
          </w:tcPr>
          <w:p w14:paraId="56817417">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p>
        </w:tc>
        <w:tc>
          <w:tcPr>
            <w:tcW w:w="382" w:type="pct"/>
            <w:vAlign w:val="center"/>
          </w:tcPr>
          <w:p w14:paraId="57FE157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每日</w:t>
            </w:r>
          </w:p>
        </w:tc>
      </w:tr>
      <w:tr w14:paraId="54710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7" w:type="pct"/>
            <w:vAlign w:val="center"/>
          </w:tcPr>
          <w:p w14:paraId="0E9E835A">
            <w:pPr>
              <w:widowControl/>
              <w:spacing w:line="360" w:lineRule="auto"/>
              <w:ind w:firstLine="0" w:firstLineChars="0"/>
              <w:jc w:val="left"/>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政务部门信息资源类</w:t>
            </w:r>
          </w:p>
        </w:tc>
        <w:tc>
          <w:tcPr>
            <w:tcW w:w="491" w:type="pct"/>
            <w:vAlign w:val="center"/>
          </w:tcPr>
          <w:p w14:paraId="7ED9A726">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排污许可执行报告信息</w:t>
            </w:r>
          </w:p>
        </w:tc>
        <w:tc>
          <w:tcPr>
            <w:tcW w:w="526" w:type="pct"/>
            <w:vAlign w:val="center"/>
          </w:tcPr>
          <w:p w14:paraId="08A73D06">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市生态环境局</w:t>
            </w:r>
          </w:p>
        </w:tc>
        <w:tc>
          <w:tcPr>
            <w:tcW w:w="1833" w:type="pct"/>
            <w:vAlign w:val="center"/>
          </w:tcPr>
          <w:p w14:paraId="11317637">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企业总体情况</w:t>
            </w:r>
          </w:p>
          <w:p w14:paraId="6EFE0FC9">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产品产量表、</w:t>
            </w:r>
          </w:p>
          <w:p w14:paraId="2003EB2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原辅材料表、</w:t>
            </w:r>
          </w:p>
          <w:p w14:paraId="39E0943B">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能源消耗表、</w:t>
            </w:r>
          </w:p>
          <w:p w14:paraId="29BB46E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生产运行情况表、</w:t>
            </w:r>
          </w:p>
          <w:p w14:paraId="6568812F">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燃料分析表、</w:t>
            </w:r>
          </w:p>
          <w:p w14:paraId="7CC7C71A">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污染治理设施正常运转信息、</w:t>
            </w:r>
          </w:p>
          <w:p w14:paraId="20285A69">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污染治理设施异常运转信息、</w:t>
            </w:r>
          </w:p>
          <w:p w14:paraId="6E6F6A2E">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自行储存/利用/处置设施合规情况说明表、</w:t>
            </w:r>
          </w:p>
          <w:p w14:paraId="2B20D759">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正常时段排放信息、</w:t>
            </w:r>
          </w:p>
          <w:p w14:paraId="23927C92">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非正常时段排放信息、</w:t>
            </w:r>
          </w:p>
          <w:p w14:paraId="495D3CD0">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台账管理信息、</w:t>
            </w:r>
          </w:p>
          <w:p w14:paraId="4DF7433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实际排放量信息、</w:t>
            </w:r>
          </w:p>
          <w:p w14:paraId="54944EA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超标排放量信息、</w:t>
            </w:r>
          </w:p>
          <w:p w14:paraId="00A523AC">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特殊时段废气污染物排放信息、</w:t>
            </w:r>
          </w:p>
          <w:p w14:paraId="5B4BDFC7">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信息公开信息、</w:t>
            </w:r>
          </w:p>
          <w:p w14:paraId="2C732670">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企业内部情况环境管理体系建设与运行情况、</w:t>
            </w:r>
          </w:p>
          <w:p w14:paraId="1EDB6D63">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其他排污许可证规定的内容执行情况、</w:t>
            </w:r>
          </w:p>
          <w:p w14:paraId="019C06B0">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其他需要说明的情况、</w:t>
            </w:r>
          </w:p>
          <w:p w14:paraId="04CE024D">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附件</w:t>
            </w:r>
          </w:p>
        </w:tc>
        <w:tc>
          <w:tcPr>
            <w:tcW w:w="903" w:type="pct"/>
            <w:vAlign w:val="center"/>
          </w:tcPr>
          <w:p w14:paraId="3BE2EE57">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全市排污许可执行报告数据</w:t>
            </w:r>
          </w:p>
        </w:tc>
        <w:tc>
          <w:tcPr>
            <w:tcW w:w="465" w:type="pct"/>
            <w:vAlign w:val="center"/>
          </w:tcPr>
          <w:p w14:paraId="47134311">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p>
        </w:tc>
        <w:tc>
          <w:tcPr>
            <w:tcW w:w="382" w:type="pct"/>
            <w:vAlign w:val="center"/>
          </w:tcPr>
          <w:p w14:paraId="070F115B">
            <w:pPr>
              <w:widowControl/>
              <w:spacing w:line="360" w:lineRule="auto"/>
              <w:ind w:firstLine="0" w:firstLineChars="0"/>
              <w:jc w:val="left"/>
              <w:textAlignment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每日</w:t>
            </w:r>
          </w:p>
        </w:tc>
      </w:tr>
    </w:tbl>
    <w:p w14:paraId="35E56394">
      <w:pPr>
        <w:pStyle w:val="18"/>
        <w:ind w:left="-359" w:leftChars="-171" w:firstLine="357" w:firstLineChars="149"/>
        <w:rPr>
          <w:rFonts w:hint="eastAsia" w:ascii="宋体" w:hAnsi="宋体" w:eastAsia="宋体" w:cs="宋体"/>
          <w:color w:val="000000" w:themeColor="text1"/>
          <w:sz w:val="24"/>
          <w:szCs w:val="24"/>
          <w:highlight w:val="none"/>
          <w14:textFill>
            <w14:solidFill>
              <w14:schemeClr w14:val="tx1"/>
            </w14:solidFill>
          </w14:textFill>
        </w:rPr>
      </w:pPr>
    </w:p>
    <w:bookmarkEnd w:id="27"/>
    <w:p w14:paraId="4C2A3C15">
      <w:pPr>
        <w:autoSpaceDE w:val="0"/>
        <w:autoSpaceDN w:val="0"/>
        <w:snapToGrid w:val="0"/>
        <w:spacing w:line="500" w:lineRule="exact"/>
        <w:outlineLvl w:val="1"/>
        <w:rPr>
          <w:rFonts w:hint="eastAsia" w:ascii="宋体" w:hAnsi="宋体"/>
          <w:b/>
          <w:color w:val="000000" w:themeColor="text1"/>
          <w:sz w:val="24"/>
          <w:highlight w:val="none"/>
          <w14:textFill>
            <w14:solidFill>
              <w14:schemeClr w14:val="tx1"/>
            </w14:solidFill>
          </w14:textFill>
        </w:rPr>
      </w:pPr>
    </w:p>
    <w:p w14:paraId="0089A05A">
      <w:pPr>
        <w:pStyle w:val="21"/>
        <w:spacing w:line="480" w:lineRule="auto"/>
        <w:ind w:left="0"/>
        <w:outlineLvl w:val="1"/>
        <w:rPr>
          <w:b/>
          <w:bCs/>
          <w:color w:val="000000" w:themeColor="text1"/>
          <w:sz w:val="24"/>
          <w:szCs w:val="24"/>
          <w:highlight w:val="none"/>
          <w14:textFill>
            <w14:solidFill>
              <w14:schemeClr w14:val="tx1"/>
            </w14:solidFill>
          </w14:textFill>
        </w:rPr>
      </w:pPr>
      <w:bookmarkStart w:id="41" w:name="_Toc17175"/>
      <w:bookmarkStart w:id="42" w:name="_Toc12619"/>
      <w:bookmarkStart w:id="43" w:name="_Toc14281"/>
      <w:bookmarkStart w:id="44" w:name="_Toc6407"/>
      <w:bookmarkStart w:id="45" w:name="_Toc140485504"/>
      <w:r>
        <w:rPr>
          <w:rFonts w:hint="eastAsia"/>
          <w:b/>
          <w:bCs/>
          <w:color w:val="000000" w:themeColor="text1"/>
          <w:sz w:val="24"/>
          <w:szCs w:val="24"/>
          <w:highlight w:val="none"/>
          <w14:textFill>
            <w14:solidFill>
              <w14:schemeClr w14:val="tx1"/>
            </w14:solidFill>
          </w14:textFill>
        </w:rPr>
        <w:t>三、其他要求</w:t>
      </w:r>
      <w:bookmarkEnd w:id="41"/>
    </w:p>
    <w:p w14:paraId="4C2BF5B6">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3.1服务期内</w:t>
      </w:r>
      <w:r>
        <w:rPr>
          <w:rFonts w:hint="eastAsia" w:ascii="宋体" w:hAnsi="宋体" w:cs="宋体"/>
          <w:color w:val="000000" w:themeColor="text1"/>
          <w:kern w:val="0"/>
          <w:sz w:val="24"/>
          <w:szCs w:val="24"/>
          <w:highlight w:val="none"/>
          <w:lang w:eastAsia="zh-CN"/>
          <w14:textFill>
            <w14:solidFill>
              <w14:schemeClr w14:val="tx1"/>
            </w14:solidFill>
          </w14:textFill>
        </w:rPr>
        <w:t>采购人</w:t>
      </w:r>
      <w:r>
        <w:rPr>
          <w:rFonts w:hint="eastAsia" w:ascii="宋体" w:hAnsi="宋体" w:cs="宋体"/>
          <w:color w:val="000000" w:themeColor="text1"/>
          <w:kern w:val="0"/>
          <w:sz w:val="24"/>
          <w:szCs w:val="24"/>
          <w:highlight w:val="none"/>
          <w14:textFill>
            <w14:solidFill>
              <w14:schemeClr w14:val="tx1"/>
            </w14:solidFill>
          </w14:textFill>
        </w:rPr>
        <w:t>发现服务期内成交供应商审核的排污许可证执行报告填报规范性存在问题的，成交供应商应免费按照</w:t>
      </w:r>
      <w:r>
        <w:rPr>
          <w:rFonts w:hint="eastAsia" w:ascii="宋体" w:hAnsi="宋体" w:cs="宋体"/>
          <w:color w:val="000000" w:themeColor="text1"/>
          <w:kern w:val="0"/>
          <w:sz w:val="24"/>
          <w:szCs w:val="24"/>
          <w:highlight w:val="none"/>
          <w:lang w:eastAsia="zh-CN"/>
          <w14:textFill>
            <w14:solidFill>
              <w14:schemeClr w14:val="tx1"/>
            </w14:solidFill>
          </w14:textFill>
        </w:rPr>
        <w:t>采购人</w:t>
      </w:r>
      <w:r>
        <w:rPr>
          <w:rFonts w:hint="eastAsia" w:ascii="宋体" w:hAnsi="宋体" w:cs="宋体"/>
          <w:color w:val="000000" w:themeColor="text1"/>
          <w:kern w:val="0"/>
          <w:sz w:val="24"/>
          <w:szCs w:val="24"/>
          <w:highlight w:val="none"/>
          <w14:textFill>
            <w14:solidFill>
              <w14:schemeClr w14:val="tx1"/>
            </w14:solidFill>
          </w14:textFill>
        </w:rPr>
        <w:t>要求，指导排污单位对排污许可证执行报告存在的问题进行纠正变更。</w:t>
      </w:r>
    </w:p>
    <w:p w14:paraId="27CFC971">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3.2成交供应商应提供服务期内7×24小时的技术咨询服务。</w:t>
      </w:r>
    </w:p>
    <w:p w14:paraId="6C12717F">
      <w:pPr>
        <w:widowControl/>
        <w:spacing w:line="360" w:lineRule="auto"/>
        <w:ind w:firstLine="482" w:firstLineChars="200"/>
        <w:rPr>
          <w:rFonts w:hint="eastAsia" w:ascii="宋体" w:hAnsi="宋体" w:cs="宋体"/>
          <w:b/>
          <w:bCs/>
          <w:color w:val="000000" w:themeColor="text1"/>
          <w:kern w:val="0"/>
          <w:sz w:val="24"/>
          <w:szCs w:val="24"/>
          <w:highlight w:val="none"/>
          <w14:textFill>
            <w14:solidFill>
              <w14:schemeClr w14:val="tx1"/>
            </w14:solidFill>
          </w14:textFill>
        </w:rPr>
      </w:pPr>
      <w:r>
        <w:rPr>
          <w:rFonts w:hint="eastAsia" w:ascii="宋体" w:hAnsi="宋体" w:cs="宋体"/>
          <w:b/>
          <w:bCs/>
          <w:color w:val="000000" w:themeColor="text1"/>
          <w:kern w:val="0"/>
          <w:sz w:val="24"/>
          <w:szCs w:val="24"/>
          <w:highlight w:val="none"/>
          <w14:textFill>
            <w14:solidFill>
              <w14:schemeClr w14:val="tx1"/>
            </w14:solidFill>
          </w14:textFill>
        </w:rPr>
        <w:t>★3.3供应商承诺在成交后，自行</w:t>
      </w:r>
      <w:r>
        <w:rPr>
          <w:rFonts w:hint="eastAsia" w:ascii="宋体" w:hAnsi="宋体" w:cs="宋体"/>
          <w:b/>
          <w:bCs/>
          <w:color w:val="000000" w:themeColor="text1"/>
          <w:kern w:val="0"/>
          <w:sz w:val="24"/>
          <w:szCs w:val="24"/>
          <w:highlight w:val="none"/>
          <w:lang w:eastAsia="zh-CN"/>
          <w14:textFill>
            <w14:solidFill>
              <w14:schemeClr w14:val="tx1"/>
            </w14:solidFill>
          </w14:textFill>
        </w:rPr>
        <w:t>负责</w:t>
      </w:r>
      <w:r>
        <w:rPr>
          <w:rFonts w:hint="eastAsia" w:ascii="宋体" w:hAnsi="宋体" w:cs="宋体"/>
          <w:b/>
          <w:bCs/>
          <w:color w:val="000000" w:themeColor="text1"/>
          <w:kern w:val="0"/>
          <w:sz w:val="24"/>
          <w:szCs w:val="24"/>
          <w:highlight w:val="none"/>
          <w14:textFill>
            <w14:solidFill>
              <w14:schemeClr w14:val="tx1"/>
            </w14:solidFill>
          </w14:textFill>
        </w:rPr>
        <w:t>获取厦门市排污许可数据，且所产生的费用由成交供应商自行承担，采购人将不再追加价款。（须提供书面承诺</w:t>
      </w:r>
      <w:r>
        <w:rPr>
          <w:rFonts w:hint="eastAsia" w:ascii="宋体" w:hAnsi="宋体" w:cs="宋体"/>
          <w:b/>
          <w:bCs/>
          <w:color w:val="000000" w:themeColor="text1"/>
          <w:kern w:val="0"/>
          <w:sz w:val="24"/>
          <w:szCs w:val="24"/>
          <w:highlight w:val="none"/>
          <w:lang w:val="en-US" w:eastAsia="zh-CN"/>
          <w14:textFill>
            <w14:solidFill>
              <w14:schemeClr w14:val="tx1"/>
            </w14:solidFill>
          </w14:textFill>
        </w:rPr>
        <w:t>并加盖单位公章</w:t>
      </w:r>
      <w:r>
        <w:rPr>
          <w:rFonts w:hint="eastAsia" w:ascii="宋体" w:hAnsi="宋体" w:cs="宋体"/>
          <w:b/>
          <w:bCs/>
          <w:color w:val="000000" w:themeColor="text1"/>
          <w:kern w:val="0"/>
          <w:sz w:val="24"/>
          <w:szCs w:val="24"/>
          <w:highlight w:val="none"/>
          <w14:textFill>
            <w14:solidFill>
              <w14:schemeClr w14:val="tx1"/>
            </w14:solidFill>
          </w14:textFill>
        </w:rPr>
        <w:t>，格式自拟）</w:t>
      </w:r>
    </w:p>
    <w:p w14:paraId="2A29A45F">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3.4成交供应商必须保证其为采购人提供服务期间，采购人不受到知识产权或版权的纠纷，否则，由此产生的任何责任完全由成交供应商自行承担。</w:t>
      </w:r>
    </w:p>
    <w:p w14:paraId="18B71AA8">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3.5成交供应商不得在合同期限内将本项目转包或发包，一经发现，采购人有权解除合同，由此造成的一切损失均由成交供应商承担。</w:t>
      </w:r>
    </w:p>
    <w:p w14:paraId="594CA6B5">
      <w:pPr>
        <w:pStyle w:val="16"/>
        <w:tabs>
          <w:tab w:val="left" w:pos="1140"/>
        </w:tabs>
        <w:rPr>
          <w:rFonts w:hint="eastAsia"/>
          <w:color w:val="000000" w:themeColor="text1"/>
          <w:sz w:val="24"/>
          <w:szCs w:val="24"/>
          <w:highlight w:val="none"/>
          <w14:textFill>
            <w14:solidFill>
              <w14:schemeClr w14:val="tx1"/>
            </w14:solidFill>
          </w14:textFill>
        </w:rPr>
      </w:pPr>
    </w:p>
    <w:p w14:paraId="6918B3D3">
      <w:pPr>
        <w:pStyle w:val="21"/>
        <w:spacing w:line="480" w:lineRule="auto"/>
        <w:ind w:left="0"/>
        <w:outlineLvl w:val="1"/>
        <w:rPr>
          <w:b/>
          <w:bCs/>
          <w:color w:val="000000" w:themeColor="text1"/>
          <w:sz w:val="24"/>
          <w:szCs w:val="24"/>
          <w:highlight w:val="none"/>
          <w14:textFill>
            <w14:solidFill>
              <w14:schemeClr w14:val="tx1"/>
            </w14:solidFill>
          </w14:textFill>
        </w:rPr>
      </w:pPr>
      <w:bookmarkStart w:id="46" w:name="_Toc23255"/>
      <w:r>
        <w:rPr>
          <w:rFonts w:hint="eastAsia"/>
          <w:b/>
          <w:bCs/>
          <w:color w:val="000000" w:themeColor="text1"/>
          <w:sz w:val="24"/>
          <w:szCs w:val="24"/>
          <w:highlight w:val="none"/>
          <w14:textFill>
            <w14:solidFill>
              <w14:schemeClr w14:val="tx1"/>
            </w14:solidFill>
          </w14:textFill>
        </w:rPr>
        <w:t>四、技术响应要求</w:t>
      </w:r>
      <w:bookmarkEnd w:id="42"/>
      <w:bookmarkEnd w:id="46"/>
    </w:p>
    <w:bookmarkEnd w:id="43"/>
    <w:bookmarkEnd w:id="44"/>
    <w:p w14:paraId="04D9A008">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bookmarkStart w:id="47" w:name="_Toc14795"/>
      <w:r>
        <w:rPr>
          <w:rFonts w:ascii="宋体" w:hAnsi="宋体" w:cs="宋体"/>
          <w:color w:val="000000" w:themeColor="text1"/>
          <w:kern w:val="0"/>
          <w:sz w:val="24"/>
          <w:szCs w:val="24"/>
          <w:highlight w:val="none"/>
          <w14:textFill>
            <w14:solidFill>
              <w14:schemeClr w14:val="tx1"/>
            </w14:solidFill>
          </w14:textFill>
        </w:rPr>
        <w:t>4.1以上所有服务内容为基本要求，各供应商可提出更优的服务条款；</w:t>
      </w:r>
    </w:p>
    <w:p w14:paraId="3B027865">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4.2供应商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针对本项目提供的熟悉程度情况</w:t>
      </w:r>
      <w:r>
        <w:rPr>
          <w:rFonts w:hint="eastAsia" w:ascii="宋体" w:hAnsi="宋体" w:cs="宋体"/>
          <w:color w:val="000000" w:themeColor="text1"/>
          <w:kern w:val="0"/>
          <w:sz w:val="24"/>
          <w:szCs w:val="24"/>
          <w:highlight w:val="none"/>
          <w:lang w:val="en-US" w:eastAsia="zh-CN"/>
          <w14:textFill>
            <w14:solidFill>
              <w14:schemeClr w14:val="tx1"/>
            </w14:solidFill>
          </w14:textFill>
        </w:rPr>
        <w:t>介绍</w:t>
      </w:r>
      <w:r>
        <w:rPr>
          <w:rFonts w:ascii="宋体" w:hAnsi="宋体" w:cs="宋体"/>
          <w:color w:val="000000" w:themeColor="text1"/>
          <w:kern w:val="0"/>
          <w:sz w:val="24"/>
          <w:szCs w:val="24"/>
          <w:highlight w:val="none"/>
          <w14:textFill>
            <w14:solidFill>
              <w14:schemeClr w14:val="tx1"/>
            </w14:solidFill>
          </w14:textFill>
        </w:rPr>
        <w:t>；</w:t>
      </w:r>
    </w:p>
    <w:p w14:paraId="7457E9B9">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4.3供应商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针对本项目提供重点难点分析方案；</w:t>
      </w:r>
    </w:p>
    <w:p w14:paraId="1D6FCBE4">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4.4供应商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针对本项目提供总体技术方案；</w:t>
      </w:r>
    </w:p>
    <w:p w14:paraId="505EF1AE">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5</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针对本项目提供服务质量保证措施情况；</w:t>
      </w:r>
    </w:p>
    <w:p w14:paraId="0AD2B1FC">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6</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针对本项目提供整体工作阶段及任务划分、进度控制、关键时间节点把握；</w:t>
      </w:r>
    </w:p>
    <w:p w14:paraId="54A6E329">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7</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针对本项目提供工作管理制度措施方案；</w:t>
      </w:r>
    </w:p>
    <w:p w14:paraId="2AC66BB6">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8</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针对本项目提供服务人员培训计划方案；</w:t>
      </w:r>
    </w:p>
    <w:p w14:paraId="433F0DD6">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9</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w:t>
      </w:r>
      <w:r>
        <w:rPr>
          <w:rFonts w:ascii="宋体" w:hAnsi="宋体"/>
          <w:color w:val="000000" w:themeColor="text1"/>
          <w:sz w:val="24"/>
          <w:szCs w:val="24"/>
          <w:highlight w:val="none"/>
          <w14:textFill>
            <w14:solidFill>
              <w14:schemeClr w14:val="tx1"/>
            </w14:solidFill>
          </w14:textFill>
        </w:rPr>
        <w:t>应急处理方案</w:t>
      </w:r>
      <w:r>
        <w:rPr>
          <w:rFonts w:ascii="宋体" w:hAnsi="宋体" w:cs="宋体"/>
          <w:color w:val="000000" w:themeColor="text1"/>
          <w:kern w:val="0"/>
          <w:sz w:val="24"/>
          <w:szCs w:val="24"/>
          <w:highlight w:val="none"/>
          <w14:textFill>
            <w14:solidFill>
              <w14:schemeClr w14:val="tx1"/>
            </w14:solidFill>
          </w14:textFill>
        </w:rPr>
        <w:t>；</w:t>
      </w:r>
    </w:p>
    <w:p w14:paraId="11A5339E">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0</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针对本项目提供</w:t>
      </w:r>
      <w:r>
        <w:rPr>
          <w:rFonts w:ascii="宋体" w:hAnsi="宋体"/>
          <w:color w:val="000000" w:themeColor="text1"/>
          <w:sz w:val="24"/>
          <w:szCs w:val="24"/>
          <w:highlight w:val="none"/>
          <w14:textFill>
            <w14:solidFill>
              <w14:schemeClr w14:val="tx1"/>
            </w14:solidFill>
          </w14:textFill>
        </w:rPr>
        <w:t>数据和资料保密管理方案；</w:t>
      </w:r>
    </w:p>
    <w:p w14:paraId="42FC9FDF">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1</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结合本项目实际情况，对服务内容和采购要求</w:t>
      </w:r>
      <w:r>
        <w:rPr>
          <w:rFonts w:ascii="宋体" w:hAnsi="宋体"/>
          <w:color w:val="000000" w:themeColor="text1"/>
          <w:sz w:val="24"/>
          <w:szCs w:val="24"/>
          <w:highlight w:val="none"/>
          <w14:textFill>
            <w14:solidFill>
              <w14:schemeClr w14:val="tx1"/>
            </w14:solidFill>
          </w14:textFill>
        </w:rPr>
        <w:t>提出可行性建议</w:t>
      </w:r>
      <w:r>
        <w:rPr>
          <w:rFonts w:ascii="宋体" w:hAnsi="宋体" w:cs="宋体"/>
          <w:color w:val="000000" w:themeColor="text1"/>
          <w:kern w:val="0"/>
          <w:sz w:val="24"/>
          <w:szCs w:val="24"/>
          <w:highlight w:val="none"/>
          <w14:textFill>
            <w14:solidFill>
              <w14:schemeClr w14:val="tx1"/>
            </w14:solidFill>
          </w14:textFill>
        </w:rPr>
        <w:t>；</w:t>
      </w:r>
    </w:p>
    <w:p w14:paraId="7511A855">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2</w:t>
      </w:r>
      <w:r>
        <w:rPr>
          <w:rFonts w:ascii="宋体" w:hAnsi="宋体" w:cs="宋体"/>
          <w:color w:val="000000" w:themeColor="text1"/>
          <w:kern w:val="0"/>
          <w:sz w:val="24"/>
          <w:szCs w:val="24"/>
          <w:highlight w:val="none"/>
          <w14:textFill>
            <w14:solidFill>
              <w14:schemeClr w14:val="tx1"/>
            </w14:solidFill>
          </w14:textFill>
        </w:rPr>
        <w:t>供应商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ascii="宋体" w:hAnsi="宋体" w:cs="宋体"/>
          <w:color w:val="000000" w:themeColor="text1"/>
          <w:kern w:val="0"/>
          <w:sz w:val="24"/>
          <w:szCs w:val="24"/>
          <w:highlight w:val="none"/>
          <w14:textFill>
            <w14:solidFill>
              <w14:schemeClr w14:val="tx1"/>
            </w14:solidFill>
          </w14:textFill>
        </w:rPr>
        <w:t>针对本项目服务承诺响应速度情况；</w:t>
      </w:r>
    </w:p>
    <w:p w14:paraId="6AAE66EA">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3</w:t>
      </w:r>
      <w:r>
        <w:rPr>
          <w:rFonts w:ascii="宋体" w:hAnsi="宋体" w:cs="宋体"/>
          <w:color w:val="000000" w:themeColor="text1"/>
          <w:kern w:val="0"/>
          <w:sz w:val="24"/>
          <w:szCs w:val="24"/>
          <w:highlight w:val="none"/>
          <w14:textFill>
            <w14:solidFill>
              <w14:schemeClr w14:val="tx1"/>
            </w14:solidFill>
          </w14:textFill>
        </w:rPr>
        <w:t>供应商承诺：在项目实施过程中能够配合采购人提出的合理意见并接受采购人监督；</w:t>
      </w:r>
    </w:p>
    <w:p w14:paraId="07FADA12">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4</w:t>
      </w:r>
      <w:r>
        <w:rPr>
          <w:rFonts w:ascii="宋体" w:hAnsi="宋体" w:cs="宋体"/>
          <w:color w:val="000000" w:themeColor="text1"/>
          <w:kern w:val="0"/>
          <w:sz w:val="24"/>
          <w:szCs w:val="24"/>
          <w:highlight w:val="none"/>
          <w14:textFill>
            <w14:solidFill>
              <w14:schemeClr w14:val="tx1"/>
            </w14:solidFill>
          </w14:textFill>
        </w:rPr>
        <w:t>供应商承诺：在成交后遵守行业内保密义务；</w:t>
      </w:r>
    </w:p>
    <w:p w14:paraId="51D99ACD">
      <w:pPr>
        <w:widowControl/>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ascii="宋体" w:hAnsi="宋体" w:cs="宋体"/>
          <w:color w:val="000000" w:themeColor="text1"/>
          <w:kern w:val="0"/>
          <w:sz w:val="24"/>
          <w:szCs w:val="24"/>
          <w:highlight w:val="none"/>
          <w14:textFill>
            <w14:solidFill>
              <w14:schemeClr w14:val="tx1"/>
            </w14:solidFill>
          </w14:textFill>
        </w:rPr>
        <w:t>4.1</w:t>
      </w:r>
      <w:r>
        <w:rPr>
          <w:rFonts w:hint="eastAsia" w:ascii="宋体" w:hAnsi="宋体" w:cs="宋体"/>
          <w:color w:val="000000" w:themeColor="text1"/>
          <w:kern w:val="0"/>
          <w:sz w:val="24"/>
          <w:szCs w:val="24"/>
          <w:highlight w:val="none"/>
          <w14:textFill>
            <w14:solidFill>
              <w14:schemeClr w14:val="tx1"/>
            </w14:solidFill>
          </w14:textFill>
        </w:rPr>
        <w:t>5</w:t>
      </w:r>
      <w:r>
        <w:rPr>
          <w:rFonts w:ascii="宋体" w:hAnsi="宋体" w:cs="宋体"/>
          <w:color w:val="000000" w:themeColor="text1"/>
          <w:kern w:val="0"/>
          <w:sz w:val="24"/>
          <w:szCs w:val="24"/>
          <w:highlight w:val="none"/>
          <w14:textFill>
            <w14:solidFill>
              <w14:schemeClr w14:val="tx1"/>
            </w14:solidFill>
          </w14:textFill>
        </w:rPr>
        <w:t>供应商承诺：在项目实施过程中遵守诚信原则，确保各项工作成果真实，并接受采购人监督。</w:t>
      </w:r>
    </w:p>
    <w:p w14:paraId="41DEBEF8">
      <w:pPr>
        <w:pStyle w:val="26"/>
        <w:ind w:firstLine="480"/>
        <w:rPr>
          <w:color w:val="000000" w:themeColor="text1"/>
          <w:sz w:val="24"/>
          <w:szCs w:val="24"/>
          <w:highlight w:val="none"/>
          <w14:textFill>
            <w14:solidFill>
              <w14:schemeClr w14:val="tx1"/>
            </w14:solidFill>
          </w14:textFill>
        </w:rPr>
      </w:pPr>
    </w:p>
    <w:p w14:paraId="0D73762D">
      <w:pPr>
        <w:pStyle w:val="21"/>
        <w:spacing w:line="480" w:lineRule="auto"/>
        <w:ind w:left="0"/>
        <w:outlineLvl w:val="1"/>
        <w:rPr>
          <w:b/>
          <w:bCs/>
          <w:color w:val="000000" w:themeColor="text1"/>
          <w:sz w:val="24"/>
          <w:szCs w:val="24"/>
          <w:highlight w:val="none"/>
          <w14:textFill>
            <w14:solidFill>
              <w14:schemeClr w14:val="tx1"/>
            </w14:solidFill>
          </w14:textFill>
        </w:rPr>
      </w:pPr>
      <w:bookmarkStart w:id="48" w:name="_Toc16617"/>
      <w:r>
        <w:rPr>
          <w:rFonts w:hint="eastAsia"/>
          <w:b/>
          <w:bCs/>
          <w:color w:val="000000" w:themeColor="text1"/>
          <w:sz w:val="24"/>
          <w:szCs w:val="24"/>
          <w:highlight w:val="none"/>
          <w14:textFill>
            <w14:solidFill>
              <w14:schemeClr w14:val="tx1"/>
            </w14:solidFill>
          </w14:textFill>
        </w:rPr>
        <w:t>五、商务响应要求</w:t>
      </w:r>
      <w:bookmarkEnd w:id="47"/>
      <w:bookmarkEnd w:id="48"/>
    </w:p>
    <w:p w14:paraId="1C9952C7">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5.1供应商应具有良好的商业信誉和健全的财务会计制度，具有履行合同所必需的专业人员、设备，有依法缴纳税收和社会保障资金的良好记录。</w:t>
      </w:r>
    </w:p>
    <w:p w14:paraId="184DD6F0">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5.2供应商应提供履约能力基本情况的说明，类似本项目的经营业绩的有效证明文件。</w:t>
      </w:r>
    </w:p>
    <w:p w14:paraId="72AF7AC3">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5.3响应文件至少应包含磋商响应声明函、报价一览表、报价明细表、服务方案、项目人员情况、服务承诺、技术规格和商务偏离表、业绩汇总表及本磋商文件要求的其他资格证明文件等。</w:t>
      </w:r>
    </w:p>
    <w:p w14:paraId="573D1C7F">
      <w:pPr>
        <w:pStyle w:val="16"/>
        <w:tabs>
          <w:tab w:val="left" w:pos="1140"/>
        </w:tabs>
        <w:ind w:firstLine="0" w:firstLineChars="0"/>
        <w:rPr>
          <w:rFonts w:hint="eastAsia"/>
          <w:color w:val="000000" w:themeColor="text1"/>
          <w:sz w:val="24"/>
          <w:szCs w:val="24"/>
          <w:highlight w:val="none"/>
          <w14:textFill>
            <w14:solidFill>
              <w14:schemeClr w14:val="tx1"/>
            </w14:solidFill>
          </w14:textFill>
        </w:rPr>
      </w:pPr>
    </w:p>
    <w:p w14:paraId="6A7E83A5">
      <w:pPr>
        <w:pStyle w:val="21"/>
        <w:spacing w:line="480" w:lineRule="auto"/>
        <w:ind w:left="0"/>
        <w:outlineLvl w:val="1"/>
        <w:rPr>
          <w:b/>
          <w:bCs/>
          <w:color w:val="000000" w:themeColor="text1"/>
          <w:sz w:val="24"/>
          <w:szCs w:val="24"/>
          <w:highlight w:val="none"/>
          <w14:textFill>
            <w14:solidFill>
              <w14:schemeClr w14:val="tx1"/>
            </w14:solidFill>
          </w14:textFill>
        </w:rPr>
      </w:pPr>
      <w:bookmarkStart w:id="49" w:name="_Toc30190"/>
      <w:bookmarkStart w:id="50" w:name="_Toc16430"/>
      <w:r>
        <w:rPr>
          <w:rFonts w:hint="eastAsia"/>
          <w:b/>
          <w:bCs/>
          <w:color w:val="000000" w:themeColor="text1"/>
          <w:sz w:val="24"/>
          <w:szCs w:val="24"/>
          <w:highlight w:val="none"/>
          <w14:textFill>
            <w14:solidFill>
              <w14:schemeClr w14:val="tx1"/>
            </w14:solidFill>
          </w14:textFill>
        </w:rPr>
        <w:t>六、报价要求</w:t>
      </w:r>
      <w:bookmarkEnd w:id="49"/>
      <w:bookmarkEnd w:id="50"/>
    </w:p>
    <w:p w14:paraId="7755A59E">
      <w:pPr>
        <w:widowControl/>
        <w:spacing w:line="360" w:lineRule="auto"/>
        <w:ind w:firstLine="482" w:firstLineChars="200"/>
        <w:rPr>
          <w:rFonts w:hint="eastAsia" w:ascii="宋体" w:hAnsi="宋体" w:cs="宋体"/>
          <w:b/>
          <w:bCs/>
          <w:color w:val="000000" w:themeColor="text1"/>
          <w:kern w:val="0"/>
          <w:sz w:val="24"/>
          <w:szCs w:val="24"/>
          <w:highlight w:val="none"/>
          <w14:textFill>
            <w14:solidFill>
              <w14:schemeClr w14:val="tx1"/>
            </w14:solidFill>
          </w14:textFill>
        </w:rPr>
      </w:pPr>
      <w:bookmarkStart w:id="51" w:name="_Toc6478"/>
      <w:r>
        <w:rPr>
          <w:rFonts w:hint="eastAsia" w:ascii="宋体" w:hAnsi="宋体" w:cs="宋体"/>
          <w:b/>
          <w:bCs/>
          <w:color w:val="000000" w:themeColor="text1"/>
          <w:kern w:val="0"/>
          <w:sz w:val="24"/>
          <w:szCs w:val="24"/>
          <w:highlight w:val="none"/>
          <w14:textFill>
            <w14:solidFill>
              <w14:schemeClr w14:val="tx1"/>
            </w14:solidFill>
          </w14:textFill>
        </w:rPr>
        <w:t>★</w:t>
      </w:r>
      <w:r>
        <w:rPr>
          <w:rFonts w:hint="eastAsia" w:ascii="宋体" w:hAnsi="宋体" w:cs="宋体"/>
          <w:b/>
          <w:bCs/>
          <w:color w:val="000000" w:themeColor="text1"/>
          <w:kern w:val="0"/>
          <w:sz w:val="24"/>
          <w:szCs w:val="24"/>
          <w:highlight w:val="none"/>
          <w:lang w:val="en-US" w:eastAsia="zh-CN"/>
          <w14:textFill>
            <w14:solidFill>
              <w14:schemeClr w14:val="tx1"/>
            </w14:solidFill>
          </w14:textFill>
        </w:rPr>
        <w:t>6.</w:t>
      </w:r>
      <w:r>
        <w:rPr>
          <w:rFonts w:hint="eastAsia" w:ascii="宋体" w:hAnsi="宋体" w:cs="宋体"/>
          <w:b/>
          <w:bCs/>
          <w:color w:val="000000" w:themeColor="text1"/>
          <w:kern w:val="0"/>
          <w:sz w:val="24"/>
          <w:szCs w:val="24"/>
          <w:highlight w:val="none"/>
          <w14:textFill>
            <w14:solidFill>
              <w14:schemeClr w14:val="tx1"/>
            </w14:solidFill>
          </w14:textFill>
        </w:rPr>
        <w:t>1本采购项目的采购预算为人民币27.8万元整，采购预算为供应商任一轮报价（包括但不限于响应文件中的报价以及供应商提交的最后报价）的最高限价，供应商任一轮报价超过采购预算的，其响应文件将作无效报价处理。</w:t>
      </w:r>
    </w:p>
    <w:p w14:paraId="676DF6B5">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6.2 本项目为整体采购，供应商必须对采购项目的所有内容及服务进行完整报价响应。</w:t>
      </w:r>
    </w:p>
    <w:p w14:paraId="5E6D275C">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cs="宋体"/>
          <w:color w:val="000000" w:themeColor="text1"/>
          <w:kern w:val="0"/>
          <w:sz w:val="24"/>
          <w:szCs w:val="24"/>
          <w:highlight w:val="none"/>
          <w14:textFill>
            <w14:solidFill>
              <w14:schemeClr w14:val="tx1"/>
            </w14:solidFill>
          </w14:textFill>
        </w:rPr>
        <w:t xml:space="preserve"> 供应商必须针对本项目中的服务要求进行报价，总报价包括但不限于以下费用：项目实施、人工费、人</w:t>
      </w:r>
      <w:r>
        <w:rPr>
          <w:rFonts w:hint="eastAsia" w:ascii="宋体" w:hAnsi="宋体" w:cs="宋体"/>
          <w:color w:val="000000" w:themeColor="text1"/>
          <w:kern w:val="0"/>
          <w:sz w:val="24"/>
          <w:szCs w:val="24"/>
          <w:highlight w:val="none"/>
          <w:lang w:val="en-US" w:eastAsia="zh-CN"/>
          <w14:textFill>
            <w14:solidFill>
              <w14:schemeClr w14:val="tx1"/>
            </w14:solidFill>
          </w14:textFill>
        </w:rPr>
        <w:t>身</w:t>
      </w:r>
      <w:r>
        <w:rPr>
          <w:rFonts w:hint="eastAsia" w:ascii="宋体" w:hAnsi="宋体" w:cs="宋体"/>
          <w:color w:val="000000" w:themeColor="text1"/>
          <w:kern w:val="0"/>
          <w:sz w:val="24"/>
          <w:szCs w:val="24"/>
          <w:highlight w:val="none"/>
          <w14:textFill>
            <w14:solidFill>
              <w14:schemeClr w14:val="tx1"/>
            </w14:solidFill>
          </w14:textFill>
        </w:rPr>
        <w:t>安全、劳保费、资料收集费、材料保管、材料损耗、验收费、税费、风险费、技术服务费、税收费用、采购代理服务费等一切费用以及由项目开展及完成验收而产生的其它费用等。供应商漏报的单价或少报的费用，视为此项费用已隐含在磋商响应报价中，成交后不得再向采购人收取任何费用。</w:t>
      </w:r>
    </w:p>
    <w:p w14:paraId="3D92A82F">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4</w:t>
      </w:r>
      <w:r>
        <w:rPr>
          <w:rFonts w:hint="eastAsia" w:ascii="宋体" w:hAnsi="宋体" w:cs="宋体"/>
          <w:color w:val="000000" w:themeColor="text1"/>
          <w:kern w:val="0"/>
          <w:sz w:val="24"/>
          <w:szCs w:val="24"/>
          <w:highlight w:val="none"/>
          <w14:textFill>
            <w14:solidFill>
              <w14:schemeClr w14:val="tx1"/>
            </w14:solidFill>
          </w14:textFill>
        </w:rPr>
        <w:t xml:space="preserve"> 供应商应依据项目特点自行核算成本并作出报价，如供应商成交后发现未预见事宜，可能需要增加的费用全部由成交供应商自行解决，采购人将不再追加价款。</w:t>
      </w:r>
    </w:p>
    <w:p w14:paraId="548F7137">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cs="宋体"/>
          <w:color w:val="000000" w:themeColor="text1"/>
          <w:kern w:val="0"/>
          <w:sz w:val="24"/>
          <w:szCs w:val="24"/>
          <w:highlight w:val="none"/>
          <w14:textFill>
            <w14:solidFill>
              <w14:schemeClr w14:val="tx1"/>
            </w14:solidFill>
          </w14:textFill>
        </w:rPr>
        <w:t>供应商应在采购文件中明确需要相互配合的工作及交接的事务，磋商响应文件未提及，项目实施过程中涉及的事务均由供应商自行解决，且费用已包含在报价中。</w:t>
      </w:r>
    </w:p>
    <w:p w14:paraId="061E5D57">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6</w:t>
      </w:r>
      <w:r>
        <w:rPr>
          <w:rFonts w:hint="eastAsia" w:ascii="宋体" w:hAnsi="宋体" w:cs="宋体"/>
          <w:color w:val="000000" w:themeColor="text1"/>
          <w:kern w:val="0"/>
          <w:sz w:val="24"/>
          <w:szCs w:val="24"/>
          <w:highlight w:val="none"/>
          <w14:textFill>
            <w14:solidFill>
              <w14:schemeClr w14:val="tx1"/>
            </w14:solidFill>
          </w14:textFill>
        </w:rPr>
        <w:t xml:space="preserve"> 报价须以人民币为货币单位，应分单价、小计和总价。</w:t>
      </w:r>
    </w:p>
    <w:p w14:paraId="02DB59E1">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r>
        <w:rPr>
          <w:rFonts w:hint="eastAsia" w:ascii="宋体" w:hAnsi="宋体" w:cs="宋体"/>
          <w:color w:val="000000" w:themeColor="text1"/>
          <w:kern w:val="0"/>
          <w:sz w:val="24"/>
          <w:szCs w:val="24"/>
          <w:highlight w:val="none"/>
          <w:lang w:val="en-US" w:eastAsia="zh-CN"/>
          <w14:textFill>
            <w14:solidFill>
              <w14:schemeClr w14:val="tx1"/>
            </w14:solidFill>
          </w14:textFill>
        </w:rPr>
        <w:t>7</w:t>
      </w:r>
      <w:r>
        <w:rPr>
          <w:rFonts w:hint="eastAsia" w:ascii="宋体" w:hAnsi="宋体" w:cs="宋体"/>
          <w:color w:val="000000" w:themeColor="text1"/>
          <w:kern w:val="0"/>
          <w:sz w:val="24"/>
          <w:szCs w:val="24"/>
          <w:highlight w:val="none"/>
          <w14:textFill>
            <w14:solidFill>
              <w14:schemeClr w14:val="tx1"/>
            </w14:solidFill>
          </w14:textFill>
        </w:rPr>
        <w:t xml:space="preserve"> 供应商对本项目只能有一种报价方案，采购人不接受有选择的报价方案。</w:t>
      </w:r>
    </w:p>
    <w:p w14:paraId="7069E475">
      <w:pPr>
        <w:pStyle w:val="16"/>
        <w:tabs>
          <w:tab w:val="left" w:pos="1140"/>
        </w:tabs>
        <w:rPr>
          <w:rFonts w:hint="eastAsia"/>
          <w:color w:val="000000" w:themeColor="text1"/>
          <w:sz w:val="24"/>
          <w:szCs w:val="24"/>
          <w:highlight w:val="none"/>
          <w14:textFill>
            <w14:solidFill>
              <w14:schemeClr w14:val="tx1"/>
            </w14:solidFill>
          </w14:textFill>
        </w:rPr>
      </w:pPr>
    </w:p>
    <w:p w14:paraId="1F7D8F54">
      <w:pPr>
        <w:widowControl/>
        <w:spacing w:line="360" w:lineRule="auto"/>
        <w:rPr>
          <w:rFonts w:hint="eastAsia"/>
          <w:b/>
          <w:bCs/>
          <w:color w:val="000000" w:themeColor="text1"/>
          <w:sz w:val="24"/>
          <w:szCs w:val="24"/>
          <w:highlight w:val="none"/>
          <w14:textFill>
            <w14:solidFill>
              <w14:schemeClr w14:val="tx1"/>
            </w14:solidFill>
          </w14:textFill>
        </w:rPr>
      </w:pPr>
      <w:bookmarkStart w:id="52" w:name="_Toc5921"/>
      <w:bookmarkStart w:id="53" w:name="_Toc17591"/>
      <w:r>
        <w:rPr>
          <w:rFonts w:hint="eastAsia"/>
          <w:b/>
          <w:bCs/>
          <w:color w:val="000000" w:themeColor="text1"/>
          <w:sz w:val="24"/>
          <w:szCs w:val="24"/>
          <w:highlight w:val="none"/>
          <w14:textFill>
            <w14:solidFill>
              <w14:schemeClr w14:val="tx1"/>
            </w14:solidFill>
          </w14:textFill>
        </w:rPr>
        <w:t>七、验收条件及标准</w:t>
      </w:r>
      <w:bookmarkEnd w:id="52"/>
      <w:bookmarkEnd w:id="53"/>
    </w:p>
    <w:p w14:paraId="765A7464">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7.1验收依据：采购文件、响应文件、国家有关的规定，均为验收依据。</w:t>
      </w:r>
    </w:p>
    <w:p w14:paraId="0B9D93C5">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7.2验收时成交供应商必须派代表参加。</w:t>
      </w:r>
    </w:p>
    <w:p w14:paraId="0E465535">
      <w:pPr>
        <w:widowControl/>
        <w:spacing w:line="360" w:lineRule="auto"/>
        <w:ind w:firstLine="480" w:firstLineChars="20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7.3验收过程所发生的一切费用由成交供应商承担。</w:t>
      </w:r>
    </w:p>
    <w:p w14:paraId="5642CBC7">
      <w:pPr>
        <w:pStyle w:val="81"/>
        <w:ind w:left="1680" w:firstLine="720"/>
        <w:rPr>
          <w:rFonts w:hint="eastAsia"/>
          <w:color w:val="000000" w:themeColor="text1"/>
          <w:sz w:val="24"/>
          <w:szCs w:val="24"/>
          <w:highlight w:val="none"/>
          <w14:textFill>
            <w14:solidFill>
              <w14:schemeClr w14:val="tx1"/>
            </w14:solidFill>
          </w14:textFill>
        </w:rPr>
      </w:pPr>
    </w:p>
    <w:p w14:paraId="67A313A4">
      <w:pPr>
        <w:widowControl/>
        <w:spacing w:line="360" w:lineRule="auto"/>
        <w:rPr>
          <w:b/>
          <w:bCs/>
          <w:color w:val="000000" w:themeColor="text1"/>
          <w:sz w:val="24"/>
          <w:szCs w:val="24"/>
          <w:highlight w:val="none"/>
          <w14:textFill>
            <w14:solidFill>
              <w14:schemeClr w14:val="tx1"/>
            </w14:solidFill>
          </w14:textFill>
        </w:rPr>
      </w:pPr>
      <w:r>
        <w:rPr>
          <w:rFonts w:hint="eastAsia"/>
          <w:b/>
          <w:bCs/>
          <w:color w:val="000000" w:themeColor="text1"/>
          <w:sz w:val="24"/>
          <w:szCs w:val="24"/>
          <w:highlight w:val="none"/>
          <w14:textFill>
            <w14:solidFill>
              <w14:schemeClr w14:val="tx1"/>
            </w14:solidFill>
          </w14:textFill>
        </w:rPr>
        <w:t>八、付款方式</w:t>
      </w:r>
      <w:bookmarkEnd w:id="51"/>
    </w:p>
    <w:p w14:paraId="732FDEAF">
      <w:pPr>
        <w:pStyle w:val="7"/>
        <w:adjustRightInd/>
        <w:spacing w:before="156"/>
        <w:rPr>
          <w:rFonts w:hint="default" w:hAnsi="宋体" w:cs="宋体"/>
          <w:color w:val="000000" w:themeColor="text1"/>
          <w:sz w:val="24"/>
          <w:szCs w:val="24"/>
          <w:highlight w:val="none"/>
          <w14:textFill>
            <w14:solidFill>
              <w14:schemeClr w14:val="tx1"/>
            </w14:solidFill>
          </w14:textFill>
        </w:rPr>
      </w:pPr>
      <w:r>
        <w:rPr>
          <w:rFonts w:hAnsi="宋体" w:cs="宋体"/>
          <w:color w:val="000000" w:themeColor="text1"/>
          <w:sz w:val="24"/>
          <w:szCs w:val="24"/>
          <w:highlight w:val="none"/>
          <w14:textFill>
            <w14:solidFill>
              <w14:schemeClr w14:val="tx1"/>
            </w14:solidFill>
          </w14:textFill>
        </w:rPr>
        <w:t>8.1具体由双方签订合同约定。</w:t>
      </w:r>
    </w:p>
    <w:p w14:paraId="0F42C879">
      <w:pPr>
        <w:pStyle w:val="16"/>
        <w:tabs>
          <w:tab w:val="left" w:pos="1140"/>
        </w:tabs>
        <w:ind w:firstLine="0" w:firstLineChars="0"/>
        <w:rPr>
          <w:color w:val="000000" w:themeColor="text1"/>
          <w:sz w:val="24"/>
          <w:szCs w:val="24"/>
          <w:highlight w:val="none"/>
          <w14:textFill>
            <w14:solidFill>
              <w14:schemeClr w14:val="tx1"/>
            </w14:solidFill>
          </w14:textFill>
        </w:rPr>
      </w:pPr>
    </w:p>
    <w:p w14:paraId="561689B6">
      <w:pPr>
        <w:pStyle w:val="21"/>
        <w:spacing w:line="480" w:lineRule="auto"/>
        <w:ind w:left="0"/>
        <w:outlineLvl w:val="1"/>
        <w:rPr>
          <w:b/>
          <w:bCs/>
          <w:color w:val="000000" w:themeColor="text1"/>
          <w:sz w:val="24"/>
          <w:szCs w:val="24"/>
          <w:highlight w:val="none"/>
          <w14:textFill>
            <w14:solidFill>
              <w14:schemeClr w14:val="tx1"/>
            </w14:solidFill>
          </w14:textFill>
        </w:rPr>
      </w:pPr>
      <w:bookmarkStart w:id="54" w:name="_Toc26331"/>
      <w:bookmarkStart w:id="55" w:name="_Toc5024"/>
      <w:r>
        <w:rPr>
          <w:rFonts w:hint="eastAsia"/>
          <w:b/>
          <w:bCs/>
          <w:color w:val="000000" w:themeColor="text1"/>
          <w:sz w:val="24"/>
          <w:szCs w:val="24"/>
          <w:highlight w:val="none"/>
          <w14:textFill>
            <w14:solidFill>
              <w14:schemeClr w14:val="tx1"/>
            </w14:solidFill>
          </w14:textFill>
        </w:rPr>
        <w:t>九、合同签订</w:t>
      </w:r>
      <w:bookmarkEnd w:id="54"/>
      <w:bookmarkEnd w:id="55"/>
    </w:p>
    <w:p w14:paraId="03EFAC0A">
      <w:pPr>
        <w:pStyle w:val="7"/>
        <w:adjustRightInd/>
        <w:spacing w:before="156"/>
        <w:ind w:firstLine="464"/>
        <w:rPr>
          <w:rFonts w:hAnsi="宋体" w:cs="宋体"/>
          <w:color w:val="000000" w:themeColor="text1"/>
          <w:sz w:val="24"/>
          <w:szCs w:val="24"/>
          <w:highlight w:val="none"/>
          <w14:textFill>
            <w14:solidFill>
              <w14:schemeClr w14:val="tx1"/>
            </w14:solidFill>
          </w14:textFill>
        </w:rPr>
      </w:pPr>
      <w:r>
        <w:rPr>
          <w:rFonts w:hAnsi="宋体" w:cs="宋体"/>
          <w:color w:val="000000" w:themeColor="text1"/>
          <w:sz w:val="24"/>
          <w:szCs w:val="24"/>
          <w:highlight w:val="none"/>
          <w14:textFill>
            <w14:solidFill>
              <w14:schemeClr w14:val="tx1"/>
            </w14:solidFill>
          </w14:textFill>
        </w:rPr>
        <w:t>9.1成交供应商接到《成交通知书》后，持《成交通知书》与采购人在20天内签订合同，采购文件、响应文件均作为合同订立的基础。</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45"/>
    <w:p w14:paraId="02B4EF2F">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388E85F">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ECE8D7D">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BB67A96">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30F1C42">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D84AFDF">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A78CDB6">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06D4E23">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AA6B6E1">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0A0F136">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1F1B565">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CC4890A">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24AB862">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766F35BF">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2305B603">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6BDA7A3">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1B47FA8C">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873D61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56" w:name="_Toc268599010"/>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257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tcPr>
          <w:p w14:paraId="18FE22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1331D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的实质性内容相背离。</w:t>
            </w:r>
          </w:p>
        </w:tc>
      </w:tr>
    </w:tbl>
    <w:p w14:paraId="68028981">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A6B00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225EF0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0064DD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033A1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及有关法律、法规、规章规定的内容，双方达成如下协议：</w:t>
      </w:r>
    </w:p>
    <w:p w14:paraId="6579BC3B">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7"/>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1270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vAlign w:val="center"/>
          </w:tcPr>
          <w:p w14:paraId="2A060C6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vAlign w:val="center"/>
          </w:tcPr>
          <w:p w14:paraId="18AD522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vAlign w:val="center"/>
          </w:tcPr>
          <w:p w14:paraId="46BA316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vAlign w:val="center"/>
          </w:tcPr>
          <w:p w14:paraId="4500FE7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vAlign w:val="center"/>
          </w:tcPr>
          <w:p w14:paraId="2AA9C96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vAlign w:val="center"/>
          </w:tcPr>
          <w:p w14:paraId="60989D57">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0014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2921149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F0D13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602865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645F4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282AAD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71C033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3228AA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1ED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00A716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D11EB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5F8F56D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6E26B0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3962553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56B79D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764710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3A2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0B9E95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2464A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6E878A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72E565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4FDA83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746A281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39DFFE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A38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tcPr>
          <w:p w14:paraId="5578D4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7EEC9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tcPr>
          <w:p w14:paraId="1684F9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tcPr>
          <w:p w14:paraId="3FC840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tcPr>
          <w:p w14:paraId="0756482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tcPr>
          <w:p w14:paraId="5A541D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tcPr>
          <w:p w14:paraId="4D9C10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0476D0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46B929B2">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1CA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1775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CF5A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9E8A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3960070C">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635AB940">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C89976">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9FEAB8">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03085B08">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7690BE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6C0CD2C4">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72EA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042BDC02">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7FED65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770100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2AFA27C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14980B0C">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B53057">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5AEB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67C784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52E085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2AB9C7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61B536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02FA46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92E6C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3BFAF2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248DD9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4C8EE0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105CDAC1">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（含修正和补充文件）以及相关的澄清确认函件（如有）均为本合同组成文件。</w:t>
      </w:r>
    </w:p>
    <w:p w14:paraId="222899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240A5D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02ECD5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66F4AC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3A95D7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95A4A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69F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541DD2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16CB1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09CEAB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783023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67B70E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60A64CE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56"/>
      <w:bookmarkStart w:id="57" w:name="_Toc268599011"/>
    </w:p>
    <w:p w14:paraId="1793F7D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930114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E73E5D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AB6905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C6E9FF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BFD7C4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FF8075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72A16B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224905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E816013">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0A8C61D">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ED4989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BC41FF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A6F638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3A074A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91AB4C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7D4C74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9FC7AC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0C2632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2F7EE1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6090B7AA">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BEB104E">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7F8B03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D689694">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23F5C05">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9F465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w:t>
      </w:r>
      <w:r>
        <w:rPr>
          <w:rFonts w:hint="eastAsia" w:ascii="宋体" w:hAnsi="宋体" w:cs="宋体"/>
          <w:b/>
          <w:bCs/>
          <w:color w:val="000000" w:themeColor="text1"/>
          <w:sz w:val="32"/>
          <w:szCs w:val="32"/>
          <w:highlight w:val="none"/>
          <w:lang w:eastAsia="zh-CN"/>
          <w14:textFill>
            <w14:solidFill>
              <w14:schemeClr w14:val="tx1"/>
            </w14:solidFill>
          </w14:textFill>
        </w:rPr>
        <w:t>磋商响应文件</w:t>
      </w:r>
      <w:r>
        <w:rPr>
          <w:rFonts w:hint="eastAsia" w:ascii="宋体" w:hAnsi="宋体" w:eastAsia="宋体" w:cs="宋体"/>
          <w:b/>
          <w:bCs/>
          <w:color w:val="000000" w:themeColor="text1"/>
          <w:sz w:val="32"/>
          <w:szCs w:val="32"/>
          <w:highlight w:val="none"/>
          <w14:textFill>
            <w14:solidFill>
              <w14:schemeClr w14:val="tx1"/>
            </w14:solidFill>
          </w14:textFill>
        </w:rPr>
        <w:t>格式</w:t>
      </w:r>
      <w:bookmarkEnd w:id="57"/>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3EC5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5324F8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1CD5E3CA">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格式》是</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的部分</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格式和签订合同时所需文件的格式。</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应参照这些格式文件制作</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w:t>
            </w:r>
          </w:p>
        </w:tc>
      </w:tr>
    </w:tbl>
    <w:p w14:paraId="0325470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D06011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5F6A04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FE2539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21DBB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AE3627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7C753BF">
      <w:pPr>
        <w:spacing w:line="360" w:lineRule="auto"/>
        <w:jc w:val="center"/>
        <w:rPr>
          <w:rFonts w:hint="eastAsia" w:ascii="宋体" w:hAnsi="宋体"/>
          <w:b/>
          <w:color w:val="000000" w:themeColor="text1"/>
          <w:sz w:val="72"/>
          <w:highlight w:val="none"/>
          <w14:textFill>
            <w14:solidFill>
              <w14:schemeClr w14:val="tx1"/>
            </w14:solidFill>
          </w14:textFill>
        </w:rPr>
      </w:pPr>
    </w:p>
    <w:p w14:paraId="009FA060">
      <w:pPr>
        <w:spacing w:line="360" w:lineRule="auto"/>
        <w:jc w:val="center"/>
        <w:rPr>
          <w:rFonts w:hint="eastAsia" w:ascii="宋体" w:hAnsi="宋体"/>
          <w:b/>
          <w:color w:val="000000" w:themeColor="text1"/>
          <w:sz w:val="72"/>
          <w:highlight w:val="none"/>
          <w14:textFill>
            <w14:solidFill>
              <w14:schemeClr w14:val="tx1"/>
            </w14:solidFill>
          </w14:textFill>
        </w:rPr>
      </w:pPr>
    </w:p>
    <w:p w14:paraId="2519B28B">
      <w:pPr>
        <w:spacing w:line="360" w:lineRule="auto"/>
        <w:jc w:val="center"/>
        <w:rPr>
          <w:rFonts w:hint="eastAsia" w:ascii="宋体" w:hAnsi="宋体"/>
          <w:b/>
          <w:color w:val="000000" w:themeColor="text1"/>
          <w:sz w:val="72"/>
          <w:highlight w:val="none"/>
          <w14:textFill>
            <w14:solidFill>
              <w14:schemeClr w14:val="tx1"/>
            </w14:solidFill>
          </w14:textFill>
        </w:rPr>
      </w:pPr>
    </w:p>
    <w:p w14:paraId="7818D750">
      <w:pPr>
        <w:spacing w:line="360" w:lineRule="auto"/>
        <w:jc w:val="center"/>
        <w:rPr>
          <w:rFonts w:hint="eastAsia" w:ascii="宋体" w:hAnsi="宋体"/>
          <w:b/>
          <w:color w:val="000000" w:themeColor="text1"/>
          <w:sz w:val="72"/>
          <w:highlight w:val="none"/>
          <w14:textFill>
            <w14:solidFill>
              <w14:schemeClr w14:val="tx1"/>
            </w14:solidFill>
          </w14:textFill>
        </w:rPr>
      </w:pPr>
    </w:p>
    <w:p w14:paraId="64EEE1D0">
      <w:pPr>
        <w:spacing w:line="360" w:lineRule="auto"/>
        <w:jc w:val="center"/>
        <w:rPr>
          <w:rFonts w:hint="eastAsia" w:ascii="宋体" w:hAnsi="宋体"/>
          <w:b/>
          <w:color w:val="000000" w:themeColor="text1"/>
          <w:sz w:val="72"/>
          <w:highlight w:val="none"/>
          <w14:textFill>
            <w14:solidFill>
              <w14:schemeClr w14:val="tx1"/>
            </w14:solidFill>
          </w14:textFill>
        </w:rPr>
      </w:pPr>
    </w:p>
    <w:p w14:paraId="0ACB9BF3">
      <w:pPr>
        <w:spacing w:line="360" w:lineRule="auto"/>
        <w:jc w:val="center"/>
        <w:rPr>
          <w:rFonts w:hint="eastAsia" w:ascii="宋体" w:hAnsi="宋体"/>
          <w:b/>
          <w:color w:val="000000" w:themeColor="text1"/>
          <w:sz w:val="72"/>
          <w:highlight w:val="none"/>
          <w14:textFill>
            <w14:solidFill>
              <w14:schemeClr w14:val="tx1"/>
            </w14:solidFill>
          </w14:textFill>
        </w:rPr>
      </w:pPr>
    </w:p>
    <w:p w14:paraId="1E681704">
      <w:pPr>
        <w:spacing w:line="360" w:lineRule="auto"/>
        <w:jc w:val="center"/>
        <w:rPr>
          <w:rFonts w:hint="eastAsia" w:ascii="宋体" w:hAnsi="宋体"/>
          <w:b/>
          <w:color w:val="000000" w:themeColor="text1"/>
          <w:sz w:val="72"/>
          <w:highlight w:val="none"/>
          <w14:textFill>
            <w14:solidFill>
              <w14:schemeClr w14:val="tx1"/>
            </w14:solidFill>
          </w14:textFill>
        </w:rPr>
      </w:pPr>
    </w:p>
    <w:p w14:paraId="164C323E">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60D58083">
      <w:pPr>
        <w:spacing w:line="360" w:lineRule="auto"/>
        <w:jc w:val="center"/>
        <w:rPr>
          <w:rFonts w:hint="eastAsia" w:ascii="宋体" w:hAnsi="宋体" w:eastAsia="宋体"/>
          <w:b/>
          <w:color w:val="000000" w:themeColor="text1"/>
          <w:sz w:val="72"/>
          <w:highlight w:val="none"/>
          <w:lang w:eastAsia="zh-CN"/>
          <w14:textFill>
            <w14:solidFill>
              <w14:schemeClr w14:val="tx1"/>
            </w14:solidFill>
          </w14:textFill>
        </w:rPr>
      </w:pPr>
      <w:r>
        <w:rPr>
          <w:rFonts w:hint="eastAsia" w:ascii="宋体" w:hAnsi="宋体"/>
          <w:b/>
          <w:color w:val="000000" w:themeColor="text1"/>
          <w:sz w:val="72"/>
          <w:highlight w:val="none"/>
          <w:lang w:eastAsia="zh-CN"/>
          <w14:textFill>
            <w14:solidFill>
              <w14:schemeClr w14:val="tx1"/>
            </w14:solidFill>
          </w14:textFill>
        </w:rPr>
        <w:t>磋商响应文件</w:t>
      </w:r>
    </w:p>
    <w:p w14:paraId="3118F362">
      <w:pPr>
        <w:spacing w:line="360" w:lineRule="auto"/>
        <w:rPr>
          <w:rFonts w:hint="eastAsia" w:ascii="宋体" w:hAnsi="宋体"/>
          <w:b/>
          <w:color w:val="000000" w:themeColor="text1"/>
          <w:sz w:val="36"/>
          <w:highlight w:val="none"/>
          <w14:textFill>
            <w14:solidFill>
              <w14:schemeClr w14:val="tx1"/>
            </w14:solidFill>
          </w14:textFill>
        </w:rPr>
      </w:pPr>
    </w:p>
    <w:p w14:paraId="671C9AD1">
      <w:pPr>
        <w:spacing w:line="360" w:lineRule="auto"/>
        <w:jc w:val="center"/>
        <w:rPr>
          <w:rFonts w:hint="eastAsia" w:ascii="宋体" w:hAnsi="宋体"/>
          <w:b/>
          <w:color w:val="000000" w:themeColor="text1"/>
          <w:sz w:val="36"/>
          <w:highlight w:val="none"/>
          <w14:textFill>
            <w14:solidFill>
              <w14:schemeClr w14:val="tx1"/>
            </w14:solidFill>
          </w14:textFill>
        </w:rPr>
      </w:pPr>
    </w:p>
    <w:p w14:paraId="4A67DC70">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04586F1A">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7865BF46">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5B49FA6C">
      <w:pPr>
        <w:spacing w:line="360" w:lineRule="auto"/>
        <w:rPr>
          <w:rFonts w:hint="eastAsia" w:ascii="宋体" w:hAnsi="宋体"/>
          <w:b/>
          <w:color w:val="000000" w:themeColor="text1"/>
          <w:sz w:val="36"/>
          <w:highlight w:val="none"/>
          <w14:textFill>
            <w14:solidFill>
              <w14:schemeClr w14:val="tx1"/>
            </w14:solidFill>
          </w14:textFill>
        </w:rPr>
      </w:pPr>
    </w:p>
    <w:p w14:paraId="4713D98D">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lang w:eastAsia="zh-CN"/>
          <w14:textFill>
            <w14:solidFill>
              <w14:schemeClr w14:val="tx1"/>
            </w14:solidFill>
          </w14:textFill>
        </w:rPr>
        <w:t>供应商</w:t>
      </w:r>
      <w:r>
        <w:rPr>
          <w:rFonts w:hint="eastAsia" w:ascii="宋体" w:hAnsi="宋体"/>
          <w:b/>
          <w:color w:val="000000" w:themeColor="text1"/>
          <w:sz w:val="36"/>
          <w:highlight w:val="none"/>
          <w14:textFill>
            <w14:solidFill>
              <w14:schemeClr w14:val="tx1"/>
            </w14:solidFill>
          </w14:textFill>
        </w:rPr>
        <w:t>名称 ：</w:t>
      </w:r>
      <w:r>
        <w:rPr>
          <w:rFonts w:hint="eastAsia" w:ascii="宋体" w:hAnsi="宋体"/>
          <w:b/>
          <w:color w:val="000000" w:themeColor="text1"/>
          <w:sz w:val="36"/>
          <w:highlight w:val="none"/>
          <w:u w:val="single"/>
          <w14:textFill>
            <w14:solidFill>
              <w14:schemeClr w14:val="tx1"/>
            </w14:solidFill>
          </w14:textFill>
        </w:rPr>
        <w:t xml:space="preserve">               </w:t>
      </w:r>
    </w:p>
    <w:p w14:paraId="12F49C5D">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426F3A2E">
      <w:pPr>
        <w:spacing w:line="360" w:lineRule="auto"/>
        <w:rPr>
          <w:rFonts w:hint="eastAsia" w:ascii="宋体" w:hAnsi="宋体"/>
          <w:b/>
          <w:color w:val="000000" w:themeColor="text1"/>
          <w:sz w:val="36"/>
          <w:highlight w:val="none"/>
          <w14:textFill>
            <w14:solidFill>
              <w14:schemeClr w14:val="tx1"/>
            </w14:solidFill>
          </w14:textFill>
        </w:rPr>
      </w:pPr>
    </w:p>
    <w:p w14:paraId="729396F0">
      <w:pPr>
        <w:spacing w:line="360" w:lineRule="auto"/>
        <w:rPr>
          <w:rFonts w:hint="eastAsia" w:ascii="宋体" w:hAnsi="宋体"/>
          <w:b/>
          <w:color w:val="000000" w:themeColor="text1"/>
          <w:sz w:val="36"/>
          <w:highlight w:val="none"/>
          <w14:textFill>
            <w14:solidFill>
              <w14:schemeClr w14:val="tx1"/>
            </w14:solidFill>
          </w14:textFill>
        </w:rPr>
      </w:pPr>
    </w:p>
    <w:p w14:paraId="3DC8D405">
      <w:pPr>
        <w:spacing w:line="360" w:lineRule="auto"/>
        <w:rPr>
          <w:rFonts w:hint="eastAsia" w:ascii="宋体" w:hAnsi="宋体"/>
          <w:b/>
          <w:color w:val="000000" w:themeColor="text1"/>
          <w:sz w:val="36"/>
          <w:highlight w:val="none"/>
          <w14:textFill>
            <w14:solidFill>
              <w14:schemeClr w14:val="tx1"/>
            </w14:solidFill>
          </w14:textFill>
        </w:rPr>
      </w:pPr>
    </w:p>
    <w:p w14:paraId="13204AEC">
      <w:pPr>
        <w:spacing w:line="360" w:lineRule="auto"/>
        <w:rPr>
          <w:rFonts w:hint="eastAsia" w:ascii="宋体" w:hAnsi="宋体"/>
          <w:b/>
          <w:color w:val="000000" w:themeColor="text1"/>
          <w:sz w:val="36"/>
          <w:highlight w:val="none"/>
          <w14:textFill>
            <w14:solidFill>
              <w14:schemeClr w14:val="tx1"/>
            </w14:solidFill>
          </w14:textFill>
        </w:rPr>
      </w:pPr>
    </w:p>
    <w:p w14:paraId="54401007">
      <w:pPr>
        <w:spacing w:line="360" w:lineRule="auto"/>
        <w:rPr>
          <w:rFonts w:hint="eastAsia" w:ascii="宋体" w:hAnsi="宋体"/>
          <w:b/>
          <w:color w:val="000000" w:themeColor="text1"/>
          <w:sz w:val="36"/>
          <w:highlight w:val="none"/>
          <w14:textFill>
            <w14:solidFill>
              <w14:schemeClr w14:val="tx1"/>
            </w14:solidFill>
          </w14:textFill>
        </w:rPr>
      </w:pPr>
    </w:p>
    <w:p w14:paraId="15F26F56">
      <w:pPr>
        <w:spacing w:line="360" w:lineRule="auto"/>
        <w:rPr>
          <w:rFonts w:hint="eastAsia" w:ascii="宋体" w:hAnsi="宋体"/>
          <w:b/>
          <w:color w:val="000000" w:themeColor="text1"/>
          <w:sz w:val="36"/>
          <w:highlight w:val="none"/>
          <w14:textFill>
            <w14:solidFill>
              <w14:schemeClr w14:val="tx1"/>
            </w14:solidFill>
          </w14:textFill>
        </w:rPr>
      </w:pPr>
    </w:p>
    <w:p w14:paraId="3B18D139">
      <w:pPr>
        <w:pStyle w:val="7"/>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34255B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6EB3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47BB4B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2453A7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724C0B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075E6B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559EDD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36D3BDD1">
      <w:pPr>
        <w:pStyle w:val="2"/>
        <w:jc w:val="left"/>
        <w:rPr>
          <w:rFonts w:hint="eastAsia"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服务人员配备表</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服务人员履历表</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服务承诺质量承诺书</w:t>
      </w:r>
    </w:p>
    <w:p w14:paraId="5B3F165D">
      <w:pPr>
        <w:pStyle w:val="2"/>
        <w:rPr>
          <w:rFonts w:hint="eastAsia"/>
          <w:color w:val="000000" w:themeColor="text1"/>
          <w:highlight w:val="none"/>
          <w14:textFill>
            <w14:solidFill>
              <w14:schemeClr w14:val="tx1"/>
            </w14:solidFill>
          </w14:textFill>
        </w:rPr>
      </w:pPr>
    </w:p>
    <w:p w14:paraId="3B9305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的资格证明文件</w:t>
      </w:r>
    </w:p>
    <w:p w14:paraId="60159E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406A0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466CD6DE">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22DD9B5C">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282DBA62">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40E17A6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E6D277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22CAE6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2DF28A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3D05111">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6B9CA4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D1D449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93525C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01AD78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7FF8A35">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C1ACE30">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A7B3232">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6A570D4">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6753E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93C7E0C">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607C35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F71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6DE6A46E">
      <w:pPr>
        <w:pStyle w:val="9"/>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BB663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795D1DA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704C3C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59EBFBD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780A25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52B8BFF5">
      <w:pPr>
        <w:pStyle w:val="2"/>
        <w:spacing w:line="360" w:lineRule="auto"/>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服务人员配备表、服务人员履历表、服务承诺质量承诺书</w:t>
      </w:r>
    </w:p>
    <w:p w14:paraId="02F893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资格证明文件</w:t>
      </w:r>
    </w:p>
    <w:p w14:paraId="43791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8</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C400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2A573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77988195">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074FED5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已详细审查全部采购文件，包括修改文件（如有的话）以及全部参考资料和有关附件，将自行承担因对全部采购文件理解不正确或误解而产生的相应后果。</w:t>
      </w:r>
    </w:p>
    <w:p w14:paraId="1F7F2451">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5AE9027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将按采购文件的规定履行合同责任和义务。</w:t>
      </w:r>
    </w:p>
    <w:p w14:paraId="4F57E2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报价有效期：在采购文件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须知前附表所规定的期限内保持有效。</w:t>
      </w:r>
    </w:p>
    <w:p w14:paraId="5C7125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须知第12条所述情况，则同意采购代理机构不予退还磋商保证金。</w:t>
      </w:r>
    </w:p>
    <w:p w14:paraId="7AF44E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同意按照采购单位要求提供与其磋商响应有关的一切数据或资料，完全理解贵方不一定要接受最低的报价或收到的任何磋商响应。</w:t>
      </w:r>
    </w:p>
    <w:p w14:paraId="09BFD9BD">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24288E6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D26E0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D844D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810297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493D5E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043ABFAD">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6ABAB89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0C18F12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009064C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B04320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D0F1C4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856E6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9AC1F9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8A56EA9">
      <w:pPr>
        <w:pStyle w:val="71"/>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365406DE">
      <w:pPr>
        <w:pStyle w:val="71"/>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5307E8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               采购项目编号∶                       货币单位：</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32E4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vAlign w:val="center"/>
          </w:tcPr>
          <w:p w14:paraId="0B8CC7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vAlign w:val="center"/>
          </w:tcPr>
          <w:p w14:paraId="0CC03B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7ED623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vAlign w:val="center"/>
          </w:tcPr>
          <w:p w14:paraId="5BDA86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vAlign w:val="center"/>
          </w:tcPr>
          <w:p w14:paraId="5F1332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vAlign w:val="center"/>
          </w:tcPr>
          <w:p w14:paraId="44FA38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vAlign w:val="center"/>
          </w:tcPr>
          <w:p w14:paraId="56E6C2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3BF6CD5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D248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588DDC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7EBBE9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F70F3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12C9DC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0D9EDE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6D4ABC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60FC8D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0CBE9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30D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14:paraId="36D6BF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vAlign w:val="center"/>
          </w:tcPr>
          <w:p w14:paraId="6D0E41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83E7F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vAlign w:val="center"/>
          </w:tcPr>
          <w:p w14:paraId="06C5C4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vAlign w:val="center"/>
          </w:tcPr>
          <w:p w14:paraId="5EBB7B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vAlign w:val="center"/>
          </w:tcPr>
          <w:p w14:paraId="3F75D8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tcPr>
          <w:p w14:paraId="44751B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4E944F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5C1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27DE4E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tcPr>
          <w:p w14:paraId="676A67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B31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2ADC46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tcPr>
          <w:p w14:paraId="2B0B25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5B98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4AB435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tcPr>
          <w:p w14:paraId="1B4A45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C57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vAlign w:val="center"/>
          </w:tcPr>
          <w:p w14:paraId="6E88D0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tcPr>
          <w:p w14:paraId="0F6AEA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2F356C3">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正本和磋商保证金凭证复印件一同装在一单独的信封内密封。</w:t>
      </w:r>
    </w:p>
    <w:p w14:paraId="0A8D7B16">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6FB1C194">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应计算出该合同包的合计价。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0FBB02">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EF1E1C3">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3E321E0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28BB9557">
      <w:pPr>
        <w:pStyle w:val="3"/>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970B044">
      <w:pPr>
        <w:pStyle w:val="3"/>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790C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tcPr>
          <w:p w14:paraId="5A1053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tcPr>
          <w:p w14:paraId="06491E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tcPr>
          <w:p w14:paraId="763C971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36C944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DC6A0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48646D1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2972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tcPr>
          <w:p w14:paraId="381582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tcPr>
          <w:p w14:paraId="5E77B2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1FC577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2DA1499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FA03B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552E79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25B5E2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843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4A8414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tcPr>
          <w:p w14:paraId="141564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tcPr>
          <w:p w14:paraId="3EF36F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6F8AC2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AD03D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03EB691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3A5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E9EE6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tcPr>
          <w:p w14:paraId="102CC0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tcPr>
          <w:p w14:paraId="527B72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4C9440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50B7010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1CA058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459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577D69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tcPr>
          <w:p w14:paraId="5DF2E96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tcPr>
          <w:p w14:paraId="07B9F5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E17203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27E28C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12EA03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72A8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220BD8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tcPr>
          <w:p w14:paraId="7B23410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tcPr>
          <w:p w14:paraId="6D1677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5468D9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06CA2D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7CF4E65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639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011ECA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tcPr>
          <w:p w14:paraId="13FB8D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tcPr>
          <w:p w14:paraId="7DC11F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307982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1E954A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31CB50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A24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tcPr>
          <w:p w14:paraId="0260BF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tcPr>
          <w:p w14:paraId="5BF034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tcPr>
          <w:p w14:paraId="1B1DBA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tcPr>
          <w:p w14:paraId="6CEDCA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Pr>
          <w:p w14:paraId="28B7B0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tcPr>
          <w:p w14:paraId="52D65C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114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4BE98F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vAlign w:val="center"/>
          </w:tcPr>
          <w:p w14:paraId="0D640D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vAlign w:val="center"/>
          </w:tcPr>
          <w:p w14:paraId="420A61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36D2A37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336CB2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6B2A529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B3E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045459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vAlign w:val="center"/>
          </w:tcPr>
          <w:p w14:paraId="6A0B08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vAlign w:val="center"/>
          </w:tcPr>
          <w:p w14:paraId="5AA0FCD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69B640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0B3453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2E00BD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9669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vAlign w:val="center"/>
          </w:tcPr>
          <w:p w14:paraId="364AA6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vAlign w:val="center"/>
          </w:tcPr>
          <w:p w14:paraId="4A68AD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vAlign w:val="center"/>
          </w:tcPr>
          <w:p w14:paraId="2D0DCF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vAlign w:val="center"/>
          </w:tcPr>
          <w:p w14:paraId="59BB89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vAlign w:val="center"/>
          </w:tcPr>
          <w:p w14:paraId="7A10E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vAlign w:val="center"/>
          </w:tcPr>
          <w:p w14:paraId="2AA0801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64892248">
      <w:pPr>
        <w:spacing w:line="360" w:lineRule="auto"/>
        <w:rPr>
          <w:rFonts w:hint="default"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val="en-US" w:eastAsia="zh-CN"/>
          <w14:textFill>
            <w14:solidFill>
              <w14:schemeClr w14:val="tx1"/>
            </w14:solidFill>
          </w14:textFill>
        </w:rPr>
        <w:t>供应商可以按照上述格式进行分项报价，也可以自行拟定格式进行分项报价。</w:t>
      </w:r>
    </w:p>
    <w:p w14:paraId="12366854">
      <w:pPr>
        <w:pStyle w:val="71"/>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3095F5C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22D8B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2B2167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6CCC97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7C04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                                    采购项目编号∶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40D6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vAlign w:val="center"/>
          </w:tcPr>
          <w:p w14:paraId="368FA5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vAlign w:val="center"/>
          </w:tcPr>
          <w:p w14:paraId="2C2E00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vAlign w:val="center"/>
          </w:tcPr>
          <w:p w14:paraId="6B14EC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vAlign w:val="center"/>
          </w:tcPr>
          <w:p w14:paraId="28834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vAlign w:val="center"/>
          </w:tcPr>
          <w:p w14:paraId="01CBFC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vAlign w:val="center"/>
          </w:tcPr>
          <w:p w14:paraId="1668B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vAlign w:val="center"/>
          </w:tcPr>
          <w:p w14:paraId="5A0E0F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tcPr>
          <w:p w14:paraId="74D9A7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61E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tcPr>
          <w:p w14:paraId="40DBE4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3A7868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730619">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09613AD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295760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213BDC77">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4FAE586C">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3E6CFDB6">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5AB17DC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DA038A9">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892FF6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6096D6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08DC8E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63553D0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3B8D398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71807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vAlign w:val="center"/>
          </w:tcPr>
          <w:p w14:paraId="44E059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vAlign w:val="center"/>
          </w:tcPr>
          <w:p w14:paraId="14D6EA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3121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vAlign w:val="center"/>
          </w:tcPr>
          <w:p w14:paraId="07AD1D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vAlign w:val="center"/>
          </w:tcPr>
          <w:p w14:paraId="0D1BBF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vAlign w:val="center"/>
          </w:tcPr>
          <w:p w14:paraId="75C2BC2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vAlign w:val="center"/>
          </w:tcPr>
          <w:p w14:paraId="4F4F72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vAlign w:val="center"/>
          </w:tcPr>
          <w:p w14:paraId="328BC5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vAlign w:val="center"/>
          </w:tcPr>
          <w:p w14:paraId="46699A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vAlign w:val="center"/>
          </w:tcPr>
          <w:p w14:paraId="2F55C7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41B51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778BD3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D914F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01B91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4F1F55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0AC793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71EC74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6CD1FE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08B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7074C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0B57B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121425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404645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60D9CE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4BA4F8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5A6C99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A81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tcPr>
          <w:p w14:paraId="5C07C6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5CFF6E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tcPr>
          <w:p w14:paraId="7F89A9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tcPr>
          <w:p w14:paraId="6F43FC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tcPr>
          <w:p w14:paraId="6CE1CC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tcPr>
          <w:p w14:paraId="4A4859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tcPr>
          <w:p w14:paraId="2803C1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8A34C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根据采购要求逐条说明磋商响应情况。</w:t>
      </w:r>
    </w:p>
    <w:p w14:paraId="1D6D1EB3">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必须自行承担责任</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597AEC4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F1832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B727B49">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6975304F">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4CF50E7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0A100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vAlign w:val="center"/>
          </w:tcPr>
          <w:p w14:paraId="76659462">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vAlign w:val="center"/>
          </w:tcPr>
          <w:p w14:paraId="238A7D3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vAlign w:val="center"/>
          </w:tcPr>
          <w:p w14:paraId="3F03004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1579FC1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AF0AE6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0274236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vAlign w:val="center"/>
          </w:tcPr>
          <w:p w14:paraId="2E0A229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vAlign w:val="center"/>
          </w:tcPr>
          <w:p w14:paraId="6664C06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6C2810B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9BC1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vAlign w:val="center"/>
          </w:tcPr>
          <w:p w14:paraId="3CF0B58A">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vAlign w:val="center"/>
          </w:tcPr>
          <w:p w14:paraId="1D457562">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vAlign w:val="center"/>
          </w:tcPr>
          <w:p w14:paraId="45874D3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5FCEA91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46477D34">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vAlign w:val="center"/>
          </w:tcPr>
          <w:p w14:paraId="2C2F386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vAlign w:val="center"/>
          </w:tcPr>
          <w:p w14:paraId="453A8F4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3062CA4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vAlign w:val="center"/>
          </w:tcPr>
          <w:p w14:paraId="78E98C7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2C2CC5E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vAlign w:val="center"/>
          </w:tcPr>
          <w:p w14:paraId="34CE163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vAlign w:val="center"/>
          </w:tcPr>
          <w:p w14:paraId="0EA51C6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7B2ED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412948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21654A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10BD2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58F11E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765CB3D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11728A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34B63B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0C9E453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01F2C6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150FCC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9923C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tcPr>
          <w:p w14:paraId="47D0F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tcPr>
          <w:p w14:paraId="712349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46712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46A635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7A2835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tcPr>
          <w:p w14:paraId="3A634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063CF98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tcPr>
          <w:p w14:paraId="4E08842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tcPr>
          <w:p w14:paraId="6C7C28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tcPr>
          <w:p w14:paraId="171110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031E2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tcPr>
          <w:p w14:paraId="291C204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tcPr>
          <w:p w14:paraId="19EBD6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0D4E10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188DD72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63135F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tcPr>
          <w:p w14:paraId="5D7DA32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5FE2B5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tcPr>
          <w:p w14:paraId="2D0819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tcPr>
          <w:p w14:paraId="7351CAB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tcPr>
          <w:p w14:paraId="127D1F2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0457F076">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B9804F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5BC583E">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2547851C">
      <w:pPr>
        <w:pStyle w:val="5"/>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7C64F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vAlign w:val="center"/>
          </w:tcPr>
          <w:p w14:paraId="4A69E86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vAlign w:val="center"/>
          </w:tcPr>
          <w:p w14:paraId="7929EE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vAlign w:val="center"/>
          </w:tcPr>
          <w:p w14:paraId="49D492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vAlign w:val="center"/>
          </w:tcPr>
          <w:p w14:paraId="04DBC2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vAlign w:val="center"/>
          </w:tcPr>
          <w:p w14:paraId="405E10A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vAlign w:val="center"/>
          </w:tcPr>
          <w:p w14:paraId="5EEC0A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09782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EA6AC1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4EE9D4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7497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23748A4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762421D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4B237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37ECD4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46DCD6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012F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vAlign w:val="center"/>
          </w:tcPr>
          <w:p w14:paraId="5A0C2E2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vAlign w:val="center"/>
          </w:tcPr>
          <w:p w14:paraId="5F8B6C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437D2C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vAlign w:val="center"/>
          </w:tcPr>
          <w:p w14:paraId="7149E62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vAlign w:val="center"/>
          </w:tcPr>
          <w:p w14:paraId="30DF3B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vAlign w:val="center"/>
          </w:tcPr>
          <w:p w14:paraId="3F88F0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4F9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vAlign w:val="center"/>
          </w:tcPr>
          <w:p w14:paraId="5AFD39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vAlign w:val="center"/>
          </w:tcPr>
          <w:p w14:paraId="5B3E1DA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vAlign w:val="center"/>
          </w:tcPr>
          <w:p w14:paraId="49844B6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vAlign w:val="center"/>
          </w:tcPr>
          <w:p w14:paraId="0ED1DE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vAlign w:val="center"/>
          </w:tcPr>
          <w:p w14:paraId="1AE119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vAlign w:val="center"/>
          </w:tcPr>
          <w:p w14:paraId="3BCAC3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102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vAlign w:val="center"/>
          </w:tcPr>
          <w:p w14:paraId="328856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vAlign w:val="center"/>
          </w:tcPr>
          <w:p w14:paraId="740D38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8557F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EC770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F4303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F02DE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4F6153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3805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206E1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5EA66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470B4D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A4127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EE7CF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C678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vAlign w:val="center"/>
          </w:tcPr>
          <w:p w14:paraId="41D97D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vAlign w:val="center"/>
          </w:tcPr>
          <w:p w14:paraId="5210DB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D7698A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58EF8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A26B387">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1C59FD4A">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14:textFill>
            <w14:solidFill>
              <w14:schemeClr w14:val="tx1"/>
            </w14:solidFill>
          </w14:textFill>
        </w:rPr>
        <w:t>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5ABA8C33">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B1CF0F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59EAA55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D22D71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B565D5C">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1029D0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vAlign w:val="center"/>
          </w:tcPr>
          <w:p w14:paraId="15ED9C62">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vAlign w:val="center"/>
          </w:tcPr>
          <w:p w14:paraId="5D715A79">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vAlign w:val="center"/>
          </w:tcPr>
          <w:p w14:paraId="79323DF7">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5504A4BE">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vAlign w:val="center"/>
          </w:tcPr>
          <w:p w14:paraId="4545605C">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19BCE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D9A9D60">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71FB4B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tcPr>
          <w:p w14:paraId="3DC449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5CC2B6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1CB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7DA3C86">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5B861A4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tcPr>
          <w:p w14:paraId="2476FF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7C07CA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CE1A8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6573D849">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0DABAC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tcPr>
          <w:p w14:paraId="642B9E4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7AC39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9FC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tcPr>
          <w:p w14:paraId="1677F6EB">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tcPr>
          <w:p w14:paraId="60C95E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tcPr>
          <w:p w14:paraId="0BB8DE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0CF9A0F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17E3E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27895BF">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vAlign w:val="center"/>
          </w:tcPr>
          <w:p w14:paraId="30A59E18">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tcPr>
          <w:p w14:paraId="4144B5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45037D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B184F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619B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24583C0A">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1AFEAA68">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226FC4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10764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3A4EB80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DD1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4C18E172">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49FF75C7">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3186E0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463066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71DCC3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0F71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3912AD1C">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6CE9AA57">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23BC1D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25D7BE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726BE2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C4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tcPr>
          <w:p w14:paraId="247C8D0B">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6DFEECD6">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tcPr>
          <w:p w14:paraId="6F0838F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tcPr>
          <w:p w14:paraId="7BFBE8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tcPr>
          <w:p w14:paraId="11EE828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36FA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tcPr>
          <w:p w14:paraId="73BC6CB1">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vAlign w:val="center"/>
          </w:tcPr>
          <w:p w14:paraId="5BA01DE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tcPr>
          <w:p w14:paraId="73531B1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tcPr>
          <w:p w14:paraId="76F01D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tcPr>
          <w:p w14:paraId="317917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63B93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7702B358">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DDF1AF">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57FE5B">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4FA2C2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1CF2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9C61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F467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7BAC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E53B08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2D15FA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F695FB8">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44579B0A">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0DF2B42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33DB83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Cs/>
          <w:color w:val="000000" w:themeColor="text1"/>
          <w:sz w:val="32"/>
          <w:szCs w:val="32"/>
          <w:highlight w:val="none"/>
          <w14:textFill>
            <w14:solidFill>
              <w14:schemeClr w14:val="tx1"/>
            </w14:solidFill>
          </w14:textFill>
        </w:rPr>
        <w:t>的资格证明文件</w:t>
      </w:r>
    </w:p>
    <w:p w14:paraId="7872EAC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62EAD4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178B3F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561E86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84019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中所有提交的文件和材料是真实的、准确的。</w:t>
      </w:r>
    </w:p>
    <w:p w14:paraId="1289F6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一同递交。</w:t>
      </w:r>
    </w:p>
    <w:p w14:paraId="69DE0E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D3848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D5F98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2C32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B21E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8644912">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0BD50E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D8F5BA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2FF796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0A0317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4ABA74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14:textFill>
            <w14:solidFill>
              <w14:schemeClr w14:val="tx1"/>
            </w14:solidFill>
          </w14:textFill>
        </w:rPr>
        <w:t>的资格声明</w:t>
      </w:r>
    </w:p>
    <w:p w14:paraId="4459E8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4A5D6A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概况：                                   </w:t>
      </w:r>
    </w:p>
    <w:p w14:paraId="2324BF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687741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4F39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66520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2A05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20D5CAA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5BF6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0CD2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54A47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A1347A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16D05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03DC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66F2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B59E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12C495A9">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B3D66A0">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57686C">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26407B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资格且我方的磋商保证金将不予退还。</w:t>
      </w:r>
    </w:p>
    <w:p w14:paraId="47E9AD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0E3A86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5670A1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518A84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0E1602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5CD09A6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F7E20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7582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35623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tcPr>
          <w:p w14:paraId="4890A7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tcPr>
          <w:p w14:paraId="35FF78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tcPr>
          <w:p w14:paraId="25EB92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tcPr>
          <w:p w14:paraId="23A80F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1DDDE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1C810F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5A0C6F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2E4541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5A5B8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34365A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647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C158C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54E20C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600115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0881E0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11C63D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F86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3D8A0B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0310C8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4F2447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1C32DF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7D3CE0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A3F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14:paraId="1A184C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tcPr>
          <w:p w14:paraId="62C5C8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tcPr>
          <w:p w14:paraId="59DF57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tcPr>
          <w:p w14:paraId="342A99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tcPr>
          <w:p w14:paraId="6986CF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6E73C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088F3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591F95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675F0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15ED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4623FC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66786C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1F4E3D2">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51A3AA5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42FB0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367473AE">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69C230">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6C9F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C6C1A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31325DF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8E119F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22F97D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71E1FA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7A7A0A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4EC9B0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091C9A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E40C52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78CB97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69016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6463CC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4A32B15">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3D5DD8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F55004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BCC34E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6C58A8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5FA4DE1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7AD7E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5CAA29C9">
      <w:pPr>
        <w:pStyle w:val="3"/>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；（2）签署并重新提交</w:t>
      </w:r>
      <w:r>
        <w:rPr>
          <w:rFonts w:hint="eastAsia" w:hAnsi="宋体" w:cs="宋体"/>
          <w:color w:val="000000" w:themeColor="text1"/>
          <w:sz w:val="24"/>
          <w:szCs w:val="24"/>
          <w:highlight w:val="none"/>
          <w:lang w:eastAsia="zh-CN"/>
          <w14:textFill>
            <w14:solidFill>
              <w14:schemeClr w14:val="tx1"/>
            </w14:solidFill>
          </w14:textFill>
        </w:rPr>
        <w:t>磋商响应文件</w:t>
      </w:r>
      <w:r>
        <w:rPr>
          <w:rFonts w:hint="eastAsia" w:hAnsi="宋体" w:eastAsia="宋体" w:cs="宋体"/>
          <w:color w:val="000000" w:themeColor="text1"/>
          <w:sz w:val="24"/>
          <w:szCs w:val="24"/>
          <w:highlight w:val="none"/>
          <w14:textFill>
            <w14:solidFill>
              <w14:schemeClr w14:val="tx1"/>
            </w14:solidFill>
          </w14:textFill>
        </w:rPr>
        <w:t>及报价；（3）退出磋商；（4）签订合同和处理有关事宜。</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代表在采购过程中所签署的一切文件和处理与之有关的一切事务，本公司均予以认可并对此承担责任。</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3BC5824D">
      <w:pPr>
        <w:pStyle w:val="3"/>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114F62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5BCA8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CA8262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29F2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9EFA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1C450B10">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23B03FF7">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411EB0">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37FBDDD">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A62A33E">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E828F9E">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72FEE09">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4B704E1">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C1A29BC">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5406B18">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AFCF12A">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4F0CAAF">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7FC1E9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E194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ABE5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3E05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1FA90C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5DE762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B5ACB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37BB6E">
      <w:pPr>
        <w:pStyle w:val="9"/>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36F527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9197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7F6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8952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2390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459DB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B240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7DF462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9F01C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8225E7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B40DBC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530143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362AA4C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3DF85A6">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83E06B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D44188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96C3E5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D939E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3AEFD30B">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F35B4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675C2D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CCEA9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070D52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DFE3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D09F3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BB2F6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60BF5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3B09E2">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B9863E">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02626D5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61C4DF">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7D002DD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7BCFC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DB0F7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F5E677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E1294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295AB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BC855B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3D17E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7D7AF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B2A2F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7F842D8F">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13BE49D5">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0637AB2B">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14B575A6">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FB40AE">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6CB3F6B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4"/>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19D2E9D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18B24C4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6C4901BC">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名称（盖章）：</w:t>
      </w:r>
    </w:p>
    <w:p w14:paraId="6C554375">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2CD9385C">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1DF16FE9">
      <w:pPr>
        <w:spacing w:line="360" w:lineRule="auto"/>
        <w:ind w:left="69" w:firstLine="460" w:firstLineChars="192"/>
        <w:rPr>
          <w:rStyle w:val="30"/>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5CA1C8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6BAF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1A65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16AE6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5507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0397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E057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0E14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77C4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39EE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25CD9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6AA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3856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D4FB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3BA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DBACD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2E7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D7C4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F299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0EB4F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21BC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1068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9B787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D31F9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26ADB3">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74149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51C53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tc>
        <w:tc>
          <w:tcPr>
            <w:tcW w:w="4742" w:type="dxa"/>
          </w:tcPr>
          <w:p w14:paraId="7370EEE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989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729D92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tcPr>
          <w:p w14:paraId="13C2D78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4E6E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1BBFB8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tcPr>
          <w:p w14:paraId="5D9F5A0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75DA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59FA98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tcPr>
          <w:p w14:paraId="1EBBB53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251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4AC5B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tcPr>
          <w:p w14:paraId="7F3677F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07F1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00EF0B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tcPr>
          <w:p w14:paraId="6E3FDE7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C43E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64D931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tcPr>
          <w:p w14:paraId="0860066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B404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62C43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tcPr>
          <w:p w14:paraId="029AA73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2859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7F0709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tcPr>
          <w:p w14:paraId="1AD5B9A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0B43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14:paraId="3A6A7B2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tcPr>
          <w:p w14:paraId="35A6AE8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E05FB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自行负责。</w:t>
      </w:r>
    </w:p>
    <w:p w14:paraId="18AE39C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636B5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名称，加盖公章）</w:t>
      </w:r>
    </w:p>
    <w:p w14:paraId="18E46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6B8FD2C">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13ECFE7F">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74C23C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3ED1396">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0901FAD">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D7F3FAD">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1F131B3B">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57C7D4C0">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64181001">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227AAFF2">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20544117">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DED6498">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39292807">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0C4EC167">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12EC97B1">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11FB8E9E">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7C0EF60B">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2783976A">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A1AC90">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BF01E8">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F319532">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21CD0AB">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1AEBA15">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143F8E1">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60C1865">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02C3F4A">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9D13B20">
      <w:pPr>
        <w:pStyle w:val="23"/>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BFC1D67">
      <w:pPr>
        <w:pStyle w:val="23"/>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7"/>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E1DB19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94A001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vAlign w:val="center"/>
          </w:tcPr>
          <w:p w14:paraId="13D94E6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vAlign w:val="center"/>
          </w:tcPr>
          <w:p w14:paraId="5AB958E5">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vAlign w:val="center"/>
          </w:tcPr>
          <w:p w14:paraId="460A695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vAlign w:val="center"/>
          </w:tcPr>
          <w:p w14:paraId="500BCF9E">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3B2FF60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1BE5F1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tcPr>
          <w:p w14:paraId="330FB5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F780C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2D2B9E7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F20A92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604A5C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6A390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tcPr>
          <w:p w14:paraId="149940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7273403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2B849D0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BD5062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00998C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43EC05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tcPr>
          <w:p w14:paraId="599353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6A48C6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6F4155B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72FB68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F2DE75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837916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tcPr>
          <w:p w14:paraId="199F4FB5">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46743D9">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70E9EDB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ADBD7EB">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3D008C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1B00FA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tcPr>
          <w:p w14:paraId="504139A1">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FEFC4FD">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4B779BB2">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1C18C7A">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644FD054">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8B2AD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C94005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5C0AC1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956A73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C07EA9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CF9C3B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28D472">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F83DF0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9A6DDF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B77C2B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576FA6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6C12AB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498BB1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7EBED3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1D1873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4F4BF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3E86AA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163922A">
      <w:pPr>
        <w:pStyle w:val="76"/>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733F76D5">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0F0145E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09A6C15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05C78EB4">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1070F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76A24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tcPr>
          <w:p w14:paraId="024BDBF0">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0D563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16B1F24">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tcPr>
          <w:p w14:paraId="2822E05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tcPr>
          <w:p w14:paraId="0AF9B09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tcPr>
          <w:p w14:paraId="12EFD24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tcPr>
          <w:p w14:paraId="50AAE551">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tcPr>
          <w:p w14:paraId="79E5DFC3">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tcPr>
          <w:p w14:paraId="01E8685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1B34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565AC58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1F9DD2A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tcPr>
          <w:p w14:paraId="5D2AC7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65944A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3FEE7E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426250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150240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B90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39A83E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15D0392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29DFCC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7FAED8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57C3E8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01C1AE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7EFE26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28D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E4D4EE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tcPr>
          <w:p w14:paraId="14C16350">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5F1B9BD">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735CB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2646E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tcPr>
          <w:p w14:paraId="18F7C860">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5A714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F13987B">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tcPr>
          <w:p w14:paraId="6F29B5B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tcPr>
          <w:p w14:paraId="796A89E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tcPr>
          <w:p w14:paraId="05356A0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tcPr>
          <w:p w14:paraId="6A55942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tcPr>
          <w:p w14:paraId="0EA43526">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tcPr>
          <w:p w14:paraId="048E2834">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75F99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2165B0B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047FAB18">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tcPr>
          <w:p w14:paraId="0D7B51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4A6164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653E1F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2B53D5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370BDE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6D72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3DD2AA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2882AA43">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tcPr>
          <w:p w14:paraId="783C77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017078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tcPr>
          <w:p w14:paraId="017DDB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tcPr>
          <w:p w14:paraId="7A780E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tcPr>
          <w:p w14:paraId="41369C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702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5B9A80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tcPr>
          <w:p w14:paraId="5AFC2EB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F53FEE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3EE5C09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001E3AE">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6F48460B">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6B95C109">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6863DCC4">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39D9332C">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71160F5E">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6D40EB32">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1797914B">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E414C08">
      <w:pPr>
        <w:pStyle w:val="76"/>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6FED05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318A7391">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32D623E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44747B7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136A4866">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8D04D8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E2B514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AAB08C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31CBFC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297462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2C1CAC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32E47065">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C157DF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CE090D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137663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025BD3F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2BC344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2859D2D">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77ABA80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485EF6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DC0797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86FF77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15DB9EC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AB3BF7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09ECA5C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5E20676">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76EE49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0717008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35DAB34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A16407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p>
    <w:p w14:paraId="5E8B194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787AD5F">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0145FF54">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5899E9B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3E8540F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为监狱企业的，根据其提供的由省级以上监狱管理局、戒毒管理局（含新疆生产建设兵团）出具的属于监狱企业的证明文件进行认定，监狱企业视同小型、微型企业。</w:t>
      </w:r>
    </w:p>
    <w:p w14:paraId="5621870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为残疾人福利性单位的，根据其提供的《残疾人福利性单位声明函》（格式附后）进行认定，残疾人福利性单位视同小型、微型企业。残疾人福利性单位属于小型、微型企业的，不重复享受政策。</w:t>
      </w:r>
    </w:p>
    <w:p w14:paraId="5E386D2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77D599D5">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5F60D7F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参加贵单位的（填写“项目名称”）项目采购活动：</w:t>
      </w:r>
    </w:p>
    <w:p w14:paraId="2FF3FB0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w:t>
      </w:r>
    </w:p>
    <w:p w14:paraId="6AEE296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承建的（填写“所投采购包、品目号”）工程</w:t>
      </w:r>
    </w:p>
    <w:p w14:paraId="74B19A7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承接的（填写“所投采购包、品目号”）服务；</w:t>
      </w:r>
    </w:p>
    <w:p w14:paraId="1893D74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对上述声明的真实性负责。如有虚假，将依法承担相应责任。</w:t>
      </w:r>
    </w:p>
    <w:p w14:paraId="173F36B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42137F19">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按照实际情况编制填写本声明函，并在相应的（）中打“√”。</w:t>
      </w:r>
    </w:p>
    <w:p w14:paraId="57845BC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35799679">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7C491E3">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453434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5EF906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5FF79ABE">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41FDA390">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磋商响应文件</w:t>
      </w:r>
      <w:r>
        <w:rPr>
          <w:rFonts w:ascii="宋体" w:hAnsi="宋体" w:eastAsia="宋体" w:cs="宋体"/>
          <w:color w:val="000000" w:themeColor="text1"/>
          <w:sz w:val="24"/>
          <w:szCs w:val="24"/>
          <w:highlight w:val="none"/>
          <w14:textFill>
            <w14:solidFill>
              <w14:schemeClr w14:val="tx1"/>
            </w14:solidFill>
          </w14:textFill>
        </w:rPr>
        <w:t>中提供省级以上监狱管理局、戒毒管理局（含新疆生产建设兵团）出具的属于监狱企业的证明文件。</w:t>
      </w:r>
    </w:p>
    <w:p w14:paraId="0054136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274F462">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73741186">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2DD5F3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51FE645A">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F98FB2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690174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3A2A13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DB5BD6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E1F822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35B7AB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202414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AE9796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3F8E6D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2C734B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E5A24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91C72F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F79AC6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F445F9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806382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B56F4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275B71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9D8651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39133B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F1B486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229D4014">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51A385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1F1C49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0F2E7A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cs="宋体"/>
          <w:color w:val="000000" w:themeColor="text1"/>
          <w:sz w:val="24"/>
          <w:szCs w:val="24"/>
          <w:highlight w:val="none"/>
          <w:lang w:val="en-US" w:eastAsia="zh-CN"/>
          <w14:textFill>
            <w14:solidFill>
              <w14:schemeClr w14:val="tx1"/>
            </w14:solidFill>
          </w14:textFill>
        </w:rPr>
        <w:t>磋商响应文件</w:t>
      </w:r>
      <w:r>
        <w:rPr>
          <w:rFonts w:hint="eastAsia" w:ascii="宋体" w:hAnsi="宋体" w:eastAsia="宋体" w:cs="宋体"/>
          <w:color w:val="000000" w:themeColor="text1"/>
          <w:sz w:val="24"/>
          <w:szCs w:val="24"/>
          <w:highlight w:val="none"/>
          <w14:textFill>
            <w14:solidFill>
              <w14:schemeClr w14:val="tx1"/>
            </w14:solidFill>
          </w14:textFill>
        </w:rPr>
        <w:t>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71E32456">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7DA2D8E7">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17765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640EA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1F82A0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6A7D69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6C0A8C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3E6527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3EC77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BAA65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0000014">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6D23D9EC">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DC45B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3CF471D">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509A23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EF3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8C3A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7E33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1A8BD9">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6D056964">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25334B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695754F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4182B6C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66FE543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212DCF3C">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726EC18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06BA14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56E506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4DB7BF2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6755349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0C99561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0FD3646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68700F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23D701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3E4BD31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7C90D3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4A14AC42">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4FE216C">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1D9F16BB">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768168B3">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F347F8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04F0199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C10CC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的资格及资信文件，按资格审查不通过处理。</w:t>
      </w:r>
    </w:p>
    <w:p w14:paraId="33DACD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GLWRU+å®ä½">
    <w:altName w:val="方正甲骨文"/>
    <w:panose1 w:val="00000000000000000000"/>
    <w:charset w:val="00"/>
    <w:family w:val="auto"/>
    <w:pitch w:val="default"/>
    <w:sig w:usb0="00000000" w:usb1="00000000" w:usb2="00000000" w:usb3="00000000" w:csb0="00040001" w:csb1="00000000"/>
  </w:font>
  <w:font w:name="方正甲骨文">
    <w:panose1 w:val="02000500000000000000"/>
    <w:charset w:val="86"/>
    <w:family w:val="auto"/>
    <w:pitch w:val="default"/>
    <w:sig w:usb0="00000001" w:usb1="180F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B26E9">
    <w:pPr>
      <w:pStyle w:val="18"/>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D8599">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72</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02FB3">
    <w:pPr>
      <w:pStyle w:val="18"/>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1802A36">
    <w:pPr>
      <w:pStyle w:val="1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7E34D">
    <w:pPr>
      <w:pStyle w:val="18"/>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9FB50">
    <w:pPr>
      <w:pStyle w:val="18"/>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FF6F7">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85C8A54">
    <w:pPr>
      <w:pStyle w:val="18"/>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7242E">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0B8E0958">
    <w:pPr>
      <w:pStyle w:val="18"/>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E9817">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413DC93">
    <w:pPr>
      <w:pStyle w:val="18"/>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6D1AE">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69</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0D32C">
    <w:pPr>
      <w:pStyle w:val="1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16632">
    <w:pPr>
      <w:pStyle w:val="1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231D3">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70</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64A8">
    <w:pPr>
      <w:pStyle w:val="19"/>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3AAE7">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505F3">
    <w:pPr>
      <w:pStyle w:val="1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06426">
    <w:pPr>
      <w:pStyle w:val="1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03C3F">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0000001"/>
    <w:multiLevelType w:val="singleLevel"/>
    <w:tmpl w:val="00000001"/>
    <w:lvl w:ilvl="0" w:tentative="0">
      <w:start w:val="1"/>
      <w:numFmt w:val="bullet"/>
      <w:lvlText w:val=""/>
      <w:lvlJc w:val="left"/>
      <w:pPr>
        <w:ind w:left="1260" w:hanging="420"/>
      </w:pPr>
      <w:rPr>
        <w:rFonts w:hint="default" w:ascii="Wingdings" w:hAnsi="Wingdings"/>
      </w:rPr>
    </w:lvl>
  </w:abstractNum>
  <w:abstractNum w:abstractNumId="2">
    <w:nsid w:val="00000002"/>
    <w:multiLevelType w:val="multilevel"/>
    <w:tmpl w:val="0000000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411DA"/>
    <w:rsid w:val="0CD143AE"/>
    <w:rsid w:val="174D6D27"/>
    <w:rsid w:val="22261E7F"/>
    <w:rsid w:val="298E7457"/>
    <w:rsid w:val="34D36666"/>
    <w:rsid w:val="422C5607"/>
    <w:rsid w:val="4C6A7458"/>
    <w:rsid w:val="584E559C"/>
    <w:rsid w:val="5EE906B0"/>
    <w:rsid w:val="5FBE38EB"/>
    <w:rsid w:val="6062071A"/>
    <w:rsid w:val="69C42CCF"/>
    <w:rsid w:val="6A352277"/>
    <w:rsid w:val="6EA939B8"/>
    <w:rsid w:val="71237A52"/>
    <w:rsid w:val="734B3290"/>
    <w:rsid w:val="73893DB8"/>
    <w:rsid w:val="78252301"/>
    <w:rsid w:val="7D2C0B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Autospacing="0" w:after="330" w:afterAutospacing="0" w:line="576" w:lineRule="auto"/>
      <w:jc w:val="center"/>
      <w:outlineLvl w:val="0"/>
    </w:pPr>
    <w:rPr>
      <w:b/>
      <w:kern w:val="44"/>
      <w:sz w:val="36"/>
      <w:szCs w:val="20"/>
    </w:rPr>
  </w:style>
  <w:style w:type="paragraph" w:styleId="5">
    <w:name w:val="heading 2"/>
    <w:basedOn w:val="1"/>
    <w:next w:val="1"/>
    <w:link w:val="36"/>
    <w:qFormat/>
    <w:uiPriority w:val="0"/>
    <w:pPr>
      <w:keepNext/>
      <w:keepLines/>
      <w:spacing w:before="260" w:after="260" w:line="416" w:lineRule="auto"/>
      <w:outlineLvl w:val="1"/>
    </w:pPr>
    <w:rPr>
      <w:rFonts w:ascii="Arial" w:hAnsi="Arial" w:eastAsia="黑体"/>
      <w:b/>
      <w:bCs/>
      <w:sz w:val="30"/>
      <w:szCs w:val="32"/>
    </w:rPr>
  </w:style>
  <w:style w:type="paragraph" w:styleId="6">
    <w:name w:val="heading 3"/>
    <w:basedOn w:val="1"/>
    <w:next w:val="1"/>
    <w:link w:val="37"/>
    <w:qFormat/>
    <w:uiPriority w:val="9"/>
    <w:pPr>
      <w:keepNext/>
      <w:keepLines/>
      <w:spacing w:before="260" w:after="260" w:line="416" w:lineRule="auto"/>
      <w:outlineLvl w:val="2"/>
    </w:pPr>
    <w:rPr>
      <w:b/>
      <w:bCs/>
      <w:sz w:val="32"/>
      <w:szCs w:val="32"/>
    </w:rPr>
  </w:style>
  <w:style w:type="character" w:default="1" w:styleId="29">
    <w:name w:val="Default Paragraph Font"/>
    <w:qFormat/>
    <w:uiPriority w:val="1"/>
  </w:style>
  <w:style w:type="table" w:default="1" w:styleId="27">
    <w:name w:val="Normal Table"/>
    <w:qFormat/>
    <w:uiPriority w:val="99"/>
    <w:tblPr>
      <w:tblCellMar>
        <w:top w:w="0" w:type="dxa"/>
        <w:left w:w="108" w:type="dxa"/>
        <w:bottom w:w="0" w:type="dxa"/>
        <w:right w:w="108" w:type="dxa"/>
      </w:tblCellMar>
    </w:tblPr>
  </w:style>
  <w:style w:type="paragraph" w:styleId="2">
    <w:name w:val="Title"/>
    <w:basedOn w:val="1"/>
    <w:next w:val="3"/>
    <w:qFormat/>
    <w:uiPriority w:val="0"/>
    <w:pPr>
      <w:jc w:val="center"/>
      <w:outlineLvl w:val="0"/>
    </w:pPr>
    <w:rPr>
      <w:rFonts w:ascii="Arial" w:hAnsi="Arial" w:cs="Arial"/>
      <w:b/>
      <w:bCs/>
      <w:szCs w:val="32"/>
    </w:rPr>
  </w:style>
  <w:style w:type="paragraph" w:styleId="3">
    <w:name w:val="Plain Text"/>
    <w:basedOn w:val="1"/>
    <w:link w:val="42"/>
    <w:qFormat/>
    <w:uiPriority w:val="0"/>
    <w:rPr>
      <w:rFonts w:ascii="宋体" w:hAnsi="Courier New"/>
      <w:kern w:val="0"/>
      <w:sz w:val="20"/>
      <w:szCs w:val="20"/>
    </w:rPr>
  </w:style>
  <w:style w:type="paragraph" w:styleId="7">
    <w:name w:val="Normal Indent"/>
    <w:basedOn w:val="1"/>
    <w:link w:val="38"/>
    <w:qFormat/>
    <w:uiPriority w:val="0"/>
    <w:pPr>
      <w:ind w:firstLine="420"/>
    </w:pPr>
    <w:rPr>
      <w:rFonts w:ascii="宋体" w:hAnsi="宋体"/>
      <w:kern w:val="0"/>
      <w:sz w:val="20"/>
      <w:szCs w:val="20"/>
    </w:rPr>
  </w:style>
  <w:style w:type="paragraph" w:styleId="8">
    <w:name w:val="annotation text"/>
    <w:basedOn w:val="1"/>
    <w:link w:val="39"/>
    <w:qFormat/>
    <w:uiPriority w:val="99"/>
    <w:pPr>
      <w:jc w:val="left"/>
    </w:pPr>
  </w:style>
  <w:style w:type="paragraph" w:styleId="9">
    <w:name w:val="Body Text"/>
    <w:basedOn w:val="1"/>
    <w:next w:val="10"/>
    <w:link w:val="40"/>
    <w:qFormat/>
    <w:uiPriority w:val="0"/>
    <w:pPr>
      <w:spacing w:after="120"/>
    </w:pPr>
    <w:rPr>
      <w:szCs w:val="24"/>
    </w:r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3">
    <w:name w:val="Body Text Indent"/>
    <w:basedOn w:val="1"/>
    <w:next w:val="14"/>
    <w:link w:val="41"/>
    <w:qFormat/>
    <w:uiPriority w:val="0"/>
    <w:pPr>
      <w:spacing w:after="120"/>
      <w:ind w:left="420" w:leftChars="200"/>
    </w:pPr>
    <w:rPr>
      <w:szCs w:val="24"/>
    </w:rPr>
  </w:style>
  <w:style w:type="paragraph" w:styleId="14">
    <w:name w:val="envelope return"/>
    <w:basedOn w:val="1"/>
    <w:qFormat/>
    <w:uiPriority w:val="0"/>
    <w:pPr>
      <w:snapToGrid w:val="0"/>
      <w:spacing w:beforeLines="50" w:afterLines="50" w:line="360" w:lineRule="auto"/>
      <w:ind w:firstLine="480" w:firstLineChars="200"/>
    </w:pPr>
    <w:rPr>
      <w:rFonts w:ascii="Arial" w:hAnsi="Arial" w:cs="Arial"/>
      <w:sz w:val="24"/>
    </w:rPr>
  </w:style>
  <w:style w:type="paragraph" w:styleId="15">
    <w:name w:val="Date"/>
    <w:basedOn w:val="1"/>
    <w:next w:val="1"/>
    <w:link w:val="43"/>
    <w:qFormat/>
    <w:uiPriority w:val="0"/>
    <w:pPr>
      <w:ind w:left="100" w:leftChars="2500"/>
    </w:pPr>
  </w:style>
  <w:style w:type="paragraph" w:styleId="16">
    <w:name w:val="Body Text Indent 2"/>
    <w:basedOn w:val="1"/>
    <w:link w:val="44"/>
    <w:qFormat/>
    <w:uiPriority w:val="0"/>
    <w:pPr>
      <w:spacing w:after="120" w:line="480" w:lineRule="auto"/>
      <w:ind w:left="420" w:leftChars="200"/>
    </w:pPr>
    <w:rPr>
      <w:szCs w:val="24"/>
    </w:rPr>
  </w:style>
  <w:style w:type="paragraph" w:styleId="17">
    <w:name w:val="Balloon Text"/>
    <w:basedOn w:val="1"/>
    <w:link w:val="45"/>
    <w:qFormat/>
    <w:uiPriority w:val="0"/>
    <w:rPr>
      <w:kern w:val="0"/>
      <w:sz w:val="18"/>
      <w:szCs w:val="18"/>
    </w:rPr>
  </w:style>
  <w:style w:type="paragraph" w:styleId="18">
    <w:name w:val="footer"/>
    <w:basedOn w:val="1"/>
    <w:link w:val="46"/>
    <w:qFormat/>
    <w:uiPriority w:val="0"/>
    <w:pPr>
      <w:tabs>
        <w:tab w:val="center" w:pos="4153"/>
        <w:tab w:val="right" w:pos="8306"/>
      </w:tabs>
      <w:snapToGrid w:val="0"/>
      <w:jc w:val="left"/>
    </w:pPr>
    <w:rPr>
      <w:sz w:val="18"/>
      <w:szCs w:val="18"/>
    </w:rPr>
  </w:style>
  <w:style w:type="paragraph" w:styleId="19">
    <w:name w:val="header"/>
    <w:basedOn w:val="1"/>
    <w:link w:val="47"/>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rPr>
      <w:rFonts w:ascii="Times New Roman" w:hAnsi="Times New Roman"/>
      <w:szCs w:val="24"/>
    </w:rPr>
  </w:style>
  <w:style w:type="paragraph" w:styleId="21">
    <w:name w:val="toc 2"/>
    <w:basedOn w:val="1"/>
    <w:next w:val="1"/>
    <w:qFormat/>
    <w:uiPriority w:val="39"/>
    <w:pPr>
      <w:ind w:left="420" w:leftChars="200"/>
    </w:pPr>
    <w:rPr>
      <w:rFonts w:ascii="Times New Roman" w:hAnsi="Times New Roman"/>
      <w:szCs w:val="20"/>
    </w:rPr>
  </w:style>
  <w:style w:type="paragraph" w:styleId="22">
    <w:name w:val="HTML Preformatted"/>
    <w:basedOn w:val="1"/>
    <w:link w:val="4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3">
    <w:name w:val="Normal (Web)"/>
    <w:basedOn w:val="1"/>
    <w:qFormat/>
    <w:uiPriority w:val="99"/>
    <w:rPr>
      <w:rFonts w:ascii="Times New Roman" w:hAnsi="Times New Roman"/>
      <w:sz w:val="24"/>
      <w:szCs w:val="24"/>
    </w:rPr>
  </w:style>
  <w:style w:type="paragraph" w:styleId="24">
    <w:name w:val="annotation subject"/>
    <w:basedOn w:val="8"/>
    <w:next w:val="8"/>
    <w:link w:val="49"/>
    <w:qFormat/>
    <w:uiPriority w:val="99"/>
    <w:rPr>
      <w:b/>
      <w:bCs/>
    </w:rPr>
  </w:style>
  <w:style w:type="paragraph" w:styleId="25">
    <w:name w:val="Body Text First Indent"/>
    <w:basedOn w:val="9"/>
    <w:next w:val="26"/>
    <w:qFormat/>
    <w:uiPriority w:val="0"/>
    <w:pPr>
      <w:spacing w:after="120"/>
      <w:ind w:firstLine="420" w:firstLineChars="100"/>
      <w:jc w:val="both"/>
    </w:pPr>
    <w:rPr>
      <w:rFonts w:ascii="Times New Roman" w:hAnsi="Times New Roman" w:eastAsia="宋体"/>
      <w:kern w:val="2"/>
      <w:sz w:val="21"/>
      <w:szCs w:val="24"/>
    </w:rPr>
  </w:style>
  <w:style w:type="paragraph" w:styleId="26">
    <w:name w:val="Body Text First Indent 2"/>
    <w:basedOn w:val="13"/>
    <w:next w:val="25"/>
    <w:qFormat/>
    <w:uiPriority w:val="0"/>
    <w:pPr>
      <w:ind w:firstLine="420" w:firstLineChars="200"/>
    </w:p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22"/>
    <w:rPr>
      <w:b/>
      <w:bCs/>
    </w:rPr>
  </w:style>
  <w:style w:type="character" w:styleId="31">
    <w:name w:val="page number"/>
    <w:basedOn w:val="29"/>
    <w:qFormat/>
    <w:uiPriority w:val="0"/>
  </w:style>
  <w:style w:type="character" w:styleId="32">
    <w:name w:val="FollowedHyperlink"/>
    <w:basedOn w:val="29"/>
    <w:qFormat/>
    <w:uiPriority w:val="99"/>
    <w:rPr>
      <w:color w:val="800080"/>
      <w:u w:val="single"/>
    </w:rPr>
  </w:style>
  <w:style w:type="character" w:styleId="33">
    <w:name w:val="Emphasis"/>
    <w:basedOn w:val="29"/>
    <w:qFormat/>
    <w:uiPriority w:val="20"/>
    <w:rPr>
      <w:i/>
      <w:iCs/>
    </w:rPr>
  </w:style>
  <w:style w:type="character" w:styleId="34">
    <w:name w:val="Hyperlink"/>
    <w:basedOn w:val="29"/>
    <w:qFormat/>
    <w:uiPriority w:val="99"/>
    <w:rPr>
      <w:color w:val="0000FF"/>
      <w:u w:val="single"/>
    </w:rPr>
  </w:style>
  <w:style w:type="character" w:styleId="35">
    <w:name w:val="annotation reference"/>
    <w:basedOn w:val="29"/>
    <w:qFormat/>
    <w:uiPriority w:val="99"/>
    <w:rPr>
      <w:sz w:val="21"/>
      <w:szCs w:val="21"/>
    </w:rPr>
  </w:style>
  <w:style w:type="character" w:customStyle="1" w:styleId="36">
    <w:name w:val="标题 2 Char"/>
    <w:basedOn w:val="29"/>
    <w:link w:val="5"/>
    <w:qFormat/>
    <w:uiPriority w:val="0"/>
    <w:rPr>
      <w:rFonts w:ascii="Arial" w:hAnsi="Arial" w:eastAsia="黑体"/>
      <w:b/>
      <w:bCs/>
      <w:kern w:val="2"/>
      <w:sz w:val="30"/>
      <w:szCs w:val="32"/>
    </w:rPr>
  </w:style>
  <w:style w:type="character" w:customStyle="1" w:styleId="37">
    <w:name w:val="标题 3 Char"/>
    <w:basedOn w:val="29"/>
    <w:link w:val="6"/>
    <w:qFormat/>
    <w:uiPriority w:val="9"/>
    <w:rPr>
      <w:b/>
      <w:bCs/>
      <w:kern w:val="2"/>
      <w:sz w:val="32"/>
      <w:szCs w:val="32"/>
    </w:rPr>
  </w:style>
  <w:style w:type="character" w:customStyle="1" w:styleId="38">
    <w:name w:val="正文缩进 Char"/>
    <w:link w:val="7"/>
    <w:qFormat/>
    <w:uiPriority w:val="0"/>
    <w:rPr>
      <w:rFonts w:ascii="宋体" w:hAnsi="宋体"/>
    </w:rPr>
  </w:style>
  <w:style w:type="character" w:customStyle="1" w:styleId="39">
    <w:name w:val="批注文字 Char"/>
    <w:basedOn w:val="29"/>
    <w:link w:val="8"/>
    <w:qFormat/>
    <w:uiPriority w:val="99"/>
    <w:rPr>
      <w:kern w:val="2"/>
      <w:sz w:val="21"/>
      <w:szCs w:val="22"/>
    </w:rPr>
  </w:style>
  <w:style w:type="character" w:customStyle="1" w:styleId="40">
    <w:name w:val="正文文本 Char"/>
    <w:link w:val="9"/>
    <w:qFormat/>
    <w:uiPriority w:val="0"/>
    <w:rPr>
      <w:kern w:val="2"/>
      <w:sz w:val="21"/>
      <w:szCs w:val="24"/>
    </w:rPr>
  </w:style>
  <w:style w:type="character" w:customStyle="1" w:styleId="41">
    <w:name w:val="正文文本缩进 Char"/>
    <w:link w:val="13"/>
    <w:qFormat/>
    <w:uiPriority w:val="0"/>
    <w:rPr>
      <w:kern w:val="2"/>
      <w:sz w:val="21"/>
      <w:szCs w:val="24"/>
    </w:rPr>
  </w:style>
  <w:style w:type="character" w:customStyle="1" w:styleId="42">
    <w:name w:val="纯文本 Char"/>
    <w:link w:val="3"/>
    <w:qFormat/>
    <w:uiPriority w:val="0"/>
    <w:rPr>
      <w:rFonts w:ascii="宋体" w:hAnsi="Courier New"/>
    </w:rPr>
  </w:style>
  <w:style w:type="character" w:customStyle="1" w:styleId="43">
    <w:name w:val="日期 Char"/>
    <w:basedOn w:val="29"/>
    <w:link w:val="15"/>
    <w:qFormat/>
    <w:uiPriority w:val="0"/>
    <w:rPr>
      <w:kern w:val="2"/>
      <w:sz w:val="21"/>
      <w:szCs w:val="22"/>
    </w:rPr>
  </w:style>
  <w:style w:type="character" w:customStyle="1" w:styleId="44">
    <w:name w:val="正文文本缩进 2 Char"/>
    <w:link w:val="16"/>
    <w:qFormat/>
    <w:uiPriority w:val="0"/>
    <w:rPr>
      <w:kern w:val="2"/>
      <w:sz w:val="21"/>
      <w:szCs w:val="24"/>
    </w:rPr>
  </w:style>
  <w:style w:type="character" w:customStyle="1" w:styleId="45">
    <w:name w:val="批注框文本 Char"/>
    <w:link w:val="17"/>
    <w:qFormat/>
    <w:uiPriority w:val="0"/>
    <w:rPr>
      <w:sz w:val="18"/>
      <w:szCs w:val="18"/>
    </w:rPr>
  </w:style>
  <w:style w:type="character" w:customStyle="1" w:styleId="46">
    <w:name w:val="页脚 Char"/>
    <w:basedOn w:val="29"/>
    <w:link w:val="18"/>
    <w:qFormat/>
    <w:uiPriority w:val="0"/>
    <w:rPr>
      <w:sz w:val="18"/>
      <w:szCs w:val="18"/>
    </w:rPr>
  </w:style>
  <w:style w:type="character" w:customStyle="1" w:styleId="47">
    <w:name w:val="页眉 Char"/>
    <w:basedOn w:val="29"/>
    <w:link w:val="19"/>
    <w:qFormat/>
    <w:uiPriority w:val="0"/>
    <w:rPr>
      <w:sz w:val="18"/>
      <w:szCs w:val="18"/>
    </w:rPr>
  </w:style>
  <w:style w:type="character" w:customStyle="1" w:styleId="48">
    <w:name w:val="HTML 预设格式 Char"/>
    <w:basedOn w:val="29"/>
    <w:link w:val="22"/>
    <w:qFormat/>
    <w:uiPriority w:val="99"/>
    <w:rPr>
      <w:rFonts w:ascii="宋体" w:hAnsi="宋体" w:cs="宋体"/>
      <w:sz w:val="24"/>
      <w:szCs w:val="24"/>
    </w:rPr>
  </w:style>
  <w:style w:type="character" w:customStyle="1" w:styleId="49">
    <w:name w:val="批注主题 Char"/>
    <w:basedOn w:val="39"/>
    <w:link w:val="24"/>
    <w:qFormat/>
    <w:uiPriority w:val="99"/>
    <w:rPr>
      <w:b/>
      <w:bCs/>
    </w:rPr>
  </w:style>
  <w:style w:type="character" w:customStyle="1" w:styleId="50">
    <w:name w:val="批注主题 Char1"/>
    <w:basedOn w:val="51"/>
    <w:qFormat/>
    <w:uiPriority w:val="99"/>
    <w:rPr>
      <w:b/>
      <w:bCs/>
    </w:rPr>
  </w:style>
  <w:style w:type="character" w:customStyle="1" w:styleId="51">
    <w:name w:val="批注文字 Char1"/>
    <w:basedOn w:val="29"/>
    <w:qFormat/>
    <w:uiPriority w:val="99"/>
    <w:rPr>
      <w:kern w:val="2"/>
      <w:sz w:val="21"/>
      <w:szCs w:val="22"/>
    </w:rPr>
  </w:style>
  <w:style w:type="character" w:customStyle="1" w:styleId="52">
    <w:name w:val="sp_dash"/>
    <w:basedOn w:val="29"/>
    <w:qFormat/>
    <w:uiPriority w:val="0"/>
  </w:style>
  <w:style w:type="character" w:customStyle="1" w:styleId="53">
    <w:name w:val="正文文本缩进 2 Char1"/>
    <w:basedOn w:val="29"/>
    <w:qFormat/>
    <w:uiPriority w:val="99"/>
    <w:rPr>
      <w:kern w:val="2"/>
      <w:sz w:val="21"/>
      <w:szCs w:val="22"/>
    </w:rPr>
  </w:style>
  <w:style w:type="character" w:customStyle="1" w:styleId="54">
    <w:name w:val="prc_air"/>
    <w:basedOn w:val="29"/>
    <w:qFormat/>
    <w:uiPriority w:val="0"/>
  </w:style>
  <w:style w:type="character" w:customStyle="1" w:styleId="55">
    <w:name w:val="正文文本缩进 Char1"/>
    <w:basedOn w:val="29"/>
    <w:qFormat/>
    <w:uiPriority w:val="99"/>
    <w:rPr>
      <w:kern w:val="2"/>
      <w:sz w:val="21"/>
      <w:szCs w:val="22"/>
    </w:rPr>
  </w:style>
  <w:style w:type="character" w:customStyle="1" w:styleId="56">
    <w:name w:val="批注框文本 Char1"/>
    <w:basedOn w:val="29"/>
    <w:qFormat/>
    <w:uiPriority w:val="99"/>
    <w:rPr>
      <w:kern w:val="2"/>
      <w:sz w:val="18"/>
      <w:szCs w:val="18"/>
    </w:rPr>
  </w:style>
  <w:style w:type="character" w:customStyle="1" w:styleId="57">
    <w:name w:val="正文文本 Char1"/>
    <w:basedOn w:val="29"/>
    <w:qFormat/>
    <w:uiPriority w:val="99"/>
    <w:rPr>
      <w:kern w:val="2"/>
      <w:sz w:val="21"/>
      <w:szCs w:val="22"/>
    </w:rPr>
  </w:style>
  <w:style w:type="character" w:customStyle="1" w:styleId="58">
    <w:name w:val="纯文本 Char1"/>
    <w:basedOn w:val="29"/>
    <w:qFormat/>
    <w:uiPriority w:val="99"/>
    <w:rPr>
      <w:rFonts w:ascii="宋体" w:hAnsi="Courier New" w:cs="Courier New"/>
      <w:kern w:val="2"/>
      <w:sz w:val="21"/>
      <w:szCs w:val="21"/>
    </w:rPr>
  </w:style>
  <w:style w:type="character" w:customStyle="1" w:styleId="59">
    <w:name w:val=" Char Char5"/>
    <w:qFormat/>
    <w:uiPriority w:val="0"/>
    <w:rPr>
      <w:rFonts w:eastAsia="宋体"/>
      <w:kern w:val="2"/>
      <w:sz w:val="18"/>
      <w:szCs w:val="18"/>
      <w:lang w:val="en-US" w:eastAsia="zh-CN" w:bidi="ar-SA"/>
    </w:rPr>
  </w:style>
  <w:style w:type="character" w:customStyle="1" w:styleId="60">
    <w:name w:val="apple-converted-space"/>
    <w:basedOn w:val="29"/>
    <w:qFormat/>
    <w:uiPriority w:val="0"/>
  </w:style>
  <w:style w:type="paragraph" w:customStyle="1" w:styleId="61">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正文+宋体"/>
    <w:basedOn w:val="23"/>
    <w:qFormat/>
    <w:uiPriority w:val="0"/>
    <w:pPr>
      <w:widowControl/>
      <w:shd w:val="clear" w:color="auto" w:fill="FFFFFF"/>
      <w:ind w:firstLine="480" w:firstLineChars="200"/>
      <w:jc w:val="left"/>
    </w:pPr>
    <w:rPr>
      <w:rFonts w:ascii="宋体" w:hAnsi="宋体" w:cs="宋体"/>
    </w:rPr>
  </w:style>
  <w:style w:type="paragraph" w:customStyle="1" w:styleId="63">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4">
    <w:name w:val="_Style 54"/>
    <w:qFormat/>
    <w:uiPriority w:val="99"/>
    <w:rPr>
      <w:rFonts w:ascii="Calibri" w:hAnsi="Calibri" w:eastAsia="宋体" w:cs="Times New Roman"/>
      <w:kern w:val="2"/>
      <w:sz w:val="21"/>
      <w:szCs w:val="22"/>
      <w:lang w:val="en-US" w:eastAsia="zh-CN" w:bidi="ar-SA"/>
    </w:rPr>
  </w:style>
  <w:style w:type="paragraph" w:customStyle="1" w:styleId="65">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7">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默认段落字体 Char"/>
    <w:basedOn w:val="1"/>
    <w:qFormat/>
    <w:uiPriority w:val="0"/>
    <w:rPr>
      <w:rFonts w:ascii="Times New Roman" w:hAnsi="Times New Roman"/>
      <w:szCs w:val="24"/>
    </w:rPr>
  </w:style>
  <w:style w:type="paragraph" w:customStyle="1" w:styleId="6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70">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71">
    <w:name w:val="样式3"/>
    <w:basedOn w:val="3"/>
    <w:qFormat/>
    <w:uiPriority w:val="0"/>
    <w:pPr>
      <w:spacing w:line="0" w:lineRule="atLeast"/>
      <w:outlineLvl w:val="0"/>
    </w:pPr>
    <w:rPr>
      <w:sz w:val="28"/>
    </w:rPr>
  </w:style>
  <w:style w:type="paragraph" w:customStyle="1" w:styleId="72">
    <w:name w:val=" Char Char Char"/>
    <w:basedOn w:val="1"/>
    <w:qFormat/>
    <w:uiPriority w:val="0"/>
    <w:rPr>
      <w:rFonts w:ascii="Tahoma" w:hAnsi="Tahoma"/>
      <w:sz w:val="24"/>
      <w:szCs w:val="20"/>
    </w:rPr>
  </w:style>
  <w:style w:type="paragraph" w:customStyle="1" w:styleId="73">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4">
    <w:name w:val=" Char Char Char Char Char Char Char"/>
    <w:basedOn w:val="1"/>
    <w:qFormat/>
    <w:uiPriority w:val="0"/>
    <w:rPr>
      <w:rFonts w:ascii="Times New Roman" w:hAnsi="Times New Roman"/>
      <w:szCs w:val="24"/>
    </w:rPr>
  </w:style>
  <w:style w:type="paragraph" w:customStyle="1" w:styleId="75">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6">
    <w:name w:val="null3"/>
    <w:qFormat/>
    <w:uiPriority w:val="0"/>
    <w:rPr>
      <w:rFonts w:hint="eastAsia" w:ascii="Calibri" w:hAnsi="Calibri" w:eastAsia="宋体" w:cs="Times New Roman"/>
      <w:lang w:val="en-US" w:eastAsia="zh-CN" w:bidi="ar-SA"/>
    </w:rPr>
  </w:style>
  <w:style w:type="paragraph" w:customStyle="1" w:styleId="77">
    <w:name w:val="Char Char Char Char Char Char Char5"/>
    <w:basedOn w:val="1"/>
    <w:qFormat/>
    <w:uiPriority w:val="0"/>
    <w:rPr>
      <w:rFonts w:eastAsia="宋体" w:cs="Times New Roman"/>
      <w:szCs w:val="24"/>
    </w:rPr>
  </w:style>
  <w:style w:type="paragraph" w:customStyle="1" w:styleId="78">
    <w:name w:val="列出段落2"/>
    <w:qFormat/>
    <w:uiPriority w:val="0"/>
    <w:pPr>
      <w:ind w:firstLine="420" w:firstLineChars="200"/>
    </w:pPr>
    <w:rPr>
      <w:rFonts w:ascii="Times New Roman" w:hAnsi="Times New Roman" w:eastAsia="宋体" w:cs="Times New Roman"/>
      <w:szCs w:val="22"/>
      <w:lang w:val="en-US" w:eastAsia="zh-CN" w:bidi="ar-SA"/>
    </w:rPr>
  </w:style>
  <w:style w:type="paragraph" w:customStyle="1" w:styleId="79">
    <w:name w:val="a"/>
    <w:basedOn w:val="1"/>
    <w:qFormat/>
    <w:uiPriority w:val="0"/>
    <w:pPr>
      <w:widowControl/>
      <w:jc w:val="left"/>
    </w:pPr>
    <w:rPr>
      <w:rFonts w:ascii="宋体" w:hAnsi="宋体" w:eastAsia="宋体" w:cs="宋体"/>
      <w:kern w:val="0"/>
      <w:sz w:val="24"/>
      <w:szCs w:val="24"/>
    </w:rPr>
  </w:style>
  <w:style w:type="paragraph" w:customStyle="1" w:styleId="80">
    <w:name w:val="Normal_320e80dd-3243-4c23-a04a-ab2cfe35fcdc"/>
    <w:qFormat/>
    <w:uiPriority w:val="0"/>
    <w:pPr>
      <w:jc w:val="both"/>
    </w:pPr>
    <w:rPr>
      <w:rFonts w:ascii="Times New Roman" w:hAnsi="Times New Roman" w:eastAsia="宋体" w:cs="Times New Roman"/>
      <w:kern w:val="2"/>
      <w:sz w:val="21"/>
      <w:szCs w:val="21"/>
      <w:lang w:val="en-US" w:eastAsia="zh-CN" w:bidi="ar-SA"/>
    </w:rPr>
  </w:style>
  <w:style w:type="paragraph" w:customStyle="1" w:styleId="81">
    <w:name w:val="正文1"/>
    <w:basedOn w:val="1"/>
    <w:qFormat/>
    <w:uiPriority w:val="0"/>
    <w:pPr>
      <w:spacing w:line="360" w:lineRule="auto"/>
      <w:ind w:left="1260" w:leftChars="600" w:firstLine="540" w:firstLineChars="257"/>
    </w:pPr>
    <w:rPr>
      <w:rFonts w:ascii="宋体" w:hAnsi="宋体"/>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1a6b1f1d-9404-4f91-bb60-f95baceb03ac}">
  <ds:schemaRefs/>
</ds:datastoreItem>
</file>

<file path=customXml/itemProps2.xml><?xml version="1.0" encoding="utf-8"?>
<ds:datastoreItem xmlns:ds="http://schemas.openxmlformats.org/officeDocument/2006/customXml" ds:itemID="{4d2b7c5a-d271-4663-bc1d-6fa179fda24d}">
  <ds:schemaRefs/>
</ds:datastoreItem>
</file>

<file path=docProps/app.xml><?xml version="1.0" encoding="utf-8"?>
<Properties xmlns="http://schemas.openxmlformats.org/officeDocument/2006/extended-properties" xmlns:vt="http://schemas.openxmlformats.org/officeDocument/2006/docPropsVTypes">
  <Template>Normal</Template>
  <Pages>100</Pages>
  <Words>16583</Words>
  <Characters>18065</Characters>
  <Paragraphs>2518</Paragraphs>
  <TotalTime>7</TotalTime>
  <ScaleCrop>false</ScaleCrop>
  <LinksUpToDate>false</LinksUpToDate>
  <CharactersWithSpaces>18481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2015-01-03T12:40:00Z</dcterms:created>
  <dc:creator>黄超群</dc:creator>
  <cp:lastModifiedBy>小胖妞</cp:lastModifiedBy>
  <dcterms:modified xsi:type="dcterms:W3CDTF">2025-08-29T08:47:21Z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b21fcb2f7f114e6a857371d9856fc05c_23</vt:lpwstr>
  </property>
  <property fmtid="{D5CDD505-2E9C-101B-9397-08002B2CF9AE}" pid="4" name="KSOTemplateDocerSaveRecord">
    <vt:lpwstr>eyJoZGlkIjoiNDY5Y2UyNTEyZTJmZDVkOGRjYjRkZWE1NzIyMDA5MDciLCJ1c2VySWQiOiI4NDc2ODc3NDYifQ==</vt:lpwstr>
  </property>
</Properties>
</file>