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2025至2026学年金海小学及所属完小物业服务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CGXM-2025-350213-00419[2025]00184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[350213]wx[CS]2025002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厦门市翔安区金海小学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厦门市翔安区金海小学</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2025至2026学年金海小学及所属完小物业服务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厦门万翔招标有限公司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2025至2026学年金海小学及所属完小物业服务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CGXM-2025-350213-00419[2025]00184</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[350213]wx[CS]2025002</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2025-2026学年金海小学及所属完小物业服务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1,100,000.00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2025-2026学年金海小学及所属完小物业服务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2025-2026学年金海小学及所属完小物业服务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2025-2026学年金海小学及所属完小物业服务</w:t>
            </w:r>
          </w:p>
        </w:tc>
        <w:tc>
          <w:tcPr>
            <w:tcW w:type="dxa" w:w="2076"/>
          </w:tcPr>
          <w:p>
            <w:pPr>
              <w:pStyle w:val="null3"/>
              <w:jc w:val="left"/>
            </w:pPr>
            <w:r>
              <w:rPr>
                <w:rFonts w:ascii="仿宋_GB2312" w:hAnsi="仿宋_GB2312" w:cs="仿宋_GB2312" w:eastAsia="仿宋_GB2312"/>
              </w:rPr>
              <w:t>2025-2026学年金海小学及所属完小物业服务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厦门市翔安区金海小学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厦门市翔安区金海街道鼓锣二里36号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15880236232</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郭锦祥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15960841216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c>
                <w:tcPr>
                  <w:tcW w:type="dxa" w:w="1418"/>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1、本项目组织统一踏勘，踏勘时间：报名截止之日后第一个工作日上午09:30—10:30期间，逾期不候。供应商可自行对项目现场及周围环境进行踏勘，以便获取有关编制响应文件和签署合同所涉及现场的资料。供应商应自行承担踏勘现场所发生的所有费用。 2、现场踏勘联系人：林老师，联系方式：0592-7680863。 3、供应商及其人员经过采购人允许，可以踏勘为目的进入项目现场，但供应商及其人员不得因此使采购人及其人员承担有关的责任和蒙受损失。供应商并应对由此次踏勘现场而造成的任何损失、损害和引起的费用和开支承担责任。 4、采购人向供应商提供的有关现场的资料和数据，是采购人现有的能被供应商利用的资料。采购人对供应商做出的理解、推论和结论均不负责任。</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由磋商小组确定</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翔安区政府采购监管部门</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 服务类: 中标金额 (万元)费率;[0-100]1.5%;(100-500]0.8%;(500-1000]0.45%。注:1、代 理服务费的收取按差额定率累进法计算,由中标人支付。 2、中标人以 转账或汇款方式提交。 3、中标人为中小企业的，其代 理服务费按照上述服务收费标准下浮10%进行支付。 4、因供应商自 身原因导致最终无法承接项目的，代理服务费不予退还。（若后续未续签成交供应商可以申请退回 对应部分的代理服务费）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采购文件第三章所述内容与其它部分的条款发生理解冲突，则以第三章所述内容为准；如采购文件发生变更，则相关条款的解释以更改通知为准。（6）质疑函要求 供应 商提出质疑应当提交质疑函和必要的证明材料。质疑函应当包括下列内容： (一)供应 商的姓名或者名 称名 称、地址、邮编、联系人及联系电话; (二)质疑项目的名 称名 称、编号; (三)具体、明确的质疑事项和与质疑事项相关的请求; (四)事实依据; (五)必要的法律依据; (六)提出质疑的日期。 供应 商为自然人的，应当由本人签字;供应 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注：提交质疑函须附上系统下载文件登记截图，质疑函须符合采购文件的要求。</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根据供应商现场踏勘后形成的踏勘报告进行评价： ①有针对本项目提供踏勘报告的得2.8分；②在满足①的基础上，踏勘报告包括但不限于校园环境、设施设备描述、现存问题描述、改进措施及建议等，各部分内容详细完整，且不存在不合理之处，有利于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本项目的分析及难点对策进行评价：通过对本项目现场环境整体布局、配套设施设备、周边环境等方面的分析，列出本项目管理上的重点、难点，提出相应的对策。每提出一个难点或重点及有效的解决措施且符合本项目情况，能应用于本项目的得 1分，满分2分；未提供或提供的内容与本项目无关的不得分。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承接本项目的能力与优势及服务方案进行评价：①有针对本项目提供完整方案、实施计划及保障措施完整，涵盖采购文件核心要求，整体无实质性偏离，仅个别非关键细节有轻微差异，经评审认定基本符合要求的，得 2.8 分；②在满足①的基础上，方案包含但不限于经营管理服务本项目的能力与优势、应急响应程度、服务理念、整体目标、服务质量控制方式、服务预期效果，各部分内容详细完整，符合本项目实际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根据供应商针对本项目提供服务人员配置方案进行评价： ①供应商有针对本项目提供人员配置方案、实施计划及保障措施完整，涵盖采购文件核心要求，整体无实质性偏离，仅个别非关键细节有轻微差异，经评审认定基本符合要求的，得 2.8 分； ②在满足①的基础上，方案需包含但不限于明确工作任务及目标，岗位配置方案、岗位职责等，工作任务及目标符合采购人实际情况、整体方案有利于项目实施的得3分； ③未提供方案或方案不满足以上要求的不得分。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根据供应商针对本项目提供的奖惩措施和具体实施办法等进行评价： ①供应商有针对本项目提供奖惩措施、实施计划及保障措施完整，涵盖采购文件核心要求，整体无实质性偏离，仅个别非关键细节有轻微差异，经评审认定基本符合要求的，得 2.8 分； ②在满足①的基础上，针对采购人实际情况（考核办法）制定符合本项目报价人考核的奖惩措施，奖惩措施完善，有利于提高服务人员工作积极性的得3分。 ③未提供方案或方案不满足以上要求的不得分。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根据供应商针对本项目提供的卫生保洁管理方案进行评价： ①有针对本项目卫生保洁管理方案，且承诺当责任区保洁员不在岗位时，物业或者其他保洁员应当具有主动服务意识及时补上的得2.8分； ②在满足①的基础上，方案包括但不限于卫生保洁管理的流程、工作细则及标准、保洁质量管理，各部分内容详细完整，完全符合本项目情况，且能确保项目实施并达到预期目标的得3分；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制定的垃圾分类、收集处理服务方案进行评价：①有针对本项目提供垃圾分类、收集处理服务方案，涵盖采购文件核心要求，整体无实质性偏离，仅个别非关键细节有轻微差异，经评审认定基本符合要求的，得2.8分； ②在满足①的基础上，方案包含但不限于垃圾分类工作目标、垃圾分类方法 、服务人员培训机制，各部分内容详细完整，符合本项目实际情况，且能确保项目实施并达到预期目标的得3分；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根据供应商针对本项目制定的人员日常管理制度进行评价： ①有针对本项目提供人员日常管理制度，整体无实质性偏离，仅个别非关键细节有轻微差异，经评审认定基本符合要求的，得2.8分； ②在满足①的基础上，方案包含但不限于员工工作管理制度、仪容仪表、纪律制度，各部分内容详细完整，符合本项目实际情况，且能确保项目实施并达到预期目标的得3分；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根据供应商针对本项目提供的绿化养护管理方案进行评价： ①有针对本项目提供绿化养护管理方案、实施计划及保障措施完整，涵盖采购文件核心要求，整体无实质性偏离，仅个别非关键细节有轻微差异，经评审认定基本符合要求的，得2.8分； ②在满足①的基础上，方案包括但不限于绿化养护、病虫害防治、绿化补苗补植，各部分内容详细完整，完全符合本项目情况，且能确保项目实施并达到预期目标的得3分；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根据供应商针对本项目提供的“四害”消杀及防治措施方案进行评价： ①有针对本项目提供“四害”消杀及防治措施方案、实施计划及保障措施完整，涵盖采购文件核心要求，整体无实质性偏离，仅个别非关键细节有轻微差异，经评审认定基本符合要求的，得2.8分； ②在满足①的基础上，方案包括但不限于分析孳生的原因，定制各个不同区域的虫害控制方案、四害灭效流程、计划定期对服务区域进行科学合理的综合防治，实施现场消杀作业、消杀效果评估、消杀整改措施、防治措施等，各部分内容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根据供应商针对本项目提供的设施、设备维护方案进行评价： ①有针对本项目提供设施设备维护方案、实施计划及保障措施完整，涵盖采购文件核心要求，整体无实质性偏离，仅个别非关键细节有轻微差异，经评审认定基本符合要求的，得2.8分； ②在满足①的基础上，方案包括但不限于各个学校设施设备维护维修范围、各类设备维护保养方法及巡检周期等，维修范围覆盖本项目采购范围、整体保养方法及巡检周期，完全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根据供应商针对本项目提供的突发事件处理应急方案进行评价： ①有针对本项目提供突发事件处理应急方案、实施计划及保障措施完整，涵盖采购文件核心要求，整体无实质性偏离，仅个别非关键细节有轻微差异，经评审认定基本符合要求的，得2.8分； ②在满足①的基础上，方案包括但不限于火警、台风、暴雨、电梯困人、上级部门检查服务保障、贵宾接待服务保障等制定相应应急预案，各部分内容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根据报价人针对本项目提供的设备、工器具的配备方案进行评价： ①有针对本项目提供设备、工器具的配备方案、实施计划及保障措施完整，涵盖采购文件核心要求，整体无实质性偏离，仅个别非关键细节有轻微差异，经评审认定基本符合要求的，得2.8分； ②在满足①的基础上，配备方案包括但不限于办公设备（电脑、打印机等）、水电维修工器具、保洁及绿化工器具（包括但不限于驾驶式扫地车、洗地机、电动手推自走扫地车、高压冲洗车、电动四轮八桶车（垃圾车）、树木枝条破碎机、电动洒水车、绿篱机、打药机、打草机、割草机、油锯等）等，各部分内容详细完整，完全符合本项目情况，有提供投入本项目的保洁及绿化工器具的规格型号、数量、用途、发票等，且能满足项目服务所需的得3分； ③未提供方案或方案不满足以上要求的不得分。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根据报价人针对本项目提出的管理规章制度、岗位职责及服务标准方案进行评价：①有针对本项目提供管理规章制度、岗位职责及服务标准方案的得 2.8 分；②在满足①的基础上，制度、方案详实，方案包括但不限于对财务管理制度、人事管理制度、岗位责任制度、岗位职责、物业服务内容和标准等的得 3 分；③未提供方案或方案不满足以上要求的不得分。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根据供应商针对本项目提供的团队稳定性保障措施方案进行评价： ①有针对本项目提供团队稳定性保障措施方案、实施计划及保障措施完整，涵盖采购文件核心要求，整体无实质性偏离，仅个别非关键细节有轻微差异，经评审认定基本符合要求的，得2.8分； ②在满足①的基础上，方案包括但不限于人员稳定措施、激励和奖惩措施、人性化关怀制度等，各部分内容详细完整，完全符合本项目情况，且能确保项目实施并达到预期目标的得3分；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提供的资源共享（可临时调配应急人员到达现场速度及人员数量）承诺进行评价：24小时以内(含24小时)且人员调配数量为3人以上（含3人）的得3分；其他情况不得分。须提供承诺函（格式自拟），否则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根据供应商针对本项目提供的人员培训方案进行评价： ①有针对本项目提供人员培训方案、实施计划及保障措施完整，涵盖采购文件核心要求，整体无实质性偏离，仅个别非关键细节有轻微差异，经评审认定基本符合要求的，得2.9分； ②在满足①的基础上，方案包括但不限于培训制度、培训计划、培训内容安排，各部分内容详细完整，完全符合本项目情况，且能确保项目实施并达到预期目标的得3分；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根据供应商针对本项目提供的项目档案的建立及管理方案进行评价： ①有针对本项目提供项目档案的建立及管理方案、实施计划及保障措施完整，涵盖采购文件核心要求，整体无实质性偏离，仅个别非关键细节有轻微差异，经评审认定基本符合要求的，得2.9分； ②在满足①的基础上，方案包括但不限于档案规范、档案管理安排合理，切合实际、有利于项目实施，且能确保项目实施并达到预期目标的得3分；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根据拟配置本项目的物业管理员进行评价： 本科或以上学历的基础上： ①持有政府部门颁发的中级及以上职称证书（证书类型：物业管理相关的机电类或电力电气类或人力资源类或园林绿化类或环境管理类的职称证书）得 1 分； ②具备3年及以上的物业项目管理经验（需在项目中担任项目负责人（项目经理）或物业主任），不同项目的经验时间可累计计算，但同一时期担任不同项目的项目负责人（项目经理）或物业主任，只能按服务时间较长的计算）。得 1 分； ③具有【中级（四级）或以上建（构）筑物消防员证书】或【中级（四级）或以上消防设施操作员证书】的得 1 分 注：报价人须提供相关人员的身份证扫描件、学历证书扫描件、有效相关证书扫描件、物业项目管理经验（需提供服务合同，若合同中未体现人员名称及岗位的，可提供该服务合同中甲方出具的具有公章书面说明）及报价人为其缴纳的近六个月（不含投标截止日期当月）内任意一个月的社保证明材料，资料未完整不得分。</w:t>
            </w:r>
          </w:p>
        </w:tc>
      </w:tr>
      <w:tr>
        <w:tc>
          <w:tcPr>
            <w:tcW w:type="dxa" w:w="3322"/>
          </w:tcPr>
          <w:p>
            <w:pPr>
              <w:pStyle w:val="null3"/>
              <w:jc w:val="left"/>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根据拟配置本项目的水电工（任一人）进行评价： 满足50周岁及以下，大专或以上学历的基础上： （1）具有【特种作业操作证（作业类别：制冷与空调作业）】的得 1.5分； （2）具有电梯安全管理员证即【特种设备安全管理和作业人员证（项目代号：A）】的得 1.5 分。 注：报价人需提供①身份证扫描件；②学历证书扫描件、学信网（CHSI）查询网址及截图；③行政主管部门颁发的培训证书扫描件；④相关作业证、通过“全国特种设备 公 示 信 息 查 询 平 台 ” 网 站 （ 网 址 ：https://cnse.e-cqs.cn/info-pub/pub）查询截图；⑤报价人为其缴纳的近六个月（不含投标截止日期当月）内任意一个月的社保证明材料；未根据各评分项要求提供对应材料的的不得分。</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根据拟配置本项目的绿化工进行评价： 满足55周岁及以下，大专或以上学历的基础上： （1）具有【四级/中级及以上花卉园艺师证】的得 1.5 分； （2）具有【四级/中级及以上植保工证】的得 1.5 分； 注：报价人需提供①身份证扫描件；②学历证书扫描件、学信网（CHSI）查询网址及截图；③职业技能（能力）证书扫描件、通过“技能人才评价证书全国联网查询”系统（网址：zscx.osta.org.cn）或人社部门所属职业技能鉴定指导中心官网系统的查询截图并附网址④报价人为其缴纳的近六个月（不含投标截止日期当月）内任意一个月的社保证明材料；未根据各评分项要求提供对应材料的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根据拟配置本项目的保洁员进行评价：保洁员具备垃圾分类处置专项职业能力证书的，每提供1人得1分，满分2分。 需根据各项要求提供以下对应材料：①身份证扫描件；②职业技能（能力）证书扫描件、通过“技能人才评价证书全国联网查询”系统（网址：zscx.osta.org.cn）或人社部门所属职业技能鉴定指导中心官网系统或政府部门网站（网址含.gov）的查询截图并附网址、③报价人为其缴纳的近六个月（不含投标截止日期当月）内任意一个月的社保证明材料；未提供对应材料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报价人人承诺技术评分条款未列明的其他技术及服务条款响应全满足，验收时按照响应的内容及考核方案进行验收。提供书面承诺函（格式自拟）满足要求的得1分，否则不得分。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质量管理体系认证】证书，证书应在全国认证认可信息公共服务平台可查询，且在提交响应文件时证书应处于有效状态，供应商需提供证书扫描件及全国认证认可信息公共服务平台（cx.cnca.cn）的证书信息查询截图（或承诺“上述网站可查询，若成交，成交通知书发出后3个工作日内提供查询结果确认”，承诺函格式自拟）。完全满足上述要求的得1分，否则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环境管理体系认证】证书，证书应在全国认证认可信息公共服务平台可查询，且在提交响应文件时证书应处于有效状态，供应商需提供证书扫描件及全国认证认可信息公共服务平台（cx.cnca.cn）的证书信息查询截图（或承诺“上述网站可查询，若成交，成交通知书发出后3个工作日内提供查询结果确认”，承诺函格式自拟）。完全满足上述要求的得1分，否则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职业健康安全管理体系认证】证书，证书应在全国认证认可信息公共服务平台可查询，且在提交响应文件时证书应处于有效状态，供应商需提供证书扫描件及全国认证认可信息公共服务平台（cx.cnca.cn）的证书信息查询截图（或承诺“上述网站可查询，若成交，成交通知书发出后3个工作日内提供查询结果确认”，承诺函格式自拟）。完全满足上述要求的得1分，否则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供应商承诺成交后，在服务期内，对投入本项目的所有人员安全负全部责任，若发生安全事故，承担全部责任的得3分；须提供承诺函（格式自拟），否则不得分。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供应商承诺成交后为本项目服务人员购买雇主责任险（保险期至少包含项目服务期限），未及时购买保险造成的后果由成交供应商自行承担的得3分，须提供承诺函（格式自拟），否则不得分。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供应商承诺成交后，按照采购人要求进行考核，遵照采购人的管理制度的得3分，须提供承诺函（格式自拟），否则不得分。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应为本项目提供本地化服务保障，供应商为本地注册企业或在项目所在地设有分支机构或服务办事处的，提供有效营业执照扫描件；有合作单位的须提供专项合作协议及合作单位营业执照有效扫描件；或者承诺合同签订后5个工作日内设立本地售后服务机构的得1分；须提供承诺函（格式自拟），否则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供应商承诺合同签订后7天内所有人员全部到位的得3分，10天内所有人员到位的得1分，10天以上的或未提供承诺的不得分。须提供承诺函（格式自拟），否则不得分。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供应商承诺保持拟派上岗人员的稳定性，不随意调整上岗人员，确需调整的须经采购人同意的得3分，须提供承诺函（格式自拟），否则不得分。</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根据2022年1月1日（以合同签订时间为准）至磋商截止当日供应商提供的同类业绩进行评价：每个业绩得1分，满分3分。 注：需提供业绩的以下四项证明材料，否则不计分： ①中标（成交）公告（提供相关网站中标（成交）公告的下载网页并注明网址）； ②中标（成交）通知书； ③采购合同文本； ④能够证明该业绩项目已经采购人验收合格或已履约完毕的相关证明材料。注：商务项第10项与第11项同一业绩不可重复得分。</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2022年1月1日至磋商截止当日（以合同签订时间为准）自行承接同类项目的业绩的业主单位对其履行合同情况及服务质量的评价材料进行评价：每提供1份正面评价材料（需体现优秀、优良、良好或满意）的得1分，满分3分。正面评价材料包括该业绩的：（1）书面评价书面材料扫描件（体现业主单位公章而非部门章或专用章），否则不予认可； （2）合同文本扫描件，否则不得分 注：需同时提供以上两项证明材料；未按要求提供完整证明资料的业绩将不予计分。注：商务项第10项与第11项同一业绩不可重复得分。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★1、本项目配备的水电工至少一人具有【中华人民共和国特种作业操作证】准操项目为高压电工作业及【中华人民共和国特种作业操作证】准操项目为低压电工作业证；提供证书扫描件。</w:t>
            </w:r>
          </w:p>
        </w:tc>
        <w:tc>
          <w:tcPr>
            <w:tcW w:type="dxa" w:w="4153"/>
          </w:tcPr>
          <w:p>
            <w:pPr>
              <w:pStyle w:val="null3"/>
              <w:jc w:val="left"/>
            </w:pPr>
            <w:r>
              <w:rPr>
                <w:rFonts w:ascii="仿宋_GB2312" w:hAnsi="仿宋_GB2312" w:cs="仿宋_GB2312" w:eastAsia="仿宋_GB2312"/>
              </w:rPr>
              <w:t>★1、本项目配备的水电工至少一人具有【中华人民共和国特种作业操作证】准操项目为高压电工作业及【中华人民共和国特种作业操作证】准操项目为低压电工作业证；提供证书扫描件。</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★1、本项目配备的水电工至少一人具有【中华人民共和国特种作业操作证】准操项目为高压电工作业及【中华人民共和国特种作业操作证】准操项目为低压电工作业证；提供证书扫描件。</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金海小学及其完小共</w:t>
      </w:r>
      <w:r>
        <w:rPr>
          <w:rFonts w:ascii="仿宋_GB2312" w:hAnsi="仿宋_GB2312" w:cs="仿宋_GB2312" w:eastAsia="仿宋_GB2312"/>
          <w:sz w:val="24"/>
        </w:rPr>
        <w:t>9所，学生人数约4</w:t>
      </w:r>
      <w:r>
        <w:rPr>
          <w:rFonts w:ascii="仿宋_GB2312" w:hAnsi="仿宋_GB2312" w:cs="仿宋_GB2312" w:eastAsia="仿宋_GB2312"/>
          <w:sz w:val="24"/>
        </w:rPr>
        <w:t>000</w:t>
      </w:r>
      <w:r>
        <w:rPr>
          <w:rFonts w:ascii="仿宋_GB2312" w:hAnsi="仿宋_GB2312" w:cs="仿宋_GB2312" w:eastAsia="仿宋_GB2312"/>
          <w:sz w:val="24"/>
        </w:rPr>
        <w:t>人，建筑面积</w:t>
      </w:r>
      <w:r>
        <w:rPr>
          <w:rFonts w:ascii="仿宋_GB2312" w:hAnsi="仿宋_GB2312" w:cs="仿宋_GB2312" w:eastAsia="仿宋_GB2312"/>
          <w:sz w:val="24"/>
        </w:rPr>
        <w:t>4.6万平方米、占地面积11.4万平方米。以金海小学为中心，周边完小跨越金海街道、凤翔街道、香山街道、新店街道，学校之间距离远、跨度大。</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、物业服务内容</w:t>
      </w:r>
    </w:p>
    <w:p>
      <w:pPr>
        <w:pStyle w:val="null3"/>
        <w:ind w:firstLine="480"/>
        <w:jc w:val="both"/>
      </w:pPr>
      <w:r>
        <w:rPr>
          <w:rFonts w:ascii="仿宋_GB2312" w:hAnsi="仿宋_GB2312" w:cs="仿宋_GB2312" w:eastAsia="仿宋_GB2312"/>
          <w:sz w:val="24"/>
        </w:rPr>
        <w:t>1、保洁服务；</w:t>
      </w:r>
    </w:p>
    <w:p>
      <w:pPr>
        <w:pStyle w:val="null3"/>
        <w:ind w:firstLine="480"/>
        <w:jc w:val="both"/>
      </w:pPr>
      <w:r>
        <w:rPr>
          <w:rFonts w:ascii="仿宋_GB2312" w:hAnsi="仿宋_GB2312" w:cs="仿宋_GB2312" w:eastAsia="仿宋_GB2312"/>
          <w:sz w:val="24"/>
        </w:rPr>
        <w:t>2、绿化服务；</w:t>
      </w:r>
    </w:p>
    <w:p>
      <w:pPr>
        <w:pStyle w:val="null3"/>
        <w:ind w:firstLine="480"/>
        <w:jc w:val="both"/>
      </w:pPr>
      <w:r>
        <w:rPr>
          <w:rFonts w:ascii="仿宋_GB2312" w:hAnsi="仿宋_GB2312" w:cs="仿宋_GB2312" w:eastAsia="仿宋_GB2312"/>
          <w:sz w:val="24"/>
        </w:rPr>
        <w:t>3、零星维修及公共设施设备维护；</w:t>
      </w:r>
    </w:p>
    <w:p>
      <w:pPr>
        <w:pStyle w:val="null3"/>
        <w:ind w:firstLine="480"/>
        <w:jc w:val="both"/>
      </w:pPr>
      <w:r>
        <w:rPr>
          <w:rFonts w:ascii="仿宋_GB2312" w:hAnsi="仿宋_GB2312" w:cs="仿宋_GB2312" w:eastAsia="仿宋_GB2312"/>
          <w:sz w:val="24"/>
        </w:rPr>
        <w:t>4、客户服务、档案管理；</w:t>
      </w:r>
    </w:p>
    <w:p>
      <w:pPr>
        <w:pStyle w:val="null3"/>
        <w:ind w:firstLine="480"/>
        <w:jc w:val="both"/>
      </w:pPr>
      <w:r>
        <w:rPr>
          <w:rFonts w:ascii="仿宋_GB2312" w:hAnsi="仿宋_GB2312" w:cs="仿宋_GB2312" w:eastAsia="仿宋_GB2312"/>
          <w:sz w:val="24"/>
        </w:rPr>
        <w:t>5、新建校区及配套设施设备承接查验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6、对外开放场地保洁和设施设备维护。</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物业服务人员配置及要求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拟配置的物业服务人员共</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人，其中物业管理员</w:t>
      </w:r>
      <w:r>
        <w:rPr>
          <w:rFonts w:ascii="仿宋_GB2312" w:hAnsi="仿宋_GB2312" w:cs="仿宋_GB2312" w:eastAsia="仿宋_GB2312"/>
          <w:sz w:val="24"/>
        </w:rPr>
        <w:t>1人、水电工2人、保洁员14人、绿化普工</w:t>
      </w:r>
      <w:r>
        <w:rPr>
          <w:rFonts w:ascii="仿宋_GB2312" w:hAnsi="仿宋_GB2312" w:cs="仿宋_GB2312" w:eastAsia="仿宋_GB2312"/>
          <w:sz w:val="24"/>
        </w:rPr>
        <w:t>1</w:t>
      </w:r>
      <w:r>
        <w:rPr>
          <w:rFonts w:ascii="仿宋_GB2312" w:hAnsi="仿宋_GB2312" w:cs="仿宋_GB2312" w:eastAsia="仿宋_GB2312"/>
          <w:sz w:val="24"/>
        </w:rPr>
        <w:t>人；图书管理员</w:t>
      </w:r>
      <w:r>
        <w:rPr>
          <w:rFonts w:ascii="仿宋_GB2312" w:hAnsi="仿宋_GB2312" w:cs="仿宋_GB2312" w:eastAsia="仿宋_GB2312"/>
          <w:sz w:val="24"/>
        </w:rPr>
        <w:t>1人、文员1人。各校具体人员配置及要求如下：</w:t>
      </w:r>
    </w:p>
    <w:p>
      <w:pPr>
        <w:pStyle w:val="null3"/>
        <w:jc w:val="both"/>
      </w:pPr>
      <w:r>
        <w:rPr>
          <w:rFonts w:ascii="仿宋_GB2312" w:hAnsi="仿宋_GB2312" w:cs="仿宋_GB2312" w:eastAsia="仿宋_GB2312"/>
          <w:sz w:val="24"/>
        </w:rPr>
        <w:t>（一）各校人员配置</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696"/>
        <w:gridCol w:w="1469"/>
        <w:gridCol w:w="957"/>
        <w:gridCol w:w="970"/>
        <w:gridCol w:w="1186"/>
        <w:gridCol w:w="1011"/>
      </w:tblGrid>
      <w:tr>
        <w:tc>
          <w:tcPr>
            <w:tcW w:type="dxa" w:w="2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学校名称</w:t>
            </w:r>
          </w:p>
        </w:tc>
        <w:tc>
          <w:tcPr>
            <w:tcW w:type="dxa" w:w="1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管理人员</w:t>
            </w:r>
          </w:p>
        </w:tc>
        <w:tc>
          <w:tcPr>
            <w:tcW w:type="dxa" w:w="9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水电工</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保洁</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绿化</w:t>
            </w:r>
          </w:p>
        </w:tc>
        <w:tc>
          <w:tcPr>
            <w:tcW w:type="dxa" w:w="1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合计</w:t>
            </w: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金海小学</w:t>
            </w:r>
          </w:p>
        </w:tc>
        <w:tc>
          <w:tcPr>
            <w:tcW w:type="dxa" w:w="1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9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6</w:t>
            </w:r>
          </w:p>
        </w:tc>
        <w:tc>
          <w:tcPr>
            <w:tcW w:type="dxa" w:w="1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翔安区莲河小学</w:t>
            </w:r>
          </w:p>
        </w:tc>
        <w:tc>
          <w:tcPr>
            <w:tcW w:type="dxa" w:w="1469"/>
            <w:vMerge/>
            <w:tcBorders>
              <w:top w:val="none" w:color="000000" w:sz="4"/>
              <w:left w:val="single" w:color="000000" w:sz="4"/>
              <w:bottom w:val="single" w:color="000000" w:sz="4"/>
              <w:right w:val="single" w:color="000000" w:sz="4"/>
            </w:tcBorders>
          </w:tcPr>
          <w:p/>
        </w:tc>
        <w:tc>
          <w:tcPr>
            <w:tcW w:type="dxa" w:w="957"/>
            <w:vMerge/>
            <w:tcBorders>
              <w:top w:val="none" w:color="000000" w:sz="4"/>
              <w:left w:val="single" w:color="000000" w:sz="4"/>
              <w:bottom w:val="single" w:color="000000" w:sz="4"/>
              <w:right w:val="single" w:color="000000" w:sz="4"/>
            </w:tcBorders>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86"/>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翔安区霞浯小学</w:t>
            </w:r>
          </w:p>
        </w:tc>
        <w:tc>
          <w:tcPr>
            <w:tcW w:type="dxa" w:w="1469"/>
            <w:vMerge/>
            <w:tcBorders>
              <w:top w:val="none" w:color="000000" w:sz="4"/>
              <w:left w:val="single" w:color="000000" w:sz="4"/>
              <w:bottom w:val="single" w:color="000000" w:sz="4"/>
              <w:right w:val="single" w:color="000000" w:sz="4"/>
            </w:tcBorders>
          </w:tcPr>
          <w:p/>
        </w:tc>
        <w:tc>
          <w:tcPr>
            <w:tcW w:type="dxa" w:w="957"/>
            <w:vMerge/>
            <w:tcBorders>
              <w:top w:val="none" w:color="000000" w:sz="4"/>
              <w:left w:val="single" w:color="000000" w:sz="4"/>
              <w:bottom w:val="single" w:color="000000" w:sz="4"/>
              <w:right w:val="single" w:color="000000" w:sz="4"/>
            </w:tcBorders>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86"/>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翔安区珩厝小学</w:t>
            </w:r>
          </w:p>
        </w:tc>
        <w:tc>
          <w:tcPr>
            <w:tcW w:type="dxa" w:w="1469"/>
            <w:vMerge/>
            <w:tcBorders>
              <w:top w:val="none" w:color="000000" w:sz="4"/>
              <w:left w:val="single" w:color="000000" w:sz="4"/>
              <w:bottom w:val="single" w:color="000000" w:sz="4"/>
              <w:right w:val="single" w:color="000000" w:sz="4"/>
            </w:tcBorders>
          </w:tcPr>
          <w:p/>
        </w:tc>
        <w:tc>
          <w:tcPr>
            <w:tcW w:type="dxa" w:w="957"/>
            <w:vMerge/>
            <w:tcBorders>
              <w:top w:val="none" w:color="000000" w:sz="4"/>
              <w:left w:val="single" w:color="000000" w:sz="4"/>
              <w:bottom w:val="single" w:color="000000" w:sz="4"/>
              <w:right w:val="single" w:color="000000" w:sz="4"/>
            </w:tcBorders>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86"/>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翔安区东园小学</w:t>
            </w:r>
          </w:p>
        </w:tc>
        <w:tc>
          <w:tcPr>
            <w:tcW w:type="dxa" w:w="1469"/>
            <w:vMerge/>
            <w:tcBorders>
              <w:top w:val="none" w:color="000000" w:sz="4"/>
              <w:left w:val="single" w:color="000000" w:sz="4"/>
              <w:bottom w:val="single" w:color="000000" w:sz="4"/>
              <w:right w:val="single" w:color="000000" w:sz="4"/>
            </w:tcBorders>
          </w:tcPr>
          <w:p/>
        </w:tc>
        <w:tc>
          <w:tcPr>
            <w:tcW w:type="dxa" w:w="957"/>
            <w:vMerge/>
            <w:tcBorders>
              <w:top w:val="none" w:color="000000" w:sz="4"/>
              <w:left w:val="single" w:color="000000" w:sz="4"/>
              <w:bottom w:val="single" w:color="000000" w:sz="4"/>
              <w:right w:val="single" w:color="000000" w:sz="4"/>
            </w:tcBorders>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86"/>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翔安区溪尾回汉小学</w:t>
            </w:r>
          </w:p>
        </w:tc>
        <w:tc>
          <w:tcPr>
            <w:tcW w:type="dxa" w:w="1469"/>
            <w:vMerge/>
            <w:tcBorders>
              <w:top w:val="none" w:color="000000" w:sz="4"/>
              <w:left w:val="single" w:color="000000" w:sz="4"/>
              <w:bottom w:val="single" w:color="000000" w:sz="4"/>
              <w:right w:val="single" w:color="000000" w:sz="4"/>
            </w:tcBorders>
          </w:tcPr>
          <w:p/>
        </w:tc>
        <w:tc>
          <w:tcPr>
            <w:tcW w:type="dxa" w:w="957"/>
            <w:vMerge/>
            <w:tcBorders>
              <w:top w:val="none" w:color="000000" w:sz="4"/>
              <w:left w:val="single" w:color="000000" w:sz="4"/>
              <w:bottom w:val="single" w:color="000000" w:sz="4"/>
              <w:right w:val="single" w:color="000000" w:sz="4"/>
            </w:tcBorders>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86"/>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翔安区洪厝小学</w:t>
            </w:r>
          </w:p>
        </w:tc>
        <w:tc>
          <w:tcPr>
            <w:tcW w:type="dxa" w:w="1469"/>
            <w:vMerge/>
            <w:tcBorders>
              <w:top w:val="none" w:color="000000" w:sz="4"/>
              <w:left w:val="single" w:color="000000" w:sz="4"/>
              <w:bottom w:val="single" w:color="000000" w:sz="4"/>
              <w:right w:val="single" w:color="000000" w:sz="4"/>
            </w:tcBorders>
          </w:tcPr>
          <w:p/>
        </w:tc>
        <w:tc>
          <w:tcPr>
            <w:tcW w:type="dxa" w:w="957"/>
            <w:vMerge/>
            <w:tcBorders>
              <w:top w:val="none" w:color="000000" w:sz="4"/>
              <w:left w:val="single" w:color="000000" w:sz="4"/>
              <w:bottom w:val="single" w:color="000000" w:sz="4"/>
              <w:right w:val="single" w:color="000000" w:sz="4"/>
            </w:tcBorders>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86"/>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翔安区许厝小学</w:t>
            </w:r>
          </w:p>
        </w:tc>
        <w:tc>
          <w:tcPr>
            <w:tcW w:type="dxa" w:w="1469"/>
            <w:vMerge/>
            <w:tcBorders>
              <w:top w:val="none" w:color="000000" w:sz="4"/>
              <w:left w:val="single" w:color="000000" w:sz="4"/>
              <w:bottom w:val="single" w:color="000000" w:sz="4"/>
              <w:right w:val="single" w:color="000000" w:sz="4"/>
            </w:tcBorders>
          </w:tcPr>
          <w:p/>
        </w:tc>
        <w:tc>
          <w:tcPr>
            <w:tcW w:type="dxa" w:w="957"/>
            <w:vMerge/>
            <w:tcBorders>
              <w:top w:val="none" w:color="000000" w:sz="4"/>
              <w:left w:val="single" w:color="000000" w:sz="4"/>
              <w:bottom w:val="single" w:color="000000" w:sz="4"/>
              <w:right w:val="single" w:color="000000" w:sz="4"/>
            </w:tcBorders>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86"/>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翔安区蔡厝小学</w:t>
            </w:r>
          </w:p>
        </w:tc>
        <w:tc>
          <w:tcPr>
            <w:tcW w:type="dxa" w:w="1469"/>
            <w:vMerge/>
            <w:tcBorders>
              <w:top w:val="none" w:color="000000" w:sz="4"/>
              <w:left w:val="single" w:color="000000" w:sz="4"/>
              <w:bottom w:val="single" w:color="000000" w:sz="4"/>
              <w:right w:val="single" w:color="000000" w:sz="4"/>
            </w:tcBorders>
          </w:tcPr>
          <w:p/>
        </w:tc>
        <w:tc>
          <w:tcPr>
            <w:tcW w:type="dxa" w:w="957"/>
            <w:vMerge/>
            <w:tcBorders>
              <w:top w:val="none" w:color="000000" w:sz="4"/>
              <w:left w:val="single" w:color="000000" w:sz="4"/>
              <w:bottom w:val="single" w:color="000000" w:sz="4"/>
              <w:right w:val="single" w:color="000000" w:sz="4"/>
            </w:tcBorders>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86"/>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14</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18</w:t>
            </w:r>
          </w:p>
        </w:tc>
      </w:tr>
      <w:tr>
        <w:tc>
          <w:tcPr>
            <w:tcW w:type="dxa" w:w="2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学校后勤</w:t>
            </w: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图书管理员</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96"/>
            <w:vMerge/>
            <w:tcBorders>
              <w:top w:val="none" w:color="000000" w:sz="4"/>
              <w:left w:val="single" w:color="000000" w:sz="4"/>
              <w:bottom w:val="single" w:color="000000" w:sz="4"/>
              <w:right w:val="single" w:color="000000" w:sz="4"/>
            </w:tcBorders>
          </w:tcP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文员</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合计</w:t>
            </w: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bl>
    <w:p>
      <w:pPr>
        <w:pStyle w:val="null3"/>
        <w:jc w:val="left"/>
      </w:pPr>
      <w:r>
        <w:rPr>
          <w:rFonts w:ascii="仿宋_GB2312" w:hAnsi="仿宋_GB2312" w:cs="仿宋_GB2312" w:eastAsia="仿宋_GB2312"/>
          <w:sz w:val="24"/>
        </w:rPr>
        <w:t>（二）物业服务人员要求</w:t>
      </w:r>
    </w:p>
    <w:p>
      <w:pPr>
        <w:pStyle w:val="null3"/>
        <w:jc w:val="left"/>
      </w:pPr>
      <w:r>
        <w:rPr>
          <w:rFonts w:ascii="仿宋_GB2312" w:hAnsi="仿宋_GB2312" w:cs="仿宋_GB2312" w:eastAsia="仿宋_GB2312"/>
          <w:sz w:val="24"/>
        </w:rPr>
        <w:t>1、物业管理人员</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0"/>
        <w:gridCol w:w="2230"/>
        <w:gridCol w:w="1469"/>
        <w:gridCol w:w="2978"/>
      </w:tblGrid>
      <w:tr>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岗位名称</w:t>
            </w:r>
          </w:p>
        </w:tc>
        <w:tc>
          <w:tcPr>
            <w:tcW w:type="dxa" w:w="2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物业管理员</w:t>
            </w:r>
          </w:p>
        </w:tc>
        <w:tc>
          <w:tcPr>
            <w:tcW w:type="dxa" w:w="1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学历要求</w:t>
            </w:r>
          </w:p>
        </w:tc>
        <w:tc>
          <w:tcPr>
            <w:tcW w:type="dxa" w:w="2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本科</w:t>
            </w:r>
            <w:r>
              <w:rPr>
                <w:rFonts w:ascii="仿宋_GB2312" w:hAnsi="仿宋_GB2312" w:cs="仿宋_GB2312" w:eastAsia="仿宋_GB2312"/>
                <w:sz w:val="24"/>
              </w:rPr>
              <w:t>及以上学历</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工作经验</w:t>
            </w:r>
          </w:p>
        </w:tc>
        <w:tc>
          <w:tcPr>
            <w:tcW w:type="dxa" w:w="66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三年以上物业管理服务工作经验</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任职资格</w:t>
            </w:r>
          </w:p>
        </w:tc>
        <w:tc>
          <w:tcPr>
            <w:tcW w:type="dxa" w:w="66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普通话标准，会简单的电脑操作</w:t>
            </w:r>
          </w:p>
          <w:p>
            <w:pPr>
              <w:pStyle w:val="null3"/>
              <w:jc w:val="left"/>
            </w:pPr>
            <w:r>
              <w:rPr>
                <w:rFonts w:ascii="仿宋_GB2312" w:hAnsi="仿宋_GB2312" w:cs="仿宋_GB2312" w:eastAsia="仿宋_GB2312"/>
                <w:sz w:val="24"/>
              </w:rPr>
              <w:t>熟悉物业管理项目日常保安、保洁、绿化的管理工作</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其他要求</w:t>
            </w:r>
          </w:p>
        </w:tc>
        <w:tc>
          <w:tcPr>
            <w:tcW w:type="dxa" w:w="66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仪表端庄、态度和蔼、反应敏捷</w:t>
            </w:r>
          </w:p>
          <w:p>
            <w:pPr>
              <w:pStyle w:val="null3"/>
              <w:jc w:val="left"/>
            </w:pPr>
            <w:r>
              <w:rPr>
                <w:rFonts w:ascii="仿宋_GB2312" w:hAnsi="仿宋_GB2312" w:cs="仿宋_GB2312" w:eastAsia="仿宋_GB2312"/>
                <w:sz w:val="24"/>
              </w:rPr>
              <w:t>善于沟通，</w:t>
            </w:r>
            <w:r>
              <w:rPr>
                <w:rFonts w:ascii="仿宋_GB2312" w:hAnsi="仿宋_GB2312" w:cs="仿宋_GB2312" w:eastAsia="仿宋_GB2312"/>
                <w:sz w:val="24"/>
              </w:rPr>
              <w:t>表达能力强</w:t>
            </w:r>
          </w:p>
          <w:p>
            <w:pPr>
              <w:pStyle w:val="null3"/>
              <w:jc w:val="left"/>
            </w:pPr>
            <w:r>
              <w:rPr>
                <w:rFonts w:ascii="仿宋_GB2312" w:hAnsi="仿宋_GB2312" w:cs="仿宋_GB2312" w:eastAsia="仿宋_GB2312"/>
                <w:sz w:val="24"/>
              </w:rPr>
              <w:t>持有政府部门颁发的中级及以上职称证书（证书类型：物业管理相关的机电类或电力电气类或人力资源类或园林绿化类或环境管理类的职称证书）；</w:t>
            </w:r>
          </w:p>
          <w:p>
            <w:pPr>
              <w:pStyle w:val="null3"/>
              <w:jc w:val="left"/>
            </w:pPr>
            <w:r>
              <w:rPr>
                <w:rFonts w:ascii="仿宋_GB2312" w:hAnsi="仿宋_GB2312" w:cs="仿宋_GB2312" w:eastAsia="仿宋_GB2312"/>
                <w:sz w:val="24"/>
              </w:rPr>
              <w:t>具备</w:t>
            </w:r>
            <w:r>
              <w:rPr>
                <w:rFonts w:ascii="仿宋_GB2312" w:hAnsi="仿宋_GB2312" w:cs="仿宋_GB2312" w:eastAsia="仿宋_GB2312"/>
                <w:sz w:val="24"/>
              </w:rPr>
              <w:t>3年及以上的物业项目管理经验（需在项目中担任项目负责人（项目经理）或物业主任），不同项目的经验时间可累计计算，但同一时期担任不同项目的项目负责人（项目经理）或物业主任，只能按服务时间较长的计算）。</w:t>
            </w:r>
            <w:r>
              <w:br/>
            </w:r>
            <w:r>
              <w:rPr>
                <w:rFonts w:ascii="仿宋_GB2312" w:hAnsi="仿宋_GB2312" w:cs="仿宋_GB2312" w:eastAsia="仿宋_GB2312"/>
                <w:sz w:val="24"/>
              </w:rPr>
              <w:t>具有【中级（四级）或以上建（构）筑物消防员证书】或【中级（四级）或以上消防设施操作员证书】</w:t>
            </w:r>
          </w:p>
          <w:p>
            <w:pPr>
              <w:pStyle w:val="null3"/>
              <w:jc w:val="left"/>
            </w:pPr>
            <w:r>
              <w:rPr>
                <w:rFonts w:ascii="仿宋_GB2312" w:hAnsi="仿宋_GB2312" w:cs="仿宋_GB2312" w:eastAsia="仿宋_GB2312"/>
                <w:sz w:val="24"/>
              </w:rPr>
              <w:t>物业管理员</w:t>
            </w:r>
            <w:r>
              <w:rPr>
                <w:rFonts w:ascii="仿宋_GB2312" w:hAnsi="仿宋_GB2312" w:cs="仿宋_GB2312" w:eastAsia="仿宋_GB2312"/>
                <w:sz w:val="24"/>
              </w:rPr>
              <w:t>需</w:t>
            </w:r>
            <w:r>
              <w:rPr>
                <w:rFonts w:ascii="仿宋_GB2312" w:hAnsi="仿宋_GB2312" w:cs="仿宋_GB2312" w:eastAsia="仿宋_GB2312"/>
                <w:sz w:val="24"/>
              </w:rPr>
              <w:t>承担诸如消防设施定期巡检、简易故障排除、协助开展消防应急演练等消防相关工作</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sz w:val="24"/>
        </w:rPr>
        <w:t>2、保洁员</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0"/>
        <w:gridCol w:w="1600"/>
        <w:gridCol w:w="1351"/>
        <w:gridCol w:w="3713"/>
      </w:tblGrid>
      <w:tr>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岗位名称</w:t>
            </w:r>
          </w:p>
        </w:tc>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保洁员</w:t>
            </w:r>
          </w:p>
        </w:tc>
        <w:tc>
          <w:tcPr>
            <w:tcW w:type="dxa" w:w="1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学历要求</w:t>
            </w:r>
          </w:p>
        </w:tc>
        <w:tc>
          <w:tcPr>
            <w:tcW w:type="dxa" w:w="3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初中及以上学历</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适应性别</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w:t>
            </w:r>
            <w:r>
              <w:rPr>
                <w:rFonts w:ascii="仿宋_GB2312" w:hAnsi="仿宋_GB2312" w:cs="仿宋_GB2312" w:eastAsia="仿宋_GB2312"/>
                <w:sz w:val="24"/>
              </w:rPr>
              <w:t>/女不限</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适应年龄</w:t>
            </w:r>
          </w:p>
        </w:tc>
        <w:tc>
          <w:tcPr>
            <w:tcW w:type="dxa" w:w="3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w:t>
            </w:r>
            <w:r>
              <w:rPr>
                <w:rFonts w:ascii="仿宋_GB2312" w:hAnsi="仿宋_GB2312" w:cs="仿宋_GB2312" w:eastAsia="仿宋_GB2312"/>
                <w:sz w:val="24"/>
              </w:rPr>
              <w:t>35-58周岁，女35-53周岁</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专业要求</w:t>
            </w:r>
          </w:p>
        </w:tc>
        <w:tc>
          <w:tcPr>
            <w:tcW w:type="dxa" w:w="66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工作经验</w:t>
            </w:r>
          </w:p>
        </w:tc>
        <w:tc>
          <w:tcPr>
            <w:tcW w:type="dxa" w:w="66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两年以上保洁经验</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任职资格</w:t>
            </w:r>
          </w:p>
        </w:tc>
        <w:tc>
          <w:tcPr>
            <w:tcW w:type="dxa" w:w="66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同民医院体检合格，普通话表达通畅，认真、负责、敬业、踏实肯干</w:t>
            </w:r>
          </w:p>
          <w:p>
            <w:pPr>
              <w:pStyle w:val="null3"/>
              <w:jc w:val="left"/>
            </w:pP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其他要求</w:t>
            </w:r>
          </w:p>
        </w:tc>
        <w:tc>
          <w:tcPr>
            <w:tcW w:type="dxa" w:w="66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保洁员具备垃圾分类处置专项职业能力证书。</w:t>
            </w:r>
          </w:p>
        </w:tc>
      </w:tr>
    </w:tbl>
    <w:p>
      <w:pPr>
        <w:pStyle w:val="null3"/>
        <w:jc w:val="left"/>
      </w:pPr>
      <w:r>
        <w:rPr>
          <w:rFonts w:ascii="仿宋_GB2312" w:hAnsi="仿宋_GB2312" w:cs="仿宋_GB2312" w:eastAsia="仿宋_GB2312"/>
          <w:sz w:val="24"/>
        </w:rPr>
        <w:t>3、水电工</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0"/>
        <w:gridCol w:w="2440"/>
        <w:gridCol w:w="1233"/>
        <w:gridCol w:w="3004"/>
      </w:tblGrid>
      <w:tr>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岗位名称</w:t>
            </w:r>
          </w:p>
        </w:tc>
        <w:tc>
          <w:tcPr>
            <w:tcW w:type="dxa" w:w="2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水电工</w:t>
            </w:r>
          </w:p>
        </w:tc>
        <w:tc>
          <w:tcPr>
            <w:tcW w:type="dxa" w:w="1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学历要求</w:t>
            </w:r>
          </w:p>
        </w:tc>
        <w:tc>
          <w:tcPr>
            <w:tcW w:type="dxa" w:w="3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高中</w:t>
            </w:r>
            <w:r>
              <w:rPr>
                <w:rFonts w:ascii="仿宋_GB2312" w:hAnsi="仿宋_GB2312" w:cs="仿宋_GB2312" w:eastAsia="仿宋_GB2312"/>
                <w:sz w:val="24"/>
              </w:rPr>
              <w:t>及以上学历</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适应性别</w:t>
            </w:r>
          </w:p>
        </w:tc>
        <w:tc>
          <w:tcPr>
            <w:tcW w:type="dxa" w:w="2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适应年龄</w:t>
            </w:r>
          </w:p>
        </w:tc>
        <w:tc>
          <w:tcPr>
            <w:tcW w:type="dxa" w:w="3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0周岁以下</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工作经验</w:t>
            </w:r>
          </w:p>
        </w:tc>
        <w:tc>
          <w:tcPr>
            <w:tcW w:type="dxa" w:w="66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r>
              <w:rPr>
                <w:rFonts w:ascii="仿宋_GB2312" w:hAnsi="仿宋_GB2312" w:cs="仿宋_GB2312" w:eastAsia="仿宋_GB2312"/>
                <w:sz w:val="24"/>
              </w:rPr>
              <w:t>5年以上物业管理供、配电岗位，综合维修工作经验</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任职资格</w:t>
            </w:r>
          </w:p>
        </w:tc>
        <w:tc>
          <w:tcPr>
            <w:tcW w:type="dxa" w:w="66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熟悉高低压配电设备程序，巡回检查和维护保养</w:t>
            </w:r>
          </w:p>
          <w:p>
            <w:pPr>
              <w:pStyle w:val="null3"/>
              <w:jc w:val="left"/>
            </w:pPr>
            <w:r>
              <w:rPr>
                <w:rFonts w:ascii="仿宋_GB2312" w:hAnsi="仿宋_GB2312" w:cs="仿宋_GB2312" w:eastAsia="仿宋_GB2312"/>
                <w:sz w:val="24"/>
              </w:rPr>
              <w:t>熟悉水电工程、给排水及线路铺设</w:t>
            </w:r>
          </w:p>
          <w:p>
            <w:pPr>
              <w:pStyle w:val="null3"/>
              <w:jc w:val="left"/>
            </w:pPr>
            <w:r>
              <w:rPr>
                <w:rFonts w:ascii="仿宋_GB2312" w:hAnsi="仿宋_GB2312" w:cs="仿宋_GB2312" w:eastAsia="仿宋_GB2312"/>
                <w:sz w:val="24"/>
              </w:rPr>
              <w:t>自带交通工具，快速响应学校维修要求，保障学校设施设备完好；</w:t>
            </w:r>
          </w:p>
          <w:p>
            <w:pPr>
              <w:pStyle w:val="null3"/>
              <w:jc w:val="left"/>
            </w:pPr>
            <w:r>
              <w:rPr>
                <w:rFonts w:ascii="仿宋_GB2312" w:hAnsi="仿宋_GB2312" w:cs="仿宋_GB2312" w:eastAsia="仿宋_GB2312"/>
                <w:sz w:val="24"/>
              </w:rPr>
              <w:t>具有安全防患意识及解决水电安全隐患的能力。</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专业技能</w:t>
            </w:r>
            <w:r>
              <w:rPr>
                <w:rFonts w:ascii="仿宋_GB2312" w:hAnsi="仿宋_GB2312" w:cs="仿宋_GB2312" w:eastAsia="仿宋_GB2312"/>
                <w:sz w:val="24"/>
              </w:rPr>
              <w:t>/职称</w:t>
            </w:r>
          </w:p>
        </w:tc>
        <w:tc>
          <w:tcPr>
            <w:tcW w:type="dxa" w:w="66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w:t>
            </w:r>
            <w:r>
              <w:rPr>
                <w:rFonts w:ascii="仿宋_GB2312" w:hAnsi="仿宋_GB2312" w:cs="仿宋_GB2312" w:eastAsia="仿宋_GB2312"/>
                <w:sz w:val="24"/>
                <w:b/>
              </w:rPr>
              <w:t>1、本项目配备的</w:t>
            </w:r>
            <w:r>
              <w:rPr>
                <w:rFonts w:ascii="仿宋_GB2312" w:hAnsi="仿宋_GB2312" w:cs="仿宋_GB2312" w:eastAsia="仿宋_GB2312"/>
                <w:sz w:val="24"/>
                <w:b/>
              </w:rPr>
              <w:t>水电工</w:t>
            </w:r>
            <w:r>
              <w:rPr>
                <w:rFonts w:ascii="仿宋_GB2312" w:hAnsi="仿宋_GB2312" w:cs="仿宋_GB2312" w:eastAsia="仿宋_GB2312"/>
                <w:sz w:val="24"/>
                <w:b/>
              </w:rPr>
              <w:t>至少一人具有【中华人民共和国特种作业操作证】准操项目为高压电工作业及【中华人民共和国特种作业操作证】准操项目为低压电工作业证；提供证书扫描件。</w:t>
            </w:r>
          </w:p>
          <w:p>
            <w:pPr>
              <w:pStyle w:val="null3"/>
              <w:jc w:val="left"/>
            </w:pPr>
            <w:r>
              <w:rPr>
                <w:rFonts w:ascii="仿宋_GB2312" w:hAnsi="仿宋_GB2312" w:cs="仿宋_GB2312" w:eastAsia="仿宋_GB2312"/>
                <w:sz w:val="24"/>
              </w:rPr>
              <w:t>2、具有【特种作业操作证（作业类别：制冷与空调作业）】；</w:t>
            </w:r>
            <w:r>
              <w:br/>
            </w:r>
            <w:r>
              <w:rPr>
                <w:rFonts w:ascii="仿宋_GB2312" w:hAnsi="仿宋_GB2312" w:cs="仿宋_GB2312" w:eastAsia="仿宋_GB2312"/>
                <w:sz w:val="24"/>
              </w:rPr>
              <w:t>3、具有</w:t>
            </w:r>
            <w:r>
              <w:rPr>
                <w:rFonts w:ascii="仿宋_GB2312" w:hAnsi="仿宋_GB2312" w:cs="仿宋_GB2312" w:eastAsia="仿宋_GB2312"/>
                <w:sz w:val="24"/>
              </w:rPr>
              <w:t>电梯安全管理员证即</w:t>
            </w:r>
            <w:r>
              <w:rPr>
                <w:rFonts w:ascii="仿宋_GB2312" w:hAnsi="仿宋_GB2312" w:cs="仿宋_GB2312" w:eastAsia="仿宋_GB2312"/>
                <w:sz w:val="24"/>
              </w:rPr>
              <w:t>【特种设备安全管理和作业人员证（项目代号：</w:t>
            </w:r>
            <w:r>
              <w:rPr>
                <w:rFonts w:ascii="仿宋_GB2312" w:hAnsi="仿宋_GB2312" w:cs="仿宋_GB2312" w:eastAsia="仿宋_GB2312"/>
                <w:sz w:val="24"/>
              </w:rPr>
              <w:t>A）】</w:t>
            </w:r>
          </w:p>
        </w:tc>
      </w:tr>
    </w:tbl>
    <w:p>
      <w:pPr>
        <w:pStyle w:val="null3"/>
        <w:jc w:val="left"/>
      </w:pPr>
      <w:r>
        <w:rPr>
          <w:rFonts w:ascii="仿宋_GB2312" w:hAnsi="仿宋_GB2312" w:cs="仿宋_GB2312" w:eastAsia="仿宋_GB2312"/>
          <w:sz w:val="24"/>
        </w:rPr>
        <w:t>4、绿化工</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0"/>
        <w:gridCol w:w="1233"/>
        <w:gridCol w:w="1482"/>
        <w:gridCol w:w="3962"/>
      </w:tblGrid>
      <w:tr>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岗位名称</w:t>
            </w:r>
          </w:p>
        </w:tc>
        <w:tc>
          <w:tcPr>
            <w:tcW w:type="dxa" w:w="1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绿化工</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学历要求</w:t>
            </w:r>
          </w:p>
        </w:tc>
        <w:tc>
          <w:tcPr>
            <w:tcW w:type="dxa" w:w="3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初中及以上学历</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适应性别</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w:t>
            </w:r>
            <w:r>
              <w:rPr>
                <w:rFonts w:ascii="仿宋_GB2312" w:hAnsi="仿宋_GB2312" w:cs="仿宋_GB2312" w:eastAsia="仿宋_GB2312"/>
                <w:sz w:val="24"/>
              </w:rPr>
              <w:t>/女</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适应年龄</w:t>
            </w:r>
          </w:p>
        </w:tc>
        <w:tc>
          <w:tcPr>
            <w:tcW w:type="dxa" w:w="3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w:t>
            </w:r>
            <w:r>
              <w:rPr>
                <w:rFonts w:ascii="仿宋_GB2312" w:hAnsi="仿宋_GB2312" w:cs="仿宋_GB2312" w:eastAsia="仿宋_GB2312"/>
                <w:sz w:val="24"/>
              </w:rPr>
              <w:t>60周岁以下，女55</w:t>
            </w:r>
            <w:r>
              <w:rPr>
                <w:rFonts w:ascii="仿宋_GB2312" w:hAnsi="仿宋_GB2312" w:cs="仿宋_GB2312" w:eastAsia="仿宋_GB2312"/>
                <w:sz w:val="24"/>
              </w:rPr>
              <w:t>周岁以下</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工作经验</w:t>
            </w:r>
          </w:p>
        </w:tc>
        <w:tc>
          <w:tcPr>
            <w:tcW w:type="dxa" w:w="66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具有农耕、绿化管理经验。</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任职资格</w:t>
            </w:r>
          </w:p>
        </w:tc>
        <w:tc>
          <w:tcPr>
            <w:tcW w:type="dxa" w:w="66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会使用绿化工器具、绿化消杀工具；</w:t>
            </w:r>
          </w:p>
          <w:p>
            <w:pPr>
              <w:pStyle w:val="null3"/>
              <w:jc w:val="left"/>
            </w:pPr>
            <w:r>
              <w:rPr>
                <w:rFonts w:ascii="仿宋_GB2312" w:hAnsi="仿宋_GB2312" w:cs="仿宋_GB2312" w:eastAsia="仿宋_GB2312"/>
                <w:sz w:val="24"/>
              </w:rPr>
              <w:t>普通话表达通畅；</w:t>
            </w:r>
          </w:p>
          <w:p>
            <w:pPr>
              <w:pStyle w:val="null3"/>
              <w:jc w:val="left"/>
            </w:pPr>
            <w:r>
              <w:rPr>
                <w:rFonts w:ascii="仿宋_GB2312" w:hAnsi="仿宋_GB2312" w:cs="仿宋_GB2312" w:eastAsia="仿宋_GB2312"/>
                <w:sz w:val="24"/>
              </w:rPr>
              <w:t>绿化基础养护工作经验。</w:t>
            </w:r>
          </w:p>
        </w:tc>
      </w:tr>
      <w:tr>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其他要求</w:t>
            </w:r>
          </w:p>
        </w:tc>
        <w:tc>
          <w:tcPr>
            <w:tcW w:type="dxa" w:w="66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身体健康，工人认真、勤</w:t>
            </w:r>
            <w:r>
              <w:rPr>
                <w:rFonts w:ascii="仿宋_GB2312" w:hAnsi="仿宋_GB2312" w:cs="仿宋_GB2312" w:eastAsia="仿宋_GB2312"/>
                <w:sz w:val="24"/>
              </w:rPr>
              <w:t>恳、能吃苦</w:t>
            </w:r>
          </w:p>
          <w:p>
            <w:pPr>
              <w:pStyle w:val="null3"/>
              <w:jc w:val="left"/>
            </w:pPr>
            <w:r>
              <w:rPr>
                <w:rFonts w:ascii="仿宋_GB2312" w:hAnsi="仿宋_GB2312" w:cs="仿宋_GB2312" w:eastAsia="仿宋_GB2312"/>
                <w:sz w:val="24"/>
              </w:rPr>
              <w:t>具有【四级</w:t>
            </w:r>
            <w:r>
              <w:rPr>
                <w:rFonts w:ascii="仿宋_GB2312" w:hAnsi="仿宋_GB2312" w:cs="仿宋_GB2312" w:eastAsia="仿宋_GB2312"/>
                <w:sz w:val="24"/>
              </w:rPr>
              <w:t>/中级</w:t>
            </w:r>
            <w:r>
              <w:rPr>
                <w:rFonts w:ascii="仿宋_GB2312" w:hAnsi="仿宋_GB2312" w:cs="仿宋_GB2312" w:eastAsia="仿宋_GB2312"/>
                <w:sz w:val="24"/>
              </w:rPr>
              <w:t>及以上花</w:t>
            </w:r>
            <w:r>
              <w:rPr>
                <w:rFonts w:ascii="仿宋_GB2312" w:hAnsi="仿宋_GB2312" w:cs="仿宋_GB2312" w:eastAsia="仿宋_GB2312"/>
                <w:sz w:val="24"/>
              </w:rPr>
              <w:t>卉园艺师证】；</w:t>
            </w:r>
            <w:r>
              <w:br/>
            </w:r>
            <w:r>
              <w:rPr>
                <w:rFonts w:ascii="仿宋_GB2312" w:hAnsi="仿宋_GB2312" w:cs="仿宋_GB2312" w:eastAsia="仿宋_GB2312"/>
                <w:sz w:val="24"/>
              </w:rPr>
              <w:t>具有【四级</w:t>
            </w:r>
            <w:r>
              <w:rPr>
                <w:rFonts w:ascii="仿宋_GB2312" w:hAnsi="仿宋_GB2312" w:cs="仿宋_GB2312" w:eastAsia="仿宋_GB2312"/>
                <w:sz w:val="24"/>
              </w:rPr>
              <w:t>/中级</w:t>
            </w:r>
            <w:r>
              <w:rPr>
                <w:rFonts w:ascii="仿宋_GB2312" w:hAnsi="仿宋_GB2312" w:cs="仿宋_GB2312" w:eastAsia="仿宋_GB2312"/>
                <w:sz w:val="24"/>
              </w:rPr>
              <w:t>及以上植</w:t>
            </w:r>
            <w:r>
              <w:rPr>
                <w:rFonts w:ascii="仿宋_GB2312" w:hAnsi="仿宋_GB2312" w:cs="仿宋_GB2312" w:eastAsia="仿宋_GB2312"/>
                <w:sz w:val="24"/>
              </w:rPr>
              <w:t>保工证】；</w:t>
            </w:r>
          </w:p>
        </w:tc>
      </w:tr>
    </w:tbl>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物业服务标准</w:t>
      </w:r>
    </w:p>
    <w:p>
      <w:pPr>
        <w:pStyle w:val="null3"/>
        <w:ind w:firstLine="482"/>
      </w:pPr>
      <w:r>
        <w:rPr>
          <w:rFonts w:ascii="仿宋_GB2312" w:hAnsi="仿宋_GB2312" w:cs="仿宋_GB2312" w:eastAsia="仿宋_GB2312"/>
          <w:sz w:val="24"/>
          <w:b/>
        </w:rPr>
        <w:t>1、保洁服务</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校园</w:t>
      </w:r>
      <w:r>
        <w:rPr>
          <w:rFonts w:ascii="仿宋_GB2312" w:hAnsi="仿宋_GB2312" w:cs="仿宋_GB2312" w:eastAsia="仿宋_GB2312"/>
          <w:sz w:val="24"/>
        </w:rPr>
        <w:t>服务时间：</w:t>
      </w:r>
      <w:r>
        <w:rPr>
          <w:rFonts w:ascii="仿宋_GB2312" w:hAnsi="仿宋_GB2312" w:cs="仿宋_GB2312" w:eastAsia="仿宋_GB2312"/>
          <w:sz w:val="24"/>
        </w:rPr>
        <w:t>7：00-11：00、14：00-17:30 ，每周休息1天。</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2、对外开放活动场地服务时间：周一至周五（法定节假日和寒暑假除外）19:00-21:00，周末、法定节假日和寒暑假9：00-21:00。</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3、配置多功能保洁车、高压水枪等专业设备，提高校园保洁效率。</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、保洁服务区域：各学校楼层走道、卫生间、行政办公室、操场绿地等，保洁员必须做到垃圾归类处理，按照垃圾分类要求完成归类；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5、保洁工应按公司统一规定着装，佩带胸卡，仪容仪表整洁端庄。</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6、清运垃圾应按照指定路线行走，垃圾处理应袋装化。</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7、根据学校延时教学的实际情况，适当调整保洁的作业时间，保障校园干净。</w:t>
      </w:r>
    </w:p>
    <w:p>
      <w:pPr>
        <w:pStyle w:val="null3"/>
        <w:ind w:firstLine="482"/>
        <w:jc w:val="both"/>
      </w:pPr>
      <w:r>
        <w:rPr>
          <w:rFonts w:ascii="仿宋_GB2312" w:hAnsi="仿宋_GB2312" w:cs="仿宋_GB2312" w:eastAsia="仿宋_GB2312"/>
          <w:sz w:val="24"/>
          <w:b/>
        </w:rPr>
        <w:t>2、绿化养护</w:t>
      </w:r>
    </w:p>
    <w:p>
      <w:pPr>
        <w:pStyle w:val="null3"/>
        <w:ind w:firstLine="480"/>
        <w:jc w:val="both"/>
      </w:pPr>
      <w:r>
        <w:rPr>
          <w:rFonts w:ascii="仿宋_GB2312" w:hAnsi="仿宋_GB2312" w:cs="仿宋_GB2312" w:eastAsia="仿宋_GB2312"/>
          <w:sz w:val="24"/>
        </w:rPr>
        <w:t>2.1、金海小学配置1名专职绿化工，其它学校共用绿化普工，片区管理。绿化修剪由公司统一安排绿化技工进场修剪，相关的技术人员、修剪器械、修剪汽油、刀片等耗材由物业公司负责。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2、根据气候条件、生长环境及植物的习性进行适量浇水，贯彻“预防为主、综合防治”的病虫害防治基本原则。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3、整形修剪：整形修剪由公司绿化技工负责修剪，根据技工的技术特长对相应品种的绿植进行修剪造型；根据其不同的绿植生长习性制定 修剪频次，金海小学修剪不少于8次，其它完小每年修剪不少于6次。在台风季节前增加修剪次数，疏枝，缩冠减少阻力。不同的绿植绿篱的高度应保持在80～90cm左右，草皮高度不超过6cm,根据冠木品种整形，球型或圆柱形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成交供应商负责</w:t>
      </w:r>
      <w:r>
        <w:rPr>
          <w:rFonts w:ascii="仿宋_GB2312" w:hAnsi="仿宋_GB2312" w:cs="仿宋_GB2312" w:eastAsia="仿宋_GB2312"/>
          <w:sz w:val="24"/>
        </w:rPr>
        <w:t>绿化垃圾清运</w:t>
      </w:r>
      <w:r>
        <w:rPr>
          <w:rFonts w:ascii="仿宋_GB2312" w:hAnsi="仿宋_GB2312" w:cs="仿宋_GB2312" w:eastAsia="仿宋_GB2312"/>
          <w:sz w:val="24"/>
        </w:rPr>
        <w:t>及相关费用</w:t>
      </w:r>
      <w:r>
        <w:rPr>
          <w:rFonts w:ascii="仿宋_GB2312" w:hAnsi="仿宋_GB2312" w:cs="仿宋_GB2312" w:eastAsia="仿宋_GB2312"/>
          <w:sz w:val="24"/>
        </w:rPr>
        <w:t>：绿化垃圾及时修剪、及时收集，修剪均安排在周末、节假日，避开学生上课时间，避免影响学校上课；及时通知市政进行垃圾清运，做好清运车辆装车拍照，清运数量台帐记录，作为</w:t>
      </w:r>
      <w:r>
        <w:rPr>
          <w:rFonts w:ascii="仿宋_GB2312" w:hAnsi="仿宋_GB2312" w:cs="仿宋_GB2312" w:eastAsia="仿宋_GB2312"/>
          <w:sz w:val="24"/>
        </w:rPr>
        <w:t>成交供应商</w:t>
      </w:r>
      <w:r>
        <w:rPr>
          <w:rFonts w:ascii="仿宋_GB2312" w:hAnsi="仿宋_GB2312" w:cs="仿宋_GB2312" w:eastAsia="仿宋_GB2312"/>
          <w:sz w:val="24"/>
        </w:rPr>
        <w:t>与市政结算绿化清运费用的依据。</w:t>
      </w:r>
    </w:p>
    <w:p>
      <w:pPr>
        <w:pStyle w:val="null3"/>
        <w:ind w:firstLine="482"/>
        <w:jc w:val="both"/>
      </w:pPr>
      <w:r>
        <w:rPr>
          <w:rFonts w:ascii="仿宋_GB2312" w:hAnsi="仿宋_GB2312" w:cs="仿宋_GB2312" w:eastAsia="仿宋_GB2312"/>
          <w:sz w:val="24"/>
          <w:b/>
        </w:rPr>
        <w:t>3、设施设备维护、水电维修</w:t>
      </w:r>
    </w:p>
    <w:p>
      <w:pPr>
        <w:pStyle w:val="null3"/>
        <w:ind w:firstLine="480"/>
        <w:jc w:val="both"/>
      </w:pPr>
      <w:r>
        <w:rPr>
          <w:rFonts w:ascii="仿宋_GB2312" w:hAnsi="仿宋_GB2312" w:cs="仿宋_GB2312" w:eastAsia="仿宋_GB2312"/>
          <w:sz w:val="24"/>
        </w:rPr>
        <w:t>因学校片区跨度较远，配置</w:t>
      </w:r>
      <w:r>
        <w:rPr>
          <w:rFonts w:ascii="仿宋_GB2312" w:hAnsi="仿宋_GB2312" w:cs="仿宋_GB2312" w:eastAsia="仿宋_GB2312"/>
          <w:sz w:val="24"/>
        </w:rPr>
        <w:t>2名水电工，实行区域责任制，金海、凤翔片区；香山片区，保障维修的及时率。</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1、设施设备维护维修范围：水电工负责设施设备巡查，水电零星维修，维修材料由学校提供。</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2、妥善保管图纸、消防验收等技术资料；根据巡查计划、每天、每周、每月、每季度对设施设备进行巡查并登记。</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3、水电零星维修：水电工每月根据学校使用耗材情况制度月度采购计划，经项目主任确认后报学校总务采购，水电工做好日常维修记录，水电设施耗材按需领用，做好出库记录与维修记录匹配。</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4、维修耗材管理：根据学校维修</w:t>
      </w:r>
      <w:r>
        <w:rPr>
          <w:rFonts w:ascii="仿宋_GB2312" w:hAnsi="仿宋_GB2312" w:cs="仿宋_GB2312" w:eastAsia="仿宋_GB2312"/>
          <w:sz w:val="21"/>
        </w:rPr>
        <w:t>情况，每月向学校提出采购计划，耗材实施进出仓管理制度，每月盘点一次耗材。</w:t>
      </w:r>
    </w:p>
    <w:p>
      <w:pPr>
        <w:pStyle w:val="null3"/>
      </w:pPr>
      <w:r>
        <w:rPr>
          <w:rFonts w:ascii="仿宋_GB2312" w:hAnsi="仿宋_GB2312" w:cs="仿宋_GB2312" w:eastAsia="仿宋_GB2312"/>
          <w:sz w:val="21"/>
        </w:rPr>
        <w:t>（四）现场踏勘</w:t>
      </w:r>
    </w:p>
    <w:p>
      <w:pPr>
        <w:pStyle w:val="null3"/>
      </w:pPr>
      <w:r>
        <w:rPr>
          <w:rFonts w:ascii="仿宋_GB2312" w:hAnsi="仿宋_GB2312" w:cs="仿宋_GB2312" w:eastAsia="仿宋_GB2312"/>
          <w:sz w:val="21"/>
        </w:rPr>
        <w:t>1、本项目组织统一踏勘，踏勘时间：报名截止之日后第一个工作日上午09:30—10:30期间，逾期不候。供应商可自行对项目现场及周围环境进行踏勘，以便获取有关编制响应文件和签署合同所涉及现场的资料。供应商应自行承担踏勘现场所发生的所有费用。</w:t>
      </w:r>
    </w:p>
    <w:p>
      <w:pPr>
        <w:pStyle w:val="null3"/>
      </w:pPr>
      <w:r>
        <w:rPr>
          <w:rFonts w:ascii="仿宋_GB2312" w:hAnsi="仿宋_GB2312" w:cs="仿宋_GB2312" w:eastAsia="仿宋_GB2312"/>
          <w:sz w:val="21"/>
        </w:rPr>
        <w:t>2、现场踏勘联系人：林老师，联系方式：0592-7680863。</w:t>
      </w:r>
    </w:p>
    <w:p>
      <w:pPr>
        <w:pStyle w:val="null3"/>
      </w:pPr>
      <w:r>
        <w:rPr>
          <w:rFonts w:ascii="仿宋_GB2312" w:hAnsi="仿宋_GB2312" w:cs="仿宋_GB2312" w:eastAsia="仿宋_GB2312"/>
          <w:sz w:val="21"/>
        </w:rPr>
        <w:t>3、供应商及其人员经过采购人允许，可以踏勘为目的进入项目现场，但供应商及其人员不得因此使采购人及其人员承担有关的责任和蒙受损失。供应商并应对由此次踏勘现场而造成的任何损失、损害和引起的费用和开支承担责任。</w:t>
      </w:r>
    </w:p>
    <w:p>
      <w:pPr>
        <w:pStyle w:val="null3"/>
      </w:pPr>
      <w:r>
        <w:rPr>
          <w:rFonts w:ascii="仿宋_GB2312" w:hAnsi="仿宋_GB2312" w:cs="仿宋_GB2312" w:eastAsia="仿宋_GB2312"/>
          <w:sz w:val="21"/>
        </w:rPr>
        <w:t>4、采购人向供应商提供的有关现场的资料和数据，是采购人现有的能被供应商利用的资料。采购人对供应商做出的理解、推论和结论均不负责任。</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1.服务期：一年。 2、通过竞争性方式采购的上述服务项目到期时，在预算资金有保障、服务价格不提高的前提下，采购单位可向中标(成交)供应商延续采购，原合同与延续合同的期限累计不得超过2年。</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服务地点：厦门市范围内采购人指定地点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按采购文件及合同要求，经采购人验收合格</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1、期次1，说明：成交供应商提供的工作成果必须符合国 家相应的有关标准、规范要求。采购人根据磋商文件、成交供应商的响应文件、合同及中华人民共和国 有关标准进行验收。</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季度进行支付，每季度服务完成后，成交供应商提供相应结算资料（包含发票等），采购人支付已完成服务费。如果遇到年终结算以及月末结算等特殊情况，经双方协商一致，成交供应商可以提前按照当季度向采购人开具发票，由采购人安排支付相应的价款，达到付款条件起7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8.验收条件</w:t>
      </w:r>
    </w:p>
    <w:p>
      <w:pPr>
        <w:pStyle w:val="null3"/>
        <w:ind w:firstLine="480"/>
      </w:pPr>
      <w:r>
        <w:rPr>
          <w:rFonts w:ascii="仿宋_GB2312" w:hAnsi="仿宋_GB2312" w:cs="仿宋_GB2312" w:eastAsia="仿宋_GB2312"/>
          <w:sz w:val="24"/>
        </w:rPr>
        <w:t>8.1验收依据</w:t>
      </w:r>
    </w:p>
    <w:p>
      <w:pPr>
        <w:pStyle w:val="null3"/>
        <w:ind w:firstLine="480"/>
      </w:pPr>
      <w:r>
        <w:rPr>
          <w:rFonts w:ascii="仿宋_GB2312" w:hAnsi="仿宋_GB2312" w:cs="仿宋_GB2312" w:eastAsia="仿宋_GB2312"/>
          <w:sz w:val="24"/>
        </w:rPr>
        <w:t>采购文件、成交供应商的响应文件、合同及双方认可的采购人与成交供应商双方达成的其他书面协议和确认文件及国家规定的相关标准、成交供应商按照采购人要求交付的验收文档。</w:t>
      </w:r>
    </w:p>
    <w:p>
      <w:pPr>
        <w:pStyle w:val="null3"/>
        <w:ind w:firstLine="480"/>
      </w:pPr>
      <w:r>
        <w:rPr>
          <w:rFonts w:ascii="仿宋_GB2312" w:hAnsi="仿宋_GB2312" w:cs="仿宋_GB2312" w:eastAsia="仿宋_GB2312"/>
          <w:sz w:val="24"/>
        </w:rPr>
        <w:t>8.2验收方式</w:t>
      </w:r>
    </w:p>
    <w:p>
      <w:pPr>
        <w:pStyle w:val="null3"/>
        <w:ind w:firstLine="480"/>
      </w:pPr>
      <w:r>
        <w:rPr>
          <w:rFonts w:ascii="仿宋_GB2312" w:hAnsi="仿宋_GB2312" w:cs="仿宋_GB2312" w:eastAsia="仿宋_GB2312"/>
          <w:sz w:val="24"/>
        </w:rPr>
        <w:t>服务期满后，采购人对成交供应商是否全面履行服务进行验收，并出具相关验收结果证明。项目验收由成交供应商提出书面申请，验收时成交供应商必须派代表参加。</w:t>
      </w:r>
    </w:p>
    <w:p>
      <w:pPr>
        <w:pStyle w:val="null3"/>
        <w:ind w:firstLine="480"/>
      </w:pPr>
      <w:r>
        <w:rPr>
          <w:rFonts w:ascii="仿宋_GB2312" w:hAnsi="仿宋_GB2312" w:cs="仿宋_GB2312" w:eastAsia="仿宋_GB2312"/>
          <w:sz w:val="24"/>
        </w:rPr>
        <w:t>8.3验收过程所发生的一切费用由成交供应商承担。</w:t>
      </w:r>
    </w:p>
    <w:p>
      <w:pPr>
        <w:pStyle w:val="null3"/>
        <w:ind w:firstLine="480"/>
      </w:pPr>
      <w:r>
        <w:rPr>
          <w:rFonts w:ascii="仿宋_GB2312" w:hAnsi="仿宋_GB2312" w:cs="仿宋_GB2312" w:eastAsia="仿宋_GB2312"/>
          <w:sz w:val="24"/>
        </w:rPr>
        <w:t>9.保密条款</w:t>
      </w:r>
    </w:p>
    <w:p>
      <w:pPr>
        <w:pStyle w:val="null3"/>
        <w:ind w:firstLine="480"/>
      </w:pPr>
      <w:r>
        <w:rPr>
          <w:rFonts w:ascii="仿宋_GB2312" w:hAnsi="仿宋_GB2312" w:cs="仿宋_GB2312" w:eastAsia="仿宋_GB2312"/>
          <w:sz w:val="24"/>
        </w:rPr>
        <w:t>9.1成交供应商在本项目履行合同中涉及的工作上的业务需求、工作秘密、文件资料、各类成果等工作内容予以保密，不得向本项目以外的任何第三方披露，严格履行保密义务。</w:t>
      </w:r>
    </w:p>
    <w:p>
      <w:pPr>
        <w:pStyle w:val="null3"/>
        <w:ind w:firstLine="480"/>
      </w:pPr>
      <w:r>
        <w:rPr>
          <w:rFonts w:ascii="仿宋_GB2312" w:hAnsi="仿宋_GB2312" w:cs="仿宋_GB2312" w:eastAsia="仿宋_GB2312"/>
          <w:sz w:val="24"/>
        </w:rPr>
        <w:t>9.2本条款不因合同届满或解除而失效。</w:t>
      </w:r>
    </w:p>
    <w:p>
      <w:pPr>
        <w:pStyle w:val="null3"/>
        <w:ind w:firstLine="480"/>
      </w:pPr>
      <w:r>
        <w:rPr>
          <w:rFonts w:ascii="仿宋_GB2312" w:hAnsi="仿宋_GB2312" w:cs="仿宋_GB2312" w:eastAsia="仿宋_GB2312"/>
          <w:sz w:val="24"/>
        </w:rPr>
        <w:t>10、采购人的权利和义务</w:t>
      </w:r>
    </w:p>
    <w:p>
      <w:pPr>
        <w:pStyle w:val="null3"/>
        <w:ind w:firstLine="480"/>
      </w:pPr>
      <w:r>
        <w:rPr>
          <w:rFonts w:ascii="仿宋_GB2312" w:hAnsi="仿宋_GB2312" w:cs="仿宋_GB2312" w:eastAsia="仿宋_GB2312"/>
          <w:sz w:val="24"/>
        </w:rPr>
        <w:t>10.1指定专人负责成交供应商物业人员的物业服务工作，如发现物业服务工作中存在违法违约现象应及时纠正，并向成交供应商反映，成交供应商应在2 天内处理并将处理结果反馈给采购人；如成交供应商物业人员未立即纠正违法 违约行为的或者虽然当下纠正但今后再次发生该类行为的，采购人有权 要求成交供应商立即更换物业人员并要求成交供应商承担违约责任。</w:t>
      </w:r>
    </w:p>
    <w:p>
      <w:pPr>
        <w:pStyle w:val="null3"/>
        <w:ind w:firstLine="480"/>
      </w:pPr>
      <w:r>
        <w:rPr>
          <w:rFonts w:ascii="仿宋_GB2312" w:hAnsi="仿宋_GB2312" w:cs="仿宋_GB2312" w:eastAsia="仿宋_GB2312"/>
          <w:sz w:val="24"/>
        </w:rPr>
        <w:t>10.2提供物业服务所需配备的工作场所、通讯设备和物业器械（所有权归属提供方）。</w:t>
      </w:r>
    </w:p>
    <w:p>
      <w:pPr>
        <w:pStyle w:val="null3"/>
        <w:ind w:firstLine="480"/>
      </w:pPr>
      <w:r>
        <w:rPr>
          <w:rFonts w:ascii="仿宋_GB2312" w:hAnsi="仿宋_GB2312" w:cs="仿宋_GB2312" w:eastAsia="仿宋_GB2312"/>
          <w:sz w:val="24"/>
        </w:rPr>
        <w:t>10.3采购人若因重大活动要求成交供应商承担特殊物业任务时，采购人可以向成交供应商请求增派物业人员，成交供应商应根据采购人要求及时调派，所需费用 由甲、乙双方另行商定。</w:t>
      </w:r>
    </w:p>
    <w:p>
      <w:pPr>
        <w:pStyle w:val="null3"/>
        <w:ind w:firstLine="480"/>
      </w:pPr>
      <w:r>
        <w:rPr>
          <w:rFonts w:ascii="仿宋_GB2312" w:hAnsi="仿宋_GB2312" w:cs="仿宋_GB2312" w:eastAsia="仿宋_GB2312"/>
          <w:sz w:val="24"/>
        </w:rPr>
        <w:t>11、成交供应商的权利义务</w:t>
      </w:r>
    </w:p>
    <w:p>
      <w:pPr>
        <w:pStyle w:val="null3"/>
        <w:ind w:firstLine="480"/>
      </w:pPr>
      <w:r>
        <w:rPr>
          <w:rFonts w:ascii="仿宋_GB2312" w:hAnsi="仿宋_GB2312" w:cs="仿宋_GB2312" w:eastAsia="仿宋_GB2312"/>
          <w:sz w:val="24"/>
        </w:rPr>
        <w:t>11.1成交供应商物业人员应依法、依约履行职责，做好物业服务工作；</w:t>
      </w:r>
    </w:p>
    <w:p>
      <w:pPr>
        <w:pStyle w:val="null3"/>
        <w:ind w:firstLine="480"/>
      </w:pPr>
      <w:r>
        <w:rPr>
          <w:rFonts w:ascii="仿宋_GB2312" w:hAnsi="仿宋_GB2312" w:cs="仿宋_GB2312" w:eastAsia="仿宋_GB2312"/>
          <w:sz w:val="24"/>
        </w:rPr>
        <w:t>11.2成交供应商应教育物业人员严格遵守采购人制定的相关管理制度并定 期对物业人员进行在岗培训；</w:t>
      </w:r>
    </w:p>
    <w:p>
      <w:pPr>
        <w:pStyle w:val="null3"/>
        <w:ind w:firstLine="480"/>
      </w:pPr>
      <w:r>
        <w:rPr>
          <w:rFonts w:ascii="仿宋_GB2312" w:hAnsi="仿宋_GB2312" w:cs="仿宋_GB2312" w:eastAsia="仿宋_GB2312"/>
          <w:sz w:val="24"/>
        </w:rPr>
        <w:t>11.3成交供应商提供物业服务应遵守有关法律、法规的规定。</w:t>
      </w:r>
    </w:p>
    <w:p>
      <w:pPr>
        <w:pStyle w:val="null3"/>
        <w:ind w:firstLine="480"/>
      </w:pPr>
      <w:r>
        <w:rPr>
          <w:rFonts w:ascii="仿宋_GB2312" w:hAnsi="仿宋_GB2312" w:cs="仿宋_GB2312" w:eastAsia="仿宋_GB2312"/>
          <w:sz w:val="24"/>
        </w:rPr>
        <w:t>11.4物业员在上班期间为维护采购人财产安全，抢险救灾中不幸出 现发生人身伤害，由成交供应商按照劳动法相关规定妥善处理；成交供应商派驻提 供服务人员发生一般工伤事故，由成交供应商负责向保险公司提出理赔，及 时了结处理；发生重大工伤事故，由成交供应商负责及时向劳动部门申请工 伤认定和劳动能力鉴定。工伤认定和劳动能力鉴定结束后，由甲、乙 双方按照相关法律法规规定协商承担相应费用（扣除保险公司赔付金 额后的差额）。</w:t>
      </w:r>
    </w:p>
    <w:p>
      <w:pPr>
        <w:pStyle w:val="null3"/>
        <w:ind w:firstLine="480"/>
      </w:pPr>
      <w:r>
        <w:rPr>
          <w:rFonts w:ascii="仿宋_GB2312" w:hAnsi="仿宋_GB2312" w:cs="仿宋_GB2312" w:eastAsia="仿宋_GB2312"/>
          <w:sz w:val="24"/>
        </w:rPr>
        <w:t>12、违约责任</w:t>
      </w:r>
    </w:p>
    <w:p>
      <w:pPr>
        <w:pStyle w:val="null3"/>
        <w:ind w:firstLine="480"/>
      </w:pPr>
      <w:r>
        <w:rPr>
          <w:rFonts w:ascii="仿宋_GB2312" w:hAnsi="仿宋_GB2312" w:cs="仿宋_GB2312" w:eastAsia="仿宋_GB2312"/>
          <w:sz w:val="24"/>
        </w:rPr>
        <w:t>12.1成交供应商物业人员若发生缺勤、脱岗、工作不尽职、玩忽职守或其 他违反本合同约定的事项，成交供应商应在收到采购人要求撤换物业人员通知 后三个日历日内予以撤换物业人员，成交供应商未按照采购人要求或者逾期撤 换物业人员的，视为成交供应商根本违约。成交供应商可以按规定对该人员进行处 理。给采购人造成损失的，成交供应商应赔偿采购人该部分损失。</w:t>
      </w:r>
    </w:p>
    <w:p>
      <w:pPr>
        <w:pStyle w:val="null3"/>
        <w:ind w:firstLine="480"/>
      </w:pPr>
      <w:r>
        <w:rPr>
          <w:rFonts w:ascii="仿宋_GB2312" w:hAnsi="仿宋_GB2312" w:cs="仿宋_GB2312" w:eastAsia="仿宋_GB2312"/>
          <w:sz w:val="24"/>
        </w:rPr>
        <w:t>12.2成交供应商未按照本合同约定提供物业服务或未按照本合同约定履行其他义务的，每违约一日，向采购人支付当月服务费用  5%的违约金。成交供应商违约达 10 日以上的，视为成交供应商根本违约。</w:t>
      </w:r>
    </w:p>
    <w:p>
      <w:pPr>
        <w:pStyle w:val="null3"/>
        <w:ind w:firstLine="480"/>
      </w:pPr>
      <w:r>
        <w:rPr>
          <w:rFonts w:ascii="仿宋_GB2312" w:hAnsi="仿宋_GB2312" w:cs="仿宋_GB2312" w:eastAsia="仿宋_GB2312"/>
          <w:sz w:val="24"/>
        </w:rPr>
        <w:t>12.3成交供应商根本违约或因成交供应商原因导致合同无法履行的，成交供应商应向采购人支付本合同总费用 20%的违约金，且采购人有权解除合同。</w:t>
      </w:r>
    </w:p>
    <w:p>
      <w:pPr>
        <w:pStyle w:val="null3"/>
        <w:ind w:firstLine="480"/>
      </w:pPr>
      <w:r>
        <w:rPr>
          <w:rFonts w:ascii="仿宋_GB2312" w:hAnsi="仿宋_GB2312" w:cs="仿宋_GB2312" w:eastAsia="仿宋_GB2312"/>
          <w:sz w:val="24"/>
        </w:rPr>
        <w:t>12.4成交供应商在履职</w:t>
      </w:r>
      <w:r>
        <w:rPr>
          <w:rFonts w:ascii="仿宋_GB2312" w:hAnsi="仿宋_GB2312" w:cs="仿宋_GB2312" w:eastAsia="仿宋_GB2312"/>
          <w:sz w:val="24"/>
        </w:rPr>
        <w:t>过程中，出现履职不到位，被有关部门通报或学校日常巡查发现有履职不到位者，成交供应商向采购人支付当月服务费用 3%的违约金。</w:t>
      </w:r>
    </w:p>
    <w:p>
      <w:pPr>
        <w:pStyle w:val="null3"/>
      </w:pPr>
      <w:r>
        <w:rPr>
          <w:rFonts w:ascii="仿宋_GB2312" w:hAnsi="仿宋_GB2312" w:cs="仿宋_GB2312" w:eastAsia="仿宋_GB2312"/>
          <w:sz w:val="24"/>
        </w:rPr>
        <w:t>13、解除合同条件</w:t>
      </w:r>
    </w:p>
    <w:p>
      <w:pPr>
        <w:pStyle w:val="null3"/>
      </w:pPr>
      <w:r>
        <w:rPr>
          <w:rFonts w:ascii="仿宋_GB2312" w:hAnsi="仿宋_GB2312" w:cs="仿宋_GB2312" w:eastAsia="仿宋_GB2312"/>
          <w:sz w:val="24"/>
        </w:rPr>
        <w:t>解除合同应当提前七天以书面形式通知对方。因成交供应商根本违约导 致采购人解除合同的，采购人无需提前七天以书面形式通知成交供应商，采购人向 成交供应商发出解除合同的通知即可。</w:t>
      </w:r>
    </w:p>
    <w:p>
      <w:pPr>
        <w:pStyle w:val="null3"/>
      </w:pPr>
      <w:r>
        <w:rPr>
          <w:rFonts w:ascii="仿宋_GB2312" w:hAnsi="仿宋_GB2312" w:cs="仿宋_GB2312" w:eastAsia="仿宋_GB2312"/>
          <w:sz w:val="24"/>
        </w:rPr>
        <w:t>14、其它需要补充的事项</w:t>
      </w:r>
    </w:p>
    <w:p>
      <w:pPr>
        <w:pStyle w:val="null3"/>
      </w:pPr>
      <w:r>
        <w:rPr>
          <w:rFonts w:ascii="仿宋_GB2312" w:hAnsi="仿宋_GB2312" w:cs="仿宋_GB2312" w:eastAsia="仿宋_GB2312"/>
          <w:sz w:val="24"/>
        </w:rPr>
        <w:t>14.1如遇采购人上级对购买服务进行政策调整，本合同相应进行调 整，成交供应商完全同意不持异议。</w:t>
      </w:r>
    </w:p>
    <w:p>
      <w:pPr>
        <w:pStyle w:val="null3"/>
      </w:pPr>
      <w:r>
        <w:rPr>
          <w:rFonts w:ascii="仿宋_GB2312" w:hAnsi="仿宋_GB2312" w:cs="仿宋_GB2312" w:eastAsia="仿宋_GB2312"/>
          <w:sz w:val="24"/>
        </w:rPr>
        <w:t>14.2其他未尽事宜，由甲、乙</w:t>
      </w:r>
      <w:r>
        <w:rPr>
          <w:rFonts w:ascii="仿宋_GB2312" w:hAnsi="仿宋_GB2312" w:cs="仿宋_GB2312" w:eastAsia="仿宋_GB2312"/>
          <w:sz w:val="24"/>
        </w:rPr>
        <w:t>双方共同协商解决，协</w:t>
      </w:r>
      <w:r>
        <w:rPr>
          <w:rFonts w:ascii="仿宋_GB2312" w:hAnsi="仿宋_GB2312" w:cs="仿宋_GB2312" w:eastAsia="仿宋_GB2312"/>
          <w:sz w:val="24"/>
        </w:rPr>
        <w:t>商不成的，可提交采购人所在地人民法院裁决。</w:t>
      </w:r>
    </w:p>
    <w:p>
      <w:pPr>
        <w:pStyle w:val="null3"/>
      </w:pPr>
      <w:r>
        <w:rPr>
          <w:rFonts w:ascii="仿宋_GB2312" w:hAnsi="仿宋_GB2312" w:cs="仿宋_GB2312" w:eastAsia="仿宋_GB2312"/>
          <w:sz w:val="24"/>
        </w:rPr>
        <w:t xml:space="preserve"> 15、报价要求</w:t>
      </w:r>
    </w:p>
    <w:p>
      <w:pPr>
        <w:pStyle w:val="null3"/>
      </w:pPr>
      <w:r>
        <w:rPr>
          <w:rFonts w:ascii="仿宋_GB2312" w:hAnsi="仿宋_GB2312" w:cs="仿宋_GB2312" w:eastAsia="仿宋_GB2312"/>
          <w:sz w:val="24"/>
        </w:rPr>
        <w:t xml:space="preserve">  (1)本次项目为整体采购，报价应包含其完成本项目可能发生的所有费用的综合报价，为总干报价。包括但不限于员工工资、社会保险、公积金、按规定提取的福利费、加班费、培训费、行政办公费、招标代理服务费以及由项目开展而产生的其它费用等。报价人应自行核算项目正常、合法运作及使用所必需的费用，采购人不再支付任何费用。</w:t>
      </w:r>
      <w:r>
        <w:br/>
      </w:r>
      <w:r>
        <w:rPr>
          <w:rFonts w:ascii="仿宋_GB2312" w:hAnsi="仿宋_GB2312" w:cs="仿宋_GB2312" w:eastAsia="仿宋_GB2312"/>
          <w:sz w:val="24"/>
        </w:rPr>
        <w:t xml:space="preserve">   (2)报价人单价报价中漏报、少报的费用，视为此项费用已隐含在总价中，成交后不得再向采购人收取任何费用。</w:t>
      </w:r>
      <w:r>
        <w:br/>
      </w:r>
      <w:r>
        <w:rPr>
          <w:rFonts w:ascii="仿宋_GB2312" w:hAnsi="仿宋_GB2312" w:cs="仿宋_GB2312" w:eastAsia="仿宋_GB2312"/>
          <w:sz w:val="24"/>
        </w:rPr>
        <w:t xml:space="preserve">   (3)报价人的报价不得超过该最高限价，否则将被视为无效报价。</w:t>
      </w:r>
    </w:p>
    <w:p>
      <w:pPr>
        <w:pStyle w:val="null3"/>
        <w:ind w:firstLine="560"/>
        <w:jc w:val="both"/>
      </w:pP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8"/>
        </w:rPr>
        <w:t>附件</w:t>
      </w:r>
    </w:p>
    <w:p>
      <w:pPr>
        <w:pStyle w:val="null3"/>
        <w:ind w:firstLine="540"/>
        <w:jc w:val="both"/>
      </w:pPr>
      <w:r>
        <w:rPr>
          <w:rFonts w:ascii="仿宋_GB2312" w:hAnsi="仿宋_GB2312" w:cs="仿宋_GB2312" w:eastAsia="仿宋_GB2312"/>
          <w:sz w:val="28"/>
        </w:rPr>
        <w:t>附件</w:t>
      </w:r>
      <w:r>
        <w:rPr>
          <w:rFonts w:ascii="仿宋_GB2312" w:hAnsi="仿宋_GB2312" w:cs="仿宋_GB2312" w:eastAsia="仿宋_GB2312"/>
          <w:sz w:val="28"/>
        </w:rPr>
        <w:t>1：</w:t>
      </w:r>
      <w:r>
        <w:rPr>
          <w:rFonts w:ascii="仿宋_GB2312" w:hAnsi="仿宋_GB2312" w:cs="仿宋_GB2312" w:eastAsia="仿宋_GB2312"/>
          <w:sz w:val="28"/>
          <w:b/>
        </w:rPr>
        <w:t>考核表：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830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u w:val="single"/>
              </w:rPr>
              <w:t>厦门市翔安区金海小学</w:t>
            </w:r>
            <w:r>
              <w:rPr>
                <w:rFonts w:ascii="仿宋_GB2312" w:hAnsi="仿宋_GB2312" w:cs="仿宋_GB2312" w:eastAsia="仿宋_GB2312"/>
                <w:sz w:val="24"/>
                <w:u w:val="single"/>
              </w:rPr>
              <w:t>物业服务考核表</w:t>
            </w:r>
          </w:p>
          <w:p>
            <w:pPr>
              <w:pStyle w:val="null3"/>
              <w:jc w:val="right"/>
            </w:pPr>
            <w:r>
              <w:rPr>
                <w:rFonts w:ascii="仿宋_GB2312" w:hAnsi="仿宋_GB2312" w:cs="仿宋_GB2312" w:eastAsia="仿宋_GB2312"/>
                <w:sz w:val="24"/>
                <w:u w:val="single"/>
              </w:rPr>
              <w:t>考核期限：</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年</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月</w:t>
            </w:r>
          </w:p>
        </w:tc>
      </w:tr>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考核类别</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考核标准</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应扣</w:t>
            </w:r>
            <w:r>
              <w:rPr>
                <w:rFonts w:ascii="仿宋_GB2312" w:hAnsi="仿宋_GB2312" w:cs="仿宋_GB2312" w:eastAsia="仿宋_GB2312"/>
                <w:sz w:val="24"/>
              </w:rPr>
              <w:t>/加分值</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扣分说明</w:t>
            </w: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环境卫生</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公共区域</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w:t>
            </w:r>
            <w:r>
              <w:rPr>
                <w:rFonts w:ascii="仿宋_GB2312" w:hAnsi="仿宋_GB2312" w:cs="仿宋_GB2312" w:eastAsia="仿宋_GB2312"/>
                <w:sz w:val="21"/>
              </w:rPr>
              <w:t>:无积尘、纸屑等杂物，无积水、无堆积垃圾。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墙面、门窗：无明显积尘、污迹、天花板无蛛网</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垃圾桶、纸篓</w:t>
            </w:r>
            <w:r>
              <w:rPr>
                <w:rFonts w:ascii="仿宋_GB2312" w:hAnsi="仿宋_GB2312" w:cs="仿宋_GB2312" w:eastAsia="仿宋_GB2312"/>
                <w:sz w:val="21"/>
              </w:rPr>
              <w:t>:垃圾日产日清，不超过容量的三分之二。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雨水、污水管道、明沟及屋面等排水设施：无杂物、无积水；每月一次对屋面泄水沟、楼内外排水管道进行清扫，确保排水畅通。</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阳台、天台：无泥沙尘土、纸屑、杂草杂物等。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室外环境卫生：地面无尘土、纸屑、塑料瓶、口香糖、青苔、积水等，无堆积垃圾、无过多落叶及杂草。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消毒灭害：对公共环境每月消杀</w:t>
            </w:r>
            <w:r>
              <w:rPr>
                <w:rFonts w:ascii="仿宋_GB2312" w:hAnsi="仿宋_GB2312" w:cs="仿宋_GB2312" w:eastAsia="仿宋_GB2312"/>
                <w:sz w:val="21"/>
              </w:rPr>
              <w:t>1次，每半年灭鼠1次（不含白蚁消杀），遇有特殊情况要及时进行消杀或按政府有关部门的布置统一进行消杀。</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卫生间</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地面、墙面、门窗：无污渍、积水、小广告、蛛网，保持通风无异味。</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便池、尿斗、面盆、镜面：干净、无污迹、无污垢、无异味。</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纸篓、垃圾桶：垃圾日产日清，不超过容量的三分之二。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0.1分</w:t>
            </w: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公用校舍（办公室、功能室</w:t>
            </w:r>
            <w:r>
              <w:rPr>
                <w:rFonts w:ascii="仿宋_GB2312" w:hAnsi="仿宋_GB2312" w:cs="仿宋_GB2312" w:eastAsia="仿宋_GB2312"/>
                <w:sz w:val="21"/>
              </w:rPr>
              <w:t>等</w:t>
            </w:r>
            <w:r>
              <w:rPr>
                <w:rFonts w:ascii="仿宋_GB2312" w:hAnsi="仿宋_GB2312" w:cs="仿宋_GB2312" w:eastAsia="仿宋_GB2312"/>
                <w:sz w:val="21"/>
              </w:rPr>
              <w:t>等</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地面、墙面、门窗：无灰尘、纸屑等杂物，无积水、蛛网。</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桌椅、沙发、柜子等家具：无灰尘、杂物、垃圾。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饮水机监管</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及时打理饮水机，发现问题及时上报，及时清理饮水机周边垃圾。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每发现一处扣</w:t>
            </w:r>
            <w:r>
              <w:rPr>
                <w:rFonts w:ascii="仿宋_GB2312" w:hAnsi="仿宋_GB2312" w:cs="仿宋_GB2312" w:eastAsia="仿宋_GB2312"/>
                <w:sz w:val="21"/>
              </w:rPr>
              <w:t>0.2分</w:t>
            </w: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绿化养护管理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人员要求</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有专业或兼职人员实施绿化的养护管理，做好绿化养护管理的日常记录。</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未定点绿化养护扣</w:t>
            </w:r>
            <w:r>
              <w:rPr>
                <w:rFonts w:ascii="仿宋_GB2312" w:hAnsi="仿宋_GB2312" w:cs="仿宋_GB2312" w:eastAsia="仿宋_GB2312"/>
                <w:sz w:val="21"/>
              </w:rPr>
              <w:t>1分</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日常管理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进行修剪、浇水、施肥（肥料由业主单位提供）等养护；保持观赏效果。清理绿地杂草、杂物；有针对性的花草树木养护、病虫害防治；绿化总体良好，非乙方养护问题导致斑草地大面积的斑秃，花卉、绿篱、树木无枯死现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因养护责任引起绿化大面积斑秃，绿化病虫害每发现一处扣</w:t>
            </w:r>
            <w:r>
              <w:rPr>
                <w:rFonts w:ascii="仿宋_GB2312" w:hAnsi="仿宋_GB2312" w:cs="仿宋_GB2312" w:eastAsia="仿宋_GB2312"/>
                <w:sz w:val="21"/>
              </w:rPr>
              <w:t>0.5分</w:t>
            </w: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工程维修</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日常维修</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响应度：校区内公共区域报修</w:t>
            </w:r>
            <w:r>
              <w:rPr>
                <w:rFonts w:ascii="仿宋_GB2312" w:hAnsi="仿宋_GB2312" w:cs="仿宋_GB2312" w:eastAsia="仿宋_GB2312"/>
                <w:sz w:val="21"/>
              </w:rPr>
              <w:t>30分钟内到现场。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未及时响应扣</w:t>
            </w:r>
            <w:r>
              <w:rPr>
                <w:rFonts w:ascii="仿宋_GB2312" w:hAnsi="仿宋_GB2312" w:cs="仿宋_GB2312" w:eastAsia="仿宋_GB2312"/>
                <w:sz w:val="21"/>
              </w:rPr>
              <w:t>1分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结单率：无特殊原因，当月结单率</w:t>
            </w:r>
            <w:r>
              <w:rPr>
                <w:rFonts w:ascii="仿宋_GB2312" w:hAnsi="仿宋_GB2312" w:cs="仿宋_GB2312" w:eastAsia="仿宋_GB2312"/>
                <w:sz w:val="21"/>
              </w:rPr>
              <w:t>100%。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属乙方职责范围内，未完成一单扣</w:t>
            </w:r>
            <w:r>
              <w:rPr>
                <w:rFonts w:ascii="仿宋_GB2312" w:hAnsi="仿宋_GB2312" w:cs="仿宋_GB2312" w:eastAsia="仿宋_GB2312"/>
                <w:sz w:val="21"/>
              </w:rPr>
              <w:t>0.5分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及时率：内、外部普通维修当日完成；特殊情况未能完成需要及时上报维修期限至需求部门和监管部门。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普修当日未完成一次，扣</w:t>
            </w:r>
            <w:r>
              <w:rPr>
                <w:rFonts w:ascii="仿宋_GB2312" w:hAnsi="仿宋_GB2312" w:cs="仿宋_GB2312" w:eastAsia="仿宋_GB2312"/>
                <w:sz w:val="21"/>
              </w:rPr>
              <w:t>0.5分</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设施设备管理</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配电房、箱变、水泵、消防、强电、弱电等水电设施及防雷设施：按月巡检、保洁清污并记录；持证上岗，按专业制度流程操作。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一项设备未见相关记录扣</w:t>
            </w:r>
            <w:r>
              <w:rPr>
                <w:rFonts w:ascii="仿宋_GB2312" w:hAnsi="仿宋_GB2312" w:cs="仿宋_GB2312" w:eastAsia="仿宋_GB2312"/>
                <w:sz w:val="21"/>
              </w:rPr>
              <w:t>0.5分</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维修材料管理</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各类维修材料分类摆放，整齐有序；建立维修材料管理台帐，领用有记录，及时备货；材料报废按制度严格执行。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每发现一次遗漏扣</w:t>
            </w:r>
            <w:r>
              <w:rPr>
                <w:rFonts w:ascii="仿宋_GB2312" w:hAnsi="仿宋_GB2312" w:cs="仿宋_GB2312" w:eastAsia="仿宋_GB2312"/>
                <w:sz w:val="21"/>
              </w:rPr>
              <w:t>0.5分</w:t>
            </w: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会晤服务</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学校大型活动配合度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学校开学前卫生大扫除，确保环境卫生干净、整洁。</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物业公司职责范围内工作未及时响应，开展工作，每次扣</w:t>
            </w:r>
            <w:r>
              <w:rPr>
                <w:rFonts w:ascii="仿宋_GB2312" w:hAnsi="仿宋_GB2312" w:cs="仿宋_GB2312" w:eastAsia="仿宋_GB2312"/>
                <w:sz w:val="21"/>
              </w:rPr>
              <w:t>1分</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现场服务：按制度流程进行服务，做好会务、考务期间周边和会场、考场保洁服务。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响应度：及时响应学校需求，提前做好会晤或大型活动前期各项准备工作。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vMerge/>
            <w:tcBorders>
              <w:top w:val="none" w:color="000000" w:sz="4"/>
              <w:left w:val="none" w:color="000000" w:sz="4"/>
              <w:bottom w:val="single" w:color="000000" w:sz="4"/>
              <w:right w:val="single" w:color="000000" w:sz="4"/>
            </w:tcBorders>
          </w:tcPr>
          <w:p/>
        </w:tc>
      </w:tr>
      <w:tr>
        <w:tc>
          <w:tcPr>
            <w:tcW w:type="dxa" w:w="138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综合管理</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职业素养</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遵守公司相关规章制度，上班时间段统一穿戴制服并保持良好个人形象，不做与本职工作无关的事项。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未着制服，每发现一次扣</w:t>
            </w:r>
            <w:r>
              <w:rPr>
                <w:rFonts w:ascii="仿宋_GB2312" w:hAnsi="仿宋_GB2312" w:cs="仿宋_GB2312" w:eastAsia="仿宋_GB2312"/>
                <w:sz w:val="21"/>
              </w:rPr>
              <w:t>0.5分</w:t>
            </w:r>
          </w:p>
        </w:tc>
      </w:tr>
      <w:tr>
        <w:tc>
          <w:tcPr>
            <w:tcW w:type="dxa" w:w="1384"/>
            <w:vMerge/>
            <w:tcBorders>
              <w:top w:val="none" w:color="000000" w:sz="4"/>
              <w:left w:val="single" w:color="000000" w:sz="4"/>
              <w:bottom w:val="non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无迟到早退、擅自离岗、脱岗情况。</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每发现一次扣</w:t>
            </w:r>
            <w:r>
              <w:rPr>
                <w:rFonts w:ascii="仿宋_GB2312" w:hAnsi="仿宋_GB2312" w:cs="仿宋_GB2312" w:eastAsia="仿宋_GB2312"/>
                <w:sz w:val="21"/>
              </w:rPr>
              <w:t>0.5分</w:t>
            </w:r>
          </w:p>
        </w:tc>
      </w:tr>
      <w:tr>
        <w:tc>
          <w:tcPr>
            <w:tcW w:type="dxa" w:w="1384"/>
            <w:vMerge/>
            <w:tcBorders>
              <w:top w:val="none" w:color="000000" w:sz="4"/>
              <w:left w:val="single" w:color="000000" w:sz="4"/>
              <w:bottom w:val="non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各关键岗位持证上岗。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电工未持证扣</w:t>
            </w:r>
            <w:r>
              <w:rPr>
                <w:rFonts w:ascii="仿宋_GB2312" w:hAnsi="仿宋_GB2312" w:cs="仿宋_GB2312" w:eastAsia="仿宋_GB2312"/>
                <w:sz w:val="21"/>
              </w:rPr>
              <w:t>0.5分</w:t>
            </w:r>
          </w:p>
        </w:tc>
      </w:tr>
      <w:tr>
        <w:tc>
          <w:tcPr>
            <w:tcW w:type="dxa" w:w="1384"/>
            <w:vMerge/>
            <w:tcBorders>
              <w:top w:val="none" w:color="000000" w:sz="4"/>
              <w:left w:val="single" w:color="000000" w:sz="4"/>
              <w:bottom w:val="non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工作数据</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日常表单：每月汇总提供各项日常工作表单，供监管部门检查</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未提供数据扣</w:t>
            </w:r>
            <w:r>
              <w:rPr>
                <w:rFonts w:ascii="仿宋_GB2312" w:hAnsi="仿宋_GB2312" w:cs="仿宋_GB2312" w:eastAsia="仿宋_GB2312"/>
                <w:sz w:val="21"/>
              </w:rPr>
              <w:t>0.5分</w:t>
            </w:r>
          </w:p>
        </w:tc>
      </w:tr>
      <w:tr>
        <w:tc>
          <w:tcPr>
            <w:tcW w:type="dxa" w:w="1384"/>
            <w:vMerge/>
            <w:tcBorders>
              <w:top w:val="none" w:color="000000" w:sz="4"/>
              <w:left w:val="single" w:color="000000" w:sz="4"/>
              <w:bottom w:val="non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数据分析：每月根据各项日常工作数据进行汇总分析，以项目月报形式提交</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non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主动巡查巡检</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每日对公司办公楼和外部园区进行巡查不低于两次，主要检查日常使用的设施设备及环境卫生情况（包括但不限于空调、灯具、插座、空开、办公桌椅、门窗、卫生设施等），建立每日检查记录表。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每处不符合扣</w:t>
            </w:r>
            <w:r>
              <w:rPr>
                <w:rFonts w:ascii="仿宋_GB2312" w:hAnsi="仿宋_GB2312" w:cs="仿宋_GB2312" w:eastAsia="仿宋_GB2312"/>
                <w:sz w:val="21"/>
              </w:rPr>
              <w:t>0.5分</w:t>
            </w:r>
          </w:p>
        </w:tc>
      </w:tr>
      <w:tr>
        <w:tc>
          <w:tcPr>
            <w:tcW w:type="dxa" w:w="1384"/>
            <w:vMerge/>
            <w:tcBorders>
              <w:top w:val="none" w:color="000000" w:sz="4"/>
              <w:left w:val="single" w:color="000000" w:sz="4"/>
              <w:bottom w:val="non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服务人数</w:t>
            </w:r>
            <w:r>
              <w:rPr>
                <w:rFonts w:ascii="仿宋_GB2312" w:hAnsi="仿宋_GB2312" w:cs="仿宋_GB2312" w:eastAsia="仿宋_GB2312"/>
                <w:sz w:val="21"/>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每月提供物业项目人员花名册，供监管部门核查。</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当月未提供扣</w:t>
            </w:r>
            <w:r>
              <w:rPr>
                <w:rFonts w:ascii="仿宋_GB2312" w:hAnsi="仿宋_GB2312" w:cs="仿宋_GB2312" w:eastAsia="仿宋_GB2312"/>
                <w:sz w:val="21"/>
              </w:rPr>
              <w:t>2分</w:t>
            </w:r>
          </w:p>
        </w:tc>
      </w:tr>
      <w:tr>
        <w:tc>
          <w:tcPr>
            <w:tcW w:type="dxa" w:w="1384"/>
            <w:vMerge/>
            <w:tcBorders>
              <w:top w:val="none" w:color="000000" w:sz="4"/>
              <w:left w:val="single" w:color="000000" w:sz="4"/>
              <w:bottom w:val="non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投诉处理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因物业服务质量问题，受到学生家长、学校或第三方投诉，经调查属实的。</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处理结果为不满意的，每一次扣</w:t>
            </w:r>
            <w:r>
              <w:rPr>
                <w:rFonts w:ascii="仿宋_GB2312" w:hAnsi="仿宋_GB2312" w:cs="仿宋_GB2312" w:eastAsia="仿宋_GB2312"/>
                <w:sz w:val="21"/>
              </w:rPr>
              <w:t>0.5分</w:t>
            </w:r>
          </w:p>
        </w:tc>
      </w:tr>
      <w:tr>
        <w:tc>
          <w:tcPr>
            <w:tcW w:type="dxa" w:w="41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扣分项合计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加分项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领导表扬</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学校领导领导对物业进行的口头或书面表扬。</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优秀事迹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经物业监管部门讨论，决定对物业的某项优秀事迹进行表彰。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节约费用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物业公司主动采取的某项手段，明显节约了某项支出费用（一般为</w:t>
            </w:r>
            <w:r>
              <w:rPr>
                <w:rFonts w:ascii="仿宋_GB2312" w:hAnsi="仿宋_GB2312" w:cs="仿宋_GB2312" w:eastAsia="仿宋_GB2312"/>
                <w:sz w:val="21"/>
              </w:rPr>
              <w:t>5000元以上），并经过物业监管部门核实。</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1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最终考核得分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说明：</w:t>
            </w:r>
          </w:p>
          <w:p>
            <w:pPr>
              <w:pStyle w:val="null3"/>
              <w:jc w:val="left"/>
            </w:pPr>
            <w:r>
              <w:rPr>
                <w:rFonts w:ascii="仿宋_GB2312" w:hAnsi="仿宋_GB2312" w:cs="仿宋_GB2312" w:eastAsia="仿宋_GB2312"/>
                <w:sz w:val="21"/>
              </w:rPr>
              <w:t>1、甲方每月对乙方物业服务进行考核，甲方所辖校区考核权重占比70%、学区考核权重占比30%；</w:t>
            </w:r>
          </w:p>
          <w:p>
            <w:pPr>
              <w:pStyle w:val="null3"/>
              <w:jc w:val="left"/>
            </w:pPr>
            <w:r>
              <w:rPr>
                <w:rFonts w:ascii="仿宋_GB2312" w:hAnsi="仿宋_GB2312" w:cs="仿宋_GB2312" w:eastAsia="仿宋_GB2312"/>
                <w:sz w:val="21"/>
              </w:rPr>
              <w:t>2、各学校月考核总得分</w:t>
            </w:r>
            <w:r>
              <w:rPr>
                <w:rFonts w:ascii="仿宋_GB2312" w:hAnsi="仿宋_GB2312" w:cs="仿宋_GB2312" w:eastAsia="仿宋_GB2312"/>
                <w:sz w:val="21"/>
              </w:rPr>
              <w:t>合计得分</w:t>
            </w:r>
            <w:r>
              <w:rPr>
                <w:rFonts w:ascii="仿宋_GB2312" w:hAnsi="仿宋_GB2312" w:cs="仿宋_GB2312" w:eastAsia="仿宋_GB2312"/>
                <w:sz w:val="21"/>
              </w:rPr>
              <w:t>：</w:t>
            </w:r>
            <w:r>
              <w:rPr>
                <w:rFonts w:ascii="仿宋_GB2312" w:hAnsi="仿宋_GB2312" w:cs="仿宋_GB2312" w:eastAsia="仿宋_GB2312"/>
                <w:sz w:val="21"/>
              </w:rPr>
              <w:t>90分及以上为优秀、</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9</w:t>
            </w:r>
            <w:r>
              <w:rPr>
                <w:rFonts w:ascii="仿宋_GB2312" w:hAnsi="仿宋_GB2312" w:cs="仿宋_GB2312" w:eastAsia="仿宋_GB2312"/>
                <w:sz w:val="21"/>
              </w:rPr>
              <w:t>0（含）为良，优良全额支付物业费；70-80（不含）支付当月物业费98%；60-70（不含）支付当月物业费95%，60分以下支付当月物业费90%，连续三个月60分以下，学校有权解除物业合同。</w:t>
            </w:r>
          </w:p>
        </w:tc>
      </w:tr>
    </w:tbl>
    <w:p>
      <w:pPr>
        <w:pStyle w:val="null3"/>
        <w:spacing w:before="45"/>
        <w:jc w:val="left"/>
      </w:pPr>
      <w:r>
        <w:rPr>
          <w:rFonts w:ascii="仿宋_GB2312" w:hAnsi="仿宋_GB2312" w:cs="仿宋_GB2312" w:eastAsia="仿宋_GB2312"/>
          <w:sz w:val="22"/>
        </w:rPr>
        <w:t>考核人：</w:t>
      </w:r>
      <w:r>
        <w:rPr>
          <w:rFonts w:ascii="仿宋_GB2312" w:hAnsi="仿宋_GB2312" w:cs="仿宋_GB2312" w:eastAsia="仿宋_GB2312"/>
          <w:sz w:val="22"/>
        </w:rPr>
        <w:t xml:space="preserve">                        </w:t>
      </w:r>
      <w:r>
        <w:rPr>
          <w:rFonts w:ascii="仿宋_GB2312" w:hAnsi="仿宋_GB2312" w:cs="仿宋_GB2312" w:eastAsia="仿宋_GB2312"/>
          <w:sz w:val="22"/>
        </w:rPr>
        <w:t>考核学校：</w:t>
      </w:r>
    </w:p>
    <w:p>
      <w:pPr>
        <w:pStyle w:val="null3"/>
        <w:spacing w:after="150"/>
        <w:jc w:val="left"/>
      </w:pPr>
      <w:r>
        <w:rPr>
          <w:rFonts w:ascii="仿宋_GB2312" w:hAnsi="仿宋_GB2312" w:cs="仿宋_GB2312" w:eastAsia="仿宋_GB2312"/>
          <w:sz w:val="24"/>
        </w:rPr>
        <w:t>附件</w:t>
      </w:r>
      <w:r>
        <w:rPr>
          <w:rFonts w:ascii="仿宋_GB2312" w:hAnsi="仿宋_GB2312" w:cs="仿宋_GB2312" w:eastAsia="仿宋_GB2312"/>
          <w:sz w:val="24"/>
        </w:rPr>
        <w:t>2</w:t>
      </w:r>
      <w:r>
        <w:rPr>
          <w:rFonts w:ascii="仿宋_GB2312" w:hAnsi="仿宋_GB2312" w:cs="仿宋_GB2312" w:eastAsia="仿宋_GB2312"/>
          <w:sz w:val="24"/>
        </w:rPr>
        <w:t>：</w:t>
      </w:r>
    </w:p>
    <w:p>
      <w:pPr>
        <w:pStyle w:val="null3"/>
        <w:spacing w:after="150"/>
        <w:ind w:firstLine="652"/>
        <w:jc w:val="center"/>
      </w:pPr>
      <w:r>
        <w:rPr>
          <w:rFonts w:ascii="仿宋_GB2312" w:hAnsi="仿宋_GB2312" w:cs="仿宋_GB2312" w:eastAsia="仿宋_GB2312"/>
          <w:sz w:val="24"/>
          <w:b/>
        </w:rPr>
        <w:t>关于串标情形及后果的告知函</w:t>
      </w:r>
    </w:p>
    <w:p>
      <w:pPr>
        <w:pStyle w:val="null3"/>
        <w:spacing w:after="150"/>
        <w:jc w:val="left"/>
      </w:pPr>
      <w:r>
        <w:rPr>
          <w:rFonts w:ascii="仿宋_GB2312" w:hAnsi="仿宋_GB2312" w:cs="仿宋_GB2312" w:eastAsia="仿宋_GB2312"/>
          <w:sz w:val="24"/>
        </w:rPr>
        <w:t>致各投标人：</w:t>
      </w:r>
    </w:p>
    <w:p>
      <w:pPr>
        <w:pStyle w:val="null3"/>
        <w:spacing w:after="150"/>
        <w:jc w:val="left"/>
      </w:pPr>
      <w:r>
        <w:rPr>
          <w:rFonts w:ascii="仿宋_GB2312" w:hAnsi="仿宋_GB2312" w:cs="仿宋_GB2312" w:eastAsia="仿宋_GB2312"/>
        </w:rPr>
        <w:t xml:space="preserve">  </w:t>
      </w:r>
      <w:r>
        <w:rPr>
          <w:rFonts w:ascii="仿宋_GB2312" w:hAnsi="仿宋_GB2312" w:cs="仿宋_GB2312" w:eastAsia="仿宋_GB2312"/>
          <w:sz w:val="24"/>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jc w:val="left"/>
      </w:pPr>
      <w:r>
        <w:rPr>
          <w:rFonts w:ascii="仿宋_GB2312" w:hAnsi="仿宋_GB2312" w:cs="仿宋_GB2312" w:eastAsia="仿宋_GB2312"/>
          <w:sz w:val="24"/>
          <w:b/>
        </w:rPr>
        <w:t>一、恶意串通情形</w:t>
      </w:r>
    </w:p>
    <w:p>
      <w:pPr>
        <w:pStyle w:val="null3"/>
        <w:spacing w:after="150"/>
        <w:ind w:firstLine="318"/>
        <w:jc w:val="left"/>
      </w:pPr>
      <w:r>
        <w:rPr>
          <w:rFonts w:ascii="仿宋_GB2312" w:hAnsi="仿宋_GB2312" w:cs="仿宋_GB2312" w:eastAsia="仿宋_GB2312"/>
          <w:sz w:val="24"/>
          <w:b/>
        </w:rPr>
        <w:t>《政府采购法实施条例》第七十四条：有下列情形之一的，属于恶意串通：</w:t>
      </w:r>
    </w:p>
    <w:p>
      <w:pPr>
        <w:pStyle w:val="null3"/>
        <w:spacing w:after="150"/>
        <w:ind w:firstLine="318"/>
        <w:jc w:val="left"/>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spacing w:after="150"/>
        <w:ind w:firstLine="318"/>
        <w:jc w:val="left"/>
      </w:pPr>
      <w:r>
        <w:rPr>
          <w:rFonts w:ascii="仿宋_GB2312" w:hAnsi="仿宋_GB2312" w:cs="仿宋_GB2312" w:eastAsia="仿宋_GB2312"/>
          <w:sz w:val="24"/>
        </w:rPr>
        <w:t>（二）供应商按照采购人或者采购代理机构的授意撤换、修改投标文件或者响应文件；</w:t>
      </w:r>
    </w:p>
    <w:p>
      <w:pPr>
        <w:pStyle w:val="null3"/>
        <w:spacing w:after="150"/>
        <w:ind w:firstLine="318"/>
        <w:jc w:val="left"/>
      </w:pPr>
      <w:r>
        <w:rPr>
          <w:rFonts w:ascii="仿宋_GB2312" w:hAnsi="仿宋_GB2312" w:cs="仿宋_GB2312" w:eastAsia="仿宋_GB2312"/>
          <w:sz w:val="24"/>
        </w:rPr>
        <w:t>（三）供应商之间协商报价、技术方案等投标文件或者响应文件的实质性内容；</w:t>
      </w:r>
    </w:p>
    <w:p>
      <w:pPr>
        <w:pStyle w:val="null3"/>
        <w:spacing w:after="150"/>
        <w:ind w:firstLine="318"/>
        <w:jc w:val="left"/>
      </w:pPr>
      <w:r>
        <w:rPr>
          <w:rFonts w:ascii="仿宋_GB2312" w:hAnsi="仿宋_GB2312" w:cs="仿宋_GB2312" w:eastAsia="仿宋_GB2312"/>
          <w:sz w:val="24"/>
        </w:rPr>
        <w:t>（四）属于同一集团、协会、商会等组织成员的供应商按照该组织要求协同参加政府采购活动；</w:t>
      </w:r>
    </w:p>
    <w:p>
      <w:pPr>
        <w:pStyle w:val="null3"/>
        <w:spacing w:after="150"/>
        <w:ind w:firstLine="318"/>
        <w:jc w:val="left"/>
      </w:pPr>
      <w:r>
        <w:rPr>
          <w:rFonts w:ascii="仿宋_GB2312" w:hAnsi="仿宋_GB2312" w:cs="仿宋_GB2312" w:eastAsia="仿宋_GB2312"/>
          <w:sz w:val="24"/>
        </w:rPr>
        <w:t>（五）供应商之间事先约定由某一特定供应商中标、成交；</w:t>
      </w:r>
    </w:p>
    <w:p>
      <w:pPr>
        <w:pStyle w:val="null3"/>
        <w:spacing w:after="150"/>
        <w:ind w:firstLine="318"/>
        <w:jc w:val="left"/>
      </w:pPr>
      <w:r>
        <w:rPr>
          <w:rFonts w:ascii="仿宋_GB2312" w:hAnsi="仿宋_GB2312" w:cs="仿宋_GB2312" w:eastAsia="仿宋_GB2312"/>
          <w:sz w:val="24"/>
        </w:rPr>
        <w:t>（六）供应商之间商定部分供应商放弃参加政府采购活动或者放弃中标、成交；</w:t>
      </w:r>
    </w:p>
    <w:p>
      <w:pPr>
        <w:pStyle w:val="null3"/>
        <w:spacing w:after="150"/>
        <w:ind w:firstLine="318"/>
        <w:jc w:val="left"/>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spacing w:after="150"/>
        <w:jc w:val="left"/>
      </w:pPr>
      <w:r>
        <w:rPr>
          <w:rFonts w:ascii="仿宋_GB2312" w:hAnsi="仿宋_GB2312" w:cs="仿宋_GB2312" w:eastAsia="仿宋_GB2312"/>
          <w:sz w:val="24"/>
          <w:b/>
        </w:rPr>
        <w:t>二、视为串通情形</w:t>
      </w:r>
    </w:p>
    <w:p>
      <w:pPr>
        <w:pStyle w:val="null3"/>
        <w:spacing w:after="150"/>
        <w:ind w:firstLine="318"/>
        <w:jc w:val="left"/>
      </w:pPr>
      <w:r>
        <w:rPr>
          <w:rFonts w:ascii="仿宋_GB2312" w:hAnsi="仿宋_GB2312" w:cs="仿宋_GB2312" w:eastAsia="仿宋_GB2312"/>
          <w:sz w:val="24"/>
          <w:b/>
        </w:rPr>
        <w:t>《政府采购货物和服务招标投标管理办法》（财政部令第</w:t>
      </w:r>
      <w:r>
        <w:rPr>
          <w:rFonts w:ascii="仿宋_GB2312" w:hAnsi="仿宋_GB2312" w:cs="仿宋_GB2312" w:eastAsia="仿宋_GB2312"/>
          <w:sz w:val="24"/>
          <w:b/>
        </w:rPr>
        <w:t>87号）第三十七条：有下列情形之一的，视为投标人串通投标，其投标无效：</w:t>
      </w:r>
    </w:p>
    <w:p>
      <w:pPr>
        <w:pStyle w:val="null3"/>
        <w:spacing w:after="150"/>
        <w:ind w:firstLine="318"/>
        <w:jc w:val="left"/>
      </w:pPr>
      <w:r>
        <w:rPr>
          <w:rFonts w:ascii="仿宋_GB2312" w:hAnsi="仿宋_GB2312" w:cs="仿宋_GB2312" w:eastAsia="仿宋_GB2312"/>
          <w:sz w:val="24"/>
        </w:rPr>
        <w:t>（一）不同投标人的投标文件由同一单位或者个人编制；</w:t>
      </w:r>
    </w:p>
    <w:p>
      <w:pPr>
        <w:pStyle w:val="null3"/>
        <w:spacing w:after="150"/>
        <w:ind w:firstLine="318"/>
        <w:jc w:val="left"/>
      </w:pPr>
      <w:r>
        <w:rPr>
          <w:rFonts w:ascii="仿宋_GB2312" w:hAnsi="仿宋_GB2312" w:cs="仿宋_GB2312" w:eastAsia="仿宋_GB2312"/>
          <w:sz w:val="24"/>
        </w:rPr>
        <w:t>（二）不同投标人委托同一单位或者个人办理投标事宜；</w:t>
      </w:r>
    </w:p>
    <w:p>
      <w:pPr>
        <w:pStyle w:val="null3"/>
        <w:spacing w:after="150"/>
        <w:jc w:val="left"/>
      </w:pPr>
      <w:r>
        <w:rPr>
          <w:rFonts w:ascii="仿宋_GB2312" w:hAnsi="仿宋_GB2312" w:cs="仿宋_GB2312" w:eastAsia="仿宋_GB2312"/>
          <w:sz w:val="24"/>
        </w:rPr>
        <w:t>（三）不同投标人的投标文件载明的项目管理成员或者联系人员为同一人；（四）不同投标人的投标文件异常一致或者投标报价呈规律性差异；</w:t>
      </w:r>
    </w:p>
    <w:p>
      <w:pPr>
        <w:pStyle w:val="null3"/>
        <w:spacing w:after="150"/>
        <w:jc w:val="left"/>
      </w:pPr>
      <w:r>
        <w:rPr>
          <w:rFonts w:ascii="仿宋_GB2312" w:hAnsi="仿宋_GB2312" w:cs="仿宋_GB2312" w:eastAsia="仿宋_GB2312"/>
          <w:sz w:val="24"/>
        </w:rPr>
        <w:t>（五）不同投标人的投标文件相互混装；</w:t>
      </w:r>
    </w:p>
    <w:p>
      <w:pPr>
        <w:pStyle w:val="null3"/>
        <w:spacing w:after="150"/>
        <w:jc w:val="left"/>
      </w:pPr>
      <w:r>
        <w:rPr>
          <w:rFonts w:ascii="仿宋_GB2312" w:hAnsi="仿宋_GB2312" w:cs="仿宋_GB2312" w:eastAsia="仿宋_GB2312"/>
          <w:sz w:val="24"/>
        </w:rPr>
        <w:t>（六）不同投标人的投标保证金从同一单位或者个人的账户转出。</w:t>
      </w:r>
    </w:p>
    <w:p>
      <w:pPr>
        <w:pStyle w:val="null3"/>
        <w:spacing w:after="150"/>
        <w:ind w:firstLine="318"/>
        <w:jc w:val="left"/>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spacing w:after="150"/>
        <w:ind w:firstLine="318"/>
        <w:jc w:val="left"/>
      </w:pPr>
      <w:r>
        <w:rPr>
          <w:rFonts w:ascii="仿宋_GB2312" w:hAnsi="仿宋_GB2312" w:cs="仿宋_GB2312" w:eastAsia="仿宋_GB2312"/>
          <w:sz w:val="24"/>
        </w:rPr>
        <w:t>（一）电子化招标项目视为串通情形的认定</w:t>
      </w:r>
    </w:p>
    <w:p>
      <w:pPr>
        <w:pStyle w:val="null3"/>
        <w:spacing w:after="150"/>
        <w:ind w:firstLine="318"/>
        <w:jc w:val="left"/>
      </w:pPr>
      <w:r>
        <w:rPr>
          <w:rFonts w:ascii="仿宋_GB2312" w:hAnsi="仿宋_GB2312" w:cs="仿宋_GB2312" w:eastAsia="仿宋_GB2312"/>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spacing w:after="150"/>
        <w:ind w:firstLine="318"/>
        <w:jc w:val="left"/>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spacing w:after="150"/>
        <w:ind w:firstLine="318"/>
        <w:jc w:val="left"/>
      </w:pPr>
      <w:r>
        <w:rPr>
          <w:rFonts w:ascii="仿宋_GB2312" w:hAnsi="仿宋_GB2312" w:cs="仿宋_GB2312" w:eastAsia="仿宋_GB2312"/>
          <w:sz w:val="24"/>
        </w:rPr>
        <w:t>（二）电子化非招标项目视为串通情形的认定</w:t>
      </w:r>
    </w:p>
    <w:p>
      <w:pPr>
        <w:pStyle w:val="null3"/>
        <w:spacing w:after="150"/>
        <w:ind w:firstLine="318"/>
        <w:jc w:val="left"/>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应商中标、成交或者排斥其他供 应商的其他串通行为”。</w:t>
      </w:r>
    </w:p>
    <w:p>
      <w:pPr>
        <w:pStyle w:val="null3"/>
        <w:spacing w:after="150"/>
        <w:ind w:firstLine="243"/>
        <w:jc w:val="left"/>
      </w:pPr>
      <w:r>
        <w:rPr>
          <w:rFonts w:ascii="仿宋_GB2312" w:hAnsi="仿宋_GB2312" w:cs="仿宋_GB2312" w:eastAsia="仿宋_GB2312"/>
          <w:sz w:val="24"/>
          <w:b/>
        </w:rPr>
        <w:t>《福建省财政厅关于福建省省级政府采购货物和服务项目招标文件编制指引和实施指引的补充通知（三）》（闽财购〔</w:t>
      </w:r>
      <w:r>
        <w:rPr>
          <w:rFonts w:ascii="仿宋_GB2312" w:hAnsi="仿宋_GB2312" w:cs="仿宋_GB2312" w:eastAsia="仿宋_GB2312"/>
          <w:sz w:val="24"/>
          <w:b/>
        </w:rPr>
        <w:t>2010〕28号）</w:t>
      </w:r>
    </w:p>
    <w:p>
      <w:pPr>
        <w:pStyle w:val="null3"/>
        <w:spacing w:after="150"/>
        <w:jc w:val="left"/>
      </w:pPr>
      <w:r>
        <w:rPr>
          <w:rFonts w:ascii="仿宋_GB2312" w:hAnsi="仿宋_GB2312" w:cs="仿宋_GB2312" w:eastAsia="仿宋_GB2312"/>
          <w:sz w:val="24"/>
        </w:rPr>
        <w:t>评标委员会在评标过程中发现投标人存在下列情形之一的，可认定其有串通</w:t>
      </w:r>
    </w:p>
    <w:p>
      <w:pPr>
        <w:pStyle w:val="null3"/>
        <w:spacing w:after="150"/>
        <w:jc w:val="left"/>
      </w:pPr>
      <w:r>
        <w:rPr>
          <w:rFonts w:ascii="仿宋_GB2312" w:hAnsi="仿宋_GB2312" w:cs="仿宋_GB2312" w:eastAsia="仿宋_GB2312"/>
          <w:sz w:val="24"/>
        </w:rPr>
        <w:t>投标行为，并做出其投标无效的决定：</w:t>
      </w:r>
    </w:p>
    <w:p>
      <w:pPr>
        <w:pStyle w:val="null3"/>
        <w:spacing w:after="150"/>
        <w:jc w:val="left"/>
      </w:pPr>
      <w:r>
        <w:rPr>
          <w:rFonts w:ascii="仿宋_GB2312" w:hAnsi="仿宋_GB2312" w:cs="仿宋_GB2312" w:eastAsia="仿宋_GB2312"/>
          <w:sz w:val="24"/>
        </w:rPr>
        <w:t>（一）不同投标人的投标文件错、漏之处一致或雷同，且不能合理解释的；</w:t>
      </w:r>
    </w:p>
    <w:p>
      <w:pPr>
        <w:pStyle w:val="null3"/>
        <w:spacing w:after="150"/>
        <w:jc w:val="left"/>
      </w:pPr>
      <w:r>
        <w:rPr>
          <w:rFonts w:ascii="仿宋_GB2312" w:hAnsi="仿宋_GB2312" w:cs="仿宋_GB2312" w:eastAsia="仿宋_GB2312"/>
          <w:sz w:val="24"/>
        </w:rPr>
        <w:t>（二）不同的投标人的法定代表人、委托代理人等由同一个单位缴纳社会保险的；</w:t>
      </w:r>
    </w:p>
    <w:p>
      <w:pPr>
        <w:pStyle w:val="null3"/>
        <w:spacing w:after="150"/>
        <w:jc w:val="left"/>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spacing w:after="150"/>
        <w:jc w:val="left"/>
      </w:pPr>
      <w:r>
        <w:rPr>
          <w:rFonts w:ascii="仿宋_GB2312" w:hAnsi="仿宋_GB2312" w:cs="仿宋_GB2312" w:eastAsia="仿宋_GB2312"/>
          <w:sz w:val="24"/>
        </w:rPr>
        <w:t>（四）有关法律、法规或规章规定的其他串通投标行为。</w:t>
      </w:r>
    </w:p>
    <w:p>
      <w:pPr>
        <w:pStyle w:val="null3"/>
        <w:spacing w:after="150"/>
        <w:jc w:val="left"/>
      </w:pPr>
      <w:r>
        <w:rPr>
          <w:rFonts w:ascii="仿宋_GB2312" w:hAnsi="仿宋_GB2312" w:cs="仿宋_GB2312" w:eastAsia="仿宋_GB2312"/>
          <w:sz w:val="24"/>
          <w:b/>
        </w:rPr>
        <w:t>三、供应商需承担的后果</w:t>
      </w:r>
    </w:p>
    <w:p>
      <w:pPr>
        <w:pStyle w:val="null3"/>
        <w:spacing w:after="150"/>
        <w:ind w:firstLine="485"/>
        <w:jc w:val="left"/>
      </w:pPr>
      <w:r>
        <w:rPr>
          <w:rFonts w:ascii="仿宋_GB2312" w:hAnsi="仿宋_GB2312" w:cs="仿宋_GB2312" w:eastAsia="仿宋_GB2312"/>
          <w:sz w:val="24"/>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spacing w:after="150"/>
        <w:ind w:firstLine="485"/>
        <w:jc w:val="left"/>
      </w:pPr>
      <w:r>
        <w:rPr>
          <w:rFonts w:ascii="仿宋_GB2312" w:hAnsi="仿宋_GB2312" w:cs="仿宋_GB2312" w:eastAsia="仿宋_GB2312"/>
          <w:sz w:val="24"/>
        </w:rPr>
        <w:t>2、《政府采购非招标采购方式管理办法》（财政部令第74号）第二十条：有下列情形之一的，保证金不予退还： （四）供 应商与采购人、其他供 应商或者采购代 理机构恶意串通的；</w:t>
      </w:r>
    </w:p>
    <w:p>
      <w:pPr>
        <w:pStyle w:val="null3"/>
        <w:spacing w:after="150"/>
        <w:ind w:firstLine="318"/>
        <w:jc w:val="left"/>
      </w:pPr>
      <w:r>
        <w:rPr>
          <w:rFonts w:ascii="仿宋_GB2312" w:hAnsi="仿宋_GB2312" w:cs="仿宋_GB2312" w:eastAsia="仿宋_GB2312"/>
          <w:sz w:val="24"/>
        </w:rPr>
        <w:t>3、《政府采购竞争性磋商采购方式管理暂行办法》（财库〔2014〕214号）第三十一条：有下列情形之一的，磋商保证金不予退还： （四）供 应商与采购人、其他供 应商或者采购代 理机构恶意串通的；</w:t>
      </w:r>
    </w:p>
    <w:p>
      <w:pPr>
        <w:pStyle w:val="null3"/>
        <w:jc w:val="both"/>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 2、供应商在提交CA证书后，供应商代表应当在厦门市湖里区云顶北路842号厦门市行政服务中心4层C区大厅等待，并根据磋商小组的要求和安排配合相应磋商工作直至结束。 3、请供应商在评审当天自行携带笔记本电脑用于线上报价，具体流程详见供应商操作手册。 4、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[350213]wx[CS]2025002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2025至2026学年金海小学及所属完小物业服务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1(2025至2026学年金海小学及所属完小物业服务)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2025至2026学年金海小学及所属完小物业服务</w:t>
            </w:r>
          </w:p>
        </w:tc>
        <w:tc>
          <w:tcPr>
            <w:tcW w:type="dxa" w:w="1661"/>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[350213]wx[CS]2025002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2025至2026学年金海小学及所属完小物业服务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2025至2026学年金海小学及所属完小物业服务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2025-2026学年金海小学及所属完小物业服务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2025-2026学年金海小学及所属完小物业服务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