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CE7FD">
      <w:pPr>
        <w:spacing w:beforeLines="50" w:afterLines="50" w:line="560" w:lineRule="exact"/>
        <w:jc w:val="both"/>
        <w:rPr>
          <w:rFonts w:hint="default" w:ascii="方正小标宋简体" w:hAnsi="方正小标宋简体" w:eastAsia="方正小标宋简体"/>
          <w:sz w:val="44"/>
          <w:szCs w:val="44"/>
          <w:lang w:val="en-US" w:eastAsia="zh-CN"/>
        </w:rPr>
      </w:pPr>
      <w:bookmarkStart w:id="0" w:name="OLE_LINK6"/>
      <w:bookmarkStart w:id="1" w:name="OLE_LINK5"/>
      <w:r>
        <w:rPr>
          <w:rFonts w:hint="eastAsia" w:ascii="方正小标宋简体" w:hAnsi="方正小标宋简体" w:eastAsia="方正小标宋简体"/>
          <w:sz w:val="44"/>
          <w:szCs w:val="44"/>
          <w:lang w:val="en-US" w:eastAsia="zh-CN"/>
        </w:rPr>
        <w:t>附件1</w:t>
      </w:r>
    </w:p>
    <w:p w14:paraId="698DFC5F">
      <w:pPr>
        <w:spacing w:beforeLines="50" w:afterLines="50"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廉政风险告知书</w:t>
      </w:r>
      <w:bookmarkEnd w:id="0"/>
      <w:bookmarkEnd w:id="1"/>
    </w:p>
    <w:p w14:paraId="72862E46">
      <w:pPr>
        <w:pStyle w:val="7"/>
        <w:spacing w:line="560" w:lineRule="exact"/>
        <w:rPr>
          <w:rFonts w:ascii="仿宋" w:hAnsi="仿宋" w:eastAsia="仿宋" w:cs="FangSong_GB2312"/>
          <w:sz w:val="32"/>
          <w:szCs w:val="32"/>
        </w:rPr>
      </w:pPr>
      <w:r>
        <w:rPr>
          <w:rFonts w:ascii="仿宋" w:hAnsi="仿宋" w:eastAsia="仿宋" w:cs="FangSong_GB2312"/>
          <w:sz w:val="32"/>
          <w:szCs w:val="32"/>
        </w:rPr>
        <w:t>致参与本项目的供应商：</w:t>
      </w:r>
    </w:p>
    <w:p w14:paraId="13974E8F">
      <w:pPr>
        <w:pStyle w:val="7"/>
        <w:spacing w:line="560" w:lineRule="exact"/>
        <w:ind w:firstLine="640" w:firstLineChars="200"/>
        <w:rPr>
          <w:rFonts w:ascii="仿宋" w:hAnsi="仿宋" w:eastAsia="仿宋" w:cs="FangSong_GB2312"/>
          <w:sz w:val="32"/>
          <w:szCs w:val="32"/>
        </w:rPr>
      </w:pPr>
      <w:r>
        <w:rPr>
          <w:rFonts w:hint="eastAsia" w:ascii="仿宋" w:hAnsi="仿宋" w:eastAsia="仿宋" w:cs="FangSong_GB2312"/>
          <w:sz w:val="32"/>
          <w:szCs w:val="32"/>
        </w:rPr>
        <w:t>为进一步加强廉政建设，做好廉政风险防控，落实政府采购公开透明、公平竞争原则，保障供应商与采购单位的合法正当权益，特向贵单位发送《廉政风险告知书》，具体如下：</w:t>
      </w:r>
    </w:p>
    <w:p w14:paraId="17871BF7">
      <w:pPr>
        <w:pStyle w:val="7"/>
        <w:spacing w:line="560" w:lineRule="exact"/>
        <w:ind w:firstLine="640" w:firstLineChars="200"/>
        <w:rPr>
          <w:rFonts w:ascii="仿宋" w:hAnsi="仿宋" w:eastAsia="仿宋" w:cs="FangSong_GB2312"/>
          <w:sz w:val="32"/>
          <w:szCs w:val="32"/>
        </w:rPr>
      </w:pPr>
      <w:r>
        <w:rPr>
          <w:rFonts w:hint="eastAsia" w:ascii="仿宋" w:hAnsi="仿宋" w:eastAsia="仿宋" w:cs="FangSong_GB2312"/>
          <w:sz w:val="32"/>
          <w:szCs w:val="32"/>
        </w:rPr>
        <w:t>一、供应商在参与政府采购活动时，应当严格遵守国家法律法规要求，端正经营理念、恪守商业道德、公平参与竞争，不得通过不合法、不正当的手段谋取中标。</w:t>
      </w:r>
    </w:p>
    <w:p w14:paraId="2826B746">
      <w:pPr>
        <w:pStyle w:val="7"/>
        <w:spacing w:line="560" w:lineRule="exact"/>
        <w:ind w:firstLine="640" w:firstLineChars="200"/>
        <w:rPr>
          <w:rFonts w:ascii="仿宋" w:hAnsi="仿宋" w:eastAsia="仿宋" w:cs="FangSong_GB2312"/>
          <w:sz w:val="32"/>
          <w:szCs w:val="32"/>
        </w:rPr>
      </w:pPr>
      <w:r>
        <w:rPr>
          <w:rFonts w:hint="eastAsia" w:ascii="仿宋" w:hAnsi="仿宋" w:eastAsia="仿宋" w:cs="FangSong_GB2312"/>
          <w:sz w:val="32"/>
          <w:szCs w:val="32"/>
        </w:rPr>
        <w:t>二、在政府采购过程中，采购单位工作人员不得向供应商索要或者接受其给予的赠品、回扣、礼品、礼金、礼券等或者与采购无关的其他商品、服务，不得接受供应商组织的宴请、旅游、娱乐，不得向供应商报销应当由个人承担的费用。供应商也不得主动向采购单位工作人员提供上述不正当利益。</w:t>
      </w:r>
    </w:p>
    <w:p w14:paraId="597E98FE">
      <w:pPr>
        <w:pStyle w:val="7"/>
        <w:spacing w:line="560" w:lineRule="exact"/>
        <w:ind w:firstLine="640" w:firstLineChars="200"/>
        <w:rPr>
          <w:rFonts w:ascii="仿宋" w:hAnsi="仿宋" w:eastAsia="仿宋" w:cs="FangSong_GB2312"/>
          <w:sz w:val="32"/>
          <w:szCs w:val="32"/>
        </w:rPr>
      </w:pPr>
      <w:r>
        <w:rPr>
          <w:rFonts w:hint="eastAsia" w:ascii="仿宋" w:hAnsi="仿宋" w:eastAsia="仿宋" w:cs="FangSong_GB2312"/>
          <w:sz w:val="32"/>
          <w:szCs w:val="32"/>
        </w:rPr>
        <w:t>三、供应商与采购单位发生资金往来时（如履约保证金、合同款项、违约金等），应当通过公对公账户，不得通过工作人员及其亲属、朋友或其他有特定关系人员指定的其他账户收取。不允许从事采购工作的个人收取任何形式的现金（包括但不限于现钞、微信转账、银行转账等）。</w:t>
      </w:r>
    </w:p>
    <w:p w14:paraId="22478C36">
      <w:pPr>
        <w:pStyle w:val="7"/>
        <w:spacing w:line="560" w:lineRule="exact"/>
        <w:ind w:firstLine="640" w:firstLineChars="200"/>
        <w:rPr>
          <w:rFonts w:ascii="仿宋" w:hAnsi="仿宋" w:eastAsia="仿宋" w:cs="FangSong_GB2312"/>
          <w:sz w:val="32"/>
          <w:szCs w:val="32"/>
        </w:rPr>
      </w:pPr>
      <w:r>
        <w:rPr>
          <w:rFonts w:hint="eastAsia" w:ascii="仿宋" w:hAnsi="仿宋" w:eastAsia="仿宋" w:cs="FangSong_GB2312"/>
          <w:sz w:val="32"/>
          <w:szCs w:val="32"/>
        </w:rPr>
        <w:t>若供应商发现采购单位工作人员存在以上禁止行为的，可依法向采购单位、纪委监委等部门进行举报。</w:t>
      </w:r>
    </w:p>
    <w:p w14:paraId="58C5AD4C">
      <w:pPr>
        <w:pStyle w:val="7"/>
        <w:spacing w:line="560" w:lineRule="exact"/>
        <w:ind w:firstLine="640" w:firstLineChars="200"/>
        <w:rPr>
          <w:rFonts w:ascii="仿宋" w:hAnsi="仿宋" w:eastAsia="仿宋" w:cs="FangSong_GB2312"/>
          <w:sz w:val="32"/>
          <w:szCs w:val="32"/>
        </w:rPr>
      </w:pPr>
      <w:r>
        <w:rPr>
          <w:rFonts w:hint="eastAsia" w:ascii="仿宋" w:hAnsi="仿宋" w:eastAsia="仿宋" w:cs="FangSong_GB2312"/>
          <w:sz w:val="32"/>
          <w:szCs w:val="32"/>
        </w:rPr>
        <w:t>若供应商从事上述禁止行为的，将依法承担相应的法律责任。</w:t>
      </w:r>
    </w:p>
    <w:p w14:paraId="5F73F0EA">
      <w:pPr>
        <w:pStyle w:val="7"/>
        <w:spacing w:line="560" w:lineRule="exact"/>
        <w:ind w:firstLine="640" w:firstLineChars="200"/>
        <w:rPr>
          <w:rFonts w:ascii="仿宋" w:hAnsi="仿宋" w:eastAsia="仿宋" w:cs="FangSong_GB2312"/>
          <w:sz w:val="32"/>
          <w:szCs w:val="32"/>
        </w:rPr>
      </w:pPr>
      <w:r>
        <w:rPr>
          <w:rFonts w:hint="eastAsia" w:ascii="仿宋" w:hAnsi="仿宋" w:eastAsia="仿宋" w:cs="FangSong_GB2312"/>
          <w:sz w:val="32"/>
          <w:szCs w:val="32"/>
        </w:rPr>
        <w:t>特此告知！</w:t>
      </w:r>
    </w:p>
    <w:p w14:paraId="67B39A49">
      <w:r>
        <w:br w:type="page"/>
      </w:r>
    </w:p>
    <w:p w14:paraId="72E918BE">
      <w:pPr>
        <w:spacing w:beforeLines="50" w:afterLines="50" w:line="560" w:lineRule="exact"/>
        <w:jc w:val="both"/>
        <w:rPr>
          <w:rFonts w:hint="eastAsia" w:ascii="方正小标宋简体" w:hAnsi="方正小标宋简体" w:eastAsia="方正小标宋简体"/>
          <w:sz w:val="44"/>
          <w:szCs w:val="44"/>
          <w:lang w:val="en-US" w:eastAsia="zh-CN"/>
        </w:rPr>
      </w:pPr>
      <w:r>
        <w:rPr>
          <w:rFonts w:hint="eastAsia" w:ascii="方正小标宋简体" w:hAnsi="方正小标宋简体" w:eastAsia="方正小标宋简体"/>
          <w:sz w:val="44"/>
          <w:szCs w:val="44"/>
          <w:lang w:val="en-US" w:eastAsia="zh-CN"/>
        </w:rPr>
        <w:t>附件2</w:t>
      </w:r>
    </w:p>
    <w:p w14:paraId="175AD727">
      <w:pPr>
        <w:pStyle w:val="2"/>
        <w:keepNext w:val="0"/>
        <w:keepLines w:val="0"/>
        <w:widowControl/>
        <w:suppressLineNumbers w:val="0"/>
        <w:ind w:left="0"/>
      </w:pPr>
      <w:r>
        <w:rPr>
          <w:rStyle w:val="6"/>
          <w:rFonts w:hint="eastAsia" w:ascii="宋体" w:hAnsi="宋体" w:eastAsia="宋体" w:cs="宋体"/>
          <w:color w:val="000000"/>
          <w:spacing w:val="-2"/>
          <w:sz w:val="32"/>
          <w:szCs w:val="32"/>
        </w:rPr>
        <w:t>供应商直接控股、管理关系信息表</w:t>
      </w:r>
    </w:p>
    <w:p w14:paraId="46DE224C">
      <w:pPr>
        <w:pStyle w:val="2"/>
        <w:keepNext w:val="0"/>
        <w:keepLines w:val="0"/>
        <w:widowControl/>
        <w:suppressLineNumbers w:val="0"/>
        <w:ind w:left="0"/>
        <w:textAlignment w:val="baseline"/>
      </w:pPr>
      <w:r>
        <w:rPr>
          <w:rFonts w:hint="eastAsia" w:ascii="宋体" w:hAnsi="宋体" w:eastAsia="宋体" w:cs="宋体"/>
          <w:color w:val="000000"/>
          <w:spacing w:val="2"/>
          <w:sz w:val="28"/>
          <w:szCs w:val="28"/>
          <w:vertAlign w:val="baseline"/>
        </w:rPr>
        <w:t>一、供应商直接控股股东信息表</w:t>
      </w:r>
    </w:p>
    <w:p w14:paraId="29A6D3A3">
      <w:pPr>
        <w:pStyle w:val="2"/>
        <w:keepNext w:val="0"/>
        <w:keepLines w:val="0"/>
        <w:widowControl/>
        <w:suppressLineNumbers w:val="0"/>
        <w:jc w:val="center"/>
      </w:pPr>
      <w:r>
        <w:fldChar w:fldCharType="begin"/>
      </w:r>
      <w:r>
        <w:instrText xml:space="preserve">INCLUDEPICTURE \d "https://mmbiz.qpic.cn/sz_mmbiz_png/vkk2hWjFG2pK7zJXsZfUia823pNx2kD70ibXGGhTGs47khvibicBzGXKBOhLib7AlyuIzGjxbvkjq8GRaNASpXHpLgQ/640?wx_fmt=png&amp;from=appmsg&amp;tp=wxpic&amp;wxfrom=5&amp;wx_lazy=1&amp;wx_co=1" \* MERGEFORMATINET </w:instrText>
      </w:r>
      <w:r>
        <w:fldChar w:fldCharType="separate"/>
      </w:r>
      <w:r>
        <w:drawing>
          <wp:inline distT="0" distB="0" distL="114300" distR="114300">
            <wp:extent cx="5274310" cy="1722120"/>
            <wp:effectExtent l="0" t="0" r="2540" b="1143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74310" cy="1722120"/>
                    </a:xfrm>
                    <a:prstGeom prst="rect">
                      <a:avLst/>
                    </a:prstGeom>
                    <a:noFill/>
                    <a:ln>
                      <a:noFill/>
                    </a:ln>
                  </pic:spPr>
                </pic:pic>
              </a:graphicData>
            </a:graphic>
          </wp:inline>
        </w:drawing>
      </w:r>
      <w:r>
        <w:fldChar w:fldCharType="end"/>
      </w:r>
    </w:p>
    <w:p w14:paraId="33843FD2">
      <w:pPr>
        <w:keepNext w:val="0"/>
        <w:keepLines w:val="0"/>
        <w:widowControl/>
        <w:suppressLineNumbers w:val="0"/>
        <w:jc w:val="left"/>
      </w:pPr>
      <w:r>
        <w:rPr>
          <w:rFonts w:hint="eastAsia" w:ascii="宋体" w:hAnsi="宋体" w:eastAsia="宋体" w:cs="宋体"/>
          <w:color w:val="000000"/>
          <w:spacing w:val="-4"/>
          <w:kern w:val="0"/>
          <w:sz w:val="24"/>
          <w:szCs w:val="24"/>
          <w:lang w:val="en-US" w:eastAsia="zh-CN" w:bidi="ar"/>
        </w:rPr>
        <w:t>注</w:t>
      </w:r>
      <w:r>
        <w:rPr>
          <w:rFonts w:hint="eastAsia" w:ascii="宋体" w:hAnsi="宋体" w:eastAsia="宋体" w:cs="宋体"/>
          <w:color w:val="000000"/>
          <w:spacing w:val="-37"/>
          <w:kern w:val="0"/>
          <w:sz w:val="24"/>
          <w:szCs w:val="24"/>
          <w:lang w:val="en-US" w:eastAsia="zh-CN" w:bidi="ar"/>
        </w:rPr>
        <w:t> </w:t>
      </w:r>
      <w:r>
        <w:rPr>
          <w:rFonts w:hint="eastAsia" w:ascii="宋体" w:hAnsi="宋体" w:eastAsia="宋体" w:cs="宋体"/>
          <w:color w:val="000000"/>
          <w:spacing w:val="-4"/>
          <w:kern w:val="0"/>
          <w:sz w:val="24"/>
          <w:szCs w:val="24"/>
          <w:lang w:val="en-US" w:eastAsia="zh-CN" w:bidi="ar"/>
        </w:rPr>
        <w:t>：</w:t>
      </w:r>
    </w:p>
    <w:p w14:paraId="7C399105">
      <w:pPr>
        <w:pStyle w:val="2"/>
        <w:keepNext w:val="0"/>
        <w:keepLines w:val="0"/>
        <w:widowControl/>
        <w:suppressLineNumbers w:val="0"/>
        <w:ind w:right="0"/>
        <w:textAlignment w:val="baseline"/>
      </w:pPr>
      <w:r>
        <w:rPr>
          <w:rFonts w:hint="eastAsia" w:ascii="宋体" w:hAnsi="宋体" w:eastAsia="宋体" w:cs="宋体"/>
          <w:spacing w:val="1"/>
          <w:kern w:val="0"/>
          <w:sz w:val="24"/>
          <w:szCs w:val="24"/>
          <w:vertAlign w:val="baseline"/>
        </w:rPr>
        <w:t>1.</w:t>
      </w:r>
      <w:r>
        <w:rPr>
          <w:rFonts w:hint="eastAsia" w:ascii="宋体" w:hAnsi="宋体" w:eastAsia="宋体" w:cs="宋体"/>
          <w:spacing w:val="1"/>
          <w:sz w:val="24"/>
          <w:szCs w:val="24"/>
          <w:vertAlign w:val="baseline"/>
        </w:rPr>
        <w:t>直接控股股东：是指其出资额占有限责任公司资本总额百分之五十以上或者其持有的股份</w:t>
      </w:r>
      <w:r>
        <w:rPr>
          <w:rFonts w:hint="eastAsia" w:ascii="宋体" w:hAnsi="宋体" w:eastAsia="宋体" w:cs="宋体"/>
          <w:sz w:val="24"/>
          <w:szCs w:val="24"/>
          <w:vertAlign w:val="baseline"/>
        </w:rPr>
        <w:t>占股份有限公司股份总额百分之五十以上的股东；出资额或者持有股份的比例虽然不足百分</w:t>
      </w:r>
      <w:r>
        <w:rPr>
          <w:rFonts w:hint="eastAsia" w:ascii="宋体" w:hAnsi="宋体" w:eastAsia="宋体" w:cs="宋体"/>
          <w:spacing w:val="1"/>
          <w:sz w:val="24"/>
          <w:szCs w:val="24"/>
          <w:vertAlign w:val="baseline"/>
        </w:rPr>
        <w:t>之五十，但依其出资额或者持有的股份所享有的表决权足以对股东会、股东大会的决议产</w:t>
      </w:r>
      <w:r>
        <w:rPr>
          <w:rFonts w:hint="eastAsia" w:ascii="宋体" w:hAnsi="宋体" w:eastAsia="宋体" w:cs="宋体"/>
          <w:spacing w:val="-1"/>
          <w:sz w:val="24"/>
          <w:szCs w:val="24"/>
          <w:vertAlign w:val="baseline"/>
        </w:rPr>
        <w:t>生重大影响的股东。</w:t>
      </w:r>
    </w:p>
    <w:p w14:paraId="212FF083">
      <w:pPr>
        <w:pStyle w:val="2"/>
        <w:keepNext w:val="0"/>
        <w:keepLines w:val="0"/>
        <w:widowControl/>
        <w:suppressLineNumbers w:val="0"/>
        <w:ind w:right="0"/>
        <w:textAlignment w:val="baseline"/>
      </w:pPr>
      <w:r>
        <w:rPr>
          <w:rFonts w:hint="eastAsia" w:ascii="宋体" w:hAnsi="宋体" w:eastAsia="宋体" w:cs="宋体"/>
          <w:spacing w:val="1"/>
          <w:sz w:val="24"/>
          <w:szCs w:val="24"/>
          <w:vertAlign w:val="baseline"/>
        </w:rPr>
        <w:t>2.本表所指的控股关系仅限于直接控股关系，不包括间接的控股关系。公司实际控制人</w:t>
      </w:r>
      <w:r>
        <w:rPr>
          <w:rFonts w:hint="eastAsia" w:ascii="宋体" w:hAnsi="宋体" w:eastAsia="宋体" w:cs="宋体"/>
          <w:sz w:val="24"/>
          <w:szCs w:val="24"/>
          <w:vertAlign w:val="baseline"/>
        </w:rPr>
        <w:t>与公</w:t>
      </w:r>
      <w:r>
        <w:rPr>
          <w:rFonts w:hint="eastAsia" w:ascii="宋体" w:hAnsi="宋体" w:eastAsia="宋体" w:cs="宋体"/>
          <w:spacing w:val="1"/>
          <w:sz w:val="24"/>
          <w:szCs w:val="24"/>
          <w:vertAlign w:val="baseline"/>
        </w:rPr>
        <w:t>司之间的关系不属于本表所指的直接控股关系。</w:t>
      </w:r>
    </w:p>
    <w:p w14:paraId="3ED4C136">
      <w:pPr>
        <w:pStyle w:val="2"/>
        <w:keepNext w:val="0"/>
        <w:keepLines w:val="0"/>
        <w:widowControl/>
        <w:suppressLineNumbers w:val="0"/>
        <w:textAlignment w:val="baseline"/>
      </w:pPr>
      <w:r>
        <w:rPr>
          <w:rFonts w:hint="eastAsia" w:ascii="宋体" w:hAnsi="宋体" w:eastAsia="宋体" w:cs="宋体"/>
          <w:spacing w:val="-6"/>
          <w:sz w:val="24"/>
          <w:szCs w:val="24"/>
          <w:vertAlign w:val="baseline"/>
        </w:rPr>
        <w:t>3.供应商不存在直接控股股东的，则填“无”。</w:t>
      </w:r>
    </w:p>
    <w:p w14:paraId="3B9114A8">
      <w:pPr>
        <w:pStyle w:val="2"/>
        <w:keepNext w:val="0"/>
        <w:keepLines w:val="0"/>
        <w:widowControl/>
        <w:suppressLineNumbers w:val="0"/>
        <w:textAlignment w:val="baseline"/>
      </w:pPr>
    </w:p>
    <w:p w14:paraId="4B4D1332">
      <w:pPr>
        <w:pStyle w:val="2"/>
        <w:keepNext w:val="0"/>
        <w:keepLines w:val="0"/>
        <w:widowControl/>
        <w:suppressLineNumbers w:val="0"/>
        <w:ind w:left="0"/>
        <w:textAlignment w:val="baseline"/>
      </w:pPr>
      <w:r>
        <w:rPr>
          <w:rFonts w:hint="eastAsia" w:ascii="宋体" w:hAnsi="宋体" w:eastAsia="宋体" w:cs="宋体"/>
          <w:color w:val="000000"/>
          <w:spacing w:val="2"/>
          <w:sz w:val="28"/>
          <w:szCs w:val="28"/>
          <w:vertAlign w:val="baseline"/>
        </w:rPr>
        <w:t>二、供应商直接管理关系信息表</w:t>
      </w:r>
    </w:p>
    <w:p w14:paraId="2C051B3E">
      <w:pPr>
        <w:pStyle w:val="2"/>
        <w:keepNext w:val="0"/>
        <w:keepLines w:val="0"/>
        <w:widowControl/>
        <w:suppressLineNumbers w:val="0"/>
        <w:jc w:val="center"/>
      </w:pPr>
      <w:r>
        <w:fldChar w:fldCharType="begin"/>
      </w:r>
      <w:r>
        <w:instrText xml:space="preserve">INCLUDEPICTURE \d "https://mmbiz.qpic.cn/sz_mmbiz_png/vkk2hWjFG2pK7zJXsZfUia823pNx2kD70002icuFOBKhFDn6VMj9wibkZNrIYYLygUa4ViaWrTh6cvgKETDKfzFP4A/640?wx_fmt=png&amp;from=appmsg&amp;tp=wxpic&amp;wxfrom=5&amp;wx_lazy=1&amp;wx_co=1" \* MERGEFORMATINET </w:instrText>
      </w:r>
      <w:r>
        <w:fldChar w:fldCharType="separate"/>
      </w:r>
      <w:r>
        <w:drawing>
          <wp:inline distT="0" distB="0" distL="114300" distR="114300">
            <wp:extent cx="5274310" cy="1733550"/>
            <wp:effectExtent l="0" t="0" r="254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274310" cy="1733550"/>
                    </a:xfrm>
                    <a:prstGeom prst="rect">
                      <a:avLst/>
                    </a:prstGeom>
                    <a:noFill/>
                    <a:ln>
                      <a:noFill/>
                    </a:ln>
                  </pic:spPr>
                </pic:pic>
              </a:graphicData>
            </a:graphic>
          </wp:inline>
        </w:drawing>
      </w:r>
      <w:r>
        <w:fldChar w:fldCharType="end"/>
      </w:r>
    </w:p>
    <w:p w14:paraId="1CD5418C">
      <w:pPr>
        <w:pStyle w:val="2"/>
        <w:keepNext w:val="0"/>
        <w:keepLines w:val="0"/>
        <w:widowControl/>
        <w:suppressLineNumbers w:val="0"/>
        <w:ind w:left="0"/>
        <w:textAlignment w:val="baseline"/>
      </w:pPr>
    </w:p>
    <w:p w14:paraId="6C8D78C6">
      <w:pPr>
        <w:pStyle w:val="2"/>
        <w:keepNext w:val="0"/>
        <w:keepLines w:val="0"/>
        <w:widowControl/>
        <w:suppressLineNumbers w:val="0"/>
        <w:ind w:left="0"/>
        <w:textAlignment w:val="baseline"/>
      </w:pPr>
      <w:r>
        <w:rPr>
          <w:rFonts w:hint="eastAsia" w:ascii="宋体" w:hAnsi="宋体" w:eastAsia="宋体" w:cs="宋体"/>
          <w:color w:val="000000"/>
          <w:spacing w:val="-4"/>
          <w:sz w:val="24"/>
          <w:szCs w:val="24"/>
          <w:vertAlign w:val="baseline"/>
        </w:rPr>
        <w:t>注</w:t>
      </w:r>
      <w:r>
        <w:rPr>
          <w:rFonts w:hint="eastAsia" w:ascii="宋体" w:hAnsi="宋体" w:eastAsia="宋体" w:cs="宋体"/>
          <w:color w:val="000000"/>
          <w:spacing w:val="-37"/>
          <w:sz w:val="24"/>
          <w:szCs w:val="24"/>
          <w:vertAlign w:val="baseline"/>
        </w:rPr>
        <w:t> </w:t>
      </w:r>
      <w:r>
        <w:rPr>
          <w:rFonts w:hint="eastAsia" w:ascii="宋体" w:hAnsi="宋体" w:eastAsia="宋体" w:cs="宋体"/>
          <w:color w:val="000000"/>
          <w:spacing w:val="-4"/>
          <w:sz w:val="24"/>
          <w:szCs w:val="24"/>
          <w:vertAlign w:val="baseline"/>
        </w:rPr>
        <w:t>：</w:t>
      </w:r>
    </w:p>
    <w:p w14:paraId="07510072">
      <w:pPr>
        <w:pStyle w:val="2"/>
        <w:keepNext w:val="0"/>
        <w:keepLines w:val="0"/>
        <w:widowControl/>
        <w:suppressLineNumbers w:val="0"/>
        <w:ind w:right="0"/>
        <w:textAlignment w:val="baseline"/>
      </w:pPr>
      <w:r>
        <w:rPr>
          <w:rFonts w:hint="eastAsia" w:ascii="宋体" w:hAnsi="宋体" w:eastAsia="宋体" w:cs="宋体"/>
          <w:color w:val="000000"/>
          <w:spacing w:val="1"/>
          <w:sz w:val="24"/>
          <w:szCs w:val="24"/>
          <w:vertAlign w:val="baseline"/>
        </w:rPr>
        <w:t>1.管理关系：是指不具有出资持股关系的其他单位之间存在的管理与被管理关系</w:t>
      </w:r>
      <w:r>
        <w:rPr>
          <w:rFonts w:hint="eastAsia" w:ascii="宋体" w:hAnsi="宋体" w:eastAsia="宋体" w:cs="宋体"/>
          <w:color w:val="000000"/>
          <w:sz w:val="24"/>
          <w:szCs w:val="24"/>
          <w:vertAlign w:val="baseline"/>
        </w:rPr>
        <w:t>，如一些上下级关系的事业单位和团体组织。</w:t>
      </w:r>
    </w:p>
    <w:p w14:paraId="4EBED6E6">
      <w:pPr>
        <w:pStyle w:val="2"/>
        <w:keepNext w:val="0"/>
        <w:keepLines w:val="0"/>
        <w:widowControl/>
        <w:suppressLineNumbers w:val="0"/>
        <w:ind w:right="0"/>
        <w:textAlignment w:val="baseline"/>
      </w:pPr>
      <w:r>
        <w:rPr>
          <w:rFonts w:hint="eastAsia" w:ascii="宋体" w:hAnsi="宋体" w:eastAsia="宋体" w:cs="宋体"/>
          <w:color w:val="000000"/>
          <w:spacing w:val="1"/>
          <w:sz w:val="24"/>
          <w:szCs w:val="24"/>
          <w:vertAlign w:val="baseline"/>
        </w:rPr>
        <w:t>2.本表</w:t>
      </w:r>
      <w:r>
        <w:rPr>
          <w:rFonts w:hint="eastAsia" w:ascii="宋体" w:hAnsi="宋体" w:eastAsia="宋体" w:cs="宋体"/>
          <w:color w:val="6B4634"/>
          <w:spacing w:val="1"/>
          <w:sz w:val="24"/>
          <w:szCs w:val="24"/>
          <w:vertAlign w:val="baseline"/>
        </w:rPr>
        <w:t>所</w:t>
      </w:r>
      <w:r>
        <w:rPr>
          <w:rFonts w:hint="eastAsia" w:ascii="宋体" w:hAnsi="宋体" w:eastAsia="宋体" w:cs="宋体"/>
          <w:color w:val="000000"/>
          <w:spacing w:val="1"/>
          <w:sz w:val="24"/>
          <w:szCs w:val="24"/>
          <w:vertAlign w:val="baseline"/>
        </w:rPr>
        <w:t>指的管理关系仅限于直接管理关系，不包括问接的管</w:t>
      </w:r>
      <w:r>
        <w:rPr>
          <w:rFonts w:hint="eastAsia" w:ascii="宋体" w:hAnsi="宋体" w:eastAsia="宋体" w:cs="宋体"/>
          <w:color w:val="000000"/>
          <w:sz w:val="24"/>
          <w:szCs w:val="24"/>
          <w:vertAlign w:val="baseline"/>
        </w:rPr>
        <w:t xml:space="preserve">理关系。 </w:t>
      </w:r>
    </w:p>
    <w:p w14:paraId="1742D090">
      <w:pPr>
        <w:pStyle w:val="2"/>
        <w:keepNext w:val="0"/>
        <w:keepLines w:val="0"/>
        <w:widowControl/>
        <w:suppressLineNumbers w:val="0"/>
        <w:ind w:right="0"/>
        <w:textAlignment w:val="baseline"/>
      </w:pPr>
      <w:r>
        <w:rPr>
          <w:rFonts w:hint="eastAsia" w:ascii="宋体" w:hAnsi="宋体" w:eastAsia="宋体" w:cs="宋体"/>
          <w:color w:val="000000"/>
          <w:spacing w:val="-10"/>
          <w:sz w:val="24"/>
          <w:szCs w:val="24"/>
          <w:vertAlign w:val="baseline"/>
        </w:rPr>
        <w:t>3.供应商不存在直接管理关系的，则填“无”。</w:t>
      </w:r>
    </w:p>
    <w:p w14:paraId="404DE16C"/>
    <w:p w14:paraId="2DEE1BDF">
      <w:pPr>
        <w:rPr>
          <w:rFonts w:hint="default"/>
          <w:lang w:val="en-US" w:eastAsia="zh-CN"/>
        </w:rPr>
      </w:pPr>
      <w:r>
        <w:rPr>
          <w:rFonts w:hint="default"/>
          <w:lang w:val="en-US" w:eastAsia="zh-CN"/>
        </w:rPr>
        <w:br w:type="page"/>
      </w:r>
    </w:p>
    <w:p w14:paraId="234E9A5E">
      <w:pPr>
        <w:spacing w:beforeLines="50" w:afterLines="50" w:line="560" w:lineRule="exact"/>
        <w:jc w:val="both"/>
        <w:rPr>
          <w:rFonts w:hint="eastAsia" w:ascii="方正小标宋简体" w:hAnsi="方正小标宋简体" w:eastAsia="方正小标宋简体"/>
          <w:sz w:val="44"/>
          <w:szCs w:val="44"/>
          <w:lang w:val="en-US" w:eastAsia="zh-CN"/>
        </w:rPr>
      </w:pPr>
      <w:r>
        <w:rPr>
          <w:rFonts w:hint="eastAsia" w:ascii="方正小标宋简体" w:hAnsi="方正小标宋简体" w:eastAsia="方正小标宋简体"/>
          <w:sz w:val="44"/>
          <w:szCs w:val="44"/>
          <w:lang w:val="en-US" w:eastAsia="zh-CN"/>
        </w:rPr>
        <w:t>附件3</w:t>
      </w:r>
    </w:p>
    <w:p w14:paraId="1BC2CE51">
      <w:pPr>
        <w:jc w:val="center"/>
        <w:rPr>
          <w:rFonts w:hint="eastAsia"/>
          <w:b/>
          <w:bCs/>
          <w:sz w:val="36"/>
          <w:szCs w:val="36"/>
          <w:lang w:eastAsia="zh-CN"/>
        </w:rPr>
      </w:pPr>
      <w:r>
        <w:rPr>
          <w:rFonts w:hint="eastAsia"/>
          <w:b/>
          <w:bCs/>
          <w:sz w:val="36"/>
          <w:szCs w:val="36"/>
          <w:lang w:eastAsia="zh-CN"/>
        </w:rPr>
        <w:t>无围标串标行为承诺书</w:t>
      </w:r>
    </w:p>
    <w:p w14:paraId="046664BF">
      <w:pPr>
        <w:keepNext w:val="0"/>
        <w:keepLines w:val="0"/>
        <w:pageBreakBefore w:val="0"/>
        <w:widowControl w:val="0"/>
        <w:kinsoku/>
        <w:wordWrap/>
        <w:overflowPunct/>
        <w:topLinePunct w:val="0"/>
        <w:autoSpaceDE/>
        <w:autoSpaceDN/>
        <w:bidi w:val="0"/>
        <w:adjustRightInd/>
        <w:snapToGrid/>
        <w:jc w:val="both"/>
        <w:textAlignment w:val="auto"/>
        <w:rPr>
          <w:rFonts w:hint="eastAsia"/>
          <w:b/>
          <w:bCs/>
          <w:sz w:val="28"/>
          <w:szCs w:val="28"/>
          <w:lang w:eastAsia="zh-CN"/>
        </w:rPr>
      </w:pPr>
      <w:r>
        <w:rPr>
          <w:rFonts w:hint="eastAsia"/>
          <w:b/>
          <w:bCs/>
          <w:sz w:val="28"/>
          <w:szCs w:val="28"/>
          <w:lang w:eastAsia="zh-CN"/>
        </w:rPr>
        <w:t>一、我方承诺无下列相互串通投标的情形:</w:t>
      </w:r>
    </w:p>
    <w:p w14:paraId="0ABD496A">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1.不同投标人的投标文件由同一单位或者个人编制;或者不同投标人报名的IP地址一致的;或者编制标书硬件设备CPU编号、硬盘编号、网卡地址一致的情况;</w:t>
      </w:r>
    </w:p>
    <w:p w14:paraId="4D7AAE4E">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2.不同投标人委托同一单位或者个人办理投标事宜;</w:t>
      </w:r>
    </w:p>
    <w:p w14:paraId="45B22316">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3.不同的投标人的投标文件载明的项目管理员为同一个人;</w:t>
      </w:r>
    </w:p>
    <w:p w14:paraId="68D4A889">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4.不同投标人的投标文件异常一致或者投标报价呈规律性差异;</w:t>
      </w:r>
    </w:p>
    <w:p w14:paraId="308A16CB">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5.不同投标人的投标文件相互混装;</w:t>
      </w:r>
    </w:p>
    <w:p w14:paraId="6E697FC7">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6.不同投标人的投标保证金从同一单位或者个人账户转出。</w:t>
      </w:r>
    </w:p>
    <w:p w14:paraId="619242DD">
      <w:pPr>
        <w:jc w:val="both"/>
        <w:rPr>
          <w:rFonts w:hint="eastAsia"/>
          <w:b/>
          <w:bCs/>
          <w:sz w:val="28"/>
          <w:szCs w:val="28"/>
          <w:lang w:eastAsia="zh-CN"/>
        </w:rPr>
      </w:pPr>
      <w:r>
        <w:rPr>
          <w:rFonts w:hint="eastAsia"/>
          <w:b/>
          <w:bCs/>
          <w:sz w:val="28"/>
          <w:szCs w:val="28"/>
          <w:lang w:eastAsia="zh-CN"/>
        </w:rPr>
        <w:t>二、我方承诺无下列恶意串通的情形:</w:t>
      </w:r>
    </w:p>
    <w:p w14:paraId="03CCEC9F">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1.投标人直接或者问接从采购人或者采购代理机构处获得其他投标人的相关信息并修改其投标文件或者投标文件;</w:t>
      </w:r>
    </w:p>
    <w:p w14:paraId="0F215067">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2.投标人按照采购人或者采购代理机构的授意撤换、修改投标文件或者投标文件;</w:t>
      </w:r>
    </w:p>
    <w:p w14:paraId="30279021">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3.投标人之间协商报价、技术方案等投标文件或者投标文件的实质性内容;</w:t>
      </w:r>
    </w:p>
    <w:p w14:paraId="0E539E55">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4.属于同一集团、协会、商会等组织成员的投标人按照该组织要求协同参加政府采购活动;</w:t>
      </w:r>
    </w:p>
    <w:p w14:paraId="435AFF25">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5.投标人之间事先约定一致抬高或者压低投标报价，或者在招标项目中事先约定轮流以高价位或者低价位中标，或者事先约定由某一特定投标人中标，然后再参加投标:</w:t>
      </w:r>
    </w:p>
    <w:p w14:paraId="091B84AF">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6.投标人之间商定部分投标人放弃参加政府采购活动或者放弃中标;</w:t>
      </w:r>
    </w:p>
    <w:p w14:paraId="49CD3F32">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7.投标人与采购人或者采购代理机构之间、投标人相互之间，为谋求特定投标人中标或者排斥其他投标人的其他串通行为；</w:t>
      </w:r>
    </w:p>
    <w:p w14:paraId="14513DD6">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eastAsiaTheme="minorEastAsia"/>
          <w:b w:val="0"/>
          <w:bCs w:val="0"/>
          <w:sz w:val="28"/>
          <w:szCs w:val="28"/>
          <w:lang w:val="en-US" w:eastAsia="zh-CN"/>
        </w:rPr>
      </w:pPr>
      <w:r>
        <w:rPr>
          <w:rFonts w:hint="eastAsia"/>
          <w:b w:val="0"/>
          <w:bCs w:val="0"/>
          <w:sz w:val="28"/>
          <w:szCs w:val="28"/>
          <w:lang w:val="en-US" w:eastAsia="zh-CN"/>
        </w:rPr>
        <w:t>8.近三年内有《中华人民共和国政府采购法》第七十七条、《中华人民共和国政府采购法实施条例》第七十二条、第七十三条及《政府采购质疑和投诉办法》（财政部令第94号）第三十七条等法律法规规章所规定的情形的。</w:t>
      </w:r>
    </w:p>
    <w:p w14:paraId="4B284687">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b w:val="0"/>
          <w:bCs w:val="0"/>
          <w:sz w:val="28"/>
          <w:szCs w:val="28"/>
          <w:lang w:eastAsia="zh-CN"/>
        </w:rPr>
      </w:pPr>
      <w:r>
        <w:rPr>
          <w:rFonts w:hint="eastAsia"/>
          <w:b w:val="0"/>
          <w:bCs w:val="0"/>
          <w:sz w:val="28"/>
          <w:szCs w:val="28"/>
          <w:lang w:eastAsia="zh-CN"/>
        </w:rPr>
        <w:t>以上情形一经核查属实，接受政府采购监管部门对我方认定存在围标串标行为，我方愿意承担一切后果，并不再寻求任何旨在减轻或者免除法律责任的辩解。</w:t>
      </w:r>
    </w:p>
    <w:p w14:paraId="001546A3">
      <w:pPr>
        <w:jc w:val="both"/>
        <w:rPr>
          <w:rFonts w:hint="eastAsia"/>
          <w:b w:val="0"/>
          <w:bCs w:val="0"/>
          <w:sz w:val="28"/>
          <w:szCs w:val="28"/>
          <w:lang w:eastAsia="zh-CN"/>
        </w:rPr>
      </w:pPr>
    </w:p>
    <w:p w14:paraId="47B1900B">
      <w:pPr>
        <w:jc w:val="both"/>
        <w:rPr>
          <w:rFonts w:hint="eastAsia"/>
          <w:b w:val="0"/>
          <w:bCs w:val="0"/>
          <w:sz w:val="28"/>
          <w:szCs w:val="28"/>
          <w:lang w:eastAsia="zh-CN"/>
        </w:rPr>
      </w:pPr>
    </w:p>
    <w:p w14:paraId="14B7AED2">
      <w:pPr>
        <w:ind w:left="838" w:leftChars="399" w:firstLine="6240" w:firstLineChars="2600"/>
        <w:jc w:val="both"/>
        <w:rPr>
          <w:rFonts w:hint="eastAsia"/>
          <w:b w:val="0"/>
          <w:bCs w:val="0"/>
          <w:sz w:val="24"/>
          <w:szCs w:val="24"/>
          <w:lang w:val="en-US" w:eastAsia="zh-CN"/>
        </w:rPr>
      </w:pPr>
    </w:p>
    <w:p w14:paraId="10CEC474">
      <w:pPr>
        <w:ind w:firstLine="720" w:firstLineChars="300"/>
        <w:jc w:val="both"/>
        <w:rPr>
          <w:rFonts w:hint="eastAsia"/>
          <w:b w:val="0"/>
          <w:bCs w:val="0"/>
          <w:sz w:val="24"/>
          <w:szCs w:val="24"/>
          <w:lang w:val="en-US" w:eastAsia="zh-CN"/>
        </w:rPr>
      </w:pPr>
      <w:r>
        <w:rPr>
          <w:rFonts w:hint="eastAsia"/>
          <w:b w:val="0"/>
          <w:bCs w:val="0"/>
          <w:sz w:val="24"/>
          <w:szCs w:val="24"/>
          <w:lang w:val="en-US" w:eastAsia="zh-CN"/>
        </w:rPr>
        <w:t>投标人法定代表人(或法定代表人授权代表)签字或盖章:____________</w:t>
      </w:r>
    </w:p>
    <w:p w14:paraId="6FBA78B2">
      <w:pPr>
        <w:ind w:left="838" w:leftChars="399" w:firstLine="6240" w:firstLineChars="2600"/>
        <w:jc w:val="both"/>
        <w:rPr>
          <w:rFonts w:hint="eastAsia"/>
          <w:b w:val="0"/>
          <w:bCs w:val="0"/>
          <w:sz w:val="24"/>
          <w:szCs w:val="24"/>
          <w:lang w:val="en-US" w:eastAsia="zh-CN"/>
        </w:rPr>
      </w:pPr>
    </w:p>
    <w:p w14:paraId="1DF5AD76">
      <w:pPr>
        <w:ind w:left="838" w:leftChars="399" w:firstLine="6240" w:firstLineChars="2600"/>
        <w:jc w:val="both"/>
        <w:rPr>
          <w:rFonts w:hint="default"/>
          <w:b w:val="0"/>
          <w:bCs w:val="0"/>
          <w:sz w:val="24"/>
          <w:szCs w:val="24"/>
          <w:lang w:val="en-US" w:eastAsia="zh-CN"/>
        </w:rPr>
      </w:pPr>
    </w:p>
    <w:p w14:paraId="0840627D">
      <w:pPr>
        <w:ind w:firstLine="4560" w:firstLineChars="1900"/>
        <w:jc w:val="both"/>
        <w:rPr>
          <w:rFonts w:hint="eastAsia"/>
          <w:b w:val="0"/>
          <w:bCs w:val="0"/>
          <w:sz w:val="24"/>
          <w:szCs w:val="24"/>
          <w:lang w:val="en-US" w:eastAsia="zh-CN"/>
        </w:rPr>
      </w:pPr>
      <w:r>
        <w:rPr>
          <w:rFonts w:hint="eastAsia"/>
          <w:b w:val="0"/>
          <w:bCs w:val="0"/>
          <w:sz w:val="24"/>
          <w:szCs w:val="24"/>
          <w:lang w:val="en-US" w:eastAsia="zh-CN"/>
        </w:rPr>
        <w:t>投标人名称(盖章)：____________</w:t>
      </w:r>
    </w:p>
    <w:p w14:paraId="7851EBBF">
      <w:pPr>
        <w:jc w:val="both"/>
        <w:rPr>
          <w:rFonts w:hint="eastAsia"/>
          <w:b w:val="0"/>
          <w:bCs w:val="0"/>
          <w:sz w:val="28"/>
          <w:szCs w:val="28"/>
          <w:lang w:val="en-US" w:eastAsia="zh-CN"/>
        </w:rPr>
      </w:pPr>
      <w:r>
        <w:rPr>
          <w:rFonts w:hint="eastAsia"/>
          <w:b w:val="0"/>
          <w:bCs w:val="0"/>
          <w:sz w:val="28"/>
          <w:szCs w:val="28"/>
          <w:lang w:val="en-US" w:eastAsia="zh-CN"/>
        </w:rPr>
        <w:t xml:space="preserve"> </w:t>
      </w:r>
    </w:p>
    <w:p w14:paraId="06E15AEB">
      <w:pPr>
        <w:jc w:val="both"/>
        <w:rPr>
          <w:rFonts w:hint="default"/>
          <w:b w:val="0"/>
          <w:bCs w:val="0"/>
          <w:sz w:val="28"/>
          <w:szCs w:val="28"/>
          <w:lang w:val="en-US" w:eastAsia="zh-CN"/>
        </w:rPr>
      </w:pPr>
    </w:p>
    <w:p w14:paraId="7A0FA295">
      <w:pPr>
        <w:ind w:firstLine="4760" w:firstLineChars="1700"/>
        <w:jc w:val="both"/>
        <w:rPr>
          <w:rFonts w:hint="eastAsia"/>
          <w:b w:val="0"/>
          <w:bCs w:val="0"/>
          <w:sz w:val="28"/>
          <w:szCs w:val="28"/>
          <w:lang w:val="en-US" w:eastAsia="zh-CN"/>
        </w:rPr>
      </w:pPr>
      <w:r>
        <w:rPr>
          <w:rFonts w:hint="eastAsia"/>
          <w:b w:val="0"/>
          <w:bCs w:val="0"/>
          <w:sz w:val="28"/>
          <w:szCs w:val="28"/>
          <w:lang w:val="en-US" w:eastAsia="zh-CN"/>
        </w:rPr>
        <w:t>日期:    年   月    日</w:t>
      </w:r>
    </w:p>
    <w:p w14:paraId="3319ACA1">
      <w:pPr>
        <w:jc w:val="both"/>
        <w:rPr>
          <w:rFonts w:hint="eastAsia"/>
          <w:b w:val="0"/>
          <w:bCs w:val="0"/>
          <w:sz w:val="28"/>
          <w:szCs w:val="28"/>
          <w:lang w:eastAsia="zh-CN"/>
        </w:rPr>
      </w:pPr>
    </w:p>
    <w:p w14:paraId="169974E1">
      <w:pPr>
        <w:rPr>
          <w:rFonts w:hint="default"/>
          <w:lang w:val="en-US" w:eastAsia="zh-CN"/>
        </w:rPr>
      </w:pPr>
      <w:r>
        <w:rPr>
          <w:rFonts w:hint="default"/>
          <w:lang w:val="en-US" w:eastAsia="zh-CN"/>
        </w:rPr>
        <w:br w:type="page"/>
      </w:r>
    </w:p>
    <w:p w14:paraId="393542EE">
      <w:pPr>
        <w:spacing w:beforeLines="50" w:afterLines="50" w:line="560" w:lineRule="exact"/>
        <w:jc w:val="both"/>
        <w:rPr>
          <w:rFonts w:hint="eastAsia" w:ascii="方正小标宋简体" w:hAnsi="方正小标宋简体" w:eastAsia="方正小标宋简体"/>
          <w:sz w:val="44"/>
          <w:szCs w:val="44"/>
          <w:lang w:val="en-US" w:eastAsia="zh-CN"/>
        </w:rPr>
      </w:pPr>
      <w:r>
        <w:rPr>
          <w:rFonts w:hint="eastAsia" w:ascii="方正小标宋简体" w:hAnsi="方正小标宋简体" w:eastAsia="方正小标宋简体"/>
          <w:sz w:val="44"/>
          <w:szCs w:val="44"/>
          <w:lang w:val="en-US" w:eastAsia="zh-CN"/>
        </w:rPr>
        <w:t>附件4</w:t>
      </w:r>
    </w:p>
    <w:p w14:paraId="1E171D49">
      <w:pPr>
        <w:spacing w:line="360" w:lineRule="auto"/>
        <w:ind w:firstLine="482" w:firstLineChars="200"/>
        <w:jc w:val="center"/>
        <w:rPr>
          <w:rFonts w:hint="eastAsia" w:ascii="宋体" w:hAnsi="宋体" w:cs="宋体"/>
          <w:b/>
          <w:bCs/>
          <w:color w:val="000000"/>
          <w:sz w:val="24"/>
          <w:szCs w:val="24"/>
          <w:lang w:eastAsia="zh-CN"/>
        </w:rPr>
      </w:pPr>
      <w:r>
        <w:rPr>
          <w:rFonts w:hint="eastAsia" w:ascii="宋体" w:hAnsi="宋体" w:cs="宋体"/>
          <w:b/>
          <w:bCs/>
          <w:color w:val="000000"/>
          <w:sz w:val="24"/>
          <w:szCs w:val="24"/>
        </w:rPr>
        <w:t>商务评分因素响应一览表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3030"/>
        <w:gridCol w:w="1950"/>
        <w:gridCol w:w="1965"/>
        <w:gridCol w:w="803"/>
      </w:tblGrid>
      <w:tr w14:paraId="7C2CC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top"/>
          </w:tcPr>
          <w:p w14:paraId="6DD03906">
            <w:pPr>
              <w:spacing w:line="360" w:lineRule="auto"/>
              <w:rPr>
                <w:rFonts w:hint="eastAsia" w:ascii="宋体" w:hAnsi="宋体" w:eastAsia="宋体" w:cs="宋体"/>
                <w:color w:val="000000"/>
                <w:sz w:val="21"/>
                <w:szCs w:val="21"/>
                <w:vertAlign w:val="baseline"/>
                <w:lang w:eastAsia="zh-CN"/>
              </w:rPr>
            </w:pPr>
            <w:r>
              <w:rPr>
                <w:rFonts w:hint="eastAsia" w:ascii="宋体" w:hAnsi="宋体" w:eastAsia="宋体" w:cs="宋体"/>
                <w:color w:val="000000"/>
                <w:sz w:val="21"/>
                <w:szCs w:val="21"/>
                <w:vertAlign w:val="baseline"/>
                <w:lang w:eastAsia="zh-CN"/>
              </w:rPr>
              <w:t>序号</w:t>
            </w:r>
          </w:p>
        </w:tc>
        <w:tc>
          <w:tcPr>
            <w:tcW w:w="3030" w:type="dxa"/>
            <w:noWrap w:val="0"/>
            <w:vAlign w:val="top"/>
          </w:tcPr>
          <w:p w14:paraId="67D00B24">
            <w:pPr>
              <w:spacing w:line="360" w:lineRule="auto"/>
              <w:rPr>
                <w:rFonts w:hint="eastAsia" w:ascii="宋体" w:hAnsi="宋体" w:eastAsia="宋体" w:cs="宋体"/>
                <w:color w:val="000000"/>
                <w:sz w:val="21"/>
                <w:szCs w:val="21"/>
                <w:vertAlign w:val="baseline"/>
                <w:lang w:eastAsia="zh-CN"/>
              </w:rPr>
            </w:pPr>
            <w:r>
              <w:rPr>
                <w:rFonts w:hint="eastAsia" w:ascii="宋体" w:hAnsi="宋体" w:eastAsia="宋体" w:cs="宋体"/>
                <w:color w:val="000000"/>
                <w:sz w:val="21"/>
                <w:szCs w:val="21"/>
                <w:vertAlign w:val="baseline"/>
                <w:lang w:eastAsia="zh-CN"/>
              </w:rPr>
              <w:t>商务评价因素要求</w:t>
            </w:r>
          </w:p>
        </w:tc>
        <w:tc>
          <w:tcPr>
            <w:tcW w:w="1950" w:type="dxa"/>
            <w:noWrap w:val="0"/>
            <w:vAlign w:val="top"/>
          </w:tcPr>
          <w:p w14:paraId="63B9C0BD">
            <w:pPr>
              <w:spacing w:line="360" w:lineRule="auto"/>
              <w:rPr>
                <w:rFonts w:hint="eastAsia" w:ascii="宋体" w:hAnsi="宋体" w:eastAsia="宋体" w:cs="宋体"/>
                <w:color w:val="000000"/>
                <w:sz w:val="21"/>
                <w:szCs w:val="21"/>
                <w:vertAlign w:val="baseline"/>
                <w:lang w:eastAsia="zh-CN"/>
              </w:rPr>
            </w:pPr>
            <w:r>
              <w:rPr>
                <w:rFonts w:hint="eastAsia" w:ascii="宋体" w:hAnsi="宋体" w:eastAsia="宋体" w:cs="宋体"/>
                <w:color w:val="000000"/>
                <w:sz w:val="21"/>
                <w:szCs w:val="21"/>
                <w:vertAlign w:val="baseline"/>
                <w:lang w:eastAsia="zh-CN"/>
              </w:rPr>
              <w:t>供应商响应情况</w:t>
            </w:r>
          </w:p>
        </w:tc>
        <w:tc>
          <w:tcPr>
            <w:tcW w:w="1965" w:type="dxa"/>
            <w:noWrap w:val="0"/>
            <w:vAlign w:val="top"/>
          </w:tcPr>
          <w:p w14:paraId="479DF0C8">
            <w:pPr>
              <w:spacing w:line="360" w:lineRule="auto"/>
              <w:rPr>
                <w:rFonts w:hint="eastAsia" w:ascii="宋体" w:hAnsi="宋体" w:eastAsia="宋体" w:cs="宋体"/>
                <w:color w:val="000000"/>
                <w:sz w:val="21"/>
                <w:szCs w:val="21"/>
                <w:vertAlign w:val="baseline"/>
                <w:lang w:eastAsia="zh-CN"/>
              </w:rPr>
            </w:pPr>
            <w:r>
              <w:rPr>
                <w:rFonts w:hint="eastAsia" w:ascii="宋体" w:hAnsi="宋体" w:eastAsia="宋体" w:cs="宋体"/>
                <w:color w:val="000000"/>
                <w:sz w:val="21"/>
                <w:szCs w:val="21"/>
                <w:vertAlign w:val="baseline"/>
                <w:lang w:eastAsia="zh-CN"/>
              </w:rPr>
              <w:t>负偏离情况说明</w:t>
            </w:r>
          </w:p>
        </w:tc>
        <w:tc>
          <w:tcPr>
            <w:tcW w:w="803" w:type="dxa"/>
            <w:noWrap w:val="0"/>
            <w:vAlign w:val="top"/>
          </w:tcPr>
          <w:p w14:paraId="0CA6AB61">
            <w:pPr>
              <w:spacing w:line="360" w:lineRule="auto"/>
              <w:rPr>
                <w:rFonts w:hint="eastAsia" w:ascii="宋体" w:hAnsi="宋体" w:eastAsia="宋体" w:cs="宋体"/>
                <w:color w:val="000000"/>
                <w:sz w:val="21"/>
                <w:szCs w:val="21"/>
                <w:vertAlign w:val="baseline"/>
                <w:lang w:eastAsia="zh-CN"/>
              </w:rPr>
            </w:pPr>
            <w:r>
              <w:rPr>
                <w:rFonts w:hint="eastAsia" w:ascii="宋体" w:hAnsi="宋体" w:eastAsia="宋体" w:cs="宋体"/>
                <w:color w:val="000000"/>
                <w:sz w:val="21"/>
                <w:szCs w:val="21"/>
                <w:vertAlign w:val="baseline"/>
                <w:lang w:eastAsia="zh-CN"/>
              </w:rPr>
              <w:t>备注</w:t>
            </w:r>
          </w:p>
        </w:tc>
      </w:tr>
      <w:tr w14:paraId="6B606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top"/>
          </w:tcPr>
          <w:p w14:paraId="40976A7A">
            <w:pPr>
              <w:spacing w:line="360" w:lineRule="auto"/>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1</w:t>
            </w:r>
          </w:p>
        </w:tc>
        <w:tc>
          <w:tcPr>
            <w:tcW w:w="3030" w:type="dxa"/>
            <w:noWrap w:val="0"/>
            <w:vAlign w:val="top"/>
          </w:tcPr>
          <w:p w14:paraId="5BA48064">
            <w:pPr>
              <w:spacing w:line="360" w:lineRule="auto"/>
              <w:rPr>
                <w:rFonts w:hint="eastAsia" w:ascii="宋体" w:hAnsi="宋体" w:eastAsia="宋体" w:cs="宋体"/>
                <w:color w:val="000000"/>
                <w:sz w:val="21"/>
                <w:szCs w:val="21"/>
                <w:vertAlign w:val="baseline"/>
              </w:rPr>
            </w:pPr>
          </w:p>
        </w:tc>
        <w:tc>
          <w:tcPr>
            <w:tcW w:w="1950" w:type="dxa"/>
            <w:noWrap w:val="0"/>
            <w:vAlign w:val="top"/>
          </w:tcPr>
          <w:p w14:paraId="52C0F434">
            <w:pPr>
              <w:spacing w:line="360" w:lineRule="auto"/>
              <w:rPr>
                <w:rFonts w:hint="eastAsia" w:ascii="宋体" w:hAnsi="宋体" w:eastAsia="宋体" w:cs="宋体"/>
                <w:color w:val="000000"/>
                <w:sz w:val="21"/>
                <w:szCs w:val="21"/>
                <w:vertAlign w:val="baseline"/>
              </w:rPr>
            </w:pPr>
          </w:p>
        </w:tc>
        <w:tc>
          <w:tcPr>
            <w:tcW w:w="1965" w:type="dxa"/>
            <w:noWrap w:val="0"/>
            <w:vAlign w:val="top"/>
          </w:tcPr>
          <w:p w14:paraId="4293F593">
            <w:pPr>
              <w:spacing w:line="360" w:lineRule="auto"/>
              <w:rPr>
                <w:rFonts w:hint="eastAsia" w:ascii="宋体" w:hAnsi="宋体" w:eastAsia="宋体" w:cs="宋体"/>
                <w:color w:val="000000"/>
                <w:sz w:val="21"/>
                <w:szCs w:val="21"/>
                <w:vertAlign w:val="baseline"/>
              </w:rPr>
            </w:pPr>
          </w:p>
        </w:tc>
        <w:tc>
          <w:tcPr>
            <w:tcW w:w="803" w:type="dxa"/>
            <w:noWrap w:val="0"/>
            <w:vAlign w:val="top"/>
          </w:tcPr>
          <w:p w14:paraId="3258D4F7">
            <w:pPr>
              <w:spacing w:line="360" w:lineRule="auto"/>
              <w:rPr>
                <w:rFonts w:hint="eastAsia" w:ascii="宋体" w:hAnsi="宋体" w:eastAsia="宋体" w:cs="宋体"/>
                <w:color w:val="000000"/>
                <w:sz w:val="21"/>
                <w:szCs w:val="21"/>
                <w:vertAlign w:val="baseline"/>
              </w:rPr>
            </w:pPr>
          </w:p>
        </w:tc>
      </w:tr>
      <w:tr w14:paraId="1093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top"/>
          </w:tcPr>
          <w:p w14:paraId="057C6E84">
            <w:pPr>
              <w:spacing w:line="360" w:lineRule="auto"/>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2</w:t>
            </w:r>
          </w:p>
        </w:tc>
        <w:tc>
          <w:tcPr>
            <w:tcW w:w="3030" w:type="dxa"/>
            <w:noWrap w:val="0"/>
            <w:vAlign w:val="center"/>
          </w:tcPr>
          <w:p w14:paraId="3F20466D">
            <w:pPr>
              <w:spacing w:line="360" w:lineRule="auto"/>
              <w:rPr>
                <w:rFonts w:hint="eastAsia" w:ascii="宋体" w:hAnsi="宋体" w:eastAsia="宋体" w:cs="宋体"/>
                <w:color w:val="000000"/>
                <w:sz w:val="21"/>
                <w:szCs w:val="21"/>
                <w:vertAlign w:val="baseline"/>
              </w:rPr>
            </w:pPr>
          </w:p>
        </w:tc>
        <w:tc>
          <w:tcPr>
            <w:tcW w:w="1950" w:type="dxa"/>
            <w:noWrap w:val="0"/>
            <w:vAlign w:val="top"/>
          </w:tcPr>
          <w:p w14:paraId="3109A85C">
            <w:pPr>
              <w:spacing w:line="360" w:lineRule="auto"/>
              <w:rPr>
                <w:rFonts w:hint="eastAsia" w:ascii="宋体" w:hAnsi="宋体" w:eastAsia="宋体" w:cs="宋体"/>
                <w:color w:val="000000"/>
                <w:sz w:val="21"/>
                <w:szCs w:val="21"/>
                <w:vertAlign w:val="baseline"/>
              </w:rPr>
            </w:pPr>
          </w:p>
        </w:tc>
        <w:tc>
          <w:tcPr>
            <w:tcW w:w="1965" w:type="dxa"/>
            <w:noWrap w:val="0"/>
            <w:vAlign w:val="top"/>
          </w:tcPr>
          <w:p w14:paraId="1FCF3753">
            <w:pPr>
              <w:spacing w:line="360" w:lineRule="auto"/>
              <w:rPr>
                <w:rFonts w:hint="eastAsia" w:ascii="宋体" w:hAnsi="宋体" w:eastAsia="宋体" w:cs="宋体"/>
                <w:color w:val="000000"/>
                <w:sz w:val="21"/>
                <w:szCs w:val="21"/>
                <w:vertAlign w:val="baseline"/>
              </w:rPr>
            </w:pPr>
          </w:p>
        </w:tc>
        <w:tc>
          <w:tcPr>
            <w:tcW w:w="803" w:type="dxa"/>
            <w:noWrap w:val="0"/>
            <w:vAlign w:val="top"/>
          </w:tcPr>
          <w:p w14:paraId="30CEC9F1">
            <w:pPr>
              <w:spacing w:line="360" w:lineRule="auto"/>
              <w:rPr>
                <w:rFonts w:hint="eastAsia" w:ascii="宋体" w:hAnsi="宋体" w:eastAsia="宋体" w:cs="宋体"/>
                <w:color w:val="000000"/>
                <w:sz w:val="21"/>
                <w:szCs w:val="21"/>
                <w:vertAlign w:val="baseline"/>
              </w:rPr>
            </w:pPr>
          </w:p>
        </w:tc>
      </w:tr>
      <w:tr w14:paraId="67625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top"/>
          </w:tcPr>
          <w:p w14:paraId="73A89C9B">
            <w:pPr>
              <w:spacing w:line="360" w:lineRule="auto"/>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3</w:t>
            </w:r>
          </w:p>
        </w:tc>
        <w:tc>
          <w:tcPr>
            <w:tcW w:w="3030" w:type="dxa"/>
            <w:noWrap w:val="0"/>
            <w:vAlign w:val="center"/>
          </w:tcPr>
          <w:p w14:paraId="3F337397">
            <w:pPr>
              <w:spacing w:line="360" w:lineRule="auto"/>
              <w:rPr>
                <w:rFonts w:hint="eastAsia" w:ascii="宋体" w:hAnsi="宋体" w:eastAsia="宋体" w:cs="宋体"/>
                <w:color w:val="000000"/>
                <w:sz w:val="21"/>
                <w:szCs w:val="21"/>
                <w:vertAlign w:val="baseline"/>
              </w:rPr>
            </w:pPr>
          </w:p>
        </w:tc>
        <w:tc>
          <w:tcPr>
            <w:tcW w:w="1950" w:type="dxa"/>
            <w:noWrap w:val="0"/>
            <w:vAlign w:val="top"/>
          </w:tcPr>
          <w:p w14:paraId="1ACBAE49">
            <w:pPr>
              <w:spacing w:line="360" w:lineRule="auto"/>
              <w:rPr>
                <w:rFonts w:hint="eastAsia" w:ascii="宋体" w:hAnsi="宋体" w:eastAsia="宋体" w:cs="宋体"/>
                <w:color w:val="000000"/>
                <w:sz w:val="21"/>
                <w:szCs w:val="21"/>
                <w:vertAlign w:val="baseline"/>
              </w:rPr>
            </w:pPr>
          </w:p>
        </w:tc>
        <w:tc>
          <w:tcPr>
            <w:tcW w:w="1965" w:type="dxa"/>
            <w:noWrap w:val="0"/>
            <w:vAlign w:val="top"/>
          </w:tcPr>
          <w:p w14:paraId="5ED2A8B6">
            <w:pPr>
              <w:spacing w:line="360" w:lineRule="auto"/>
              <w:rPr>
                <w:rFonts w:hint="eastAsia" w:ascii="宋体" w:hAnsi="宋体" w:eastAsia="宋体" w:cs="宋体"/>
                <w:color w:val="000000"/>
                <w:sz w:val="21"/>
                <w:szCs w:val="21"/>
                <w:vertAlign w:val="baseline"/>
              </w:rPr>
            </w:pPr>
          </w:p>
        </w:tc>
        <w:tc>
          <w:tcPr>
            <w:tcW w:w="803" w:type="dxa"/>
            <w:noWrap w:val="0"/>
            <w:vAlign w:val="top"/>
          </w:tcPr>
          <w:p w14:paraId="2C326629">
            <w:pPr>
              <w:spacing w:line="360" w:lineRule="auto"/>
              <w:rPr>
                <w:rFonts w:hint="eastAsia" w:ascii="宋体" w:hAnsi="宋体" w:eastAsia="宋体" w:cs="宋体"/>
                <w:color w:val="000000"/>
                <w:sz w:val="21"/>
                <w:szCs w:val="21"/>
                <w:vertAlign w:val="baseline"/>
              </w:rPr>
            </w:pPr>
          </w:p>
        </w:tc>
      </w:tr>
      <w:tr w14:paraId="6E8D7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top"/>
          </w:tcPr>
          <w:p w14:paraId="7112FD04">
            <w:pPr>
              <w:spacing w:line="360" w:lineRule="auto"/>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4</w:t>
            </w:r>
          </w:p>
        </w:tc>
        <w:tc>
          <w:tcPr>
            <w:tcW w:w="3030" w:type="dxa"/>
            <w:noWrap w:val="0"/>
            <w:vAlign w:val="center"/>
          </w:tcPr>
          <w:p w14:paraId="7627F2C6">
            <w:pPr>
              <w:tabs>
                <w:tab w:val="left" w:pos="-1080"/>
                <w:tab w:val="left" w:pos="180"/>
                <w:tab w:val="left" w:pos="1080"/>
              </w:tabs>
              <w:spacing w:line="360" w:lineRule="auto"/>
              <w:rPr>
                <w:rFonts w:hint="eastAsia" w:ascii="宋体" w:hAnsi="宋体" w:eastAsia="宋体" w:cs="宋体"/>
                <w:color w:val="000000"/>
                <w:sz w:val="21"/>
                <w:szCs w:val="21"/>
                <w:vertAlign w:val="baseline"/>
              </w:rPr>
            </w:pPr>
          </w:p>
        </w:tc>
        <w:tc>
          <w:tcPr>
            <w:tcW w:w="1950" w:type="dxa"/>
            <w:noWrap w:val="0"/>
            <w:vAlign w:val="top"/>
          </w:tcPr>
          <w:p w14:paraId="5570FE94">
            <w:pPr>
              <w:spacing w:line="360" w:lineRule="auto"/>
              <w:rPr>
                <w:rFonts w:hint="eastAsia" w:ascii="宋体" w:hAnsi="宋体" w:eastAsia="宋体" w:cs="宋体"/>
                <w:color w:val="000000"/>
                <w:sz w:val="21"/>
                <w:szCs w:val="21"/>
                <w:vertAlign w:val="baseline"/>
              </w:rPr>
            </w:pPr>
          </w:p>
        </w:tc>
        <w:tc>
          <w:tcPr>
            <w:tcW w:w="1965" w:type="dxa"/>
            <w:noWrap w:val="0"/>
            <w:vAlign w:val="top"/>
          </w:tcPr>
          <w:p w14:paraId="55B28C11">
            <w:pPr>
              <w:spacing w:line="360" w:lineRule="auto"/>
              <w:rPr>
                <w:rFonts w:hint="eastAsia" w:ascii="宋体" w:hAnsi="宋体" w:eastAsia="宋体" w:cs="宋体"/>
                <w:color w:val="000000"/>
                <w:sz w:val="21"/>
                <w:szCs w:val="21"/>
                <w:vertAlign w:val="baseline"/>
              </w:rPr>
            </w:pPr>
          </w:p>
        </w:tc>
        <w:tc>
          <w:tcPr>
            <w:tcW w:w="803" w:type="dxa"/>
            <w:noWrap w:val="0"/>
            <w:vAlign w:val="top"/>
          </w:tcPr>
          <w:p w14:paraId="390E662E">
            <w:pPr>
              <w:spacing w:line="360" w:lineRule="auto"/>
              <w:rPr>
                <w:rFonts w:hint="eastAsia" w:ascii="宋体" w:hAnsi="宋体" w:eastAsia="宋体" w:cs="宋体"/>
                <w:color w:val="000000"/>
                <w:sz w:val="21"/>
                <w:szCs w:val="21"/>
                <w:vertAlign w:val="baseline"/>
              </w:rPr>
            </w:pPr>
          </w:p>
        </w:tc>
      </w:tr>
      <w:tr w14:paraId="219AE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top"/>
          </w:tcPr>
          <w:p w14:paraId="071BA380">
            <w:pPr>
              <w:spacing w:line="360" w:lineRule="auto"/>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5</w:t>
            </w:r>
          </w:p>
        </w:tc>
        <w:tc>
          <w:tcPr>
            <w:tcW w:w="3030" w:type="dxa"/>
            <w:noWrap w:val="0"/>
            <w:vAlign w:val="center"/>
          </w:tcPr>
          <w:p w14:paraId="09481316">
            <w:pPr>
              <w:tabs>
                <w:tab w:val="left" w:pos="720"/>
              </w:tabs>
              <w:spacing w:line="360" w:lineRule="auto"/>
              <w:ind w:right="18" w:rightChars="0"/>
              <w:rPr>
                <w:rFonts w:hint="eastAsia" w:ascii="宋体" w:hAnsi="宋体" w:eastAsia="宋体" w:cs="宋体"/>
                <w:color w:val="000000"/>
                <w:sz w:val="21"/>
                <w:szCs w:val="21"/>
                <w:vertAlign w:val="baseline"/>
              </w:rPr>
            </w:pPr>
          </w:p>
        </w:tc>
        <w:tc>
          <w:tcPr>
            <w:tcW w:w="1950" w:type="dxa"/>
            <w:noWrap w:val="0"/>
            <w:vAlign w:val="top"/>
          </w:tcPr>
          <w:p w14:paraId="18A4EA9B">
            <w:pPr>
              <w:spacing w:line="360" w:lineRule="auto"/>
              <w:rPr>
                <w:rFonts w:hint="eastAsia" w:ascii="宋体" w:hAnsi="宋体" w:eastAsia="宋体" w:cs="宋体"/>
                <w:color w:val="000000"/>
                <w:sz w:val="21"/>
                <w:szCs w:val="21"/>
                <w:vertAlign w:val="baseline"/>
              </w:rPr>
            </w:pPr>
          </w:p>
        </w:tc>
        <w:tc>
          <w:tcPr>
            <w:tcW w:w="1965" w:type="dxa"/>
            <w:noWrap w:val="0"/>
            <w:vAlign w:val="top"/>
          </w:tcPr>
          <w:p w14:paraId="430548A4">
            <w:pPr>
              <w:spacing w:line="360" w:lineRule="auto"/>
              <w:rPr>
                <w:rFonts w:hint="eastAsia" w:ascii="宋体" w:hAnsi="宋体" w:eastAsia="宋体" w:cs="宋体"/>
                <w:color w:val="000000"/>
                <w:sz w:val="21"/>
                <w:szCs w:val="21"/>
                <w:vertAlign w:val="baseline"/>
              </w:rPr>
            </w:pPr>
          </w:p>
        </w:tc>
        <w:tc>
          <w:tcPr>
            <w:tcW w:w="803" w:type="dxa"/>
            <w:noWrap w:val="0"/>
            <w:vAlign w:val="top"/>
          </w:tcPr>
          <w:p w14:paraId="19482243">
            <w:pPr>
              <w:spacing w:line="360" w:lineRule="auto"/>
              <w:rPr>
                <w:rFonts w:hint="eastAsia" w:ascii="宋体" w:hAnsi="宋体" w:eastAsia="宋体" w:cs="宋体"/>
                <w:color w:val="000000"/>
                <w:sz w:val="21"/>
                <w:szCs w:val="21"/>
                <w:vertAlign w:val="baseline"/>
              </w:rPr>
            </w:pPr>
          </w:p>
        </w:tc>
      </w:tr>
      <w:tr w14:paraId="34A9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top"/>
          </w:tcPr>
          <w:p w14:paraId="3ADA6F6F">
            <w:pPr>
              <w:spacing w:line="360" w:lineRule="auto"/>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6</w:t>
            </w:r>
          </w:p>
        </w:tc>
        <w:tc>
          <w:tcPr>
            <w:tcW w:w="3030" w:type="dxa"/>
            <w:noWrap w:val="0"/>
            <w:vAlign w:val="center"/>
          </w:tcPr>
          <w:p w14:paraId="02A06E42">
            <w:pPr>
              <w:tabs>
                <w:tab w:val="left" w:pos="720"/>
              </w:tabs>
              <w:spacing w:line="360" w:lineRule="auto"/>
              <w:ind w:right="18" w:rightChars="0"/>
              <w:rPr>
                <w:rFonts w:hint="eastAsia" w:ascii="宋体" w:hAnsi="宋体" w:eastAsia="宋体" w:cs="宋体"/>
                <w:color w:val="000000"/>
                <w:sz w:val="21"/>
                <w:szCs w:val="21"/>
                <w:vertAlign w:val="baseline"/>
              </w:rPr>
            </w:pPr>
          </w:p>
        </w:tc>
        <w:tc>
          <w:tcPr>
            <w:tcW w:w="1950" w:type="dxa"/>
            <w:noWrap w:val="0"/>
            <w:vAlign w:val="top"/>
          </w:tcPr>
          <w:p w14:paraId="7A4AD6D7">
            <w:pPr>
              <w:spacing w:line="360" w:lineRule="auto"/>
              <w:rPr>
                <w:rFonts w:hint="eastAsia" w:ascii="宋体" w:hAnsi="宋体" w:eastAsia="宋体" w:cs="宋体"/>
                <w:color w:val="000000"/>
                <w:sz w:val="21"/>
                <w:szCs w:val="21"/>
                <w:vertAlign w:val="baseline"/>
              </w:rPr>
            </w:pPr>
          </w:p>
        </w:tc>
        <w:tc>
          <w:tcPr>
            <w:tcW w:w="1965" w:type="dxa"/>
            <w:noWrap w:val="0"/>
            <w:vAlign w:val="top"/>
          </w:tcPr>
          <w:p w14:paraId="261DB013">
            <w:pPr>
              <w:spacing w:line="360" w:lineRule="auto"/>
              <w:rPr>
                <w:rFonts w:hint="eastAsia" w:ascii="宋体" w:hAnsi="宋体" w:eastAsia="宋体" w:cs="宋体"/>
                <w:color w:val="000000"/>
                <w:sz w:val="21"/>
                <w:szCs w:val="21"/>
                <w:vertAlign w:val="baseline"/>
              </w:rPr>
            </w:pPr>
          </w:p>
        </w:tc>
        <w:tc>
          <w:tcPr>
            <w:tcW w:w="803" w:type="dxa"/>
            <w:noWrap w:val="0"/>
            <w:vAlign w:val="top"/>
          </w:tcPr>
          <w:p w14:paraId="7C4D5498">
            <w:pPr>
              <w:spacing w:line="360" w:lineRule="auto"/>
              <w:rPr>
                <w:rFonts w:hint="eastAsia" w:ascii="宋体" w:hAnsi="宋体" w:eastAsia="宋体" w:cs="宋体"/>
                <w:color w:val="000000"/>
                <w:sz w:val="21"/>
                <w:szCs w:val="21"/>
                <w:vertAlign w:val="baseline"/>
              </w:rPr>
            </w:pPr>
          </w:p>
        </w:tc>
      </w:tr>
    </w:tbl>
    <w:p w14:paraId="7BDB3967">
      <w:pPr>
        <w:rPr>
          <w:rFonts w:hint="eastAsia"/>
          <w:lang w:val="en-US" w:eastAsia="zh-CN"/>
        </w:rPr>
      </w:pPr>
      <w:r>
        <w:rPr>
          <w:rFonts w:hint="eastAsia"/>
          <w:lang w:val="en-US" w:eastAsia="zh-CN"/>
        </w:rPr>
        <w:t>注：</w:t>
      </w:r>
    </w:p>
    <w:p w14:paraId="542B28C4">
      <w:pPr>
        <w:rPr>
          <w:rFonts w:hint="default"/>
          <w:lang w:val="en-US" w:eastAsia="zh-CN"/>
        </w:rPr>
      </w:pPr>
      <w:r>
        <w:rPr>
          <w:rFonts w:hint="eastAsia"/>
          <w:lang w:val="en-US" w:eastAsia="zh-CN"/>
        </w:rPr>
        <w:t>1、以上“</w:t>
      </w:r>
      <w:r>
        <w:rPr>
          <w:rFonts w:hint="eastAsia" w:ascii="宋体" w:hAnsi="宋体" w:eastAsia="宋体" w:cs="宋体"/>
          <w:color w:val="000000"/>
          <w:sz w:val="21"/>
          <w:szCs w:val="21"/>
          <w:vertAlign w:val="baseline"/>
          <w:lang w:eastAsia="zh-CN"/>
        </w:rPr>
        <w:t>商务评价因素要求</w:t>
      </w:r>
      <w:r>
        <w:rPr>
          <w:rFonts w:hint="eastAsia"/>
          <w:lang w:val="en-US" w:eastAsia="zh-CN"/>
        </w:rPr>
        <w:t>”请根据本项目的商务评分内容填写。</w:t>
      </w:r>
    </w:p>
    <w:p w14:paraId="4FBF61F9">
      <w:pPr>
        <w:rPr>
          <w:rFonts w:hint="default"/>
          <w:lang w:val="en-US" w:eastAsia="zh-CN"/>
        </w:rPr>
      </w:pPr>
      <w:r>
        <w:rPr>
          <w:rFonts w:hint="eastAsia"/>
          <w:lang w:val="en-US" w:eastAsia="zh-CN"/>
        </w:rPr>
        <w:t>2、供应商应严格按照该表格如实填写，未响应或响应存在负偏离的，应在负偏离情况说明栏中作出解释说明，未作出解释说</w:t>
      </w:r>
      <w:bookmarkStart w:id="2" w:name="_GoBack"/>
      <w:bookmarkEnd w:id="2"/>
      <w:r>
        <w:rPr>
          <w:rFonts w:hint="eastAsia"/>
          <w:lang w:val="en-US" w:eastAsia="zh-CN"/>
        </w:rPr>
        <w:t>明或说明理由不充分的，评标委员会将可能作出无效投标判定。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FangSong_GB2312">
    <w:altName w:val="仿宋"/>
    <w:panose1 w:val="02010609060101010101"/>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6040A1"/>
    <w:rsid w:val="38DF7CCF"/>
    <w:rsid w:val="39BB2941"/>
    <w:rsid w:val="58276B45"/>
    <w:rsid w:val="5E3A29F2"/>
    <w:rsid w:val="71184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paragraph" w:customStyle="1" w:styleId="7">
    <w:name w:val="正文1"/>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1633</Words>
  <Characters>1680</Characters>
  <Lines>0</Lines>
  <Paragraphs>0</Paragraphs>
  <TotalTime>5</TotalTime>
  <ScaleCrop>false</ScaleCrop>
  <LinksUpToDate>false</LinksUpToDate>
  <CharactersWithSpaces>1695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2025-08-27T07:35:00Z</dcterms:created>
  <dc:creator>user</dc:creator>
  <cp:lastModifiedBy>洪晓丹</cp:lastModifiedBy>
  <dcterms:modified xsi:type="dcterms:W3CDTF">2025-08-27T08:02:16Z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eyJoZGlkIjoiN2UxOTRiOGI5Njg0Y2I5NWMxOTU3MjQ5NDc2OWNiZjEiLCJ1c2VySWQiOiIxNTg0MDcwNjU1In0=</vt:lpwstr>
  </property>
  <property fmtid="{D5CDD505-2E9C-101B-9397-08002B2CF9AE}" pid="4" name="ICV">
    <vt:lpwstr>494C9E3EA090413E851066723C284FDA_12</vt:lpwstr>
  </property>
</Properties>
</file>