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2026届厦门市高中毕业班第一轮备考培训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CGXM-2025-350201-01168[2025]00463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[350201]wx[GK]2025016</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厦门市教育科学研究院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2026届厦门市高中毕业班第一轮备考培训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CGXM-2025-350201-01168[2025]00463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[350201]wx[GK]2025016</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本采购包属于专门面向中小企业采购（招标文件其他地方要求与本条款要求不一致的，以本条款要求为准）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本采购包专门面向中小企业采购，本采购包承接方须为中小微企业，否则其报价将作无效报价处理。报价人需提供中小企业声明函，格式详见第五章。同时本采购包不再执行小微企业价格评审优惠的扶持政策。 2、监狱企业、残疾人福利性单位视同小型、微型企业。</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厦门市教育科学研究院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福建省厦门市思明区坑内路２３号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361001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0592-2665084</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0592-5730289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2,268,000.00</w:t>
      </w:r>
    </w:p>
    <w:p>
      <w:pPr>
        <w:pStyle w:val="null3"/>
        <w:jc w:val="left"/>
      </w:pPr>
      <w:r>
        <w:rPr>
          <w:rFonts w:ascii="仿宋_GB2312" w:hAnsi="仿宋_GB2312" w:cs="仿宋_GB2312" w:eastAsia="仿宋_GB2312"/>
        </w:rPr>
        <w:t>采购包最高限价（元）: 2,268,000.00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2026届厦门市高中毕业班第一轮备考培训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2,268,000.00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2026届厦门市高中毕业班第一轮备考培训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投标总价为完成培训期间所有可能发生的费用，包括培训费、师资费、学习资料费、餐费、住宿费、合影费、证书费、专家往来交通费、专家食宿费、实地考察、教学管理费及培训期间所有教学相关等费用，其中培训费总额以实际参加培训人数计算。</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2026届厦门市高中毕业班第一轮备考培训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2026届厦门市高中毕业班第一轮备考培训</w:t>
            </w:r>
          </w:p>
        </w:tc>
        <w:tc>
          <w:tcPr>
            <w:tcW w:type="dxa" w:w="2076"/>
          </w:tcPr>
          <w:p>
            <w:pPr>
              <w:pStyle w:val="null3"/>
              <w:jc w:val="left"/>
            </w:pPr>
            <w:r>
              <w:rPr>
                <w:rFonts w:ascii="仿宋_GB2312" w:hAnsi="仿宋_GB2312" w:cs="仿宋_GB2312" w:eastAsia="仿宋_GB2312"/>
              </w:rPr>
              <w:t>2026届厦门市高中毕业班第一轮备考培训</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2,268,000.00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按评审后的综合得分由高到低顺序排列；综合得分相同的，按投标报价由低到高顺序排列；综合得分且投标报价相同的，按技术得分由高到低顺序排列；若综合得分、投标报价及技术得分均相同，则由评标委员会进行投票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 xml:space="preserve">厦门市财政局 </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金额(万元)费率；[0―100]1.5%；（100－500]0.8%；注：1、代理服务费的收取按差额定率累进法计算,由中标人支付。2、中标人以转账或汇款方式提交。3、中标人为中小企业的，其代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单位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本采购包专门面向中小企业采购，本采购包承接方须为中小微企业，否则其报价将作无效报价处理。报价人需提供中小企业声明函，格式详见第五章。同时本采购包不再执行小微企业价格评审优惠的扶持政策。 2、监狱企业、残疾人福利性单位视同小型、微型企业。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投标报价要求</w:t>
            </w:r>
          </w:p>
        </w:tc>
        <w:tc>
          <w:tcPr>
            <w:tcW w:type="dxa" w:w="4153"/>
          </w:tcPr>
          <w:p>
            <w:pPr>
              <w:pStyle w:val="null3"/>
              <w:jc w:val="left"/>
            </w:pPr>
            <w:r>
              <w:rPr>
                <w:rFonts w:ascii="仿宋_GB2312" w:hAnsi="仿宋_GB2312" w:cs="仿宋_GB2312" w:eastAsia="仿宋_GB2312"/>
              </w:rPr>
              <w:t>★8.3本项目采购预算为投标报价的最高限价，投标报价超过采购预算的作无效投标处理。</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★8.3本项目采购预算为投标报价的最高限价，投标报价超过采购预算的作无效投标处理。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价格项（F1×A1）满分为15.0000分</w:t>
      </w:r>
    </w:p>
    <w:p>
      <w:pPr>
        <w:pStyle w:val="null3"/>
        <w:jc w:val="both"/>
      </w:pPr>
      <w:r>
        <w:rPr>
          <w:rFonts w:ascii="仿宋_GB2312" w:hAnsi="仿宋_GB2312" w:cs="仿宋_GB2312" w:eastAsia="仿宋_GB2312"/>
        </w:rPr>
        <w:t>满足招标文件要求且报价最低的为评审基准价，价格得分=（评审基准价/投标报价）×15，最低报价不是中标的唯一依据。注：因本采购包专门面向中小企业采购，本采购包不再执行小微企业价格评审优惠的扶持政策。</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根据供应商针对本项目提供的培训方案整体内容进行评价： ①有提供方案且基本符合项目需求，有提出服务流程、服务方式方法的的得2分； ②在前项①的基础上，服务方案较为简单，得2.3分； ③在前项①的基础上，服务方案具有针对性，有根据项目需求情况提出详细、具体、明确的服务流程、服务方式方法的，得3分； ④未提供方案或者方案不可行或不符合项目需求的不得分。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根据供应商针对本项目提供的培训精准度进行评价： ①培训定位较精准，紧扣培训目标得2.5分； ②在前项①的基础上，课程设置较具体，课程资源较具体，方案设计对高中教学具有一定针对性的得2.8分； ③培训定位精准，紧扣培训目标、课程设置详细、具体，课程资源详细、具体，方案设计对高中教学具有针对性强的得3分； ④未提供或不符合上述要求的不得分。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根据供应商针对本项目提供的培训课程进行评价： ①有提供课程内容、且基本符合项目需求的得2.7分； ②在前项①的基础上，方案较简单、课程内容较具体、明确、有一定针对性和文字阐述的得2.8分； ③在满足①的基础上，培训课程够针对新高考背景下的高考命题趋势与命题特点进行分析，培训课程能够针对2025年福建省高考试卷进行分析，有提供详细、具体文字阐述的得3分。 ④未提供方案或者方案不可行或不符合项目需求的不得分。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根据投标人针对本项目提供的培训课程区分情况进行评价： ①培训课程明确区分学科不同培训课程的得1分；②未提供或没有区分的不得分。 注：投标人须提供承诺函（格式自拟）或相关证明材料并加盖单位公章，未提供或不符合上述要求的不得分。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根据投标人针对本项目提供的培训方案的课时数进行评价： 培训课程需涵盖9个学科，各个学科面授的课时不得少于24课时。完全满足以上要求的得1分。 注：投标人须提供承诺函（格式自拟）并加盖单位公章，未提供或不符合上述要求的不得分。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根据投标人针对本项目提供的培训管理制度进行评价： ①有提供管理制度且基本符合项目需求的得2.7分； ②在前项①的基础上，管理制度详细、具体、明确的得2.8分； ③在满足②的基础上，管理制度中内设部门健全，具有针对性的得3分； ④未提供管理制度或者管理制度不可行的不得分。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根据投标人针对本项目提供的考勤管理制度进行评价： ①有提供考勤制度且基本符合项目需求的得2.7分 ②在前项①的基础上考勤制度详细、具体、明确的得2.8分； ③在满足①②的基础上，考勤制度具有针对性的得3分； ④未提供制度或者制度不可行的不得分。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根据投标人针对本项目提供的对优秀学员的奖励措施进行评价： ①有提供奖励措施且基本符合项目需求的得2.7分； ②在前项①的基础上，奖励措施具体、详细，评优措施明确的得2.8分； ③在满足②的基础上，奖励措施能够激励教师积极学习，具有针对性的得3分； ④未提供奖励措施或奖励措施不可行的不得分。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根据投标人提供的培训安全应急处理预案进行评价： ①有提供预案的得2.7分； ②在前项①的基础上，预案详细、具体、明确的得2.8分 ③在满足②的基础上，预案措施符合应急处理要求，具有针对性的得3分； ④未提供应急处理预案或预案不可行的不得分。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根据投标人拟为本项目配备的管理团队的团队结构情况进行评价： ①有提供管理团队架构图并注明各自管理职责的得1分； ②在前项①的基础上，职责分明、各项事务均有专人负责的得2分； ③提供团队结构情况的不得分。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投标人承诺：“集中培训期间落实请假考勤制度，确保学员每半天签到一次，并在培训结束后将其提供给采购人。” 完全满足以上要求的得1分。 注：投标人须提供承诺函（格式自拟）并加盖单位公章，未提供或不符合上述要求的不得分。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根据投标人拟为本项目配备的专职管理团队人数进行评价： 投标人拟为本项目配备的专职管理团队人数为10人及以上的得3分，7（含）-9（含）人的得2分，少于7人不得分。注：投标人须提供承诺函（格式自拟）并加盖单位公章，未提供或不符合上述要求的不得分。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1）首席专家是中组部“万人计划”领军人才或教育部“国培计划”培训专家或国家基础教育课程教材专家工作委员会委员等的得3分；首席专家是人民教育出版社（语文、数学、英语、政治、历史、地理、生物学科）教材培训专家或山东科学技术出版社（物理或化学）教材培训专家的得2分；首席专家仅为正高级职称的得1分。 注：投标人须提供相关人员的证明材料并加盖单位公章，未提供或不符合上述要求的不得分。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（2）授课教师专家团队总人数≥30人的得3分；20人≤总人数＜30人的得1分；低于20人的不得分。 注：投标人须提供承诺函（格式自拟）并加盖单位公章，未提供或不符合上述要求的不得分。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（3）授课教师专家团队中具有高级及以上职称的比例≥95%的得3分。 注：投标人须提供相关人员的职称证书扫描件并加盖单位公章，未提供或不符合上述要求的不得分。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（4）授课教师专家团队中的教师授课专业为中学九大学科（语文、数学、英语、政治、历史、地理、物理、化学、生物）之一的人数所占比例≥40%的得3分；30%≤比例＜40%的得2分；20%≤比例＜30%的得1分。 注：投标人须提供相关人员的相关证书扫描件并加盖单位公章，未提供或不符合上述要求的不得分。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（5）授课教师专家团队中的项目实施地师资所占比例≥40%的得3分；30%≤比例＜40%的得2分；20%≤比例＜30%的得1分。 注：投标人须提供配备的师资队伍成员名单（须提供教师姓名、工作单位、岗位、职称及相关材料扫描件并加盖单位公章）</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授课专家中具有高中数学（人民教育出版社）教材副编审或以上级别资格的得2分。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授课专家中具有高中英语（人民教育出版社）教材副编审或以上级别资格的得2分。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授课专家中具有高中物理（山东科学技术出版社）教材副编审或以上级别资格的得2分。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授课专家中具有高中化学（山东科学技术出版社）教材副编审或以上级别资格的得2分。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授课专家中具有高中地理（人民教育出版社）教材副编审或以上级别资格的得2分。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授课专家中具有高中政治（人民教育出版社）教材副编审或以上级别资格的得2分。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授课专家中具有高中语文（人民教育出版社）教材副编审或以上级别资格的得2分。 注：投标人须提供相关人员的出版社聘书等证明文件的扫描件并加盖单位公章，未提供或不符合上述要求的不得分。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授课专家中具有高中历史（人民教育出版社）教材副编审或以上级别资格的得2分。 注：投标人须提供相关人员的相关证明文件的扫描件并加盖单位公章，未提供或不符合上述要求的不得分。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 授课专家中具有高中生物（人民教育出版社）教材副编审或以上级别资格的得2分。 注：投标人须提供相关人员的相关证明文件的扫描件并加盖单位公章，未提供或不符合上述要求的不得分。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根据投标人拟为本项目配备的师资队伍进行评价：师资队伍中的专家有在CN期刊发表高中考试评价领域的教育教学论文3篇（含）以上的得3分。 注：投标人须提供已发表的论文的扫描件并加盖单位公章，未提供或不符合上述要求的不得分。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根据投标人自2022年1月1日至开标当日（以合同签订时间为准）组织基础教育教师教研类培训项目的满意度情况进行评价： 课程安排满意度达85%以上或评价意见为良好或满意或优秀的每个业绩得1分，满分3分。 注：投标人须提供有效证明材料的扫描件（包括但不限于：业主方盖章的评价意见书及双方签订合同扫描件等）并加盖单位公章，未提供或不符合上述要求的不得分。为避免重复加分，2-1、2-2项提供的项目材料不予重复计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根据投标人自2022年1月1日至开标当日（以合同签订时间为准）组织基础教育教师分学科培训项目的满意度情况进行评价： 课程安排满意度达85%以上或评价意见为良好或满意或优秀的每个业绩得1分，满分3分。 注：投标人须提供有效证明材料的扫描件（包括但不限于：业主方盖章的评价意见书及双方签订合同扫描件等）并加盖单位公章，未提供或不符合上述要求的不得分。为避免重复加分，2-1、2-2项提供的项目材料不予重复计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根据投标人自2022年1月1日至开标当日（以合同签订时间为准），组织市级或以上高三毕业班备考培训项目的业绩情况进行评价，每个业绩得1分，满分3分。投标人需提供业绩的以下四项证明材料，否则不计分： ①中标（成交）公告（提供相关网站中标（成交）公告的下载网页并注明网址）； ②中标（成交）通知书扫描件； ③采购合同文本扫描件； ④业绩项目已履约完毕的，提供能够证明该业绩项目经验收合格或履约完成的相关证明材料；如未按采购文件要求提供该项业绩完整资料的，评标委员会对该项业绩应不予采信。</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投标人承诺：在中标后遵守保密义务，并签订保密协议的得1分。注：投标人须提供承诺函（格式自拟）并加盖单位公章，未提供或不符合上述要求的不得分。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投标人承诺：集中培训期间住宿条件达到三星级及以上酒店。 完全满足以上要求的得1分。 注：投标人须提供承诺函（格式自拟）并加盖单位公章，未提供或不符合上述要求的不得分。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根据投标人提供服务的培训场所情况进行评价： ①培训场所环境质量整洁、设施设备崭新齐全、所在区域交通便利（公交、BRT、地铁可直达等）的得1分； ②在满足①的基础上，培训场所拥有免费停车场，能够容纳本项目车辆停放的得2分； 注：投标人须提供承诺函（格式自拟）并加盖单位公章，未提供或不符合上述要求的不得分。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根据投标人承诺在集中培训期间提供的餐食情况进行评价： ①餐食标准不低于150元/人/天的1分；②在满足①的基础上，承诺荤素搭配合理、菜系多样化的得2分。注：投标人须提供承诺函（格式自拟）并加盖单位公章，未提供或不符合上述要求的不得分。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根据投标人提供的售后服务情况进行评价： 投标人承诺：在培训期间提供24小时的电话支持服务，电话解决不了的，30分钟内到达指定地点解决问题的得1分。 注：投标人须提供承诺函（格式自拟）并加盖单位公章，未提供或不符合上述要求的不得分。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为本次培训配备2名专职班主任全程跟班管理的得2分，须提供拟投入专职班主任人员简历及投标截止时间前三个月(不含投标截止时间当月)中任一月份的在供应商处缴纳社保证明材料，未提供或不符合的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可提供项目所在地本地化服务的得2分，否则不得分。供应商可提供合作单位协议或者自身机构的营业执照证明，也可以提供在本地设立的项目部、办公室、办事处等机构证明或承诺中标（成交）后提供本地化服务。</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color w:val="000000"/>
        </w:rPr>
        <w:t>采购标的一览表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88"/>
        <w:gridCol w:w="1886"/>
        <w:gridCol w:w="3230"/>
        <w:gridCol w:w="1601"/>
      </w:tblGrid>
      <w:tr>
        <w:tc>
          <w:tcPr>
            <w:tcW w:type="dxa" w:w="1588"/>
            <w:tcBorders>
              <w:top w:val="outset" w:color="000000" w:sz="4"/>
              <w:left w:val="outset"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合同包</w:t>
            </w:r>
          </w:p>
        </w:tc>
        <w:tc>
          <w:tcPr>
            <w:tcW w:type="dxa" w:w="1886"/>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品目号</w:t>
            </w:r>
          </w:p>
        </w:tc>
        <w:tc>
          <w:tcPr>
            <w:tcW w:type="dxa" w:w="3230"/>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采购标的</w:t>
            </w:r>
          </w:p>
        </w:tc>
        <w:tc>
          <w:tcPr>
            <w:tcW w:type="dxa" w:w="1601"/>
            <w:tcBorders>
              <w:top w:val="outset"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数量</w:t>
            </w:r>
          </w:p>
        </w:tc>
      </w:tr>
      <w:tr>
        <w:tc>
          <w:tcPr>
            <w:tcW w:type="dxa" w:w="1588"/>
            <w:tcBorders>
              <w:top w:val="none" w:color="000000" w:sz="4"/>
              <w:left w:val="outset"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w:t>
            </w:r>
          </w:p>
        </w:tc>
        <w:tc>
          <w:tcPr>
            <w:tcW w:type="dxa" w:w="1886"/>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1-1</w:t>
            </w:r>
          </w:p>
        </w:tc>
        <w:tc>
          <w:tcPr>
            <w:tcW w:type="dxa" w:w="3230"/>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2026届厦门市高中毕业班第一轮备考培训</w:t>
            </w:r>
          </w:p>
        </w:tc>
        <w:tc>
          <w:tcPr>
            <w:tcW w:type="dxa" w:w="1601"/>
            <w:tcBorders>
              <w:top w:val="none" w:color="000000" w:sz="4"/>
              <w:left w:val="none" w:color="000000" w:sz="4"/>
              <w:bottom w:val="outset" w:color="000000" w:sz="4"/>
              <w:right w:val="outset" w:color="000000" w:sz="4"/>
            </w:tcBorders>
            <w:shd w:fill="FFFFFF"/>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1项</w:t>
            </w:r>
          </w:p>
        </w:tc>
      </w:tr>
    </w:tbl>
    <w:p>
      <w:pPr>
        <w:pStyle w:val="null3"/>
        <w:ind w:firstLine="480"/>
        <w:jc w:val="left"/>
      </w:pPr>
      <w:r>
        <w:rPr>
          <w:rFonts w:ascii="仿宋_GB2312" w:hAnsi="仿宋_GB2312" w:cs="仿宋_GB2312" w:eastAsia="仿宋_GB2312"/>
          <w:sz w:val="24"/>
          <w:color w:val="000000"/>
        </w:rPr>
        <w:t>备注：</w:t>
      </w:r>
    </w:p>
    <w:p>
      <w:pPr>
        <w:pStyle w:val="null3"/>
        <w:ind w:firstLine="420"/>
        <w:jc w:val="both"/>
      </w:pPr>
      <w:r>
        <w:rPr>
          <w:rFonts w:ascii="仿宋_GB2312" w:hAnsi="仿宋_GB2312" w:cs="仿宋_GB2312" w:eastAsia="仿宋_GB2312"/>
          <w:sz w:val="24"/>
          <w:color w:val="000000"/>
        </w:rPr>
        <w:t>1.培训标准和专家课酬按本省培训参照厦教财〔2017〕17号的相关规定执行。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一）项目背景</w:t>
      </w:r>
    </w:p>
    <w:p>
      <w:pPr>
        <w:pStyle w:val="null3"/>
        <w:ind w:firstLine="482"/>
        <w:jc w:val="left"/>
      </w:pPr>
      <w:r>
        <w:rPr>
          <w:rFonts w:ascii="仿宋_GB2312" w:hAnsi="仿宋_GB2312" w:cs="仿宋_GB2312" w:eastAsia="仿宋_GB2312"/>
          <w:sz w:val="24"/>
          <w:b/>
          <w:color w:val="000000"/>
        </w:rPr>
        <w:t>根据国务院关于印发《国务院关于深化考试招生制度改革的实施意见》的文件精神和《福建省教育厅</w:t>
      </w:r>
      <w:r>
        <w:rPr>
          <w:rFonts w:ascii="仿宋_GB2312" w:hAnsi="仿宋_GB2312" w:cs="仿宋_GB2312" w:eastAsia="仿宋_GB2312"/>
          <w:sz w:val="24"/>
          <w:b/>
          <w:color w:val="000000"/>
        </w:rPr>
        <w:t>2023年工作要点》提出了关于组织好高中毕业班教学评价的要求，面对分类考试、综合评价、多元录取的考试招生模式，健全促进公平、科学选才、监督有力的体制机制。以“学生核心素养”为纲，立足基于学科核心素养的教学与评价，改变学科知识点的碎片化复习，实现教学设计与素养目标的有效对接，提升备考指导力。</w:t>
      </w:r>
    </w:p>
    <w:p>
      <w:pPr>
        <w:pStyle w:val="null3"/>
        <w:ind w:firstLine="482"/>
        <w:jc w:val="left"/>
      </w:pPr>
      <w:r>
        <w:rPr>
          <w:rFonts w:ascii="仿宋_GB2312" w:hAnsi="仿宋_GB2312" w:cs="仿宋_GB2312" w:eastAsia="仿宋_GB2312"/>
          <w:sz w:val="24"/>
          <w:b/>
          <w:color w:val="000000"/>
        </w:rPr>
        <w:t>（二）培训目标：</w:t>
      </w:r>
    </w:p>
    <w:p>
      <w:pPr>
        <w:pStyle w:val="null3"/>
        <w:ind w:firstLine="482"/>
        <w:jc w:val="both"/>
      </w:pPr>
      <w:r>
        <w:rPr>
          <w:rFonts w:ascii="仿宋_GB2312" w:hAnsi="仿宋_GB2312" w:cs="仿宋_GB2312" w:eastAsia="仿宋_GB2312"/>
          <w:sz w:val="24"/>
          <w:b/>
          <w:color w:val="000000"/>
        </w:rPr>
        <w:t>1.总体目标：集中培训阶段：聚焦新课程改革、新教材使用、新高考改革等领域，通过专家专题讲座、主题实践观摩、经典案例分析等多种培训形式，理论知识与实践经验紧密结合。</w:t>
      </w:r>
    </w:p>
    <w:p>
      <w:pPr>
        <w:pStyle w:val="null3"/>
        <w:ind w:firstLine="482"/>
        <w:jc w:val="both"/>
      </w:pPr>
      <w:r>
        <w:rPr>
          <w:rFonts w:ascii="仿宋_GB2312" w:hAnsi="仿宋_GB2312" w:cs="仿宋_GB2312" w:eastAsia="仿宋_GB2312"/>
          <w:sz w:val="24"/>
          <w:b/>
          <w:color w:val="000000"/>
        </w:rPr>
        <w:t>2.具体目标：高三培训课程立足核心素养背景下的学科教学与评价、高考命题趋势与命题特点，高考备考的复习策略与方法，重点关注202</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年福建省高考试卷的分析。</w:t>
      </w:r>
    </w:p>
    <w:p>
      <w:pPr>
        <w:pStyle w:val="null3"/>
        <w:ind w:firstLine="482"/>
        <w:jc w:val="left"/>
      </w:pPr>
      <w:r>
        <w:rPr>
          <w:rFonts w:ascii="仿宋_GB2312" w:hAnsi="仿宋_GB2312" w:cs="仿宋_GB2312" w:eastAsia="仿宋_GB2312"/>
          <w:sz w:val="24"/>
          <w:b/>
          <w:color w:val="000000"/>
        </w:rPr>
        <w:t>（三）培训安排</w:t>
      </w:r>
    </w:p>
    <w:p>
      <w:pPr>
        <w:pStyle w:val="null3"/>
        <w:ind w:firstLine="480"/>
        <w:jc w:val="left"/>
      </w:pPr>
      <w:r>
        <w:rPr>
          <w:rFonts w:ascii="仿宋_GB2312" w:hAnsi="仿宋_GB2312" w:cs="仿宋_GB2312" w:eastAsia="仿宋_GB2312"/>
          <w:sz w:val="24"/>
          <w:color w:val="000000"/>
        </w:rPr>
        <w:t>1.培训对象：</w:t>
      </w:r>
      <w:r>
        <w:rPr>
          <w:rFonts w:ascii="仿宋_GB2312" w:hAnsi="仿宋_GB2312" w:cs="仿宋_GB2312" w:eastAsia="仿宋_GB2312"/>
          <w:sz w:val="24"/>
          <w:color w:val="000000"/>
        </w:rPr>
        <w:t>厦门市</w:t>
      </w:r>
      <w:r>
        <w:rPr>
          <w:rFonts w:ascii="仿宋_GB2312" w:hAnsi="仿宋_GB2312" w:cs="仿宋_GB2312" w:eastAsia="仿宋_GB2312"/>
          <w:sz w:val="24"/>
          <w:color w:val="000000"/>
        </w:rPr>
        <w:t>2026届高考学科教师 1900人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2.培训地点：厦门市。</w:t>
      </w:r>
    </w:p>
    <w:p>
      <w:pPr>
        <w:pStyle w:val="null3"/>
        <w:ind w:firstLine="480"/>
        <w:jc w:val="left"/>
      </w:pPr>
      <w:r>
        <w:rPr>
          <w:rFonts w:ascii="仿宋_GB2312" w:hAnsi="仿宋_GB2312" w:cs="仿宋_GB2312" w:eastAsia="仿宋_GB2312"/>
          <w:sz w:val="24"/>
          <w:color w:val="000000"/>
        </w:rPr>
        <w:t>3.培训时间：</w:t>
      </w:r>
      <w:r>
        <w:rPr>
          <w:rFonts w:ascii="仿宋_GB2312" w:hAnsi="仿宋_GB2312" w:cs="仿宋_GB2312" w:eastAsia="仿宋_GB2312"/>
          <w:sz w:val="24"/>
          <w:color w:val="000000"/>
        </w:rPr>
        <w:t>2025年7月下旬-8月上旬</w:t>
      </w:r>
    </w:p>
    <w:p>
      <w:pPr>
        <w:pStyle w:val="null3"/>
        <w:ind w:firstLine="480"/>
        <w:jc w:val="left"/>
      </w:pPr>
      <w:r>
        <w:rPr>
          <w:rFonts w:ascii="仿宋_GB2312" w:hAnsi="仿宋_GB2312" w:cs="仿宋_GB2312" w:eastAsia="仿宋_GB2312"/>
          <w:sz w:val="24"/>
          <w:color w:val="000000"/>
        </w:rPr>
        <w:t>3培训时长：</w:t>
      </w:r>
      <w:r>
        <w:rPr>
          <w:rFonts w:ascii="仿宋_GB2312" w:hAnsi="仿宋_GB2312" w:cs="仿宋_GB2312" w:eastAsia="仿宋_GB2312"/>
          <w:sz w:val="24"/>
          <w:color w:val="000000"/>
        </w:rPr>
        <w:t>每学科</w:t>
      </w:r>
      <w:r>
        <w:rPr>
          <w:rFonts w:ascii="仿宋_GB2312" w:hAnsi="仿宋_GB2312" w:cs="仿宋_GB2312" w:eastAsia="仿宋_GB2312"/>
          <w:sz w:val="24"/>
          <w:color w:val="000000"/>
        </w:rPr>
        <w:t>3天</w:t>
      </w:r>
      <w:r>
        <w:rPr>
          <w:rFonts w:ascii="仿宋_GB2312" w:hAnsi="仿宋_GB2312" w:cs="仿宋_GB2312" w:eastAsia="仿宋_GB2312"/>
          <w:sz w:val="24"/>
          <w:color w:val="000000"/>
        </w:rPr>
        <w:t>，每科不少于</w:t>
      </w:r>
      <w:r>
        <w:rPr>
          <w:rFonts w:ascii="仿宋_GB2312" w:hAnsi="仿宋_GB2312" w:cs="仿宋_GB2312" w:eastAsia="仿宋_GB2312"/>
          <w:sz w:val="24"/>
          <w:color w:val="000000"/>
        </w:rPr>
        <w:t>24</w:t>
      </w:r>
      <w:r>
        <w:rPr>
          <w:rFonts w:ascii="仿宋_GB2312" w:hAnsi="仿宋_GB2312" w:cs="仿宋_GB2312" w:eastAsia="仿宋_GB2312"/>
          <w:sz w:val="24"/>
          <w:color w:val="000000"/>
        </w:rPr>
        <w:t>课时。</w:t>
      </w:r>
    </w:p>
    <w:p>
      <w:pPr>
        <w:pStyle w:val="null3"/>
        <w:ind w:firstLine="480"/>
        <w:jc w:val="both"/>
      </w:pPr>
      <w:r>
        <w:rPr>
          <w:rFonts w:ascii="仿宋_GB2312" w:hAnsi="仿宋_GB2312" w:cs="仿宋_GB2312" w:eastAsia="仿宋_GB2312"/>
          <w:sz w:val="24"/>
          <w:color w:val="000000"/>
        </w:rPr>
        <w:t>4.培训内容：</w:t>
      </w:r>
    </w:p>
    <w:p>
      <w:pPr>
        <w:pStyle w:val="null3"/>
        <w:ind w:firstLine="480"/>
        <w:jc w:val="both"/>
      </w:pPr>
      <w:r>
        <w:rPr>
          <w:rFonts w:ascii="仿宋_GB2312" w:hAnsi="仿宋_GB2312" w:cs="仿宋_GB2312" w:eastAsia="仿宋_GB2312"/>
          <w:sz w:val="24"/>
          <w:color w:val="000000"/>
        </w:rPr>
        <w:t>集中培训阶段：聚焦新课程改革、新教材使用、新高考改革等领域，立足核心素养背景下的</w:t>
      </w:r>
      <w:r>
        <w:rPr>
          <w:rFonts w:ascii="仿宋_GB2312" w:hAnsi="仿宋_GB2312" w:cs="仿宋_GB2312" w:eastAsia="仿宋_GB2312"/>
          <w:sz w:val="24"/>
          <w:color w:val="000000"/>
        </w:rPr>
        <w:t>新教材新课程研究、</w:t>
      </w:r>
      <w:r>
        <w:rPr>
          <w:rFonts w:ascii="仿宋_GB2312" w:hAnsi="仿宋_GB2312" w:cs="仿宋_GB2312" w:eastAsia="仿宋_GB2312"/>
          <w:sz w:val="24"/>
          <w:color w:val="000000"/>
        </w:rPr>
        <w:t>学科教学与评价、高考命题趋势与命题特点，高考备考的复习策略与方法，重点关注</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年福建省高考试卷的分析。</w:t>
      </w:r>
    </w:p>
    <w:p>
      <w:pPr>
        <w:pStyle w:val="null3"/>
        <w:numPr>
          <w:ilvl w:val="0"/>
          <w:numId w:val="1"/>
        </w:numPr>
        <w:jc w:val="both"/>
      </w:pPr>
      <w:r>
        <w:rPr>
          <w:rFonts w:ascii="仿宋_GB2312" w:hAnsi="仿宋_GB2312" w:cs="仿宋_GB2312" w:eastAsia="仿宋_GB2312"/>
          <w:sz w:val="24"/>
          <w:color w:val="000000"/>
        </w:rPr>
        <w:t>培训方式：专家专题讲座、主题实践观摩、经典案例分析等多种培训形式。</w:t>
      </w:r>
    </w:p>
    <w:p>
      <w:pPr>
        <w:pStyle w:val="null3"/>
        <w:numPr>
          <w:ilvl w:val="0"/>
          <w:numId w:val="1"/>
        </w:numPr>
        <w:jc w:val="both"/>
      </w:pPr>
      <w:r>
        <w:rPr>
          <w:rFonts w:ascii="仿宋_GB2312" w:hAnsi="仿宋_GB2312" w:cs="仿宋_GB2312" w:eastAsia="仿宋_GB2312"/>
          <w:sz w:val="24"/>
          <w:color w:val="000000"/>
        </w:rPr>
        <w:t>研修目标：以学科核心素养为核心，构建支撑核心素养</w:t>
      </w:r>
      <w:r>
        <w:rPr>
          <w:rFonts w:ascii="仿宋_GB2312" w:hAnsi="仿宋_GB2312" w:cs="仿宋_GB2312" w:eastAsia="仿宋_GB2312"/>
          <w:sz w:val="24"/>
          <w:color w:val="000000"/>
        </w:rPr>
        <w:t>“落地”的支持系统，涵盖课程、</w:t>
      </w:r>
      <w:r>
        <w:rPr>
          <w:rFonts w:ascii="仿宋_GB2312" w:hAnsi="仿宋_GB2312" w:cs="仿宋_GB2312" w:eastAsia="仿宋_GB2312"/>
          <w:sz w:val="24"/>
          <w:color w:val="000000"/>
        </w:rPr>
        <w:t>教材、</w:t>
      </w:r>
      <w:r>
        <w:rPr>
          <w:rFonts w:ascii="仿宋_GB2312" w:hAnsi="仿宋_GB2312" w:cs="仿宋_GB2312" w:eastAsia="仿宋_GB2312"/>
          <w:sz w:val="24"/>
          <w:color w:val="000000"/>
        </w:rPr>
        <w:t>教学、评价、教师专业发展等各个方面。重点在于通过行动研究模式，提升厦门市高考学科教师基于学科核心素养的教学实施能力、学科课程开发能力以及教学评价能力，推动厦门市教师专业水平的提升。</w:t>
      </w:r>
    </w:p>
    <w:p>
      <w:pPr>
        <w:pStyle w:val="null3"/>
        <w:numPr>
          <w:ilvl w:val="0"/>
          <w:numId w:val="1"/>
        </w:numPr>
        <w:jc w:val="both"/>
      </w:pPr>
      <w:r>
        <w:rPr>
          <w:rFonts w:ascii="仿宋_GB2312" w:hAnsi="仿宋_GB2312" w:cs="仿宋_GB2312" w:eastAsia="仿宋_GB2312"/>
          <w:sz w:val="24"/>
          <w:color w:val="000000"/>
        </w:rPr>
        <w:t>课程要求：课程设计要契合目前新课程、新教材、新高考改革的方向，具体课程</w:t>
      </w:r>
      <w:r>
        <w:rPr>
          <w:rFonts w:ascii="仿宋_GB2312" w:hAnsi="仿宋_GB2312" w:cs="仿宋_GB2312" w:eastAsia="仿宋_GB2312"/>
          <w:sz w:val="24"/>
          <w:color w:val="000000"/>
        </w:rPr>
        <w:t>需</w:t>
      </w:r>
      <w:r>
        <w:rPr>
          <w:rFonts w:ascii="仿宋_GB2312" w:hAnsi="仿宋_GB2312" w:cs="仿宋_GB2312" w:eastAsia="仿宋_GB2312"/>
          <w:sz w:val="24"/>
          <w:color w:val="000000"/>
        </w:rPr>
        <w:t>根据各学科新教材新高考情况与高考学科教研员商定具体培训课程。</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2025年8月底前完成服务内容。</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厦门市思明区坑内路23号。</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服务符合采购人要求，经采购人验收合格。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1、期次1，说明：1，说明：依据培训需求，完成所有培训任务，进行综合验收。</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1、合同签订后，在收到中标人相应金额的增值税发票后，达到付款条件起7日内，支付合同总金额的50.00%</w:t>
            </w:r>
          </w:p>
          <w:p>
            <w:pPr>
              <w:pStyle w:val="null3"/>
              <w:jc w:val="left"/>
            </w:pPr>
            <w:r>
              <w:rPr>
                <w:rFonts w:ascii="仿宋_GB2312" w:hAnsi="仿宋_GB2312" w:cs="仿宋_GB2312" w:eastAsia="仿宋_GB2312"/>
              </w:rPr>
              <w:t>2、所有培训结束后，经采购人验收无任何问题且收到中标人相应金额的增值税发票后，，达到付款条件起7日内，支付合同总金额的50.00%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8.1本次采购为整体采购，供应商必须对采购项目的所有内容及服务进行完整报价响应。拆分报价或不完整响应的将视为无效响应。</w:t>
      </w:r>
    </w:p>
    <w:p>
      <w:pPr>
        <w:pStyle w:val="null3"/>
        <w:ind w:firstLine="480"/>
        <w:jc w:val="both"/>
      </w:pPr>
      <w:r>
        <w:rPr>
          <w:rFonts w:ascii="仿宋_GB2312" w:hAnsi="仿宋_GB2312" w:cs="仿宋_GB2312" w:eastAsia="仿宋_GB2312"/>
          <w:sz w:val="24"/>
          <w:color w:val="000000"/>
        </w:rPr>
        <w:t>8.2报价以人民币为货币单位。</w:t>
      </w:r>
    </w:p>
    <w:p>
      <w:pPr>
        <w:pStyle w:val="null3"/>
        <w:ind w:firstLine="480"/>
        <w:jc w:val="both"/>
      </w:pPr>
      <w:r>
        <w:rPr>
          <w:rFonts w:ascii="仿宋_GB2312" w:hAnsi="仿宋_GB2312" w:cs="仿宋_GB2312" w:eastAsia="仿宋_GB2312"/>
          <w:sz w:val="24"/>
          <w:color w:val="000000"/>
        </w:rPr>
        <w:t>★8.3本项目采购预算为投标报价的最高限价，投标报价超过采购预算的作无效投标处理。</w:t>
      </w:r>
    </w:p>
    <w:p>
      <w:pPr>
        <w:pStyle w:val="null3"/>
        <w:ind w:firstLine="480"/>
        <w:jc w:val="both"/>
      </w:pPr>
      <w:r>
        <w:rPr>
          <w:rFonts w:ascii="仿宋_GB2312" w:hAnsi="仿宋_GB2312" w:cs="仿宋_GB2312" w:eastAsia="仿宋_GB2312"/>
          <w:sz w:val="24"/>
          <w:color w:val="000000"/>
        </w:rPr>
        <w:t>8.4</w:t>
      </w:r>
      <w:r>
        <w:rPr>
          <w:rFonts w:ascii="仿宋_GB2312" w:hAnsi="仿宋_GB2312" w:cs="仿宋_GB2312" w:eastAsia="仿宋_GB2312"/>
          <w:sz w:val="24"/>
          <w:color w:val="000000"/>
        </w:rPr>
        <w:t>本项目投标总价</w:t>
      </w:r>
      <w:r>
        <w:rPr>
          <w:rFonts w:ascii="仿宋_GB2312" w:hAnsi="仿宋_GB2312" w:cs="仿宋_GB2312" w:eastAsia="仿宋_GB2312"/>
          <w:sz w:val="24"/>
          <w:color w:val="000000"/>
        </w:rPr>
        <w:t>为完成培训期间所有可能发生的费用，包括培训费、师资费、学习资料费、餐费、住宿费、合影费、证书费、专家往来交通费、专家食宿费、实地考察、教学管理费及培训期间所有教学相关等费用，其中培训费总额以实际参加培训人数计算。</w:t>
      </w:r>
    </w:p>
    <w:p>
      <w:pPr>
        <w:pStyle w:val="null3"/>
        <w:ind w:firstLine="480"/>
        <w:jc w:val="both"/>
      </w:pPr>
      <w:r>
        <w:rPr>
          <w:rFonts w:ascii="仿宋_GB2312" w:hAnsi="仿宋_GB2312" w:cs="仿宋_GB2312" w:eastAsia="仿宋_GB2312"/>
          <w:sz w:val="24"/>
          <w:color w:val="000000"/>
        </w:rPr>
        <w:t>8.5供应商漏报的单价或每单价报价中漏报、少报的费用，视为此项费用已隐含在报价中，成交后不得再向采购人收取任何费用。</w:t>
      </w:r>
    </w:p>
    <w:p>
      <w:pPr>
        <w:pStyle w:val="null3"/>
        <w:ind w:firstLine="480"/>
        <w:jc w:val="both"/>
      </w:pPr>
      <w:r>
        <w:rPr>
          <w:rFonts w:ascii="仿宋_GB2312" w:hAnsi="仿宋_GB2312" w:cs="仿宋_GB2312" w:eastAsia="仿宋_GB2312"/>
          <w:sz w:val="24"/>
          <w:color w:val="000000"/>
        </w:rPr>
        <w:t>8.6供应商对本项目只能有一个报价，采购单位不接受有选择的报价。</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、后附附件</w:t>
      </w:r>
    </w:p>
    <w:p>
      <w:pPr>
        <w:pStyle w:val="null3"/>
      </w:pPr>
      <w:r>
        <w:rPr>
          <w:rFonts w:ascii="仿宋_GB2312" w:hAnsi="仿宋_GB2312" w:cs="仿宋_GB2312" w:eastAsia="仿宋_GB2312"/>
          <w:sz w:val="24"/>
          <w:color w:val="000000"/>
        </w:rPr>
        <w:t>附件</w:t>
      </w:r>
      <w:r>
        <w:rPr>
          <w:rFonts w:ascii="仿宋_GB2312" w:hAnsi="仿宋_GB2312" w:cs="仿宋_GB2312" w:eastAsia="仿宋_GB2312"/>
          <w:sz w:val="24"/>
          <w:color w:val="000000"/>
        </w:rPr>
        <w:t>1：</w:t>
      </w:r>
    </w:p>
    <w:p>
      <w:pPr>
        <w:pStyle w:val="null3"/>
        <w:ind w:firstLine="645"/>
        <w:jc w:val="center"/>
      </w:pPr>
      <w:r>
        <w:rPr>
          <w:rFonts w:ascii="仿宋_GB2312" w:hAnsi="仿宋_GB2312" w:cs="仿宋_GB2312" w:eastAsia="仿宋_GB2312"/>
          <w:sz w:val="24"/>
          <w:b/>
          <w:color w:val="000000"/>
        </w:rPr>
        <w:t>关于串标情形及后果的告知函</w:t>
      </w:r>
    </w:p>
    <w:p>
      <w:pPr>
        <w:pStyle w:val="null3"/>
      </w:pPr>
      <w:r>
        <w:rPr>
          <w:rFonts w:ascii="仿宋_GB2312" w:hAnsi="仿宋_GB2312" w:cs="仿宋_GB2312" w:eastAsia="仿宋_GB2312"/>
          <w:sz w:val="21"/>
          <w:color w:val="000000"/>
        </w:rPr>
        <w:t>致各投标</w:t>
      </w:r>
      <w:r>
        <w:rPr>
          <w:rFonts w:ascii="仿宋_GB2312" w:hAnsi="仿宋_GB2312" w:cs="仿宋_GB2312" w:eastAsia="仿宋_GB2312"/>
          <w:sz w:val="24"/>
          <w:color w:val="000000"/>
        </w:rPr>
        <w:t>人：</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pPr>
      <w:r>
        <w:rPr>
          <w:rFonts w:ascii="仿宋_GB2312" w:hAnsi="仿宋_GB2312" w:cs="仿宋_GB2312" w:eastAsia="仿宋_GB2312"/>
          <w:sz w:val="24"/>
          <w:b/>
          <w:color w:val="000000"/>
        </w:rPr>
        <w:t>一、恶意串通情形</w:t>
      </w:r>
    </w:p>
    <w:p>
      <w:pPr>
        <w:pStyle w:val="null3"/>
        <w:ind w:firstLine="315"/>
      </w:pPr>
      <w:r>
        <w:rPr>
          <w:rFonts w:ascii="仿宋_GB2312" w:hAnsi="仿宋_GB2312" w:cs="仿宋_GB2312" w:eastAsia="仿宋_GB2312"/>
          <w:sz w:val="24"/>
          <w:b/>
          <w:color w:val="000000"/>
        </w:rPr>
        <w:t>《政府采购法实施条例》第七十四条：有下列情形之一的，属于恶意串通：</w:t>
      </w:r>
    </w:p>
    <w:p>
      <w:pPr>
        <w:pStyle w:val="null3"/>
        <w:ind w:firstLine="315"/>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315"/>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315"/>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315"/>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315"/>
      </w:pPr>
      <w:r>
        <w:rPr>
          <w:rFonts w:ascii="仿宋_GB2312" w:hAnsi="仿宋_GB2312" w:cs="仿宋_GB2312" w:eastAsia="仿宋_GB2312"/>
          <w:sz w:val="24"/>
          <w:color w:val="000000"/>
        </w:rPr>
        <w:t>（五）供应商之间事先约定由某一特定供应商中标、成交；</w:t>
      </w:r>
    </w:p>
    <w:p>
      <w:pPr>
        <w:pStyle w:val="null3"/>
        <w:ind w:firstLine="315"/>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315"/>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pPr>
      <w:r>
        <w:rPr>
          <w:rFonts w:ascii="仿宋_GB2312" w:hAnsi="仿宋_GB2312" w:cs="仿宋_GB2312" w:eastAsia="仿宋_GB2312"/>
          <w:sz w:val="24"/>
          <w:b/>
          <w:color w:val="000000"/>
        </w:rPr>
        <w:t>二、视为串通情形</w:t>
      </w:r>
    </w:p>
    <w:p>
      <w:pPr>
        <w:pStyle w:val="null3"/>
        <w:ind w:firstLine="315"/>
      </w:pPr>
      <w:r>
        <w:rPr>
          <w:rFonts w:ascii="仿宋_GB2312" w:hAnsi="仿宋_GB2312" w:cs="仿宋_GB2312" w:eastAsia="仿宋_GB2312"/>
          <w:sz w:val="24"/>
          <w:b/>
          <w:color w:val="000000"/>
        </w:rPr>
        <w:t>《政府采购货物和服务招标投标管理办法》（财政部令第</w:t>
      </w:r>
      <w:r>
        <w:rPr>
          <w:rFonts w:ascii="仿宋_GB2312" w:hAnsi="仿宋_GB2312" w:cs="仿宋_GB2312" w:eastAsia="仿宋_GB2312"/>
          <w:sz w:val="24"/>
          <w:b/>
          <w:color w:val="000000"/>
        </w:rPr>
        <w:t>87号）第三十七条：有下列情形之一的，视为投标人串通投标，其投标无效：</w:t>
      </w:r>
    </w:p>
    <w:p>
      <w:pPr>
        <w:pStyle w:val="null3"/>
        <w:ind w:firstLine="315"/>
      </w:pPr>
      <w:r>
        <w:rPr>
          <w:rFonts w:ascii="仿宋_GB2312" w:hAnsi="仿宋_GB2312" w:cs="仿宋_GB2312" w:eastAsia="仿宋_GB2312"/>
          <w:sz w:val="24"/>
          <w:color w:val="000000"/>
        </w:rPr>
        <w:t>（一）不同投标人的投标文件由同一单位或者个人编制；</w:t>
      </w:r>
    </w:p>
    <w:p>
      <w:pPr>
        <w:pStyle w:val="null3"/>
        <w:ind w:firstLine="315"/>
      </w:pPr>
      <w:r>
        <w:rPr>
          <w:rFonts w:ascii="仿宋_GB2312" w:hAnsi="仿宋_GB2312" w:cs="仿宋_GB2312" w:eastAsia="仿宋_GB2312"/>
          <w:sz w:val="24"/>
          <w:color w:val="000000"/>
        </w:rPr>
        <w:t>（二）不同投标人委托同一单位或者个人办理投标事宜；</w:t>
      </w:r>
    </w:p>
    <w:p>
      <w:pPr>
        <w:pStyle w:val="null3"/>
        <w:ind w:firstLine="240"/>
      </w:pPr>
      <w:r>
        <w:rPr>
          <w:rFonts w:ascii="仿宋_GB2312" w:hAnsi="仿宋_GB2312" w:cs="仿宋_GB2312" w:eastAsia="仿宋_GB2312"/>
          <w:sz w:val="24"/>
          <w:color w:val="000000"/>
        </w:rPr>
        <w:t>（三）不同投标人的投标文件载明的项目管理成员或者联系人员为同一人；</w:t>
      </w:r>
    </w:p>
    <w:p>
      <w:pPr>
        <w:pStyle w:val="null3"/>
        <w:ind w:firstLine="240"/>
      </w:pPr>
      <w:r>
        <w:rPr>
          <w:rFonts w:ascii="仿宋_GB2312" w:hAnsi="仿宋_GB2312" w:cs="仿宋_GB2312" w:eastAsia="仿宋_GB2312"/>
          <w:sz w:val="24"/>
          <w:color w:val="000000"/>
        </w:rPr>
        <w:t>（四）不同投标人的投标文件异常一致或者投标报价呈规律性差异；</w:t>
      </w:r>
    </w:p>
    <w:p>
      <w:pPr>
        <w:pStyle w:val="null3"/>
        <w:ind w:firstLine="240"/>
      </w:pPr>
      <w:r>
        <w:rPr>
          <w:rFonts w:ascii="仿宋_GB2312" w:hAnsi="仿宋_GB2312" w:cs="仿宋_GB2312" w:eastAsia="仿宋_GB2312"/>
          <w:sz w:val="24"/>
          <w:color w:val="000000"/>
        </w:rPr>
        <w:t>（五）不同投标人的投标文件相互混装；</w:t>
      </w:r>
    </w:p>
    <w:p>
      <w:pPr>
        <w:pStyle w:val="null3"/>
        <w:ind w:firstLine="240"/>
      </w:pPr>
      <w:r>
        <w:rPr>
          <w:rFonts w:ascii="仿宋_GB2312" w:hAnsi="仿宋_GB2312" w:cs="仿宋_GB2312" w:eastAsia="仿宋_GB2312"/>
          <w:sz w:val="24"/>
          <w:color w:val="000000"/>
        </w:rPr>
        <w:t>（六）不同投标人的投标保证金从同一单位或者个人的账户转出。</w:t>
      </w:r>
    </w:p>
    <w:p>
      <w:pPr>
        <w:pStyle w:val="null3"/>
        <w:ind w:firstLine="315"/>
      </w:pPr>
      <w:r>
        <w:rPr>
          <w:rFonts w:ascii="仿宋_GB2312" w:hAnsi="仿宋_GB2312" w:cs="仿宋_GB2312" w:eastAsia="仿宋_GB2312"/>
          <w:sz w:val="24"/>
          <w:b/>
          <w:color w:val="000000"/>
        </w:rPr>
        <w:t>《福建省财政厅关于电子化政府采购项目中视为串标情形认定与处理的指导意见》（闽财购〔</w:t>
      </w:r>
      <w:r>
        <w:rPr>
          <w:rFonts w:ascii="仿宋_GB2312" w:hAnsi="仿宋_GB2312" w:cs="仿宋_GB2312" w:eastAsia="仿宋_GB2312"/>
          <w:sz w:val="24"/>
          <w:b/>
          <w:color w:val="000000"/>
        </w:rPr>
        <w:t>2018〕30号）</w:t>
      </w:r>
    </w:p>
    <w:p>
      <w:pPr>
        <w:pStyle w:val="null3"/>
        <w:ind w:firstLine="315"/>
      </w:pPr>
      <w:r>
        <w:rPr>
          <w:rFonts w:ascii="仿宋_GB2312" w:hAnsi="仿宋_GB2312" w:cs="仿宋_GB2312" w:eastAsia="仿宋_GB2312"/>
          <w:sz w:val="24"/>
          <w:color w:val="000000"/>
        </w:rPr>
        <w:t>（一）电子化招标项目视为串通情形的认定</w:t>
      </w:r>
    </w:p>
    <w:p>
      <w:pPr>
        <w:pStyle w:val="null3"/>
        <w:ind w:firstLine="315"/>
      </w:pPr>
      <w:r>
        <w:rPr>
          <w:rFonts w:ascii="仿宋_GB2312" w:hAnsi="仿宋_GB2312" w:cs="仿宋_GB2312" w:eastAsia="仿宋_GB2312"/>
          <w:sz w:val="24"/>
          <w:color w:val="000000"/>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pPr>
      <w:r>
        <w:rPr>
          <w:rFonts w:ascii="仿宋_GB2312" w:hAnsi="仿宋_GB2312" w:cs="仿宋_GB2312" w:eastAsia="仿宋_GB2312"/>
          <w:sz w:val="24"/>
          <w:color w:val="000000"/>
        </w:rPr>
        <w:t>2、电子响应文件解密阶段 电子响应文件的个性特征与本采购项目的其他响应人存在雷同的，按照以下方式进行认定：</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pPr>
      <w:r>
        <w:rPr>
          <w:rFonts w:ascii="仿宋_GB2312" w:hAnsi="仿宋_GB2312" w:cs="仿宋_GB2312" w:eastAsia="仿宋_GB2312"/>
          <w:sz w:val="24"/>
          <w:color w:val="000000"/>
        </w:rPr>
        <w:t>（二）电子化非招标项目视为串通情形的认定</w:t>
      </w:r>
    </w:p>
    <w:p>
      <w:pPr>
        <w:pStyle w:val="null3"/>
        <w:ind w:firstLine="315"/>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color w:val="000000"/>
        </w:rPr>
        <w:t>“供 应商与采购人或者采购代 理机构之间、供 应商相互之间，为谋求特定供 应商中标、成交或者排斥其他供 应商的其他串通行为”。</w:t>
      </w:r>
    </w:p>
    <w:p>
      <w:pPr>
        <w:pStyle w:val="null3"/>
        <w:ind w:firstLine="240"/>
      </w:pPr>
      <w:r>
        <w:rPr>
          <w:rFonts w:ascii="仿宋_GB2312" w:hAnsi="仿宋_GB2312" w:cs="仿宋_GB2312" w:eastAsia="仿宋_GB2312"/>
          <w:sz w:val="24"/>
          <w:b/>
          <w:color w:val="000000"/>
        </w:rPr>
        <w:t>《福建省财政厅关于福建省省级政府采购货物和服务项目招标文件编制指引和实施指引的补充通知（三）》（闽财购〔</w:t>
      </w:r>
      <w:r>
        <w:rPr>
          <w:rFonts w:ascii="仿宋_GB2312" w:hAnsi="仿宋_GB2312" w:cs="仿宋_GB2312" w:eastAsia="仿宋_GB2312"/>
          <w:sz w:val="24"/>
          <w:b/>
          <w:color w:val="000000"/>
        </w:rPr>
        <w:t>2010〕28号）</w:t>
      </w:r>
    </w:p>
    <w:p>
      <w:pPr>
        <w:pStyle w:val="null3"/>
      </w:pPr>
      <w:r>
        <w:rPr>
          <w:rFonts w:ascii="仿宋_GB2312" w:hAnsi="仿宋_GB2312" w:cs="仿宋_GB2312" w:eastAsia="仿宋_GB2312"/>
          <w:sz w:val="24"/>
          <w:color w:val="000000"/>
        </w:rPr>
        <w:t>评标委员会在评标过程中发现投标人存在下列情形之一的，可认定其有串通</w:t>
      </w:r>
    </w:p>
    <w:p>
      <w:pPr>
        <w:pStyle w:val="null3"/>
      </w:pPr>
      <w:r>
        <w:rPr>
          <w:rFonts w:ascii="仿宋_GB2312" w:hAnsi="仿宋_GB2312" w:cs="仿宋_GB2312" w:eastAsia="仿宋_GB2312"/>
          <w:sz w:val="24"/>
          <w:color w:val="000000"/>
        </w:rPr>
        <w:t>投标行为，并做出其投标无效的决定：</w:t>
      </w:r>
    </w:p>
    <w:p>
      <w:pPr>
        <w:pStyle w:val="null3"/>
      </w:pPr>
      <w:r>
        <w:rPr>
          <w:rFonts w:ascii="仿宋_GB2312" w:hAnsi="仿宋_GB2312" w:cs="仿宋_GB2312" w:eastAsia="仿宋_GB2312"/>
          <w:sz w:val="24"/>
          <w:color w:val="000000"/>
        </w:rPr>
        <w:t>（一）不同投标人的投标文件错、漏之处一致或雷同，且不能合理解释的；</w:t>
      </w:r>
    </w:p>
    <w:p>
      <w:pPr>
        <w:pStyle w:val="null3"/>
      </w:pPr>
      <w:r>
        <w:rPr>
          <w:rFonts w:ascii="仿宋_GB2312" w:hAnsi="仿宋_GB2312" w:cs="仿宋_GB2312" w:eastAsia="仿宋_GB2312"/>
          <w:sz w:val="24"/>
          <w:color w:val="000000"/>
        </w:rPr>
        <w:t>（二）不同的投标人的法定代表人、委托代理人等由同一个单位缴纳社会保险的；</w:t>
      </w:r>
    </w:p>
    <w:p>
      <w:pPr>
        <w:pStyle w:val="null3"/>
      </w:pPr>
      <w:r>
        <w:rPr>
          <w:rFonts w:ascii="仿宋_GB2312" w:hAnsi="仿宋_GB2312" w:cs="仿宋_GB2312" w:eastAsia="仿宋_GB2312"/>
          <w:sz w:val="24"/>
          <w:color w:val="000000"/>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pPr>
      <w:r>
        <w:rPr>
          <w:rFonts w:ascii="仿宋_GB2312" w:hAnsi="仿宋_GB2312" w:cs="仿宋_GB2312" w:eastAsia="仿宋_GB2312"/>
          <w:sz w:val="24"/>
          <w:color w:val="000000"/>
        </w:rPr>
        <w:t>（四）有关法律、法规或规章规定的其他串通投标行为。</w:t>
      </w:r>
    </w:p>
    <w:p>
      <w:pPr>
        <w:pStyle w:val="null3"/>
      </w:pPr>
      <w:r>
        <w:rPr>
          <w:rFonts w:ascii="仿宋_GB2312" w:hAnsi="仿宋_GB2312" w:cs="仿宋_GB2312" w:eastAsia="仿宋_GB2312"/>
          <w:sz w:val="24"/>
          <w:b/>
          <w:color w:val="000000"/>
        </w:rPr>
        <w:t>三、供应商需承担的后果</w:t>
      </w:r>
    </w:p>
    <w:p>
      <w:pPr>
        <w:pStyle w:val="null3"/>
        <w:ind w:firstLine="480"/>
      </w:pPr>
      <w:r>
        <w:rPr>
          <w:rFonts w:ascii="仿宋_GB2312" w:hAnsi="仿宋_GB2312" w:cs="仿宋_GB2312" w:eastAsia="仿宋_GB2312"/>
          <w:sz w:val="24"/>
          <w:color w:val="000000"/>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pPr>
      <w:r>
        <w:rPr>
          <w:rFonts w:ascii="仿宋_GB2312" w:hAnsi="仿宋_GB2312" w:cs="仿宋_GB2312" w:eastAsia="仿宋_GB2312"/>
          <w:sz w:val="24"/>
          <w:color w:val="000000"/>
        </w:rPr>
        <w:t>2、《政府采购非招标采购方式管理办法》（财政部令第74号）第二十条：有下列情形之一的，保证金不予退还： （四）供 应商与采购人、其他供 应商或者采购代 理机构恶意串通的；</w:t>
      </w:r>
    </w:p>
    <w:p>
      <w:pPr>
        <w:pStyle w:val="null3"/>
        <w:ind w:firstLine="315"/>
      </w:pPr>
      <w:r>
        <w:rPr>
          <w:rFonts w:ascii="仿宋_GB2312" w:hAnsi="仿宋_GB2312" w:cs="仿宋_GB2312" w:eastAsia="仿宋_GB2312"/>
          <w:sz w:val="24"/>
          <w:color w:val="000000"/>
        </w:rPr>
        <w:t>3、《政府采购竞争性磋商采购方式管理暂行办法》（财库〔2014〕214号）第三十一条：有下列情形之一的，磋商保证金不予退还： （四）供 应商与采购人、其他供 应商或者采购代 理机构恶意串通的；</w:t>
      </w:r>
    </w:p>
    <w:p>
      <w:pPr>
        <w:pStyle w:val="null3"/>
      </w:pPr>
      <w:r>
        <w:rPr>
          <w:rFonts w:ascii="仿宋_GB2312" w:hAnsi="仿宋_GB2312" w:cs="仿宋_GB2312" w:eastAsia="仿宋_GB2312"/>
          <w:sz w:val="24"/>
          <w:color w:val="000000"/>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pPr>
      <w:r>
        <w:rPr>
          <w:rFonts w:ascii="仿宋_GB2312" w:hAnsi="仿宋_GB2312" w:cs="仿宋_GB2312" w:eastAsia="仿宋_GB2312"/>
          <w:sz w:val="24"/>
          <w:color w:val="000000"/>
        </w:rPr>
        <w:t>附件</w:t>
      </w:r>
      <w:r>
        <w:rPr>
          <w:rFonts w:ascii="仿宋_GB2312" w:hAnsi="仿宋_GB2312" w:cs="仿宋_GB2312" w:eastAsia="仿宋_GB2312"/>
          <w:sz w:val="24"/>
          <w:color w:val="000000"/>
        </w:rPr>
        <w:t>2：</w:t>
      </w:r>
    </w:p>
    <w:p>
      <w:pPr>
        <w:pStyle w:val="null3"/>
        <w:ind w:firstLine="3120"/>
      </w:pPr>
      <w:r>
        <w:rPr>
          <w:rFonts w:ascii="仿宋_GB2312" w:hAnsi="仿宋_GB2312" w:cs="仿宋_GB2312" w:eastAsia="仿宋_GB2312"/>
          <w:sz w:val="24"/>
          <w:color w:val="000000"/>
        </w:rPr>
        <w:t>招标文件远程开标事项</w:t>
      </w:r>
    </w:p>
    <w:p>
      <w:pPr>
        <w:pStyle w:val="null3"/>
      </w:pPr>
      <w:r>
        <w:rPr>
          <w:rFonts w:ascii="仿宋_GB2312" w:hAnsi="仿宋_GB2312" w:cs="仿宋_GB2312" w:eastAsia="仿宋_GB2312"/>
          <w:sz w:val="24"/>
          <w:color w:val="000000"/>
        </w:rPr>
        <w:t>一、本项目采用</w:t>
      </w:r>
      <w:r>
        <w:rPr>
          <w:rFonts w:ascii="仿宋_GB2312" w:hAnsi="仿宋_GB2312" w:cs="仿宋_GB2312" w:eastAsia="仿宋_GB2312"/>
          <w:sz w:val="24"/>
          <w:color w:val="000000"/>
        </w:rPr>
        <w:t>“远程开标”，投标人可到开标现场，也可不到开标现场，由投标人自行决定。</w:t>
      </w:r>
    </w:p>
    <w:p>
      <w:pPr>
        <w:pStyle w:val="null3"/>
        <w:ind w:firstLine="640"/>
      </w:pPr>
      <w:r>
        <w:rPr>
          <w:rFonts w:ascii="仿宋_GB2312" w:hAnsi="仿宋_GB2312" w:cs="仿宋_GB2312" w:eastAsia="仿宋_GB2312"/>
          <w:sz w:val="24"/>
          <w:color w:val="000000"/>
        </w:rPr>
        <w:t>二、投标人不到开标现场的，请在福建省政府采购网厦门分网</w:t>
      </w:r>
      <w:r>
        <w:rPr>
          <w:rFonts w:ascii="仿宋_GB2312" w:hAnsi="仿宋_GB2312" w:cs="仿宋_GB2312" w:eastAsia="仿宋_GB2312"/>
          <w:sz w:val="24"/>
          <w:color w:val="000000"/>
        </w:rPr>
        <w:t>“服务专区/下载专区/资料下载”中，下载《远程开标操作手册》，在开标时自行登录采购系统，线上观看开标过程，并按要求在开标时段对投标文件进行远程解密、远程签章。</w:t>
      </w:r>
    </w:p>
    <w:p>
      <w:pPr>
        <w:pStyle w:val="null3"/>
        <w:ind w:firstLine="640"/>
      </w:pPr>
      <w:r>
        <w:rPr>
          <w:rFonts w:ascii="仿宋_GB2312" w:hAnsi="仿宋_GB2312" w:cs="仿宋_GB2312" w:eastAsia="仿宋_GB2312"/>
          <w:sz w:val="24"/>
          <w:color w:val="000000"/>
        </w:rPr>
        <w:t>三、投标人应确保自身设施、设备、网络状况良好，提请了解熟悉远程开标流程，因投标人自身原因造成无法正常观看开标过程、远程解密或签章的，后果由投标人自行承担。</w:t>
      </w:r>
    </w:p>
    <w:p>
      <w:pPr>
        <w:pStyle w:val="null3"/>
        <w:ind w:firstLine="640"/>
      </w:pPr>
      <w:r>
        <w:rPr>
          <w:rFonts w:ascii="仿宋_GB2312" w:hAnsi="仿宋_GB2312" w:cs="仿宋_GB2312" w:eastAsia="仿宋_GB2312"/>
          <w:sz w:val="24"/>
          <w:color w:val="000000"/>
        </w:rPr>
        <w:t>四、在规定的时间内正确提交电子投标文件的投标人在开标时将由系统判断签到情况，具体信息以福建省政府采购网上公开信息系统所示为准。</w:t>
      </w:r>
    </w:p>
    <w:p>
      <w:pPr>
        <w:pStyle w:val="null3"/>
        <w:ind w:firstLine="640"/>
      </w:pPr>
      <w:r>
        <w:rPr>
          <w:rFonts w:ascii="仿宋_GB2312" w:hAnsi="仿宋_GB2312" w:cs="仿宋_GB2312" w:eastAsia="仿宋_GB2312"/>
          <w:sz w:val="24"/>
          <w:color w:val="000000"/>
        </w:rPr>
        <w:t>五、投标人应在远程解密开启后在规定时间内使用</w:t>
      </w:r>
      <w:r>
        <w:rPr>
          <w:rFonts w:ascii="仿宋_GB2312" w:hAnsi="仿宋_GB2312" w:cs="仿宋_GB2312" w:eastAsia="仿宋_GB2312"/>
          <w:sz w:val="24"/>
          <w:color w:val="000000"/>
        </w:rPr>
        <w:t>CA数字证书（应与投标文件加密时所用CA证书一致）进行投标文件的解密操作，逾期未解密的视为放弃投标。</w:t>
      </w:r>
    </w:p>
    <w:p>
      <w:pPr>
        <w:pStyle w:val="null3"/>
        <w:ind w:firstLine="640"/>
      </w:pPr>
      <w:r>
        <w:rPr>
          <w:rFonts w:ascii="仿宋_GB2312" w:hAnsi="仿宋_GB2312" w:cs="仿宋_GB2312" w:eastAsia="仿宋_GB2312"/>
          <w:sz w:val="24"/>
          <w:color w:val="000000"/>
        </w:rPr>
        <w:t>六、唱标结束后，投标人可对开标结果进行签章，并在远程签章开放后规定时间内完成，逾期未签章的视同认可开标结果。</w:t>
      </w:r>
    </w:p>
    <w:p>
      <w:pPr>
        <w:pStyle w:val="null3"/>
        <w:ind w:firstLine="640"/>
      </w:pPr>
      <w:r>
        <w:rPr>
          <w:rFonts w:ascii="仿宋_GB2312" w:hAnsi="仿宋_GB2312" w:cs="仿宋_GB2312" w:eastAsia="仿宋_GB2312"/>
          <w:sz w:val="24"/>
          <w:color w:val="000000"/>
        </w:rPr>
        <w:t>七、开、评标期间，投标人代表应保证采购系统中预留的联系方式畅通，以便随时接收并答复评标委员会发起的澄清等事项。</w:t>
      </w:r>
    </w:p>
    <w:p>
      <w:pPr>
        <w:pStyle w:val="null3"/>
        <w:ind w:firstLine="640"/>
      </w:pPr>
      <w:r>
        <w:rPr>
          <w:rFonts w:ascii="仿宋_GB2312" w:hAnsi="仿宋_GB2312" w:cs="仿宋_GB2312" w:eastAsia="仿宋_GB2312"/>
          <w:sz w:val="24"/>
          <w:color w:val="000000"/>
        </w:rPr>
        <w:t>八、在操作过程中如有疑问请咨询技术人员（</w:t>
      </w:r>
      <w:r>
        <w:rPr>
          <w:rFonts w:ascii="仿宋_GB2312" w:hAnsi="仿宋_GB2312" w:cs="仿宋_GB2312" w:eastAsia="仿宋_GB2312"/>
          <w:sz w:val="24"/>
          <w:color w:val="000000"/>
        </w:rPr>
        <w:t>400-1612-666、0592-2858142）或采购代理机构工作人员。</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[350201]wx[GK]2025016</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2026届厦门市高中毕业班第一轮备考培训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1(2026届厦门市高中毕业班第一轮备考培训)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2026届厦门市高中毕业班第一轮备考培训</w:t>
            </w:r>
          </w:p>
        </w:tc>
        <w:tc>
          <w:tcPr>
            <w:tcW w:type="dxa" w:w="1661"/>
          </w:tcPr>
          <w:p>
            <w:pPr>
              <w:pStyle w:val="null3"/>
              <w:jc w:val="left"/>
            </w:pPr>
            <w:r>
              <w:rPr>
                <w:rFonts w:ascii="仿宋_GB2312" w:hAnsi="仿宋_GB2312" w:cs="仿宋_GB2312" w:eastAsia="仿宋_GB2312"/>
              </w:rPr>
              <w:t xml:space="preserve"> 2268000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[350201]wx[GK]2025016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2026届厦门市高中毕业班第一轮备考培训</w:t>
      </w:r>
    </w:p>
    <w:p>
      <w:pPr>
        <w:pStyle w:val="null3"/>
        <w:jc w:val="left"/>
      </w:pPr>
      <w:r>
        <w:rPr>
          <w:rFonts w:ascii="仿宋_GB2312" w:hAnsi="仿宋_GB2312" w:cs="仿宋_GB2312" w:eastAsia="仿宋_GB2312"/>
        </w:rPr>
        <w:t>采购包：</w:t>
      </w:r>
      <w:r>
        <w:rPr>
          <w:rFonts w:ascii="仿宋_GB2312" w:hAnsi="仿宋_GB2312" w:cs="仿宋_GB2312" w:eastAsia="仿宋_GB2312"/>
        </w:rPr>
        <w:t>2026届厦门市高中毕业班第一轮备考培训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2026届厦门市高中毕业班第一轮备考培训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2026届厦门市高中毕业班第一轮备考培训</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