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72B7">
      <w:pPr>
        <w:spacing w:line="360" w:lineRule="auto"/>
        <w:jc w:val="both"/>
        <w:rPr>
          <w:rFonts w:hint="eastAsia" w:ascii="宋体" w:hAnsi="宋体"/>
          <w:b/>
          <w:color w:val="auto"/>
          <w:sz w:val="72"/>
          <w:highlight w:val="none"/>
        </w:rPr>
      </w:pPr>
      <w:bookmarkStart w:id="270" w:name="_GoBack"/>
    </w:p>
    <w:p w14:paraId="74A8AB66">
      <w:pPr>
        <w:spacing w:line="360" w:lineRule="auto"/>
        <w:jc w:val="center"/>
        <w:rPr>
          <w:rFonts w:ascii="宋体" w:hAnsi="宋体"/>
          <w:b/>
          <w:color w:val="auto"/>
          <w:sz w:val="72"/>
          <w:highlight w:val="none"/>
        </w:rPr>
      </w:pPr>
      <w:r>
        <w:rPr>
          <w:rFonts w:hint="eastAsia" w:ascii="宋体" w:hAnsi="宋体"/>
          <w:b/>
          <w:color w:val="auto"/>
          <w:sz w:val="72"/>
          <w:highlight w:val="none"/>
          <w:lang w:val="en-US" w:eastAsia="zh-CN"/>
        </w:rPr>
        <w:t xml:space="preserve">     </w:t>
      </w:r>
      <w:r>
        <w:rPr>
          <w:rFonts w:hint="eastAsia" w:ascii="宋体" w:hAnsi="宋体"/>
          <w:b/>
          <w:color w:val="auto"/>
          <w:sz w:val="72"/>
          <w:highlight w:val="none"/>
        </w:rPr>
        <w:t xml:space="preserve"> </w:t>
      </w:r>
    </w:p>
    <w:p w14:paraId="0F6101AD">
      <w:pPr>
        <w:spacing w:line="360" w:lineRule="auto"/>
        <w:ind w:firstLine="1063" w:firstLineChars="147"/>
        <w:rPr>
          <w:rFonts w:ascii="宋体" w:hAnsi="宋体"/>
          <w:b/>
          <w:color w:val="auto"/>
          <w:sz w:val="72"/>
          <w:highlight w:val="none"/>
        </w:rPr>
      </w:pPr>
      <w:r>
        <w:rPr>
          <w:rFonts w:hint="eastAsia" w:ascii="宋体" w:hAnsi="宋体"/>
          <w:b/>
          <w:color w:val="auto"/>
          <w:sz w:val="72"/>
          <w:highlight w:val="none"/>
        </w:rPr>
        <w:t>招</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65B00BFE">
      <w:pPr>
        <w:spacing w:line="360" w:lineRule="auto"/>
        <w:ind w:firstLine="1438" w:firstLineChars="398"/>
        <w:rPr>
          <w:rFonts w:ascii="宋体" w:hAnsi="宋体"/>
          <w:b/>
          <w:color w:val="auto"/>
          <w:sz w:val="36"/>
          <w:highlight w:val="none"/>
        </w:rPr>
      </w:pPr>
    </w:p>
    <w:p w14:paraId="59D125E8">
      <w:pPr>
        <w:spacing w:line="360" w:lineRule="auto"/>
        <w:ind w:firstLine="1438" w:firstLineChars="398"/>
        <w:rPr>
          <w:rFonts w:ascii="宋体" w:hAnsi="宋体"/>
          <w:b/>
          <w:color w:val="auto"/>
          <w:sz w:val="36"/>
          <w:highlight w:val="none"/>
        </w:rPr>
      </w:pPr>
    </w:p>
    <w:p w14:paraId="16EE2CBA">
      <w:pPr>
        <w:spacing w:line="360" w:lineRule="auto"/>
        <w:ind w:firstLine="1438" w:firstLineChars="398"/>
        <w:rPr>
          <w:rFonts w:ascii="宋体" w:hAnsi="宋体"/>
          <w:b/>
          <w:color w:val="auto"/>
          <w:sz w:val="36"/>
          <w:highlight w:val="none"/>
        </w:rPr>
      </w:pPr>
    </w:p>
    <w:p w14:paraId="3AF64DA2">
      <w:pPr>
        <w:spacing w:line="360" w:lineRule="auto"/>
        <w:ind w:firstLine="1438" w:firstLineChars="398"/>
        <w:rPr>
          <w:rFonts w:ascii="宋体" w:hAnsi="宋体"/>
          <w:b/>
          <w:color w:val="auto"/>
          <w:sz w:val="36"/>
          <w:highlight w:val="none"/>
        </w:rPr>
      </w:pPr>
    </w:p>
    <w:p w14:paraId="467095C1">
      <w:pPr>
        <w:spacing w:line="360" w:lineRule="auto"/>
        <w:ind w:firstLine="1438" w:firstLineChars="398"/>
        <w:rPr>
          <w:rFonts w:hint="eastAsia" w:ascii="宋体" w:hAnsi="宋体" w:eastAsia="宋体"/>
          <w:b/>
          <w:color w:val="auto"/>
          <w:sz w:val="36"/>
          <w:highlight w:val="none"/>
          <w:u w:val="single"/>
          <w:lang w:val="en-US" w:eastAsia="zh-CN"/>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hint="eastAsia" w:ascii="宋体" w:hAnsi="宋体"/>
          <w:b/>
          <w:color w:val="auto"/>
          <w:sz w:val="36"/>
          <w:highlight w:val="none"/>
          <w:u w:val="none"/>
          <w:lang w:eastAsia="zh-CN"/>
        </w:rPr>
        <w:t>XM2025-TZ5093</w:t>
      </w:r>
    </w:p>
    <w:p w14:paraId="50F926ED">
      <w:pPr>
        <w:spacing w:line="360" w:lineRule="auto"/>
        <w:ind w:left="3948" w:leftChars="684" w:hanging="2512" w:hangingChars="695"/>
        <w:rPr>
          <w:rFonts w:ascii="宋体" w:hAnsi="宋体"/>
          <w:b/>
          <w:color w:val="auto"/>
          <w:sz w:val="36"/>
          <w:highlight w:val="none"/>
          <w:u w:val="singl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称：厦门市科学技术局2025年科技展会会务服务工作</w:t>
      </w:r>
    </w:p>
    <w:p w14:paraId="2F5C3A84">
      <w:pPr>
        <w:spacing w:line="360" w:lineRule="auto"/>
        <w:ind w:firstLine="1438" w:firstLineChars="398"/>
        <w:rPr>
          <w:rFonts w:ascii="宋体" w:hAnsi="宋体"/>
          <w:b/>
          <w:color w:val="auto"/>
          <w:sz w:val="36"/>
          <w:highlight w:val="none"/>
        </w:rPr>
      </w:pPr>
    </w:p>
    <w:p w14:paraId="0D099A80">
      <w:pPr>
        <w:spacing w:line="360" w:lineRule="auto"/>
        <w:ind w:firstLine="1438" w:firstLineChars="398"/>
        <w:rPr>
          <w:rFonts w:ascii="宋体" w:hAnsi="宋体"/>
          <w:b/>
          <w:color w:val="auto"/>
          <w:sz w:val="36"/>
          <w:highlight w:val="none"/>
        </w:rPr>
      </w:pPr>
    </w:p>
    <w:p w14:paraId="66A3D981">
      <w:pPr>
        <w:spacing w:line="360" w:lineRule="auto"/>
        <w:ind w:firstLine="1438" w:firstLineChars="398"/>
        <w:rPr>
          <w:rFonts w:ascii="宋体" w:hAnsi="宋体"/>
          <w:b/>
          <w:color w:val="auto"/>
          <w:sz w:val="36"/>
          <w:highlight w:val="none"/>
        </w:rPr>
      </w:pPr>
    </w:p>
    <w:p w14:paraId="7ED9E95E">
      <w:pPr>
        <w:spacing w:line="360" w:lineRule="auto"/>
        <w:ind w:firstLine="1438" w:firstLineChars="398"/>
        <w:rPr>
          <w:rFonts w:ascii="宋体" w:hAnsi="宋体"/>
          <w:b/>
          <w:color w:val="auto"/>
          <w:sz w:val="36"/>
          <w:highlight w:val="none"/>
        </w:rPr>
      </w:pPr>
    </w:p>
    <w:p w14:paraId="2C40BE56">
      <w:pPr>
        <w:spacing w:line="360" w:lineRule="auto"/>
        <w:ind w:firstLine="1438" w:firstLineChars="398"/>
        <w:rPr>
          <w:rFonts w:ascii="宋体" w:hAnsi="宋体"/>
          <w:b/>
          <w:color w:val="auto"/>
          <w:sz w:val="36"/>
          <w:highlight w:val="none"/>
        </w:rPr>
      </w:pPr>
    </w:p>
    <w:p w14:paraId="4873C160">
      <w:pPr>
        <w:pStyle w:val="6"/>
        <w:spacing w:line="360" w:lineRule="auto"/>
        <w:ind w:firstLine="1438" w:firstLineChars="398"/>
        <w:jc w:val="left"/>
        <w:rPr>
          <w:rFonts w:hAnsi="宋体"/>
          <w:b/>
          <w:color w:val="auto"/>
          <w:spacing w:val="20"/>
          <w:sz w:val="32"/>
          <w:highlight w:val="none"/>
        </w:rPr>
      </w:pPr>
    </w:p>
    <w:p w14:paraId="4FD74158">
      <w:pPr>
        <w:pStyle w:val="6"/>
        <w:spacing w:line="360" w:lineRule="auto"/>
        <w:ind w:firstLine="1438" w:firstLineChars="398"/>
        <w:jc w:val="left"/>
        <w:rPr>
          <w:rFonts w:hAnsi="宋体"/>
          <w:b/>
          <w:bCs/>
          <w:color w:val="auto"/>
          <w:sz w:val="32"/>
          <w:highlight w:val="none"/>
          <w:u w:val="single"/>
        </w:rPr>
      </w:pPr>
      <w:r>
        <w:rPr>
          <w:rFonts w:hint="eastAsia" w:hAnsi="宋体"/>
          <w:b/>
          <w:color w:val="auto"/>
          <w:spacing w:val="20"/>
          <w:sz w:val="32"/>
          <w:highlight w:val="none"/>
        </w:rPr>
        <w:t>采购人：厦门市科学技术局</w:t>
      </w:r>
    </w:p>
    <w:p w14:paraId="093E3E26">
      <w:pPr>
        <w:pStyle w:val="6"/>
        <w:spacing w:line="360" w:lineRule="auto"/>
        <w:ind w:firstLine="1438" w:firstLineChars="398"/>
        <w:jc w:val="left"/>
        <w:rPr>
          <w:rFonts w:hAnsi="宋体"/>
          <w:b/>
          <w:color w:val="auto"/>
          <w:sz w:val="28"/>
          <w:highlight w:val="none"/>
        </w:rPr>
      </w:pPr>
      <w:r>
        <w:rPr>
          <w:rFonts w:hint="eastAsia" w:hAnsi="宋体"/>
          <w:b/>
          <w:color w:val="auto"/>
          <w:spacing w:val="20"/>
          <w:sz w:val="32"/>
          <w:highlight w:val="none"/>
        </w:rPr>
        <w:t>招标代理机构：</w:t>
      </w:r>
      <w:r>
        <w:rPr>
          <w:rFonts w:hint="eastAsia" w:hAnsi="宋体"/>
          <w:b/>
          <w:bCs/>
          <w:color w:val="auto"/>
          <w:sz w:val="32"/>
          <w:highlight w:val="none"/>
        </w:rPr>
        <w:t>厦门万翔招标有限公司</w:t>
      </w:r>
      <w:r>
        <w:rPr>
          <w:rFonts w:hAnsi="宋体"/>
          <w:b/>
          <w:color w:val="auto"/>
          <w:spacing w:val="20"/>
          <w:sz w:val="32"/>
          <w:highlight w:val="none"/>
        </w:rPr>
        <w:t xml:space="preserve"> </w:t>
      </w:r>
    </w:p>
    <w:p w14:paraId="27CDE07F">
      <w:pPr>
        <w:spacing w:line="360" w:lineRule="auto"/>
        <w:ind w:firstLine="1438" w:firstLineChars="398"/>
        <w:rPr>
          <w:rFonts w:ascii="宋体" w:hAnsi="宋体"/>
          <w:b/>
          <w:color w:val="auto"/>
          <w:sz w:val="36"/>
          <w:highlight w:val="none"/>
        </w:rPr>
      </w:pPr>
    </w:p>
    <w:p w14:paraId="78AE1F33">
      <w:pPr>
        <w:pStyle w:val="6"/>
        <w:spacing w:line="360" w:lineRule="auto"/>
        <w:jc w:val="center"/>
        <w:outlineLvl w:val="9"/>
        <w:rPr>
          <w:rFonts w:hAnsi="宋体"/>
          <w:b/>
          <w:color w:val="auto"/>
          <w:sz w:val="32"/>
          <w:highlight w:val="none"/>
        </w:rPr>
      </w:pPr>
      <w:bookmarkStart w:id="0" w:name="_Toc10342"/>
      <w:bookmarkStart w:id="1" w:name="_Toc20368"/>
      <w:r>
        <w:rPr>
          <w:rFonts w:hint="eastAsia" w:hAnsi="宋体"/>
          <w:b/>
          <w:color w:val="auto"/>
          <w:sz w:val="32"/>
          <w:highlight w:val="none"/>
          <w:lang w:eastAsia="zh-CN"/>
        </w:rPr>
        <w:t>2025</w:t>
      </w:r>
      <w:r>
        <w:rPr>
          <w:rFonts w:hint="eastAsia" w:hAnsi="宋体"/>
          <w:b/>
          <w:color w:val="auto"/>
          <w:sz w:val="32"/>
          <w:highlight w:val="none"/>
        </w:rPr>
        <w:t>年</w:t>
      </w:r>
      <w:bookmarkEnd w:id="0"/>
      <w:bookmarkEnd w:id="1"/>
    </w:p>
    <w:p w14:paraId="6AA0EEBE">
      <w:pPr>
        <w:pStyle w:val="6"/>
        <w:spacing w:line="360" w:lineRule="auto"/>
        <w:jc w:val="center"/>
        <w:outlineLvl w:val="9"/>
        <w:rPr>
          <w:rFonts w:hAnsi="宋体"/>
          <w:b/>
          <w:color w:val="auto"/>
          <w:sz w:val="32"/>
          <w:highlight w:val="none"/>
        </w:rPr>
      </w:pPr>
    </w:p>
    <w:p w14:paraId="27B2E1D6">
      <w:pPr>
        <w:pStyle w:val="4"/>
        <w:spacing w:line="360" w:lineRule="auto"/>
        <w:ind w:firstLine="3000" w:firstLineChars="934"/>
        <w:rPr>
          <w:rFonts w:hint="eastAsia" w:ascii="宋体" w:hAnsi="宋体" w:eastAsia="宋体" w:cs="宋体"/>
          <w:color w:val="auto"/>
          <w:kern w:val="2"/>
          <w:sz w:val="21"/>
          <w:szCs w:val="24"/>
          <w:highlight w:val="none"/>
          <w:u w:val="single"/>
          <w:lang w:val="en-US" w:eastAsia="zh-CN" w:bidi="ar-SA"/>
        </w:rPr>
      </w:pPr>
      <w:bookmarkStart w:id="2" w:name="_Toc517431111"/>
      <w:bookmarkStart w:id="3" w:name="_Toc26734"/>
      <w:bookmarkStart w:id="4" w:name="_Toc22053"/>
      <w:bookmarkStart w:id="5" w:name="_Toc1713467172"/>
      <w:r>
        <w:rPr>
          <w:rFonts w:hint="eastAsia" w:hAnsi="宋体" w:eastAsia="宋体" w:cs="宋体"/>
          <w:b/>
          <w:bCs/>
          <w:color w:val="auto"/>
          <w:sz w:val="32"/>
          <w:szCs w:val="32"/>
          <w:highlight w:val="none"/>
        </w:rPr>
        <w:t>目   录</w:t>
      </w:r>
      <w:bookmarkEnd w:id="2"/>
      <w:bookmarkEnd w:id="3"/>
      <w:bookmarkEnd w:id="4"/>
      <w:bookmarkEnd w:id="5"/>
      <w:r>
        <w:rPr>
          <w:rFonts w:hint="eastAsia" w:ascii="宋体" w:hAnsi="宋体" w:eastAsia="宋体" w:cs="宋体"/>
          <w:b/>
          <w:color w:val="auto"/>
          <w:sz w:val="24"/>
          <w:szCs w:val="24"/>
          <w:highlight w:val="none"/>
          <w:u w:val="single"/>
        </w:rPr>
        <w:fldChar w:fldCharType="begin"/>
      </w:r>
      <w:r>
        <w:rPr>
          <w:rFonts w:hint="eastAsia" w:ascii="宋体" w:hAnsi="宋体" w:eastAsia="宋体" w:cs="宋体"/>
          <w:b/>
          <w:color w:val="auto"/>
          <w:sz w:val="24"/>
          <w:szCs w:val="24"/>
          <w:highlight w:val="none"/>
          <w:u w:val="single"/>
        </w:rPr>
        <w:instrText xml:space="preserve">TOC \o "1-2" \h \u </w:instrText>
      </w:r>
      <w:r>
        <w:rPr>
          <w:rFonts w:hint="eastAsia" w:ascii="宋体" w:hAnsi="宋体" w:eastAsia="宋体" w:cs="宋体"/>
          <w:b/>
          <w:color w:val="auto"/>
          <w:sz w:val="24"/>
          <w:szCs w:val="24"/>
          <w:highlight w:val="none"/>
          <w:u w:val="single"/>
        </w:rPr>
        <w:fldChar w:fldCharType="separate"/>
      </w:r>
    </w:p>
    <w:p w14:paraId="33D20122">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_Toc1467276645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投标邀请函</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_Toc1467276645 \h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34E70570">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_Toc560933521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投标人须知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_Toc560933521 \h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68D60FB9">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_Toc1861776500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_Toc1861776500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6F0011D8">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_Toc142609720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投标人须知前附表2</w:t>
      </w:r>
      <w:r>
        <w:rPr>
          <w:rFonts w:hint="eastAsia"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_Toc142609720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E00E3B3">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_Toc521159872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投标人须知前附表3：评标方法、评标标准、定标原则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_Toc521159872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3ED7F90">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_Toc924579373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_Toc924579373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B21D378">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_Toc1332210789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_Toc1332210789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3E8E278">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_Toc1346605426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三、投标文件的编写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_Toc1346605426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35188CF">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_Toc807140696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_Toc807140696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432CA9A">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_Toc1690682206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五、投标文件的评估和比较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_Toc1690682206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323AA5B1">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_Toc218078713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六、定标与签订合同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_Toc218078713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6A8D3F96">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_Toc1375770315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招标内容及要求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_Toc1375770315 \h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48EC1DFC">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_Toc56396171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项目概述</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_Toc56396171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6D785B83">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_Toc746129358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_Toc746129358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33DF9AC">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_Toc1743469729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_Toc1743469729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36110CF">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_Toc1128853291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、报价要求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_Toc1128853291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43C8A28A">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_Toc1143832292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、验收条件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_Toc1143832292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37447814">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_Toc1545302756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、资格证明文件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_Toc1545302756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3D266BB">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_Toc846373990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七、知识产权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_Toc846373990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72ABF1AC">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_Toc2106221535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_Toc2106221535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DFA09FA">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_Toc1165097228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_Toc1165097228 \h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42</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6FEE6AEB">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_Toc1614396163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投标文件格式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_Toc1614396163 \h </w:instrText>
      </w:r>
      <w:r>
        <w:rPr>
          <w:rFonts w:hint="eastAsia" w:ascii="宋体" w:hAnsi="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45</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295E16FE">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_Toc1048717801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附件：福建省</w:t>
      </w:r>
      <w:r>
        <w:rPr>
          <w:rFonts w:hint="eastAsia" w:ascii="宋体" w:hAnsi="宋体" w:cs="宋体"/>
          <w:color w:val="auto"/>
          <w:sz w:val="24"/>
          <w:szCs w:val="24"/>
          <w:highlight w:val="none"/>
        </w:rPr>
        <w:t>政府采购供应商资格承诺函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_Toc1048717801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8D9D65D">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_Toc304239744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资格及符合性条款（带*条款）响应表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_Toc304239744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3A62390B">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_Toc451186434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技术评分条款响应表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_Toc451186434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61BA41AE">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_Toc763010653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商务评分条款响应表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_Toc763010653 \h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626E8B0">
      <w:pPr>
        <w:pStyle w:val="6"/>
        <w:spacing w:line="360" w:lineRule="auto"/>
        <w:ind w:firstLine="1961" w:firstLineChars="934"/>
        <w:jc w:val="center"/>
        <w:outlineLvl w:val="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fldChar w:fldCharType="end"/>
      </w:r>
    </w:p>
    <w:p w14:paraId="1F46BA61">
      <w:pPr>
        <w:pStyle w:val="4"/>
        <w:spacing w:line="360" w:lineRule="auto"/>
        <w:ind w:firstLine="1961" w:firstLineChars="934"/>
        <w:rPr>
          <w:rFonts w:hint="eastAsia" w:ascii="宋体" w:hAnsi="宋体" w:eastAsia="宋体" w:cs="宋体"/>
          <w:color w:val="auto"/>
          <w:szCs w:val="24"/>
          <w:highlight w:val="none"/>
          <w:u w:val="single"/>
        </w:rPr>
        <w:sectPr>
          <w:footerReference r:id="rId5" w:type="first"/>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2C61D366">
      <w:pPr>
        <w:pStyle w:val="17"/>
        <w:spacing w:line="360" w:lineRule="auto"/>
        <w:jc w:val="center"/>
        <w:outlineLvl w:val="0"/>
        <w:rPr>
          <w:rFonts w:hint="eastAsia" w:hAnsi="宋体" w:eastAsia="宋体" w:cs="宋体"/>
          <w:b/>
          <w:bCs/>
          <w:color w:val="auto"/>
          <w:sz w:val="24"/>
          <w:szCs w:val="24"/>
          <w:highlight w:val="none"/>
        </w:rPr>
      </w:pPr>
      <w:bookmarkStart w:id="6" w:name="_Toc1467276645"/>
      <w:bookmarkStart w:id="7" w:name="_Toc18981"/>
      <w:bookmarkStart w:id="8" w:name="_Toc1894874454"/>
      <w:r>
        <w:rPr>
          <w:rFonts w:hint="eastAsia" w:hAnsi="宋体" w:eastAsia="宋体" w:cs="宋体"/>
          <w:b/>
          <w:color w:val="auto"/>
          <w:sz w:val="32"/>
          <w:szCs w:val="32"/>
          <w:highlight w:val="none"/>
        </w:rPr>
        <w:t>第一章  投标邀请函</w:t>
      </w:r>
      <w:bookmarkEnd w:id="6"/>
      <w:bookmarkEnd w:id="7"/>
      <w:bookmarkEnd w:id="8"/>
    </w:p>
    <w:p w14:paraId="0B750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eastAsia="宋体" w:cs="宋体"/>
          <w:b/>
          <w:color w:val="auto"/>
          <w:sz w:val="24"/>
          <w:szCs w:val="24"/>
          <w:highlight w:val="none"/>
          <w:u w:val="single"/>
        </w:rPr>
        <w:t>厦门市科学技术局】</w:t>
      </w:r>
      <w:r>
        <w:rPr>
          <w:rFonts w:hint="eastAsia" w:ascii="宋体" w:hAnsi="宋体" w:eastAsia="宋体" w:cs="宋体"/>
          <w:color w:val="auto"/>
          <w:sz w:val="24"/>
          <w:szCs w:val="24"/>
          <w:highlight w:val="none"/>
        </w:rPr>
        <w:t>委托，</w:t>
      </w: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对【</w:t>
      </w:r>
      <w:r>
        <w:rPr>
          <w:rFonts w:hint="eastAsia" w:ascii="宋体" w:hAnsi="宋体" w:eastAsia="宋体" w:cs="宋体"/>
          <w:b/>
          <w:bCs/>
          <w:color w:val="auto"/>
          <w:sz w:val="24"/>
          <w:szCs w:val="24"/>
          <w:highlight w:val="none"/>
          <w:u w:val="single"/>
        </w:rPr>
        <w:t>厦门市科学技术局2025年科技展会会务服务工作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服务进行国内公开招标，现欢迎国内合格的投标人前来投标。</w:t>
      </w:r>
    </w:p>
    <w:p w14:paraId="4342181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招标编号：</w:t>
      </w:r>
      <w:r>
        <w:rPr>
          <w:rFonts w:hint="eastAsia" w:ascii="宋体" w:hAnsi="宋体" w:cs="宋体"/>
          <w:color w:val="auto"/>
          <w:sz w:val="24"/>
          <w:szCs w:val="24"/>
          <w:highlight w:val="none"/>
          <w:u w:val="single"/>
          <w:lang w:eastAsia="zh-CN"/>
        </w:rPr>
        <w:t>XM2025-TZ5093</w:t>
      </w:r>
      <w:r>
        <w:rPr>
          <w:rFonts w:hint="eastAsia" w:ascii="宋体" w:hAnsi="宋体" w:eastAsia="宋体" w:cs="宋体"/>
          <w:color w:val="auto"/>
          <w:sz w:val="24"/>
          <w:szCs w:val="24"/>
          <w:highlight w:val="none"/>
          <w:u w:val="single"/>
        </w:rPr>
        <w:t>。</w:t>
      </w:r>
    </w:p>
    <w:p w14:paraId="68FB3E3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招标服务名称、数量及主要技术规格：见后</w:t>
      </w:r>
      <w:r>
        <w:rPr>
          <w:rFonts w:hint="eastAsia" w:ascii="宋体" w:hAnsi="宋体" w:eastAsia="宋体" w:cs="宋体"/>
          <w:color w:val="auto"/>
          <w:sz w:val="24"/>
          <w:szCs w:val="24"/>
          <w:highlight w:val="none"/>
        </w:rPr>
        <w:t>附招标</w:t>
      </w:r>
      <w:r>
        <w:rPr>
          <w:rFonts w:hint="eastAsia" w:ascii="宋体" w:hAnsi="宋体" w:eastAsia="宋体" w:cs="宋体"/>
          <w:color w:val="auto"/>
          <w:spacing w:val="0"/>
          <w:sz w:val="24"/>
          <w:szCs w:val="24"/>
          <w:highlight w:val="none"/>
        </w:rPr>
        <w:t>服务</w:t>
      </w:r>
      <w:r>
        <w:rPr>
          <w:rFonts w:hint="eastAsia" w:ascii="宋体" w:hAnsi="宋体" w:eastAsia="宋体" w:cs="宋体"/>
          <w:color w:val="auto"/>
          <w:sz w:val="24"/>
          <w:szCs w:val="24"/>
          <w:highlight w:val="none"/>
        </w:rPr>
        <w:t>一览表。</w:t>
      </w:r>
    </w:p>
    <w:p w14:paraId="2EFE1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cs="宋体"/>
          <w:bCs/>
          <w:color w:val="auto"/>
          <w:sz w:val="24"/>
          <w:szCs w:val="24"/>
          <w:highlight w:val="none"/>
          <w:lang w:val="en-US" w:eastAsia="zh-CN"/>
        </w:rPr>
        <w:t>2025年4月22日</w:t>
      </w:r>
      <w:r>
        <w:rPr>
          <w:rFonts w:hint="eastAsia" w:ascii="宋体" w:hAnsi="宋体" w:eastAsia="宋体" w:cs="宋体"/>
          <w:color w:val="auto"/>
          <w:sz w:val="24"/>
          <w:szCs w:val="24"/>
          <w:highlight w:val="none"/>
        </w:rPr>
        <w:t>至</w:t>
      </w:r>
      <w:r>
        <w:rPr>
          <w:rFonts w:hint="eastAsia" w:ascii="宋体" w:hAnsi="宋体" w:cs="宋体"/>
          <w:bCs/>
          <w:color w:val="auto"/>
          <w:sz w:val="24"/>
          <w:szCs w:val="24"/>
          <w:highlight w:val="none"/>
          <w:lang w:val="en-US" w:eastAsia="zh-CN"/>
        </w:rPr>
        <w:t>2025年4月28日</w:t>
      </w:r>
      <w:r>
        <w:rPr>
          <w:rFonts w:hint="eastAsia" w:ascii="宋体" w:hAnsi="宋体" w:eastAsia="宋体" w:cs="宋体"/>
          <w:color w:val="auto"/>
          <w:sz w:val="24"/>
          <w:szCs w:val="24"/>
          <w:highlight w:val="none"/>
        </w:rPr>
        <w:t>(节假日除外)上午8：30至12：00，下午2：00至5：30（北京时间）在</w:t>
      </w:r>
      <w:r>
        <w:rPr>
          <w:rFonts w:hint="eastAsia" w:ascii="宋体" w:hAnsi="宋体" w:eastAsia="宋体" w:cs="宋体"/>
          <w:b/>
          <w:bCs/>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购买招标文件，联系人及电话：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14:paraId="3A8199B7">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4、招标文件售价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，售后不退。</w:t>
      </w:r>
    </w:p>
    <w:p w14:paraId="2EC84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5、投标截止时间、地点：投标文件应于</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日上午9：00（北京时间）之前提交到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。逾期收到的或不符合规定的投标文件将被拒绝。</w:t>
      </w:r>
    </w:p>
    <w:p w14:paraId="05B5A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6、开标时间、地点: </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日上午9：00</w:t>
      </w:r>
      <w:r>
        <w:rPr>
          <w:rFonts w:hint="eastAsia" w:ascii="宋体" w:hAnsi="宋体" w:eastAsia="宋体" w:cs="宋体"/>
          <w:color w:val="auto"/>
          <w:sz w:val="24"/>
          <w:szCs w:val="24"/>
          <w:highlight w:val="none"/>
        </w:rPr>
        <w:t>（北京时间）于</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w:t>
      </w:r>
    </w:p>
    <w:p w14:paraId="45F8E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7、本项目（不接受）联合体投标。</w:t>
      </w:r>
    </w:p>
    <w:p w14:paraId="7E077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8、招标文件如有变更，</w:t>
      </w: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bCs/>
          <w:color w:val="auto"/>
          <w:sz w:val="24"/>
          <w:szCs w:val="24"/>
          <w:highlight w:val="none"/>
        </w:rPr>
        <w:t>将通过厦门招投标网（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）等媒体发布通知信息，请投标人关注</w:t>
      </w:r>
      <w:r>
        <w:rPr>
          <w:rFonts w:hint="eastAsia" w:ascii="宋体" w:hAnsi="宋体" w:eastAsia="宋体" w:cs="宋体"/>
          <w:color w:val="auto"/>
          <w:sz w:val="24"/>
          <w:szCs w:val="24"/>
          <w:highlight w:val="none"/>
        </w:rPr>
        <w:t>。</w:t>
      </w:r>
    </w:p>
    <w:p w14:paraId="078A42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9、友情提醒：本项目仅限网下购买招标文件，投标人必须按招标文件要求递交纸质投标文件。 </w:t>
      </w:r>
    </w:p>
    <w:p w14:paraId="74C3D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10、投标人对本次招标活动事项提出疑问的，请在投标截止时间十五日之前，与招标代理机构联系。来函请加盖单位公章，并提供联系人、联系电话及传真号码。</w:t>
      </w:r>
    </w:p>
    <w:p w14:paraId="60BA50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11、为方便开标唱标，投标人应将开标一览表原件和投标保证金缴交凭证单独密封，并在信封上标明“开标一览表”字样，然后再装入投标文件密封袋中密封。</w:t>
      </w:r>
    </w:p>
    <w:p w14:paraId="5BF87A97">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12、各有关联系方式</w:t>
      </w:r>
    </w:p>
    <w:tbl>
      <w:tblPr>
        <w:tblStyle w:val="13"/>
        <w:tblW w:w="92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544"/>
        <w:gridCol w:w="1178"/>
        <w:gridCol w:w="2784"/>
        <w:gridCol w:w="2961"/>
      </w:tblGrid>
      <w:tr w14:paraId="4AAA56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7" w:type="dxa"/>
            <w:noWrap w:val="0"/>
            <w:vAlign w:val="center"/>
          </w:tcPr>
          <w:p w14:paraId="3C4C1D86">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544" w:type="dxa"/>
            <w:noWrap w:val="0"/>
            <w:vAlign w:val="center"/>
          </w:tcPr>
          <w:p w14:paraId="0311ED50">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78" w:type="dxa"/>
            <w:noWrap w:val="0"/>
            <w:vAlign w:val="center"/>
          </w:tcPr>
          <w:p w14:paraId="364D5EAF">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784" w:type="dxa"/>
            <w:noWrap w:val="0"/>
            <w:vAlign w:val="center"/>
          </w:tcPr>
          <w:p w14:paraId="40E6E733">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961" w:type="dxa"/>
            <w:noWrap w:val="0"/>
            <w:vAlign w:val="center"/>
          </w:tcPr>
          <w:p w14:paraId="1B2FDBC3">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3921B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0E558FB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44" w:type="dxa"/>
            <w:noWrap w:val="0"/>
            <w:vAlign w:val="center"/>
          </w:tcPr>
          <w:p w14:paraId="3B46A7F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78" w:type="dxa"/>
            <w:noWrap w:val="0"/>
            <w:vAlign w:val="center"/>
          </w:tcPr>
          <w:p w14:paraId="15DCF38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卢小姐</w:t>
            </w:r>
          </w:p>
          <w:p w14:paraId="6EF100F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黄小姐</w:t>
            </w:r>
          </w:p>
        </w:tc>
        <w:tc>
          <w:tcPr>
            <w:tcW w:w="2784" w:type="dxa"/>
            <w:noWrap w:val="0"/>
            <w:vAlign w:val="center"/>
          </w:tcPr>
          <w:p w14:paraId="006752A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961" w:type="dxa"/>
            <w:noWrap w:val="0"/>
            <w:vAlign w:val="center"/>
          </w:tcPr>
          <w:p w14:paraId="691712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0592-5701518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5721295</w:t>
            </w:r>
          </w:p>
          <w:p w14:paraId="1EEEC90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613B0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304BE35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44" w:type="dxa"/>
            <w:noWrap w:val="0"/>
            <w:vAlign w:val="center"/>
          </w:tcPr>
          <w:p w14:paraId="7FF6AD9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售标</w:t>
            </w:r>
          </w:p>
        </w:tc>
        <w:tc>
          <w:tcPr>
            <w:tcW w:w="1178" w:type="dxa"/>
            <w:noWrap w:val="0"/>
            <w:vAlign w:val="center"/>
          </w:tcPr>
          <w:p w14:paraId="4527EBD8">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784" w:type="dxa"/>
            <w:noWrap w:val="0"/>
            <w:vAlign w:val="center"/>
          </w:tcPr>
          <w:p w14:paraId="0067666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负责受理招标文件出售（邮寄）</w:t>
            </w:r>
          </w:p>
        </w:tc>
        <w:tc>
          <w:tcPr>
            <w:tcW w:w="2961" w:type="dxa"/>
            <w:noWrap w:val="0"/>
            <w:vAlign w:val="center"/>
          </w:tcPr>
          <w:p w14:paraId="682C4C3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0DE499FD">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78A04B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6BDC1B2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44" w:type="dxa"/>
            <w:noWrap w:val="0"/>
            <w:vAlign w:val="center"/>
          </w:tcPr>
          <w:p w14:paraId="238599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178" w:type="dxa"/>
            <w:noWrap w:val="0"/>
            <w:vAlign w:val="center"/>
          </w:tcPr>
          <w:p w14:paraId="3399F66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784" w:type="dxa"/>
            <w:noWrap w:val="0"/>
            <w:vAlign w:val="center"/>
          </w:tcPr>
          <w:p w14:paraId="6291E8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投标保证金收、退</w:t>
            </w:r>
          </w:p>
        </w:tc>
        <w:tc>
          <w:tcPr>
            <w:tcW w:w="2961" w:type="dxa"/>
            <w:noWrap w:val="0"/>
            <w:vAlign w:val="center"/>
          </w:tcPr>
          <w:p w14:paraId="41BE62D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5E7771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039DC60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44" w:type="dxa"/>
            <w:noWrap w:val="0"/>
            <w:vAlign w:val="center"/>
          </w:tcPr>
          <w:p w14:paraId="488B469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78" w:type="dxa"/>
            <w:noWrap w:val="0"/>
            <w:vAlign w:val="center"/>
          </w:tcPr>
          <w:p w14:paraId="193BC17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784" w:type="dxa"/>
            <w:noWrap w:val="0"/>
            <w:vAlign w:val="center"/>
          </w:tcPr>
          <w:p w14:paraId="757E2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文件费、投标保证金到账咨询</w:t>
            </w:r>
          </w:p>
        </w:tc>
        <w:tc>
          <w:tcPr>
            <w:tcW w:w="2961" w:type="dxa"/>
            <w:noWrap w:val="0"/>
            <w:vAlign w:val="center"/>
          </w:tcPr>
          <w:p w14:paraId="7439FB9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54260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1902B71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544" w:type="dxa"/>
            <w:noWrap w:val="0"/>
            <w:vAlign w:val="center"/>
          </w:tcPr>
          <w:p w14:paraId="45726F8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78" w:type="dxa"/>
            <w:noWrap w:val="0"/>
            <w:vAlign w:val="center"/>
          </w:tcPr>
          <w:p w14:paraId="559C04D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784" w:type="dxa"/>
            <w:noWrap w:val="0"/>
            <w:vAlign w:val="center"/>
          </w:tcPr>
          <w:p w14:paraId="2FFCDF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961" w:type="dxa"/>
            <w:noWrap w:val="0"/>
            <w:vAlign w:val="center"/>
          </w:tcPr>
          <w:p w14:paraId="1620041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54BA2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125F023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544" w:type="dxa"/>
            <w:noWrap w:val="0"/>
            <w:vAlign w:val="center"/>
          </w:tcPr>
          <w:p w14:paraId="5BF9EC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78" w:type="dxa"/>
            <w:noWrap w:val="0"/>
            <w:vAlign w:val="center"/>
          </w:tcPr>
          <w:p w14:paraId="360DECE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784" w:type="dxa"/>
            <w:noWrap w:val="0"/>
            <w:vAlign w:val="center"/>
          </w:tcPr>
          <w:p w14:paraId="5943F20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欢迎投标人对项目采购过程中公告发布、招标文件购买、投标保证金缴交和退还、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收取、中标通知书发放等环节的服务进行监督。我们将竭诚为您提供最优质的服务。</w:t>
            </w:r>
          </w:p>
        </w:tc>
        <w:tc>
          <w:tcPr>
            <w:tcW w:w="2961" w:type="dxa"/>
            <w:noWrap w:val="0"/>
            <w:vAlign w:val="center"/>
          </w:tcPr>
          <w:p w14:paraId="618D6C1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06900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3AB06EB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544" w:type="dxa"/>
            <w:noWrap w:val="0"/>
            <w:vAlign w:val="center"/>
          </w:tcPr>
          <w:p w14:paraId="6FE0CA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78" w:type="dxa"/>
            <w:noWrap w:val="0"/>
            <w:vAlign w:val="center"/>
          </w:tcPr>
          <w:p w14:paraId="593500C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刘经理</w:t>
            </w:r>
          </w:p>
        </w:tc>
        <w:tc>
          <w:tcPr>
            <w:tcW w:w="2784" w:type="dxa"/>
            <w:noWrap w:val="0"/>
            <w:vAlign w:val="center"/>
          </w:tcPr>
          <w:p w14:paraId="444C3EA1">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961" w:type="dxa"/>
            <w:noWrap w:val="0"/>
            <w:vAlign w:val="center"/>
          </w:tcPr>
          <w:p w14:paraId="751254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电话0592-2218761</w:t>
            </w:r>
          </w:p>
          <w:p w14:paraId="711843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14:paraId="77B811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lmf</w:t>
            </w:r>
            <w:r>
              <w:rPr>
                <w:rFonts w:hint="eastAsia" w:ascii="宋体" w:hAnsi="宋体" w:eastAsia="宋体" w:cs="宋体"/>
                <w:color w:val="auto"/>
                <w:sz w:val="24"/>
                <w:szCs w:val="24"/>
                <w:highlight w:val="none"/>
              </w:rPr>
              <w:t>@iport.com.cn</w:t>
            </w:r>
          </w:p>
          <w:p w14:paraId="4AFB4FF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bl>
    <w:p w14:paraId="588B3F47">
      <w:pPr>
        <w:keepNext w:val="0"/>
        <w:keepLines w:val="0"/>
        <w:pageBreakBefore w:val="0"/>
        <w:widowControl w:val="0"/>
        <w:tabs>
          <w:tab w:val="left" w:pos="1140"/>
        </w:tabs>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3"/>
        <w:tblW w:w="92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47"/>
        <w:gridCol w:w="7612"/>
      </w:tblGrid>
      <w:tr w14:paraId="461B2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647" w:type="dxa"/>
            <w:noWrap w:val="0"/>
            <w:vAlign w:val="center"/>
          </w:tcPr>
          <w:p w14:paraId="02490BE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612" w:type="dxa"/>
            <w:noWrap w:val="0"/>
            <w:vAlign w:val="center"/>
          </w:tcPr>
          <w:p w14:paraId="44664AC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668D1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647" w:type="dxa"/>
            <w:noWrap w:val="0"/>
            <w:vAlign w:val="center"/>
          </w:tcPr>
          <w:p w14:paraId="289370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612" w:type="dxa"/>
            <w:noWrap w:val="0"/>
            <w:vAlign w:val="center"/>
          </w:tcPr>
          <w:p w14:paraId="3BDD6F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405842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647" w:type="dxa"/>
            <w:noWrap w:val="0"/>
            <w:vAlign w:val="center"/>
          </w:tcPr>
          <w:p w14:paraId="5454EC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612" w:type="dxa"/>
            <w:noWrap w:val="0"/>
            <w:vAlign w:val="center"/>
          </w:tcPr>
          <w:p w14:paraId="178ADC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61AED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647" w:type="dxa"/>
            <w:noWrap w:val="0"/>
            <w:vAlign w:val="center"/>
          </w:tcPr>
          <w:p w14:paraId="65A1C1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612" w:type="dxa"/>
            <w:noWrap w:val="0"/>
            <w:vAlign w:val="center"/>
          </w:tcPr>
          <w:p w14:paraId="6F043D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1BDCB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注：投标人须将相关的费用缴交至上表对应的账号，缴错账号而产生的一切后果由投标人自行承担。</w:t>
      </w:r>
    </w:p>
    <w:p w14:paraId="311D2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14、注意事项：</w:t>
      </w:r>
    </w:p>
    <w:p w14:paraId="4FF40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（1）有意向的潜在投标人发邮件至wxsb@iport.com.cn索取招标文件购买登记表。</w:t>
      </w:r>
    </w:p>
    <w:p w14:paraId="0763F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（2）建议采用电汇或网银购买招标文件，请投标人付款时务必注明“招标编号+用途”（比如：XM</w:t>
      </w:r>
      <w:r>
        <w:rPr>
          <w:rFonts w:hint="eastAsia" w:ascii="宋体" w:hAnsi="宋体" w:cs="宋体"/>
          <w:color w:val="auto"/>
          <w:sz w:val="24"/>
          <w:szCs w:val="24"/>
          <w:highlight w:val="none"/>
          <w:lang w:val="en-US" w:eastAsia="zh-CN"/>
        </w:rPr>
        <w:t>2025</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TZ5</w:t>
      </w:r>
      <w:r>
        <w:rPr>
          <w:rFonts w:hint="default" w:ascii="宋体" w:hAnsi="宋体" w:cs="宋体"/>
          <w:color w:val="auto"/>
          <w:sz w:val="24"/>
          <w:szCs w:val="24"/>
          <w:highlight w:val="none"/>
          <w:lang w:val="en-US" w:eastAsia="zh-CN"/>
        </w:rPr>
        <w:t>0</w:t>
      </w:r>
      <w:r>
        <w:rPr>
          <w:rFonts w:hint="default" w:ascii="宋体" w:hAnsi="宋体" w:cs="宋体"/>
          <w:color w:val="auto"/>
          <w:sz w:val="24"/>
          <w:szCs w:val="24"/>
          <w:highlight w:val="none"/>
          <w:lang w:eastAsia="zh-CN"/>
        </w:rPr>
        <w:t>93</w:t>
      </w:r>
      <w:r>
        <w:rPr>
          <w:rFonts w:hint="default" w:ascii="宋体" w:hAnsi="宋体" w:cs="宋体"/>
          <w:color w:val="auto"/>
          <w:sz w:val="24"/>
          <w:szCs w:val="24"/>
          <w:highlight w:val="none"/>
          <w:lang w:val="en-US" w:eastAsia="zh-CN"/>
        </w:rPr>
        <w:t>文件费）。</w:t>
      </w:r>
    </w:p>
    <w:p w14:paraId="6BC87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投标人填好购买登记表后将加盖公章的文件购买登记表扫描件及文件购买付款凭证发至wxsb@iport.com.cn进行购买登记，收到登记资料后发送招标文件电子版，如需纸质版，招标代理机构可以邮寄，邮费需到付。</w:t>
      </w:r>
    </w:p>
    <w:p w14:paraId="1B056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（4）文件费及项目中标供应商服务费等发票均以邮件方式发送至购标指定邮箱。</w:t>
      </w:r>
    </w:p>
    <w:p w14:paraId="77FB8EAE">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7222F8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招标代理机构：厦门万翔招标有限公司</w:t>
      </w:r>
    </w:p>
    <w:p w14:paraId="148633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址：厦门市湖里区机场北路476号四楼 </w:t>
      </w:r>
    </w:p>
    <w:p w14:paraId="7B60BE78">
      <w:pPr>
        <w:tabs>
          <w:tab w:val="left" w:pos="2775"/>
        </w:tabs>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 361006</w:t>
      </w:r>
    </w:p>
    <w:p w14:paraId="1C51CEBA">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069EBAA0">
      <w:pPr>
        <w:spacing w:line="360" w:lineRule="auto"/>
        <w:rPr>
          <w:rFonts w:hint="eastAsia" w:ascii="宋体" w:hAnsi="宋体" w:eastAsia="宋体" w:cs="宋体"/>
          <w:color w:val="auto"/>
          <w:sz w:val="24"/>
          <w:szCs w:val="24"/>
          <w:highlight w:val="none"/>
        </w:rPr>
      </w:pPr>
    </w:p>
    <w:p w14:paraId="5BFB194D">
      <w:pPr>
        <w:spacing w:line="360" w:lineRule="auto"/>
        <w:rPr>
          <w:rFonts w:hint="eastAsia" w:ascii="宋体" w:hAnsi="宋体" w:eastAsia="宋体" w:cs="宋体"/>
          <w:color w:val="auto"/>
          <w:sz w:val="24"/>
          <w:szCs w:val="24"/>
          <w:highlight w:val="none"/>
        </w:rPr>
      </w:pPr>
    </w:p>
    <w:p w14:paraId="43727764">
      <w:pPr>
        <w:spacing w:line="360" w:lineRule="auto"/>
        <w:rPr>
          <w:rFonts w:hint="eastAsia" w:ascii="宋体" w:hAnsi="宋体" w:eastAsia="宋体" w:cs="宋体"/>
          <w:color w:val="auto"/>
          <w:sz w:val="24"/>
          <w:szCs w:val="24"/>
          <w:highlight w:val="none"/>
        </w:rPr>
      </w:pPr>
    </w:p>
    <w:p w14:paraId="073A273A">
      <w:pPr>
        <w:spacing w:line="360" w:lineRule="auto"/>
        <w:rPr>
          <w:rFonts w:hint="eastAsia" w:ascii="宋体" w:hAnsi="宋体" w:eastAsia="宋体" w:cs="宋体"/>
          <w:color w:val="auto"/>
          <w:sz w:val="24"/>
          <w:szCs w:val="24"/>
          <w:highlight w:val="none"/>
        </w:rPr>
      </w:pPr>
    </w:p>
    <w:p w14:paraId="1F9FFB64">
      <w:pPr>
        <w:spacing w:line="360" w:lineRule="auto"/>
        <w:rPr>
          <w:rFonts w:hint="eastAsia" w:ascii="宋体" w:hAnsi="宋体" w:eastAsia="宋体" w:cs="宋体"/>
          <w:color w:val="auto"/>
          <w:sz w:val="24"/>
          <w:szCs w:val="24"/>
          <w:highlight w:val="none"/>
        </w:rPr>
      </w:pPr>
    </w:p>
    <w:p w14:paraId="4E217C44">
      <w:pPr>
        <w:spacing w:line="360" w:lineRule="auto"/>
        <w:rPr>
          <w:rFonts w:hint="eastAsia" w:ascii="宋体" w:hAnsi="宋体" w:eastAsia="宋体" w:cs="宋体"/>
          <w:color w:val="auto"/>
          <w:sz w:val="24"/>
          <w:szCs w:val="24"/>
          <w:highlight w:val="none"/>
        </w:rPr>
      </w:pPr>
    </w:p>
    <w:p w14:paraId="06CD747E">
      <w:pPr>
        <w:spacing w:line="360" w:lineRule="auto"/>
        <w:rPr>
          <w:rFonts w:hint="eastAsia" w:ascii="宋体" w:hAnsi="宋体" w:eastAsia="宋体" w:cs="宋体"/>
          <w:color w:val="auto"/>
          <w:sz w:val="24"/>
          <w:szCs w:val="24"/>
          <w:highlight w:val="none"/>
        </w:rPr>
      </w:pPr>
    </w:p>
    <w:p w14:paraId="7590615D">
      <w:pPr>
        <w:spacing w:line="360" w:lineRule="auto"/>
        <w:rPr>
          <w:rFonts w:hint="eastAsia" w:ascii="宋体" w:hAnsi="宋体" w:eastAsia="宋体" w:cs="宋体"/>
          <w:color w:val="auto"/>
          <w:sz w:val="24"/>
          <w:szCs w:val="24"/>
          <w:highlight w:val="none"/>
        </w:rPr>
      </w:pPr>
    </w:p>
    <w:p w14:paraId="0137B7F9">
      <w:pPr>
        <w:spacing w:line="360" w:lineRule="auto"/>
        <w:rPr>
          <w:rFonts w:hint="eastAsia" w:ascii="宋体" w:hAnsi="宋体" w:eastAsia="宋体" w:cs="宋体"/>
          <w:color w:val="auto"/>
          <w:sz w:val="24"/>
          <w:szCs w:val="24"/>
          <w:highlight w:val="none"/>
        </w:rPr>
      </w:pPr>
    </w:p>
    <w:p w14:paraId="29803AA6">
      <w:pPr>
        <w:spacing w:line="360" w:lineRule="auto"/>
        <w:rPr>
          <w:rFonts w:hint="eastAsia" w:ascii="宋体" w:hAnsi="宋体" w:eastAsia="宋体" w:cs="宋体"/>
          <w:color w:val="auto"/>
          <w:sz w:val="24"/>
          <w:szCs w:val="24"/>
          <w:highlight w:val="none"/>
        </w:rPr>
      </w:pPr>
    </w:p>
    <w:p w14:paraId="28B96091">
      <w:pPr>
        <w:spacing w:line="360" w:lineRule="auto"/>
        <w:rPr>
          <w:rFonts w:hint="eastAsia" w:ascii="宋体" w:hAnsi="宋体" w:eastAsia="宋体" w:cs="宋体"/>
          <w:color w:val="auto"/>
          <w:sz w:val="24"/>
          <w:szCs w:val="24"/>
          <w:highlight w:val="none"/>
        </w:rPr>
      </w:pPr>
    </w:p>
    <w:p w14:paraId="7D53B917">
      <w:pPr>
        <w:spacing w:line="360" w:lineRule="auto"/>
        <w:rPr>
          <w:rFonts w:hint="eastAsia" w:ascii="宋体" w:hAnsi="宋体" w:eastAsia="宋体" w:cs="宋体"/>
          <w:color w:val="auto"/>
          <w:sz w:val="24"/>
          <w:szCs w:val="24"/>
          <w:highlight w:val="none"/>
        </w:rPr>
      </w:pPr>
    </w:p>
    <w:p w14:paraId="352930A1">
      <w:pPr>
        <w:spacing w:line="360" w:lineRule="auto"/>
        <w:rPr>
          <w:rFonts w:hint="eastAsia" w:ascii="宋体" w:hAnsi="宋体" w:eastAsia="宋体" w:cs="宋体"/>
          <w:color w:val="auto"/>
          <w:sz w:val="24"/>
          <w:szCs w:val="24"/>
          <w:highlight w:val="none"/>
        </w:rPr>
      </w:pPr>
    </w:p>
    <w:p w14:paraId="34B079FF">
      <w:pPr>
        <w:spacing w:line="360" w:lineRule="auto"/>
        <w:rPr>
          <w:rFonts w:hint="eastAsia" w:ascii="宋体" w:hAnsi="宋体" w:eastAsia="宋体" w:cs="宋体"/>
          <w:color w:val="auto"/>
          <w:sz w:val="24"/>
          <w:szCs w:val="24"/>
          <w:highlight w:val="none"/>
        </w:rPr>
      </w:pPr>
    </w:p>
    <w:p w14:paraId="5CE68AAC">
      <w:pPr>
        <w:spacing w:line="360" w:lineRule="auto"/>
        <w:rPr>
          <w:rFonts w:hint="eastAsia" w:ascii="宋体" w:hAnsi="宋体" w:eastAsia="宋体" w:cs="宋体"/>
          <w:color w:val="auto"/>
          <w:sz w:val="24"/>
          <w:szCs w:val="24"/>
          <w:highlight w:val="none"/>
        </w:rPr>
      </w:pPr>
    </w:p>
    <w:p w14:paraId="5068A04E">
      <w:pPr>
        <w:spacing w:line="360" w:lineRule="auto"/>
        <w:rPr>
          <w:rFonts w:hint="eastAsia" w:ascii="宋体" w:hAnsi="宋体" w:eastAsia="宋体" w:cs="宋体"/>
          <w:color w:val="auto"/>
          <w:sz w:val="24"/>
          <w:szCs w:val="24"/>
          <w:highlight w:val="none"/>
        </w:rPr>
      </w:pPr>
    </w:p>
    <w:p w14:paraId="13529D3D">
      <w:pPr>
        <w:spacing w:line="360" w:lineRule="auto"/>
        <w:rPr>
          <w:rFonts w:hint="eastAsia" w:ascii="宋体" w:hAnsi="宋体" w:eastAsia="宋体" w:cs="宋体"/>
          <w:color w:val="auto"/>
          <w:sz w:val="24"/>
          <w:szCs w:val="24"/>
          <w:highlight w:val="none"/>
        </w:rPr>
      </w:pPr>
    </w:p>
    <w:p w14:paraId="42C62746">
      <w:pPr>
        <w:spacing w:line="360" w:lineRule="auto"/>
        <w:rPr>
          <w:rFonts w:hint="eastAsia" w:ascii="宋体" w:hAnsi="宋体" w:eastAsia="宋体" w:cs="宋体"/>
          <w:color w:val="auto"/>
          <w:sz w:val="24"/>
          <w:szCs w:val="24"/>
          <w:highlight w:val="none"/>
        </w:rPr>
        <w:sectPr>
          <w:footerReference r:id="rId6" w:type="default"/>
          <w:pgSz w:w="11906" w:h="16838"/>
          <w:pgMar w:top="1440" w:right="1106" w:bottom="1290" w:left="1800" w:header="851" w:footer="992" w:gutter="0"/>
          <w:pgNumType w:fmt="decimal"/>
          <w:cols w:space="720" w:num="1"/>
          <w:docGrid w:type="lines" w:linePitch="312" w:charSpace="0"/>
        </w:sectPr>
      </w:pPr>
    </w:p>
    <w:p w14:paraId="246781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附：招标服务一览表 </w:t>
      </w:r>
    </w:p>
    <w:p w14:paraId="416279C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招标服务一览表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78"/>
        <w:gridCol w:w="1846"/>
        <w:gridCol w:w="935"/>
        <w:gridCol w:w="1323"/>
        <w:gridCol w:w="1507"/>
        <w:gridCol w:w="1422"/>
      </w:tblGrid>
      <w:tr w14:paraId="1881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0ED740AF">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6DB52355">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品目号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45DBE8D">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668C9D8B">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FABC244">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主要技术规格</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3F753E63">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服务地点</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D124E2D">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服务时间</w:t>
            </w:r>
          </w:p>
        </w:tc>
      </w:tr>
      <w:tr w14:paraId="2964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436D79D0">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XM2025-TZ5093</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71DC2909">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353F24D">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厦门市科学技术局2025年科技展会会务服务工作</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7BA78825">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F044E45">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详见招标内容及要求</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34AFC87">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采购人指定地点</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56B743B">
            <w:pPr>
              <w:pStyle w:val="5"/>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详见招标内容及要求</w:t>
            </w:r>
          </w:p>
        </w:tc>
      </w:tr>
    </w:tbl>
    <w:p w14:paraId="1FE1075F">
      <w:pPr>
        <w:pStyle w:val="6"/>
        <w:keepNext w:val="0"/>
        <w:keepLines w:val="0"/>
        <w:pageBreakBefore w:val="0"/>
        <w:widowControl w:val="0"/>
        <w:tabs>
          <w:tab w:val="left" w:pos="8360"/>
        </w:tabs>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注：投标人可按合同包投标，对同一合同包内所有品目号内容投标时必须完整。评标与授标以合同包为单位。</w:t>
      </w:r>
    </w:p>
    <w:p w14:paraId="3FE45C45">
      <w:pPr>
        <w:pStyle w:val="4"/>
        <w:spacing w:line="360" w:lineRule="auto"/>
        <w:ind w:firstLine="0"/>
        <w:rPr>
          <w:rFonts w:hint="eastAsia" w:ascii="宋体" w:hAnsi="宋体" w:eastAsia="宋体" w:cs="宋体"/>
          <w:b/>
          <w:color w:val="auto"/>
          <w:sz w:val="24"/>
          <w:szCs w:val="24"/>
          <w:highlight w:val="none"/>
        </w:rPr>
        <w:sectPr>
          <w:pgSz w:w="11906" w:h="16838"/>
          <w:pgMar w:top="1440" w:right="1106" w:bottom="1290" w:left="1800" w:header="851" w:footer="992" w:gutter="0"/>
          <w:pgNumType w:fmt="decimal"/>
          <w:cols w:space="720" w:num="1"/>
          <w:docGrid w:type="lines" w:linePitch="312" w:charSpace="0"/>
        </w:sectPr>
      </w:pPr>
    </w:p>
    <w:p w14:paraId="2B6B1616">
      <w:pPr>
        <w:pStyle w:val="17"/>
        <w:spacing w:line="360" w:lineRule="auto"/>
        <w:jc w:val="center"/>
        <w:outlineLvl w:val="0"/>
        <w:rPr>
          <w:rFonts w:hint="eastAsia" w:hAnsi="宋体" w:eastAsia="宋体" w:cs="宋体"/>
          <w:b/>
          <w:color w:val="auto"/>
          <w:sz w:val="32"/>
          <w:szCs w:val="32"/>
          <w:highlight w:val="none"/>
        </w:rPr>
      </w:pPr>
      <w:bookmarkStart w:id="9" w:name="_Toc707352312"/>
      <w:bookmarkStart w:id="10" w:name="_Toc12890"/>
      <w:bookmarkStart w:id="11" w:name="_Toc560933521"/>
      <w:r>
        <w:rPr>
          <w:rFonts w:hint="eastAsia" w:hAnsi="宋体" w:eastAsia="宋体" w:cs="宋体"/>
          <w:b/>
          <w:color w:val="auto"/>
          <w:sz w:val="32"/>
          <w:szCs w:val="32"/>
          <w:highlight w:val="none"/>
        </w:rPr>
        <w:t>第二章  投标人须知</w:t>
      </w:r>
      <w:bookmarkEnd w:id="9"/>
      <w:bookmarkEnd w:id="10"/>
      <w:bookmarkEnd w:id="11"/>
    </w:p>
    <w:p w14:paraId="2DA42DD5">
      <w:pPr>
        <w:pStyle w:val="17"/>
        <w:spacing w:line="360" w:lineRule="auto"/>
        <w:jc w:val="center"/>
        <w:outlineLvl w:val="1"/>
        <w:rPr>
          <w:rFonts w:hint="eastAsia" w:hAnsi="宋体" w:eastAsia="宋体" w:cs="宋体"/>
          <w:color w:val="auto"/>
          <w:sz w:val="24"/>
          <w:szCs w:val="24"/>
          <w:highlight w:val="none"/>
        </w:rPr>
      </w:pPr>
      <w:bookmarkStart w:id="12" w:name="_Toc1226137657"/>
      <w:bookmarkStart w:id="13" w:name="_Toc1861776500"/>
      <w:r>
        <w:rPr>
          <w:rFonts w:hint="eastAsia" w:hAnsi="宋体" w:eastAsia="宋体" w:cs="宋体"/>
          <w:b/>
          <w:color w:val="auto"/>
          <w:sz w:val="32"/>
          <w:szCs w:val="32"/>
          <w:highlight w:val="none"/>
        </w:rPr>
        <w:t>投标人须知前附表1</w:t>
      </w:r>
      <w:bookmarkEnd w:id="12"/>
      <w:bookmarkEnd w:id="13"/>
    </w:p>
    <w:p w14:paraId="5ABB05C6">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本须知前附表1的条款号是与《投标人须知》中条款的项号相对应的。如有矛盾，应以本须知前附表为准。 </w:t>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2A09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top"/>
          </w:tcPr>
          <w:p w14:paraId="794DB8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080" w:type="dxa"/>
            <w:noWrap w:val="0"/>
            <w:vAlign w:val="top"/>
          </w:tcPr>
          <w:p w14:paraId="3FF1A4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380" w:type="dxa"/>
            <w:noWrap w:val="0"/>
            <w:vAlign w:val="top"/>
          </w:tcPr>
          <w:p w14:paraId="4B329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7CFA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center"/>
          </w:tcPr>
          <w:p w14:paraId="208BD1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noWrap w:val="0"/>
            <w:vAlign w:val="center"/>
          </w:tcPr>
          <w:p w14:paraId="364341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380" w:type="dxa"/>
            <w:noWrap w:val="0"/>
            <w:vAlign w:val="center"/>
          </w:tcPr>
          <w:p w14:paraId="694499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项目名称：厦门市科学技术局2025年科技展会会务服务工作 </w:t>
            </w:r>
          </w:p>
          <w:p w14:paraId="20AF94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采购人名称：厦门市科学技术局</w:t>
            </w:r>
          </w:p>
          <w:p w14:paraId="34C3ED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项目内容：厦门市科学技术局2025年科技展会会务服务工作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数量：1项</w:t>
            </w:r>
            <w:r>
              <w:rPr>
                <w:rFonts w:hint="eastAsia" w:ascii="宋体" w:hAnsi="宋体" w:eastAsia="宋体" w:cs="宋体"/>
                <w:color w:val="auto"/>
                <w:sz w:val="24"/>
                <w:szCs w:val="24"/>
                <w:highlight w:val="none"/>
              </w:rPr>
              <w:t xml:space="preserve"> </w:t>
            </w:r>
          </w:p>
          <w:p w14:paraId="0FC4793D">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XM2025-TZ5093</w:t>
            </w:r>
          </w:p>
        </w:tc>
      </w:tr>
      <w:tr w14:paraId="2AA9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14:paraId="4F3AD8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noWrap w:val="0"/>
            <w:vAlign w:val="center"/>
          </w:tcPr>
          <w:p w14:paraId="167BBA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80" w:type="dxa"/>
            <w:noWrap w:val="0"/>
            <w:vAlign w:val="center"/>
          </w:tcPr>
          <w:p w14:paraId="7B8758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464B64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详见第二章《投标人须知》第3条，以及第三章《招标内容及要求》有关内容。</w:t>
            </w:r>
          </w:p>
        </w:tc>
      </w:tr>
      <w:tr w14:paraId="7536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1AD1A1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noWrap w:val="0"/>
            <w:vAlign w:val="center"/>
          </w:tcPr>
          <w:p w14:paraId="1CB5EF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380" w:type="dxa"/>
            <w:noWrap w:val="0"/>
            <w:vAlign w:val="center"/>
          </w:tcPr>
          <w:p w14:paraId="31ABF2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537C9F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有效期不足将导致其投标文件被拒绝。</w:t>
            </w:r>
          </w:p>
        </w:tc>
      </w:tr>
      <w:tr w14:paraId="58C2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04B722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80" w:type="dxa"/>
            <w:noWrap w:val="0"/>
            <w:vAlign w:val="center"/>
          </w:tcPr>
          <w:p w14:paraId="3C935AA2">
            <w:pPr>
              <w:spacing w:line="360" w:lineRule="auto"/>
              <w:jc w:val="center"/>
              <w:rPr>
                <w:rFonts w:hint="eastAsia" w:ascii="宋体" w:hAnsi="宋体" w:eastAsia="宋体" w:cs="宋体"/>
                <w:color w:val="auto"/>
                <w:sz w:val="24"/>
                <w:szCs w:val="24"/>
                <w:highlight w:val="none"/>
              </w:rPr>
            </w:pPr>
          </w:p>
        </w:tc>
        <w:tc>
          <w:tcPr>
            <w:tcW w:w="7380" w:type="dxa"/>
            <w:noWrap w:val="0"/>
            <w:vAlign w:val="center"/>
          </w:tcPr>
          <w:p w14:paraId="0FDE808F">
            <w:pPr>
              <w:widowControl/>
              <w:spacing w:line="360" w:lineRule="auto"/>
              <w:jc w:val="left"/>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投标文件递交地址：</w:t>
            </w:r>
            <w:r>
              <w:rPr>
                <w:rFonts w:hint="eastAsia" w:ascii="宋体" w:hAnsi="宋体" w:eastAsia="宋体" w:cs="宋体"/>
                <w:b/>
                <w:color w:val="auto"/>
                <w:sz w:val="24"/>
                <w:szCs w:val="24"/>
                <w:highlight w:val="none"/>
                <w:u w:val="single"/>
              </w:rPr>
              <w:t>厦门市湖里区机场北路476号四楼开标厅</w:t>
            </w:r>
          </w:p>
          <w:p w14:paraId="0AE3937C">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接收人：</w:t>
            </w:r>
            <w:r>
              <w:rPr>
                <w:rFonts w:hint="eastAsia" w:ascii="宋体" w:hAnsi="宋体" w:cs="宋体"/>
                <w:color w:val="auto"/>
                <w:kern w:val="0"/>
                <w:sz w:val="24"/>
                <w:szCs w:val="24"/>
                <w:highlight w:val="none"/>
                <w:lang w:val="en-US" w:eastAsia="zh-CN"/>
              </w:rPr>
              <w:t>卢小姐、黄小姐</w:t>
            </w:r>
          </w:p>
        </w:tc>
      </w:tr>
      <w:tr w14:paraId="4901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 w:type="dxa"/>
            <w:noWrap w:val="0"/>
            <w:vAlign w:val="center"/>
          </w:tcPr>
          <w:p w14:paraId="610086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80" w:type="dxa"/>
            <w:noWrap w:val="0"/>
            <w:vAlign w:val="center"/>
          </w:tcPr>
          <w:p w14:paraId="4074B4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80" w:type="dxa"/>
            <w:noWrap w:val="0"/>
            <w:vAlign w:val="center"/>
          </w:tcPr>
          <w:p w14:paraId="0609BBA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cs="宋体"/>
                <w:color w:val="auto"/>
                <w:sz w:val="24"/>
                <w:szCs w:val="24"/>
                <w:highlight w:val="none"/>
                <w:u w:val="single"/>
                <w:lang w:val="en-US" w:eastAsia="zh-CN"/>
              </w:rPr>
              <w:t>无</w:t>
            </w:r>
          </w:p>
        </w:tc>
      </w:tr>
      <w:tr w14:paraId="3ED6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 w:type="dxa"/>
            <w:noWrap w:val="0"/>
            <w:vAlign w:val="center"/>
          </w:tcPr>
          <w:p w14:paraId="49AE4F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80" w:type="dxa"/>
            <w:noWrap w:val="0"/>
            <w:vAlign w:val="center"/>
          </w:tcPr>
          <w:p w14:paraId="13AFFC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380" w:type="dxa"/>
            <w:noWrap w:val="0"/>
            <w:vAlign w:val="center"/>
          </w:tcPr>
          <w:p w14:paraId="2FDEA5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投标文件份数：正本一份、副本四份</w:t>
            </w:r>
          </w:p>
        </w:tc>
      </w:tr>
      <w:tr w14:paraId="69AD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69D9FC3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80" w:type="dxa"/>
            <w:noWrap w:val="0"/>
            <w:vAlign w:val="center"/>
          </w:tcPr>
          <w:p w14:paraId="2B5878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7380" w:type="dxa"/>
            <w:noWrap w:val="0"/>
            <w:vAlign w:val="center"/>
          </w:tcPr>
          <w:p w14:paraId="62B7B7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评标方法、标准及定标原则(含推荐中标候选供应商数量)：</w:t>
            </w:r>
          </w:p>
          <w:p w14:paraId="7F86BF9C">
            <w:pPr>
              <w:pStyle w:val="6"/>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详见《投标人须知前附表3》。</w:t>
            </w:r>
          </w:p>
        </w:tc>
      </w:tr>
      <w:tr w14:paraId="66BB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0" w:type="dxa"/>
            <w:noWrap w:val="0"/>
            <w:vAlign w:val="center"/>
          </w:tcPr>
          <w:p w14:paraId="0CEE24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80" w:type="dxa"/>
            <w:noWrap w:val="0"/>
            <w:vAlign w:val="center"/>
          </w:tcPr>
          <w:p w14:paraId="42A5B7D9">
            <w:pPr>
              <w:spacing w:line="360" w:lineRule="auto"/>
              <w:ind w:right="-63" w:rightChars="-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7380" w:type="dxa"/>
            <w:noWrap w:val="0"/>
            <w:vAlign w:val="center"/>
          </w:tcPr>
          <w:p w14:paraId="22CF1D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23F413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收费标准：</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13D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7026C7F3">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2700" w:type="dxa"/>
                  <w:noWrap w:val="0"/>
                  <w:vAlign w:val="top"/>
                </w:tcPr>
                <w:p w14:paraId="778B1618">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338E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5E0A7C8F">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5F19D40A">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654A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595F8E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14:paraId="38DC8DA9">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bl>
          <w:p w14:paraId="055004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的收取按差额定率累进法计算,由中标供应商支付。</w:t>
            </w:r>
            <w:r>
              <w:rPr>
                <w:rFonts w:hint="eastAsia" w:ascii="宋体" w:hAnsi="宋体" w:eastAsia="宋体" w:cs="宋体"/>
                <w:color w:val="auto"/>
                <w:sz w:val="24"/>
                <w:szCs w:val="24"/>
                <w:highlight w:val="none"/>
                <w:lang w:val="en-US" w:eastAsia="zh-CN"/>
              </w:rPr>
              <w:t>若服务费不足3000元，按3000元计取</w:t>
            </w:r>
            <w:r>
              <w:rPr>
                <w:rFonts w:hint="eastAsia" w:ascii="宋体" w:hAnsi="宋体" w:eastAsia="宋体" w:cs="宋体"/>
                <w:color w:val="auto"/>
                <w:sz w:val="24"/>
                <w:szCs w:val="24"/>
                <w:highlight w:val="none"/>
              </w:rPr>
              <w:t>。</w:t>
            </w:r>
          </w:p>
          <w:p w14:paraId="21C3A8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2、中标供应商以转账或汇款方式提交。</w:t>
            </w:r>
          </w:p>
        </w:tc>
      </w:tr>
      <w:tr w14:paraId="6432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2C15A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7E2A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380" w:type="dxa"/>
            <w:tcBorders>
              <w:top w:val="single" w:color="auto" w:sz="4" w:space="0"/>
              <w:left w:val="single" w:color="auto" w:sz="4" w:space="0"/>
              <w:bottom w:val="single" w:color="auto" w:sz="4" w:space="0"/>
              <w:right w:val="single" w:color="auto" w:sz="4" w:space="0"/>
            </w:tcBorders>
            <w:noWrap w:val="0"/>
            <w:vAlign w:val="center"/>
          </w:tcPr>
          <w:p w14:paraId="3194BF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投标人一旦中标，应在规定时间内凭中标通知书原件与采购人签订《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》。中标供应商为中小企业的，</w:t>
            </w:r>
            <w:r>
              <w:rPr>
                <w:rFonts w:hint="eastAsia" w:ascii="宋体" w:hAnsi="宋体" w:eastAsia="宋体" w:cs="宋体"/>
                <w:color w:val="auto"/>
                <w:sz w:val="24"/>
                <w:szCs w:val="24"/>
                <w:highlight w:val="none"/>
                <w:lang w:val="en-US" w:eastAsia="zh-CN"/>
              </w:rPr>
              <w:t>如需支付履约保证金的，</w:t>
            </w:r>
            <w:r>
              <w:rPr>
                <w:rFonts w:hint="eastAsia" w:ascii="宋体" w:hAnsi="宋体" w:eastAsia="宋体" w:cs="宋体"/>
                <w:color w:val="auto"/>
                <w:spacing w:val="0"/>
                <w:sz w:val="24"/>
                <w:szCs w:val="24"/>
                <w:highlight w:val="none"/>
              </w:rPr>
              <w:t>按约定比例的50%支付</w:t>
            </w:r>
            <w:r>
              <w:rPr>
                <w:rFonts w:hint="eastAsia" w:ascii="宋体" w:hAnsi="宋体" w:eastAsia="宋体" w:cs="宋体"/>
                <w:color w:val="auto"/>
                <w:sz w:val="24"/>
                <w:szCs w:val="24"/>
                <w:highlight w:val="none"/>
              </w:rPr>
              <w:t>。</w:t>
            </w:r>
          </w:p>
        </w:tc>
      </w:tr>
      <w:tr w14:paraId="7A5D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EAAA9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4B9966">
            <w:pPr>
              <w:spacing w:line="360" w:lineRule="auto"/>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14:paraId="26AE6F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bl>
    <w:p w14:paraId="3505C312">
      <w:pPr>
        <w:tabs>
          <w:tab w:val="left" w:pos="-1080"/>
          <w:tab w:val="left" w:pos="180"/>
          <w:tab w:val="left" w:pos="1080"/>
        </w:tabs>
        <w:spacing w:line="360" w:lineRule="auto"/>
        <w:rPr>
          <w:rFonts w:hint="eastAsia" w:ascii="宋体" w:hAnsi="宋体" w:eastAsia="宋体" w:cs="宋体"/>
          <w:b/>
          <w:color w:val="auto"/>
          <w:sz w:val="24"/>
          <w:szCs w:val="24"/>
          <w:highlight w:val="none"/>
        </w:rPr>
      </w:pPr>
    </w:p>
    <w:p w14:paraId="3AAD5921">
      <w:pPr>
        <w:spacing w:line="360" w:lineRule="auto"/>
        <w:jc w:val="center"/>
        <w:rPr>
          <w:rFonts w:hint="eastAsia" w:ascii="宋体" w:hAnsi="宋体" w:eastAsia="宋体" w:cs="宋体"/>
          <w:b/>
          <w:bCs/>
          <w:color w:val="auto"/>
          <w:sz w:val="24"/>
          <w:szCs w:val="24"/>
          <w:highlight w:val="none"/>
          <w:u w:val="single"/>
        </w:rPr>
      </w:pPr>
    </w:p>
    <w:p w14:paraId="0A492A31">
      <w:pPr>
        <w:spacing w:line="360" w:lineRule="auto"/>
        <w:jc w:val="center"/>
        <w:rPr>
          <w:rFonts w:hint="eastAsia" w:ascii="宋体" w:hAnsi="宋体" w:eastAsia="宋体" w:cs="宋体"/>
          <w:b/>
          <w:bCs/>
          <w:color w:val="auto"/>
          <w:sz w:val="24"/>
          <w:szCs w:val="24"/>
          <w:highlight w:val="none"/>
          <w:u w:val="single"/>
        </w:rPr>
      </w:pPr>
    </w:p>
    <w:p w14:paraId="0973F42B">
      <w:pPr>
        <w:spacing w:line="360" w:lineRule="auto"/>
        <w:jc w:val="center"/>
        <w:rPr>
          <w:rFonts w:hint="eastAsia" w:ascii="宋体" w:hAnsi="宋体" w:eastAsia="宋体" w:cs="宋体"/>
          <w:b/>
          <w:bCs/>
          <w:color w:val="auto"/>
          <w:sz w:val="24"/>
          <w:szCs w:val="24"/>
          <w:highlight w:val="none"/>
          <w:u w:val="single"/>
        </w:rPr>
      </w:pPr>
    </w:p>
    <w:p w14:paraId="51846C0D">
      <w:pPr>
        <w:spacing w:line="360" w:lineRule="auto"/>
        <w:jc w:val="center"/>
        <w:rPr>
          <w:rFonts w:hint="eastAsia" w:ascii="宋体" w:hAnsi="宋体" w:eastAsia="宋体" w:cs="宋体"/>
          <w:b/>
          <w:bCs/>
          <w:color w:val="auto"/>
          <w:sz w:val="24"/>
          <w:szCs w:val="24"/>
          <w:highlight w:val="none"/>
          <w:u w:val="single"/>
        </w:rPr>
      </w:pPr>
    </w:p>
    <w:p w14:paraId="2C78CB35">
      <w:pPr>
        <w:spacing w:line="360" w:lineRule="auto"/>
        <w:jc w:val="both"/>
        <w:rPr>
          <w:rFonts w:hint="eastAsia" w:ascii="宋体" w:hAnsi="宋体" w:eastAsia="宋体" w:cs="宋体"/>
          <w:b/>
          <w:bCs/>
          <w:color w:val="auto"/>
          <w:sz w:val="24"/>
          <w:szCs w:val="24"/>
          <w:highlight w:val="none"/>
          <w:u w:val="single"/>
        </w:rPr>
      </w:pPr>
    </w:p>
    <w:p w14:paraId="0905482B">
      <w:pPr>
        <w:spacing w:line="360" w:lineRule="auto"/>
        <w:jc w:val="center"/>
        <w:rPr>
          <w:rFonts w:hint="eastAsia" w:ascii="宋体" w:hAnsi="宋体" w:eastAsia="宋体" w:cs="宋体"/>
          <w:b/>
          <w:bCs/>
          <w:color w:val="auto"/>
          <w:sz w:val="32"/>
          <w:szCs w:val="32"/>
          <w:highlight w:val="none"/>
          <w:u w:val="single"/>
        </w:rPr>
        <w:sectPr>
          <w:footerReference r:id="rId7" w:type="default"/>
          <w:pgSz w:w="11907" w:h="16840"/>
          <w:pgMar w:top="1440" w:right="1752" w:bottom="1290" w:left="1752" w:header="851" w:footer="992" w:gutter="0"/>
          <w:pgNumType w:fmt="decimal"/>
          <w:cols w:space="720" w:num="1"/>
          <w:docGrid w:linePitch="323" w:charSpace="-2"/>
        </w:sectPr>
      </w:pPr>
    </w:p>
    <w:p w14:paraId="47985162">
      <w:pPr>
        <w:spacing w:line="360" w:lineRule="auto"/>
        <w:jc w:val="center"/>
        <w:outlineLvl w:val="1"/>
        <w:rPr>
          <w:rFonts w:hint="eastAsia" w:ascii="宋体" w:hAnsi="宋体" w:eastAsia="宋体" w:cs="宋体"/>
          <w:b/>
          <w:bCs/>
          <w:color w:val="auto"/>
          <w:sz w:val="24"/>
          <w:szCs w:val="24"/>
          <w:highlight w:val="none"/>
          <w:u w:val="single"/>
        </w:rPr>
      </w:pPr>
      <w:bookmarkStart w:id="14" w:name="_Toc960640977"/>
      <w:bookmarkStart w:id="15" w:name="_Toc142609720"/>
      <w:r>
        <w:rPr>
          <w:rFonts w:hint="eastAsia" w:ascii="宋体" w:hAnsi="宋体" w:eastAsia="宋体" w:cs="宋体"/>
          <w:b/>
          <w:bCs/>
          <w:color w:val="auto"/>
          <w:sz w:val="32"/>
          <w:szCs w:val="32"/>
          <w:highlight w:val="none"/>
          <w:u w:val="single"/>
        </w:rPr>
        <w:t>投标人须知前附表2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14"/>
      <w:bookmarkEnd w:id="15"/>
    </w:p>
    <w:p w14:paraId="0A851279">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本须知前附表2集中列示了符合性检查的所有条款，其内容是评标委员会在评审过程中判断投标人的投标是否有效的重要依据。</w:t>
      </w:r>
    </w:p>
    <w:tbl>
      <w:tblPr>
        <w:tblStyle w:val="13"/>
        <w:tblW w:w="873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5925"/>
      </w:tblGrid>
      <w:tr w14:paraId="6300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noWrap w:val="0"/>
            <w:vAlign w:val="top"/>
          </w:tcPr>
          <w:p w14:paraId="0633290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53C1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70A786A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14:paraId="3AB8F65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w:t>
            </w:r>
          </w:p>
        </w:tc>
        <w:tc>
          <w:tcPr>
            <w:tcW w:w="696" w:type="dxa"/>
            <w:tcBorders>
              <w:bottom w:val="single" w:color="auto" w:sz="4" w:space="0"/>
            </w:tcBorders>
            <w:noWrap w:val="0"/>
            <w:vAlign w:val="center"/>
          </w:tcPr>
          <w:p w14:paraId="531349D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1422" w:type="dxa"/>
            <w:tcBorders>
              <w:bottom w:val="single" w:color="auto" w:sz="4" w:space="0"/>
            </w:tcBorders>
            <w:noWrap w:val="0"/>
            <w:vAlign w:val="center"/>
          </w:tcPr>
          <w:p w14:paraId="3EA6847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5925" w:type="dxa"/>
            <w:tcBorders>
              <w:bottom w:val="single" w:color="auto" w:sz="4" w:space="0"/>
            </w:tcBorders>
            <w:noWrap w:val="0"/>
            <w:vAlign w:val="center"/>
          </w:tcPr>
          <w:p w14:paraId="61FC04A1">
            <w:pPr>
              <w:tabs>
                <w:tab w:val="left" w:pos="2848"/>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14:paraId="59D0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12E27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14BA1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0777D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EF6DD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w:t>
            </w:r>
          </w:p>
          <w:p w14:paraId="1139ED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具体内容详见第二章第3条“合格的投标人”。</w:t>
            </w:r>
          </w:p>
        </w:tc>
      </w:tr>
      <w:tr w14:paraId="53D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F12E7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33F6D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A263F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0BAF50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295F50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投标人应具备《中华人民共和国政府采购法》第二十二条第一款规定的条件，并提供以下材料：</w:t>
            </w:r>
          </w:p>
          <w:p w14:paraId="7B64E93A">
            <w:pPr>
              <w:spacing w:line="360" w:lineRule="auto"/>
              <w:ind w:firstLine="319" w:firstLineChars="1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7BF923C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投标人是法人或者其他组织的应提供营业执照等证明文件，投标人是自然人的应提供有效的自然人身份证明。</w:t>
            </w:r>
          </w:p>
          <w:p w14:paraId="5D5B95D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（2）投标人已提供加载有统一社会信用代码营业执照的，视为已提供税务登记证和组织机构代码证。</w:t>
            </w:r>
          </w:p>
          <w:p w14:paraId="3D0AD953">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tc>
      </w:tr>
      <w:tr w14:paraId="6721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5E514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4029F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829CB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1AA2F0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3.5如本项目接受联合体投标，则两个或者两个以上投标人可以组成一个投标联合体，以一个投标人的身份投标。</w:t>
            </w:r>
          </w:p>
          <w:p w14:paraId="55D301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7CAC74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353E51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（3）项目如涉及资质要求，该部分内容应由联合体中具有该资质要求的投标人承担。联合体协议及签订的采购合同应包含此项内容。</w:t>
            </w:r>
          </w:p>
          <w:p w14:paraId="21DE1B1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（4）联合体中有同类资质的投标人按照联合体分工承担相同工作的，应当按照资质等级较低的投标人确定资质等级。</w:t>
            </w:r>
          </w:p>
        </w:tc>
      </w:tr>
      <w:tr w14:paraId="054B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FF23B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95D22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20E77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8BC6674">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tc>
      </w:tr>
      <w:tr w14:paraId="6D2E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38DEE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9F7FE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37222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F3B58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3.7投标代理人在同一个项目中只能接受一个投标人的委托参加投标。</w:t>
            </w:r>
          </w:p>
        </w:tc>
      </w:tr>
      <w:tr w14:paraId="1929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1BFD7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253D388">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83442AA">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18B3E5A2">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14:paraId="3CBA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B9E8F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E673536">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A63B993">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0577792">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tc>
      </w:tr>
      <w:tr w14:paraId="543D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top"/>
          </w:tcPr>
          <w:p w14:paraId="73766BBB">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top"/>
          </w:tcPr>
          <w:p w14:paraId="120AEA23">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7BBF5B58">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top"/>
          </w:tcPr>
          <w:p w14:paraId="2CC99FF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tc>
      </w:tr>
      <w:tr w14:paraId="40E0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tcBorders>
              <w:top w:val="single" w:color="auto" w:sz="4" w:space="0"/>
              <w:left w:val="single" w:color="auto" w:sz="4" w:space="0"/>
              <w:bottom w:val="single" w:color="auto" w:sz="4" w:space="0"/>
              <w:right w:val="single" w:color="auto" w:sz="4" w:space="0"/>
            </w:tcBorders>
            <w:noWrap w:val="0"/>
            <w:vAlign w:val="top"/>
          </w:tcPr>
          <w:p w14:paraId="013362C3">
            <w:pPr>
              <w:spacing w:line="360" w:lineRule="auto"/>
              <w:ind w:firstLine="3373" w:firstLineChars="1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符合性要求</w:t>
            </w:r>
          </w:p>
        </w:tc>
      </w:tr>
      <w:tr w14:paraId="2289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F7970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549FC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28527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08E14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052F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4DEF4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A90A7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DD9AB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3B1232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投标人的投标文件未按规定的投标截止时间之前提交的，其投标将被拒绝。</w:t>
            </w:r>
          </w:p>
        </w:tc>
      </w:tr>
      <w:tr w14:paraId="07DE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49F1A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FFEB7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E4EFE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AFAC7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3.2投标人应遵守并符合中国的有关法律、法规和规章的规定，同时其投标服务也应符合中国的有关法律、法规和规章的规定。认可本须知中的规定。</w:t>
            </w:r>
          </w:p>
        </w:tc>
      </w:tr>
      <w:tr w14:paraId="284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59BCB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E38185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03F2D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11887D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3.3一个投标人只能提交一个投标文件。如果投标人之间存在下列互为关联关系的情形之一的，不得同时参加本项目同一合同包投标：</w:t>
            </w:r>
          </w:p>
          <w:p w14:paraId="39EEB5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(1)法定代表人、单位负责人为同一人或夫妻关系的不同投标人；</w:t>
            </w:r>
          </w:p>
          <w:p w14:paraId="58E3FC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(2)存在直接控股、管理关系的不同投标人；</w:t>
            </w:r>
          </w:p>
          <w:p w14:paraId="1AC01E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(3)均为同一家母公司直接或间接持股50％及以上的被投资公司。</w:t>
            </w:r>
          </w:p>
        </w:tc>
      </w:tr>
      <w:tr w14:paraId="0A6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D2C0E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F67D1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1FC4A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2B75B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7C5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E73E5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A5A01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33D0D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2FD79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3.8投标人存在下列情形之一的，将被认定为串通投标行为并作无效投标处理：</w:t>
            </w:r>
          </w:p>
          <w:p w14:paraId="3E0310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（1）投标人之间协商投标报价等投标文件的实质性内容；</w:t>
            </w:r>
          </w:p>
          <w:p w14:paraId="769253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（2）投标人之间约定中标供应商；</w:t>
            </w:r>
          </w:p>
          <w:p w14:paraId="1814D1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（3）投标人之间约定部分投标人放弃投标或者中标；</w:t>
            </w:r>
          </w:p>
          <w:p w14:paraId="4CCE9C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（4）属于同一集团、协会、商会等组织成员的投标人按照该组织要求协同投标；</w:t>
            </w:r>
          </w:p>
          <w:p w14:paraId="15C63B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（5）投标人之间为谋取中标或者排斥特定投标人而采取的其他联合行动；</w:t>
            </w:r>
          </w:p>
          <w:p w14:paraId="53A9BE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（6）不同投标人的投标文件由同一单位或者个人编制；</w:t>
            </w:r>
          </w:p>
          <w:p w14:paraId="3770CF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（7）不同投标人委托同一单位或者个人办理投标事宜；</w:t>
            </w:r>
          </w:p>
          <w:p w14:paraId="24562C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（8）不同投标人的投标文件载明的项目管理成员或者联系人员为同一人；</w:t>
            </w:r>
          </w:p>
          <w:p w14:paraId="7F07D4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（9）不同投标人的投标文件异常一致或者投标报价呈规律性差异；</w:t>
            </w:r>
          </w:p>
          <w:p w14:paraId="5A214E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（10）不同投标人的投标文件相互混装；</w:t>
            </w:r>
          </w:p>
          <w:p w14:paraId="73B9EA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（11）不同投标人的投标保证金从同一单位或者个人的账户转出。</w:t>
            </w:r>
          </w:p>
          <w:p w14:paraId="11B7B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（12）不同投标人的投标文件错、漏之处一致或雷同，且不能合理解释的；</w:t>
            </w:r>
          </w:p>
          <w:p w14:paraId="54E20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（13）不同的投标人的法定代表人、委托代理人等由同一个单位缴纳社会保险的；</w:t>
            </w:r>
          </w:p>
          <w:p w14:paraId="5E07A9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79FBF3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（15）有关法律、法规或规章规定的其他串通投标行为。</w:t>
            </w:r>
          </w:p>
        </w:tc>
      </w:tr>
      <w:tr w14:paraId="7EB4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41C8C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069E3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D2139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4588D53F">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14:paraId="131E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51EEA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D1FB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89147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14CCC53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tc>
      </w:tr>
      <w:tr w14:paraId="1786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4FBB0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A927B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ACA8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BA5D23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tc>
      </w:tr>
      <w:tr w14:paraId="412D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B4274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013AB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820E9F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79EFA0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tc>
      </w:tr>
      <w:tr w14:paraId="2274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5E60C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F8DD1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A1CF4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0BA5229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tc>
      </w:tr>
      <w:tr w14:paraId="03A3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79B35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C45B1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1AEC8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13.9</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DBDE36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509F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7BB83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2FA18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5AB2F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3BC7B09">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b/>
                <w:color w:val="auto"/>
                <w:sz w:val="24"/>
                <w:szCs w:val="24"/>
                <w:highlight w:val="none"/>
              </w:rPr>
              <w:t>投标文件未密封将导致其投标被拒绝。</w:t>
            </w:r>
          </w:p>
        </w:tc>
      </w:tr>
      <w:tr w14:paraId="2F6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DBE50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53D0F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97676E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85D579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14.5投标文件应在投标邀请中规定的截止时间前送达，迟到的投标文件为无效投标文件, 将被拒收。</w:t>
            </w:r>
          </w:p>
        </w:tc>
      </w:tr>
      <w:tr w14:paraId="4A1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29578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33B29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F23F3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4E1A14B3">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tc>
      </w:tr>
      <w:tr w14:paraId="4FA0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FA6E9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D8042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FFFC8B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66178E3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17.投标人任何试图影响评委会对投标文件的评估、比较或者推荐候选人的行为，都将导致其投标按照无效投标处理，并被没收投标保证金。</w:t>
            </w:r>
          </w:p>
        </w:tc>
      </w:tr>
      <w:tr w14:paraId="68CB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1B0F2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310BC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C9533D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64C85196">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tc>
      </w:tr>
      <w:tr w14:paraId="7588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4270C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1A392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C11BB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17.3.2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26A8CA4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3A51BF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 未按规定提交投标保证金的；</w:t>
            </w:r>
          </w:p>
          <w:p w14:paraId="5EBFA61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14:paraId="35016D6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14:paraId="420C8E5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14:paraId="0478BFA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14:paraId="6C9668C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14:paraId="5DBB0D9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14:paraId="35141710">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tc>
      </w:tr>
      <w:tr w14:paraId="48CB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D3876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AEA44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DEE4C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055009C9">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17.3.3投标服务必须满足中华人民共和国相关法律法规及行业的强制性要求，否则该投标人的投标将按照无效投标处理。</w:t>
            </w:r>
          </w:p>
        </w:tc>
      </w:tr>
      <w:tr w14:paraId="4519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noWrap w:val="0"/>
            <w:vAlign w:val="center"/>
          </w:tcPr>
          <w:p w14:paraId="274CDE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696" w:type="dxa"/>
            <w:tcBorders>
              <w:top w:val="single" w:color="auto" w:sz="4" w:space="0"/>
            </w:tcBorders>
            <w:noWrap w:val="0"/>
            <w:vAlign w:val="center"/>
          </w:tcPr>
          <w:p w14:paraId="031EEB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tcBorders>
            <w:noWrap w:val="0"/>
            <w:vAlign w:val="center"/>
          </w:tcPr>
          <w:p w14:paraId="6B0418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17.3.4</w:t>
            </w:r>
          </w:p>
        </w:tc>
        <w:tc>
          <w:tcPr>
            <w:tcW w:w="5925" w:type="dxa"/>
            <w:tcBorders>
              <w:top w:val="single" w:color="auto" w:sz="4" w:space="0"/>
            </w:tcBorders>
            <w:noWrap w:val="0"/>
            <w:vAlign w:val="center"/>
          </w:tcPr>
          <w:p w14:paraId="36FF715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14:paraId="5C610A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14:paraId="03A2D2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14:paraId="7771DD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14:paraId="5A9ECB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14:paraId="728203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14:paraId="74C1DB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tc>
      </w:tr>
      <w:tr w14:paraId="0A48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F0A7A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696" w:type="dxa"/>
            <w:noWrap w:val="0"/>
            <w:vAlign w:val="center"/>
          </w:tcPr>
          <w:p w14:paraId="0218DF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noWrap w:val="0"/>
            <w:vAlign w:val="center"/>
          </w:tcPr>
          <w:p w14:paraId="6CB363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17.3.5</w:t>
            </w:r>
          </w:p>
        </w:tc>
        <w:tc>
          <w:tcPr>
            <w:tcW w:w="5925" w:type="dxa"/>
            <w:noWrap w:val="0"/>
            <w:vAlign w:val="center"/>
          </w:tcPr>
          <w:p w14:paraId="7F07185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tc>
      </w:tr>
      <w:tr w14:paraId="19D0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40B14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696" w:type="dxa"/>
            <w:noWrap w:val="0"/>
            <w:vAlign w:val="center"/>
          </w:tcPr>
          <w:p w14:paraId="013126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noWrap w:val="0"/>
            <w:vAlign w:val="center"/>
          </w:tcPr>
          <w:p w14:paraId="14208C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19.3</w:t>
            </w:r>
          </w:p>
        </w:tc>
        <w:tc>
          <w:tcPr>
            <w:tcW w:w="5925" w:type="dxa"/>
            <w:noWrap w:val="0"/>
            <w:vAlign w:val="center"/>
          </w:tcPr>
          <w:p w14:paraId="5D96367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569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521DA4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696" w:type="dxa"/>
            <w:noWrap w:val="0"/>
            <w:vAlign w:val="center"/>
          </w:tcPr>
          <w:p w14:paraId="574199A8">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36627B17">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5645809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投标人如果为联合体投标，则必须同时满足下列要求，否则</w:t>
            </w:r>
            <w:r>
              <w:rPr>
                <w:rFonts w:hint="eastAsia" w:ascii="宋体" w:hAnsi="宋体" w:eastAsia="宋体" w:cs="宋体"/>
                <w:color w:val="auto"/>
                <w:sz w:val="24"/>
                <w:szCs w:val="24"/>
                <w:highlight w:val="none"/>
              </w:rPr>
              <w:t>该投标人的投标将按照无效投标处理</w:t>
            </w:r>
            <w:r>
              <w:rPr>
                <w:rFonts w:hint="eastAsia" w:ascii="宋体" w:hAnsi="宋体" w:eastAsia="宋体" w:cs="宋体"/>
                <w:bCs/>
                <w:color w:val="auto"/>
                <w:sz w:val="24"/>
                <w:szCs w:val="24"/>
                <w:highlight w:val="none"/>
              </w:rPr>
              <w:t>：</w:t>
            </w:r>
          </w:p>
          <w:p w14:paraId="2B7DF29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①在开标一览表中注明是否联合体投标、联合体组成单位；</w:t>
            </w:r>
          </w:p>
          <w:p w14:paraId="7A1CD21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②在投标文件中提供各方盖章签署的共同投标协议原件。</w:t>
            </w:r>
          </w:p>
        </w:tc>
      </w:tr>
      <w:tr w14:paraId="785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96576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696" w:type="dxa"/>
            <w:noWrap w:val="0"/>
            <w:vAlign w:val="center"/>
          </w:tcPr>
          <w:p w14:paraId="3EF882BC">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0BD0802D">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5466115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投标文件中不得附有采购人不能接受的条款，</w:t>
            </w:r>
            <w:r>
              <w:rPr>
                <w:rFonts w:hint="eastAsia" w:ascii="宋体" w:hAnsi="宋体" w:eastAsia="宋体" w:cs="宋体"/>
                <w:color w:val="auto"/>
                <w:sz w:val="24"/>
                <w:szCs w:val="24"/>
                <w:highlight w:val="none"/>
              </w:rPr>
              <w:t>否则该投标人的投标将按照无效投标处理。</w:t>
            </w:r>
          </w:p>
        </w:tc>
      </w:tr>
      <w:tr w14:paraId="55DF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C92321D">
            <w:pPr>
              <w:pStyle w:val="4"/>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696" w:type="dxa"/>
            <w:noWrap w:val="0"/>
            <w:vAlign w:val="center"/>
          </w:tcPr>
          <w:p w14:paraId="55D75433">
            <w:pPr>
              <w:pStyle w:val="4"/>
              <w:spacing w:line="360" w:lineRule="auto"/>
              <w:rPr>
                <w:rFonts w:hint="eastAsia" w:ascii="宋体" w:hAnsi="宋体" w:eastAsia="宋体" w:cs="宋体"/>
                <w:color w:val="auto"/>
                <w:sz w:val="24"/>
                <w:szCs w:val="24"/>
                <w:highlight w:val="none"/>
              </w:rPr>
            </w:pPr>
          </w:p>
        </w:tc>
        <w:tc>
          <w:tcPr>
            <w:tcW w:w="1422" w:type="dxa"/>
            <w:noWrap w:val="0"/>
            <w:vAlign w:val="center"/>
          </w:tcPr>
          <w:p w14:paraId="0F415E04">
            <w:pPr>
              <w:pStyle w:val="4"/>
              <w:spacing w:line="360" w:lineRule="auto"/>
              <w:rPr>
                <w:rFonts w:hint="eastAsia" w:ascii="宋体" w:hAnsi="宋体" w:eastAsia="宋体" w:cs="宋体"/>
                <w:b/>
                <w:color w:val="auto"/>
                <w:sz w:val="24"/>
                <w:szCs w:val="24"/>
                <w:highlight w:val="none"/>
              </w:rPr>
            </w:pPr>
          </w:p>
        </w:tc>
        <w:tc>
          <w:tcPr>
            <w:tcW w:w="5925" w:type="dxa"/>
            <w:noWrap w:val="0"/>
            <w:vAlign w:val="center"/>
          </w:tcPr>
          <w:p w14:paraId="7F82B1AA">
            <w:pPr>
              <w:pStyle w:val="4"/>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本项目以合同包为单位，对于每个合同包，投标人必须完整地提供合同包要求的所有服务，否则</w:t>
            </w:r>
            <w:r>
              <w:rPr>
                <w:rFonts w:hint="eastAsia" w:ascii="宋体" w:hAnsi="宋体" w:eastAsia="宋体" w:cs="宋体"/>
                <w:color w:val="auto"/>
                <w:sz w:val="24"/>
                <w:szCs w:val="24"/>
                <w:highlight w:val="none"/>
              </w:rPr>
              <w:t>该投标人针对该合同包的投标将按照无效投标处理</w:t>
            </w:r>
            <w:r>
              <w:rPr>
                <w:rFonts w:hint="eastAsia" w:ascii="宋体" w:hAnsi="宋体" w:eastAsia="宋体" w:cs="宋体"/>
                <w:bCs/>
                <w:color w:val="auto"/>
                <w:sz w:val="24"/>
                <w:szCs w:val="24"/>
                <w:highlight w:val="none"/>
              </w:rPr>
              <w:t>。</w:t>
            </w:r>
          </w:p>
        </w:tc>
      </w:tr>
      <w:tr w14:paraId="02FB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54BAA784">
            <w:pPr>
              <w:pStyle w:val="4"/>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696" w:type="dxa"/>
            <w:tcBorders>
              <w:bottom w:val="single" w:color="auto" w:sz="4" w:space="0"/>
            </w:tcBorders>
            <w:noWrap w:val="0"/>
            <w:vAlign w:val="center"/>
          </w:tcPr>
          <w:p w14:paraId="1B086080">
            <w:pPr>
              <w:pStyle w:val="4"/>
              <w:spacing w:line="360" w:lineRule="auto"/>
              <w:rPr>
                <w:rFonts w:hint="eastAsia" w:ascii="宋体" w:hAnsi="宋体" w:eastAsia="宋体" w:cs="宋体"/>
                <w:b/>
                <w:color w:val="auto"/>
                <w:sz w:val="24"/>
                <w:szCs w:val="24"/>
                <w:highlight w:val="none"/>
              </w:rPr>
            </w:pPr>
          </w:p>
        </w:tc>
        <w:tc>
          <w:tcPr>
            <w:tcW w:w="1422" w:type="dxa"/>
            <w:tcBorders>
              <w:bottom w:val="single" w:color="auto" w:sz="4" w:space="0"/>
            </w:tcBorders>
            <w:noWrap w:val="0"/>
            <w:vAlign w:val="center"/>
          </w:tcPr>
          <w:p w14:paraId="333EA9E4">
            <w:pPr>
              <w:pStyle w:val="4"/>
              <w:spacing w:line="360" w:lineRule="auto"/>
              <w:rPr>
                <w:rFonts w:hint="eastAsia" w:ascii="宋体" w:hAnsi="宋体" w:eastAsia="宋体" w:cs="宋体"/>
                <w:b/>
                <w:color w:val="auto"/>
                <w:sz w:val="24"/>
                <w:szCs w:val="24"/>
                <w:highlight w:val="none"/>
              </w:rPr>
            </w:pPr>
          </w:p>
        </w:tc>
        <w:tc>
          <w:tcPr>
            <w:tcW w:w="5925" w:type="dxa"/>
            <w:tcBorders>
              <w:bottom w:val="single" w:color="auto" w:sz="4" w:space="0"/>
            </w:tcBorders>
            <w:noWrap w:val="0"/>
            <w:vAlign w:val="center"/>
          </w:tcPr>
          <w:p w14:paraId="070F3491">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其他不满足招标文件要求经评标委员会认定须作无效投标处理的。</w:t>
            </w:r>
          </w:p>
        </w:tc>
      </w:tr>
      <w:tr w14:paraId="0FB5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7BC54CF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696" w:type="dxa"/>
            <w:noWrap w:val="0"/>
            <w:vAlign w:val="center"/>
          </w:tcPr>
          <w:p w14:paraId="3D024E00">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29698AD2">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20A1AEEE">
            <w:pPr>
              <w:pStyle w:val="1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hAnsi="宋体" w:eastAsia="宋体" w:cs="宋体"/>
                <w:color w:val="auto"/>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123号）规定的包装要求，其他包装需求详见招标文件具体规定。采购人、中标供应商双方签订合同及验收环节，应包含上述包装要求的条款。</w:t>
            </w:r>
          </w:p>
        </w:tc>
      </w:tr>
      <w:tr w14:paraId="7F2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1EB31F4F">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696" w:type="dxa"/>
            <w:tcBorders>
              <w:bottom w:val="single" w:color="auto" w:sz="4" w:space="0"/>
            </w:tcBorders>
            <w:noWrap w:val="0"/>
            <w:vAlign w:val="center"/>
          </w:tcPr>
          <w:p w14:paraId="415749A1">
            <w:pPr>
              <w:spacing w:line="360" w:lineRule="auto"/>
              <w:jc w:val="center"/>
              <w:rPr>
                <w:rFonts w:hint="eastAsia" w:ascii="宋体" w:hAnsi="宋体" w:eastAsia="宋体" w:cs="宋体"/>
                <w:color w:val="auto"/>
                <w:sz w:val="24"/>
                <w:szCs w:val="24"/>
                <w:highlight w:val="none"/>
              </w:rPr>
            </w:pPr>
          </w:p>
        </w:tc>
        <w:tc>
          <w:tcPr>
            <w:tcW w:w="1422" w:type="dxa"/>
            <w:tcBorders>
              <w:bottom w:val="single" w:color="auto" w:sz="4" w:space="0"/>
            </w:tcBorders>
            <w:noWrap w:val="0"/>
            <w:vAlign w:val="center"/>
          </w:tcPr>
          <w:p w14:paraId="0FEB9926">
            <w:pPr>
              <w:spacing w:line="360" w:lineRule="auto"/>
              <w:jc w:val="center"/>
              <w:rPr>
                <w:rFonts w:hint="eastAsia" w:ascii="宋体" w:hAnsi="宋体" w:eastAsia="宋体" w:cs="宋体"/>
                <w:color w:val="auto"/>
                <w:sz w:val="24"/>
                <w:szCs w:val="24"/>
                <w:highlight w:val="none"/>
              </w:rPr>
            </w:pPr>
          </w:p>
        </w:tc>
        <w:tc>
          <w:tcPr>
            <w:tcW w:w="5925" w:type="dxa"/>
            <w:tcBorders>
              <w:bottom w:val="single" w:color="auto" w:sz="4" w:space="0"/>
            </w:tcBorders>
            <w:noWrap w:val="0"/>
            <w:vAlign w:val="center"/>
          </w:tcPr>
          <w:p w14:paraId="7A6CAF28">
            <w:pPr>
              <w:spacing w:line="360" w:lineRule="auto"/>
              <w:rPr>
                <w:rFonts w:hint="eastAsia" w:hAnsi="宋体" w:eastAsia="宋体" w:cs="宋体"/>
                <w:color w:val="auto"/>
                <w:highlight w:val="none"/>
                <w:lang w:val="en-US" w:eastAsia="zh-CN"/>
              </w:rPr>
            </w:pPr>
            <w:r>
              <w:rPr>
                <w:rFonts w:hint="eastAsia" w:ascii="宋体" w:hAnsi="宋体" w:eastAsia="宋体" w:cs="宋体"/>
                <w:b/>
                <w:color w:val="auto"/>
                <w:sz w:val="24"/>
                <w:szCs w:val="24"/>
                <w:highlight w:val="none"/>
                <w:lang w:val="en-US" w:eastAsia="zh-CN"/>
              </w:rPr>
              <w:t>*4.1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eastAsia="宋体" w:cs="宋体"/>
                <w:b/>
                <w:color w:val="auto"/>
                <w:sz w:val="24"/>
                <w:szCs w:val="24"/>
                <w:highlight w:val="none"/>
                <w:lang w:val="en-US" w:eastAsia="zh-CN"/>
              </w:rPr>
              <w:t>25.5</w:t>
            </w:r>
            <w:r>
              <w:rPr>
                <w:rFonts w:hint="eastAsia" w:ascii="宋体" w:hAnsi="宋体" w:eastAsia="宋体" w:cs="宋体"/>
                <w:b/>
                <w:color w:val="auto"/>
                <w:sz w:val="24"/>
                <w:szCs w:val="24"/>
                <w:highlight w:val="none"/>
                <w:lang w:eastAsia="zh-CN"/>
              </w:rPr>
              <w:t>万元，采购预算为总报价的最高限价，总报价超过采购预算的属无效报价。</w:t>
            </w:r>
          </w:p>
        </w:tc>
      </w:tr>
    </w:tbl>
    <w:p w14:paraId="3871F0C6">
      <w:pPr>
        <w:spacing w:line="360" w:lineRule="auto"/>
        <w:jc w:val="left"/>
        <w:rPr>
          <w:rFonts w:hint="eastAsia" w:ascii="宋体" w:hAnsi="宋体" w:eastAsia="宋体" w:cs="宋体"/>
          <w:bCs/>
          <w:color w:val="auto"/>
          <w:sz w:val="24"/>
          <w:szCs w:val="24"/>
          <w:highlight w:val="none"/>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color w:val="auto"/>
          <w:sz w:val="24"/>
          <w:szCs w:val="24"/>
          <w:highlight w:val="none"/>
        </w:rPr>
        <w:t>备注：由于编排顺序混乱而导致投标文件被误读或漏读，该投标人的投标可能被视为无效投标或承担不利的评标结果。</w:t>
      </w:r>
    </w:p>
    <w:p w14:paraId="5D0A6961">
      <w:pPr>
        <w:spacing w:line="360" w:lineRule="auto"/>
        <w:jc w:val="center"/>
        <w:outlineLvl w:val="1"/>
        <w:rPr>
          <w:rFonts w:hint="eastAsia" w:ascii="宋体" w:hAnsi="宋体" w:eastAsia="宋体" w:cs="宋体"/>
          <w:b/>
          <w:color w:val="auto"/>
          <w:sz w:val="24"/>
          <w:szCs w:val="24"/>
          <w:highlight w:val="none"/>
          <w:u w:val="single"/>
        </w:rPr>
      </w:pPr>
      <w:bookmarkStart w:id="16" w:name="_Toc354833373"/>
      <w:bookmarkStart w:id="17" w:name="_Toc521159872"/>
      <w:r>
        <w:rPr>
          <w:rFonts w:hint="eastAsia" w:ascii="宋体" w:hAnsi="宋体" w:eastAsia="宋体" w:cs="宋体"/>
          <w:b/>
          <w:bCs/>
          <w:color w:val="auto"/>
          <w:sz w:val="32"/>
          <w:szCs w:val="32"/>
          <w:highlight w:val="none"/>
        </w:rPr>
        <w:t>投标人须知前附表3：评标方法、评标标准、定标原则</w:t>
      </w:r>
      <w:bookmarkEnd w:id="16"/>
      <w:bookmarkEnd w:id="17"/>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5A1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0" w:type="dxa"/>
            <w:tcBorders>
              <w:top w:val="single" w:color="auto" w:sz="4" w:space="0"/>
              <w:left w:val="single" w:color="auto" w:sz="4" w:space="0"/>
              <w:bottom w:val="single" w:color="auto" w:sz="4" w:space="0"/>
              <w:right w:val="single" w:color="auto" w:sz="4" w:space="0"/>
            </w:tcBorders>
            <w:noWrap w:val="0"/>
            <w:vAlign w:val="top"/>
          </w:tcPr>
          <w:p w14:paraId="7FAEFBFD">
            <w:pPr>
              <w:pStyle w:val="4"/>
              <w:numPr>
                <w:ilvl w:val="0"/>
                <w:numId w:val="2"/>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14:paraId="6A73616C">
            <w:pPr>
              <w:pStyle w:val="4"/>
              <w:spacing w:line="360" w:lineRule="auto"/>
              <w:ind w:left="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综合评分法  □ 最低评标价法  </w:t>
            </w:r>
          </w:p>
        </w:tc>
      </w:tr>
      <w:tr w14:paraId="28D7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5080E241">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13A27749">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（一）具体的评标标准、权重。</w:t>
            </w:r>
          </w:p>
          <w:p w14:paraId="38D97BBD">
            <w:pPr>
              <w:pStyle w:val="4"/>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p w14:paraId="3481766E">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（二）推荐中标候选供应商名单。</w:t>
            </w:r>
          </w:p>
          <w:p w14:paraId="2E7D1CDA">
            <w:pPr>
              <w:pStyle w:val="4"/>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1、中标候选供应商数量：</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个。</w:t>
            </w:r>
          </w:p>
          <w:p w14:paraId="0EDB0F9F">
            <w:pPr>
              <w:pStyle w:val="4"/>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14:paraId="5FF7EE80">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□采用最低评标价法的，按投标报价由低到高顺序排列。投标报价相同的，按技术指标优劣顺序排列。</w:t>
            </w:r>
          </w:p>
          <w:p w14:paraId="796646A9">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用综合评分法的，按评审后得分由高到低顺序排列。得分相同的，按投标报价由低到高顺序排列。综合得分相同且投标报价相同的，按技术得分顺序排列。综合得分相同且投标报价相同且技术得分相同的，由评标委员会投票表决。</w:t>
            </w:r>
          </w:p>
          <w:p w14:paraId="6800A3D6">
            <w:pPr>
              <w:pStyle w:val="4"/>
              <w:spacing w:line="360" w:lineRule="auto"/>
              <w:ind w:firstLineChars="17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3、综合评分法特别无效投标认定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tc>
      </w:tr>
      <w:tr w14:paraId="517B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2C32B719">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三、定标原则（确定中标供应商数量：</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w:t>
            </w:r>
          </w:p>
          <w:p w14:paraId="1F64D564">
            <w:pPr>
              <w:pStyle w:val="4"/>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采购人委托招标代理机构招标，在收到评标报告后五个工作日内，按照评标报告中推荐的中标候选供应商顺序确定中标供应商。</w:t>
            </w:r>
          </w:p>
          <w:p w14:paraId="3384F30A">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采购人委托招标代理机构招标，授权评标委员会直接确定中标供应商。</w:t>
            </w:r>
          </w:p>
          <w:p w14:paraId="6F0B3E20">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采购人自行组织招标，在评标结束后五个工作日内确定中标供应商。</w:t>
            </w:r>
          </w:p>
        </w:tc>
      </w:tr>
    </w:tbl>
    <w:p w14:paraId="6DF22CC1">
      <w:pPr>
        <w:pStyle w:val="4"/>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注：以联合体形式投标的，只能以联合体其中一方具备的条件作为评标依据。投标人应在投标文件中明确以联合体的确定一方的条件参与商务评分，投标人未明确的，则该投标人的该项商务评分按最低分处理。</w:t>
      </w:r>
    </w:p>
    <w:p w14:paraId="18EAAE82">
      <w:pPr>
        <w:tabs>
          <w:tab w:val="left" w:pos="-1080"/>
          <w:tab w:val="left" w:pos="180"/>
          <w:tab w:val="left" w:pos="1080"/>
        </w:tabs>
        <w:spacing w:line="360" w:lineRule="auto"/>
        <w:rPr>
          <w:rFonts w:hint="eastAsia" w:ascii="宋体" w:hAnsi="宋体" w:eastAsia="宋体" w:cs="宋体"/>
          <w:b/>
          <w:color w:val="auto"/>
          <w:sz w:val="24"/>
          <w:szCs w:val="24"/>
          <w:highlight w:val="none"/>
        </w:rPr>
      </w:pPr>
    </w:p>
    <w:p w14:paraId="2C0AEBC9">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附件：评标标准、权重</w:t>
      </w:r>
    </w:p>
    <w:p w14:paraId="6634416C">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（一）技术评分(F1)：按</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rPr>
        <w:t>分评分法，技术评分考虑下列因素：</w:t>
      </w:r>
    </w:p>
    <w:tbl>
      <w:tblPr>
        <w:tblStyle w:val="1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140"/>
        <w:gridCol w:w="844"/>
      </w:tblGrid>
      <w:tr w14:paraId="7FD1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588B0937">
            <w:pPr>
              <w:pStyle w:val="18"/>
              <w:widowControl/>
              <w:spacing w:line="360" w:lineRule="auto"/>
              <w:jc w:val="center"/>
              <w:rPr>
                <w:rFonts w:hint="eastAsia" w:ascii="宋体" w:hAnsi="宋体" w:cs="Arial"/>
                <w:b/>
                <w:bCs/>
                <w:color w:val="auto"/>
                <w:kern w:val="10"/>
                <w:sz w:val="24"/>
                <w:szCs w:val="24"/>
                <w:highlight w:val="none"/>
              </w:rPr>
            </w:pPr>
            <w:r>
              <w:rPr>
                <w:rFonts w:hint="eastAsia" w:ascii="宋体" w:hAnsi="宋体" w:cs="宋体"/>
                <w:b/>
                <w:bCs/>
                <w:color w:val="auto"/>
                <w:sz w:val="24"/>
                <w:szCs w:val="24"/>
                <w:highlight w:val="none"/>
              </w:rPr>
              <w:t>序号</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78997CFC">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评分界定</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6AD10B64">
            <w:pPr>
              <w:spacing w:line="360" w:lineRule="auto"/>
              <w:jc w:val="center"/>
              <w:rPr>
                <w:rFonts w:hint="eastAsia" w:ascii="宋体" w:hAnsi="宋体" w:cs="Arial"/>
                <w:b/>
                <w:bCs/>
                <w:color w:val="auto"/>
                <w:sz w:val="24"/>
                <w:szCs w:val="24"/>
                <w:highlight w:val="none"/>
              </w:rPr>
            </w:pPr>
            <w:r>
              <w:rPr>
                <w:rFonts w:hint="eastAsia" w:ascii="宋体" w:hAnsi="宋体" w:cs="宋体"/>
                <w:b/>
                <w:bCs/>
                <w:color w:val="auto"/>
                <w:sz w:val="24"/>
                <w:szCs w:val="24"/>
                <w:highlight w:val="none"/>
                <w:lang w:bidi="ar"/>
              </w:rPr>
              <w:t>满分</w:t>
            </w:r>
          </w:p>
          <w:p w14:paraId="6F894C34">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分值</w:t>
            </w:r>
          </w:p>
        </w:tc>
      </w:tr>
      <w:tr w14:paraId="3DBF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5174834D">
            <w:pPr>
              <w:pStyle w:val="18"/>
              <w:widowControl/>
              <w:spacing w:line="360" w:lineRule="auto"/>
              <w:jc w:val="center"/>
              <w:rPr>
                <w:rFonts w:hint="eastAsia" w:ascii="宋体" w:hAnsi="宋体" w:cs="Arial"/>
                <w:color w:val="auto"/>
                <w:kern w:val="10"/>
                <w:sz w:val="24"/>
                <w:szCs w:val="24"/>
                <w:highlight w:val="none"/>
              </w:rPr>
            </w:pPr>
            <w:r>
              <w:rPr>
                <w:rFonts w:hint="eastAsia" w:ascii="宋体" w:hAnsi="宋体" w:cs="宋体"/>
                <w:color w:val="auto"/>
                <w:kern w:val="10"/>
                <w:sz w:val="24"/>
                <w:szCs w:val="24"/>
                <w:highlight w:val="none"/>
              </w:rPr>
              <w:t>1</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35E8FFD0">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根据各</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提供的采购文件中对第三章磋商内容及要求“二、技术要求”中“▲”标示的内容（共1</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项）作出明确的逐项响应承诺,在《技术规格和商务偏离表》中列明是否偏离，并对其真实性负责，完全满足采购文件要求的得</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分；采购要求每存在一项负偏离（或未响应）扣3分，直至扣完为止。</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18793F24">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w:t>
            </w:r>
            <w:r>
              <w:rPr>
                <w:rFonts w:hint="eastAsia" w:ascii="宋体" w:hAnsi="宋体" w:cs="宋体"/>
                <w:color w:val="auto"/>
                <w:sz w:val="24"/>
                <w:szCs w:val="24"/>
                <w:highlight w:val="none"/>
                <w:lang w:val="en-US" w:eastAsia="zh-CN" w:bidi="ar"/>
              </w:rPr>
              <w:t>0</w:t>
            </w:r>
            <w:r>
              <w:rPr>
                <w:rFonts w:hint="eastAsia" w:ascii="宋体" w:hAnsi="宋体" w:cs="宋体"/>
                <w:color w:val="auto"/>
                <w:sz w:val="24"/>
                <w:szCs w:val="24"/>
                <w:highlight w:val="none"/>
                <w:lang w:bidi="ar"/>
              </w:rPr>
              <w:t>分</w:t>
            </w:r>
          </w:p>
        </w:tc>
      </w:tr>
      <w:tr w14:paraId="45B5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7422C453">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2</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1BAC291D">
            <w:pPr>
              <w:spacing w:line="360" w:lineRule="auto"/>
              <w:rPr>
                <w:rFonts w:hint="eastAsia" w:ascii="宋体" w:hAnsi="宋体" w:cs="宋体"/>
                <w:color w:val="auto"/>
                <w:kern w:val="0"/>
                <w:sz w:val="24"/>
                <w:szCs w:val="24"/>
                <w:highlight w:val="none"/>
              </w:rPr>
            </w:pPr>
            <w:r>
              <w:rPr>
                <w:rFonts w:hint="eastAsia" w:ascii="宋体" w:hAnsi="宋体" w:eastAsia="宋体" w:cs="宋体"/>
                <w:b w:val="0"/>
                <w:bCs/>
                <w:color w:val="auto"/>
                <w:sz w:val="24"/>
                <w:szCs w:val="24"/>
                <w:highlight w:val="none"/>
              </w:rPr>
              <w:t>根据</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b w:val="0"/>
                <w:bCs/>
                <w:color w:val="auto"/>
                <w:sz w:val="24"/>
                <w:szCs w:val="24"/>
                <w:highlight w:val="none"/>
              </w:rPr>
              <w:t>对本项目需求分析情况进行评价：①</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b w:val="0"/>
                <w:bCs/>
                <w:color w:val="auto"/>
                <w:sz w:val="24"/>
                <w:szCs w:val="24"/>
                <w:highlight w:val="none"/>
              </w:rPr>
              <w:t>有针对本项目提供需求分析情况的得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分；②在满足①基础上，分析内容包含本项目各个岗位工作内容、对项目总体定位、工作目标及涉及的各项内容等分析详细具体、调研充分，有达到预期服务目标的保障措施的</w:t>
            </w:r>
            <w:r>
              <w:rPr>
                <w:rFonts w:hint="eastAsia" w:ascii="宋体" w:hAnsi="宋体" w:eastAsia="宋体" w:cs="宋体"/>
                <w:b w:val="0"/>
                <w:bCs/>
                <w:color w:val="auto"/>
                <w:sz w:val="24"/>
                <w:szCs w:val="24"/>
                <w:highlight w:val="none"/>
                <w:lang w:val="en-US" w:eastAsia="zh-CN"/>
              </w:rPr>
              <w:t>得3</w:t>
            </w:r>
            <w:r>
              <w:rPr>
                <w:rFonts w:hint="eastAsia" w:ascii="宋体" w:hAnsi="宋体" w:eastAsia="宋体" w:cs="宋体"/>
                <w:b w:val="0"/>
                <w:bCs/>
                <w:color w:val="auto"/>
                <w:sz w:val="24"/>
                <w:szCs w:val="24"/>
                <w:highlight w:val="none"/>
              </w:rPr>
              <w:t>分；③未提供或不符合上述情况的不得分。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152F85BF">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6A3E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4DA96630">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3</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051A1601">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对大会工作流程及大会场馆的熟悉程度进行评价: ①对流程了解全面、条理清晰、重点突出的得3分；②对流程了解有缺漏的得1分；③未提供相关说明不得分。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3B1A4427">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3F2D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4726FE1B">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4</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4B3E308A">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针对本项目配备的管理服务团队（包括但不限于人员配备表、岗位工作职责等内容） 进行评价：每提供一项详细内容的得1.5分，满分3分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未提供的不得分。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72CCBABA">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4566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081DCCD0">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5</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347C8EC7">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承诺：“在合同履约期限内派专人对服务人员进行现场管理，并对现场的一切事务承担监管责任，且做好安全及其它相关防护措施，在服务过程中服务人员发生的任何事故，均由</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承担，对</w:t>
            </w:r>
            <w:r>
              <w:rPr>
                <w:rFonts w:hint="eastAsia" w:ascii="宋体" w:hAnsi="宋体" w:cs="宋体"/>
                <w:color w:val="auto"/>
                <w:kern w:val="0"/>
                <w:sz w:val="24"/>
                <w:szCs w:val="24"/>
                <w:highlight w:val="none"/>
                <w:lang w:val="en-US" w:eastAsia="zh-CN" w:bidi="ar"/>
              </w:rPr>
              <w:t>招标</w:t>
            </w:r>
            <w:r>
              <w:rPr>
                <w:rFonts w:hint="eastAsia" w:ascii="宋体" w:hAnsi="宋体" w:cs="宋体"/>
                <w:color w:val="auto"/>
                <w:kern w:val="0"/>
                <w:sz w:val="24"/>
                <w:szCs w:val="24"/>
                <w:highlight w:val="none"/>
                <w:lang w:bidi="ar"/>
              </w:rPr>
              <w:t>人及第三方造成损害的，</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负责赔偿。”，提供满足上述要求的承诺的得3分。 注：投标人须提供书面承诺（格式自拟）并加盖投标人公章，未提供或不符合上述要求的不得分。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5B642F76">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4BEF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1046B0B0">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6</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42B9193E">
            <w:pPr>
              <w:spacing w:line="360" w:lineRule="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承诺：</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提供周到的礼仪接待，岗位内容明确具体，无疏漏，以确保高质量的会务保障</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 注：</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0D22C6FA">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3F49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5991C063">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7</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078EB4B1">
            <w:pPr>
              <w:pStyle w:val="12"/>
              <w:widowControl/>
              <w:spacing w:line="360" w:lineRule="auto"/>
              <w:rPr>
                <w:rFonts w:hint="eastAsia" w:ascii="宋体" w:hAnsi="宋体" w:cs="宋体"/>
                <w:color w:val="auto"/>
                <w:kern w:val="0"/>
                <w:highlight w:val="none"/>
              </w:rPr>
            </w:pPr>
            <w:r>
              <w:rPr>
                <w:rFonts w:hint="eastAsia" w:ascii="宋体" w:hAnsi="宋体" w:eastAsia="宋体" w:cs="宋体"/>
                <w:color w:val="auto"/>
                <w:kern w:val="0"/>
                <w:sz w:val="24"/>
                <w:szCs w:val="24"/>
                <w:highlight w:val="none"/>
                <w:lang w:val="en-US" w:eastAsia="zh-CN" w:bidi="ar"/>
              </w:rPr>
              <w:t>根据投标人提供的整体执行计划方案（包括大会①会前的执行进度安排；②会中的执行进度安排；③后期的收尾保障安排）进行评价：每提供一个详细内容的得1分，满分3分，未提供的不得分。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11094846">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59A0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028761B3">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8</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278FEBE5">
            <w:pPr>
              <w:pStyle w:val="19"/>
              <w:spacing w:line="360" w:lineRule="auto"/>
              <w:rPr>
                <w:rFonts w:hint="eastAsia" w:ascii="宋体" w:hAnsi="宋体" w:cs="宋体"/>
                <w:color w:val="auto"/>
                <w:kern w:val="0"/>
                <w:highlight w:val="none"/>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针对本项目提供的服务人员稳定性的保障措施方案进行评价:①对项目理解准确、依据适用完整、表述条理清晰且有逻辑的得3分；②对项目理解准确、表述条理清晰，但依据适用不够完整或表述缺乏逻辑的得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分；③对项目理解方案阐述简短或方案可操作性一般的得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分；④对项目理解方案不合理或提供方案与本项目无关的或未提供的均不得分。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25FBD8C8">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0A5B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6AB48A42">
            <w:pPr>
              <w:pStyle w:val="18"/>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9</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03527388">
            <w:pPr>
              <w:pStyle w:val="19"/>
              <w:spacing w:line="360" w:lineRule="auto"/>
              <w:jc w:val="both"/>
              <w:rPr>
                <w:rFonts w:hint="eastAsia" w:ascii="宋体" w:hAnsi="宋体" w:cs="宋体"/>
                <w:color w:val="auto"/>
                <w:kern w:val="0"/>
                <w:highlight w:val="none"/>
              </w:rPr>
            </w:pPr>
            <w:r>
              <w:rPr>
                <w:rFonts w:hint="eastAsia" w:ascii="宋体" w:hAnsi="宋体" w:eastAsia="宋体" w:cs="宋体"/>
                <w:color w:val="auto"/>
                <w:sz w:val="24"/>
                <w:szCs w:val="24"/>
                <w:highlight w:val="none"/>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rPr>
              <w:t>的服务风险防控措施进行评价：①对服务过程中各节点可能出现的风险有事先预估评判，并制定相应的服务风险防控措施，有相应的人力、物力投入安排，能够避免风险或出现风险能及时有效处理的，得</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分；②有提出服务过程中可能出现的风险，但制定的服务风险防控措施较为简单，得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分；③未提供措施或者措施不可行或不符合项目需求的不得分。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51E9EE96">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760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2703D4D7">
            <w:pPr>
              <w:pStyle w:val="18"/>
              <w:widowControl/>
              <w:spacing w:line="360" w:lineRule="auto"/>
              <w:jc w:val="center"/>
              <w:rPr>
                <w:rFonts w:ascii="宋体" w:hAnsi="宋体"/>
                <w:color w:val="auto"/>
                <w:sz w:val="24"/>
                <w:szCs w:val="24"/>
                <w:highlight w:val="none"/>
              </w:rPr>
            </w:pPr>
            <w:r>
              <w:rPr>
                <w:rFonts w:hint="eastAsia" w:ascii="宋体" w:hAnsi="宋体" w:cs="宋体"/>
                <w:color w:val="auto"/>
                <w:sz w:val="24"/>
                <w:szCs w:val="24"/>
                <w:highlight w:val="none"/>
              </w:rPr>
              <w:t>10</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7EE03756">
            <w:pPr>
              <w:pStyle w:val="19"/>
              <w:spacing w:line="360" w:lineRule="auto"/>
              <w:jc w:val="both"/>
              <w:rPr>
                <w:rFonts w:hint="eastAsia" w:ascii="宋体" w:hAnsi="宋体" w:cs="宋体"/>
                <w:color w:val="auto"/>
                <w:kern w:val="0"/>
                <w:highlight w:val="none"/>
              </w:rPr>
            </w:pPr>
            <w:r>
              <w:rPr>
                <w:rFonts w:hint="eastAsia" w:ascii="宋体" w:hAnsi="宋体" w:eastAsia="宋体" w:cs="宋体"/>
                <w:color w:val="auto"/>
                <w:sz w:val="24"/>
                <w:szCs w:val="24"/>
                <w:highlight w:val="none"/>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rPr>
              <w:t>针对本项目提供的实施重难点、合理化建议进行评议：①对本项目的重点、难点作出分析，并提出解决措施、合理化建议，符合项目需求，内容完整详细、阐述全面、理解到位的得3分；②方案内容包含上述内容，但论述较为简单、基本符合项目需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分；③所提供的方案对以上内容有缺项的得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分；④未提供方案或者方案与本项目无关的不得分。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5F3BE1E5">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3B05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59CCED94">
            <w:pPr>
              <w:pStyle w:val="18"/>
              <w:widowControl/>
              <w:spacing w:line="360" w:lineRule="auto"/>
              <w:jc w:val="center"/>
              <w:rPr>
                <w:rFonts w:ascii="宋体" w:hAnsi="宋体"/>
                <w:color w:val="auto"/>
                <w:sz w:val="24"/>
                <w:szCs w:val="24"/>
                <w:highlight w:val="none"/>
              </w:rPr>
            </w:pPr>
            <w:r>
              <w:rPr>
                <w:rFonts w:hint="eastAsia" w:ascii="宋体" w:hAnsi="宋体" w:cs="宋体"/>
                <w:color w:val="auto"/>
                <w:sz w:val="24"/>
                <w:szCs w:val="24"/>
                <w:highlight w:val="none"/>
              </w:rPr>
              <w:t>11</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072791AC">
            <w:pPr>
              <w:pStyle w:val="19"/>
              <w:spacing w:line="360" w:lineRule="auto"/>
              <w:jc w:val="both"/>
              <w:rPr>
                <w:rFonts w:hint="eastAsia" w:ascii="宋体" w:hAnsi="宋体" w:cs="宋体"/>
                <w:color w:val="auto"/>
                <w:kern w:val="0"/>
                <w:highlight w:val="none"/>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所委派的服务人员在服务期内，若发现不符合服务人员要求的、不能胜任工作的、违反相关管理规定和纪律要求的、因工作失职或不规范履行职责造成严重后果或不良影响的，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要求调换服务人员的，应无条件更换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 注：</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4F41AAAB">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01BC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3FAFA4E3">
            <w:pPr>
              <w:pStyle w:val="18"/>
              <w:widowControl/>
              <w:spacing w:line="360" w:lineRule="auto"/>
              <w:jc w:val="center"/>
              <w:rPr>
                <w:rFonts w:hint="default" w:ascii="宋体" w:hAnsi="宋体" w:eastAsia="宋体" w:cs="宋体"/>
                <w:color w:val="auto"/>
                <w:sz w:val="24"/>
                <w:szCs w:val="24"/>
                <w:highlight w:val="none"/>
                <w:lang w:val="en-US" w:eastAsia="zh-CN"/>
              </w:rPr>
            </w:pPr>
            <w:bookmarkStart w:id="18" w:name="_Toc860055371"/>
            <w:bookmarkStart w:id="19" w:name="_Toc1810"/>
            <w:r>
              <w:rPr>
                <w:rFonts w:hint="eastAsia" w:ascii="宋体" w:hAnsi="宋体" w:cs="宋体"/>
                <w:color w:val="auto"/>
                <w:sz w:val="24"/>
                <w:szCs w:val="24"/>
                <w:highlight w:val="none"/>
                <w:lang w:val="en-US" w:eastAsia="zh-CN"/>
              </w:rPr>
              <w:t>12</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6F5C5079">
            <w:pPr>
              <w:pStyle w:val="19"/>
              <w:spacing w:line="360" w:lineRule="auto"/>
              <w:jc w:val="both"/>
              <w:rPr>
                <w:rFonts w:hint="eastAsia" w:ascii="宋体" w:hAnsi="宋体" w:cs="宋体"/>
                <w:color w:val="auto"/>
                <w:kern w:val="0"/>
                <w:highlight w:val="none"/>
                <w:lang w:bidi="ar"/>
              </w:rPr>
            </w:pPr>
            <w:r>
              <w:rPr>
                <w:rFonts w:hint="eastAsia" w:ascii="宋体" w:hAnsi="宋体" w:eastAsia="宋体" w:cs="宋体"/>
                <w:b w:val="0"/>
                <w:bCs/>
                <w:color w:val="auto"/>
                <w:sz w:val="24"/>
                <w:szCs w:val="24"/>
                <w:highlight w:val="none"/>
                <w:lang w:val="en-US" w:eastAsia="zh-CN"/>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提供的与</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的沟通制度、配合方案等进行评价：①方案包含沟通制度、与</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的配合方案符合本项目服务需求的得1分； ②在满足①的基础上，沟通制度详细、能够了解沟通需求，有相应的沟通渠道、在沟通后能够更好的服务本项目、并且在服务过程中能在既定工作方案的基础上做到过程控制与调整，提高服务质量和</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满意度的得3分；③未提供或不满足以上要求的不得分。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6352BF70">
            <w:pPr>
              <w:spacing w:line="360" w:lineRule="auto"/>
              <w:jc w:val="center"/>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val="en-US" w:eastAsia="zh-CN"/>
              </w:rPr>
              <w:t>3分</w:t>
            </w:r>
          </w:p>
        </w:tc>
      </w:tr>
      <w:tr w14:paraId="6890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1" w:type="pct"/>
            <w:tcBorders>
              <w:top w:val="single" w:color="auto" w:sz="4" w:space="0"/>
              <w:left w:val="single" w:color="auto" w:sz="4" w:space="0"/>
              <w:bottom w:val="single" w:color="auto" w:sz="4" w:space="0"/>
              <w:right w:val="single" w:color="auto" w:sz="4" w:space="0"/>
            </w:tcBorders>
            <w:noWrap w:val="0"/>
            <w:vAlign w:val="center"/>
          </w:tcPr>
          <w:p w14:paraId="22CA1373">
            <w:pPr>
              <w:pStyle w:val="18"/>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5E2F6502">
            <w:pPr>
              <w:spacing w:line="360" w:lineRule="auto"/>
              <w:rPr>
                <w:rFonts w:hint="eastAsia" w:ascii="宋体" w:hAnsi="宋体" w:cs="宋体"/>
                <w:color w:val="auto"/>
                <w:kern w:val="0"/>
                <w:highlight w:val="none"/>
                <w:lang w:bidi="ar"/>
              </w:rPr>
            </w:pPr>
            <w:r>
              <w:rPr>
                <w:rFonts w:hint="eastAsia" w:ascii="宋体" w:hAnsi="宋体" w:eastAsia="宋体" w:cs="宋体"/>
                <w:b w:val="0"/>
                <w:bCs/>
                <w:color w:val="auto"/>
                <w:sz w:val="24"/>
                <w:szCs w:val="24"/>
                <w:highlight w:val="none"/>
                <w:lang w:val="en-US" w:eastAsia="zh-CN"/>
              </w:rPr>
              <w:t>投标人承诺技术评分条款未列明的其他技术及服务条款响应全满足，验收时按照响应的内容及考核方案进行验收。提供书面承诺函（格式自拟）满足要求的得2分，否则不得分。</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59386C29">
            <w:pPr>
              <w:spacing w:line="360" w:lineRule="auto"/>
              <w:jc w:val="center"/>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val="en-US" w:eastAsia="zh-CN"/>
              </w:rPr>
              <w:t>2分</w:t>
            </w:r>
          </w:p>
        </w:tc>
      </w:tr>
      <w:tr w14:paraId="4FC7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4D754D2A">
            <w:pPr>
              <w:spacing w:line="360" w:lineRule="auto"/>
              <w:ind w:firstLine="480" w:firstLineChars="200"/>
              <w:jc w:val="left"/>
              <w:outlineLvl w:val="0"/>
              <w:rPr>
                <w:rFonts w:hint="eastAsia" w:ascii="宋体" w:hAnsi="宋体"/>
                <w:color w:val="auto"/>
                <w:sz w:val="24"/>
                <w:szCs w:val="24"/>
                <w:highlight w:val="none"/>
              </w:rPr>
            </w:pPr>
            <w:bookmarkStart w:id="20" w:name="_Toc4482"/>
            <w:bookmarkStart w:id="21" w:name="_Toc1342664664"/>
            <w:bookmarkStart w:id="22" w:name="_Toc14667"/>
            <w:bookmarkStart w:id="23" w:name="_Toc397957440"/>
            <w:r>
              <w:rPr>
                <w:rFonts w:hint="eastAsia" w:ascii="宋体" w:hAnsi="宋体" w:cs="宋体"/>
                <w:color w:val="auto"/>
                <w:sz w:val="24"/>
                <w:szCs w:val="24"/>
                <w:highlight w:val="none"/>
                <w:lang w:bidi="ar"/>
              </w:rPr>
              <w:t>说明：</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应提供证明材料并标注对应关系，未按要求提供证明材料的，认定该项技术指标不得分；</w:t>
            </w:r>
            <w:r>
              <w:rPr>
                <w:rFonts w:hint="eastAsia" w:ascii="宋体" w:hAnsi="宋体" w:cs="宋体"/>
                <w:color w:val="auto"/>
                <w:kern w:val="0"/>
                <w:sz w:val="24"/>
                <w:szCs w:val="24"/>
                <w:highlight w:val="none"/>
                <w:lang w:eastAsia="zh-CN" w:bidi="ar"/>
              </w:rPr>
              <w:t>投标人</w:t>
            </w:r>
            <w:r>
              <w:rPr>
                <w:rFonts w:hint="eastAsia" w:ascii="宋体" w:hAnsi="宋体" w:cs="宋体"/>
                <w:color w:val="auto"/>
                <w:sz w:val="24"/>
                <w:szCs w:val="24"/>
                <w:highlight w:val="none"/>
                <w:lang w:bidi="ar"/>
              </w:rPr>
              <w:t>应如实表述其服务的技术指标，如</w:t>
            </w:r>
            <w:r>
              <w:rPr>
                <w:rFonts w:hint="eastAsia" w:ascii="宋体" w:hAnsi="宋体" w:cs="宋体"/>
                <w:color w:val="auto"/>
                <w:kern w:val="0"/>
                <w:sz w:val="24"/>
                <w:szCs w:val="24"/>
                <w:highlight w:val="none"/>
                <w:lang w:eastAsia="zh-CN" w:bidi="ar"/>
              </w:rPr>
              <w:t>投标人</w:t>
            </w:r>
            <w:r>
              <w:rPr>
                <w:rFonts w:hint="eastAsia" w:ascii="宋体" w:hAnsi="宋体" w:cs="宋体"/>
                <w:color w:val="auto"/>
                <w:sz w:val="24"/>
                <w:szCs w:val="24"/>
                <w:highlight w:val="none"/>
                <w:lang w:bidi="ar"/>
              </w:rPr>
              <w:t>复制采购文件的磋商内容作为其报价文件组成内容的，</w:t>
            </w:r>
            <w:r>
              <w:rPr>
                <w:rFonts w:hint="eastAsia" w:ascii="宋体" w:hAnsi="宋体" w:cs="宋体"/>
                <w:color w:val="auto"/>
                <w:sz w:val="24"/>
                <w:szCs w:val="24"/>
                <w:highlight w:val="none"/>
                <w:lang w:eastAsia="zh-CN" w:bidi="ar"/>
              </w:rPr>
              <w:t>评标委员会</w:t>
            </w:r>
            <w:r>
              <w:rPr>
                <w:rFonts w:hint="eastAsia" w:ascii="宋体" w:hAnsi="宋体" w:cs="宋体"/>
                <w:color w:val="auto"/>
                <w:sz w:val="24"/>
                <w:szCs w:val="24"/>
                <w:highlight w:val="none"/>
                <w:lang w:bidi="ar"/>
              </w:rPr>
              <w:t>将对其作出不利的评审。</w:t>
            </w:r>
            <w:bookmarkEnd w:id="18"/>
            <w:bookmarkEnd w:id="19"/>
            <w:bookmarkEnd w:id="20"/>
            <w:bookmarkEnd w:id="21"/>
            <w:bookmarkEnd w:id="22"/>
            <w:bookmarkEnd w:id="23"/>
          </w:p>
        </w:tc>
      </w:tr>
    </w:tbl>
    <w:p w14:paraId="050DA17D">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（二）商务评分(F2)：按</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分评分法，商务评分考虑下列因素：</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325A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E0B3772">
            <w:pPr>
              <w:pStyle w:val="20"/>
              <w:spacing w:line="360" w:lineRule="auto"/>
              <w:rPr>
                <w:rFonts w:ascii="宋体" w:hAnsi="宋体"/>
                <w:bCs/>
                <w:color w:val="auto"/>
                <w:kern w:val="2"/>
                <w:szCs w:val="24"/>
                <w:highlight w:val="none"/>
              </w:rPr>
            </w:pPr>
            <w:r>
              <w:rPr>
                <w:rFonts w:hint="eastAsia" w:ascii="宋体" w:hAnsi="宋体"/>
                <w:bCs/>
                <w:color w:val="auto"/>
                <w:kern w:val="2"/>
                <w:szCs w:val="24"/>
                <w:highlight w:val="none"/>
              </w:rPr>
              <w:t>序号</w:t>
            </w:r>
          </w:p>
        </w:tc>
        <w:tc>
          <w:tcPr>
            <w:tcW w:w="7196" w:type="dxa"/>
            <w:noWrap w:val="0"/>
            <w:vAlign w:val="center"/>
          </w:tcPr>
          <w:p w14:paraId="34AA5C4C">
            <w:pPr>
              <w:pStyle w:val="20"/>
              <w:spacing w:line="360" w:lineRule="auto"/>
              <w:rPr>
                <w:rFonts w:ascii="宋体" w:hAnsi="宋体"/>
                <w:bCs/>
                <w:color w:val="auto"/>
                <w:kern w:val="2"/>
                <w:szCs w:val="24"/>
                <w:highlight w:val="none"/>
              </w:rPr>
            </w:pPr>
            <w:r>
              <w:rPr>
                <w:rFonts w:hint="eastAsia" w:ascii="宋体" w:hAnsi="宋体"/>
                <w:bCs/>
                <w:color w:val="auto"/>
                <w:kern w:val="2"/>
                <w:szCs w:val="24"/>
                <w:highlight w:val="none"/>
              </w:rPr>
              <w:t>评分界定</w:t>
            </w:r>
          </w:p>
        </w:tc>
        <w:tc>
          <w:tcPr>
            <w:tcW w:w="905" w:type="dxa"/>
            <w:noWrap w:val="0"/>
            <w:vAlign w:val="center"/>
          </w:tcPr>
          <w:p w14:paraId="7489C665">
            <w:pPr>
              <w:pStyle w:val="20"/>
              <w:spacing w:line="360" w:lineRule="auto"/>
              <w:rPr>
                <w:rFonts w:ascii="宋体" w:hAnsi="宋体"/>
                <w:bCs/>
                <w:color w:val="auto"/>
                <w:kern w:val="2"/>
                <w:szCs w:val="24"/>
                <w:highlight w:val="none"/>
              </w:rPr>
            </w:pPr>
            <w:r>
              <w:rPr>
                <w:rFonts w:hint="eastAsia" w:ascii="宋体" w:hAnsi="宋体"/>
                <w:bCs/>
                <w:color w:val="auto"/>
                <w:kern w:val="2"/>
                <w:szCs w:val="24"/>
                <w:highlight w:val="none"/>
              </w:rPr>
              <w:t>满分分值</w:t>
            </w:r>
          </w:p>
        </w:tc>
      </w:tr>
      <w:tr w14:paraId="6CC6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2596152">
            <w:pPr>
              <w:pStyle w:val="20"/>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1</w:t>
            </w:r>
          </w:p>
        </w:tc>
        <w:tc>
          <w:tcPr>
            <w:tcW w:w="7196" w:type="dxa"/>
            <w:noWrap w:val="0"/>
            <w:vAlign w:val="center"/>
          </w:tcPr>
          <w:p w14:paraId="567FD264">
            <w:pPr>
              <w:pStyle w:val="20"/>
              <w:spacing w:line="360" w:lineRule="auto"/>
              <w:jc w:val="left"/>
              <w:rPr>
                <w:rFonts w:hint="eastAsia" w:ascii="宋体" w:hAnsi="宋体"/>
                <w:bCs/>
                <w:color w:val="auto"/>
                <w:kern w:val="2"/>
                <w:szCs w:val="24"/>
                <w:highlight w:val="none"/>
              </w:rPr>
            </w:pPr>
            <w:r>
              <w:rPr>
                <w:rFonts w:hint="eastAsia" w:ascii="宋体" w:hAnsi="宋体"/>
                <w:b w:val="0"/>
                <w:bCs w:val="0"/>
                <w:color w:val="auto"/>
                <w:kern w:val="2"/>
                <w:szCs w:val="24"/>
                <w:highlight w:val="none"/>
                <w:lang w:eastAsia="zh-CN"/>
              </w:rPr>
              <w:t>投标人</w:t>
            </w:r>
            <w:r>
              <w:rPr>
                <w:rFonts w:hint="eastAsia" w:ascii="宋体" w:hAnsi="宋体"/>
                <w:b w:val="0"/>
                <w:bCs w:val="0"/>
                <w:color w:val="auto"/>
                <w:kern w:val="2"/>
                <w:szCs w:val="24"/>
                <w:highlight w:val="none"/>
              </w:rPr>
              <w:t>可提供厦门本地化服务的得</w:t>
            </w:r>
            <w:r>
              <w:rPr>
                <w:rFonts w:hint="eastAsia" w:ascii="宋体" w:hAnsi="宋体"/>
                <w:b w:val="0"/>
                <w:bCs w:val="0"/>
                <w:color w:val="auto"/>
                <w:kern w:val="2"/>
                <w:szCs w:val="24"/>
                <w:highlight w:val="none"/>
                <w:lang w:val="en-US" w:eastAsia="zh-CN"/>
              </w:rPr>
              <w:t>2</w:t>
            </w:r>
            <w:r>
              <w:rPr>
                <w:rFonts w:hint="eastAsia" w:ascii="宋体" w:hAnsi="宋体"/>
                <w:b w:val="0"/>
                <w:bCs w:val="0"/>
                <w:color w:val="auto"/>
                <w:kern w:val="2"/>
                <w:szCs w:val="24"/>
                <w:highlight w:val="none"/>
              </w:rPr>
              <w:t>分，否则不得分。</w:t>
            </w:r>
            <w:r>
              <w:rPr>
                <w:rFonts w:hint="eastAsia" w:ascii="宋体" w:hAnsi="宋体"/>
                <w:b w:val="0"/>
                <w:bCs w:val="0"/>
                <w:color w:val="auto"/>
                <w:kern w:val="2"/>
                <w:szCs w:val="24"/>
                <w:highlight w:val="none"/>
                <w:lang w:eastAsia="zh-CN"/>
              </w:rPr>
              <w:t>投标人</w:t>
            </w:r>
            <w:r>
              <w:rPr>
                <w:rFonts w:hint="eastAsia" w:ascii="宋体" w:hAnsi="宋体"/>
                <w:b w:val="0"/>
                <w:bCs w:val="0"/>
                <w:color w:val="auto"/>
                <w:kern w:val="2"/>
                <w:szCs w:val="24"/>
                <w:highlight w:val="none"/>
              </w:rPr>
              <w:t>可提供合作单位协议或者自身机构的营业执照证明，也可以提供在本地设立的项目部、办公室、办事处等机构证明，或者承诺成交后提供本地化服务。</w:t>
            </w:r>
          </w:p>
        </w:tc>
        <w:tc>
          <w:tcPr>
            <w:tcW w:w="905" w:type="dxa"/>
            <w:noWrap w:val="0"/>
            <w:vAlign w:val="center"/>
          </w:tcPr>
          <w:p w14:paraId="2F234456">
            <w:pPr>
              <w:pStyle w:val="20"/>
              <w:spacing w:line="360" w:lineRule="auto"/>
              <w:rPr>
                <w:rFonts w:hint="eastAsia" w:ascii="宋体" w:hAnsi="宋体"/>
                <w:bCs/>
                <w:color w:val="auto"/>
                <w:kern w:val="2"/>
                <w:szCs w:val="24"/>
                <w:highlight w:val="none"/>
              </w:rPr>
            </w:pPr>
            <w:r>
              <w:rPr>
                <w:rFonts w:hint="eastAsia" w:ascii="宋体" w:hAnsi="宋体"/>
                <w:b w:val="0"/>
                <w:color w:val="auto"/>
                <w:kern w:val="2"/>
                <w:szCs w:val="24"/>
                <w:highlight w:val="none"/>
                <w:lang w:val="en-US" w:eastAsia="zh-CN"/>
              </w:rPr>
              <w:t>2</w:t>
            </w:r>
            <w:r>
              <w:rPr>
                <w:rFonts w:hint="eastAsia" w:ascii="宋体" w:hAnsi="宋体"/>
                <w:b w:val="0"/>
                <w:color w:val="auto"/>
                <w:kern w:val="2"/>
                <w:szCs w:val="24"/>
                <w:highlight w:val="none"/>
              </w:rPr>
              <w:t>分</w:t>
            </w:r>
          </w:p>
        </w:tc>
      </w:tr>
      <w:tr w14:paraId="7BB1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0A91096">
            <w:pPr>
              <w:pStyle w:val="20"/>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2</w:t>
            </w:r>
          </w:p>
        </w:tc>
        <w:tc>
          <w:tcPr>
            <w:tcW w:w="7196" w:type="dxa"/>
            <w:noWrap w:val="0"/>
            <w:vAlign w:val="center"/>
          </w:tcPr>
          <w:p w14:paraId="3A2AEC3B">
            <w:pPr>
              <w:pStyle w:val="20"/>
              <w:spacing w:line="360" w:lineRule="auto"/>
              <w:jc w:val="left"/>
              <w:rPr>
                <w:rFonts w:ascii="宋体" w:hAnsi="宋体" w:cs="宋体"/>
                <w:color w:val="auto"/>
                <w:sz w:val="24"/>
                <w:szCs w:val="24"/>
                <w:highlight w:val="none"/>
                <w:lang w:eastAsia="zh-CN"/>
              </w:rPr>
            </w:pPr>
            <w:r>
              <w:rPr>
                <w:rFonts w:hint="eastAsia" w:ascii="宋体" w:hAnsi="宋体" w:eastAsia="宋体" w:cs="宋体"/>
                <w:b w:val="0"/>
                <w:color w:val="auto"/>
                <w:kern w:val="2"/>
                <w:sz w:val="24"/>
                <w:szCs w:val="24"/>
                <w:highlight w:val="none"/>
              </w:rPr>
              <w:t>根据</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提供的【响应处理能力】进行评价：</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承诺：</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公章。未提供或不符合上述要求的不得分。</w:t>
            </w:r>
          </w:p>
        </w:tc>
        <w:tc>
          <w:tcPr>
            <w:tcW w:w="905" w:type="dxa"/>
            <w:noWrap w:val="0"/>
            <w:vAlign w:val="center"/>
          </w:tcPr>
          <w:p w14:paraId="3D705385">
            <w:pPr>
              <w:pStyle w:val="20"/>
              <w:spacing w:line="360" w:lineRule="auto"/>
              <w:rPr>
                <w:rFonts w:hint="eastAsia" w:ascii="宋体" w:hAnsi="宋体"/>
                <w:b w:val="0"/>
                <w:color w:val="auto"/>
                <w:kern w:val="2"/>
                <w:szCs w:val="24"/>
                <w:highlight w:val="none"/>
              </w:rPr>
            </w:pPr>
            <w:r>
              <w:rPr>
                <w:rFonts w:hint="eastAsia" w:ascii="宋体" w:hAnsi="宋体" w:cs="宋体"/>
                <w:b w:val="0"/>
                <w:color w:val="auto"/>
                <w:kern w:val="2"/>
                <w:sz w:val="24"/>
                <w:szCs w:val="24"/>
                <w:highlight w:val="none"/>
                <w:lang w:val="en-US" w:eastAsia="zh-CN"/>
              </w:rPr>
              <w:t>3分</w:t>
            </w:r>
          </w:p>
        </w:tc>
      </w:tr>
      <w:tr w14:paraId="017E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B3343EB">
            <w:pPr>
              <w:pStyle w:val="20"/>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3</w:t>
            </w:r>
          </w:p>
        </w:tc>
        <w:tc>
          <w:tcPr>
            <w:tcW w:w="7196" w:type="dxa"/>
            <w:noWrap w:val="0"/>
            <w:vAlign w:val="top"/>
          </w:tcPr>
          <w:p w14:paraId="521931A8">
            <w:pPr>
              <w:pStyle w:val="19"/>
              <w:spacing w:line="360" w:lineRule="auto"/>
              <w:jc w:val="both"/>
              <w:rPr>
                <w:rFonts w:ascii="宋体" w:hAnsi="宋体" w:cs="宋体"/>
                <w:color w:val="auto"/>
                <w:sz w:val="24"/>
                <w:szCs w:val="24"/>
                <w:highlight w:val="none"/>
                <w:lang w:eastAsia="zh-CN"/>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在合同履行期间，服务人员发生劳动纠纷的，由投标人自行解决并承担所有责任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905" w:type="dxa"/>
            <w:noWrap w:val="0"/>
            <w:vAlign w:val="center"/>
          </w:tcPr>
          <w:p w14:paraId="2C979757">
            <w:pPr>
              <w:pStyle w:val="20"/>
              <w:spacing w:line="360" w:lineRule="auto"/>
              <w:rPr>
                <w:rFonts w:hint="eastAsia" w:ascii="宋体" w:hAnsi="宋体"/>
                <w:b w:val="0"/>
                <w:color w:val="auto"/>
                <w:kern w:val="2"/>
                <w:szCs w:val="24"/>
                <w:highlight w:val="none"/>
              </w:rPr>
            </w:pPr>
            <w:r>
              <w:rPr>
                <w:rFonts w:hint="eastAsia" w:ascii="宋体" w:hAnsi="宋体" w:cs="宋体"/>
                <w:b w:val="0"/>
                <w:color w:val="auto"/>
                <w:kern w:val="2"/>
                <w:sz w:val="24"/>
                <w:szCs w:val="24"/>
                <w:highlight w:val="none"/>
                <w:lang w:val="en-US" w:eastAsia="zh-CN"/>
              </w:rPr>
              <w:t>3分</w:t>
            </w:r>
          </w:p>
        </w:tc>
      </w:tr>
      <w:tr w14:paraId="33A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24A01EB">
            <w:pPr>
              <w:pStyle w:val="20"/>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4</w:t>
            </w:r>
          </w:p>
        </w:tc>
        <w:tc>
          <w:tcPr>
            <w:tcW w:w="7196" w:type="dxa"/>
            <w:noWrap w:val="0"/>
            <w:vAlign w:val="top"/>
          </w:tcPr>
          <w:p w14:paraId="1B72700C">
            <w:pPr>
              <w:pStyle w:val="19"/>
              <w:spacing w:line="360" w:lineRule="auto"/>
              <w:jc w:val="both"/>
              <w:rPr>
                <w:rFonts w:hint="eastAsia"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w:t>
            </w:r>
            <w:r>
              <w:rPr>
                <w:rFonts w:hint="eastAsia" w:ascii="宋体" w:hAnsi="宋体" w:cs="宋体"/>
                <w:color w:val="auto"/>
                <w:sz w:val="24"/>
                <w:szCs w:val="24"/>
                <w:highlight w:val="none"/>
                <w:lang w:val="en-US" w:eastAsia="zh-CN"/>
              </w:rPr>
              <w:t>成交</w:t>
            </w:r>
            <w:r>
              <w:rPr>
                <w:rFonts w:ascii="宋体" w:hAnsi="宋体" w:cs="宋体"/>
                <w:color w:val="auto"/>
                <w:sz w:val="24"/>
                <w:szCs w:val="24"/>
                <w:highlight w:val="none"/>
              </w:rPr>
              <w:t>后遵守保密义务，并签订保密协议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905" w:type="dxa"/>
            <w:noWrap w:val="0"/>
            <w:vAlign w:val="center"/>
          </w:tcPr>
          <w:p w14:paraId="720CC8F1">
            <w:pPr>
              <w:pStyle w:val="20"/>
              <w:spacing w:line="360" w:lineRule="auto"/>
              <w:rPr>
                <w:rFonts w:hint="default" w:ascii="宋体" w:hAnsi="宋体"/>
                <w:b w:val="0"/>
                <w:color w:val="auto"/>
                <w:kern w:val="2"/>
                <w:szCs w:val="24"/>
                <w:highlight w:val="none"/>
                <w:lang w:val="en-US" w:eastAsia="zh-CN"/>
              </w:rPr>
            </w:pPr>
            <w:r>
              <w:rPr>
                <w:rFonts w:hint="eastAsia" w:ascii="宋体" w:hAnsi="宋体" w:cs="宋体"/>
                <w:b w:val="0"/>
                <w:color w:val="auto"/>
                <w:kern w:val="2"/>
                <w:sz w:val="24"/>
                <w:szCs w:val="24"/>
                <w:highlight w:val="none"/>
                <w:lang w:val="en-US" w:eastAsia="zh-CN"/>
              </w:rPr>
              <w:t>3分</w:t>
            </w:r>
          </w:p>
        </w:tc>
      </w:tr>
      <w:tr w14:paraId="5E0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7A80F29">
            <w:pPr>
              <w:pStyle w:val="20"/>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5</w:t>
            </w:r>
          </w:p>
        </w:tc>
        <w:tc>
          <w:tcPr>
            <w:tcW w:w="7196" w:type="dxa"/>
            <w:noWrap w:val="0"/>
            <w:vAlign w:val="top"/>
          </w:tcPr>
          <w:p w14:paraId="6C727B15">
            <w:pPr>
              <w:pStyle w:val="19"/>
              <w:spacing w:line="360" w:lineRule="auto"/>
              <w:jc w:val="both"/>
              <w:rPr>
                <w:rFonts w:ascii="宋体" w:hAnsi="宋体" w:cs="宋体"/>
                <w:color w:val="auto"/>
                <w:sz w:val="24"/>
                <w:szCs w:val="24"/>
                <w:highlight w:val="none"/>
                <w:lang w:eastAsia="zh-CN"/>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随时接受并积极配合采购人对其服务的考核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905" w:type="dxa"/>
            <w:noWrap w:val="0"/>
            <w:vAlign w:val="center"/>
          </w:tcPr>
          <w:p w14:paraId="09655942">
            <w:pPr>
              <w:pStyle w:val="20"/>
              <w:spacing w:line="360" w:lineRule="auto"/>
              <w:rPr>
                <w:rFonts w:hint="eastAsia" w:ascii="宋体" w:hAnsi="宋体" w:eastAsia="宋体"/>
                <w:b w:val="0"/>
                <w:color w:val="auto"/>
                <w:kern w:val="2"/>
                <w:szCs w:val="24"/>
                <w:highlight w:val="none"/>
                <w:lang w:val="en-US" w:eastAsia="zh-CN"/>
              </w:rPr>
            </w:pPr>
            <w:r>
              <w:rPr>
                <w:rFonts w:hint="eastAsia" w:ascii="宋体" w:hAnsi="宋体" w:cs="宋体"/>
                <w:b w:val="0"/>
                <w:color w:val="auto"/>
                <w:kern w:val="2"/>
                <w:sz w:val="24"/>
                <w:szCs w:val="24"/>
                <w:highlight w:val="none"/>
                <w:lang w:val="en-US" w:eastAsia="zh-CN"/>
              </w:rPr>
              <w:t>3分</w:t>
            </w:r>
          </w:p>
        </w:tc>
      </w:tr>
      <w:tr w14:paraId="6780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FF772C9">
            <w:pPr>
              <w:pStyle w:val="20"/>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6</w:t>
            </w:r>
          </w:p>
        </w:tc>
        <w:tc>
          <w:tcPr>
            <w:tcW w:w="7196" w:type="dxa"/>
            <w:noWrap w:val="0"/>
            <w:vAlign w:val="top"/>
          </w:tcPr>
          <w:p w14:paraId="2351E8BA">
            <w:pPr>
              <w:pStyle w:val="19"/>
              <w:spacing w:line="360" w:lineRule="auto"/>
              <w:jc w:val="both"/>
              <w:rPr>
                <w:rFonts w:hint="eastAsia" w:ascii="宋体" w:hAnsi="宋体" w:cs="宋体"/>
                <w:b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rPr>
              <w:t>针对本项目</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编制各项管理制度（</w:t>
            </w:r>
            <w:r>
              <w:rPr>
                <w:rFonts w:hint="eastAsia" w:ascii="宋体" w:hAnsi="宋体" w:eastAsia="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rPr>
              <w:t>：内部管理制度、安全管理制度，应结合本项目实际情况制定），每提供一项制度，得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分，满分</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未提供不得分</w:t>
            </w:r>
            <w:r>
              <w:rPr>
                <w:rFonts w:hint="eastAsia" w:ascii="宋体" w:hAnsi="宋体" w:eastAsia="宋体" w:cs="宋体"/>
                <w:b w:val="0"/>
                <w:bCs w:val="0"/>
                <w:color w:val="auto"/>
                <w:sz w:val="24"/>
                <w:szCs w:val="24"/>
                <w:highlight w:val="none"/>
              </w:rPr>
              <w:t>。</w:t>
            </w:r>
          </w:p>
        </w:tc>
        <w:tc>
          <w:tcPr>
            <w:tcW w:w="905" w:type="dxa"/>
            <w:noWrap w:val="0"/>
            <w:vAlign w:val="center"/>
          </w:tcPr>
          <w:p w14:paraId="56F033CB">
            <w:pPr>
              <w:pStyle w:val="20"/>
              <w:spacing w:line="360" w:lineRule="auto"/>
              <w:rPr>
                <w:rFonts w:hint="eastAsia" w:ascii="宋体" w:hAnsi="宋体"/>
                <w:b w:val="0"/>
                <w:color w:val="auto"/>
                <w:kern w:val="2"/>
                <w:szCs w:val="24"/>
                <w:highlight w:val="none"/>
                <w:lang w:val="en-US" w:eastAsia="zh-CN"/>
              </w:rPr>
            </w:pPr>
            <w:r>
              <w:rPr>
                <w:rFonts w:hint="eastAsia" w:ascii="宋体" w:hAnsi="宋体" w:cs="宋体"/>
                <w:b w:val="0"/>
                <w:color w:val="auto"/>
                <w:kern w:val="2"/>
                <w:sz w:val="24"/>
                <w:szCs w:val="24"/>
                <w:highlight w:val="none"/>
                <w:lang w:val="en-US" w:eastAsia="zh-CN"/>
              </w:rPr>
              <w:t>3分</w:t>
            </w:r>
          </w:p>
        </w:tc>
      </w:tr>
      <w:tr w14:paraId="6747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B4C8122">
            <w:pPr>
              <w:pStyle w:val="20"/>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7</w:t>
            </w:r>
          </w:p>
        </w:tc>
        <w:tc>
          <w:tcPr>
            <w:tcW w:w="7196" w:type="dxa"/>
            <w:noWrap w:val="0"/>
            <w:vAlign w:val="center"/>
          </w:tcPr>
          <w:p w14:paraId="08A2B665">
            <w:pPr>
              <w:spacing w:line="360" w:lineRule="auto"/>
              <w:rPr>
                <w:rFonts w:hint="eastAsia" w:ascii="宋体" w:hAnsi="宋体" w:cs="宋体"/>
                <w:b w:val="0"/>
                <w:color w:val="auto"/>
                <w:kern w:val="2"/>
                <w:sz w:val="24"/>
                <w:szCs w:val="24"/>
                <w:highlight w:val="none"/>
                <w:lang w:val="en-US" w:eastAsia="zh-CN"/>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承诺“成交后，在服务期内，对拟投入的所有人员安全负全部责任，如若发生安全事故，承担全部责任”的得</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分，须提供书面承诺函，否则不得分。</w:t>
            </w:r>
          </w:p>
        </w:tc>
        <w:tc>
          <w:tcPr>
            <w:tcW w:w="905" w:type="dxa"/>
            <w:noWrap w:val="0"/>
            <w:vAlign w:val="center"/>
          </w:tcPr>
          <w:p w14:paraId="7458C3EA">
            <w:pPr>
              <w:pStyle w:val="5"/>
              <w:spacing w:line="360" w:lineRule="auto"/>
              <w:jc w:val="center"/>
              <w:rPr>
                <w:rFonts w:hint="eastAsia" w:ascii="宋体" w:hAnsi="宋体"/>
                <w:b w:val="0"/>
                <w:color w:val="auto"/>
                <w:kern w:val="2"/>
                <w:szCs w:val="24"/>
                <w:highlight w:val="none"/>
                <w:lang w:val="en-US" w:eastAsia="zh-CN"/>
              </w:rPr>
            </w:pP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分</w:t>
            </w:r>
          </w:p>
        </w:tc>
      </w:tr>
      <w:tr w14:paraId="111A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B9C2D34">
            <w:pPr>
              <w:pStyle w:val="20"/>
              <w:spacing w:line="360" w:lineRule="auto"/>
              <w:rPr>
                <w:rFonts w:hint="eastAsia" w:ascii="宋体" w:hAnsi="宋体" w:eastAsia="宋体"/>
                <w:b w:val="0"/>
                <w:color w:val="auto"/>
                <w:kern w:val="2"/>
                <w:szCs w:val="24"/>
                <w:highlight w:val="none"/>
                <w:lang w:val="en-US" w:eastAsia="zh-CN"/>
              </w:rPr>
            </w:pPr>
            <w:r>
              <w:rPr>
                <w:rFonts w:hint="eastAsia" w:ascii="宋体" w:hAnsi="宋体"/>
                <w:b w:val="0"/>
                <w:color w:val="auto"/>
                <w:kern w:val="2"/>
                <w:szCs w:val="24"/>
                <w:highlight w:val="none"/>
                <w:lang w:val="en-US" w:eastAsia="zh-CN"/>
              </w:rPr>
              <w:t>8</w:t>
            </w:r>
          </w:p>
        </w:tc>
        <w:tc>
          <w:tcPr>
            <w:tcW w:w="7196" w:type="dxa"/>
            <w:noWrap w:val="0"/>
            <w:vAlign w:val="top"/>
          </w:tcPr>
          <w:p w14:paraId="44518D35">
            <w:pPr>
              <w:pStyle w:val="19"/>
              <w:spacing w:line="360" w:lineRule="auto"/>
              <w:jc w:val="both"/>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投标人提供自</w:t>
            </w:r>
            <w:r>
              <w:rPr>
                <w:rFonts w:hint="eastAsia" w:ascii="宋体" w:hAnsi="宋体" w:eastAsia="宋体" w:cs="宋体"/>
                <w:color w:val="auto"/>
                <w:sz w:val="24"/>
                <w:szCs w:val="24"/>
                <w:highlight w:val="none"/>
              </w:rPr>
              <w:t>2022年1月1日（以合同签订时间为准）至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截止当日承接过的同类业绩进行评价：每提供1份业绩得1分，满分3分。注：（1）同类业绩是指：</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承接关于会务服务工作</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项目。（2）需提供业绩的以下证明材料，否则不计分：采购合同文本复印件；</w:t>
            </w:r>
          </w:p>
        </w:tc>
        <w:tc>
          <w:tcPr>
            <w:tcW w:w="905" w:type="dxa"/>
            <w:noWrap w:val="0"/>
            <w:vAlign w:val="center"/>
          </w:tcPr>
          <w:p w14:paraId="4C66DBE4">
            <w:pPr>
              <w:pStyle w:val="20"/>
              <w:spacing w:line="360" w:lineRule="auto"/>
              <w:rPr>
                <w:rFonts w:hint="eastAsia" w:ascii="宋体" w:hAnsi="宋体"/>
                <w:bCs/>
                <w:color w:val="auto"/>
                <w:kern w:val="2"/>
                <w:szCs w:val="24"/>
                <w:highlight w:val="none"/>
              </w:rPr>
            </w:pPr>
            <w:r>
              <w:rPr>
                <w:rFonts w:hint="eastAsia" w:ascii="宋体" w:hAnsi="宋体" w:cs="宋体"/>
                <w:b w:val="0"/>
                <w:color w:val="auto"/>
                <w:kern w:val="2"/>
                <w:sz w:val="24"/>
                <w:szCs w:val="24"/>
                <w:highlight w:val="none"/>
                <w:lang w:val="en-US" w:eastAsia="zh-CN"/>
              </w:rPr>
              <w:t>3分</w:t>
            </w:r>
          </w:p>
        </w:tc>
      </w:tr>
      <w:tr w14:paraId="454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CE2E129">
            <w:pPr>
              <w:pStyle w:val="20"/>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9</w:t>
            </w:r>
          </w:p>
        </w:tc>
        <w:tc>
          <w:tcPr>
            <w:tcW w:w="7196" w:type="dxa"/>
            <w:noWrap w:val="0"/>
            <w:vAlign w:val="top"/>
          </w:tcPr>
          <w:p w14:paraId="501D0045">
            <w:pPr>
              <w:pStyle w:val="19"/>
              <w:spacing w:line="360" w:lineRule="auto"/>
              <w:jc w:val="both"/>
              <w:rPr>
                <w:rFonts w:hint="eastAsia" w:ascii="宋体" w:hAnsi="宋体" w:cs="宋体"/>
                <w:color w:val="auto"/>
                <w:kern w:val="0"/>
                <w:sz w:val="24"/>
                <w:szCs w:val="24"/>
                <w:highlight w:val="none"/>
              </w:rPr>
            </w:pPr>
            <w:r>
              <w:rPr>
                <w:rFonts w:hint="eastAsia" w:ascii="宋体" w:hAnsi="宋体" w:cs="宋体"/>
                <w:b w:val="0"/>
                <w:color w:val="auto"/>
                <w:kern w:val="2"/>
                <w:sz w:val="24"/>
                <w:szCs w:val="24"/>
                <w:highlight w:val="none"/>
                <w:lang w:val="en-US" w:eastAsia="zh-CN"/>
              </w:rPr>
              <w:t>根据</w:t>
            </w:r>
            <w:r>
              <w:rPr>
                <w:rFonts w:hint="eastAsia" w:ascii="宋体" w:hAnsi="宋体" w:cs="宋体"/>
                <w:color w:val="auto"/>
                <w:sz w:val="24"/>
                <w:szCs w:val="24"/>
                <w:highlight w:val="none"/>
                <w:lang w:val="en-US" w:eastAsia="zh-CN"/>
              </w:rPr>
              <w:t>投标人提供自</w:t>
            </w:r>
            <w:r>
              <w:rPr>
                <w:rFonts w:hint="eastAsia" w:ascii="宋体" w:hAnsi="宋体" w:cs="宋体"/>
                <w:b w:val="0"/>
                <w:color w:val="auto"/>
                <w:kern w:val="2"/>
                <w:sz w:val="24"/>
                <w:szCs w:val="24"/>
                <w:highlight w:val="none"/>
                <w:lang w:val="en-US" w:eastAsia="zh-CN"/>
              </w:rPr>
              <w:t>2022年1月1日至报价截止当日获得过同类服务项目（同类服务项目是指关于</w:t>
            </w:r>
            <w:r>
              <w:rPr>
                <w:rFonts w:hint="eastAsia" w:ascii="宋体" w:hAnsi="宋体" w:eastAsia="宋体" w:cs="宋体"/>
                <w:color w:val="auto"/>
                <w:sz w:val="24"/>
                <w:szCs w:val="24"/>
                <w:highlight w:val="none"/>
              </w:rPr>
              <w:t>会务服务工作</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w:t>
            </w:r>
            <w:r>
              <w:rPr>
                <w:rFonts w:hint="eastAsia" w:ascii="宋体" w:hAnsi="宋体" w:cs="宋体"/>
                <w:b w:val="0"/>
                <w:color w:val="auto"/>
                <w:kern w:val="2"/>
                <w:sz w:val="24"/>
                <w:szCs w:val="24"/>
                <w:highlight w:val="none"/>
                <w:lang w:val="en-US" w:eastAsia="zh-CN"/>
              </w:rPr>
              <w:t>）的业主单位对其履行合同情况及服务质量的评价材料（或表扬信或感谢信或验收合格的材料证明）进行评价：每提供1份正面评价材料（需体现优秀、优良、良好或满意）的得1分，满分2分。</w:t>
            </w:r>
          </w:p>
        </w:tc>
        <w:tc>
          <w:tcPr>
            <w:tcW w:w="905" w:type="dxa"/>
            <w:noWrap w:val="0"/>
            <w:vAlign w:val="center"/>
          </w:tcPr>
          <w:p w14:paraId="5F5C86E3">
            <w:pPr>
              <w:pStyle w:val="20"/>
              <w:spacing w:line="360" w:lineRule="auto"/>
              <w:rPr>
                <w:rFonts w:ascii="宋体" w:hAnsi="宋体"/>
                <w:color w:val="auto"/>
                <w:sz w:val="24"/>
                <w:highlight w:val="none"/>
              </w:rPr>
            </w:pPr>
            <w:r>
              <w:rPr>
                <w:rFonts w:hint="eastAsia" w:ascii="宋体" w:hAnsi="宋体" w:cs="宋体"/>
                <w:b w:val="0"/>
                <w:color w:val="auto"/>
                <w:kern w:val="2"/>
                <w:sz w:val="24"/>
                <w:szCs w:val="24"/>
                <w:highlight w:val="none"/>
                <w:lang w:val="en-US" w:eastAsia="zh-CN"/>
              </w:rPr>
              <w:t>2分</w:t>
            </w:r>
          </w:p>
        </w:tc>
      </w:tr>
    </w:tbl>
    <w:p w14:paraId="36CD8B55">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（三）价格评分(F3)：按</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分评分法，评标委员会对各有效标投标报价进行审核确定评标价，并将最低有效标的评标价设为基准价，定其价格得分为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分。按公式：价格得分＝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sym w:font="Symbol" w:char="00B4"/>
      </w:r>
      <w:r>
        <w:rPr>
          <w:rFonts w:hint="eastAsia" w:ascii="宋体" w:hAnsi="宋体" w:eastAsia="宋体" w:cs="宋体"/>
          <w:color w:val="auto"/>
          <w:sz w:val="24"/>
          <w:szCs w:val="24"/>
          <w:highlight w:val="none"/>
        </w:rPr>
        <w:t>（基准价/各个通过审核的有效投标人的评标价）计算，由此算出各个通过审核的有效投标人的价格得分。</w:t>
      </w:r>
    </w:p>
    <w:p w14:paraId="7FB5B521">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）综合得分= F1+F2+F3 。</w:t>
      </w:r>
    </w:p>
    <w:p w14:paraId="76D67BED">
      <w:pPr>
        <w:pStyle w:val="6"/>
        <w:spacing w:line="360" w:lineRule="auto"/>
        <w:ind w:firstLine="720" w:firstLineChars="30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备注：技术商务评分中涉及排名情况的评分由评标委员会根据各投标人投标文件的响应情况进行综合评议得出排名。</w:t>
      </w:r>
    </w:p>
    <w:p w14:paraId="1CC7FB5C">
      <w:pPr>
        <w:spacing w:line="360" w:lineRule="auto"/>
        <w:jc w:val="center"/>
        <w:rPr>
          <w:rFonts w:hint="eastAsia" w:ascii="宋体" w:hAnsi="宋体" w:eastAsia="宋体" w:cs="宋体"/>
          <w:b/>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bookmarkStart w:id="24" w:name="OLE_LINK1"/>
    </w:p>
    <w:p w14:paraId="27A6416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投标人须知</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w:t>
      </w:r>
    </w:p>
    <w:bookmarkEnd w:id="24"/>
    <w:p w14:paraId="57CB7597">
      <w:pPr>
        <w:spacing w:line="360" w:lineRule="auto"/>
        <w:jc w:val="center"/>
        <w:outlineLvl w:val="1"/>
        <w:rPr>
          <w:rFonts w:hint="eastAsia" w:ascii="宋体" w:hAnsi="宋体" w:eastAsia="宋体" w:cs="宋体"/>
          <w:b/>
          <w:color w:val="auto"/>
          <w:sz w:val="24"/>
          <w:szCs w:val="24"/>
          <w:highlight w:val="none"/>
        </w:rPr>
      </w:pPr>
      <w:bookmarkStart w:id="25" w:name="_Toc1344345389"/>
      <w:bookmarkStart w:id="26" w:name="_Toc924579373"/>
      <w:r>
        <w:rPr>
          <w:rFonts w:hint="eastAsia" w:ascii="宋体" w:hAnsi="宋体" w:eastAsia="宋体" w:cs="宋体"/>
          <w:b/>
          <w:color w:val="auto"/>
          <w:sz w:val="24"/>
          <w:szCs w:val="24"/>
          <w:highlight w:val="none"/>
        </w:rPr>
        <w:t>一、说明</w:t>
      </w:r>
      <w:bookmarkEnd w:id="25"/>
      <w:bookmarkEnd w:id="26"/>
    </w:p>
    <w:p w14:paraId="0BA6F4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56112C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1.1本招标文件仅适用于投标邀请中所叙述项目的服务类政府采购。</w:t>
      </w:r>
    </w:p>
    <w:p w14:paraId="500BA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14:paraId="330998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404B31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“招标采购单位”系指组织本次招标活动的采购人或招标代理机构。</w:t>
      </w:r>
    </w:p>
    <w:p w14:paraId="4D2D87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“招标代理机构”系指本次招标采购项目活动组织方。</w:t>
      </w:r>
    </w:p>
    <w:p w14:paraId="61F0D8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“投标人”系指购买了本招标文件，且已经提交或者准备提交本次投标文件的服务商。</w:t>
      </w:r>
    </w:p>
    <w:p w14:paraId="206398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“服务”系指维护、管理、安装、调试、技术协助、校准、培训以及其他类似的义务。</w:t>
      </w:r>
    </w:p>
    <w:p w14:paraId="26C455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2.6“项目”系以合同包为单位。</w:t>
      </w:r>
    </w:p>
    <w:p w14:paraId="32EB63A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合格的投标人</w:t>
      </w:r>
    </w:p>
    <w:p w14:paraId="1832CA5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4AE27C5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投标人具备《中华人民共和国政府采购法》第二十二条第一款规定的条件，应提供以下材料：</w:t>
      </w:r>
    </w:p>
    <w:p w14:paraId="6BBD6BAC">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（1）法人或者其他组织的营业执照等证明文件，自然人的身份证明；</w:t>
      </w:r>
    </w:p>
    <w:p w14:paraId="6BF70E45">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投标人是法人或者其他组织的应提供营业执照等证明文件，投标人是自然人的应提供有效的自然人身份证明。</w:t>
      </w:r>
    </w:p>
    <w:p w14:paraId="2DC750ED">
      <w:pPr>
        <w:spacing w:line="360" w:lineRule="auto"/>
        <w:ind w:firstLine="48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（2）投标人已提供加载有统一社会信用代码营业执照的，视为已提供税务登记证和组织机构代码证。</w:t>
      </w:r>
    </w:p>
    <w:p w14:paraId="0A11F718">
      <w:pPr>
        <w:spacing w:line="360" w:lineRule="auto"/>
        <w:ind w:firstLine="48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（3）按要求提供福建省</w:t>
      </w:r>
      <w:r>
        <w:rPr>
          <w:rFonts w:hint="eastAsia" w:ascii="宋体" w:hAnsi="宋体" w:eastAsia="宋体" w:cs="宋体"/>
          <w:b/>
          <w:color w:val="auto"/>
          <w:sz w:val="24"/>
          <w:szCs w:val="24"/>
          <w:highlight w:val="none"/>
        </w:rPr>
        <w:t>政府采购供应商资格承诺函</w:t>
      </w:r>
      <w:r>
        <w:rPr>
          <w:rFonts w:hint="eastAsia" w:ascii="宋体" w:hAnsi="宋体" w:eastAsia="宋体" w:cs="宋体"/>
          <w:b/>
          <w:color w:val="auto"/>
          <w:sz w:val="24"/>
          <w:szCs w:val="24"/>
          <w:highlight w:val="none"/>
          <w:lang w:eastAsia="zh-CN"/>
        </w:rPr>
        <w:t>。</w:t>
      </w:r>
    </w:p>
    <w:p w14:paraId="3656359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3.2投标人应遵守并符合中国的有关法律、法规和规章的规定，同时其投标服务也应符合中国的有关法律、法规和规章的规定。</w:t>
      </w:r>
    </w:p>
    <w:p w14:paraId="7E43E10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3.3一个投标人只能提交一个投标文件。如果投标人之间存在下列互为关联关系的情形之一的，不得同时参加本项目同一合同包投标：</w:t>
      </w:r>
    </w:p>
    <w:p w14:paraId="5252081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(1)法定代表人、单位负责人为同一人或夫妻关系的不同投标人；</w:t>
      </w:r>
    </w:p>
    <w:p w14:paraId="1BFDFC5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(2)存在直接控股、管理关系的不同投标人；</w:t>
      </w:r>
    </w:p>
    <w:p w14:paraId="3AB12AF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(3)均为同一家母公司直接或间接持股50％及以上的被投资公司。</w:t>
      </w:r>
    </w:p>
    <w:p w14:paraId="138A65D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09E1161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3.5如本项目接受联合体投标，则两个或者两个以上投标人可以组成一个投标联合体，以一个投标人的身份投标。</w:t>
      </w:r>
    </w:p>
    <w:p w14:paraId="7B3692F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1DA6154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20E775F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（3）项目如涉及资质要求，该部分内容应由联合体中具有该资质要求的投标人承担。联合体协议及签订的采购合同应包含此项内容。</w:t>
      </w:r>
    </w:p>
    <w:p w14:paraId="5ACB28B9">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（4）联合体中有同类资质的投标人按照联合体分工承担相同工作的，应当按照资质等级较低的投标人确定资质等级。</w:t>
      </w:r>
    </w:p>
    <w:p w14:paraId="56AFA8B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p w14:paraId="49F9CE1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3.7投标代理人在同一个项目中只能接受一个投标人的委托参加投标。</w:t>
      </w:r>
    </w:p>
    <w:p w14:paraId="5784F8E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3.8投标人存在下列情形之一的，将被认定为串通投标行为并作无效投标处理：</w:t>
      </w:r>
    </w:p>
    <w:p w14:paraId="53138B5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（1）投标人之间协商投标报价等投标文件的实质性内容；</w:t>
      </w:r>
    </w:p>
    <w:p w14:paraId="045AD86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（2）投标人之间约定中标供应商；</w:t>
      </w:r>
    </w:p>
    <w:p w14:paraId="18FF6EA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（3）投标人之间约定部分投标人放弃投标或者中标；</w:t>
      </w:r>
    </w:p>
    <w:p w14:paraId="6B57841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（4）属于同一集团、协会、商会等组织成员的投标人按照该组织要求协同投标；</w:t>
      </w:r>
    </w:p>
    <w:p w14:paraId="00CAA6E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（5）投标人之间为谋取中标或者排斥特定投标人而采取的其他联合行动；</w:t>
      </w:r>
    </w:p>
    <w:p w14:paraId="41FA8CC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（6）不同投标人的投标文件由同一单位或者个人编制；</w:t>
      </w:r>
    </w:p>
    <w:p w14:paraId="2347426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（7）不同投标人委托同一单位或者个人办理投标事宜；</w:t>
      </w:r>
    </w:p>
    <w:p w14:paraId="7E099CA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（8）不同投标人的投标文件载明的项目管理成员或者联系人员为同一人；</w:t>
      </w:r>
    </w:p>
    <w:p w14:paraId="3A14256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（9）不同投标人的投标文件异常一致或者投标报价呈规律性差异；</w:t>
      </w:r>
    </w:p>
    <w:p w14:paraId="4046513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（10）不同投标人的投标文件相互混装；</w:t>
      </w:r>
    </w:p>
    <w:p w14:paraId="54DAEBD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（11）不同投标人的投标保证金从同一单位或者个人的账户转出。</w:t>
      </w:r>
    </w:p>
    <w:p w14:paraId="0F77272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（12）不同投标人的投标文件错、漏之处一致或雷同，且不能合理解释的；</w:t>
      </w:r>
    </w:p>
    <w:p w14:paraId="095681A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（13）不同的投标人的法定代表人、委托代理人等由同一个单位缴纳社会保险的；</w:t>
      </w:r>
    </w:p>
    <w:p w14:paraId="755C802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4EC9D0C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（15）有关法律、法规或规章规定的其他串通投标行为。</w:t>
      </w:r>
    </w:p>
    <w:p w14:paraId="275C70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投标费用</w:t>
      </w:r>
    </w:p>
    <w:p w14:paraId="6048B9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投标人自行承担其参加投标所涉及的一切费用。</w:t>
      </w:r>
    </w:p>
    <w:p w14:paraId="7667A1D9">
      <w:pPr>
        <w:spacing w:line="360" w:lineRule="auto"/>
        <w:rPr>
          <w:rFonts w:hint="eastAsia" w:ascii="宋体" w:hAnsi="宋体" w:eastAsia="宋体" w:cs="宋体"/>
          <w:color w:val="auto"/>
          <w:sz w:val="24"/>
          <w:szCs w:val="24"/>
          <w:highlight w:val="none"/>
        </w:rPr>
      </w:pPr>
    </w:p>
    <w:p w14:paraId="33C11498">
      <w:pPr>
        <w:spacing w:line="360" w:lineRule="auto"/>
        <w:jc w:val="center"/>
        <w:outlineLvl w:val="1"/>
        <w:rPr>
          <w:rFonts w:hint="eastAsia" w:ascii="宋体" w:hAnsi="宋体" w:eastAsia="宋体" w:cs="宋体"/>
          <w:b/>
          <w:color w:val="auto"/>
          <w:sz w:val="24"/>
          <w:szCs w:val="24"/>
          <w:highlight w:val="none"/>
        </w:rPr>
      </w:pPr>
      <w:bookmarkStart w:id="27" w:name="_Toc822816723"/>
      <w:bookmarkStart w:id="28" w:name="_Toc1332210789"/>
      <w:r>
        <w:rPr>
          <w:rFonts w:hint="eastAsia" w:ascii="宋体" w:hAnsi="宋体" w:eastAsia="宋体" w:cs="宋体"/>
          <w:b/>
          <w:color w:val="auto"/>
          <w:sz w:val="24"/>
          <w:szCs w:val="24"/>
          <w:highlight w:val="none"/>
        </w:rPr>
        <w:t>二、招标文件</w:t>
      </w:r>
      <w:bookmarkEnd w:id="27"/>
      <w:bookmarkEnd w:id="28"/>
    </w:p>
    <w:p w14:paraId="65D3A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招标文件的组成</w:t>
      </w:r>
    </w:p>
    <w:p w14:paraId="3DBC3A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5.1招标文件用以阐明所需服务招标程序、内容和合同主要条款。招标文件由下述部分组成：</w:t>
      </w:r>
    </w:p>
    <w:p w14:paraId="28CA3B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（1）投标邀请函</w:t>
      </w:r>
    </w:p>
    <w:p w14:paraId="527CA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（2）投标人须知 </w:t>
      </w:r>
    </w:p>
    <w:p w14:paraId="1E6C0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（3）招标内容及要求</w:t>
      </w:r>
    </w:p>
    <w:p w14:paraId="4A829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（4）合同主要条款</w:t>
      </w:r>
    </w:p>
    <w:p w14:paraId="1C0DEE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（5）投标文件格式</w:t>
      </w:r>
    </w:p>
    <w:p w14:paraId="699D5B8F">
      <w:pPr>
        <w:spacing w:line="360" w:lineRule="auto"/>
        <w:rPr>
          <w:rFonts w:hint="eastAsia" w:ascii="宋体" w:hAnsi="宋体" w:eastAsia="宋体" w:cs="宋体"/>
          <w:color w:val="auto"/>
          <w:sz w:val="24"/>
          <w:szCs w:val="24"/>
          <w:highlight w:val="none"/>
        </w:rPr>
      </w:pPr>
      <w:bookmarkStart w:id="29" w:name="_Toc430488644"/>
      <w:bookmarkStart w:id="30" w:name="_Toc415567497"/>
      <w:bookmarkStart w:id="31" w:name="_Toc430422413"/>
      <w:bookmarkStart w:id="32" w:name="_Toc430492126"/>
      <w:bookmarkStart w:id="33" w:name="_Toc430488851"/>
      <w:bookmarkStart w:id="34" w:name="_Toc430490612"/>
      <w:bookmarkStart w:id="35" w:name="_Toc430489119"/>
      <w:r>
        <w:rPr>
          <w:rFonts w:hint="eastAsia" w:ascii="宋体" w:hAnsi="宋体" w:eastAsia="宋体" w:cs="宋体"/>
          <w:color w:val="auto"/>
          <w:sz w:val="24"/>
          <w:szCs w:val="24"/>
          <w:highlight w:val="none"/>
        </w:rPr>
        <w:t>6.</w:t>
      </w:r>
      <w:bookmarkEnd w:id="29"/>
      <w:bookmarkEnd w:id="30"/>
      <w:bookmarkEnd w:id="31"/>
      <w:bookmarkEnd w:id="32"/>
      <w:bookmarkEnd w:id="33"/>
      <w:bookmarkEnd w:id="34"/>
      <w:bookmarkEnd w:id="35"/>
      <w:r>
        <w:rPr>
          <w:rFonts w:hint="eastAsia" w:ascii="宋体" w:hAnsi="宋体" w:eastAsia="宋体" w:cs="宋体"/>
          <w:color w:val="auto"/>
          <w:sz w:val="24"/>
          <w:szCs w:val="24"/>
          <w:highlight w:val="none"/>
        </w:rPr>
        <w:t xml:space="preserve"> 招标文件的澄清及</w:t>
      </w:r>
      <w:r>
        <w:rPr>
          <w:rFonts w:hint="eastAsia" w:ascii="宋体" w:hAnsi="宋体" w:eastAsia="宋体" w:cs="宋体"/>
          <w:bCs/>
          <w:color w:val="auto"/>
          <w:sz w:val="24"/>
          <w:szCs w:val="24"/>
          <w:highlight w:val="none"/>
        </w:rPr>
        <w:t>修改</w:t>
      </w:r>
    </w:p>
    <w:p w14:paraId="147416FD">
      <w:pPr>
        <w:pStyle w:val="4"/>
        <w:spacing w:line="360" w:lineRule="auto"/>
        <w:outlineLvl w:val="9"/>
        <w:rPr>
          <w:rFonts w:hint="eastAsia" w:ascii="宋体" w:hAnsi="宋体" w:eastAsia="宋体" w:cs="宋体"/>
          <w:bCs/>
          <w:color w:val="auto"/>
          <w:sz w:val="24"/>
          <w:szCs w:val="24"/>
          <w:highlight w:val="none"/>
        </w:rPr>
      </w:pPr>
      <w:bookmarkStart w:id="36" w:name="_Toc24813"/>
      <w:bookmarkStart w:id="37" w:name="_Toc312"/>
      <w:r>
        <w:rPr>
          <w:rFonts w:hint="eastAsia" w:ascii="宋体" w:hAnsi="宋体" w:eastAsia="宋体" w:cs="宋体"/>
          <w:bCs/>
          <w:color w:val="auto"/>
          <w:sz w:val="24"/>
          <w:szCs w:val="24"/>
          <w:highlight w:val="none"/>
        </w:rPr>
        <w:t>6.1 投标人对招标文件如有疑点，可要求澄清。要求澄清应按投标邀请中载明的地址以书面形式（包括信函、传真、电子邮件，下同）通知</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将视情况在投标截止时间15个日历日（如至原定截止时间不足15个日历日，则需延长开标时间）前将书面答复发给所有投标人，并</w:t>
      </w:r>
      <w:r>
        <w:rPr>
          <w:rFonts w:hint="eastAsia" w:ascii="宋体" w:hAnsi="宋体" w:eastAsia="宋体" w:cs="宋体"/>
          <w:color w:val="auto"/>
          <w:sz w:val="24"/>
          <w:szCs w:val="24"/>
          <w:highlight w:val="none"/>
        </w:rPr>
        <w:t>在原采购信息发布媒体上发布更正公告</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该澄清内容为招标文件的组成部分。</w:t>
      </w:r>
      <w:bookmarkEnd w:id="36"/>
      <w:bookmarkEnd w:id="37"/>
    </w:p>
    <w:p w14:paraId="66A4D818">
      <w:pPr>
        <w:pStyle w:val="4"/>
        <w:spacing w:line="360" w:lineRule="auto"/>
        <w:ind w:firstLineChars="175"/>
        <w:outlineLvl w:val="9"/>
        <w:rPr>
          <w:rFonts w:hint="eastAsia" w:ascii="宋体" w:hAnsi="宋体" w:eastAsia="宋体" w:cs="宋体"/>
          <w:bCs/>
          <w:color w:val="auto"/>
          <w:sz w:val="24"/>
          <w:szCs w:val="24"/>
          <w:highlight w:val="none"/>
        </w:rPr>
      </w:pPr>
      <w:bookmarkStart w:id="38" w:name="_Toc227"/>
      <w:r>
        <w:rPr>
          <w:rFonts w:hint="eastAsia" w:ascii="宋体" w:hAnsi="宋体" w:eastAsia="宋体" w:cs="宋体"/>
          <w:bCs/>
          <w:color w:val="auto"/>
          <w:sz w:val="24"/>
          <w:szCs w:val="24"/>
          <w:highlight w:val="none"/>
        </w:rPr>
        <w:t>6.2至投标截止时间15日（如至原定截止时间不足15个日历日，则需延长开标时间）前，</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可主动或依投标人要求澄清的问题修改招标文件，但应当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并以书面形式通知所有招标文件收受人，投标人在收到该通知后应当立即以传真形式予以确认。</w:t>
      </w:r>
      <w:r>
        <w:rPr>
          <w:rFonts w:hint="eastAsia" w:ascii="宋体" w:hAnsi="宋体" w:eastAsia="宋体" w:cs="宋体"/>
          <w:color w:val="auto"/>
          <w:sz w:val="24"/>
          <w:szCs w:val="24"/>
          <w:highlight w:val="none"/>
        </w:rPr>
        <w:t>该修改内容为招标文件的组成部分，对投标人具有约束力。但</w:t>
      </w:r>
      <w:r>
        <w:rPr>
          <w:rFonts w:hint="eastAsia" w:ascii="宋体" w:hAnsi="宋体" w:eastAsia="宋体" w:cs="宋体"/>
          <w:bCs/>
          <w:color w:val="auto"/>
          <w:sz w:val="24"/>
          <w:szCs w:val="24"/>
          <w:highlight w:val="none"/>
        </w:rPr>
        <w:t>本招标文件第6.3条规定的推迟投标截止时间和开标时间情形不受本条约束。</w:t>
      </w:r>
      <w:bookmarkEnd w:id="38"/>
    </w:p>
    <w:p w14:paraId="6D28746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w:t>
      </w:r>
      <w:r>
        <w:rPr>
          <w:rFonts w:hint="eastAsia" w:ascii="宋体" w:hAnsi="宋体" w:eastAsia="宋体" w:cs="宋体"/>
          <w:color w:val="auto"/>
          <w:sz w:val="24"/>
          <w:szCs w:val="24"/>
          <w:highlight w:val="none"/>
        </w:rPr>
        <w:t>为使投标人在准备投标文件时有合理的时间考虑投标文件的修改，招标</w:t>
      </w:r>
      <w:r>
        <w:rPr>
          <w:rFonts w:hint="eastAsia" w:ascii="宋体" w:hAnsi="宋体" w:eastAsia="宋体" w:cs="宋体"/>
          <w:bCs/>
          <w:color w:val="auto"/>
          <w:sz w:val="24"/>
          <w:szCs w:val="24"/>
          <w:highlight w:val="none"/>
        </w:rPr>
        <w:t>代理机构可酌情推迟投标截止时间和开标时间，但应当至少在投标截止时间3个日历日前将变更时间以书面形式通知所有招标文件收受人</w:t>
      </w:r>
      <w:r>
        <w:rPr>
          <w:rFonts w:hint="eastAsia" w:ascii="宋体" w:hAnsi="宋体" w:eastAsia="宋体" w:cs="宋体"/>
          <w:color w:val="auto"/>
          <w:sz w:val="24"/>
          <w:szCs w:val="24"/>
          <w:highlight w:val="none"/>
        </w:rPr>
        <w:t>，并在原采购信息发布媒体上发布更正公告。在此情况下，招标人和投标人受投标截止期制约的所有权利和义务均应延长至新的截止日期。</w:t>
      </w:r>
    </w:p>
    <w:p w14:paraId="34FDCD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7.项目暂停</w:t>
      </w:r>
    </w:p>
    <w:p w14:paraId="5FABFAC7">
      <w:pPr>
        <w:pStyle w:val="4"/>
        <w:spacing w:line="360" w:lineRule="auto"/>
        <w:ind w:firstLineChars="175"/>
        <w:outlineLvl w:val="9"/>
        <w:rPr>
          <w:rFonts w:hint="eastAsia" w:ascii="宋体" w:hAnsi="宋体" w:eastAsia="宋体" w:cs="宋体"/>
          <w:bCs/>
          <w:color w:val="auto"/>
          <w:sz w:val="24"/>
          <w:szCs w:val="24"/>
          <w:highlight w:val="none"/>
        </w:rPr>
      </w:pPr>
      <w:bookmarkStart w:id="39" w:name="_Toc26037"/>
      <w:bookmarkStart w:id="40" w:name="_Toc29312"/>
      <w:r>
        <w:rPr>
          <w:rFonts w:hint="eastAsia" w:ascii="宋体" w:hAnsi="宋体" w:eastAsia="宋体" w:cs="宋体"/>
          <w:bCs/>
          <w:color w:val="auto"/>
          <w:sz w:val="24"/>
          <w:szCs w:val="24"/>
          <w:highlight w:val="none"/>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bookmarkEnd w:id="39"/>
      <w:bookmarkEnd w:id="40"/>
    </w:p>
    <w:p w14:paraId="3DD6CA6B">
      <w:pPr>
        <w:spacing w:line="360" w:lineRule="auto"/>
        <w:ind w:firstLine="480" w:firstLineChars="200"/>
        <w:rPr>
          <w:rFonts w:hint="eastAsia" w:ascii="宋体" w:hAnsi="宋体" w:eastAsia="宋体" w:cs="宋体"/>
          <w:color w:val="auto"/>
          <w:sz w:val="24"/>
          <w:szCs w:val="24"/>
          <w:highlight w:val="none"/>
        </w:rPr>
      </w:pPr>
    </w:p>
    <w:p w14:paraId="40521CED">
      <w:pPr>
        <w:spacing w:line="360" w:lineRule="auto"/>
        <w:ind w:firstLine="480" w:firstLineChars="200"/>
        <w:rPr>
          <w:rFonts w:hint="eastAsia" w:ascii="宋体" w:hAnsi="宋体" w:eastAsia="宋体" w:cs="宋体"/>
          <w:color w:val="auto"/>
          <w:sz w:val="24"/>
          <w:szCs w:val="24"/>
          <w:highlight w:val="none"/>
        </w:rPr>
      </w:pPr>
    </w:p>
    <w:p w14:paraId="5EE0E7F1">
      <w:pPr>
        <w:spacing w:line="360" w:lineRule="auto"/>
        <w:jc w:val="center"/>
        <w:outlineLvl w:val="1"/>
        <w:rPr>
          <w:rFonts w:hint="eastAsia" w:ascii="宋体" w:hAnsi="宋体" w:eastAsia="宋体" w:cs="宋体"/>
          <w:b/>
          <w:color w:val="auto"/>
          <w:sz w:val="24"/>
          <w:szCs w:val="24"/>
          <w:highlight w:val="none"/>
        </w:rPr>
      </w:pPr>
      <w:bookmarkStart w:id="41" w:name="_Toc2107709999"/>
      <w:bookmarkStart w:id="42" w:name="_Toc1346605426"/>
      <w:r>
        <w:rPr>
          <w:rFonts w:hint="eastAsia" w:ascii="宋体" w:hAnsi="宋体" w:eastAsia="宋体" w:cs="宋体"/>
          <w:b/>
          <w:color w:val="auto"/>
          <w:sz w:val="24"/>
          <w:szCs w:val="24"/>
          <w:highlight w:val="none"/>
        </w:rPr>
        <w:t>三、投标文件的编写</w:t>
      </w:r>
      <w:bookmarkEnd w:id="41"/>
      <w:bookmarkEnd w:id="42"/>
    </w:p>
    <w:p w14:paraId="2EF498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要求</w:t>
      </w:r>
    </w:p>
    <w:p w14:paraId="6C8F3F8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p w14:paraId="38DA763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p w14:paraId="7DE4AE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投标文件语言</w:t>
      </w:r>
    </w:p>
    <w:p w14:paraId="31F98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9.1投标文件应用中文书写。投标文件中所附或所引用的文件不是中文时，应附中文译本。各种计量单位及符号应采用国际上统一使用的公制计量单位和符号。</w:t>
      </w:r>
    </w:p>
    <w:p w14:paraId="6B3861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投标文件的组成</w:t>
      </w:r>
    </w:p>
    <w:p w14:paraId="1BA2BE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10.1投标文件应包括下列部分：</w:t>
      </w:r>
    </w:p>
    <w:p w14:paraId="60FE2D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w:t>
      </w:r>
    </w:p>
    <w:p w14:paraId="4A4A38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35D07D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46B430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12511E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项目范围清单</w:t>
      </w:r>
    </w:p>
    <w:p w14:paraId="693E35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1D352D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投标人资格证明文件</w:t>
      </w:r>
    </w:p>
    <w:p w14:paraId="39DD01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投标人提交的其他资料</w:t>
      </w:r>
    </w:p>
    <w:p w14:paraId="47D9FD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30F4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投标保证金</w:t>
      </w:r>
    </w:p>
    <w:p w14:paraId="3E57CB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投标有效期</w:t>
      </w:r>
    </w:p>
    <w:p w14:paraId="25B990E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p w14:paraId="60D474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32583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投标保证金</w:t>
      </w:r>
    </w:p>
    <w:p w14:paraId="796C5E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投标保证金为投标文件的组成部分之一。</w:t>
      </w:r>
    </w:p>
    <w:p w14:paraId="2F3341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投标人应在提交投标文件之前向招标代理机构</w:t>
      </w:r>
      <w:r>
        <w:rPr>
          <w:rFonts w:hint="eastAsia" w:ascii="宋体" w:hAnsi="宋体" w:eastAsia="宋体" w:cs="宋体"/>
          <w:color w:val="auto"/>
          <w:sz w:val="24"/>
          <w:szCs w:val="24"/>
          <w:highlight w:val="none"/>
          <w:u w:val="single"/>
        </w:rPr>
        <w:t>指定的保证金专户</w:t>
      </w:r>
      <w:r>
        <w:rPr>
          <w:rFonts w:hint="eastAsia" w:ascii="宋体" w:hAnsi="宋体" w:eastAsia="宋体" w:cs="宋体"/>
          <w:color w:val="auto"/>
          <w:sz w:val="24"/>
          <w:szCs w:val="24"/>
          <w:highlight w:val="none"/>
        </w:rPr>
        <w:t>缴交投标保证金。联合体投标的，可以由联合体中的一方或者共同提交投标保证金，以一方名义提交投标保证金的，对联合体各方均具有约束力。</w:t>
      </w:r>
    </w:p>
    <w:p w14:paraId="1D652C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投标保证金用于保护本次招标活动免受投标人的行为而引起的风险。</w:t>
      </w:r>
    </w:p>
    <w:p w14:paraId="4C4E8D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12.4投标保证金以转账、电汇两种形式提交（不收取现金、现金支票，不能用个人卡在银联支付系统转账，否则作未提交保证金处理），投标保证金应在投标截止时间前到账。</w:t>
      </w:r>
    </w:p>
    <w:p w14:paraId="695840E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p w14:paraId="7870E68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12.6招标代理机构将在中标通知书发出之日起5个工作日内予以原额无息退还未中标供应商的投标保证金。</w:t>
      </w:r>
    </w:p>
    <w:p w14:paraId="39AF02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12.7在中标供应商支付所有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并签订合同后5个工作日内，招标代理机构对中标供应商的投标保证金予以原额无息退还。</w:t>
      </w:r>
    </w:p>
    <w:p w14:paraId="031E1D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12.8投标保证金有效期应当与投标有效期一致。投标保证金产生的银行利息统一上缴市财政。</w:t>
      </w:r>
    </w:p>
    <w:p w14:paraId="241BAD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发生以下情形之一的，投标保证金将不予退还，</w:t>
      </w:r>
      <w:r>
        <w:rPr>
          <w:rFonts w:hint="eastAsia" w:ascii="宋体" w:hAnsi="宋体" w:eastAsia="宋体" w:cs="宋体"/>
          <w:color w:val="auto"/>
          <w:sz w:val="24"/>
          <w:szCs w:val="24"/>
          <w:highlight w:val="none"/>
          <w:u w:val="single"/>
        </w:rPr>
        <w:t>由招标代理机构上缴财政部门</w:t>
      </w:r>
      <w:r>
        <w:rPr>
          <w:rFonts w:hint="eastAsia" w:ascii="宋体" w:hAnsi="宋体" w:eastAsia="宋体" w:cs="宋体"/>
          <w:color w:val="auto"/>
          <w:sz w:val="24"/>
          <w:szCs w:val="24"/>
          <w:highlight w:val="none"/>
        </w:rPr>
        <w:t>：</w:t>
      </w:r>
    </w:p>
    <w:p w14:paraId="4C5FBE21">
      <w:pPr>
        <w:pStyle w:val="4"/>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投标人在投标截止时间后，投标有效期内撤回投标；</w:t>
      </w:r>
    </w:p>
    <w:p w14:paraId="1D3BA40F">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（2）除因不可抗力或招标文件认可的情形外，中标供应商未能按本须知第22条规定签订合同的；</w:t>
      </w:r>
    </w:p>
    <w:p w14:paraId="760815BF">
      <w:pPr>
        <w:spacing w:line="360" w:lineRule="auto"/>
        <w:ind w:left="707" w:leftChars="228" w:hanging="228" w:hangingChars="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（3）中标供应商未按投标人须知前附表1规定缴纳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1FD55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（4）以他人名义投标或者以其他方式弄虚作假，骗取中标的；</w:t>
      </w:r>
    </w:p>
    <w:p w14:paraId="04B1E9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（5）投标人在响应文件中提供虚假材料的；</w:t>
      </w:r>
    </w:p>
    <w:p w14:paraId="172B54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（6）在禁止参加政府采购活动的处罚有效期内，仍参加政府采购活动的；</w:t>
      </w:r>
    </w:p>
    <w:p w14:paraId="3F56CA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（7）以不正当手段诋毁、排挤其他投标人的；</w:t>
      </w:r>
    </w:p>
    <w:p w14:paraId="1B851D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63D6C4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（9）与采购人、其他投标人或者采购代理机构恶意串通的；</w:t>
      </w:r>
    </w:p>
    <w:p w14:paraId="53DBBB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（10）法律、法规、规章及本招标文件中规定的其他没收投标保证金的情形。</w:t>
      </w:r>
    </w:p>
    <w:p w14:paraId="6FEA02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上述不予退还投标保证金的情形给招标采购单位造成损失的，相关责任人还应当承担赔偿责任。</w:t>
      </w:r>
    </w:p>
    <w:p w14:paraId="6A3DAD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投标文件的格式</w:t>
      </w:r>
    </w:p>
    <w:p w14:paraId="7A2C11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13.1投标人须编制由本须知第10条规定文件组成的投标文件正本一份，副本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份，正本用A4幅面纸张打印装订，副本可以用正本的完整复印件，并在封面标明“正本”、“副本”字样。正本与副本如有不一致，则以正本为准。</w:t>
      </w:r>
    </w:p>
    <w:p w14:paraId="05D011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13.2投标文件应由投标人的法定代表人或者其授权代表签字并加盖公章，如由后者签字，应提供“单位授权委托书”。 </w:t>
      </w:r>
    </w:p>
    <w:p w14:paraId="777317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13.3除非有另外的规定或许可，投标使用货币为人民币。</w:t>
      </w:r>
    </w:p>
    <w:p w14:paraId="14CD92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服务符合招标文件要求的技术响应文件，该文件可以是文字资料、图纸和数据，并须提供服务主要技术性能的详细描述。</w:t>
      </w:r>
    </w:p>
    <w:p w14:paraId="610430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投标文件的正本和全部副本均应使用不能擦去的墨料或墨水打印、书写或复印，并由法定代表人或其授权代表签署，盖投标人公章。</w:t>
      </w:r>
    </w:p>
    <w:p w14:paraId="406C89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14:paraId="250D8199">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p w14:paraId="5017CCD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13.8所有资格证明文件复印件须加盖投标人公章。</w:t>
      </w:r>
    </w:p>
    <w:p w14:paraId="7136039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13.9 投标人应将上述文件按顺序装订成册、打印页码，并编列投标文件目录、资料清单，由于装订不规范或编排顺序混乱而导致投标文件被误读或漏读，该投标可能被视为无效投标或承担不利的评标结果。</w:t>
      </w:r>
    </w:p>
    <w:p w14:paraId="69E745D9">
      <w:pPr>
        <w:spacing w:line="360" w:lineRule="auto"/>
        <w:rPr>
          <w:rFonts w:hint="eastAsia" w:ascii="宋体" w:hAnsi="宋体" w:eastAsia="宋体" w:cs="宋体"/>
          <w:color w:val="auto"/>
          <w:sz w:val="24"/>
          <w:szCs w:val="24"/>
          <w:highlight w:val="none"/>
        </w:rPr>
      </w:pPr>
    </w:p>
    <w:p w14:paraId="3363012C">
      <w:pPr>
        <w:spacing w:line="360" w:lineRule="auto"/>
        <w:jc w:val="center"/>
        <w:outlineLvl w:val="1"/>
        <w:rPr>
          <w:rFonts w:hint="eastAsia" w:ascii="宋体" w:hAnsi="宋体" w:eastAsia="宋体" w:cs="宋体"/>
          <w:b/>
          <w:color w:val="auto"/>
          <w:sz w:val="24"/>
          <w:szCs w:val="24"/>
          <w:highlight w:val="none"/>
        </w:rPr>
      </w:pPr>
      <w:bookmarkStart w:id="43" w:name="_Toc683664588"/>
      <w:bookmarkStart w:id="44" w:name="_Toc807140696"/>
      <w:r>
        <w:rPr>
          <w:rFonts w:hint="eastAsia" w:ascii="宋体" w:hAnsi="宋体" w:eastAsia="宋体" w:cs="宋体"/>
          <w:b/>
          <w:color w:val="auto"/>
          <w:sz w:val="24"/>
          <w:szCs w:val="24"/>
          <w:highlight w:val="none"/>
        </w:rPr>
        <w:t>四、投标文件的提交</w:t>
      </w:r>
      <w:bookmarkEnd w:id="43"/>
      <w:bookmarkEnd w:id="44"/>
    </w:p>
    <w:p w14:paraId="0F16F2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投标文件的密封、标记和递交</w:t>
      </w:r>
    </w:p>
    <w:p w14:paraId="58B7DC3B">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14.1 投标人应将投标文件正本和全部副本分别用信封密封，并标明招标编号、投标人名称、投标服务名称及“正本”或“副本”字样。</w:t>
      </w:r>
      <w:r>
        <w:rPr>
          <w:rFonts w:hint="eastAsia" w:ascii="宋体" w:hAnsi="宋体" w:eastAsia="宋体" w:cs="宋体"/>
          <w:b/>
          <w:color w:val="auto"/>
          <w:sz w:val="24"/>
          <w:szCs w:val="24"/>
          <w:highlight w:val="none"/>
        </w:rPr>
        <w:t>投标文件未密封将导致其投标被拒绝。</w:t>
      </w:r>
    </w:p>
    <w:p w14:paraId="7DD83E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每一信封密封处应注明“于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之前（指招标邀请中规定的开标日期及时间）不准启封”的字样，并加盖投标人公章或由投标代表签字。</w:t>
      </w:r>
    </w:p>
    <w:p w14:paraId="100C4A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14.3如果投标文件由邮局或专人送交，投标人应将投标文件按照本须知第14.1条至第14.2条的规定进行密封和标记后，按投标人须知前附表1注明的地址送至接收人。</w:t>
      </w:r>
    </w:p>
    <w:p w14:paraId="7E85D2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14.4如果未按上述规定进行密封和标记，招标代理机构将不承担由此造成的对投标文件的误投或提前拆封的责任。</w:t>
      </w:r>
    </w:p>
    <w:p w14:paraId="7FCD0AA8">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14.5投标文件应在投标邀请中规定的截止时间前送达，迟到的投标文件为无效投标文件, 将被拒收。</w:t>
      </w:r>
    </w:p>
    <w:p w14:paraId="4EC352F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14:paraId="0BD63616">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p w14:paraId="172106B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14.8投标截止时间结束后参加投标的投标人不足3家的，本次招标程序终止，除采购任务取消情形外，招标采购单位将依法重新组织招标或者采取其他方式采购。</w:t>
      </w:r>
    </w:p>
    <w:p w14:paraId="4614F71E">
      <w:pPr>
        <w:spacing w:line="360" w:lineRule="auto"/>
        <w:ind w:firstLine="480" w:firstLineChars="200"/>
        <w:rPr>
          <w:rFonts w:hint="eastAsia" w:ascii="宋体" w:hAnsi="宋体" w:eastAsia="宋体" w:cs="宋体"/>
          <w:color w:val="auto"/>
          <w:sz w:val="24"/>
          <w:szCs w:val="24"/>
          <w:highlight w:val="none"/>
        </w:rPr>
      </w:pPr>
    </w:p>
    <w:p w14:paraId="1D51D90C">
      <w:pPr>
        <w:spacing w:line="360" w:lineRule="auto"/>
        <w:jc w:val="center"/>
        <w:outlineLvl w:val="1"/>
        <w:rPr>
          <w:rFonts w:hint="eastAsia" w:ascii="宋体" w:hAnsi="宋体" w:eastAsia="宋体" w:cs="宋体"/>
          <w:b/>
          <w:color w:val="auto"/>
          <w:sz w:val="24"/>
          <w:szCs w:val="24"/>
          <w:highlight w:val="none"/>
        </w:rPr>
      </w:pPr>
      <w:bookmarkStart w:id="45" w:name="_Toc781969653"/>
      <w:bookmarkStart w:id="46" w:name="_Toc1690682206"/>
      <w:r>
        <w:rPr>
          <w:rFonts w:hint="eastAsia" w:ascii="宋体" w:hAnsi="宋体" w:eastAsia="宋体" w:cs="宋体"/>
          <w:b/>
          <w:color w:val="auto"/>
          <w:sz w:val="24"/>
          <w:szCs w:val="24"/>
          <w:highlight w:val="none"/>
        </w:rPr>
        <w:t>五、投标文件的评估和比较</w:t>
      </w:r>
      <w:bookmarkEnd w:id="45"/>
      <w:bookmarkEnd w:id="46"/>
    </w:p>
    <w:p w14:paraId="64E71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15．开标、评标时间</w:t>
      </w:r>
    </w:p>
    <w:p w14:paraId="555A80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在投标人须知前附表1中所规定的时间、地点开标（如有推迟情形，以推迟后的时间、地点为准）。</w:t>
      </w:r>
    </w:p>
    <w:p w14:paraId="738B99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15.2开标由招标代理机构主持，邀请采购人、投标人和有关方面代表参加。投标人一般应派授权代表参加开标会，并办理签到手续。</w:t>
      </w:r>
    </w:p>
    <w:p w14:paraId="4AA9CF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14:paraId="39FDF3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w:t>
      </w:r>
    </w:p>
    <w:p w14:paraId="4A72A8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代理机构根据招标服务的特点依法组建评标委员会。评标委员会由技术、经济、法律方面的专家和采购人代表组成。成员为5人以上单数组成，专家人数不能少于2/3。在开标后的适当时间里由评标委员会对投标文件进行审查、质疑、评估和比较，并做出授予合同的建议。</w:t>
      </w:r>
    </w:p>
    <w:p w14:paraId="3F6461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投标文件的初审</w:t>
      </w:r>
    </w:p>
    <w:p w14:paraId="4F3D9B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对所有投标人的评估，都采用相同的程序和标准。评议过程将严格按照招标文件的要求和条件进行。对不同文字文本投标文件的解释发生异议的，以中文文本为准。</w:t>
      </w:r>
    </w:p>
    <w:p w14:paraId="7A19B5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有关投标文件的审查、澄清、评估和比较以及推荐中标候选人的一切情况都不得透露给任一投标人或与上述评标工作无关的人员。</w:t>
      </w:r>
    </w:p>
    <w:p w14:paraId="6C8165A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投标人任何试图影响评委会对投标文件的评估、比较或者推荐候选人的行为，都将导致其投标按照无效投标处理，并被没收投标保证金。</w:t>
      </w:r>
    </w:p>
    <w:p w14:paraId="453347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17.1招标采购单位依法对各投标文件进行资格性检查</w:t>
      </w:r>
    </w:p>
    <w:p w14:paraId="17A2FA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w:t>
      </w:r>
    </w:p>
    <w:p w14:paraId="6D5BCD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420C9D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0D7FF1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3CBC37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63DA2EE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0E7558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同时出现两种以上不一致的，按照前款规定的顺序修正。对于投标文件中计算错误的内容，评标委员会应当以书面形式要求投标人作出必要的澄清、说明或者补正。</w:t>
      </w:r>
    </w:p>
    <w:p w14:paraId="1B7E6FC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p w14:paraId="095C25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17.3符合性检查 </w:t>
      </w:r>
    </w:p>
    <w:p w14:paraId="7A8D11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17.3.1评委会将对投标文件进行审查，以确定投标文件是否完整、有无计算上的错误、是否提交了投标保证金。</w:t>
      </w:r>
    </w:p>
    <w:p w14:paraId="69102B3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794F943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 未按规定提交投标保证金的；</w:t>
      </w:r>
    </w:p>
    <w:p w14:paraId="010F5A7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14:paraId="75A45D4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14:paraId="5876650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14:paraId="74DECDD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14:paraId="3EA826A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14:paraId="0796B31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14:paraId="463C573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p w14:paraId="59468BC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17.3.3投标服务必须满足中华人民共和国相关法律法规及行业的强制性要求，否则该投标人的投标将按照无效投标处理。</w:t>
      </w:r>
    </w:p>
    <w:p w14:paraId="5F2FBBA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14:paraId="070C51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14:paraId="7FD162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14:paraId="2D336D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14:paraId="1772AF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14:paraId="0732E6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14:paraId="673C8A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14:paraId="13B4FD1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p w14:paraId="6ABD32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18.投标文件的澄清</w:t>
      </w:r>
    </w:p>
    <w:p w14:paraId="0E68D7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3323B3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比较与评价</w:t>
      </w:r>
    </w:p>
    <w:p w14:paraId="32D287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19.1评标委员会将按投标人须知前附表3所述评标方法与标准，对资格性检查和符合性检查合格的投标文件进行商务和技术评估，综合比较与评价。</w:t>
      </w:r>
    </w:p>
    <w:p w14:paraId="1A34A4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14:paraId="111D890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972E8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19.4评标委员会将按比较与评价最优在先原则, 排列评价顺序, 根据在投标人须知前附表3确定的中标候选人数量推荐出中标候选人。</w:t>
      </w:r>
    </w:p>
    <w:p w14:paraId="269DDB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p w14:paraId="18130E0D">
      <w:pPr>
        <w:spacing w:line="360" w:lineRule="auto"/>
        <w:ind w:firstLine="480" w:firstLineChars="200"/>
        <w:rPr>
          <w:rFonts w:hint="eastAsia" w:ascii="宋体" w:hAnsi="宋体" w:eastAsia="宋体" w:cs="宋体"/>
          <w:color w:val="auto"/>
          <w:sz w:val="24"/>
          <w:szCs w:val="24"/>
          <w:highlight w:val="none"/>
        </w:rPr>
      </w:pPr>
    </w:p>
    <w:p w14:paraId="3217092B">
      <w:pPr>
        <w:spacing w:line="360" w:lineRule="auto"/>
        <w:jc w:val="center"/>
        <w:outlineLvl w:val="1"/>
        <w:rPr>
          <w:rFonts w:hint="eastAsia" w:ascii="宋体" w:hAnsi="宋体" w:eastAsia="宋体" w:cs="宋体"/>
          <w:b/>
          <w:color w:val="auto"/>
          <w:sz w:val="24"/>
          <w:szCs w:val="24"/>
          <w:highlight w:val="none"/>
        </w:rPr>
      </w:pPr>
      <w:bookmarkStart w:id="47" w:name="_Toc811050917"/>
      <w:bookmarkStart w:id="48" w:name="_Toc218078713"/>
      <w:r>
        <w:rPr>
          <w:rFonts w:hint="eastAsia" w:ascii="宋体" w:hAnsi="宋体" w:eastAsia="宋体" w:cs="宋体"/>
          <w:b/>
          <w:color w:val="auto"/>
          <w:sz w:val="24"/>
          <w:szCs w:val="24"/>
          <w:highlight w:val="none"/>
        </w:rPr>
        <w:t>六、定标与签订合同</w:t>
      </w:r>
      <w:bookmarkEnd w:id="47"/>
      <w:bookmarkEnd w:id="48"/>
    </w:p>
    <w:p w14:paraId="11E835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20.定标准则</w:t>
      </w:r>
    </w:p>
    <w:p w14:paraId="428A14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20.1最低投标价不作为中标的保证。</w:t>
      </w:r>
    </w:p>
    <w:p w14:paraId="2B8A84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20.2投标人的投标文件符合招标文件要求，按招标文件确定评标方法、标准，经评委评审并推荐中标候选人。</w:t>
      </w:r>
    </w:p>
    <w:p w14:paraId="2C3F6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中标通知</w:t>
      </w:r>
    </w:p>
    <w:p w14:paraId="60C95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21.1评标结束后，评标结果经采购人确认后，招标代理机构应自中标供应商确定之日起2个工作日内在《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 xml:space="preserve">》上对中标结果进行公告，同时招标代理机构向中标供应商发出中标通知书。中标通知书对采购人和中标供应商具有同等法律效力。中标通知书发出后，采购人改变中标结果，或者中标供应商放弃中标，应当承担相应的法律责任。 </w:t>
      </w:r>
    </w:p>
    <w:p w14:paraId="3783E6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有异议的，应当在中标公告发布之日起7个工作日内，以书面形式向招标代理机构提出质疑，并附送有关证明材料。采购人、招标代理机构应当在收到投标人书面质疑后7个工作日内，对质疑内容作出答复。提出质疑的投标人对采购人、招标代理机构的答复不满意或者采购人、招标代理机构未在规定时间内答复的，可以在答复期满后15个工作日内书面向财政部门提出投诉。</w:t>
      </w:r>
    </w:p>
    <w:p w14:paraId="5EF99B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疑处理过程中，招标代理机构和采购人有权要求被质疑人在规定时间内就质疑事项进行说明并提交相关材料（包括被质疑人投标文件中相关复印件的原件以及其他与质疑事项有关的文件等），被质疑人应当予以配合，否则将可能承担不利的处理后果。</w:t>
      </w:r>
    </w:p>
    <w:p w14:paraId="480CB2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14:paraId="30524E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21.2招标代理机构应当在《中标通知书》发出的同时将落标通知书发送给未中标的其他投标人。</w:t>
      </w:r>
    </w:p>
    <w:p w14:paraId="4120C2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21.3《中标通知书》将作为签订《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》的依据。《</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》签订后，《中标通知书》成为合同的一部分。</w:t>
      </w:r>
    </w:p>
    <w:p w14:paraId="7CB361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招标代理机构应当在中标通知书发出后5个工作日内退还未中标供应商的投标保证金（含保函），在采购人与中标供应商签订合同后5个工作日内，退还中标供应商的投标保证金。</w:t>
      </w:r>
    </w:p>
    <w:p w14:paraId="1ABA21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22.签订合同</w:t>
      </w:r>
    </w:p>
    <w:p w14:paraId="0CC1E2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22.1中标供应商必须凭中标通知书原件按招标文件的规定签订合同，并最迟应于合同签订前缴交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，否则，招标代理机构有权在厦门招投标网上对中标供应商“不按规定缴交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的行为”进行公示。若自公示之日起3个工作日内，中标供应商仍未缴交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的，招标代理机构有权按每日1%计取违约金。</w:t>
      </w:r>
    </w:p>
    <w:p w14:paraId="248EDA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22.2采购人、中标供应商应当在《中标通知书》发出之日起30日内，根据招标文件确定的事项和中标供应商投标文件，参照本招标文件第四章《</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》文本签订合同。双方所签订的合同不得对招标文件和中标供应商投标文件作实质性修改。中标供应商无正当理由不与采购人签订合同的，其投标保证金和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将不予退还；情节严重的（如一年内累计两次及以上出现此类情形等），招标代理机构有权上报财政部门，并建议财政部门将其列入不良行为记录名单，在一至三年内禁止其参加政府采购活动并予以通报。采购人逾期不与中标供应商签订合同的，按政府采购的有关规定处理。</w:t>
      </w:r>
    </w:p>
    <w:p w14:paraId="2BC66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在合同签订前，为保证合同顺利履行，采购人有权要求中标供应商提供相关材料以便合同签订，中标供应商应当予以配合。</w:t>
      </w:r>
    </w:p>
    <w:p w14:paraId="6D78E6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22.3招标文件、招标文件的修改文件、中标供应商的投标文件、补充或修改的文件及澄清或承诺文件等，均为双方签订《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》的组成部分，并与合同一并作为本招标文件所列采购项目的互补性法律文件，与合同具有同等法律效力。</w:t>
      </w:r>
    </w:p>
    <w:p w14:paraId="6EE3F3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22.4采购人在合同履行中，需追加与合同标的相同的服务的，在不改变合同其他条款的前提下，可与中标供应商协商签订补充合同，但所有补充合同的采购金额不得超过原合同采购金额的10%。 </w:t>
      </w:r>
    </w:p>
    <w:p w14:paraId="667734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22.5中标供应商因自身原因放弃中标项目、或不按照招标文件规定与采购人签订合同的、或因不可抗力或者自身原因不按合同履行的，采购人可以与排位在中标供应商之后第一位的中标候选供应商签订《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》，以此类推。排位在中标供应商之后第一位的中标候选供应商应同意与采购人按不高于其投标报价签订《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w:t>
      </w:r>
    </w:p>
    <w:p w14:paraId="66CCC98F">
      <w:pPr>
        <w:pStyle w:val="4"/>
        <w:spacing w:line="360" w:lineRule="auto"/>
        <w:rPr>
          <w:rFonts w:hint="eastAsia" w:ascii="宋体" w:hAnsi="宋体" w:eastAsia="宋体" w:cs="宋体"/>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0EED175">
      <w:pPr>
        <w:pStyle w:val="4"/>
        <w:spacing w:line="360" w:lineRule="auto"/>
        <w:ind w:left="0" w:leftChars="0" w:firstLine="0" w:firstLineChars="0"/>
        <w:jc w:val="center"/>
        <w:outlineLvl w:val="0"/>
        <w:rPr>
          <w:rFonts w:hint="eastAsia" w:ascii="宋体" w:hAnsi="宋体" w:eastAsia="宋体" w:cs="宋体"/>
          <w:b/>
          <w:bCs/>
          <w:color w:val="auto"/>
          <w:sz w:val="24"/>
          <w:szCs w:val="24"/>
          <w:highlight w:val="none"/>
        </w:rPr>
      </w:pPr>
      <w:bookmarkStart w:id="49" w:name="_Toc9985"/>
      <w:bookmarkStart w:id="50" w:name="_Toc948647986"/>
      <w:bookmarkStart w:id="51" w:name="_Toc1375770315"/>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32"/>
          <w:szCs w:val="32"/>
          <w:highlight w:val="none"/>
        </w:rPr>
        <w:t>招标内容及要求</w:t>
      </w:r>
      <w:bookmarkEnd w:id="49"/>
      <w:bookmarkEnd w:id="50"/>
      <w:bookmarkEnd w:id="51"/>
    </w:p>
    <w:p w14:paraId="3D034C70">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提示说明：</w:t>
      </w:r>
    </w:p>
    <w:p w14:paraId="11804682">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（1）全文中带有“*”的条款为关键性条款，对这些关键性条款的任何负偏离或不满足将导致该投标作无效投标处理。</w:t>
      </w:r>
      <w:r>
        <w:rPr>
          <w:rFonts w:hint="eastAsia" w:ascii="宋体" w:hAnsi="宋体" w:eastAsia="宋体" w:cs="宋体"/>
          <w:b/>
          <w:color w:val="auto"/>
          <w:sz w:val="24"/>
          <w:szCs w:val="24"/>
          <w:highlight w:val="none"/>
        </w:rPr>
        <w:t>投标人应对招标文件中的“*”号条款进行逐条响应，否则评标委员会对其投标做出不利评审，投标人必须自行承担责任。</w:t>
      </w:r>
    </w:p>
    <w:p w14:paraId="53816962">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（2）本项目以合同包为单位，对于每个合同包，投标人必须完整地提供合同包要求的所有服务，否则该投标人针对该合同包的投标将按照无效投标处理。</w:t>
      </w:r>
    </w:p>
    <w:p w14:paraId="69057D60">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（3）若招标文件第三章所述内容与其它部分的条款发生理解冲突，则以第三章所述内容为准；如招标文件发生变更，则相关条款的解释以更改通知为准。</w:t>
      </w:r>
    </w:p>
    <w:p w14:paraId="24EC198C">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（4）经评标委员会认定要求澄清的证明文件必须在规定的时间内提供，否则其将不具有中标供应商的资格。</w:t>
      </w:r>
    </w:p>
    <w:p w14:paraId="4E80F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（5）本项目实行网下购买招标文件，投标人必须按招标文件要求递交纸质投标文件。</w:t>
      </w:r>
    </w:p>
    <w:p w14:paraId="70A3DA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（6）资格性证明文件请单独成册。</w:t>
      </w:r>
    </w:p>
    <w:p w14:paraId="26A509A9">
      <w:pPr>
        <w:pStyle w:val="7"/>
        <w:spacing w:after="0" w:line="360" w:lineRule="auto"/>
        <w:ind w:left="0"/>
        <w:rPr>
          <w:rFonts w:hint="eastAsia" w:ascii="宋体" w:hAnsi="宋体" w:eastAsia="宋体" w:cs="宋体"/>
          <w:b/>
          <w:bCs/>
          <w:color w:val="auto"/>
          <w:sz w:val="24"/>
          <w:szCs w:val="24"/>
          <w:highlight w:val="none"/>
        </w:rPr>
      </w:pPr>
    </w:p>
    <w:p w14:paraId="1EF75E7A">
      <w:pPr>
        <w:tabs>
          <w:tab w:val="left" w:pos="5130"/>
        </w:tabs>
        <w:spacing w:line="360" w:lineRule="auto"/>
        <w:ind w:firstLine="480" w:firstLineChars="200"/>
        <w:rPr>
          <w:rFonts w:hint="eastAsia" w:ascii="宋体" w:hAnsi="宋体" w:eastAsia="宋体" w:cs="宋体"/>
          <w:color w:val="auto"/>
          <w:sz w:val="24"/>
          <w:szCs w:val="24"/>
          <w:highlight w:val="none"/>
        </w:rPr>
      </w:pPr>
    </w:p>
    <w:p w14:paraId="0981786C">
      <w:pPr>
        <w:tabs>
          <w:tab w:val="left" w:pos="5130"/>
        </w:tabs>
        <w:spacing w:line="360" w:lineRule="auto"/>
        <w:ind w:firstLine="480" w:firstLineChars="200"/>
        <w:rPr>
          <w:rFonts w:hint="eastAsia" w:ascii="宋体" w:hAnsi="宋体" w:eastAsia="宋体" w:cs="宋体"/>
          <w:color w:val="auto"/>
          <w:sz w:val="24"/>
          <w:szCs w:val="24"/>
          <w:highlight w:val="none"/>
        </w:rPr>
      </w:pPr>
    </w:p>
    <w:p w14:paraId="57486082">
      <w:pPr>
        <w:tabs>
          <w:tab w:val="left" w:pos="5130"/>
        </w:tabs>
        <w:spacing w:line="360" w:lineRule="auto"/>
        <w:ind w:firstLine="480" w:firstLineChars="200"/>
        <w:rPr>
          <w:rFonts w:hint="eastAsia" w:ascii="宋体" w:hAnsi="宋体" w:eastAsia="宋体" w:cs="宋体"/>
          <w:color w:val="auto"/>
          <w:sz w:val="24"/>
          <w:szCs w:val="24"/>
          <w:highlight w:val="none"/>
        </w:rPr>
      </w:pPr>
    </w:p>
    <w:p w14:paraId="0E5B6F58">
      <w:pPr>
        <w:tabs>
          <w:tab w:val="left" w:pos="5130"/>
        </w:tabs>
        <w:spacing w:line="360" w:lineRule="auto"/>
        <w:ind w:firstLine="480" w:firstLineChars="200"/>
        <w:rPr>
          <w:rFonts w:hint="eastAsia" w:ascii="宋体" w:hAnsi="宋体" w:eastAsia="宋体" w:cs="宋体"/>
          <w:color w:val="auto"/>
          <w:sz w:val="24"/>
          <w:szCs w:val="24"/>
          <w:highlight w:val="none"/>
        </w:rPr>
      </w:pPr>
    </w:p>
    <w:p w14:paraId="4992C24B">
      <w:pPr>
        <w:tabs>
          <w:tab w:val="left" w:pos="5130"/>
        </w:tabs>
        <w:spacing w:line="360" w:lineRule="auto"/>
        <w:ind w:firstLine="480" w:firstLineChars="200"/>
        <w:rPr>
          <w:rFonts w:hint="eastAsia" w:ascii="宋体" w:hAnsi="宋体" w:eastAsia="宋体" w:cs="宋体"/>
          <w:color w:val="auto"/>
          <w:sz w:val="24"/>
          <w:szCs w:val="24"/>
          <w:highlight w:val="none"/>
        </w:rPr>
      </w:pPr>
    </w:p>
    <w:p w14:paraId="0F2B524F">
      <w:pPr>
        <w:tabs>
          <w:tab w:val="left" w:pos="5130"/>
        </w:tabs>
        <w:spacing w:line="360" w:lineRule="auto"/>
        <w:ind w:firstLine="480" w:firstLineChars="200"/>
        <w:rPr>
          <w:rFonts w:hint="eastAsia" w:ascii="宋体" w:hAnsi="宋体" w:eastAsia="宋体" w:cs="宋体"/>
          <w:color w:val="auto"/>
          <w:sz w:val="24"/>
          <w:szCs w:val="24"/>
          <w:highlight w:val="none"/>
        </w:rPr>
      </w:pPr>
    </w:p>
    <w:p w14:paraId="1A5D966E">
      <w:pPr>
        <w:tabs>
          <w:tab w:val="left" w:pos="5130"/>
        </w:tabs>
        <w:spacing w:line="360" w:lineRule="auto"/>
        <w:ind w:firstLine="240" w:firstLineChars="100"/>
        <w:rPr>
          <w:rFonts w:hint="eastAsia" w:ascii="宋体" w:hAnsi="宋体" w:eastAsia="宋体" w:cs="宋体"/>
          <w:color w:val="auto"/>
          <w:sz w:val="24"/>
          <w:szCs w:val="24"/>
          <w:highlight w:val="none"/>
        </w:rPr>
      </w:pPr>
    </w:p>
    <w:p w14:paraId="4B9CD0B9">
      <w:pPr>
        <w:tabs>
          <w:tab w:val="left" w:pos="5130"/>
        </w:tabs>
        <w:spacing w:line="360" w:lineRule="auto"/>
        <w:ind w:firstLine="480" w:firstLineChars="200"/>
        <w:rPr>
          <w:rFonts w:hint="eastAsia" w:ascii="宋体" w:hAnsi="宋体" w:eastAsia="宋体" w:cs="宋体"/>
          <w:color w:val="auto"/>
          <w:sz w:val="24"/>
          <w:szCs w:val="24"/>
          <w:highlight w:val="none"/>
        </w:rPr>
      </w:pPr>
    </w:p>
    <w:p w14:paraId="47F74E74">
      <w:pPr>
        <w:tabs>
          <w:tab w:val="left" w:pos="5130"/>
        </w:tabs>
        <w:spacing w:line="360" w:lineRule="auto"/>
        <w:rPr>
          <w:rFonts w:hint="eastAsia" w:ascii="宋体" w:hAnsi="宋体" w:eastAsia="宋体" w:cs="宋体"/>
          <w:color w:val="auto"/>
          <w:sz w:val="24"/>
          <w:szCs w:val="24"/>
          <w:highlight w:val="none"/>
        </w:rPr>
      </w:pPr>
    </w:p>
    <w:p w14:paraId="6CA403C5">
      <w:pPr>
        <w:tabs>
          <w:tab w:val="left" w:pos="5130"/>
        </w:tabs>
        <w:spacing w:line="360" w:lineRule="auto"/>
        <w:rPr>
          <w:rFonts w:hint="eastAsia" w:ascii="宋体" w:hAnsi="宋体" w:eastAsia="宋体" w:cs="宋体"/>
          <w:color w:val="auto"/>
          <w:sz w:val="24"/>
          <w:szCs w:val="24"/>
          <w:highlight w:val="none"/>
        </w:rPr>
      </w:pPr>
    </w:p>
    <w:p w14:paraId="1F973B64">
      <w:pPr>
        <w:tabs>
          <w:tab w:val="left" w:pos="5130"/>
        </w:tabs>
        <w:spacing w:line="360" w:lineRule="auto"/>
        <w:rPr>
          <w:rFonts w:hint="eastAsia" w:ascii="宋体" w:hAnsi="宋体" w:eastAsia="宋体" w:cs="宋体"/>
          <w:color w:val="auto"/>
          <w:sz w:val="24"/>
          <w:szCs w:val="24"/>
          <w:highlight w:val="none"/>
        </w:rPr>
      </w:pPr>
    </w:p>
    <w:p w14:paraId="4E09E545">
      <w:pPr>
        <w:tabs>
          <w:tab w:val="left" w:pos="5130"/>
        </w:tabs>
        <w:spacing w:line="360" w:lineRule="auto"/>
        <w:rPr>
          <w:rFonts w:hint="eastAsia" w:ascii="宋体" w:hAnsi="宋体" w:eastAsia="宋体" w:cs="宋体"/>
          <w:color w:val="auto"/>
          <w:sz w:val="24"/>
          <w:szCs w:val="24"/>
          <w:highlight w:val="none"/>
        </w:rPr>
      </w:pPr>
    </w:p>
    <w:p w14:paraId="3F0271C9">
      <w:pPr>
        <w:tabs>
          <w:tab w:val="left" w:pos="5130"/>
        </w:tabs>
        <w:spacing w:line="360" w:lineRule="auto"/>
        <w:rPr>
          <w:rFonts w:hint="eastAsia" w:ascii="宋体" w:hAnsi="宋体" w:eastAsia="宋体" w:cs="宋体"/>
          <w:color w:val="auto"/>
          <w:sz w:val="24"/>
          <w:szCs w:val="24"/>
          <w:highlight w:val="none"/>
        </w:rPr>
      </w:pPr>
    </w:p>
    <w:p w14:paraId="5FB41A40">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1"/>
        <w:rPr>
          <w:rFonts w:hint="eastAsia" w:ascii="宋体" w:hAnsi="宋体" w:eastAsia="宋体" w:cs="宋体"/>
          <w:color w:val="auto"/>
          <w:sz w:val="24"/>
          <w:szCs w:val="24"/>
          <w:highlight w:val="none"/>
        </w:rPr>
      </w:pPr>
      <w:bookmarkStart w:id="52" w:name="_Toc56396171"/>
      <w:bookmarkStart w:id="53" w:name="_Toc2030044970"/>
      <w:bookmarkStart w:id="54" w:name="_Toc1268632634"/>
      <w:bookmarkStart w:id="55" w:name="_Toc3394"/>
      <w:bookmarkStart w:id="56" w:name="_Toc16113"/>
      <w:bookmarkStart w:id="57" w:name="_Toc7140"/>
      <w:bookmarkStart w:id="58" w:name="_Toc885347797"/>
      <w:bookmarkStart w:id="59" w:name="_Toc10210"/>
      <w:bookmarkStart w:id="60" w:name="_Toc1158483500"/>
      <w:bookmarkStart w:id="61" w:name="_Toc432356148"/>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项目概述</w:t>
      </w:r>
      <w:bookmarkEnd w:id="52"/>
      <w:bookmarkEnd w:id="53"/>
      <w:bookmarkEnd w:id="54"/>
      <w:bookmarkEnd w:id="55"/>
      <w:bookmarkEnd w:id="56"/>
      <w:bookmarkEnd w:id="57"/>
      <w:bookmarkEnd w:id="58"/>
      <w:bookmarkEnd w:id="59"/>
      <w:bookmarkEnd w:id="60"/>
    </w:p>
    <w:p w14:paraId="3FDC77A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1.1项目名称：2025年科技展会会务工作承办单位服务采购</w:t>
      </w:r>
    </w:p>
    <w:p w14:paraId="35E66A7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1.2数量：1项</w:t>
      </w:r>
    </w:p>
    <w:p w14:paraId="52ACC365">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default" w:ascii="宋体" w:hAnsi="宋体" w:eastAsia="宋体" w:cs="宋体"/>
          <w:b w:val="0"/>
          <w:bCs w:val="0"/>
          <w:color w:val="auto"/>
          <w:kern w:val="2"/>
          <w:sz w:val="24"/>
          <w:szCs w:val="24"/>
          <w:highlight w:val="none"/>
          <w:lang w:val="en-US" w:eastAsia="zh-CN" w:bidi="ar-SA"/>
        </w:rPr>
      </w:pPr>
      <w:bookmarkStart w:id="62" w:name="_Toc26671"/>
      <w:bookmarkStart w:id="63" w:name="_Toc15033"/>
      <w:bookmarkStart w:id="64" w:name="_Toc11731"/>
      <w:bookmarkStart w:id="65" w:name="_Toc144263535"/>
      <w:bookmarkStart w:id="66" w:name="_Toc599075813"/>
      <w:bookmarkStart w:id="67" w:name="_Toc884000619"/>
      <w:bookmarkStart w:id="68" w:name="_Toc32451"/>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1.3 项目背景：2025年香港国际医疗及保健展、第七届中国-阿拉伯国家博览会（简称“中阿博览会”）、第十三届中国（绵阳）科技城国际科技博览会（简称“绵阳科博会”）和第二十七届中国国际高新技术成果交易会（简称“深圳高交会”）分别将于5月下旬、8月下旬、11月中旬和11月下旬在香港、银川、绵阳和深圳举行。受组委会邀请，厦门市科学技术局决定组织我市企业前往参展。为了工作顺利、有序开展，我局拟采用政府购买服务形式，委托一家机构协助我局开展上述四个展会会务服务工作。</w:t>
      </w:r>
      <w:bookmarkEnd w:id="62"/>
      <w:bookmarkEnd w:id="63"/>
    </w:p>
    <w:p w14:paraId="5BEC01C9">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1"/>
        <w:rPr>
          <w:rFonts w:hint="eastAsia" w:ascii="宋体" w:hAnsi="宋体" w:eastAsia="宋体" w:cs="宋体"/>
          <w:b/>
          <w:bCs/>
          <w:color w:val="auto"/>
          <w:kern w:val="2"/>
          <w:sz w:val="24"/>
          <w:szCs w:val="24"/>
          <w:highlight w:val="none"/>
          <w:lang w:val="en-US" w:eastAsia="zh-CN" w:bidi="ar-SA"/>
        </w:rPr>
      </w:pPr>
      <w:bookmarkStart w:id="69" w:name="_Toc23703"/>
      <w:bookmarkStart w:id="70" w:name="_Toc1963"/>
      <w:bookmarkStart w:id="71" w:name="_Toc358471416"/>
      <w:bookmarkStart w:id="72" w:name="_Toc746129358"/>
      <w:r>
        <w:rPr>
          <w:rFonts w:hint="eastAsia" w:ascii="宋体" w:hAnsi="宋体" w:eastAsia="宋体" w:cs="宋体"/>
          <w:b/>
          <w:bCs/>
          <w:color w:val="auto"/>
          <w:kern w:val="2"/>
          <w:sz w:val="24"/>
          <w:szCs w:val="24"/>
          <w:highlight w:val="none"/>
          <w:lang w:val="en-US" w:eastAsia="zh-CN" w:bidi="ar-SA"/>
        </w:rPr>
        <w:t>二、技术要求</w:t>
      </w:r>
      <w:bookmarkEnd w:id="61"/>
      <w:bookmarkEnd w:id="64"/>
      <w:bookmarkEnd w:id="65"/>
      <w:bookmarkEnd w:id="66"/>
      <w:bookmarkEnd w:id="67"/>
      <w:bookmarkEnd w:id="68"/>
      <w:bookmarkEnd w:id="69"/>
      <w:bookmarkEnd w:id="70"/>
      <w:bookmarkEnd w:id="71"/>
      <w:bookmarkEnd w:id="72"/>
    </w:p>
    <w:p w14:paraId="025FEDB9">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73" w:name="_Toc32436"/>
      <w:bookmarkStart w:id="74" w:name="_Toc16899"/>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2.1 组织专人组成工作组，制定工作方案；</w:t>
      </w:r>
      <w:bookmarkEnd w:id="73"/>
      <w:bookmarkEnd w:id="74"/>
      <w:r>
        <w:rPr>
          <w:rFonts w:hint="eastAsia" w:ascii="宋体" w:hAnsi="宋体" w:eastAsia="宋体" w:cs="宋体"/>
          <w:b w:val="0"/>
          <w:bCs w:val="0"/>
          <w:color w:val="auto"/>
          <w:kern w:val="2"/>
          <w:sz w:val="24"/>
          <w:szCs w:val="24"/>
          <w:highlight w:val="none"/>
          <w:lang w:val="en-US" w:eastAsia="zh-CN" w:bidi="ar-SA"/>
        </w:rPr>
        <w:t>　　</w:t>
      </w:r>
    </w:p>
    <w:p w14:paraId="7A7D7CE4">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75" w:name="_Toc12654"/>
      <w:bookmarkStart w:id="76" w:name="_Toc4931"/>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2.2协助招标人进行展位特装方案的采购工作，根据采购方案，监督特装实施单位完成展位特装的安装、展品布置、布展和撤展工作；  </w:t>
      </w:r>
      <w:bookmarkEnd w:id="75"/>
      <w:bookmarkEnd w:id="76"/>
      <w:r>
        <w:rPr>
          <w:rFonts w:hint="eastAsia" w:ascii="宋体" w:hAnsi="宋体" w:eastAsia="宋体" w:cs="宋体"/>
          <w:b w:val="0"/>
          <w:bCs w:val="0"/>
          <w:color w:val="auto"/>
          <w:kern w:val="2"/>
          <w:sz w:val="24"/>
          <w:szCs w:val="24"/>
          <w:highlight w:val="none"/>
          <w:lang w:val="en-US" w:eastAsia="zh-CN" w:bidi="ar-SA"/>
        </w:rPr>
        <w:t>　　</w:t>
      </w:r>
    </w:p>
    <w:p w14:paraId="2CA1BE27">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77" w:name="_Toc32420"/>
      <w:bookmarkStart w:id="78" w:name="_Toc32107"/>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2.3协助征集参展企业和展品，收集、汇总企业展板的校稿、图片的审定的等工作；</w:t>
      </w:r>
      <w:bookmarkEnd w:id="77"/>
      <w:bookmarkEnd w:id="78"/>
    </w:p>
    <w:p w14:paraId="79AA6EAA">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79" w:name="_Toc13329"/>
      <w:bookmarkStart w:id="80" w:name="_Toc10724"/>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2.4协助参展企业完成展品运输、安装调试工作及参展事务；  </w:t>
      </w:r>
      <w:bookmarkEnd w:id="79"/>
      <w:bookmarkEnd w:id="80"/>
      <w:r>
        <w:rPr>
          <w:rFonts w:hint="eastAsia" w:ascii="宋体" w:hAnsi="宋体" w:eastAsia="宋体" w:cs="宋体"/>
          <w:b w:val="0"/>
          <w:bCs w:val="0"/>
          <w:color w:val="auto"/>
          <w:kern w:val="2"/>
          <w:sz w:val="24"/>
          <w:szCs w:val="24"/>
          <w:highlight w:val="none"/>
          <w:lang w:val="en-US" w:eastAsia="zh-CN" w:bidi="ar-SA"/>
        </w:rPr>
        <w:t>　　</w:t>
      </w:r>
    </w:p>
    <w:p w14:paraId="426AD37F">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1" w:name="_Toc31833"/>
      <w:bookmarkStart w:id="82" w:name="_Toc11855"/>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2.5协调厦门代表团成员在展会期间的食宿及行程等；  </w:t>
      </w:r>
      <w:bookmarkEnd w:id="81"/>
      <w:bookmarkEnd w:id="82"/>
      <w:r>
        <w:rPr>
          <w:rFonts w:hint="eastAsia" w:ascii="宋体" w:hAnsi="宋体" w:eastAsia="宋体" w:cs="宋体"/>
          <w:b w:val="0"/>
          <w:bCs w:val="0"/>
          <w:color w:val="auto"/>
          <w:kern w:val="2"/>
          <w:sz w:val="24"/>
          <w:szCs w:val="24"/>
          <w:highlight w:val="none"/>
          <w:lang w:val="en-US" w:eastAsia="zh-CN" w:bidi="ar-SA"/>
        </w:rPr>
        <w:t>　　</w:t>
      </w:r>
    </w:p>
    <w:p w14:paraId="17B29CE0">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3" w:name="_Toc11383"/>
      <w:bookmarkStart w:id="84" w:name="_Toc8654"/>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2.6展会完成后负责跟踪落实对接成果，完成工作总结报告等；  </w:t>
      </w:r>
      <w:bookmarkEnd w:id="83"/>
      <w:bookmarkEnd w:id="84"/>
      <w:r>
        <w:rPr>
          <w:rFonts w:hint="eastAsia" w:ascii="宋体" w:hAnsi="宋体" w:eastAsia="宋体" w:cs="宋体"/>
          <w:b w:val="0"/>
          <w:bCs w:val="0"/>
          <w:color w:val="auto"/>
          <w:kern w:val="2"/>
          <w:sz w:val="24"/>
          <w:szCs w:val="24"/>
          <w:highlight w:val="none"/>
          <w:lang w:val="en-US" w:eastAsia="zh-CN" w:bidi="ar-SA"/>
        </w:rPr>
        <w:t>　　</w:t>
      </w:r>
    </w:p>
    <w:p w14:paraId="331C8884">
      <w:pPr>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b w:val="0"/>
          <w:bCs w:val="0"/>
          <w:color w:val="auto"/>
          <w:kern w:val="2"/>
          <w:sz w:val="24"/>
          <w:szCs w:val="24"/>
          <w:highlight w:val="none"/>
          <w:shd w:val="clear" w:color="auto" w:fill="auto"/>
          <w:lang w:val="en-US" w:eastAsia="zh-CN" w:bidi="ar-SA"/>
        </w:rPr>
      </w:pPr>
      <w:bookmarkStart w:id="85" w:name="_Toc11681"/>
      <w:bookmarkStart w:id="86" w:name="_Toc30213"/>
      <w:r>
        <w:rPr>
          <w:rFonts w:hint="eastAsia" w:ascii="宋体" w:hAnsi="宋体" w:cs="宋体"/>
          <w:color w:val="auto"/>
          <w:kern w:val="0"/>
          <w:sz w:val="24"/>
          <w:szCs w:val="24"/>
          <w:highlight w:val="none"/>
          <w:lang w:bidi="ar"/>
        </w:rPr>
        <w:t>▲</w:t>
      </w:r>
      <w:r>
        <w:rPr>
          <w:rFonts w:hint="eastAsia" w:ascii="宋体" w:hAnsi="宋体" w:eastAsia="宋体" w:cs="宋体"/>
          <w:b w:val="0"/>
          <w:bCs w:val="0"/>
          <w:color w:val="auto"/>
          <w:kern w:val="2"/>
          <w:sz w:val="24"/>
          <w:szCs w:val="24"/>
          <w:highlight w:val="none"/>
          <w:lang w:val="en-US" w:eastAsia="zh-CN" w:bidi="ar-SA"/>
        </w:rPr>
        <w:t xml:space="preserve">2.7实时汇报工作进展，并接受我局监督。 </w:t>
      </w:r>
      <w:r>
        <w:rPr>
          <w:rFonts w:hint="eastAsia" w:ascii="宋体" w:hAnsi="宋体" w:eastAsia="宋体" w:cs="宋体"/>
          <w:b w:val="0"/>
          <w:bCs w:val="0"/>
          <w:color w:val="auto"/>
          <w:kern w:val="2"/>
          <w:sz w:val="24"/>
          <w:szCs w:val="24"/>
          <w:highlight w:val="none"/>
          <w:shd w:val="clear" w:color="auto" w:fill="auto"/>
          <w:lang w:val="en-US" w:eastAsia="zh-CN" w:bidi="ar-SA"/>
        </w:rPr>
        <w:t> </w:t>
      </w:r>
      <w:bookmarkEnd w:id="85"/>
      <w:bookmarkEnd w:id="86"/>
      <w:r>
        <w:rPr>
          <w:rFonts w:hint="eastAsia" w:ascii="宋体" w:hAnsi="宋体" w:eastAsia="宋体" w:cs="宋体"/>
          <w:b w:val="0"/>
          <w:bCs w:val="0"/>
          <w:color w:val="auto"/>
          <w:kern w:val="2"/>
          <w:sz w:val="24"/>
          <w:szCs w:val="24"/>
          <w:highlight w:val="none"/>
          <w:shd w:val="clear" w:color="auto" w:fill="auto"/>
          <w:lang w:val="en-US" w:eastAsia="zh-CN" w:bidi="ar-SA"/>
        </w:rPr>
        <w:t>　　</w:t>
      </w:r>
    </w:p>
    <w:p w14:paraId="41C3AAF6">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1"/>
        <w:rPr>
          <w:rFonts w:hint="eastAsia" w:ascii="宋体" w:hAnsi="宋体" w:eastAsia="宋体" w:cs="宋体"/>
          <w:color w:val="auto"/>
          <w:sz w:val="24"/>
          <w:szCs w:val="24"/>
          <w:highlight w:val="none"/>
        </w:rPr>
      </w:pPr>
      <w:bookmarkStart w:id="87" w:name="_Toc1270452552"/>
      <w:bookmarkStart w:id="88" w:name="_Toc783776777"/>
      <w:bookmarkStart w:id="89" w:name="_Toc10984"/>
      <w:bookmarkStart w:id="90" w:name="_Toc1018956935"/>
      <w:bookmarkStart w:id="91" w:name="_Toc541"/>
      <w:bookmarkStart w:id="92" w:name="_Toc1743469729"/>
      <w:bookmarkStart w:id="93" w:name="_Toc1204702037"/>
      <w:bookmarkStart w:id="94" w:name="_Toc23939"/>
      <w:bookmarkStart w:id="95" w:name="_Toc27958"/>
      <w:bookmarkStart w:id="96" w:name="_Toc116869901"/>
      <w:bookmarkStart w:id="97" w:name="_Toc116895408"/>
      <w:bookmarkStart w:id="98" w:name="_Toc89791596"/>
      <w:bookmarkStart w:id="99" w:name="_Toc105315000"/>
      <w:bookmarkStart w:id="100" w:name="_Toc432356150"/>
      <w:bookmarkStart w:id="101" w:name="_Toc89791698"/>
      <w:bookmarkStart w:id="102" w:name="_Toc151886856"/>
      <w:bookmarkStart w:id="103" w:name="_Toc172776051"/>
      <w:bookmarkStart w:id="104" w:name="_Toc90180873"/>
      <w:bookmarkStart w:id="105" w:name="_Toc36885854"/>
      <w:bookmarkStart w:id="106" w:name="_Toc36974207"/>
      <w:bookmarkStart w:id="107" w:name="_Toc36973198"/>
      <w:bookmarkStart w:id="108" w:name="_Toc37236847"/>
      <w:bookmarkStart w:id="109" w:name="_Toc36867048"/>
      <w:bookmarkStart w:id="110" w:name="_Toc32815547"/>
      <w:bookmarkStart w:id="111" w:name="_Toc36974289"/>
      <w:bookmarkStart w:id="112" w:name="_Toc36973985"/>
      <w:bookmarkStart w:id="113" w:name="_Toc36974051"/>
      <w:bookmarkStart w:id="114" w:name="_Toc34471344"/>
      <w:bookmarkStart w:id="115" w:name="_Toc36974340"/>
      <w:r>
        <w:rPr>
          <w:rFonts w:hint="eastAsia" w:ascii="宋体" w:hAnsi="宋体" w:eastAsia="宋体" w:cs="宋体"/>
          <w:color w:val="auto"/>
          <w:sz w:val="24"/>
          <w:szCs w:val="24"/>
          <w:highlight w:val="none"/>
        </w:rPr>
        <w:t>三、商务要求</w:t>
      </w:r>
      <w:bookmarkEnd w:id="87"/>
      <w:bookmarkEnd w:id="88"/>
      <w:bookmarkEnd w:id="89"/>
      <w:bookmarkEnd w:id="90"/>
      <w:bookmarkEnd w:id="91"/>
      <w:bookmarkEnd w:id="92"/>
      <w:bookmarkEnd w:id="93"/>
      <w:bookmarkEnd w:id="94"/>
      <w:bookmarkEnd w:id="95"/>
    </w:p>
    <w:p w14:paraId="7FD4B4E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rPr>
        <w:t>交付地点：</w:t>
      </w:r>
      <w:r>
        <w:rPr>
          <w:rFonts w:hint="eastAsia" w:ascii="宋体" w:hAnsi="宋体" w:eastAsia="宋体" w:cs="宋体"/>
          <w:color w:val="auto"/>
          <w:sz w:val="24"/>
          <w:szCs w:val="24"/>
          <w:highlight w:val="none"/>
          <w:u w:val="none"/>
          <w:lang w:eastAsia="zh-CN"/>
        </w:rPr>
        <w:t>招标人</w:t>
      </w:r>
      <w:r>
        <w:rPr>
          <w:rFonts w:hint="eastAsia" w:ascii="宋体" w:hAnsi="宋体" w:eastAsia="宋体" w:cs="宋体"/>
          <w:color w:val="auto"/>
          <w:sz w:val="24"/>
          <w:szCs w:val="24"/>
          <w:highlight w:val="none"/>
          <w:u w:val="none"/>
        </w:rPr>
        <w:t>指定地点</w:t>
      </w:r>
    </w:p>
    <w:p w14:paraId="085213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rPr>
        <w:t>服务时间：</w:t>
      </w:r>
      <w:r>
        <w:rPr>
          <w:rFonts w:hint="eastAsia" w:ascii="宋体" w:hAnsi="宋体" w:eastAsia="宋体" w:cs="宋体"/>
          <w:color w:val="auto"/>
          <w:kern w:val="0"/>
          <w:sz w:val="24"/>
          <w:szCs w:val="24"/>
          <w:highlight w:val="none"/>
          <w:lang w:val="en-US" w:eastAsia="zh-CN"/>
        </w:rPr>
        <w:t>2025年5月-12月</w:t>
      </w:r>
    </w:p>
    <w:p w14:paraId="233B4D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color w:val="auto"/>
          <w:kern w:val="0"/>
          <w:sz w:val="24"/>
          <w:szCs w:val="24"/>
          <w:highlight w:val="none"/>
        </w:rPr>
        <w:t>交付条件：</w:t>
      </w:r>
      <w:r>
        <w:rPr>
          <w:rFonts w:hint="eastAsia" w:ascii="宋体" w:hAnsi="宋体" w:eastAsia="宋体" w:cs="宋体"/>
          <w:color w:val="auto"/>
          <w:kern w:val="0"/>
          <w:sz w:val="24"/>
          <w:szCs w:val="24"/>
          <w:highlight w:val="none"/>
          <w:lang w:val="en-US" w:eastAsia="zh-CN"/>
        </w:rPr>
        <w:t>投标人中标</w:t>
      </w:r>
      <w:r>
        <w:rPr>
          <w:rFonts w:hint="eastAsia" w:ascii="宋体" w:hAnsi="宋体" w:eastAsia="宋体" w:cs="宋体"/>
          <w:color w:val="auto"/>
          <w:kern w:val="0"/>
          <w:sz w:val="24"/>
          <w:szCs w:val="24"/>
          <w:highlight w:val="none"/>
        </w:rPr>
        <w:t>后必须按照合同的规定，保质保量地完成</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委托的工作，经</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验收服务成果合格后交付</w:t>
      </w:r>
      <w:r>
        <w:rPr>
          <w:rFonts w:hint="eastAsia" w:ascii="宋体" w:hAnsi="宋体" w:eastAsia="宋体" w:cs="宋体"/>
          <w:color w:val="auto"/>
          <w:kern w:val="0"/>
          <w:sz w:val="24"/>
          <w:szCs w:val="24"/>
          <w:highlight w:val="none"/>
          <w:lang w:eastAsia="zh-CN"/>
        </w:rPr>
        <w:t>。</w:t>
      </w:r>
    </w:p>
    <w:p w14:paraId="3C47795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rPr>
      </w:pPr>
      <w:r>
        <w:rPr>
          <w:rStyle w:val="15"/>
          <w:rFonts w:hint="eastAsia" w:ascii="宋体" w:hAnsi="宋体" w:eastAsia="宋体" w:cs="宋体"/>
          <w:b w:val="0"/>
          <w:bCs w:val="0"/>
          <w:color w:val="auto"/>
          <w:kern w:val="0"/>
          <w:sz w:val="24"/>
          <w:szCs w:val="24"/>
          <w:highlight w:val="none"/>
          <w:lang w:val="en-US" w:eastAsia="zh-CN"/>
        </w:rPr>
        <w:t>3.4</w:t>
      </w:r>
      <w:r>
        <w:rPr>
          <w:rStyle w:val="15"/>
          <w:rFonts w:hint="eastAsia" w:ascii="宋体" w:hAnsi="宋体" w:eastAsia="宋体" w:cs="宋体"/>
          <w:b w:val="0"/>
          <w:bCs w:val="0"/>
          <w:color w:val="auto"/>
          <w:kern w:val="0"/>
          <w:sz w:val="24"/>
          <w:szCs w:val="24"/>
          <w:highlight w:val="none"/>
        </w:rPr>
        <w:t>支付方式数据表格</w:t>
      </w:r>
    </w:p>
    <w:tbl>
      <w:tblPr>
        <w:tblStyle w:val="1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14:paraId="70B32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noWrap w:val="0"/>
            <w:vAlign w:val="center"/>
          </w:tcPr>
          <w:p w14:paraId="67141E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支付期次</w:t>
            </w:r>
          </w:p>
        </w:tc>
        <w:tc>
          <w:tcPr>
            <w:tcW w:w="1000" w:type="pct"/>
            <w:tcBorders>
              <w:top w:val="outset" w:color="auto" w:sz="6" w:space="0"/>
              <w:left w:val="outset" w:color="auto" w:sz="6" w:space="0"/>
              <w:bottom w:val="outset" w:color="auto" w:sz="6" w:space="0"/>
              <w:right w:val="outset" w:color="auto" w:sz="6" w:space="0"/>
            </w:tcBorders>
            <w:noWrap w:val="0"/>
            <w:vAlign w:val="center"/>
          </w:tcPr>
          <w:p w14:paraId="688CDB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14:paraId="0C2361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支付期次说明</w:t>
            </w:r>
          </w:p>
        </w:tc>
      </w:tr>
      <w:tr w14:paraId="64FAF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14:paraId="60F814EE">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1666" w:type="dxa"/>
            <w:tcBorders>
              <w:top w:val="outset" w:color="auto" w:sz="6" w:space="0"/>
              <w:left w:val="outset" w:color="auto" w:sz="6" w:space="0"/>
              <w:bottom w:val="outset" w:color="auto" w:sz="6" w:space="0"/>
              <w:right w:val="outset" w:color="auto" w:sz="6" w:space="0"/>
            </w:tcBorders>
            <w:noWrap w:val="0"/>
            <w:vAlign w:val="center"/>
          </w:tcPr>
          <w:p w14:paraId="15AD88AE">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60</w:t>
            </w:r>
          </w:p>
        </w:tc>
        <w:tc>
          <w:tcPr>
            <w:tcW w:w="4997" w:type="dxa"/>
            <w:tcBorders>
              <w:top w:val="outset" w:color="auto" w:sz="6" w:space="0"/>
              <w:left w:val="outset" w:color="auto" w:sz="6" w:space="0"/>
              <w:bottom w:val="outset" w:color="auto" w:sz="6" w:space="0"/>
              <w:right w:val="outset" w:color="auto" w:sz="6" w:space="0"/>
            </w:tcBorders>
            <w:noWrap w:val="0"/>
            <w:vAlign w:val="center"/>
          </w:tcPr>
          <w:p w14:paraId="230ED1E1">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合同签订后支付成交金额的60%。</w:t>
            </w:r>
          </w:p>
        </w:tc>
      </w:tr>
      <w:tr w14:paraId="01FD6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14:paraId="115D062E">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p>
        </w:tc>
        <w:tc>
          <w:tcPr>
            <w:tcW w:w="1666" w:type="dxa"/>
            <w:tcBorders>
              <w:top w:val="outset" w:color="auto" w:sz="6" w:space="0"/>
              <w:left w:val="outset" w:color="auto" w:sz="6" w:space="0"/>
              <w:bottom w:val="outset" w:color="auto" w:sz="6" w:space="0"/>
              <w:right w:val="outset" w:color="auto" w:sz="6" w:space="0"/>
            </w:tcBorders>
            <w:noWrap w:val="0"/>
            <w:vAlign w:val="center"/>
          </w:tcPr>
          <w:p w14:paraId="6FFEBAB5">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40</w:t>
            </w:r>
          </w:p>
        </w:tc>
        <w:tc>
          <w:tcPr>
            <w:tcW w:w="4997" w:type="dxa"/>
            <w:tcBorders>
              <w:top w:val="outset" w:color="auto" w:sz="6" w:space="0"/>
              <w:left w:val="outset" w:color="auto" w:sz="6" w:space="0"/>
              <w:bottom w:val="outset" w:color="auto" w:sz="6" w:space="0"/>
              <w:right w:val="outset" w:color="auto" w:sz="6" w:space="0"/>
            </w:tcBorders>
            <w:noWrap w:val="0"/>
            <w:vAlign w:val="center"/>
          </w:tcPr>
          <w:p w14:paraId="48B6378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项目实施验收后支付成交金额的40%。</w:t>
            </w:r>
          </w:p>
        </w:tc>
      </w:tr>
    </w:tbl>
    <w:p w14:paraId="53781D03">
      <w:pPr>
        <w:pStyle w:val="3"/>
        <w:keepNext w:val="0"/>
        <w:keepLines w:val="0"/>
        <w:spacing w:before="0" w:after="0" w:line="360" w:lineRule="auto"/>
        <w:ind w:firstLine="472" w:firstLineChars="196"/>
        <w:outlineLvl w:val="1"/>
        <w:rPr>
          <w:rFonts w:hint="eastAsia" w:ascii="宋体" w:hAnsi="宋体" w:eastAsia="宋体" w:cs="宋体"/>
          <w:color w:val="auto"/>
          <w:sz w:val="24"/>
          <w:szCs w:val="24"/>
          <w:highlight w:val="none"/>
        </w:rPr>
      </w:pPr>
      <w:bookmarkStart w:id="116" w:name="_Toc785596593"/>
      <w:bookmarkStart w:id="117" w:name="_Toc20690"/>
      <w:bookmarkStart w:id="118" w:name="_Toc1867553509"/>
      <w:bookmarkStart w:id="119" w:name="_Toc15354"/>
      <w:bookmarkStart w:id="120" w:name="_Toc23198"/>
      <w:bookmarkStart w:id="121" w:name="_Toc27716"/>
      <w:bookmarkStart w:id="122" w:name="_Toc951190232"/>
      <w:bookmarkStart w:id="123" w:name="_Toc568629619"/>
      <w:bookmarkStart w:id="124" w:name="_Toc1128853291"/>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、报价要求</w:t>
      </w:r>
      <w:bookmarkEnd w:id="96"/>
      <w:bookmarkEnd w:id="97"/>
      <w:bookmarkEnd w:id="98"/>
      <w:bookmarkEnd w:id="99"/>
      <w:bookmarkEnd w:id="100"/>
      <w:bookmarkEnd w:id="101"/>
      <w:bookmarkEnd w:id="102"/>
      <w:bookmarkEnd w:id="103"/>
      <w:bookmarkEnd w:id="104"/>
      <w:bookmarkEnd w:id="116"/>
      <w:bookmarkEnd w:id="117"/>
      <w:bookmarkEnd w:id="118"/>
      <w:bookmarkEnd w:id="119"/>
      <w:bookmarkEnd w:id="120"/>
      <w:bookmarkEnd w:id="121"/>
      <w:bookmarkEnd w:id="122"/>
      <w:bookmarkEnd w:id="123"/>
      <w:bookmarkEnd w:id="124"/>
    </w:p>
    <w:p w14:paraId="186FB03D">
      <w:pPr>
        <w:spacing w:line="360" w:lineRule="auto"/>
        <w:ind w:firstLine="477" w:firstLineChars="198"/>
        <w:rPr>
          <w:rFonts w:hint="eastAsia" w:ascii="宋体" w:hAnsi="宋体" w:eastAsia="宋体" w:cs="宋体"/>
          <w:b/>
          <w:color w:val="auto"/>
          <w:spacing w:val="4"/>
          <w:sz w:val="24"/>
          <w:szCs w:val="24"/>
          <w:highlight w:val="none"/>
          <w:lang w:eastAsia="zh-CN"/>
        </w:rPr>
      </w:pPr>
      <w:r>
        <w:rPr>
          <w:rFonts w:hint="eastAsia" w:ascii="宋体" w:hAnsi="宋体" w:eastAsia="宋体" w:cs="宋体"/>
          <w:b/>
          <w:color w:val="auto"/>
          <w:sz w:val="24"/>
          <w:szCs w:val="24"/>
          <w:highlight w:val="none"/>
          <w:lang w:val="en-US" w:eastAsia="zh-CN"/>
        </w:rPr>
        <w:t>*4.1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eastAsia="宋体" w:cs="宋体"/>
          <w:b/>
          <w:color w:val="auto"/>
          <w:sz w:val="24"/>
          <w:szCs w:val="24"/>
          <w:highlight w:val="none"/>
          <w:lang w:val="en-US" w:eastAsia="zh-CN"/>
        </w:rPr>
        <w:t>25.5</w:t>
      </w:r>
      <w:r>
        <w:rPr>
          <w:rFonts w:hint="eastAsia" w:ascii="宋体" w:hAnsi="宋体" w:eastAsia="宋体" w:cs="宋体"/>
          <w:b/>
          <w:color w:val="auto"/>
          <w:sz w:val="24"/>
          <w:szCs w:val="24"/>
          <w:highlight w:val="none"/>
          <w:lang w:eastAsia="zh-CN"/>
        </w:rPr>
        <w:t>万元，采购预算为总报价的最高限价，总报价超过采购预算的属无效报价。</w:t>
      </w:r>
    </w:p>
    <w:p w14:paraId="7089239C">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必须对采购项目的所有内容进行报价响应。</w:t>
      </w:r>
    </w:p>
    <w:p w14:paraId="10116650">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本次采购为国内采购，报价以人民币为货币单位，应分单价、小计和总价。</w:t>
      </w:r>
    </w:p>
    <w:p w14:paraId="5B77D0E2">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4.4投标</w:t>
      </w:r>
      <w:r>
        <w:rPr>
          <w:rFonts w:hint="eastAsia" w:ascii="宋体" w:hAnsi="宋体" w:eastAsia="宋体" w:cs="宋体"/>
          <w:color w:val="auto"/>
          <w:sz w:val="24"/>
          <w:szCs w:val="24"/>
          <w:highlight w:val="none"/>
        </w:rPr>
        <w:t>总报价为完成项目研究活动所有可能发生的一切费用，包括人工费、设备投入使用费、劳保费、税金、</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、材料费、资料收集费、安全生产措施费用、组织评审费、验收费、咨询费、管理费相关伴随服务等服务期间所可能发生的一切费用。</w:t>
      </w:r>
    </w:p>
    <w:p w14:paraId="61780CD5">
      <w:pPr>
        <w:spacing w:line="360" w:lineRule="auto"/>
        <w:ind w:firstLine="480" w:firstLineChars="200"/>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报价中漏报、少报的费用，视为此项费用已隐含在谈判响应报价中，成交后不得再向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收取任何费用。</w:t>
      </w:r>
    </w:p>
    <w:bookmarkEnd w:id="105"/>
    <w:bookmarkEnd w:id="106"/>
    <w:bookmarkEnd w:id="107"/>
    <w:bookmarkEnd w:id="108"/>
    <w:bookmarkEnd w:id="109"/>
    <w:bookmarkEnd w:id="110"/>
    <w:bookmarkEnd w:id="111"/>
    <w:bookmarkEnd w:id="112"/>
    <w:bookmarkEnd w:id="113"/>
    <w:bookmarkEnd w:id="114"/>
    <w:bookmarkEnd w:id="115"/>
    <w:p w14:paraId="59FD661C">
      <w:pPr>
        <w:pStyle w:val="3"/>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25" w:name="_Toc89791701"/>
      <w:bookmarkStart w:id="126" w:name="_Toc36973986"/>
      <w:bookmarkStart w:id="127" w:name="_Toc36974341"/>
      <w:bookmarkStart w:id="128" w:name="_Toc27125"/>
      <w:bookmarkStart w:id="129" w:name="_Toc23986"/>
      <w:bookmarkStart w:id="130" w:name="_Toc36974208"/>
      <w:bookmarkStart w:id="131" w:name="_Toc90180876"/>
      <w:bookmarkStart w:id="132" w:name="_Toc432356152"/>
      <w:bookmarkStart w:id="133" w:name="_Toc24743"/>
      <w:bookmarkStart w:id="134" w:name="_Toc116869904"/>
      <w:bookmarkStart w:id="135" w:name="_Toc36974290"/>
      <w:bookmarkStart w:id="136" w:name="_Toc105315003"/>
      <w:bookmarkStart w:id="137" w:name="_Toc172776054"/>
      <w:bookmarkStart w:id="138" w:name="_Toc37236848"/>
      <w:bookmarkStart w:id="139" w:name="_Toc1653365564"/>
      <w:bookmarkStart w:id="140" w:name="_Toc36885855"/>
      <w:bookmarkStart w:id="141" w:name="_Toc36973199"/>
      <w:bookmarkStart w:id="142" w:name="_Toc1996848829"/>
      <w:bookmarkStart w:id="143" w:name="_Toc1926647722"/>
      <w:bookmarkStart w:id="144" w:name="_Toc89791599"/>
      <w:bookmarkStart w:id="145" w:name="_Toc236548239"/>
      <w:bookmarkStart w:id="146" w:name="_Toc36974052"/>
      <w:bookmarkStart w:id="147" w:name="_Toc151886859"/>
      <w:bookmarkStart w:id="148" w:name="_Toc513197613"/>
      <w:bookmarkStart w:id="149" w:name="_Toc1143832292"/>
      <w:bookmarkStart w:id="150" w:name="_Toc36867049"/>
      <w:bookmarkStart w:id="151" w:name="_Toc26735"/>
      <w:bookmarkStart w:id="152" w:name="_Toc116895411"/>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、验收条件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26D43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验收条件：项目服务进行过程的每个阶段完成后，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应及时通知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，进行相关事项的讨论，并根据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提出的整改意见及时整改，达到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要求可邀请</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进行验收。</w:t>
      </w:r>
    </w:p>
    <w:p w14:paraId="0120E0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验收依据：采购文件、报价文件及国家、省、市有关的标准规定，均为验收依据。</w:t>
      </w:r>
    </w:p>
    <w:p w14:paraId="2ED078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签订承包合同，根据采购文件规定和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的谈判响应承诺约定具体事项和考核办法，</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若发生违约行为或考核不合格，</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有权终止合同的履行。</w:t>
      </w:r>
    </w:p>
    <w:p w14:paraId="4CCE40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验收时</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必须派代表参加。</w:t>
      </w:r>
    </w:p>
    <w:p w14:paraId="2DDBE5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验收过程所发生的一切费用由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w:t>
      </w:r>
    </w:p>
    <w:p w14:paraId="5B84EF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在履约过程中若有出现安全事故，其责任及相应的赔偿均由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不承担所有责任及义务。</w:t>
      </w:r>
    </w:p>
    <w:p w14:paraId="0702C9B9">
      <w:pPr>
        <w:pStyle w:val="3"/>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53" w:name="_Toc528050644"/>
      <w:bookmarkStart w:id="154" w:name="_Toc4231"/>
      <w:bookmarkStart w:id="155" w:name="_Toc1545302756"/>
      <w:bookmarkStart w:id="156" w:name="_Toc1404497787"/>
      <w:bookmarkStart w:id="157" w:name="_Toc1016957390"/>
      <w:bookmarkStart w:id="158" w:name="_Toc27358"/>
      <w:bookmarkStart w:id="159" w:name="_Toc8214"/>
      <w:bookmarkStart w:id="160" w:name="_Toc29363"/>
      <w:bookmarkStart w:id="161" w:name="_Toc460034773"/>
      <w:bookmarkStart w:id="162" w:name="_Toc432356158"/>
      <w:bookmarkStart w:id="163" w:name="_Toc338238196"/>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、资格证明文件</w:t>
      </w:r>
      <w:bookmarkEnd w:id="153"/>
      <w:bookmarkEnd w:id="154"/>
      <w:bookmarkEnd w:id="155"/>
      <w:bookmarkEnd w:id="156"/>
      <w:bookmarkEnd w:id="157"/>
      <w:bookmarkEnd w:id="158"/>
      <w:bookmarkEnd w:id="159"/>
      <w:bookmarkEnd w:id="160"/>
      <w:bookmarkEnd w:id="161"/>
    </w:p>
    <w:p w14:paraId="0863A6BE">
      <w:pPr>
        <w:snapToGrid w:val="0"/>
        <w:spacing w:line="360" w:lineRule="auto"/>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p w14:paraId="7F995C0F">
      <w:pPr>
        <w:snapToGrid w:val="0"/>
        <w:spacing w:line="360" w:lineRule="auto"/>
        <w:ind w:firstLine="354" w:firstLineChars="147"/>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bookmarkEnd w:id="162"/>
    <w:bookmarkEnd w:id="163"/>
    <w:p w14:paraId="7C88D4A5">
      <w:pPr>
        <w:pStyle w:val="3"/>
        <w:keepNext w:val="0"/>
        <w:keepLines w:val="0"/>
        <w:numPr>
          <w:ilvl w:val="0"/>
          <w:numId w:val="0"/>
        </w:numPr>
        <w:spacing w:before="0" w:after="0" w:line="360" w:lineRule="auto"/>
        <w:ind w:firstLine="482" w:firstLineChars="200"/>
        <w:jc w:val="left"/>
        <w:rPr>
          <w:rFonts w:hint="eastAsia" w:ascii="宋体" w:hAnsi="宋体" w:eastAsia="宋体" w:cs="宋体"/>
          <w:color w:val="auto"/>
          <w:sz w:val="24"/>
          <w:szCs w:val="24"/>
          <w:highlight w:val="none"/>
          <w:lang w:val="en-US" w:eastAsia="zh-CN"/>
        </w:rPr>
      </w:pPr>
      <w:bookmarkStart w:id="164" w:name="_Toc12111"/>
      <w:bookmarkStart w:id="165" w:name="_Toc1630499995"/>
      <w:bookmarkStart w:id="166" w:name="_Toc367699414"/>
      <w:bookmarkStart w:id="167" w:name="_Toc846373990"/>
      <w:bookmarkStart w:id="168" w:name="_Toc2111125491"/>
      <w:bookmarkStart w:id="169" w:name="_Toc21131"/>
      <w:bookmarkStart w:id="170" w:name="_Toc1440329092"/>
      <w:bookmarkStart w:id="171" w:name="_Toc4422"/>
      <w:bookmarkStart w:id="172" w:name="_Toc2990"/>
      <w:bookmarkStart w:id="173" w:name="_Toc29882"/>
      <w:bookmarkStart w:id="174" w:name="_Toc24038"/>
      <w:bookmarkStart w:id="175" w:name="_Toc12255"/>
      <w:r>
        <w:rPr>
          <w:rFonts w:hint="eastAsia" w:ascii="宋体" w:hAnsi="宋体" w:eastAsia="宋体" w:cs="宋体"/>
          <w:color w:val="auto"/>
          <w:sz w:val="24"/>
          <w:szCs w:val="24"/>
          <w:highlight w:val="none"/>
          <w:lang w:val="en-US" w:eastAsia="zh-CN"/>
        </w:rPr>
        <w:t>七、知识产权</w:t>
      </w:r>
      <w:bookmarkEnd w:id="164"/>
      <w:bookmarkEnd w:id="165"/>
      <w:bookmarkEnd w:id="166"/>
      <w:bookmarkEnd w:id="167"/>
      <w:bookmarkEnd w:id="168"/>
      <w:bookmarkEnd w:id="169"/>
      <w:bookmarkEnd w:id="170"/>
      <w:bookmarkEnd w:id="171"/>
      <w:bookmarkEnd w:id="172"/>
      <w:bookmarkEnd w:id="173"/>
    </w:p>
    <w:p w14:paraId="0F2468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在项目实施期间</w:t>
      </w:r>
      <w:r>
        <w:rPr>
          <w:rFonts w:hint="eastAsia" w:ascii="宋体" w:hAnsi="宋体" w:eastAsia="宋体" w:cs="宋体"/>
          <w:color w:val="auto"/>
          <w:sz w:val="24"/>
          <w:szCs w:val="24"/>
          <w:highlight w:val="none"/>
        </w:rPr>
        <w:t>不受到知识产权或版权的纠纷，否则，由此产生的任何责任完全由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w:t>
      </w:r>
    </w:p>
    <w:p w14:paraId="343D9658">
      <w:pPr>
        <w:pStyle w:val="3"/>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76" w:name="_Toc24725"/>
      <w:bookmarkStart w:id="177" w:name="_Toc23516"/>
      <w:bookmarkStart w:id="178" w:name="_Toc2106221535"/>
      <w:bookmarkStart w:id="179" w:name="_Toc22033"/>
      <w:bookmarkStart w:id="180" w:name="_Toc1827335531"/>
      <w:bookmarkStart w:id="181" w:name="_Toc5454"/>
      <w:bookmarkStart w:id="182" w:name="_Toc572548113"/>
      <w:bookmarkStart w:id="183" w:name="_Toc1110146659"/>
      <w:bookmarkStart w:id="184" w:name="_Toc1072457120"/>
      <w:bookmarkStart w:id="185" w:name="_Toc28751"/>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其他要求</w:t>
      </w:r>
      <w:bookmarkEnd w:id="174"/>
      <w:bookmarkEnd w:id="175"/>
      <w:bookmarkEnd w:id="176"/>
      <w:bookmarkEnd w:id="177"/>
      <w:bookmarkEnd w:id="178"/>
      <w:bookmarkEnd w:id="179"/>
      <w:bookmarkEnd w:id="180"/>
      <w:bookmarkEnd w:id="181"/>
      <w:bookmarkEnd w:id="182"/>
      <w:bookmarkEnd w:id="183"/>
      <w:bookmarkEnd w:id="184"/>
      <w:bookmarkEnd w:id="185"/>
    </w:p>
    <w:p w14:paraId="4F14BB3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8.1投标人</w:t>
      </w:r>
      <w:r>
        <w:rPr>
          <w:rFonts w:hint="eastAsia" w:ascii="宋体" w:hAnsi="宋体" w:eastAsia="宋体" w:cs="宋体"/>
          <w:color w:val="auto"/>
          <w:sz w:val="24"/>
          <w:szCs w:val="24"/>
          <w:highlight w:val="none"/>
        </w:rPr>
        <w:t>拟派项目活动负责人应具有同类项目的组织经验。拟投入的其它管理、设计、技术人员应齐备、专业配套、符合执业资格规定，能满足活动的需要。</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须提供相关人员职称证书的有效复印件。</w:t>
      </w:r>
    </w:p>
    <w:p w14:paraId="43C7A3F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8.2投标人</w:t>
      </w:r>
      <w:r>
        <w:rPr>
          <w:rFonts w:hint="eastAsia" w:ascii="宋体" w:hAnsi="宋体" w:eastAsia="宋体" w:cs="宋体"/>
          <w:color w:val="auto"/>
          <w:sz w:val="24"/>
          <w:szCs w:val="24"/>
          <w:highlight w:val="none"/>
        </w:rPr>
        <w:t>应提供项目的活动团队成员名单（注明职称、工作岗位、学历等基本情况），以及其它相关人员资料。</w:t>
      </w:r>
    </w:p>
    <w:p w14:paraId="4E6F034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8.3投标人</w:t>
      </w:r>
      <w:r>
        <w:rPr>
          <w:rFonts w:hint="eastAsia" w:ascii="宋体" w:hAnsi="宋体" w:eastAsia="宋体" w:cs="宋体"/>
          <w:color w:val="auto"/>
          <w:sz w:val="24"/>
          <w:szCs w:val="24"/>
          <w:highlight w:val="none"/>
        </w:rPr>
        <w:t>须在报价文件中提供拟安排的计划及措施等，包括：活动进度安排；</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质量保证措施；完成</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各进度所需要的最短时间及保证进度的措施等。</w:t>
      </w:r>
    </w:p>
    <w:p w14:paraId="1F32E63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8.4投标人</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方案等有关资料必须符合国家规定的有关标准、规范要求，且必须满足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文件的相关要求。</w:t>
      </w:r>
    </w:p>
    <w:p w14:paraId="6D8D448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8.5投标人</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及服务内容必须是自身合法开发或合法来源的全新的优质产品，并对之拥有可以依法出卖或交易的相应“物权”；任何有关产品的所有权、知识产权或担保物权可能提出的异议、有关索赔责任及费用或法律责任，均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w:t>
      </w:r>
    </w:p>
    <w:p w14:paraId="0BF026D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本文所述服务内容及要求，应视为保证</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符合相关标准的最低要求，如有遗漏，</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应予以补充。否则，一旦成交将认为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认同遗漏部分并免费提供。</w:t>
      </w:r>
    </w:p>
    <w:p w14:paraId="0DB71E1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8.7投标人</w:t>
      </w:r>
      <w:r>
        <w:rPr>
          <w:rFonts w:hint="eastAsia" w:ascii="宋体" w:hAnsi="宋体" w:eastAsia="宋体" w:cs="宋体"/>
          <w:color w:val="auto"/>
          <w:sz w:val="24"/>
          <w:szCs w:val="24"/>
          <w:highlight w:val="none"/>
        </w:rPr>
        <w:t>应依据采购文件要求及报价文件所作承诺履行职责，如有违约，</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有权根据协议、合同采取措施保证本次服务的顺利进行，并相应追究违约方的违约责任。</w:t>
      </w:r>
    </w:p>
    <w:p w14:paraId="3A3876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8.8</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在活动及验收过程中若有出现安全事故，其责任及相应的赔偿均由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不承担所有责任及义务。</w:t>
      </w:r>
    </w:p>
    <w:p w14:paraId="19A9A53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9、违约责任</w:t>
      </w:r>
    </w:p>
    <w:p w14:paraId="6780E2A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9.1若由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原因导致本活动不能按预定日期顺利举办，</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承担由此给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带来的直接损失并承担由此造成的一切后果</w:t>
      </w:r>
      <w:r>
        <w:rPr>
          <w:rFonts w:hint="eastAsia" w:ascii="宋体" w:hAnsi="宋体" w:eastAsia="宋体" w:cs="宋体"/>
          <w:color w:val="auto"/>
          <w:sz w:val="24"/>
          <w:szCs w:val="24"/>
          <w:highlight w:val="none"/>
          <w:lang w:eastAsia="zh-CN"/>
        </w:rPr>
        <w:t>，并退还招标人已支付的费用</w:t>
      </w:r>
      <w:r>
        <w:rPr>
          <w:rFonts w:hint="eastAsia" w:ascii="宋体" w:hAnsi="宋体" w:eastAsia="宋体" w:cs="宋体"/>
          <w:color w:val="auto"/>
          <w:sz w:val="24"/>
          <w:szCs w:val="24"/>
          <w:highlight w:val="none"/>
        </w:rPr>
        <w:t>。非因</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原因（包括但不限于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未及时提供</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资料、确认方案、不可抗力等）导致本活动不能按原定计划举办或</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未能提供合同约定服务的，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不承担责任。</w:t>
      </w:r>
    </w:p>
    <w:p w14:paraId="42B05D4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9.2因</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提供的产品或服务导致展会期间出现重大质量事故或服务过错的（包括参会人员任何人身、财产损害；展会无法持续进行等），由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承担全部责任。如</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在前述情形中实际承担了责任的，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同意无条件赔偿</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的一切损失，包括但不限于相关的赔偿费用、诉讼费、保全费、鉴定费、公证费、律师费、差旅费等所有费用。</w:t>
      </w:r>
    </w:p>
    <w:p w14:paraId="0C325D5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9.3在明确违约责任后，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书面通知书起七天内支付违约金、赔偿金等。</w:t>
      </w:r>
    </w:p>
    <w:p w14:paraId="228D7ED5">
      <w:pPr>
        <w:rPr>
          <w:color w:val="auto"/>
          <w:highlight w:val="none"/>
        </w:rPr>
      </w:pPr>
    </w:p>
    <w:p w14:paraId="785E5CE2">
      <w:pPr>
        <w:tabs>
          <w:tab w:val="left" w:pos="5130"/>
        </w:tabs>
        <w:spacing w:line="360" w:lineRule="auto"/>
        <w:rPr>
          <w:rFonts w:hint="eastAsia" w:ascii="宋体" w:hAnsi="宋体" w:eastAsia="宋体" w:cs="宋体"/>
          <w:b/>
          <w:color w:val="auto"/>
          <w:sz w:val="24"/>
          <w:szCs w:val="24"/>
          <w:highlight w:val="none"/>
        </w:rPr>
      </w:pPr>
    </w:p>
    <w:p w14:paraId="220EE1D8">
      <w:pPr>
        <w:tabs>
          <w:tab w:val="left" w:pos="5130"/>
        </w:tabs>
        <w:spacing w:line="360" w:lineRule="auto"/>
        <w:ind w:firstLine="480" w:firstLineChars="200"/>
        <w:rPr>
          <w:rFonts w:hint="eastAsia" w:ascii="宋体" w:hAnsi="宋体" w:eastAsia="宋体" w:cs="宋体"/>
          <w:color w:val="auto"/>
          <w:sz w:val="24"/>
          <w:szCs w:val="24"/>
          <w:highlight w:val="none"/>
        </w:rPr>
      </w:pPr>
    </w:p>
    <w:p w14:paraId="5F5F1E3A">
      <w:pPr>
        <w:spacing w:line="360" w:lineRule="auto"/>
        <w:rPr>
          <w:rFonts w:hint="eastAsia" w:ascii="宋体" w:hAnsi="宋体" w:eastAsia="宋体" w:cs="宋体"/>
          <w:b/>
          <w:color w:val="auto"/>
          <w:sz w:val="24"/>
          <w:szCs w:val="24"/>
          <w:highlight w:val="none"/>
        </w:rPr>
      </w:pPr>
    </w:p>
    <w:p w14:paraId="63C53F44">
      <w:pPr>
        <w:spacing w:line="360" w:lineRule="auto"/>
        <w:rPr>
          <w:rFonts w:hint="eastAsia" w:ascii="宋体" w:hAnsi="宋体" w:eastAsia="宋体" w:cs="宋体"/>
          <w:b/>
          <w:color w:val="auto"/>
          <w:sz w:val="24"/>
          <w:szCs w:val="24"/>
          <w:highlight w:val="none"/>
        </w:rPr>
      </w:pPr>
    </w:p>
    <w:p w14:paraId="6C884553">
      <w:pPr>
        <w:spacing w:line="360" w:lineRule="auto"/>
        <w:rPr>
          <w:rFonts w:hint="eastAsia" w:ascii="宋体" w:hAnsi="宋体" w:eastAsia="宋体" w:cs="宋体"/>
          <w:b/>
          <w:color w:val="auto"/>
          <w:sz w:val="24"/>
          <w:szCs w:val="24"/>
          <w:highlight w:val="none"/>
        </w:rPr>
      </w:pPr>
    </w:p>
    <w:p w14:paraId="42E5A737">
      <w:pPr>
        <w:spacing w:line="360" w:lineRule="auto"/>
        <w:rPr>
          <w:rFonts w:hint="eastAsia" w:ascii="宋体" w:hAnsi="宋体" w:eastAsia="宋体" w:cs="宋体"/>
          <w:b/>
          <w:color w:val="auto"/>
          <w:sz w:val="24"/>
          <w:szCs w:val="24"/>
          <w:highlight w:val="none"/>
        </w:rPr>
      </w:pPr>
    </w:p>
    <w:p w14:paraId="229D3B0E">
      <w:pPr>
        <w:spacing w:line="360" w:lineRule="auto"/>
        <w:jc w:val="center"/>
        <w:rPr>
          <w:rFonts w:hint="eastAsia" w:ascii="宋体" w:hAnsi="宋体" w:eastAsia="宋体" w:cs="宋体"/>
          <w:b/>
          <w:bCs/>
          <w:color w:val="auto"/>
          <w:sz w:val="32"/>
          <w:szCs w:val="32"/>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5F098F9F">
      <w:pPr>
        <w:spacing w:line="360" w:lineRule="auto"/>
        <w:jc w:val="center"/>
        <w:outlineLvl w:val="0"/>
        <w:rPr>
          <w:rFonts w:hint="eastAsia" w:ascii="宋体" w:hAnsi="宋体" w:eastAsia="宋体" w:cs="宋体"/>
          <w:b/>
          <w:color w:val="auto"/>
          <w:sz w:val="24"/>
          <w:szCs w:val="24"/>
          <w:highlight w:val="none"/>
          <w:lang w:eastAsia="zh-CN"/>
        </w:rPr>
      </w:pPr>
      <w:bookmarkStart w:id="186" w:name="_Toc397702934"/>
      <w:bookmarkStart w:id="187" w:name="_Toc1165097228"/>
      <w:bookmarkStart w:id="188" w:name="_Toc9158"/>
      <w:r>
        <w:rPr>
          <w:rFonts w:hint="eastAsia" w:ascii="宋体" w:hAnsi="宋体" w:eastAsia="宋体" w:cs="宋体"/>
          <w:b/>
          <w:bCs/>
          <w:color w:val="auto"/>
          <w:sz w:val="32"/>
          <w:szCs w:val="32"/>
          <w:highlight w:val="none"/>
        </w:rPr>
        <w:t>第四章</w:t>
      </w:r>
      <w:r>
        <w:rPr>
          <w:rFonts w:hint="default"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采购合同</w:t>
      </w:r>
      <w:bookmarkEnd w:id="186"/>
      <w:bookmarkEnd w:id="187"/>
      <w:bookmarkEnd w:id="188"/>
    </w:p>
    <w:tbl>
      <w:tblPr>
        <w:tblStyle w:val="13"/>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14:paraId="38DC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99" w:type="dxa"/>
            <w:noWrap w:val="0"/>
            <w:vAlign w:val="top"/>
          </w:tcPr>
          <w:p w14:paraId="78C702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3B87B3C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但不得与招标文件、投标文件的实质性内容相背离。</w:t>
            </w:r>
          </w:p>
        </w:tc>
      </w:tr>
    </w:tbl>
    <w:p w14:paraId="2CFC95AE">
      <w:pPr>
        <w:spacing w:line="360" w:lineRule="auto"/>
        <w:ind w:left="-28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73E6EBA8">
      <w:pPr>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合同号：</w:t>
      </w:r>
    </w:p>
    <w:p w14:paraId="1BA857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甲方(采购人)：                            签定地点：                   </w:t>
      </w:r>
    </w:p>
    <w:p w14:paraId="3223E5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乙方（中标供应商）：               签定日期：      年   月   日</w:t>
      </w:r>
    </w:p>
    <w:p w14:paraId="7EE95B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招标代理机构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进行招标采购（招标编号：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）的招标结果，乙方为中标供应商，现依照招标文件、投标文件及有关法律、法规、规章规定的内容，双方达成如下协议：</w:t>
      </w:r>
    </w:p>
    <w:p w14:paraId="0819D8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1、合同标的和合同价格</w:t>
      </w:r>
    </w:p>
    <w:tbl>
      <w:tblPr>
        <w:tblStyle w:val="1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14:paraId="5292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7D34B1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0C1516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4D05F0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62CB10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FF5D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47668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76C2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21363683">
            <w:pPr>
              <w:spacing w:line="360" w:lineRule="auto"/>
              <w:rPr>
                <w:rFonts w:hint="eastAsia" w:ascii="宋体" w:hAnsi="宋体" w:eastAsia="宋体" w:cs="宋体"/>
                <w:color w:val="auto"/>
                <w:sz w:val="24"/>
                <w:szCs w:val="24"/>
                <w:highlight w:val="none"/>
              </w:rPr>
            </w:pPr>
          </w:p>
          <w:p w14:paraId="208CC6EC">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48EEBED">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0BFA76BD">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1F73661C">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0C7559B">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794777E">
            <w:pPr>
              <w:spacing w:line="360" w:lineRule="auto"/>
              <w:rPr>
                <w:rFonts w:hint="eastAsia" w:ascii="宋体" w:hAnsi="宋体" w:eastAsia="宋体" w:cs="宋体"/>
                <w:color w:val="auto"/>
                <w:sz w:val="24"/>
                <w:szCs w:val="24"/>
                <w:highlight w:val="none"/>
              </w:rPr>
            </w:pPr>
          </w:p>
        </w:tc>
      </w:tr>
      <w:tr w14:paraId="72CC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1305777">
            <w:pPr>
              <w:spacing w:line="360" w:lineRule="auto"/>
              <w:rPr>
                <w:rFonts w:hint="eastAsia" w:ascii="宋体" w:hAnsi="宋体" w:eastAsia="宋体" w:cs="宋体"/>
                <w:color w:val="auto"/>
                <w:sz w:val="24"/>
                <w:szCs w:val="24"/>
                <w:highlight w:val="none"/>
              </w:rPr>
            </w:pPr>
          </w:p>
          <w:p w14:paraId="0A98A52A">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FC40D3B">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6129B3B1">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06C44968">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419802">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2A0E316">
            <w:pPr>
              <w:spacing w:line="360" w:lineRule="auto"/>
              <w:rPr>
                <w:rFonts w:hint="eastAsia" w:ascii="宋体" w:hAnsi="宋体" w:eastAsia="宋体" w:cs="宋体"/>
                <w:color w:val="auto"/>
                <w:sz w:val="24"/>
                <w:szCs w:val="24"/>
                <w:highlight w:val="none"/>
              </w:rPr>
            </w:pPr>
          </w:p>
        </w:tc>
      </w:tr>
      <w:tr w14:paraId="4AA7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6FE597FE">
            <w:pPr>
              <w:spacing w:line="360" w:lineRule="auto"/>
              <w:rPr>
                <w:rFonts w:hint="eastAsia" w:ascii="宋体" w:hAnsi="宋体" w:eastAsia="宋体" w:cs="宋体"/>
                <w:color w:val="auto"/>
                <w:sz w:val="24"/>
                <w:szCs w:val="24"/>
                <w:highlight w:val="none"/>
              </w:rPr>
            </w:pPr>
          </w:p>
          <w:p w14:paraId="18792D4F">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1473170">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286A2B6E">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3806F6E9">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FE2160D">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038CBC8">
            <w:pPr>
              <w:spacing w:line="360" w:lineRule="auto"/>
              <w:rPr>
                <w:rFonts w:hint="eastAsia" w:ascii="宋体" w:hAnsi="宋体" w:eastAsia="宋体" w:cs="宋体"/>
                <w:color w:val="auto"/>
                <w:sz w:val="24"/>
                <w:szCs w:val="24"/>
                <w:highlight w:val="none"/>
              </w:rPr>
            </w:pPr>
          </w:p>
        </w:tc>
      </w:tr>
      <w:tr w14:paraId="47EC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0A72F407">
            <w:pPr>
              <w:spacing w:line="360" w:lineRule="auto"/>
              <w:rPr>
                <w:rFonts w:hint="eastAsia" w:ascii="宋体" w:hAnsi="宋体" w:eastAsia="宋体" w:cs="宋体"/>
                <w:color w:val="auto"/>
                <w:sz w:val="24"/>
                <w:szCs w:val="24"/>
                <w:highlight w:val="none"/>
              </w:rPr>
            </w:pPr>
          </w:p>
          <w:p w14:paraId="7ED0B40F">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7BEA74">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09DC6FC0">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5B21A89C">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3BADD49">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CF44ACB">
            <w:pPr>
              <w:spacing w:line="360" w:lineRule="auto"/>
              <w:rPr>
                <w:rFonts w:hint="eastAsia" w:ascii="宋体" w:hAnsi="宋体" w:eastAsia="宋体" w:cs="宋体"/>
                <w:color w:val="auto"/>
                <w:sz w:val="24"/>
                <w:szCs w:val="24"/>
                <w:highlight w:val="none"/>
              </w:rPr>
            </w:pPr>
          </w:p>
        </w:tc>
      </w:tr>
    </w:tbl>
    <w:p w14:paraId="0FE617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14:paraId="13A59750">
      <w:pPr>
        <w:spacing w:line="360" w:lineRule="auto"/>
        <w:rPr>
          <w:rFonts w:hint="eastAsia" w:ascii="宋体" w:hAnsi="宋体" w:eastAsia="宋体" w:cs="宋体"/>
          <w:color w:val="auto"/>
          <w:sz w:val="24"/>
          <w:szCs w:val="24"/>
          <w:highlight w:val="none"/>
        </w:rPr>
      </w:pPr>
    </w:p>
    <w:p w14:paraId="70931E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3、项目清单：</w:t>
      </w:r>
    </w:p>
    <w:p w14:paraId="02035FD4">
      <w:pPr>
        <w:spacing w:line="360" w:lineRule="auto"/>
        <w:rPr>
          <w:rFonts w:hint="eastAsia" w:ascii="宋体" w:hAnsi="宋体" w:eastAsia="宋体" w:cs="宋体"/>
          <w:color w:val="auto"/>
          <w:sz w:val="24"/>
          <w:szCs w:val="24"/>
          <w:highlight w:val="none"/>
        </w:rPr>
      </w:pPr>
    </w:p>
    <w:p w14:paraId="0F699D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4、付款方式与条件：</w:t>
      </w:r>
    </w:p>
    <w:p w14:paraId="559AC8B4">
      <w:pPr>
        <w:spacing w:line="360" w:lineRule="auto"/>
        <w:rPr>
          <w:rFonts w:hint="eastAsia" w:ascii="宋体" w:hAnsi="宋体" w:eastAsia="宋体" w:cs="宋体"/>
          <w:color w:val="auto"/>
          <w:sz w:val="24"/>
          <w:szCs w:val="24"/>
          <w:highlight w:val="none"/>
        </w:rPr>
      </w:pPr>
    </w:p>
    <w:p w14:paraId="52B267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5、质量要求和技术标准：</w:t>
      </w:r>
    </w:p>
    <w:p w14:paraId="5BD955BA">
      <w:pPr>
        <w:spacing w:line="360" w:lineRule="auto"/>
        <w:rPr>
          <w:rFonts w:hint="eastAsia" w:ascii="宋体" w:hAnsi="宋体" w:eastAsia="宋体" w:cs="宋体"/>
          <w:color w:val="auto"/>
          <w:sz w:val="24"/>
          <w:szCs w:val="24"/>
          <w:highlight w:val="none"/>
        </w:rPr>
      </w:pPr>
    </w:p>
    <w:p w14:paraId="421CB6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6、技术服务、人员培训及技术资料</w:t>
      </w:r>
    </w:p>
    <w:p w14:paraId="121951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（技术服务、人员培训及技术资料应按招标文件要求填列。）</w:t>
      </w:r>
    </w:p>
    <w:p w14:paraId="280BCA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7、验收</w:t>
      </w:r>
    </w:p>
    <w:p w14:paraId="765B41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（项目验收标准和方法应按招标文件要求填列。）验收结果经双方确认后，双方代表必须按规定的验收交接单上的项目对照本合同填好验收结果并签名盖章。</w:t>
      </w:r>
    </w:p>
    <w:p w14:paraId="34C372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8、质量保证</w:t>
      </w:r>
    </w:p>
    <w:p w14:paraId="75087D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在服务期内，乙方在接到甲方故障通知后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小时内无法排除故障，则应先提供同档次备用机供甲方使用。其中发生一切费用由乙方承担。</w:t>
      </w:r>
    </w:p>
    <w:p w14:paraId="613135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9、知识产权：</w:t>
      </w:r>
    </w:p>
    <w:p w14:paraId="19574D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2CCAB0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10、违约责任</w:t>
      </w:r>
    </w:p>
    <w:p w14:paraId="2FE33C2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10.1未按期交货的违约责任：</w:t>
      </w:r>
    </w:p>
    <w:p w14:paraId="4A0AF885">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4BA6EF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11、违约终止合同</w:t>
      </w:r>
    </w:p>
    <w:p w14:paraId="769E47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39D32B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11.1.1如果乙方未能在合同规定的期限内或双方另行确定的延期交货时间内交付合同约定的服务。</w:t>
      </w:r>
    </w:p>
    <w:p w14:paraId="6C6C62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11.1.2乙方未能履行合同项下的任何其它义务。</w:t>
      </w:r>
    </w:p>
    <w:p w14:paraId="559A3279">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12、不可抗力</w:t>
      </w:r>
    </w:p>
    <w:p w14:paraId="0FCA2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F619794">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75567000">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13、合同纠纷处理方式：因本合同或与本合同有关的一切事项发生争议，由双方友好协商解决。协商不成的，任何一方均可选择以下任一方式解决：</w:t>
      </w:r>
    </w:p>
    <w:p w14:paraId="293124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）向 </w:t>
      </w:r>
      <w:r>
        <w:rPr>
          <w:rFonts w:hint="eastAsia" w:ascii="宋体" w:hAnsi="宋体" w:eastAsia="宋体" w:cs="宋体"/>
          <w:color w:val="auto"/>
          <w:sz w:val="24"/>
          <w:szCs w:val="24"/>
          <w:highlight w:val="none"/>
          <w:u w:val="single"/>
        </w:rPr>
        <w:t xml:space="preserve">      （甲方所在地）</w:t>
      </w:r>
      <w:r>
        <w:rPr>
          <w:rFonts w:hint="eastAsia" w:ascii="宋体" w:hAnsi="宋体" w:eastAsia="宋体" w:cs="宋体"/>
          <w:color w:val="auto"/>
          <w:sz w:val="24"/>
          <w:szCs w:val="24"/>
          <w:highlight w:val="none"/>
        </w:rPr>
        <w:t>仲裁委员会申请仲裁；</w:t>
      </w:r>
    </w:p>
    <w:p w14:paraId="502E5F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）向有管辖权的人民法院提起诉讼。</w:t>
      </w:r>
    </w:p>
    <w:p w14:paraId="41F9E15D">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14、其他约定</w:t>
      </w:r>
    </w:p>
    <w:p w14:paraId="77A9EC01">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14.1本采购项目的招标文件、中标供应商的投标文件以及相关的澄清确认函（如果有的话）均为本合同不可分割的一部分，与本合同具有同等法律效力。</w:t>
      </w:r>
    </w:p>
    <w:p w14:paraId="1C9811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14.2本合同未尽事宜，双方另行补充。</w:t>
      </w:r>
    </w:p>
    <w:p w14:paraId="3F3820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14.3本合同一式四份，经双方授权代表签字并加盖公章后生效。甲方、乙方各执一份，送政府采购管理办公室、招标代理机构各备案一份，具有同等效力。</w:t>
      </w:r>
    </w:p>
    <w:p w14:paraId="375AE6BB">
      <w:pPr>
        <w:spacing w:line="360" w:lineRule="auto"/>
        <w:rPr>
          <w:rFonts w:hint="eastAsia" w:ascii="宋体" w:hAnsi="宋体" w:eastAsia="宋体" w:cs="宋体"/>
          <w:color w:val="auto"/>
          <w:sz w:val="24"/>
          <w:szCs w:val="24"/>
          <w:highlight w:val="none"/>
        </w:rPr>
      </w:pPr>
    </w:p>
    <w:p w14:paraId="240E331B">
      <w:pPr>
        <w:spacing w:line="360" w:lineRule="auto"/>
        <w:rPr>
          <w:rFonts w:hint="eastAsia" w:ascii="宋体" w:hAnsi="宋体" w:eastAsia="宋体" w:cs="宋体"/>
          <w:color w:val="auto"/>
          <w:sz w:val="24"/>
          <w:szCs w:val="24"/>
          <w:highlight w:val="none"/>
        </w:rPr>
      </w:pPr>
    </w:p>
    <w:p w14:paraId="4A07B8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72F7E9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01CFB4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2B1287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129B51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92942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1BBDF169">
      <w:pPr>
        <w:spacing w:line="360" w:lineRule="auto"/>
        <w:ind w:left="-283" w:leftChars="-135" w:firstLine="240" w:firstLineChars="100"/>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账    号：                            账    号：</w:t>
      </w:r>
    </w:p>
    <w:p w14:paraId="771293B4">
      <w:pPr>
        <w:pStyle w:val="4"/>
        <w:spacing w:line="360" w:lineRule="auto"/>
        <w:ind w:left="0" w:leftChars="0" w:firstLine="0" w:firstLineChars="0"/>
        <w:jc w:val="center"/>
        <w:outlineLvl w:val="0"/>
        <w:rPr>
          <w:rFonts w:hint="eastAsia" w:ascii="宋体" w:hAnsi="宋体" w:eastAsia="宋体" w:cs="宋体"/>
          <w:b/>
          <w:bCs/>
          <w:color w:val="auto"/>
          <w:sz w:val="24"/>
          <w:szCs w:val="24"/>
          <w:highlight w:val="none"/>
        </w:rPr>
      </w:pPr>
      <w:bookmarkStart w:id="189" w:name="_Toc26545"/>
      <w:bookmarkStart w:id="190" w:name="_Toc1949316674"/>
      <w:bookmarkStart w:id="191" w:name="_Toc1614396163"/>
      <w:r>
        <w:rPr>
          <w:rFonts w:hint="eastAsia" w:ascii="宋体" w:hAnsi="宋体" w:eastAsia="宋体" w:cs="宋体"/>
          <w:b/>
          <w:bCs/>
          <w:color w:val="auto"/>
          <w:sz w:val="32"/>
          <w:szCs w:val="32"/>
          <w:highlight w:val="none"/>
        </w:rPr>
        <w:t>第五章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投标文件格式</w:t>
      </w:r>
      <w:bookmarkEnd w:id="189"/>
      <w:bookmarkEnd w:id="190"/>
      <w:bookmarkEnd w:id="191"/>
    </w:p>
    <w:tbl>
      <w:tblPr>
        <w:tblStyle w:val="13"/>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444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275B83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5E1E9E5A">
            <w:pPr>
              <w:spacing w:line="360" w:lineRule="auto"/>
              <w:ind w:right="13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《投标文件格式》是投标人的部分投标文件格式和签订合同时所需文件的格式。投标人应参照这些格式文件制作投标文件，否则后果由投标人自行承担。</w:t>
            </w:r>
          </w:p>
        </w:tc>
      </w:tr>
    </w:tbl>
    <w:p w14:paraId="574D4429">
      <w:pPr>
        <w:pStyle w:val="4"/>
        <w:spacing w:line="360" w:lineRule="auto"/>
        <w:rPr>
          <w:rFonts w:hint="eastAsia" w:ascii="宋体" w:hAnsi="宋体" w:eastAsia="宋体" w:cs="宋体"/>
          <w:b/>
          <w:bCs/>
          <w:color w:val="auto"/>
          <w:sz w:val="24"/>
          <w:szCs w:val="24"/>
          <w:highlight w:val="none"/>
        </w:rPr>
      </w:pPr>
    </w:p>
    <w:p w14:paraId="73BDC767">
      <w:pPr>
        <w:pStyle w:val="4"/>
        <w:spacing w:line="360" w:lineRule="auto"/>
        <w:rPr>
          <w:rFonts w:hint="eastAsia" w:ascii="宋体" w:hAnsi="宋体" w:eastAsia="宋体" w:cs="宋体"/>
          <w:b/>
          <w:bCs/>
          <w:color w:val="auto"/>
          <w:sz w:val="24"/>
          <w:szCs w:val="24"/>
          <w:highlight w:val="none"/>
        </w:rPr>
      </w:pPr>
    </w:p>
    <w:p w14:paraId="07A8A114">
      <w:pPr>
        <w:pStyle w:val="4"/>
        <w:spacing w:line="360" w:lineRule="auto"/>
        <w:rPr>
          <w:rFonts w:hint="eastAsia" w:ascii="宋体" w:hAnsi="宋体" w:eastAsia="宋体" w:cs="宋体"/>
          <w:b/>
          <w:bCs/>
          <w:color w:val="auto"/>
          <w:sz w:val="24"/>
          <w:szCs w:val="24"/>
          <w:highlight w:val="none"/>
        </w:rPr>
      </w:pPr>
    </w:p>
    <w:p w14:paraId="633641E5">
      <w:pPr>
        <w:pStyle w:val="4"/>
        <w:spacing w:line="360" w:lineRule="auto"/>
        <w:rPr>
          <w:rFonts w:hint="eastAsia" w:ascii="宋体" w:hAnsi="宋体" w:eastAsia="宋体" w:cs="宋体"/>
          <w:b/>
          <w:bCs/>
          <w:color w:val="auto"/>
          <w:sz w:val="24"/>
          <w:szCs w:val="24"/>
          <w:highlight w:val="none"/>
        </w:rPr>
      </w:pPr>
    </w:p>
    <w:p w14:paraId="794A6847">
      <w:pPr>
        <w:pStyle w:val="4"/>
        <w:spacing w:line="360" w:lineRule="auto"/>
        <w:rPr>
          <w:rFonts w:hint="eastAsia" w:ascii="宋体" w:hAnsi="宋体" w:eastAsia="宋体" w:cs="宋体"/>
          <w:b/>
          <w:bCs/>
          <w:color w:val="auto"/>
          <w:sz w:val="24"/>
          <w:szCs w:val="24"/>
          <w:highlight w:val="none"/>
        </w:rPr>
      </w:pPr>
    </w:p>
    <w:p w14:paraId="4C58D9FA">
      <w:pPr>
        <w:pStyle w:val="4"/>
        <w:spacing w:line="360" w:lineRule="auto"/>
        <w:rPr>
          <w:rFonts w:hint="eastAsia" w:ascii="宋体" w:hAnsi="宋体" w:eastAsia="宋体" w:cs="宋体"/>
          <w:b/>
          <w:bCs/>
          <w:color w:val="auto"/>
          <w:sz w:val="24"/>
          <w:szCs w:val="24"/>
          <w:highlight w:val="none"/>
        </w:rPr>
      </w:pPr>
    </w:p>
    <w:p w14:paraId="64823389">
      <w:pPr>
        <w:pStyle w:val="4"/>
        <w:spacing w:line="360" w:lineRule="auto"/>
        <w:rPr>
          <w:rFonts w:hint="eastAsia" w:ascii="宋体" w:hAnsi="宋体" w:eastAsia="宋体" w:cs="宋体"/>
          <w:b/>
          <w:bCs/>
          <w:color w:val="auto"/>
          <w:sz w:val="24"/>
          <w:szCs w:val="24"/>
          <w:highlight w:val="none"/>
        </w:rPr>
      </w:pPr>
    </w:p>
    <w:p w14:paraId="5062F170">
      <w:pPr>
        <w:pStyle w:val="4"/>
        <w:spacing w:line="360" w:lineRule="auto"/>
        <w:rPr>
          <w:rFonts w:hint="eastAsia" w:ascii="宋体" w:hAnsi="宋体" w:eastAsia="宋体" w:cs="宋体"/>
          <w:b/>
          <w:bCs/>
          <w:color w:val="auto"/>
          <w:sz w:val="24"/>
          <w:szCs w:val="24"/>
          <w:highlight w:val="none"/>
        </w:rPr>
      </w:pPr>
    </w:p>
    <w:p w14:paraId="7B8A0FC7">
      <w:pPr>
        <w:pStyle w:val="4"/>
        <w:spacing w:line="360" w:lineRule="auto"/>
        <w:rPr>
          <w:rFonts w:hint="eastAsia" w:ascii="宋体" w:hAnsi="宋体" w:eastAsia="宋体" w:cs="宋体"/>
          <w:b/>
          <w:bCs/>
          <w:color w:val="auto"/>
          <w:sz w:val="24"/>
          <w:szCs w:val="24"/>
          <w:highlight w:val="none"/>
        </w:rPr>
      </w:pPr>
    </w:p>
    <w:p w14:paraId="74F9B172">
      <w:pPr>
        <w:pStyle w:val="4"/>
        <w:spacing w:line="360" w:lineRule="auto"/>
        <w:rPr>
          <w:rFonts w:hint="eastAsia" w:ascii="宋体" w:hAnsi="宋体" w:eastAsia="宋体" w:cs="宋体"/>
          <w:b/>
          <w:bCs/>
          <w:color w:val="auto"/>
          <w:sz w:val="24"/>
          <w:szCs w:val="24"/>
          <w:highlight w:val="none"/>
        </w:rPr>
      </w:pPr>
    </w:p>
    <w:p w14:paraId="7B944C82">
      <w:pPr>
        <w:pStyle w:val="4"/>
        <w:spacing w:line="360" w:lineRule="auto"/>
        <w:rPr>
          <w:rFonts w:hint="eastAsia" w:ascii="宋体" w:hAnsi="宋体" w:eastAsia="宋体" w:cs="宋体"/>
          <w:b/>
          <w:bCs/>
          <w:color w:val="auto"/>
          <w:sz w:val="24"/>
          <w:szCs w:val="24"/>
          <w:highlight w:val="none"/>
        </w:rPr>
      </w:pPr>
    </w:p>
    <w:p w14:paraId="290539D2">
      <w:pPr>
        <w:pStyle w:val="4"/>
        <w:spacing w:line="360" w:lineRule="auto"/>
        <w:rPr>
          <w:rFonts w:hint="eastAsia" w:ascii="宋体" w:hAnsi="宋体" w:eastAsia="宋体" w:cs="宋体"/>
          <w:b/>
          <w:bCs/>
          <w:color w:val="auto"/>
          <w:sz w:val="24"/>
          <w:szCs w:val="24"/>
          <w:highlight w:val="none"/>
        </w:rPr>
      </w:pPr>
    </w:p>
    <w:p w14:paraId="350C7236">
      <w:pPr>
        <w:pStyle w:val="4"/>
        <w:spacing w:line="360" w:lineRule="auto"/>
        <w:rPr>
          <w:rFonts w:hint="eastAsia" w:ascii="宋体" w:hAnsi="宋体" w:eastAsia="宋体" w:cs="宋体"/>
          <w:b/>
          <w:bCs/>
          <w:color w:val="auto"/>
          <w:sz w:val="24"/>
          <w:szCs w:val="24"/>
          <w:highlight w:val="none"/>
        </w:rPr>
      </w:pPr>
    </w:p>
    <w:p w14:paraId="3808F0D5">
      <w:pPr>
        <w:pStyle w:val="4"/>
        <w:spacing w:line="360" w:lineRule="auto"/>
        <w:rPr>
          <w:rFonts w:hint="eastAsia" w:ascii="宋体" w:hAnsi="宋体" w:eastAsia="宋体" w:cs="宋体"/>
          <w:b/>
          <w:bCs/>
          <w:color w:val="auto"/>
          <w:sz w:val="24"/>
          <w:szCs w:val="24"/>
          <w:highlight w:val="none"/>
        </w:rPr>
      </w:pPr>
    </w:p>
    <w:p w14:paraId="68985009">
      <w:pPr>
        <w:pStyle w:val="4"/>
        <w:spacing w:line="360" w:lineRule="auto"/>
        <w:rPr>
          <w:rFonts w:hint="eastAsia" w:ascii="宋体" w:hAnsi="宋体" w:eastAsia="宋体" w:cs="宋体"/>
          <w:b/>
          <w:bCs/>
          <w:color w:val="auto"/>
          <w:sz w:val="24"/>
          <w:szCs w:val="24"/>
          <w:highlight w:val="none"/>
        </w:rPr>
      </w:pPr>
    </w:p>
    <w:p w14:paraId="6B03D499">
      <w:pPr>
        <w:pStyle w:val="4"/>
        <w:spacing w:line="360" w:lineRule="auto"/>
        <w:rPr>
          <w:rFonts w:hint="eastAsia" w:ascii="宋体" w:hAnsi="宋体" w:eastAsia="宋体" w:cs="宋体"/>
          <w:b/>
          <w:bCs/>
          <w:color w:val="auto"/>
          <w:sz w:val="24"/>
          <w:szCs w:val="24"/>
          <w:highlight w:val="none"/>
        </w:rPr>
      </w:pPr>
    </w:p>
    <w:p w14:paraId="1B653ED0">
      <w:pPr>
        <w:pStyle w:val="4"/>
        <w:spacing w:line="360" w:lineRule="auto"/>
        <w:rPr>
          <w:rFonts w:hint="eastAsia" w:ascii="宋体" w:hAnsi="宋体" w:eastAsia="宋体" w:cs="宋体"/>
          <w:b/>
          <w:bCs/>
          <w:color w:val="auto"/>
          <w:sz w:val="24"/>
          <w:szCs w:val="24"/>
          <w:highlight w:val="none"/>
        </w:rPr>
      </w:pPr>
    </w:p>
    <w:p w14:paraId="5DD82BA5">
      <w:pPr>
        <w:pStyle w:val="4"/>
        <w:spacing w:line="360" w:lineRule="auto"/>
        <w:rPr>
          <w:rFonts w:hint="eastAsia" w:ascii="宋体" w:hAnsi="宋体" w:eastAsia="宋体" w:cs="宋体"/>
          <w:b/>
          <w:bCs/>
          <w:color w:val="auto"/>
          <w:sz w:val="24"/>
          <w:szCs w:val="24"/>
          <w:highlight w:val="none"/>
        </w:rPr>
      </w:pPr>
    </w:p>
    <w:p w14:paraId="186177AF">
      <w:pPr>
        <w:pStyle w:val="4"/>
        <w:spacing w:line="360" w:lineRule="auto"/>
        <w:rPr>
          <w:rFonts w:hint="eastAsia" w:ascii="宋体" w:hAnsi="宋体" w:eastAsia="宋体" w:cs="宋体"/>
          <w:b/>
          <w:bCs/>
          <w:color w:val="auto"/>
          <w:sz w:val="24"/>
          <w:szCs w:val="24"/>
          <w:highlight w:val="none"/>
        </w:rPr>
      </w:pPr>
    </w:p>
    <w:p w14:paraId="1FF1B19B">
      <w:pPr>
        <w:pStyle w:val="4"/>
        <w:spacing w:line="360" w:lineRule="auto"/>
        <w:rPr>
          <w:rFonts w:ascii="宋体" w:hAnsi="宋体"/>
          <w:b/>
          <w:bCs/>
          <w:color w:val="auto"/>
          <w:sz w:val="36"/>
          <w:highlight w:val="none"/>
        </w:rPr>
      </w:pPr>
    </w:p>
    <w:p w14:paraId="77BA6643">
      <w:pPr>
        <w:spacing w:line="360" w:lineRule="auto"/>
        <w:jc w:val="center"/>
        <w:rPr>
          <w:rFonts w:ascii="宋体" w:hAnsi="宋体"/>
          <w:b/>
          <w:color w:val="auto"/>
          <w:sz w:val="72"/>
          <w:highlight w:val="none"/>
        </w:rPr>
      </w:pPr>
    </w:p>
    <w:p w14:paraId="3F1A6DB6">
      <w:pPr>
        <w:spacing w:line="360" w:lineRule="auto"/>
        <w:jc w:val="center"/>
        <w:rPr>
          <w:rFonts w:ascii="宋体" w:hAnsi="宋体"/>
          <w:b/>
          <w:color w:val="auto"/>
          <w:sz w:val="72"/>
          <w:highlight w:val="none"/>
        </w:rPr>
      </w:pPr>
    </w:p>
    <w:p w14:paraId="56C58A55">
      <w:pPr>
        <w:spacing w:line="360" w:lineRule="auto"/>
        <w:jc w:val="center"/>
        <w:rPr>
          <w:rFonts w:ascii="宋体" w:hAnsi="宋体"/>
          <w:b/>
          <w:color w:val="auto"/>
          <w:sz w:val="72"/>
          <w:highlight w:val="none"/>
        </w:rPr>
      </w:pPr>
      <w:r>
        <w:rPr>
          <w:rFonts w:hint="eastAsia" w:ascii="宋体" w:hAnsi="宋体"/>
          <w:b/>
          <w:color w:val="auto"/>
          <w:sz w:val="72"/>
          <w:highlight w:val="none"/>
        </w:rPr>
        <w:t>投</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1050BDA5">
      <w:pPr>
        <w:spacing w:line="360" w:lineRule="auto"/>
        <w:rPr>
          <w:rFonts w:ascii="宋体" w:hAnsi="宋体"/>
          <w:b/>
          <w:color w:val="auto"/>
          <w:sz w:val="36"/>
          <w:highlight w:val="none"/>
        </w:rPr>
      </w:pPr>
    </w:p>
    <w:p w14:paraId="6DDE9B86">
      <w:pPr>
        <w:spacing w:line="360" w:lineRule="auto"/>
        <w:jc w:val="center"/>
        <w:rPr>
          <w:rFonts w:ascii="宋体" w:hAnsi="宋体"/>
          <w:b/>
          <w:color w:val="auto"/>
          <w:sz w:val="36"/>
          <w:highlight w:val="none"/>
        </w:rPr>
      </w:pPr>
    </w:p>
    <w:p w14:paraId="4698931F">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ascii="宋体" w:hAnsi="宋体"/>
          <w:b/>
          <w:color w:val="auto"/>
          <w:sz w:val="36"/>
          <w:highlight w:val="none"/>
          <w:u w:val="single"/>
        </w:rPr>
        <w:t xml:space="preserve">               </w:t>
      </w:r>
    </w:p>
    <w:p w14:paraId="4A45FF5A">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ascii="宋体" w:hAnsi="宋体"/>
          <w:b/>
          <w:color w:val="auto"/>
          <w:sz w:val="36"/>
          <w:highlight w:val="none"/>
          <w:u w:val="single"/>
        </w:rPr>
        <w:t xml:space="preserve">               </w:t>
      </w:r>
    </w:p>
    <w:p w14:paraId="6D8AE91F">
      <w:pPr>
        <w:spacing w:line="360" w:lineRule="auto"/>
        <w:rPr>
          <w:rFonts w:ascii="宋体" w:hAnsi="宋体"/>
          <w:b/>
          <w:color w:val="auto"/>
          <w:sz w:val="36"/>
          <w:highlight w:val="none"/>
        </w:rPr>
      </w:pPr>
    </w:p>
    <w:p w14:paraId="677FF4EC">
      <w:pPr>
        <w:spacing w:line="360" w:lineRule="auto"/>
        <w:rPr>
          <w:rFonts w:ascii="宋体" w:hAnsi="宋体"/>
          <w:b/>
          <w:color w:val="auto"/>
          <w:sz w:val="36"/>
          <w:highlight w:val="none"/>
        </w:rPr>
      </w:pPr>
    </w:p>
    <w:p w14:paraId="380C1A75">
      <w:pPr>
        <w:spacing w:line="360" w:lineRule="auto"/>
        <w:rPr>
          <w:rFonts w:ascii="宋体" w:hAnsi="宋体"/>
          <w:b/>
          <w:color w:val="auto"/>
          <w:sz w:val="36"/>
          <w:highlight w:val="none"/>
        </w:rPr>
      </w:pPr>
    </w:p>
    <w:p w14:paraId="62AE833D">
      <w:pPr>
        <w:spacing w:line="360" w:lineRule="auto"/>
        <w:rPr>
          <w:rFonts w:ascii="宋体" w:hAnsi="宋体"/>
          <w:b/>
          <w:color w:val="auto"/>
          <w:sz w:val="36"/>
          <w:highlight w:val="none"/>
        </w:rPr>
      </w:pPr>
    </w:p>
    <w:p w14:paraId="6DEF892C">
      <w:pPr>
        <w:spacing w:line="360" w:lineRule="auto"/>
        <w:rPr>
          <w:rFonts w:ascii="宋体" w:hAnsi="宋体"/>
          <w:b/>
          <w:color w:val="auto"/>
          <w:sz w:val="36"/>
          <w:highlight w:val="none"/>
        </w:rPr>
      </w:pPr>
    </w:p>
    <w:p w14:paraId="62A264C9">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ascii="宋体" w:hAnsi="宋体"/>
          <w:b/>
          <w:color w:val="auto"/>
          <w:sz w:val="36"/>
          <w:highlight w:val="none"/>
          <w:u w:val="single"/>
        </w:rPr>
        <w:t xml:space="preserve">               </w:t>
      </w:r>
    </w:p>
    <w:p w14:paraId="6D2BE811">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ascii="宋体" w:hAnsi="宋体"/>
          <w:b/>
          <w:color w:val="auto"/>
          <w:sz w:val="36"/>
          <w:highlight w:val="none"/>
          <w:u w:val="single"/>
        </w:rPr>
        <w:t xml:space="preserve">               </w:t>
      </w:r>
    </w:p>
    <w:p w14:paraId="79CF260C">
      <w:pPr>
        <w:pStyle w:val="21"/>
        <w:spacing w:line="360" w:lineRule="auto"/>
        <w:outlineLvl w:val="9"/>
        <w:rPr>
          <w:rFonts w:hAnsi="宋体"/>
          <w:b/>
          <w:color w:val="auto"/>
          <w:sz w:val="24"/>
          <w:highlight w:val="none"/>
        </w:rPr>
      </w:pPr>
    </w:p>
    <w:p w14:paraId="5D8F5CE4">
      <w:pPr>
        <w:pStyle w:val="21"/>
        <w:spacing w:line="360" w:lineRule="auto"/>
        <w:outlineLvl w:val="9"/>
        <w:rPr>
          <w:rFonts w:hAnsi="宋体"/>
          <w:b/>
          <w:color w:val="auto"/>
          <w:sz w:val="24"/>
          <w:highlight w:val="none"/>
        </w:rPr>
      </w:pPr>
    </w:p>
    <w:p w14:paraId="7454EAFC">
      <w:pPr>
        <w:pStyle w:val="21"/>
        <w:spacing w:line="360" w:lineRule="auto"/>
        <w:outlineLvl w:val="9"/>
        <w:rPr>
          <w:rFonts w:hAnsi="宋体"/>
          <w:b/>
          <w:color w:val="auto"/>
          <w:sz w:val="24"/>
          <w:highlight w:val="none"/>
        </w:rPr>
      </w:pPr>
    </w:p>
    <w:p w14:paraId="5EF01734">
      <w:pPr>
        <w:pStyle w:val="4"/>
        <w:spacing w:line="360" w:lineRule="auto"/>
        <w:ind w:firstLine="660" w:firstLineChars="275"/>
        <w:rPr>
          <w:rFonts w:ascii="宋体" w:hAnsi="宋体"/>
          <w:color w:val="auto"/>
          <w:sz w:val="24"/>
          <w:szCs w:val="24"/>
          <w:highlight w:val="none"/>
        </w:rPr>
      </w:pPr>
    </w:p>
    <w:p w14:paraId="1B31F33A">
      <w:pPr>
        <w:pStyle w:val="4"/>
        <w:spacing w:line="360" w:lineRule="auto"/>
        <w:ind w:firstLine="0" w:firstLineChars="0"/>
        <w:jc w:val="center"/>
        <w:rPr>
          <w:rFonts w:hint="eastAsia" w:ascii="宋体" w:hAnsi="宋体" w:eastAsia="宋体" w:cs="宋体"/>
          <w:b/>
          <w:bCs/>
          <w:color w:val="auto"/>
          <w:sz w:val="32"/>
          <w:szCs w:val="32"/>
          <w:highlight w:val="none"/>
        </w:rPr>
        <w:sectPr>
          <w:headerReference r:id="rId12" w:type="default"/>
          <w:footerReference r:id="rId13" w:type="default"/>
          <w:pgSz w:w="11907" w:h="16840"/>
          <w:pgMar w:top="1361" w:right="1752" w:bottom="1440" w:left="1752" w:header="851" w:footer="992" w:gutter="0"/>
          <w:pgNumType w:fmt="decimal"/>
          <w:cols w:space="720" w:num="1"/>
        </w:sectPr>
      </w:pPr>
    </w:p>
    <w:p w14:paraId="343B2C1E">
      <w:pPr>
        <w:pStyle w:val="4"/>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目    录</w:t>
      </w:r>
    </w:p>
    <w:p w14:paraId="1AF64D26">
      <w:pPr>
        <w:spacing w:line="360" w:lineRule="auto"/>
        <w:rPr>
          <w:rFonts w:hint="eastAsia" w:ascii="宋体" w:hAnsi="宋体" w:eastAsia="宋体" w:cs="宋体"/>
          <w:color w:val="auto"/>
          <w:sz w:val="24"/>
          <w:szCs w:val="24"/>
          <w:highlight w:val="none"/>
        </w:rPr>
      </w:pPr>
    </w:p>
    <w:p w14:paraId="3341DC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 标 书</w:t>
      </w:r>
    </w:p>
    <w:p w14:paraId="50032D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674170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3ADBC9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1FB376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项目范围清单 </w:t>
      </w:r>
    </w:p>
    <w:p w14:paraId="2FDCEB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技术规格和商务响应表</w:t>
      </w:r>
    </w:p>
    <w:p w14:paraId="3319D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投标人的资格证明文件</w:t>
      </w:r>
    </w:p>
    <w:p w14:paraId="0A88FD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w:t>
      </w:r>
    </w:p>
    <w:p w14:paraId="37C236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投标人的资格声明</w:t>
      </w:r>
    </w:p>
    <w:p w14:paraId="12595D86">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390A03AE">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20F0C7F7">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2B4AAE82">
      <w:pPr>
        <w:spacing w:line="360" w:lineRule="auto"/>
        <w:rPr>
          <w:rFonts w:hint="eastAsia" w:ascii="宋体" w:hAnsi="宋体" w:eastAsia="宋体" w:cs="宋体"/>
          <w:b/>
          <w:color w:val="auto"/>
          <w:sz w:val="24"/>
          <w:szCs w:val="24"/>
          <w:highlight w:val="none"/>
        </w:rPr>
      </w:pPr>
    </w:p>
    <w:p w14:paraId="6D6777A3">
      <w:pPr>
        <w:spacing w:line="360" w:lineRule="auto"/>
        <w:rPr>
          <w:rFonts w:hint="eastAsia" w:ascii="宋体" w:hAnsi="宋体" w:eastAsia="宋体" w:cs="宋体"/>
          <w:b/>
          <w:color w:val="auto"/>
          <w:sz w:val="24"/>
          <w:szCs w:val="24"/>
          <w:highlight w:val="none"/>
        </w:rPr>
      </w:pPr>
    </w:p>
    <w:p w14:paraId="55010931">
      <w:pPr>
        <w:pStyle w:val="21"/>
        <w:spacing w:line="360" w:lineRule="auto"/>
        <w:jc w:val="left"/>
        <w:outlineLvl w:val="9"/>
        <w:rPr>
          <w:rFonts w:hint="eastAsia" w:hAnsi="宋体" w:eastAsia="宋体" w:cs="宋体"/>
          <w:color w:val="auto"/>
          <w:sz w:val="24"/>
          <w:szCs w:val="24"/>
          <w:highlight w:val="none"/>
        </w:rPr>
      </w:pPr>
    </w:p>
    <w:p w14:paraId="7C6A103C">
      <w:pPr>
        <w:pStyle w:val="21"/>
        <w:spacing w:line="360" w:lineRule="auto"/>
        <w:jc w:val="left"/>
        <w:outlineLvl w:val="9"/>
        <w:rPr>
          <w:rFonts w:hint="eastAsia" w:hAnsi="宋体" w:eastAsia="宋体" w:cs="宋体"/>
          <w:color w:val="auto"/>
          <w:sz w:val="24"/>
          <w:szCs w:val="24"/>
          <w:highlight w:val="none"/>
        </w:rPr>
      </w:pPr>
    </w:p>
    <w:p w14:paraId="77D3E664">
      <w:pPr>
        <w:pStyle w:val="21"/>
        <w:spacing w:line="360" w:lineRule="auto"/>
        <w:jc w:val="left"/>
        <w:outlineLvl w:val="9"/>
        <w:rPr>
          <w:rFonts w:hint="eastAsia" w:hAnsi="宋体" w:eastAsia="宋体" w:cs="宋体"/>
          <w:color w:val="auto"/>
          <w:sz w:val="24"/>
          <w:szCs w:val="24"/>
          <w:highlight w:val="none"/>
        </w:rPr>
      </w:pPr>
    </w:p>
    <w:p w14:paraId="37988947">
      <w:pPr>
        <w:pStyle w:val="21"/>
        <w:spacing w:line="360" w:lineRule="auto"/>
        <w:jc w:val="left"/>
        <w:outlineLvl w:val="9"/>
        <w:rPr>
          <w:rFonts w:hint="eastAsia" w:hAnsi="宋体" w:eastAsia="宋体" w:cs="宋体"/>
          <w:color w:val="auto"/>
          <w:sz w:val="24"/>
          <w:szCs w:val="24"/>
          <w:highlight w:val="none"/>
        </w:rPr>
      </w:pPr>
    </w:p>
    <w:p w14:paraId="04B1F4E6">
      <w:pPr>
        <w:pStyle w:val="21"/>
        <w:spacing w:line="360" w:lineRule="auto"/>
        <w:jc w:val="left"/>
        <w:outlineLvl w:val="9"/>
        <w:rPr>
          <w:rFonts w:hint="eastAsia" w:hAnsi="宋体" w:eastAsia="宋体" w:cs="宋体"/>
          <w:color w:val="auto"/>
          <w:sz w:val="24"/>
          <w:szCs w:val="24"/>
          <w:highlight w:val="none"/>
        </w:rPr>
      </w:pPr>
    </w:p>
    <w:p w14:paraId="01678236">
      <w:pPr>
        <w:pStyle w:val="21"/>
        <w:spacing w:line="360" w:lineRule="auto"/>
        <w:jc w:val="left"/>
        <w:outlineLvl w:val="9"/>
        <w:rPr>
          <w:rFonts w:hint="eastAsia" w:hAnsi="宋体" w:eastAsia="宋体" w:cs="宋体"/>
          <w:color w:val="auto"/>
          <w:sz w:val="24"/>
          <w:szCs w:val="24"/>
          <w:highlight w:val="none"/>
        </w:rPr>
      </w:pPr>
    </w:p>
    <w:p w14:paraId="2A553CD7">
      <w:pPr>
        <w:pStyle w:val="21"/>
        <w:spacing w:line="360" w:lineRule="auto"/>
        <w:jc w:val="left"/>
        <w:outlineLvl w:val="9"/>
        <w:rPr>
          <w:rFonts w:hint="eastAsia" w:hAnsi="宋体" w:eastAsia="宋体" w:cs="宋体"/>
          <w:color w:val="auto"/>
          <w:sz w:val="24"/>
          <w:szCs w:val="24"/>
          <w:highlight w:val="none"/>
        </w:rPr>
      </w:pPr>
    </w:p>
    <w:p w14:paraId="1C2E1EF5">
      <w:pPr>
        <w:pStyle w:val="21"/>
        <w:spacing w:line="360" w:lineRule="auto"/>
        <w:jc w:val="left"/>
        <w:outlineLvl w:val="9"/>
        <w:rPr>
          <w:rFonts w:hint="eastAsia" w:hAnsi="宋体" w:eastAsia="宋体" w:cs="宋体"/>
          <w:color w:val="auto"/>
          <w:sz w:val="24"/>
          <w:szCs w:val="24"/>
          <w:highlight w:val="none"/>
        </w:rPr>
      </w:pPr>
    </w:p>
    <w:p w14:paraId="72F06267">
      <w:pPr>
        <w:pStyle w:val="21"/>
        <w:spacing w:line="360" w:lineRule="auto"/>
        <w:jc w:val="left"/>
        <w:outlineLvl w:val="9"/>
        <w:rPr>
          <w:rFonts w:hint="eastAsia" w:hAnsi="宋体" w:eastAsia="宋体" w:cs="宋体"/>
          <w:color w:val="auto"/>
          <w:sz w:val="24"/>
          <w:szCs w:val="24"/>
          <w:highlight w:val="none"/>
        </w:rPr>
      </w:pPr>
    </w:p>
    <w:p w14:paraId="342C2745">
      <w:pPr>
        <w:pStyle w:val="21"/>
        <w:spacing w:line="360" w:lineRule="auto"/>
        <w:jc w:val="left"/>
        <w:outlineLvl w:val="9"/>
        <w:rPr>
          <w:rFonts w:hint="eastAsia" w:hAnsi="宋体" w:eastAsia="宋体" w:cs="宋体"/>
          <w:color w:val="auto"/>
          <w:sz w:val="24"/>
          <w:szCs w:val="24"/>
          <w:highlight w:val="none"/>
        </w:rPr>
      </w:pPr>
    </w:p>
    <w:p w14:paraId="0906F30F">
      <w:pPr>
        <w:pStyle w:val="21"/>
        <w:spacing w:line="360" w:lineRule="auto"/>
        <w:jc w:val="left"/>
        <w:outlineLvl w:val="9"/>
        <w:rPr>
          <w:rFonts w:hint="eastAsia" w:hAnsi="宋体" w:eastAsia="宋体" w:cs="宋体"/>
          <w:color w:val="auto"/>
          <w:sz w:val="24"/>
          <w:szCs w:val="24"/>
          <w:highlight w:val="none"/>
        </w:rPr>
      </w:pPr>
    </w:p>
    <w:p w14:paraId="370D66D9">
      <w:pPr>
        <w:pStyle w:val="21"/>
        <w:spacing w:line="360" w:lineRule="auto"/>
        <w:jc w:val="left"/>
        <w:outlineLvl w:val="9"/>
        <w:rPr>
          <w:rFonts w:hint="eastAsia" w:hAnsi="宋体" w:eastAsia="宋体" w:cs="宋体"/>
          <w:color w:val="auto"/>
          <w:sz w:val="24"/>
          <w:szCs w:val="24"/>
          <w:highlight w:val="none"/>
        </w:rPr>
      </w:pPr>
    </w:p>
    <w:p w14:paraId="15942C8E">
      <w:pPr>
        <w:pStyle w:val="21"/>
        <w:spacing w:line="360" w:lineRule="auto"/>
        <w:jc w:val="center"/>
        <w:outlineLvl w:val="9"/>
        <w:rPr>
          <w:rFonts w:hint="eastAsia" w:hAnsi="宋体" w:eastAsia="宋体" w:cs="宋体"/>
          <w:b/>
          <w:color w:val="auto"/>
          <w:sz w:val="32"/>
          <w:szCs w:val="32"/>
          <w:highlight w:val="none"/>
        </w:rPr>
        <w:sectPr>
          <w:pgSz w:w="11907" w:h="16840"/>
          <w:pgMar w:top="1361" w:right="1752" w:bottom="1440" w:left="1752" w:header="851" w:footer="992" w:gutter="0"/>
          <w:pgNumType w:fmt="decimal"/>
          <w:cols w:space="720" w:num="1"/>
        </w:sectPr>
      </w:pPr>
    </w:p>
    <w:p w14:paraId="5864649C">
      <w:pPr>
        <w:pStyle w:val="21"/>
        <w:spacing w:line="360" w:lineRule="auto"/>
        <w:jc w:val="center"/>
        <w:outlineLvl w:val="9"/>
        <w:rPr>
          <w:rFonts w:hint="eastAsia" w:hAnsi="宋体" w:eastAsia="宋体" w:cs="宋体"/>
          <w:color w:val="auto"/>
          <w:sz w:val="24"/>
          <w:szCs w:val="24"/>
          <w:highlight w:val="none"/>
        </w:rPr>
      </w:pPr>
      <w:bookmarkStart w:id="192" w:name="_Toc23992"/>
      <w:bookmarkStart w:id="193" w:name="_Toc31720"/>
      <w:bookmarkStart w:id="194" w:name="_Toc1865004346"/>
      <w:bookmarkStart w:id="195" w:name="_Toc532369209"/>
      <w:r>
        <w:rPr>
          <w:rFonts w:hint="eastAsia" w:hAnsi="宋体" w:eastAsia="宋体" w:cs="宋体"/>
          <w:b/>
          <w:color w:val="auto"/>
          <w:sz w:val="32"/>
          <w:szCs w:val="32"/>
          <w:highlight w:val="none"/>
        </w:rPr>
        <w:t>投 标 书</w:t>
      </w:r>
      <w:bookmarkEnd w:id="192"/>
      <w:bookmarkEnd w:id="193"/>
      <w:bookmarkEnd w:id="194"/>
      <w:bookmarkEnd w:id="195"/>
    </w:p>
    <w:p w14:paraId="68A1DF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19B907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项目的投标邀请（招标编号: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提交下述文件正本一份和副本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14:paraId="37B2D9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w:t>
      </w:r>
    </w:p>
    <w:p w14:paraId="3ADEBF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投标分项报价表</w:t>
      </w:r>
    </w:p>
    <w:p w14:paraId="1F8BE3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项目说明一览表</w:t>
      </w:r>
    </w:p>
    <w:p w14:paraId="671FA5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项目范围清单 </w:t>
      </w:r>
    </w:p>
    <w:p w14:paraId="07288E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技术规格和商务响应表</w:t>
      </w:r>
    </w:p>
    <w:p w14:paraId="51146C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投标人资格证明文件</w:t>
      </w:r>
    </w:p>
    <w:p w14:paraId="0430EB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305CB1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14:paraId="22FDD0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据此函，签字代表宣布同意如下：</w:t>
      </w:r>
    </w:p>
    <w:p w14:paraId="615D7A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1.所附详细报价表中规定的应提供和交付的服务报价总价（交钥匙总包价）为人民币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6FADDC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2.投标人已详细审查全部招标文件，包括修改文件（如有的话）和有关附件，将自行承担因对全部招标文件理解不正确或误解而产生的相应后果。</w:t>
      </w:r>
    </w:p>
    <w:p w14:paraId="3A4B66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3.投标人保证遵守招标文件的全部规定，投标人所提交的材料中所含的信息均为真实、准确、完整，且不具有任何误导性。</w:t>
      </w:r>
    </w:p>
    <w:p w14:paraId="219C58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4.投标人将按招标文件的规定履行合同责任和义务。</w:t>
      </w:r>
    </w:p>
    <w:p w14:paraId="0DF837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5.本投标文件自开标日起投标有效期为：在招标文件投标人须知前附表1第3项所规定的期限内保持有效。</w:t>
      </w:r>
    </w:p>
    <w:p w14:paraId="28002E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6.如果发生招标文件第二章投标人须知第12条所述情况，则同意招标代理机构不予退还投标保证金。</w:t>
      </w:r>
    </w:p>
    <w:p w14:paraId="118D08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7.投标人同意按照招标代理机构要求提供与其投标有关的一切数据或资料，完全理解贵方不一定要接受最低的报价或收到的任何投标。</w:t>
      </w:r>
    </w:p>
    <w:p w14:paraId="47FD3B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与本投标有关的一切正式往来通讯请寄：</w:t>
      </w:r>
    </w:p>
    <w:p w14:paraId="3F7DA42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70EEED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14:paraId="71EDEA6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 </w:t>
      </w:r>
      <w:r>
        <w:rPr>
          <w:rFonts w:hint="eastAsia" w:ascii="宋体" w:hAnsi="宋体" w:eastAsia="宋体" w:cs="宋体"/>
          <w:color w:val="auto"/>
          <w:sz w:val="24"/>
          <w:szCs w:val="24"/>
          <w:highlight w:val="none"/>
          <w:u w:val="single"/>
        </w:rPr>
        <w:t xml:space="preserve">                </w:t>
      </w:r>
    </w:p>
    <w:p w14:paraId="7ACE95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3036BA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404E726">
      <w:pPr>
        <w:spacing w:line="360" w:lineRule="auto"/>
        <w:rPr>
          <w:rFonts w:hint="eastAsia" w:ascii="宋体" w:hAnsi="宋体" w:eastAsia="宋体" w:cs="宋体"/>
          <w:color w:val="auto"/>
          <w:sz w:val="24"/>
          <w:szCs w:val="24"/>
          <w:highlight w:val="none"/>
        </w:rPr>
      </w:pPr>
    </w:p>
    <w:p w14:paraId="1E456476">
      <w:pPr>
        <w:spacing w:line="360" w:lineRule="auto"/>
        <w:rPr>
          <w:rFonts w:hint="eastAsia" w:ascii="宋体" w:hAnsi="宋体" w:eastAsia="宋体" w:cs="宋体"/>
          <w:color w:val="auto"/>
          <w:sz w:val="24"/>
          <w:szCs w:val="24"/>
          <w:highlight w:val="none"/>
        </w:rPr>
      </w:pPr>
    </w:p>
    <w:p w14:paraId="2DF907F9">
      <w:pPr>
        <w:spacing w:line="360" w:lineRule="auto"/>
        <w:rPr>
          <w:rFonts w:hint="eastAsia" w:ascii="宋体" w:hAnsi="宋体" w:eastAsia="宋体" w:cs="宋体"/>
          <w:color w:val="auto"/>
          <w:sz w:val="24"/>
          <w:szCs w:val="24"/>
          <w:highlight w:val="none"/>
        </w:rPr>
      </w:pPr>
    </w:p>
    <w:p w14:paraId="55DD3403">
      <w:pPr>
        <w:spacing w:line="360" w:lineRule="auto"/>
        <w:rPr>
          <w:rFonts w:hint="eastAsia" w:ascii="宋体" w:hAnsi="宋体" w:eastAsia="宋体" w:cs="宋体"/>
          <w:color w:val="auto"/>
          <w:sz w:val="24"/>
          <w:szCs w:val="24"/>
          <w:highlight w:val="none"/>
        </w:rPr>
      </w:pPr>
    </w:p>
    <w:p w14:paraId="5030A0E6">
      <w:pPr>
        <w:spacing w:line="360" w:lineRule="auto"/>
        <w:rPr>
          <w:rFonts w:hint="eastAsia" w:ascii="宋体" w:hAnsi="宋体" w:eastAsia="宋体" w:cs="宋体"/>
          <w:color w:val="auto"/>
          <w:sz w:val="24"/>
          <w:szCs w:val="24"/>
          <w:highlight w:val="none"/>
        </w:rPr>
      </w:pPr>
    </w:p>
    <w:p w14:paraId="176AA353">
      <w:pPr>
        <w:spacing w:line="360" w:lineRule="auto"/>
        <w:rPr>
          <w:rFonts w:hint="eastAsia" w:ascii="宋体" w:hAnsi="宋体" w:eastAsia="宋体" w:cs="宋体"/>
          <w:color w:val="auto"/>
          <w:sz w:val="24"/>
          <w:szCs w:val="24"/>
          <w:highlight w:val="none"/>
        </w:rPr>
      </w:pPr>
    </w:p>
    <w:p w14:paraId="1B37A736">
      <w:pPr>
        <w:spacing w:line="360" w:lineRule="auto"/>
        <w:rPr>
          <w:rFonts w:hint="eastAsia" w:ascii="宋体" w:hAnsi="宋体" w:eastAsia="宋体" w:cs="宋体"/>
          <w:color w:val="auto"/>
          <w:sz w:val="24"/>
          <w:szCs w:val="24"/>
          <w:highlight w:val="none"/>
        </w:rPr>
      </w:pPr>
    </w:p>
    <w:p w14:paraId="2D212213">
      <w:pPr>
        <w:spacing w:line="360" w:lineRule="auto"/>
        <w:rPr>
          <w:rFonts w:hint="eastAsia" w:ascii="宋体" w:hAnsi="宋体" w:eastAsia="宋体" w:cs="宋体"/>
          <w:color w:val="auto"/>
          <w:sz w:val="24"/>
          <w:szCs w:val="24"/>
          <w:highlight w:val="none"/>
        </w:rPr>
      </w:pPr>
    </w:p>
    <w:p w14:paraId="211DA121">
      <w:pPr>
        <w:spacing w:line="360" w:lineRule="auto"/>
        <w:rPr>
          <w:rFonts w:hint="eastAsia" w:ascii="宋体" w:hAnsi="宋体" w:eastAsia="宋体" w:cs="宋体"/>
          <w:color w:val="auto"/>
          <w:sz w:val="24"/>
          <w:szCs w:val="24"/>
          <w:highlight w:val="none"/>
        </w:rPr>
      </w:pPr>
    </w:p>
    <w:p w14:paraId="5A94D277">
      <w:pPr>
        <w:spacing w:line="360" w:lineRule="auto"/>
        <w:rPr>
          <w:rFonts w:hint="eastAsia" w:ascii="宋体" w:hAnsi="宋体" w:eastAsia="宋体" w:cs="宋体"/>
          <w:color w:val="auto"/>
          <w:sz w:val="24"/>
          <w:szCs w:val="24"/>
          <w:highlight w:val="none"/>
        </w:rPr>
      </w:pPr>
    </w:p>
    <w:p w14:paraId="6F775F4A">
      <w:pPr>
        <w:spacing w:line="360" w:lineRule="auto"/>
        <w:rPr>
          <w:rFonts w:hint="eastAsia" w:ascii="宋体" w:hAnsi="宋体" w:eastAsia="宋体" w:cs="宋体"/>
          <w:color w:val="auto"/>
          <w:sz w:val="24"/>
          <w:szCs w:val="24"/>
          <w:highlight w:val="none"/>
        </w:rPr>
      </w:pPr>
    </w:p>
    <w:p w14:paraId="753A3188">
      <w:pPr>
        <w:spacing w:line="360" w:lineRule="auto"/>
        <w:rPr>
          <w:rFonts w:hint="eastAsia" w:ascii="宋体" w:hAnsi="宋体" w:eastAsia="宋体" w:cs="宋体"/>
          <w:color w:val="auto"/>
          <w:sz w:val="24"/>
          <w:szCs w:val="24"/>
          <w:highlight w:val="none"/>
        </w:rPr>
      </w:pPr>
    </w:p>
    <w:p w14:paraId="384A283C">
      <w:pPr>
        <w:spacing w:line="360" w:lineRule="auto"/>
        <w:rPr>
          <w:rFonts w:hint="eastAsia" w:ascii="宋体" w:hAnsi="宋体" w:eastAsia="宋体" w:cs="宋体"/>
          <w:color w:val="auto"/>
          <w:sz w:val="24"/>
          <w:szCs w:val="24"/>
          <w:highlight w:val="none"/>
        </w:rPr>
        <w:sectPr>
          <w:pgSz w:w="11907" w:h="16840"/>
          <w:pgMar w:top="1361" w:right="1752" w:bottom="1440" w:left="1752" w:header="851" w:footer="992" w:gutter="0"/>
          <w:pgNumType w:fmt="decimal"/>
          <w:cols w:space="720" w:num="1"/>
        </w:sectPr>
      </w:pPr>
    </w:p>
    <w:p w14:paraId="4F80246E">
      <w:pPr>
        <w:pStyle w:val="21"/>
        <w:spacing w:line="360" w:lineRule="auto"/>
        <w:ind w:firstLine="5140" w:firstLineChars="1600"/>
        <w:jc w:val="both"/>
        <w:outlineLvl w:val="9"/>
        <w:rPr>
          <w:rFonts w:hint="eastAsia" w:hAnsi="宋体" w:eastAsia="宋体" w:cs="宋体"/>
          <w:b/>
          <w:color w:val="auto"/>
          <w:sz w:val="24"/>
          <w:szCs w:val="24"/>
          <w:highlight w:val="none"/>
        </w:rPr>
      </w:pPr>
      <w:bookmarkStart w:id="196" w:name="_Toc6925"/>
      <w:bookmarkStart w:id="197" w:name="_Toc21901"/>
      <w:bookmarkStart w:id="198" w:name="_Toc962389242"/>
      <w:bookmarkStart w:id="199" w:name="_Toc974496556"/>
      <w:r>
        <w:rPr>
          <w:rFonts w:hint="eastAsia" w:hAnsi="宋体" w:eastAsia="宋体" w:cs="宋体"/>
          <w:b/>
          <w:color w:val="auto"/>
          <w:sz w:val="32"/>
          <w:szCs w:val="32"/>
          <w:highlight w:val="none"/>
        </w:rPr>
        <w:t>一、开标一览表</w:t>
      </w:r>
      <w:bookmarkEnd w:id="196"/>
      <w:bookmarkEnd w:id="197"/>
      <w:bookmarkEnd w:id="198"/>
      <w:bookmarkEnd w:id="199"/>
    </w:p>
    <w:p w14:paraId="676EA0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                              招标编号</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8"/>
        <w:gridCol w:w="1485"/>
        <w:gridCol w:w="1173"/>
        <w:gridCol w:w="2046"/>
        <w:gridCol w:w="2154"/>
        <w:gridCol w:w="1923"/>
        <w:gridCol w:w="1491"/>
      </w:tblGrid>
      <w:tr w14:paraId="2725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6AB60495">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bCs/>
                <w:color w:val="auto"/>
                <w:sz w:val="24"/>
                <w:szCs w:val="24"/>
                <w:highlight w:val="none"/>
                <w:lang w:val="en-US" w:eastAsia="zh-CN"/>
              </w:rPr>
              <w:t>序号</w:t>
            </w:r>
          </w:p>
        </w:tc>
        <w:tc>
          <w:tcPr>
            <w:tcW w:w="2108" w:type="dxa"/>
            <w:noWrap w:val="0"/>
            <w:vAlign w:val="center"/>
          </w:tcPr>
          <w:p w14:paraId="7D7C468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tc>
        <w:tc>
          <w:tcPr>
            <w:tcW w:w="1485" w:type="dxa"/>
            <w:noWrap w:val="0"/>
            <w:vAlign w:val="center"/>
          </w:tcPr>
          <w:p w14:paraId="724DE86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173" w:type="dxa"/>
            <w:noWrap w:val="0"/>
            <w:vAlign w:val="center"/>
          </w:tcPr>
          <w:p w14:paraId="654EC0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w:t>
            </w:r>
          </w:p>
        </w:tc>
        <w:tc>
          <w:tcPr>
            <w:tcW w:w="2046" w:type="dxa"/>
            <w:noWrap w:val="0"/>
            <w:vAlign w:val="center"/>
          </w:tcPr>
          <w:p w14:paraId="340FD86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报价</w:t>
            </w:r>
          </w:p>
          <w:p w14:paraId="1E71E15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（元）</w:t>
            </w:r>
          </w:p>
        </w:tc>
        <w:tc>
          <w:tcPr>
            <w:tcW w:w="2154" w:type="dxa"/>
            <w:noWrap w:val="0"/>
            <w:vAlign w:val="center"/>
          </w:tcPr>
          <w:p w14:paraId="6DF0E9C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1923" w:type="dxa"/>
            <w:noWrap w:val="0"/>
            <w:vAlign w:val="center"/>
          </w:tcPr>
          <w:p w14:paraId="66E0254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服务时间</w:t>
            </w:r>
          </w:p>
        </w:tc>
        <w:tc>
          <w:tcPr>
            <w:tcW w:w="1491" w:type="dxa"/>
            <w:noWrap w:val="0"/>
            <w:vAlign w:val="center"/>
          </w:tcPr>
          <w:p w14:paraId="1359BE3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64EB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291659A5">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2108" w:type="dxa"/>
            <w:noWrap w:val="0"/>
            <w:vAlign w:val="center"/>
          </w:tcPr>
          <w:p w14:paraId="2C4CE69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厦门市科学技术局2025年科技展会会务服务工作</w:t>
            </w:r>
          </w:p>
        </w:tc>
        <w:tc>
          <w:tcPr>
            <w:tcW w:w="1485" w:type="dxa"/>
            <w:noWrap w:val="0"/>
            <w:vAlign w:val="center"/>
          </w:tcPr>
          <w:p w14:paraId="78EFE79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173" w:type="dxa"/>
            <w:noWrap w:val="0"/>
            <w:vAlign w:val="top"/>
          </w:tcPr>
          <w:p w14:paraId="373286DE">
            <w:pPr>
              <w:spacing w:line="360" w:lineRule="auto"/>
              <w:jc w:val="center"/>
              <w:rPr>
                <w:rFonts w:hint="eastAsia" w:ascii="宋体" w:hAnsi="宋体" w:eastAsia="宋体" w:cs="宋体"/>
                <w:bCs/>
                <w:color w:val="auto"/>
                <w:sz w:val="24"/>
                <w:szCs w:val="24"/>
                <w:highlight w:val="none"/>
              </w:rPr>
            </w:pPr>
          </w:p>
        </w:tc>
        <w:tc>
          <w:tcPr>
            <w:tcW w:w="2046" w:type="dxa"/>
            <w:noWrap w:val="0"/>
            <w:vAlign w:val="top"/>
          </w:tcPr>
          <w:p w14:paraId="6111A2A2">
            <w:pPr>
              <w:spacing w:line="360" w:lineRule="auto"/>
              <w:jc w:val="center"/>
              <w:rPr>
                <w:rFonts w:hint="eastAsia" w:ascii="宋体" w:hAnsi="宋体" w:eastAsia="宋体" w:cs="宋体"/>
                <w:bCs/>
                <w:color w:val="auto"/>
                <w:sz w:val="24"/>
                <w:szCs w:val="24"/>
                <w:highlight w:val="none"/>
              </w:rPr>
            </w:pPr>
          </w:p>
        </w:tc>
        <w:tc>
          <w:tcPr>
            <w:tcW w:w="2154" w:type="dxa"/>
            <w:noWrap w:val="0"/>
            <w:vAlign w:val="center"/>
          </w:tcPr>
          <w:p w14:paraId="09F1752F">
            <w:pPr>
              <w:spacing w:line="360" w:lineRule="auto"/>
              <w:jc w:val="center"/>
              <w:rPr>
                <w:rFonts w:hint="eastAsia" w:ascii="宋体" w:hAnsi="宋体" w:eastAsia="宋体" w:cs="宋体"/>
                <w:color w:val="auto"/>
                <w:sz w:val="24"/>
                <w:szCs w:val="24"/>
                <w:highlight w:val="none"/>
              </w:rPr>
            </w:pPr>
          </w:p>
        </w:tc>
        <w:tc>
          <w:tcPr>
            <w:tcW w:w="1923" w:type="dxa"/>
            <w:noWrap w:val="0"/>
            <w:vAlign w:val="center"/>
          </w:tcPr>
          <w:p w14:paraId="50982CAE">
            <w:pPr>
              <w:spacing w:line="360" w:lineRule="auto"/>
              <w:jc w:val="center"/>
              <w:rPr>
                <w:rFonts w:hint="eastAsia" w:ascii="宋体" w:hAnsi="宋体" w:eastAsia="宋体" w:cs="宋体"/>
                <w:bCs/>
                <w:color w:val="auto"/>
                <w:sz w:val="24"/>
                <w:szCs w:val="24"/>
                <w:highlight w:val="none"/>
              </w:rPr>
            </w:pPr>
          </w:p>
        </w:tc>
        <w:tc>
          <w:tcPr>
            <w:tcW w:w="1491" w:type="dxa"/>
            <w:noWrap w:val="0"/>
            <w:vAlign w:val="top"/>
          </w:tcPr>
          <w:p w14:paraId="1D9D5E7A">
            <w:pPr>
              <w:spacing w:line="360" w:lineRule="auto"/>
              <w:jc w:val="center"/>
              <w:rPr>
                <w:rFonts w:hint="eastAsia" w:ascii="宋体" w:hAnsi="宋体" w:eastAsia="宋体" w:cs="宋体"/>
                <w:bCs/>
                <w:color w:val="auto"/>
                <w:sz w:val="24"/>
                <w:szCs w:val="24"/>
                <w:highlight w:val="none"/>
              </w:rPr>
            </w:pPr>
          </w:p>
        </w:tc>
      </w:tr>
      <w:tr w14:paraId="2A10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424ADAC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投标总价</w:t>
            </w:r>
          </w:p>
        </w:tc>
        <w:tc>
          <w:tcPr>
            <w:tcW w:w="12380" w:type="dxa"/>
            <w:gridSpan w:val="7"/>
            <w:noWrap w:val="0"/>
            <w:vAlign w:val="center"/>
          </w:tcPr>
          <w:p w14:paraId="2E5CE9E4">
            <w:pPr>
              <w:spacing w:line="360" w:lineRule="auto"/>
              <w:jc w:val="center"/>
              <w:rPr>
                <w:rFonts w:hint="eastAsia" w:ascii="宋体" w:hAnsi="宋体" w:eastAsia="宋体" w:cs="宋体"/>
                <w:bCs/>
                <w:color w:val="auto"/>
                <w:sz w:val="24"/>
                <w:szCs w:val="24"/>
                <w:highlight w:val="none"/>
              </w:rPr>
            </w:pPr>
          </w:p>
        </w:tc>
      </w:tr>
    </w:tbl>
    <w:p w14:paraId="6760486B">
      <w:pPr>
        <w:widowControl/>
        <w:spacing w:line="360" w:lineRule="auto"/>
        <w:jc w:val="left"/>
        <w:rPr>
          <w:rFonts w:hint="eastAsia" w:ascii="宋体" w:hAnsi="宋体" w:eastAsia="宋体" w:cs="宋体"/>
          <w:color w:val="auto"/>
          <w:sz w:val="24"/>
          <w:szCs w:val="24"/>
          <w:highlight w:val="none"/>
        </w:rPr>
        <w:sectPr>
          <w:footerReference r:id="rId14" w:type="default"/>
          <w:pgSz w:w="16840" w:h="11907" w:orient="landscape"/>
          <w:pgMar w:top="1752" w:right="1361" w:bottom="1752" w:left="1440" w:header="851" w:footer="992" w:gutter="0"/>
          <w:pgNumType w:fmt="decimal"/>
          <w:cols w:space="720" w:num="1"/>
        </w:sectPr>
      </w:pPr>
    </w:p>
    <w:p w14:paraId="72BA2037">
      <w:pPr>
        <w:spacing w:line="360" w:lineRule="auto"/>
        <w:ind w:firstLine="2560" w:firstLineChars="800"/>
        <w:jc w:val="both"/>
        <w:rPr>
          <w:rFonts w:hint="eastAsia" w:ascii="宋体" w:hAnsi="宋体" w:eastAsia="宋体" w:cs="宋体"/>
          <w:color w:val="auto"/>
          <w:sz w:val="24"/>
          <w:szCs w:val="24"/>
          <w:highlight w:val="none"/>
          <w:lang w:eastAsia="zh-CN"/>
        </w:rPr>
      </w:pPr>
      <w:r>
        <w:rPr>
          <w:rFonts w:hint="eastAsia" w:ascii="宋体" w:hAnsi="宋体" w:eastAsia="宋体" w:cs="宋体"/>
          <w:b/>
          <w:color w:val="auto"/>
          <w:sz w:val="32"/>
          <w:szCs w:val="32"/>
          <w:highlight w:val="none"/>
        </w:rPr>
        <w:t>二、投标分项报价表</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格式模板</w:t>
      </w:r>
      <w:r>
        <w:rPr>
          <w:rFonts w:hint="eastAsia" w:ascii="宋体" w:hAnsi="宋体" w:cs="宋体"/>
          <w:b/>
          <w:color w:val="auto"/>
          <w:sz w:val="32"/>
          <w:szCs w:val="32"/>
          <w:highlight w:val="none"/>
          <w:lang w:eastAsia="zh-CN"/>
        </w:rPr>
        <w:t>）</w:t>
      </w:r>
    </w:p>
    <w:p w14:paraId="49C6F7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招标编号：               货币单位：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
        <w:gridCol w:w="1108"/>
        <w:gridCol w:w="1399"/>
        <w:gridCol w:w="1109"/>
        <w:gridCol w:w="974"/>
        <w:gridCol w:w="975"/>
        <w:gridCol w:w="931"/>
        <w:gridCol w:w="931"/>
        <w:gridCol w:w="932"/>
      </w:tblGrid>
      <w:tr w14:paraId="40E2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75EB74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49892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投标项目合同包</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92500F1">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B72CAE0">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0755585">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16890E8">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E7AB52C">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259090B">
            <w:pPr>
              <w:spacing w:line="360" w:lineRule="auto"/>
              <w:rPr>
                <w:rFonts w:hint="eastAsia" w:ascii="宋体" w:hAnsi="宋体" w:eastAsia="宋体" w:cs="宋体"/>
                <w:color w:val="auto"/>
                <w:sz w:val="24"/>
                <w:szCs w:val="24"/>
                <w:highlight w:val="none"/>
              </w:rPr>
            </w:pPr>
          </w:p>
        </w:tc>
      </w:tr>
      <w:tr w14:paraId="1AA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E0C00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09478B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718CCBC">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7F6CA7C">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D1616F9">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805C91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821911A">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F850752">
            <w:pPr>
              <w:spacing w:line="360" w:lineRule="auto"/>
              <w:rPr>
                <w:rFonts w:hint="eastAsia" w:ascii="宋体" w:hAnsi="宋体" w:eastAsia="宋体" w:cs="宋体"/>
                <w:color w:val="auto"/>
                <w:sz w:val="24"/>
                <w:szCs w:val="24"/>
                <w:highlight w:val="none"/>
              </w:rPr>
            </w:pPr>
          </w:p>
        </w:tc>
      </w:tr>
      <w:tr w14:paraId="5DF4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3139A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BE35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314C968">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A16E3BF">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5BF5B6D">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77AB726">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0F50CC7">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CB8F223">
            <w:pPr>
              <w:spacing w:line="360" w:lineRule="auto"/>
              <w:rPr>
                <w:rFonts w:hint="eastAsia" w:ascii="宋体" w:hAnsi="宋体" w:eastAsia="宋体" w:cs="宋体"/>
                <w:color w:val="auto"/>
                <w:sz w:val="24"/>
                <w:szCs w:val="24"/>
                <w:highlight w:val="none"/>
              </w:rPr>
            </w:pPr>
          </w:p>
        </w:tc>
      </w:tr>
      <w:tr w14:paraId="4BE6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5F876C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3EC20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AAC6645">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5B04C294">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D285559">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3DBD051">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E4CECE2">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FC89816">
            <w:pPr>
              <w:spacing w:line="360" w:lineRule="auto"/>
              <w:rPr>
                <w:rFonts w:hint="eastAsia" w:ascii="宋体" w:hAnsi="宋体" w:eastAsia="宋体" w:cs="宋体"/>
                <w:color w:val="auto"/>
                <w:sz w:val="24"/>
                <w:szCs w:val="24"/>
                <w:highlight w:val="none"/>
              </w:rPr>
            </w:pPr>
          </w:p>
        </w:tc>
      </w:tr>
      <w:tr w14:paraId="3A18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D36A3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0CCDD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7B3B28A">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07EBC98">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E0C3E32">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23D5387">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3BA093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E2B993F">
            <w:pPr>
              <w:spacing w:line="360" w:lineRule="auto"/>
              <w:rPr>
                <w:rFonts w:hint="eastAsia" w:ascii="宋体" w:hAnsi="宋体" w:eastAsia="宋体" w:cs="宋体"/>
                <w:color w:val="auto"/>
                <w:sz w:val="24"/>
                <w:szCs w:val="24"/>
                <w:highlight w:val="none"/>
              </w:rPr>
            </w:pPr>
          </w:p>
        </w:tc>
      </w:tr>
      <w:tr w14:paraId="1741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A1545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11FE3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检验培训费</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1B4F446">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DBF78CF">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DC375E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4CE39AD">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69B3AAC4">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7F98F288">
            <w:pPr>
              <w:spacing w:line="360" w:lineRule="auto"/>
              <w:rPr>
                <w:rFonts w:hint="eastAsia" w:ascii="宋体" w:hAnsi="宋体" w:eastAsia="宋体" w:cs="宋体"/>
                <w:color w:val="auto"/>
                <w:sz w:val="24"/>
                <w:szCs w:val="24"/>
                <w:highlight w:val="none"/>
              </w:rPr>
            </w:pPr>
          </w:p>
        </w:tc>
      </w:tr>
      <w:tr w14:paraId="198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C140C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6FDD1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保险费用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7F7B820">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965127F">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04CCBA8">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87D21AB">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28FB60E">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242B311">
            <w:pPr>
              <w:spacing w:line="360" w:lineRule="auto"/>
              <w:rPr>
                <w:rFonts w:hint="eastAsia" w:ascii="宋体" w:hAnsi="宋体" w:eastAsia="宋体" w:cs="宋体"/>
                <w:color w:val="auto"/>
                <w:sz w:val="24"/>
                <w:szCs w:val="24"/>
                <w:highlight w:val="none"/>
              </w:rPr>
            </w:pPr>
          </w:p>
        </w:tc>
      </w:tr>
      <w:tr w14:paraId="3363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4D65D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FE3C1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61B87A6">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A14E0D9">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CEC2D6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23884B2">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6B8A6F8">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7402010">
            <w:pPr>
              <w:spacing w:line="360" w:lineRule="auto"/>
              <w:rPr>
                <w:rFonts w:hint="eastAsia" w:ascii="宋体" w:hAnsi="宋体" w:eastAsia="宋体" w:cs="宋体"/>
                <w:color w:val="auto"/>
                <w:sz w:val="24"/>
                <w:szCs w:val="24"/>
                <w:highlight w:val="none"/>
              </w:rPr>
            </w:pPr>
          </w:p>
        </w:tc>
      </w:tr>
      <w:tr w14:paraId="0A68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vMerge w:val="restart"/>
            <w:tcBorders>
              <w:top w:val="single" w:color="auto" w:sz="4" w:space="0"/>
              <w:left w:val="single" w:color="auto" w:sz="4" w:space="0"/>
              <w:bottom w:val="single" w:color="auto" w:sz="4" w:space="0"/>
              <w:right w:val="single" w:color="auto" w:sz="4" w:space="0"/>
            </w:tcBorders>
            <w:noWrap w:val="0"/>
            <w:vAlign w:val="center"/>
          </w:tcPr>
          <w:p w14:paraId="423F9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1C615E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2028BEF">
            <w:pPr>
              <w:spacing w:line="360" w:lineRule="auto"/>
              <w:rPr>
                <w:rFonts w:hint="eastAsia" w:ascii="宋体" w:hAnsi="宋体" w:eastAsia="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0DE8153">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7598B21">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C15F85B">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6850A8A">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7B07BF4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7B637824">
            <w:pPr>
              <w:spacing w:line="360" w:lineRule="auto"/>
              <w:rPr>
                <w:rFonts w:hint="eastAsia" w:ascii="宋体" w:hAnsi="宋体" w:eastAsia="宋体" w:cs="宋体"/>
                <w:color w:val="auto"/>
                <w:sz w:val="24"/>
                <w:szCs w:val="24"/>
                <w:highlight w:val="none"/>
              </w:rPr>
            </w:pPr>
          </w:p>
        </w:tc>
      </w:tr>
      <w:tr w14:paraId="6ADE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vMerge w:val="continue"/>
            <w:tcBorders>
              <w:top w:val="single" w:color="auto" w:sz="4" w:space="0"/>
              <w:left w:val="single" w:color="auto" w:sz="4" w:space="0"/>
              <w:bottom w:val="single" w:color="auto" w:sz="4" w:space="0"/>
              <w:right w:val="single" w:color="auto" w:sz="4" w:space="0"/>
            </w:tcBorders>
            <w:noWrap w:val="0"/>
            <w:vAlign w:val="center"/>
          </w:tcPr>
          <w:p w14:paraId="4C96AEA1">
            <w:pPr>
              <w:widowControl/>
              <w:spacing w:line="360" w:lineRule="auto"/>
              <w:jc w:val="left"/>
              <w:rPr>
                <w:rFonts w:hint="eastAsia" w:ascii="宋体" w:hAnsi="宋体" w:eastAsia="宋体" w:cs="宋体"/>
                <w:color w:val="auto"/>
                <w:sz w:val="24"/>
                <w:szCs w:val="24"/>
                <w:highlight w:val="none"/>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7B491B17">
            <w:pPr>
              <w:widowControl/>
              <w:spacing w:line="360" w:lineRule="auto"/>
              <w:jc w:val="left"/>
              <w:rPr>
                <w:rFonts w:hint="eastAsia" w:ascii="宋体" w:hAnsi="宋体" w:eastAsia="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C0F988B">
            <w:pPr>
              <w:spacing w:line="360" w:lineRule="auto"/>
              <w:rPr>
                <w:rFonts w:hint="eastAsia" w:ascii="宋体" w:hAnsi="宋体" w:eastAsia="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EC05162">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1B79EA6">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1252B2B">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4D6DE9B">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752E7AD4">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C334B85">
            <w:pPr>
              <w:spacing w:line="360" w:lineRule="auto"/>
              <w:rPr>
                <w:rFonts w:hint="eastAsia" w:ascii="宋体" w:hAnsi="宋体" w:eastAsia="宋体" w:cs="宋体"/>
                <w:color w:val="auto"/>
                <w:sz w:val="24"/>
                <w:szCs w:val="24"/>
                <w:highlight w:val="none"/>
              </w:rPr>
            </w:pPr>
          </w:p>
        </w:tc>
      </w:tr>
      <w:tr w14:paraId="01D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2C95ED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7F23C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5852" w:type="dxa"/>
            <w:gridSpan w:val="6"/>
            <w:tcBorders>
              <w:top w:val="single" w:color="auto" w:sz="4" w:space="0"/>
              <w:left w:val="single" w:color="auto" w:sz="4" w:space="0"/>
              <w:bottom w:val="single" w:color="auto" w:sz="4" w:space="0"/>
              <w:right w:val="single" w:color="auto" w:sz="4" w:space="0"/>
            </w:tcBorders>
            <w:noWrap w:val="0"/>
            <w:vAlign w:val="center"/>
          </w:tcPr>
          <w:p w14:paraId="31D6B850">
            <w:pPr>
              <w:spacing w:line="360" w:lineRule="auto"/>
              <w:rPr>
                <w:rFonts w:hint="eastAsia" w:ascii="宋体" w:hAnsi="宋体" w:eastAsia="宋体" w:cs="宋体"/>
                <w:color w:val="auto"/>
                <w:sz w:val="24"/>
                <w:szCs w:val="24"/>
                <w:highlight w:val="none"/>
              </w:rPr>
            </w:pPr>
          </w:p>
        </w:tc>
      </w:tr>
    </w:tbl>
    <w:p w14:paraId="5A42CC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注：1．第1栏投标项目合同包/品目号系指“招标项目一览表”中该项目的合同包/品目号。</w:t>
      </w:r>
    </w:p>
    <w:p w14:paraId="7E70B6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2．此表第10项投标价若与开标一览表有出入，以开标一览表投标价格为准。</w:t>
      </w:r>
    </w:p>
    <w:p w14:paraId="5CF6CB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3、若未详细分项报价将被视为没有实质性响应招标文件。</w:t>
      </w:r>
    </w:p>
    <w:p w14:paraId="2654C0DC">
      <w:pPr>
        <w:spacing w:line="360" w:lineRule="auto"/>
        <w:rPr>
          <w:rFonts w:hint="eastAsia" w:ascii="宋体" w:hAnsi="宋体" w:eastAsia="宋体" w:cs="宋体"/>
          <w:color w:val="auto"/>
          <w:sz w:val="24"/>
          <w:szCs w:val="24"/>
          <w:highlight w:val="none"/>
        </w:rPr>
      </w:pPr>
    </w:p>
    <w:p w14:paraId="4FD4BB6B">
      <w:pPr>
        <w:widowControl/>
        <w:spacing w:line="360" w:lineRule="auto"/>
        <w:jc w:val="left"/>
        <w:rPr>
          <w:rFonts w:hint="eastAsia" w:ascii="宋体" w:hAnsi="宋体" w:eastAsia="宋体" w:cs="宋体"/>
          <w:color w:val="auto"/>
          <w:sz w:val="24"/>
          <w:szCs w:val="24"/>
          <w:highlight w:val="none"/>
        </w:rPr>
        <w:sectPr>
          <w:footerReference r:id="rId15" w:type="default"/>
          <w:type w:val="nextColumn"/>
          <w:pgSz w:w="11907" w:h="16840"/>
          <w:pgMar w:top="1440" w:right="1752" w:bottom="1440" w:left="1752" w:header="851" w:footer="992" w:gutter="0"/>
          <w:pgNumType w:fmt="decimal"/>
          <w:cols w:space="720" w:num="1"/>
          <w:docGrid w:type="linesAndChars" w:linePitch="323" w:charSpace="-2"/>
        </w:sectPr>
      </w:pPr>
    </w:p>
    <w:p w14:paraId="19BF8D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三、项目说明一览表</w:t>
      </w:r>
    </w:p>
    <w:p w14:paraId="20867F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（按投标合同包下品目号类别分别填写）</w:t>
      </w:r>
    </w:p>
    <w:p w14:paraId="25111F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招标编号∶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82"/>
        <w:gridCol w:w="1545"/>
        <w:gridCol w:w="1460"/>
        <w:gridCol w:w="1260"/>
        <w:gridCol w:w="2160"/>
        <w:gridCol w:w="1440"/>
        <w:gridCol w:w="3628"/>
      </w:tblGrid>
      <w:tr w14:paraId="5B9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01" w:type="dxa"/>
            <w:tcBorders>
              <w:top w:val="single" w:color="auto" w:sz="4" w:space="0"/>
              <w:left w:val="single" w:color="auto" w:sz="4" w:space="0"/>
              <w:bottom w:val="single" w:color="auto" w:sz="4" w:space="0"/>
              <w:right w:val="single" w:color="auto" w:sz="4" w:space="0"/>
            </w:tcBorders>
            <w:noWrap w:val="0"/>
            <w:vAlign w:val="center"/>
          </w:tcPr>
          <w:p w14:paraId="5BADBF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A1187AD">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A43F6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9AA9D5D">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626B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BC03450">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8B2F5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628" w:type="dxa"/>
            <w:tcBorders>
              <w:top w:val="single" w:color="auto" w:sz="4" w:space="0"/>
              <w:left w:val="single" w:color="auto" w:sz="4" w:space="0"/>
              <w:bottom w:val="single" w:color="auto" w:sz="4" w:space="0"/>
              <w:right w:val="single" w:color="auto" w:sz="4" w:space="0"/>
            </w:tcBorders>
            <w:noWrap w:val="0"/>
            <w:vAlign w:val="center"/>
          </w:tcPr>
          <w:p w14:paraId="76ECACAB">
            <w:pPr>
              <w:spacing w:line="360" w:lineRule="auto"/>
              <w:rPr>
                <w:rFonts w:hint="eastAsia" w:ascii="宋体" w:hAnsi="宋体" w:eastAsia="宋体" w:cs="宋体"/>
                <w:color w:val="auto"/>
                <w:sz w:val="24"/>
                <w:szCs w:val="24"/>
                <w:highlight w:val="none"/>
              </w:rPr>
            </w:pPr>
          </w:p>
        </w:tc>
      </w:tr>
      <w:tr w14:paraId="02D4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2CCE84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14:paraId="577AB3BB">
      <w:pPr>
        <w:widowControl/>
        <w:spacing w:line="360" w:lineRule="auto"/>
        <w:jc w:val="left"/>
        <w:rPr>
          <w:rFonts w:hint="eastAsia" w:ascii="宋体" w:hAnsi="宋体" w:eastAsia="宋体" w:cs="宋体"/>
          <w:color w:val="auto"/>
          <w:sz w:val="24"/>
          <w:szCs w:val="24"/>
          <w:highlight w:val="none"/>
        </w:rPr>
        <w:sectPr>
          <w:pgSz w:w="16840" w:h="11907" w:orient="landscape"/>
          <w:pgMar w:top="1752" w:right="1440" w:bottom="1752" w:left="1440" w:header="851" w:footer="992" w:gutter="0"/>
          <w:pgNumType w:fmt="decimal"/>
          <w:cols w:space="720" w:num="1"/>
          <w:docGrid w:type="lines" w:linePitch="323" w:charSpace="0"/>
        </w:sectPr>
      </w:pPr>
    </w:p>
    <w:p w14:paraId="444FF79E">
      <w:pPr>
        <w:pStyle w:val="21"/>
        <w:spacing w:line="360" w:lineRule="auto"/>
        <w:jc w:val="center"/>
        <w:outlineLvl w:val="9"/>
        <w:rPr>
          <w:rFonts w:hint="eastAsia" w:hAnsi="宋体" w:eastAsia="宋体" w:cs="宋体"/>
          <w:color w:val="auto"/>
          <w:sz w:val="24"/>
          <w:szCs w:val="24"/>
          <w:highlight w:val="none"/>
        </w:rPr>
      </w:pPr>
      <w:bookmarkStart w:id="200" w:name="_Toc8259"/>
      <w:bookmarkStart w:id="201" w:name="_Toc9011"/>
      <w:bookmarkStart w:id="202" w:name="_Toc1767278120"/>
      <w:bookmarkStart w:id="203" w:name="_Toc2019487123"/>
      <w:r>
        <w:rPr>
          <w:rFonts w:hint="eastAsia" w:hAnsi="宋体" w:eastAsia="宋体" w:cs="宋体"/>
          <w:b/>
          <w:color w:val="auto"/>
          <w:sz w:val="32"/>
          <w:szCs w:val="32"/>
          <w:highlight w:val="none"/>
        </w:rPr>
        <w:t>四、项目范围</w:t>
      </w:r>
      <w:r>
        <w:rPr>
          <w:rFonts w:hint="eastAsia" w:hAnsi="宋体" w:eastAsia="宋体" w:cs="宋体"/>
          <w:b/>
          <w:bCs/>
          <w:color w:val="auto"/>
          <w:sz w:val="32"/>
          <w:szCs w:val="32"/>
          <w:highlight w:val="none"/>
        </w:rPr>
        <w:t>清单</w:t>
      </w:r>
      <w:bookmarkEnd w:id="200"/>
      <w:bookmarkEnd w:id="201"/>
      <w:bookmarkEnd w:id="202"/>
      <w:bookmarkEnd w:id="203"/>
    </w:p>
    <w:p w14:paraId="30E70ABE">
      <w:pPr>
        <w:pStyle w:val="21"/>
        <w:spacing w:line="360" w:lineRule="auto"/>
        <w:jc w:val="left"/>
        <w:outlineLvl w:val="9"/>
        <w:rPr>
          <w:rFonts w:hint="eastAsia" w:hAnsi="宋体" w:eastAsia="宋体" w:cs="宋体"/>
          <w:color w:val="auto"/>
          <w:sz w:val="24"/>
          <w:szCs w:val="24"/>
          <w:highlight w:val="none"/>
        </w:rPr>
      </w:pPr>
    </w:p>
    <w:p w14:paraId="5A60B0CC">
      <w:pPr>
        <w:spacing w:line="360" w:lineRule="auto"/>
        <w:rPr>
          <w:rFonts w:hint="eastAsia" w:ascii="宋体" w:hAnsi="宋体" w:eastAsia="宋体" w:cs="宋体"/>
          <w:color w:val="auto"/>
          <w:sz w:val="24"/>
          <w:szCs w:val="24"/>
          <w:highlight w:val="none"/>
        </w:rPr>
      </w:pPr>
    </w:p>
    <w:p w14:paraId="022BA60A">
      <w:pPr>
        <w:spacing w:line="360" w:lineRule="auto"/>
        <w:rPr>
          <w:rFonts w:hint="eastAsia" w:ascii="宋体" w:hAnsi="宋体" w:eastAsia="宋体" w:cs="宋体"/>
          <w:color w:val="auto"/>
          <w:sz w:val="24"/>
          <w:szCs w:val="24"/>
          <w:highlight w:val="none"/>
        </w:rPr>
      </w:pPr>
    </w:p>
    <w:p w14:paraId="6F16DE56">
      <w:pPr>
        <w:spacing w:line="360" w:lineRule="auto"/>
        <w:rPr>
          <w:rFonts w:hint="eastAsia" w:ascii="宋体" w:hAnsi="宋体" w:eastAsia="宋体" w:cs="宋体"/>
          <w:color w:val="auto"/>
          <w:sz w:val="24"/>
          <w:szCs w:val="24"/>
          <w:highlight w:val="none"/>
        </w:rPr>
      </w:pPr>
    </w:p>
    <w:p w14:paraId="32428B24">
      <w:pPr>
        <w:spacing w:line="360" w:lineRule="auto"/>
        <w:rPr>
          <w:rFonts w:hint="eastAsia" w:ascii="宋体" w:hAnsi="宋体" w:eastAsia="宋体" w:cs="宋体"/>
          <w:color w:val="auto"/>
          <w:sz w:val="24"/>
          <w:szCs w:val="24"/>
          <w:highlight w:val="none"/>
        </w:rPr>
      </w:pPr>
    </w:p>
    <w:p w14:paraId="7F642274">
      <w:pPr>
        <w:spacing w:line="360" w:lineRule="auto"/>
        <w:rPr>
          <w:rFonts w:hint="eastAsia" w:ascii="宋体" w:hAnsi="宋体" w:eastAsia="宋体" w:cs="宋体"/>
          <w:color w:val="auto"/>
          <w:sz w:val="24"/>
          <w:szCs w:val="24"/>
          <w:highlight w:val="none"/>
        </w:rPr>
      </w:pPr>
    </w:p>
    <w:p w14:paraId="60BC7E33">
      <w:pPr>
        <w:spacing w:line="360" w:lineRule="auto"/>
        <w:rPr>
          <w:rFonts w:hint="eastAsia" w:ascii="宋体" w:hAnsi="宋体" w:eastAsia="宋体" w:cs="宋体"/>
          <w:color w:val="auto"/>
          <w:sz w:val="24"/>
          <w:szCs w:val="24"/>
          <w:highlight w:val="none"/>
        </w:rPr>
      </w:pPr>
    </w:p>
    <w:p w14:paraId="62804F06">
      <w:pPr>
        <w:spacing w:line="360" w:lineRule="auto"/>
        <w:rPr>
          <w:rFonts w:hint="eastAsia" w:ascii="宋体" w:hAnsi="宋体" w:eastAsia="宋体" w:cs="宋体"/>
          <w:color w:val="auto"/>
          <w:sz w:val="24"/>
          <w:szCs w:val="24"/>
          <w:highlight w:val="none"/>
        </w:rPr>
      </w:pPr>
    </w:p>
    <w:p w14:paraId="5C4FB315">
      <w:pPr>
        <w:spacing w:line="360" w:lineRule="auto"/>
        <w:rPr>
          <w:rFonts w:hint="eastAsia" w:ascii="宋体" w:hAnsi="宋体" w:eastAsia="宋体" w:cs="宋体"/>
          <w:color w:val="auto"/>
          <w:sz w:val="24"/>
          <w:szCs w:val="24"/>
          <w:highlight w:val="none"/>
        </w:rPr>
      </w:pPr>
    </w:p>
    <w:p w14:paraId="40444AA9">
      <w:pPr>
        <w:spacing w:line="360" w:lineRule="auto"/>
        <w:rPr>
          <w:rFonts w:hint="eastAsia" w:ascii="宋体" w:hAnsi="宋体" w:eastAsia="宋体" w:cs="宋体"/>
          <w:color w:val="auto"/>
          <w:sz w:val="24"/>
          <w:szCs w:val="24"/>
          <w:highlight w:val="none"/>
        </w:rPr>
      </w:pPr>
    </w:p>
    <w:p w14:paraId="676B3762">
      <w:pPr>
        <w:spacing w:line="360" w:lineRule="auto"/>
        <w:rPr>
          <w:rFonts w:hint="eastAsia" w:ascii="宋体" w:hAnsi="宋体" w:eastAsia="宋体" w:cs="宋体"/>
          <w:color w:val="auto"/>
          <w:sz w:val="24"/>
          <w:szCs w:val="24"/>
          <w:highlight w:val="none"/>
        </w:rPr>
      </w:pPr>
    </w:p>
    <w:p w14:paraId="55DF001A">
      <w:pPr>
        <w:spacing w:line="360" w:lineRule="auto"/>
        <w:rPr>
          <w:rFonts w:hint="eastAsia" w:ascii="宋体" w:hAnsi="宋体" w:eastAsia="宋体" w:cs="宋体"/>
          <w:color w:val="auto"/>
          <w:sz w:val="24"/>
          <w:szCs w:val="24"/>
          <w:highlight w:val="none"/>
        </w:rPr>
      </w:pPr>
    </w:p>
    <w:p w14:paraId="4FE9BE0B">
      <w:pPr>
        <w:spacing w:line="360" w:lineRule="auto"/>
        <w:rPr>
          <w:rFonts w:hint="eastAsia" w:ascii="宋体" w:hAnsi="宋体" w:eastAsia="宋体" w:cs="宋体"/>
          <w:color w:val="auto"/>
          <w:sz w:val="24"/>
          <w:szCs w:val="24"/>
          <w:highlight w:val="none"/>
        </w:rPr>
      </w:pPr>
    </w:p>
    <w:p w14:paraId="3F1DC408">
      <w:pPr>
        <w:pStyle w:val="21"/>
        <w:spacing w:line="360" w:lineRule="auto"/>
        <w:jc w:val="center"/>
        <w:outlineLvl w:val="9"/>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br w:type="page"/>
      </w:r>
      <w:bookmarkStart w:id="204" w:name="_Toc4655"/>
      <w:bookmarkStart w:id="205" w:name="_Toc671984056"/>
      <w:bookmarkStart w:id="206" w:name="_Toc768022173"/>
      <w:bookmarkStart w:id="207" w:name="_Toc1840"/>
      <w:r>
        <w:rPr>
          <w:rFonts w:hint="eastAsia" w:hAnsi="宋体" w:eastAsia="宋体" w:cs="宋体"/>
          <w:b/>
          <w:color w:val="auto"/>
          <w:sz w:val="32"/>
          <w:szCs w:val="32"/>
          <w:highlight w:val="none"/>
        </w:rPr>
        <w:t>五、</w:t>
      </w:r>
      <w:r>
        <w:rPr>
          <w:rFonts w:hint="eastAsia" w:hAnsi="宋体" w:eastAsia="宋体" w:cs="宋体"/>
          <w:b/>
          <w:bCs/>
          <w:color w:val="auto"/>
          <w:sz w:val="32"/>
          <w:szCs w:val="32"/>
          <w:highlight w:val="none"/>
        </w:rPr>
        <w:t>技术规格和商务响应表</w:t>
      </w:r>
      <w:bookmarkEnd w:id="204"/>
      <w:bookmarkEnd w:id="205"/>
      <w:bookmarkEnd w:id="206"/>
      <w:bookmarkEnd w:id="207"/>
    </w:p>
    <w:p w14:paraId="45D5B220">
      <w:pPr>
        <w:pStyle w:val="21"/>
        <w:spacing w:line="360" w:lineRule="auto"/>
        <w:ind w:left="1"/>
        <w:outlineLvl w:val="9"/>
        <w:rPr>
          <w:rFonts w:hint="eastAsia" w:hAnsi="宋体" w:eastAsia="宋体" w:cs="宋体"/>
          <w:color w:val="auto"/>
          <w:sz w:val="24"/>
          <w:szCs w:val="24"/>
          <w:highlight w:val="none"/>
        </w:rPr>
      </w:pPr>
      <w:bookmarkStart w:id="208" w:name="_Toc18018"/>
      <w:bookmarkStart w:id="209" w:name="_Toc9260"/>
      <w:bookmarkStart w:id="210" w:name="_Toc531286690"/>
      <w:bookmarkStart w:id="211" w:name="_Toc573631322"/>
      <w:r>
        <w:rPr>
          <w:rFonts w:hint="eastAsia" w:hAnsi="宋体" w:eastAsia="宋体" w:cs="宋体"/>
          <w:color w:val="auto"/>
          <w:sz w:val="24"/>
          <w:szCs w:val="24"/>
          <w:highlight w:val="none"/>
        </w:rPr>
        <w:t>投标人（全称并加盖公章）：                         招标编号</w:t>
      </w:r>
      <w:r>
        <w:rPr>
          <w:rFonts w:hint="default" w:hAnsi="宋体" w:cs="宋体"/>
          <w:color w:val="auto"/>
          <w:sz w:val="24"/>
          <w:szCs w:val="24"/>
          <w:highlight w:val="none"/>
        </w:rPr>
        <w:t>：</w:t>
      </w:r>
      <w:bookmarkEnd w:id="208"/>
      <w:bookmarkEnd w:id="209"/>
      <w:bookmarkEnd w:id="210"/>
      <w:bookmarkEnd w:id="211"/>
      <w:r>
        <w:rPr>
          <w:rFonts w:hint="eastAsia" w:hAnsi="宋体" w:eastAsia="宋体" w:cs="宋体"/>
          <w:color w:val="auto"/>
          <w:sz w:val="24"/>
          <w:szCs w:val="24"/>
          <w:highlight w:val="none"/>
        </w:rPr>
        <w:tab/>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14:paraId="5D85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14:paraId="77350F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14:paraId="71CE11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14:paraId="0CEA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3CDFAB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296D0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66D66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52CDC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A213C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DDB98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0A820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E4B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362EB8C3">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1FA11562">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555C638">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E8C1010">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8F908E9">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20AB5221">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11F32494">
            <w:pPr>
              <w:spacing w:line="360" w:lineRule="auto"/>
              <w:rPr>
                <w:rFonts w:hint="eastAsia" w:ascii="宋体" w:hAnsi="宋体" w:eastAsia="宋体" w:cs="宋体"/>
                <w:color w:val="auto"/>
                <w:sz w:val="24"/>
                <w:szCs w:val="24"/>
                <w:highlight w:val="none"/>
              </w:rPr>
            </w:pPr>
          </w:p>
        </w:tc>
      </w:tr>
      <w:tr w14:paraId="7024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26590E9F">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5D4BEB35">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653588F">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9656230">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C91BB6E">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1DAE9245">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41DD7E74">
            <w:pPr>
              <w:spacing w:line="360" w:lineRule="auto"/>
              <w:rPr>
                <w:rFonts w:hint="eastAsia" w:ascii="宋体" w:hAnsi="宋体" w:eastAsia="宋体" w:cs="宋体"/>
                <w:color w:val="auto"/>
                <w:sz w:val="24"/>
                <w:szCs w:val="24"/>
                <w:highlight w:val="none"/>
              </w:rPr>
            </w:pPr>
          </w:p>
        </w:tc>
      </w:tr>
      <w:tr w14:paraId="4D3D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65F3F00A">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258EDDC0">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781CF3C">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DE67176">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75E2578">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09849EA3">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35A6D0B8">
            <w:pPr>
              <w:spacing w:line="360" w:lineRule="auto"/>
              <w:rPr>
                <w:rFonts w:hint="eastAsia" w:ascii="宋体" w:hAnsi="宋体" w:eastAsia="宋体" w:cs="宋体"/>
                <w:color w:val="auto"/>
                <w:sz w:val="24"/>
                <w:szCs w:val="24"/>
                <w:highlight w:val="none"/>
              </w:rPr>
            </w:pPr>
          </w:p>
        </w:tc>
      </w:tr>
    </w:tbl>
    <w:p w14:paraId="1655BEF3">
      <w:pPr>
        <w:spacing w:line="360" w:lineRule="auto"/>
        <w:rPr>
          <w:rFonts w:hint="eastAsia" w:ascii="宋体" w:hAnsi="宋体" w:eastAsia="宋体" w:cs="宋体"/>
          <w:color w:val="auto"/>
          <w:sz w:val="24"/>
          <w:szCs w:val="24"/>
          <w:highlight w:val="none"/>
        </w:rPr>
      </w:pPr>
    </w:p>
    <w:p w14:paraId="7799D7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kern w:val="0"/>
          <w:sz w:val="24"/>
          <w:szCs w:val="24"/>
          <w:highlight w:val="none"/>
        </w:rPr>
        <w:t>投标人应对招标文件中的“*”号条款进行逐条响应，否则评标委员会对其投标做出不利评审，投标人必须自行承担责任</w:t>
      </w:r>
      <w:r>
        <w:rPr>
          <w:rFonts w:hint="eastAsia" w:ascii="宋体" w:hAnsi="宋体" w:eastAsia="宋体" w:cs="宋体"/>
          <w:color w:val="auto"/>
          <w:sz w:val="24"/>
          <w:szCs w:val="24"/>
          <w:highlight w:val="none"/>
        </w:rPr>
        <w:t>。投标人存在弄虚作假行为的，将依法承担相应的法律责任。</w:t>
      </w:r>
    </w:p>
    <w:p w14:paraId="5025B87D">
      <w:pPr>
        <w:spacing w:line="360" w:lineRule="auto"/>
        <w:rPr>
          <w:rFonts w:hint="eastAsia" w:ascii="宋体" w:hAnsi="宋体" w:eastAsia="宋体" w:cs="宋体"/>
          <w:color w:val="auto"/>
          <w:sz w:val="24"/>
          <w:szCs w:val="24"/>
          <w:highlight w:val="none"/>
        </w:rPr>
      </w:pPr>
    </w:p>
    <w:p w14:paraId="4AF995F8">
      <w:pPr>
        <w:spacing w:line="360" w:lineRule="auto"/>
        <w:rPr>
          <w:rFonts w:hint="eastAsia" w:ascii="宋体" w:hAnsi="宋体" w:eastAsia="宋体" w:cs="宋体"/>
          <w:color w:val="auto"/>
          <w:sz w:val="24"/>
          <w:szCs w:val="24"/>
          <w:highlight w:val="none"/>
        </w:rPr>
      </w:pPr>
    </w:p>
    <w:p w14:paraId="040C6C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p>
    <w:p w14:paraId="0F4EB298">
      <w:pPr>
        <w:spacing w:line="360" w:lineRule="auto"/>
        <w:rPr>
          <w:rFonts w:hint="eastAsia" w:ascii="宋体" w:hAnsi="宋体" w:eastAsia="宋体" w:cs="宋体"/>
          <w:color w:val="auto"/>
          <w:sz w:val="24"/>
          <w:szCs w:val="24"/>
          <w:highlight w:val="none"/>
        </w:rPr>
      </w:pPr>
    </w:p>
    <w:p w14:paraId="7E08532C">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六、投标人的资格证明文件</w:t>
      </w:r>
    </w:p>
    <w:p w14:paraId="7314B2F7">
      <w:pPr>
        <w:pStyle w:val="21"/>
        <w:spacing w:line="360" w:lineRule="auto"/>
        <w:outlineLvl w:val="9"/>
        <w:rPr>
          <w:rFonts w:hint="eastAsia" w:hAnsi="宋体" w:eastAsia="宋体" w:cs="宋体"/>
          <w:color w:val="auto"/>
          <w:sz w:val="32"/>
          <w:szCs w:val="32"/>
          <w:highlight w:val="none"/>
        </w:rPr>
      </w:pPr>
    </w:p>
    <w:p w14:paraId="1AA845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关于资格的声明函</w:t>
      </w:r>
    </w:p>
    <w:p w14:paraId="4F9C8F16">
      <w:pPr>
        <w:spacing w:line="360" w:lineRule="auto"/>
        <w:jc w:val="center"/>
        <w:rPr>
          <w:rFonts w:hint="eastAsia" w:ascii="宋体" w:hAnsi="宋体" w:eastAsia="宋体" w:cs="宋体"/>
          <w:color w:val="auto"/>
          <w:sz w:val="24"/>
          <w:szCs w:val="24"/>
          <w:highlight w:val="none"/>
        </w:rPr>
      </w:pPr>
    </w:p>
    <w:p w14:paraId="00E488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532FD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（招标编号）投标邀请，本签字人愿意参加投标，提供招标文件“招标服务及要求”中规定的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6B5D2BC2">
      <w:pPr>
        <w:spacing w:line="360" w:lineRule="auto"/>
        <w:ind w:firstLine="480" w:firstLineChars="200"/>
        <w:rPr>
          <w:rFonts w:hint="eastAsia" w:ascii="宋体" w:hAnsi="宋体" w:eastAsia="宋体" w:cs="宋体"/>
          <w:color w:val="auto"/>
          <w:sz w:val="24"/>
          <w:szCs w:val="24"/>
          <w:highlight w:val="none"/>
        </w:rPr>
      </w:pPr>
    </w:p>
    <w:p w14:paraId="78205C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1．本签字人确认资格文件中的说明以及投标文件中所有提交的文件和材料是真实的、准确的。</w:t>
      </w:r>
    </w:p>
    <w:p w14:paraId="0A995E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份，随投标文件一同递交。</w:t>
      </w:r>
    </w:p>
    <w:p w14:paraId="01A018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C89D8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7238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94F9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4E55A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6E28AF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EEEF4D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B3EF30">
      <w:pPr>
        <w:spacing w:line="360" w:lineRule="auto"/>
        <w:jc w:val="both"/>
        <w:rPr>
          <w:rFonts w:hint="eastAsia" w:ascii="宋体" w:hAnsi="宋体" w:eastAsia="宋体" w:cs="宋体"/>
          <w:b/>
          <w:color w:val="auto"/>
          <w:sz w:val="24"/>
          <w:szCs w:val="24"/>
          <w:highlight w:val="none"/>
        </w:rPr>
      </w:pPr>
    </w:p>
    <w:p w14:paraId="2B6CA7EA">
      <w:pPr>
        <w:spacing w:line="360" w:lineRule="auto"/>
        <w:jc w:val="center"/>
        <w:rPr>
          <w:rFonts w:hint="eastAsia" w:ascii="宋体" w:hAnsi="宋体" w:eastAsia="宋体" w:cs="宋体"/>
          <w:b/>
          <w:color w:val="auto"/>
          <w:sz w:val="24"/>
          <w:szCs w:val="24"/>
          <w:highlight w:val="none"/>
        </w:rPr>
      </w:pPr>
    </w:p>
    <w:p w14:paraId="23169A6A">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pgNumType w:fmt="decimal"/>
          <w:cols w:space="720" w:num="1"/>
          <w:docGrid w:type="linesAndChars" w:linePitch="323" w:charSpace="-2"/>
        </w:sectPr>
      </w:pPr>
    </w:p>
    <w:p w14:paraId="48472D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投标人的资格声明</w:t>
      </w:r>
    </w:p>
    <w:p w14:paraId="5428F7D3">
      <w:pPr>
        <w:spacing w:line="360" w:lineRule="auto"/>
        <w:jc w:val="center"/>
        <w:rPr>
          <w:rFonts w:hint="eastAsia" w:ascii="宋体" w:hAnsi="宋体" w:eastAsia="宋体" w:cs="宋体"/>
          <w:color w:val="auto"/>
          <w:sz w:val="24"/>
          <w:szCs w:val="24"/>
          <w:highlight w:val="none"/>
        </w:rPr>
      </w:pPr>
    </w:p>
    <w:p w14:paraId="5796D4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1．投标人概况：                                   </w:t>
      </w:r>
    </w:p>
    <w:p w14:paraId="055B29D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Ａ．投标人名称：</w:t>
      </w:r>
      <w:r>
        <w:rPr>
          <w:rFonts w:hint="eastAsia" w:ascii="宋体" w:hAnsi="宋体" w:eastAsia="宋体" w:cs="宋体"/>
          <w:color w:val="auto"/>
          <w:sz w:val="24"/>
          <w:szCs w:val="24"/>
          <w:highlight w:val="none"/>
          <w:u w:val="single"/>
        </w:rPr>
        <w:t xml:space="preserve">                               </w:t>
      </w:r>
    </w:p>
    <w:p w14:paraId="38BA260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702623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20FBE7F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64B0AA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4DA7455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44C789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618308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52BC02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02E65A7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059732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5D5029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21483C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5BC4E8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774263C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78262D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40AD2DFD">
      <w:pPr>
        <w:spacing w:line="360" w:lineRule="auto"/>
        <w:rPr>
          <w:rFonts w:hint="eastAsia" w:ascii="宋体" w:hAnsi="宋体" w:eastAsia="宋体" w:cs="宋体"/>
          <w:color w:val="auto"/>
          <w:sz w:val="24"/>
          <w:szCs w:val="24"/>
          <w:highlight w:val="none"/>
        </w:rPr>
      </w:pPr>
    </w:p>
    <w:p w14:paraId="5EA80B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2．我方在此声明，我方具备并满足下列各项条款的规定。本声明如有虚假或不实之处，我方将失去合格投标人资格且我方的投标保证金将不予退还。</w:t>
      </w:r>
    </w:p>
    <w:p w14:paraId="74B99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49C797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30EA77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32DA87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54BE6B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（5）近三年内，在经营活动中没有重大违法记录。 </w:t>
      </w:r>
    </w:p>
    <w:p w14:paraId="5875DE4E">
      <w:pPr>
        <w:spacing w:line="360" w:lineRule="auto"/>
        <w:rPr>
          <w:rFonts w:hint="eastAsia" w:ascii="宋体" w:hAnsi="宋体" w:eastAsia="宋体" w:cs="宋体"/>
          <w:color w:val="auto"/>
          <w:sz w:val="24"/>
          <w:szCs w:val="24"/>
          <w:highlight w:val="none"/>
        </w:rPr>
      </w:pPr>
    </w:p>
    <w:p w14:paraId="4E8DAF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3．最近三年投标服务在国内主要用户的名称和地址：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D2A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CF456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7813CE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7346A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5122CC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E48CE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63DF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2DC6EC46">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73FDA1A">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BDDDF91">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4782282">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6A57D4E">
            <w:pPr>
              <w:spacing w:line="360" w:lineRule="auto"/>
              <w:rPr>
                <w:rFonts w:hint="eastAsia" w:ascii="宋体" w:hAnsi="宋体" w:eastAsia="宋体" w:cs="宋体"/>
                <w:color w:val="auto"/>
                <w:sz w:val="24"/>
                <w:szCs w:val="24"/>
                <w:highlight w:val="none"/>
              </w:rPr>
            </w:pPr>
          </w:p>
        </w:tc>
      </w:tr>
      <w:tr w14:paraId="62A4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DC37353">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554AC4C">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D8A6D90">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9006AF9">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89E1FC6">
            <w:pPr>
              <w:spacing w:line="360" w:lineRule="auto"/>
              <w:rPr>
                <w:rFonts w:hint="eastAsia" w:ascii="宋体" w:hAnsi="宋体" w:eastAsia="宋体" w:cs="宋体"/>
                <w:color w:val="auto"/>
                <w:sz w:val="24"/>
                <w:szCs w:val="24"/>
                <w:highlight w:val="none"/>
              </w:rPr>
            </w:pPr>
          </w:p>
        </w:tc>
      </w:tr>
      <w:tr w14:paraId="1A16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31147B5">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2AB3296">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779C046">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B2380EE">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BF369B3">
            <w:pPr>
              <w:spacing w:line="360" w:lineRule="auto"/>
              <w:rPr>
                <w:rFonts w:hint="eastAsia" w:ascii="宋体" w:hAnsi="宋体" w:eastAsia="宋体" w:cs="宋体"/>
                <w:color w:val="auto"/>
                <w:sz w:val="24"/>
                <w:szCs w:val="24"/>
                <w:highlight w:val="none"/>
              </w:rPr>
            </w:pPr>
          </w:p>
        </w:tc>
      </w:tr>
      <w:tr w14:paraId="38F5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927C491">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0B356A96">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D81A3A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4A7ED92">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613523C">
            <w:pPr>
              <w:spacing w:line="360" w:lineRule="auto"/>
              <w:rPr>
                <w:rFonts w:hint="eastAsia" w:ascii="宋体" w:hAnsi="宋体" w:eastAsia="宋体" w:cs="宋体"/>
                <w:color w:val="auto"/>
                <w:sz w:val="24"/>
                <w:szCs w:val="24"/>
                <w:highlight w:val="none"/>
              </w:rPr>
            </w:pPr>
          </w:p>
        </w:tc>
      </w:tr>
      <w:tr w14:paraId="283A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57EB83D">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D585611">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4D1510A">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F71A954">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DEB9614">
            <w:pPr>
              <w:spacing w:line="360" w:lineRule="auto"/>
              <w:rPr>
                <w:rFonts w:hint="eastAsia" w:ascii="宋体" w:hAnsi="宋体" w:eastAsia="宋体" w:cs="宋体"/>
                <w:color w:val="auto"/>
                <w:sz w:val="24"/>
                <w:szCs w:val="24"/>
                <w:highlight w:val="none"/>
              </w:rPr>
            </w:pPr>
          </w:p>
        </w:tc>
      </w:tr>
      <w:tr w14:paraId="5387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D12FD69">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1EC8300">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09108F5">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2E5A811">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A069402">
            <w:pPr>
              <w:spacing w:line="360" w:lineRule="auto"/>
              <w:rPr>
                <w:rFonts w:hint="eastAsia" w:ascii="宋体" w:hAnsi="宋体" w:eastAsia="宋体" w:cs="宋体"/>
                <w:color w:val="auto"/>
                <w:sz w:val="24"/>
                <w:szCs w:val="24"/>
                <w:highlight w:val="none"/>
              </w:rPr>
            </w:pPr>
          </w:p>
        </w:tc>
      </w:tr>
    </w:tbl>
    <w:p w14:paraId="7D890806">
      <w:pPr>
        <w:spacing w:line="360" w:lineRule="auto"/>
        <w:rPr>
          <w:rFonts w:hint="eastAsia" w:ascii="宋体" w:hAnsi="宋体" w:eastAsia="宋体" w:cs="宋体"/>
          <w:color w:val="auto"/>
          <w:sz w:val="24"/>
          <w:szCs w:val="24"/>
          <w:highlight w:val="none"/>
        </w:rPr>
      </w:pPr>
    </w:p>
    <w:p w14:paraId="4E1ECF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单位营业执照、税务登记证见附件。</w:t>
      </w:r>
    </w:p>
    <w:p w14:paraId="45100A2B">
      <w:pPr>
        <w:spacing w:line="360" w:lineRule="auto"/>
        <w:rPr>
          <w:rFonts w:hint="eastAsia" w:ascii="宋体" w:hAnsi="宋体" w:eastAsia="宋体" w:cs="宋体"/>
          <w:color w:val="auto"/>
          <w:sz w:val="24"/>
          <w:szCs w:val="24"/>
          <w:highlight w:val="none"/>
        </w:rPr>
      </w:pPr>
    </w:p>
    <w:p w14:paraId="09CFD0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14:paraId="53A8BE48">
      <w:pPr>
        <w:spacing w:line="360" w:lineRule="auto"/>
        <w:rPr>
          <w:rFonts w:hint="eastAsia" w:ascii="宋体" w:hAnsi="宋体" w:eastAsia="宋体" w:cs="宋体"/>
          <w:color w:val="auto"/>
          <w:sz w:val="24"/>
          <w:szCs w:val="24"/>
          <w:highlight w:val="none"/>
        </w:rPr>
      </w:pPr>
    </w:p>
    <w:p w14:paraId="2B76CF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22879EF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16FF86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C1FEC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4420AB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449FE3B9">
      <w:pPr>
        <w:spacing w:line="360" w:lineRule="auto"/>
        <w:rPr>
          <w:rFonts w:hint="eastAsia" w:ascii="宋体" w:hAnsi="宋体" w:eastAsia="宋体" w:cs="宋体"/>
          <w:color w:val="auto"/>
          <w:sz w:val="24"/>
          <w:szCs w:val="24"/>
          <w:highlight w:val="none"/>
        </w:rPr>
      </w:pPr>
    </w:p>
    <w:p w14:paraId="765F4C10">
      <w:pPr>
        <w:spacing w:line="360" w:lineRule="auto"/>
        <w:rPr>
          <w:rFonts w:hint="eastAsia" w:ascii="宋体" w:hAnsi="宋体" w:eastAsia="宋体" w:cs="宋体"/>
          <w:color w:val="auto"/>
          <w:sz w:val="24"/>
          <w:szCs w:val="24"/>
          <w:highlight w:val="none"/>
        </w:rPr>
      </w:pPr>
    </w:p>
    <w:p w14:paraId="4F2470CD">
      <w:pPr>
        <w:pStyle w:val="21"/>
        <w:spacing w:line="360" w:lineRule="auto"/>
        <w:outlineLvl w:val="9"/>
        <w:rPr>
          <w:rFonts w:hint="eastAsia" w:hAnsi="宋体" w:eastAsia="宋体" w:cs="宋体"/>
          <w:color w:val="auto"/>
          <w:sz w:val="24"/>
          <w:szCs w:val="24"/>
          <w:highlight w:val="none"/>
        </w:rPr>
      </w:pPr>
    </w:p>
    <w:p w14:paraId="433DEF45">
      <w:pPr>
        <w:pStyle w:val="21"/>
        <w:spacing w:line="360" w:lineRule="auto"/>
        <w:outlineLvl w:val="9"/>
        <w:rPr>
          <w:rFonts w:hint="eastAsia" w:hAnsi="宋体" w:eastAsia="宋体" w:cs="宋体"/>
          <w:color w:val="auto"/>
          <w:sz w:val="24"/>
          <w:szCs w:val="24"/>
          <w:highlight w:val="none"/>
        </w:rPr>
      </w:pPr>
    </w:p>
    <w:p w14:paraId="2FA0EBD2">
      <w:pPr>
        <w:pStyle w:val="21"/>
        <w:spacing w:line="360" w:lineRule="auto"/>
        <w:outlineLvl w:val="9"/>
        <w:rPr>
          <w:rFonts w:hint="eastAsia" w:hAnsi="宋体" w:eastAsia="宋体" w:cs="宋体"/>
          <w:color w:val="auto"/>
          <w:sz w:val="24"/>
          <w:szCs w:val="24"/>
          <w:highlight w:val="none"/>
        </w:rPr>
      </w:pPr>
    </w:p>
    <w:p w14:paraId="4454A04E">
      <w:pPr>
        <w:pStyle w:val="21"/>
        <w:spacing w:line="360" w:lineRule="auto"/>
        <w:outlineLvl w:val="9"/>
        <w:rPr>
          <w:rFonts w:hint="eastAsia" w:hAnsi="宋体" w:eastAsia="宋体" w:cs="宋体"/>
          <w:color w:val="auto"/>
          <w:sz w:val="24"/>
          <w:szCs w:val="24"/>
          <w:highlight w:val="none"/>
        </w:rPr>
      </w:pPr>
    </w:p>
    <w:p w14:paraId="7B871947">
      <w:pPr>
        <w:pStyle w:val="21"/>
        <w:spacing w:line="360" w:lineRule="auto"/>
        <w:outlineLvl w:val="9"/>
        <w:rPr>
          <w:rFonts w:hint="eastAsia" w:hAnsi="宋体" w:eastAsia="宋体" w:cs="宋体"/>
          <w:color w:val="auto"/>
          <w:sz w:val="24"/>
          <w:szCs w:val="24"/>
          <w:highlight w:val="none"/>
        </w:rPr>
      </w:pPr>
    </w:p>
    <w:p w14:paraId="1B32A3B3">
      <w:pPr>
        <w:pStyle w:val="21"/>
        <w:spacing w:line="360" w:lineRule="auto"/>
        <w:outlineLvl w:val="9"/>
        <w:rPr>
          <w:rFonts w:hint="eastAsia" w:hAnsi="宋体" w:eastAsia="宋体" w:cs="宋体"/>
          <w:color w:val="auto"/>
          <w:sz w:val="24"/>
          <w:szCs w:val="24"/>
          <w:highlight w:val="none"/>
        </w:rPr>
      </w:pPr>
    </w:p>
    <w:p w14:paraId="1924124C">
      <w:pPr>
        <w:pStyle w:val="2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bookmarkStart w:id="212" w:name="_Toc30620"/>
      <w:bookmarkStart w:id="213" w:name="_Toc19330"/>
      <w:bookmarkStart w:id="214" w:name="_Toc1956882975"/>
      <w:bookmarkStart w:id="215" w:name="_Toc984446747"/>
      <w:r>
        <w:rPr>
          <w:rFonts w:hint="eastAsia" w:hAnsi="宋体" w:eastAsia="宋体" w:cs="宋体"/>
          <w:b/>
          <w:color w:val="auto"/>
          <w:sz w:val="32"/>
          <w:szCs w:val="32"/>
          <w:highlight w:val="none"/>
        </w:rPr>
        <w:t>单位授权书</w:t>
      </w:r>
      <w:bookmarkEnd w:id="212"/>
      <w:bookmarkEnd w:id="213"/>
      <w:bookmarkEnd w:id="214"/>
      <w:bookmarkEnd w:id="215"/>
    </w:p>
    <w:p w14:paraId="2422FDB5">
      <w:pPr>
        <w:pStyle w:val="21"/>
        <w:spacing w:line="360" w:lineRule="auto"/>
        <w:jc w:val="center"/>
        <w:outlineLvl w:val="9"/>
        <w:rPr>
          <w:rFonts w:hint="eastAsia" w:hAnsi="宋体" w:eastAsia="宋体" w:cs="宋体"/>
          <w:color w:val="auto"/>
          <w:sz w:val="24"/>
          <w:szCs w:val="24"/>
          <w:highlight w:val="none"/>
        </w:rPr>
      </w:pPr>
    </w:p>
    <w:p w14:paraId="5DCADC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（招标代理机构）   </w:t>
      </w:r>
      <w:r>
        <w:rPr>
          <w:rFonts w:hint="eastAsia" w:ascii="宋体" w:hAnsi="宋体" w:eastAsia="宋体" w:cs="宋体"/>
          <w:color w:val="auto"/>
          <w:sz w:val="24"/>
          <w:szCs w:val="24"/>
          <w:highlight w:val="none"/>
        </w:rPr>
        <w:t>：</w:t>
      </w:r>
    </w:p>
    <w:p w14:paraId="232EAFAB">
      <w:pPr>
        <w:pStyle w:val="6"/>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（投标人全称）</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u w:val="single"/>
        </w:rPr>
        <w:t xml:space="preserve">  （投标人代表姓名）</w:t>
      </w:r>
      <w:r>
        <w:rPr>
          <w:rFonts w:hint="eastAsia" w:hAnsi="宋体" w:eastAsia="宋体" w:cs="宋体"/>
          <w:color w:val="auto"/>
          <w:sz w:val="24"/>
          <w:szCs w:val="24"/>
          <w:highlight w:val="none"/>
        </w:rPr>
        <w:t>为投标人代表，代表本公司参加贵司组织的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项目（招标编号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8E4B112">
      <w:pPr>
        <w:pStyle w:val="6"/>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5A6AE1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60AF25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17C5E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1856CD92">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62061A9E">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5BE2B280">
      <w:pPr>
        <w:spacing w:line="360" w:lineRule="auto"/>
        <w:rPr>
          <w:rFonts w:hint="eastAsia" w:ascii="宋体" w:hAnsi="宋体" w:eastAsia="宋体" w:cs="宋体"/>
          <w:color w:val="auto"/>
          <w:sz w:val="24"/>
          <w:szCs w:val="24"/>
          <w:highlight w:val="none"/>
        </w:rPr>
      </w:pPr>
    </w:p>
    <w:p w14:paraId="671349A8">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E858F84">
      <w:pPr>
        <w:spacing w:line="360" w:lineRule="auto"/>
        <w:rPr>
          <w:rFonts w:hint="eastAsia" w:ascii="宋体" w:hAnsi="宋体" w:eastAsia="宋体" w:cs="宋体"/>
          <w:color w:val="auto"/>
          <w:sz w:val="24"/>
          <w:szCs w:val="24"/>
          <w:highlight w:val="none"/>
        </w:rPr>
      </w:pPr>
    </w:p>
    <w:p w14:paraId="199F0A5C">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5E45C4D6">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14:paraId="5965E462">
      <w:pPr>
        <w:spacing w:line="360" w:lineRule="auto"/>
        <w:rPr>
          <w:rFonts w:hint="eastAsia" w:ascii="宋体" w:hAnsi="宋体" w:eastAsia="宋体" w:cs="宋体"/>
          <w:color w:val="auto"/>
          <w:sz w:val="24"/>
          <w:szCs w:val="24"/>
          <w:highlight w:val="none"/>
        </w:rPr>
      </w:pPr>
    </w:p>
    <w:p w14:paraId="7849B2FC">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52DA939">
      <w:pPr>
        <w:pStyle w:val="2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bookmarkStart w:id="216" w:name="_Toc24338"/>
      <w:bookmarkStart w:id="217" w:name="_Toc10085"/>
      <w:bookmarkStart w:id="218" w:name="_Toc2037736561"/>
      <w:bookmarkStart w:id="219" w:name="_Toc405090959"/>
      <w:r>
        <w:rPr>
          <w:rFonts w:hint="eastAsia" w:hAnsi="宋体" w:eastAsia="宋体" w:cs="宋体"/>
          <w:b/>
          <w:color w:val="auto"/>
          <w:sz w:val="32"/>
          <w:szCs w:val="32"/>
          <w:highlight w:val="none"/>
        </w:rPr>
        <w:t>单位营业执照、税务登记证</w:t>
      </w:r>
      <w:bookmarkEnd w:id="216"/>
      <w:bookmarkEnd w:id="217"/>
      <w:bookmarkEnd w:id="218"/>
      <w:bookmarkEnd w:id="219"/>
    </w:p>
    <w:p w14:paraId="08F00D26">
      <w:pPr>
        <w:spacing w:line="360" w:lineRule="auto"/>
        <w:rPr>
          <w:rFonts w:hint="eastAsia" w:ascii="宋体" w:hAnsi="宋体" w:eastAsia="宋体" w:cs="宋体"/>
          <w:color w:val="auto"/>
          <w:sz w:val="24"/>
          <w:szCs w:val="24"/>
          <w:highlight w:val="none"/>
        </w:rPr>
      </w:pPr>
    </w:p>
    <w:p w14:paraId="681B1625">
      <w:pPr>
        <w:spacing w:line="360" w:lineRule="auto"/>
        <w:rPr>
          <w:rFonts w:hint="eastAsia" w:ascii="宋体" w:hAnsi="宋体" w:eastAsia="宋体" w:cs="宋体"/>
          <w:color w:val="auto"/>
          <w:sz w:val="24"/>
          <w:szCs w:val="24"/>
          <w:highlight w:val="none"/>
        </w:rPr>
      </w:pPr>
    </w:p>
    <w:p w14:paraId="7FF8CDA0">
      <w:pPr>
        <w:spacing w:line="360" w:lineRule="auto"/>
        <w:rPr>
          <w:rFonts w:hint="eastAsia" w:ascii="宋体" w:hAnsi="宋体" w:eastAsia="宋体" w:cs="宋体"/>
          <w:color w:val="auto"/>
          <w:sz w:val="24"/>
          <w:szCs w:val="24"/>
          <w:highlight w:val="none"/>
        </w:rPr>
      </w:pPr>
    </w:p>
    <w:p w14:paraId="690069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89F8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（签发机关名称）签发的我方单位营业执照副本复印件，该执照真实有效。</w:t>
      </w:r>
    </w:p>
    <w:p w14:paraId="680CCF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（签发机关名称）签发的我方税务登记证副本复印件，该证件已经年检，真实有效。</w:t>
      </w:r>
    </w:p>
    <w:p w14:paraId="48EA5DD2">
      <w:pPr>
        <w:spacing w:line="360" w:lineRule="auto"/>
        <w:rPr>
          <w:rFonts w:hint="eastAsia" w:ascii="宋体" w:hAnsi="宋体" w:eastAsia="宋体" w:cs="宋体"/>
          <w:color w:val="auto"/>
          <w:sz w:val="24"/>
          <w:szCs w:val="24"/>
          <w:highlight w:val="none"/>
        </w:rPr>
      </w:pPr>
    </w:p>
    <w:p w14:paraId="32DDA0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w:t>
      </w:r>
    </w:p>
    <w:p w14:paraId="7F405BD9">
      <w:pPr>
        <w:spacing w:line="360" w:lineRule="auto"/>
        <w:rPr>
          <w:rFonts w:hint="eastAsia" w:ascii="宋体" w:hAnsi="宋体" w:eastAsia="宋体" w:cs="宋体"/>
          <w:color w:val="auto"/>
          <w:sz w:val="24"/>
          <w:szCs w:val="24"/>
          <w:highlight w:val="none"/>
        </w:rPr>
      </w:pPr>
    </w:p>
    <w:p w14:paraId="4839AE08">
      <w:pPr>
        <w:spacing w:line="360" w:lineRule="auto"/>
        <w:rPr>
          <w:rFonts w:hint="eastAsia" w:ascii="宋体" w:hAnsi="宋体" w:eastAsia="宋体" w:cs="宋体"/>
          <w:color w:val="auto"/>
          <w:sz w:val="24"/>
          <w:szCs w:val="24"/>
          <w:highlight w:val="none"/>
        </w:rPr>
      </w:pPr>
    </w:p>
    <w:p w14:paraId="49967EFE">
      <w:pPr>
        <w:spacing w:line="360" w:lineRule="auto"/>
        <w:rPr>
          <w:rFonts w:hint="eastAsia" w:ascii="宋体" w:hAnsi="宋体" w:eastAsia="宋体" w:cs="宋体"/>
          <w:color w:val="auto"/>
          <w:sz w:val="24"/>
          <w:szCs w:val="24"/>
          <w:highlight w:val="none"/>
        </w:rPr>
      </w:pPr>
    </w:p>
    <w:p w14:paraId="07B58E29">
      <w:pPr>
        <w:spacing w:line="360" w:lineRule="auto"/>
        <w:rPr>
          <w:rFonts w:hint="eastAsia" w:ascii="宋体" w:hAnsi="宋体" w:eastAsia="宋体" w:cs="宋体"/>
          <w:color w:val="auto"/>
          <w:sz w:val="24"/>
          <w:szCs w:val="24"/>
          <w:highlight w:val="none"/>
        </w:rPr>
      </w:pPr>
    </w:p>
    <w:p w14:paraId="1C8CF476">
      <w:pPr>
        <w:spacing w:line="360" w:lineRule="auto"/>
        <w:rPr>
          <w:rFonts w:hint="eastAsia" w:ascii="宋体" w:hAnsi="宋体" w:eastAsia="宋体" w:cs="宋体"/>
          <w:color w:val="auto"/>
          <w:sz w:val="24"/>
          <w:szCs w:val="24"/>
          <w:highlight w:val="none"/>
        </w:rPr>
      </w:pPr>
    </w:p>
    <w:p w14:paraId="7EEEB7A1">
      <w:pPr>
        <w:spacing w:line="360" w:lineRule="auto"/>
        <w:rPr>
          <w:rFonts w:hint="eastAsia" w:ascii="宋体" w:hAnsi="宋体" w:eastAsia="宋体" w:cs="宋体"/>
          <w:color w:val="auto"/>
          <w:sz w:val="24"/>
          <w:szCs w:val="24"/>
          <w:highlight w:val="none"/>
        </w:rPr>
      </w:pPr>
    </w:p>
    <w:p w14:paraId="088A7A3E">
      <w:pPr>
        <w:spacing w:line="360" w:lineRule="auto"/>
        <w:rPr>
          <w:rFonts w:hint="eastAsia" w:ascii="宋体" w:hAnsi="宋体" w:eastAsia="宋体" w:cs="宋体"/>
          <w:color w:val="auto"/>
          <w:sz w:val="24"/>
          <w:szCs w:val="24"/>
          <w:highlight w:val="none"/>
        </w:rPr>
      </w:pPr>
    </w:p>
    <w:p w14:paraId="55F53E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 标 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94873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66FFED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44D632AE">
      <w:pPr>
        <w:spacing w:line="360" w:lineRule="auto"/>
        <w:rPr>
          <w:rFonts w:hint="eastAsia" w:ascii="宋体" w:hAnsi="宋体" w:eastAsia="宋体" w:cs="宋体"/>
          <w:color w:val="auto"/>
          <w:sz w:val="24"/>
          <w:szCs w:val="24"/>
          <w:highlight w:val="none"/>
        </w:rPr>
      </w:pPr>
    </w:p>
    <w:p w14:paraId="472CD22F">
      <w:pPr>
        <w:spacing w:line="360" w:lineRule="auto"/>
        <w:rPr>
          <w:rFonts w:hint="eastAsia" w:ascii="宋体" w:hAnsi="宋体" w:eastAsia="宋体" w:cs="宋体"/>
          <w:color w:val="auto"/>
          <w:sz w:val="24"/>
          <w:szCs w:val="24"/>
          <w:highlight w:val="none"/>
        </w:rPr>
      </w:pPr>
    </w:p>
    <w:p w14:paraId="1F96AD46">
      <w:pPr>
        <w:spacing w:line="360" w:lineRule="auto"/>
        <w:rPr>
          <w:rFonts w:hint="eastAsia" w:ascii="宋体" w:hAnsi="宋体" w:eastAsia="宋体" w:cs="宋体"/>
          <w:color w:val="auto"/>
          <w:sz w:val="24"/>
          <w:szCs w:val="24"/>
          <w:highlight w:val="none"/>
        </w:rPr>
      </w:pPr>
    </w:p>
    <w:p w14:paraId="1FA480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2"/>
          <w:szCs w:val="32"/>
          <w:highlight w:val="none"/>
        </w:rPr>
        <w:t>七、</w:t>
      </w: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66313B0C">
      <w:pPr>
        <w:pStyle w:val="21"/>
        <w:spacing w:line="360" w:lineRule="auto"/>
        <w:jc w:val="center"/>
        <w:outlineLvl w:val="9"/>
        <w:rPr>
          <w:rFonts w:hint="eastAsia" w:hAnsi="宋体" w:eastAsia="宋体" w:cs="宋体"/>
          <w:color w:val="auto"/>
          <w:sz w:val="24"/>
          <w:szCs w:val="24"/>
          <w:highlight w:val="none"/>
        </w:rPr>
      </w:pPr>
    </w:p>
    <w:p w14:paraId="7132B60F">
      <w:pPr>
        <w:pStyle w:val="21"/>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438CED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49A7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6169E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项目招标中投标（招标编号：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），如获中标，我们保证按招标文件的规定，以汇款、转帐方式向贵司缴交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40ADFA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我司一旦中标，承诺凭中标通知书原件按招标文件的规定签订合同，并最迟应于合同签订前缴交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1B7E53E6">
      <w:pPr>
        <w:spacing w:line="360" w:lineRule="auto"/>
        <w:rPr>
          <w:rFonts w:hint="eastAsia" w:ascii="宋体" w:hAnsi="宋体" w:eastAsia="宋体" w:cs="宋体"/>
          <w:color w:val="auto"/>
          <w:sz w:val="24"/>
          <w:szCs w:val="24"/>
          <w:highlight w:val="none"/>
        </w:rPr>
      </w:pPr>
    </w:p>
    <w:p w14:paraId="595086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C57B67D">
      <w:pPr>
        <w:spacing w:line="360" w:lineRule="auto"/>
        <w:rPr>
          <w:rFonts w:hint="eastAsia" w:ascii="宋体" w:hAnsi="宋体" w:eastAsia="宋体" w:cs="宋体"/>
          <w:color w:val="auto"/>
          <w:sz w:val="24"/>
          <w:szCs w:val="24"/>
          <w:highlight w:val="none"/>
        </w:rPr>
      </w:pPr>
    </w:p>
    <w:p w14:paraId="37D715B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投标人（全称）： </w:t>
      </w:r>
      <w:r>
        <w:rPr>
          <w:rFonts w:hint="eastAsia" w:ascii="宋体" w:hAnsi="宋体" w:eastAsia="宋体" w:cs="宋体"/>
          <w:color w:val="auto"/>
          <w:sz w:val="24"/>
          <w:szCs w:val="24"/>
          <w:highlight w:val="none"/>
          <w:u w:val="single"/>
        </w:rPr>
        <w:t xml:space="preserve">                          </w:t>
      </w:r>
    </w:p>
    <w:p w14:paraId="48B8CAF7">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A85CB7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p>
    <w:p w14:paraId="57ADB0DC">
      <w:pPr>
        <w:spacing w:line="360" w:lineRule="auto"/>
        <w:rPr>
          <w:rFonts w:hint="eastAsia" w:ascii="宋体" w:hAnsi="宋体" w:eastAsia="宋体" w:cs="宋体"/>
          <w:color w:val="auto"/>
          <w:sz w:val="24"/>
          <w:szCs w:val="24"/>
          <w:highlight w:val="none"/>
        </w:rPr>
      </w:pPr>
    </w:p>
    <w:p w14:paraId="11AA18E9">
      <w:pPr>
        <w:spacing w:line="360" w:lineRule="auto"/>
        <w:rPr>
          <w:rFonts w:hint="eastAsia" w:ascii="宋体" w:hAnsi="宋体" w:eastAsia="宋体" w:cs="宋体"/>
          <w:color w:val="auto"/>
          <w:sz w:val="24"/>
          <w:szCs w:val="24"/>
          <w:highlight w:val="none"/>
        </w:rPr>
      </w:pPr>
    </w:p>
    <w:p w14:paraId="53BA6E73">
      <w:pPr>
        <w:spacing w:line="360" w:lineRule="auto"/>
        <w:rPr>
          <w:rFonts w:hint="eastAsia" w:ascii="宋体" w:hAnsi="宋体" w:eastAsia="宋体" w:cs="宋体"/>
          <w:color w:val="auto"/>
          <w:sz w:val="24"/>
          <w:szCs w:val="24"/>
          <w:highlight w:val="none"/>
        </w:rPr>
      </w:pPr>
    </w:p>
    <w:p w14:paraId="5B795330">
      <w:pPr>
        <w:spacing w:line="360" w:lineRule="auto"/>
        <w:rPr>
          <w:rFonts w:hint="eastAsia" w:ascii="宋体" w:hAnsi="宋体" w:eastAsia="宋体" w:cs="宋体"/>
          <w:color w:val="auto"/>
          <w:sz w:val="24"/>
          <w:szCs w:val="24"/>
          <w:highlight w:val="none"/>
        </w:rPr>
      </w:pPr>
    </w:p>
    <w:p w14:paraId="5EBB53FA">
      <w:pPr>
        <w:spacing w:line="360" w:lineRule="auto"/>
        <w:rPr>
          <w:rFonts w:hint="eastAsia" w:ascii="宋体" w:hAnsi="宋体" w:eastAsia="宋体" w:cs="宋体"/>
          <w:bCs/>
          <w:color w:val="auto"/>
          <w:sz w:val="24"/>
          <w:szCs w:val="24"/>
          <w:highlight w:val="none"/>
        </w:rPr>
      </w:pPr>
    </w:p>
    <w:p w14:paraId="75B0B443">
      <w:pPr>
        <w:spacing w:line="360" w:lineRule="auto"/>
        <w:rPr>
          <w:rFonts w:hint="eastAsia" w:ascii="宋体" w:hAnsi="宋体" w:eastAsia="宋体" w:cs="宋体"/>
          <w:bCs/>
          <w:color w:val="auto"/>
          <w:sz w:val="24"/>
          <w:szCs w:val="24"/>
          <w:highlight w:val="none"/>
        </w:rPr>
      </w:pPr>
    </w:p>
    <w:p w14:paraId="41DB2D9D">
      <w:pPr>
        <w:spacing w:line="360" w:lineRule="auto"/>
        <w:rPr>
          <w:rFonts w:hint="eastAsia" w:ascii="宋体" w:hAnsi="宋体" w:eastAsia="宋体" w:cs="宋体"/>
          <w:bCs/>
          <w:color w:val="auto"/>
          <w:sz w:val="24"/>
          <w:szCs w:val="24"/>
          <w:highlight w:val="none"/>
        </w:rPr>
      </w:pPr>
    </w:p>
    <w:p w14:paraId="3AEE0B35">
      <w:pPr>
        <w:spacing w:line="360" w:lineRule="auto"/>
        <w:rPr>
          <w:rFonts w:hint="eastAsia" w:ascii="宋体" w:hAnsi="宋体" w:eastAsia="宋体" w:cs="宋体"/>
          <w:bCs/>
          <w:color w:val="auto"/>
          <w:sz w:val="24"/>
          <w:szCs w:val="24"/>
          <w:highlight w:val="none"/>
        </w:rPr>
      </w:pPr>
    </w:p>
    <w:p w14:paraId="659CF4A6">
      <w:pPr>
        <w:spacing w:line="360" w:lineRule="auto"/>
        <w:rPr>
          <w:rFonts w:hint="eastAsia" w:ascii="宋体" w:hAnsi="宋体" w:eastAsia="宋体" w:cs="宋体"/>
          <w:bCs/>
          <w:color w:val="auto"/>
          <w:sz w:val="24"/>
          <w:szCs w:val="24"/>
          <w:highlight w:val="none"/>
        </w:rPr>
      </w:pPr>
    </w:p>
    <w:p w14:paraId="34A98752">
      <w:pPr>
        <w:spacing w:line="360" w:lineRule="auto"/>
        <w:rPr>
          <w:rFonts w:hint="eastAsia" w:ascii="宋体" w:hAnsi="宋体" w:eastAsia="宋体" w:cs="宋体"/>
          <w:bCs/>
          <w:color w:val="auto"/>
          <w:sz w:val="24"/>
          <w:szCs w:val="24"/>
          <w:highlight w:val="none"/>
        </w:rPr>
      </w:pPr>
    </w:p>
    <w:p w14:paraId="620FC4E2">
      <w:pPr>
        <w:spacing w:line="360" w:lineRule="auto"/>
        <w:rPr>
          <w:rFonts w:hint="eastAsia" w:ascii="宋体" w:hAnsi="宋体" w:eastAsia="宋体" w:cs="宋体"/>
          <w:bCs/>
          <w:color w:val="auto"/>
          <w:sz w:val="24"/>
          <w:szCs w:val="24"/>
          <w:highlight w:val="none"/>
        </w:rPr>
      </w:pPr>
    </w:p>
    <w:p w14:paraId="0B7CF7D7">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14:paraId="184C9BAF">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62D3DED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14:paraId="4C3570D9">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66CF7099">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565D92FE">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14:paraId="24C3CF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6"/>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；举报信件：厦门市湖里区机场北路476号四楼厦门万翔招标有限公司，总经理收。</w:t>
      </w:r>
    </w:p>
    <w:p w14:paraId="3E9122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705BA8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4DC06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5337B5A6">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153F33A8">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日期：</w:t>
      </w:r>
    </w:p>
    <w:p w14:paraId="26D3DDF0">
      <w:pPr>
        <w:spacing w:line="360" w:lineRule="auto"/>
        <w:ind w:firstLine="460" w:firstLineChars="192"/>
        <w:rPr>
          <w:rFonts w:hint="eastAsia" w:ascii="宋体" w:hAnsi="宋体" w:eastAsia="宋体" w:cs="宋体"/>
          <w:color w:val="auto"/>
          <w:sz w:val="24"/>
          <w:szCs w:val="24"/>
          <w:highlight w:val="none"/>
        </w:rPr>
      </w:pPr>
    </w:p>
    <w:p w14:paraId="120379C3">
      <w:pPr>
        <w:spacing w:line="360" w:lineRule="auto"/>
        <w:rPr>
          <w:rFonts w:hint="eastAsia" w:ascii="宋体" w:hAnsi="宋体" w:eastAsia="宋体" w:cs="宋体"/>
          <w:color w:val="auto"/>
          <w:sz w:val="24"/>
          <w:szCs w:val="24"/>
          <w:highlight w:val="none"/>
        </w:rPr>
      </w:pPr>
    </w:p>
    <w:p w14:paraId="03A8CC00">
      <w:pPr>
        <w:spacing w:line="360" w:lineRule="auto"/>
        <w:rPr>
          <w:rFonts w:hint="eastAsia" w:ascii="宋体" w:hAnsi="宋体" w:eastAsia="宋体" w:cs="宋体"/>
          <w:color w:val="auto"/>
          <w:sz w:val="24"/>
          <w:szCs w:val="24"/>
          <w:highlight w:val="none"/>
        </w:rPr>
      </w:pPr>
    </w:p>
    <w:p w14:paraId="3E49D644">
      <w:pPr>
        <w:spacing w:line="360" w:lineRule="auto"/>
        <w:rPr>
          <w:rFonts w:hint="eastAsia" w:ascii="宋体" w:hAnsi="宋体" w:eastAsia="宋体" w:cs="宋体"/>
          <w:color w:val="auto"/>
          <w:sz w:val="24"/>
          <w:szCs w:val="24"/>
          <w:highlight w:val="none"/>
        </w:rPr>
      </w:pPr>
    </w:p>
    <w:p w14:paraId="50E51AFB">
      <w:pPr>
        <w:spacing w:line="360" w:lineRule="auto"/>
        <w:rPr>
          <w:rFonts w:hint="eastAsia" w:ascii="宋体" w:hAnsi="宋体" w:eastAsia="宋体" w:cs="宋体"/>
          <w:color w:val="auto"/>
          <w:sz w:val="24"/>
          <w:szCs w:val="24"/>
          <w:highlight w:val="none"/>
        </w:rPr>
      </w:pPr>
    </w:p>
    <w:p w14:paraId="5961AB11">
      <w:pPr>
        <w:spacing w:line="360" w:lineRule="auto"/>
        <w:rPr>
          <w:rFonts w:hint="eastAsia" w:ascii="宋体" w:hAnsi="宋体" w:eastAsia="宋体" w:cs="宋体"/>
          <w:color w:val="auto"/>
          <w:sz w:val="24"/>
          <w:szCs w:val="24"/>
          <w:highlight w:val="none"/>
        </w:rPr>
      </w:pPr>
    </w:p>
    <w:p w14:paraId="1E43F1B3">
      <w:pPr>
        <w:spacing w:line="360" w:lineRule="auto"/>
        <w:rPr>
          <w:rFonts w:hint="eastAsia" w:ascii="宋体" w:hAnsi="宋体" w:eastAsia="宋体" w:cs="宋体"/>
          <w:color w:val="auto"/>
          <w:sz w:val="24"/>
          <w:szCs w:val="24"/>
          <w:highlight w:val="none"/>
        </w:rPr>
      </w:pPr>
    </w:p>
    <w:p w14:paraId="5A9CF202">
      <w:pPr>
        <w:spacing w:line="360" w:lineRule="auto"/>
        <w:rPr>
          <w:rFonts w:hint="eastAsia" w:ascii="宋体" w:hAnsi="宋体" w:eastAsia="宋体" w:cs="宋体"/>
          <w:color w:val="auto"/>
          <w:sz w:val="24"/>
          <w:szCs w:val="24"/>
          <w:highlight w:val="none"/>
        </w:rPr>
      </w:pPr>
    </w:p>
    <w:p w14:paraId="3906872F">
      <w:pPr>
        <w:spacing w:line="360" w:lineRule="auto"/>
        <w:rPr>
          <w:rFonts w:hint="eastAsia" w:ascii="宋体" w:hAnsi="宋体" w:eastAsia="宋体" w:cs="宋体"/>
          <w:color w:val="auto"/>
          <w:sz w:val="24"/>
          <w:szCs w:val="24"/>
          <w:highlight w:val="none"/>
        </w:rPr>
      </w:pPr>
    </w:p>
    <w:p w14:paraId="3F728CCA">
      <w:pPr>
        <w:spacing w:line="360" w:lineRule="auto"/>
        <w:rPr>
          <w:rFonts w:hint="eastAsia" w:ascii="宋体" w:hAnsi="宋体" w:eastAsia="宋体" w:cs="宋体"/>
          <w:color w:val="auto"/>
          <w:sz w:val="24"/>
          <w:szCs w:val="24"/>
          <w:highlight w:val="none"/>
        </w:rPr>
      </w:pPr>
    </w:p>
    <w:p w14:paraId="4A3AFE09">
      <w:pPr>
        <w:spacing w:line="360" w:lineRule="auto"/>
        <w:rPr>
          <w:rFonts w:hint="eastAsia" w:ascii="宋体" w:hAnsi="宋体" w:eastAsia="宋体" w:cs="宋体"/>
          <w:color w:val="auto"/>
          <w:sz w:val="24"/>
          <w:szCs w:val="24"/>
          <w:highlight w:val="none"/>
        </w:rPr>
      </w:pPr>
    </w:p>
    <w:p w14:paraId="2E055005">
      <w:pPr>
        <w:spacing w:line="360" w:lineRule="auto"/>
        <w:rPr>
          <w:rFonts w:hint="eastAsia" w:ascii="宋体" w:hAnsi="宋体" w:eastAsia="宋体" w:cs="宋体"/>
          <w:color w:val="auto"/>
          <w:sz w:val="24"/>
          <w:szCs w:val="24"/>
          <w:highlight w:val="none"/>
        </w:rPr>
      </w:pPr>
    </w:p>
    <w:p w14:paraId="6089F69C">
      <w:pPr>
        <w:spacing w:line="360" w:lineRule="auto"/>
        <w:rPr>
          <w:rFonts w:hint="eastAsia" w:ascii="宋体" w:hAnsi="宋体" w:eastAsia="宋体" w:cs="宋体"/>
          <w:color w:val="auto"/>
          <w:sz w:val="24"/>
          <w:szCs w:val="24"/>
          <w:highlight w:val="none"/>
        </w:rPr>
      </w:pPr>
    </w:p>
    <w:p w14:paraId="255D68B2">
      <w:pPr>
        <w:spacing w:line="360" w:lineRule="auto"/>
        <w:rPr>
          <w:rFonts w:hint="eastAsia" w:ascii="宋体" w:hAnsi="宋体" w:eastAsia="宋体" w:cs="宋体"/>
          <w:color w:val="auto"/>
          <w:sz w:val="24"/>
          <w:szCs w:val="24"/>
          <w:highlight w:val="none"/>
        </w:rPr>
      </w:pPr>
    </w:p>
    <w:p w14:paraId="573339FA">
      <w:pPr>
        <w:spacing w:line="360" w:lineRule="auto"/>
        <w:rPr>
          <w:rFonts w:hint="eastAsia" w:ascii="宋体" w:hAnsi="宋体" w:eastAsia="宋体" w:cs="宋体"/>
          <w:color w:val="auto"/>
          <w:sz w:val="24"/>
          <w:szCs w:val="24"/>
          <w:highlight w:val="none"/>
        </w:rPr>
      </w:pPr>
    </w:p>
    <w:p w14:paraId="487AACD6">
      <w:pPr>
        <w:spacing w:line="360" w:lineRule="auto"/>
        <w:rPr>
          <w:rFonts w:hint="eastAsia" w:ascii="宋体" w:hAnsi="宋体" w:eastAsia="宋体" w:cs="宋体"/>
          <w:color w:val="auto"/>
          <w:sz w:val="24"/>
          <w:szCs w:val="24"/>
          <w:highlight w:val="none"/>
        </w:rPr>
      </w:pPr>
    </w:p>
    <w:p w14:paraId="6B6B5D51">
      <w:pPr>
        <w:spacing w:line="360" w:lineRule="auto"/>
        <w:rPr>
          <w:rFonts w:hint="eastAsia" w:ascii="宋体" w:hAnsi="宋体" w:eastAsia="宋体" w:cs="宋体"/>
          <w:color w:val="auto"/>
          <w:sz w:val="24"/>
          <w:szCs w:val="24"/>
          <w:highlight w:val="none"/>
        </w:rPr>
      </w:pPr>
    </w:p>
    <w:p w14:paraId="7CF87A3C">
      <w:pPr>
        <w:spacing w:line="360" w:lineRule="auto"/>
        <w:rPr>
          <w:rFonts w:hint="eastAsia" w:ascii="宋体" w:hAnsi="宋体" w:eastAsia="宋体" w:cs="宋体"/>
          <w:color w:val="auto"/>
          <w:sz w:val="24"/>
          <w:szCs w:val="24"/>
          <w:highlight w:val="none"/>
        </w:rPr>
      </w:pPr>
    </w:p>
    <w:p w14:paraId="19DD5D1A">
      <w:pPr>
        <w:spacing w:line="360" w:lineRule="auto"/>
        <w:rPr>
          <w:rFonts w:hint="eastAsia" w:ascii="宋体" w:hAnsi="宋体" w:eastAsia="宋体" w:cs="宋体"/>
          <w:color w:val="auto"/>
          <w:sz w:val="24"/>
          <w:szCs w:val="24"/>
          <w:highlight w:val="none"/>
        </w:rPr>
      </w:pPr>
    </w:p>
    <w:p w14:paraId="6EFB0C55">
      <w:pPr>
        <w:spacing w:line="360" w:lineRule="auto"/>
        <w:rPr>
          <w:rFonts w:hint="eastAsia" w:ascii="宋体" w:hAnsi="宋体" w:eastAsia="宋体" w:cs="宋体"/>
          <w:color w:val="auto"/>
          <w:sz w:val="24"/>
          <w:szCs w:val="24"/>
          <w:highlight w:val="none"/>
        </w:rPr>
      </w:pPr>
    </w:p>
    <w:p w14:paraId="1D1B2D13">
      <w:pPr>
        <w:spacing w:line="360" w:lineRule="auto"/>
        <w:rPr>
          <w:rFonts w:hint="eastAsia" w:ascii="宋体" w:hAnsi="宋体" w:eastAsia="宋体" w:cs="宋体"/>
          <w:color w:val="auto"/>
          <w:sz w:val="24"/>
          <w:szCs w:val="24"/>
          <w:highlight w:val="none"/>
        </w:rPr>
      </w:pPr>
    </w:p>
    <w:p w14:paraId="01858345">
      <w:pPr>
        <w:spacing w:line="360" w:lineRule="auto"/>
        <w:rPr>
          <w:rFonts w:hint="eastAsia" w:ascii="宋体" w:hAnsi="宋体" w:eastAsia="宋体" w:cs="宋体"/>
          <w:color w:val="auto"/>
          <w:sz w:val="24"/>
          <w:szCs w:val="24"/>
          <w:highlight w:val="none"/>
        </w:rPr>
      </w:pPr>
    </w:p>
    <w:p w14:paraId="0E196A28">
      <w:pPr>
        <w:spacing w:line="360" w:lineRule="auto"/>
        <w:rPr>
          <w:rFonts w:hint="eastAsia" w:ascii="宋体" w:hAnsi="宋体" w:eastAsia="宋体" w:cs="宋体"/>
          <w:color w:val="auto"/>
          <w:sz w:val="24"/>
          <w:szCs w:val="24"/>
          <w:highlight w:val="none"/>
        </w:rPr>
      </w:pPr>
    </w:p>
    <w:p w14:paraId="71FE959C">
      <w:pPr>
        <w:spacing w:line="360" w:lineRule="auto"/>
        <w:rPr>
          <w:rFonts w:hint="eastAsia" w:ascii="宋体" w:hAnsi="宋体" w:eastAsia="宋体" w:cs="宋体"/>
          <w:color w:val="auto"/>
          <w:sz w:val="24"/>
          <w:szCs w:val="24"/>
          <w:highlight w:val="none"/>
        </w:rPr>
      </w:pPr>
    </w:p>
    <w:p w14:paraId="02734E0D">
      <w:pPr>
        <w:spacing w:line="360" w:lineRule="auto"/>
        <w:rPr>
          <w:rFonts w:hint="eastAsia" w:ascii="宋体" w:hAnsi="宋体" w:eastAsia="宋体" w:cs="宋体"/>
          <w:color w:val="auto"/>
          <w:sz w:val="24"/>
          <w:szCs w:val="24"/>
          <w:highlight w:val="none"/>
        </w:rPr>
      </w:pPr>
    </w:p>
    <w:p w14:paraId="21AD7712">
      <w:pPr>
        <w:spacing w:line="360" w:lineRule="auto"/>
        <w:ind w:firstLine="3520" w:firstLineChars="1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质疑函要求</w:t>
      </w:r>
    </w:p>
    <w:p w14:paraId="45957FAF">
      <w:pPr>
        <w:spacing w:line="360" w:lineRule="auto"/>
        <w:ind w:firstLine="480" w:firstLineChars="200"/>
        <w:rPr>
          <w:rFonts w:hint="eastAsia" w:ascii="宋体" w:hAnsi="宋体" w:eastAsia="宋体" w:cs="宋体"/>
          <w:color w:val="auto"/>
          <w:sz w:val="24"/>
          <w:szCs w:val="24"/>
          <w:highlight w:val="none"/>
        </w:rPr>
      </w:pPr>
    </w:p>
    <w:p w14:paraId="1B021A16">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1FF4A88F">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14:paraId="20F240D2">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14:paraId="10CA1516">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14:paraId="4E2D5D38">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14:paraId="24A77D4E">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14:paraId="62543375">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0E411C15">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164759DF">
      <w:pPr>
        <w:pStyle w:val="12"/>
        <w:spacing w:before="0" w:beforeAutospacing="0" w:after="0" w:afterAutospacing="0" w:line="360" w:lineRule="auto"/>
        <w:rPr>
          <w:rFonts w:hint="eastAsia" w:eastAsia="宋体" w:cs="宋体"/>
          <w:color w:val="auto"/>
          <w:kern w:val="2"/>
          <w:sz w:val="24"/>
          <w:szCs w:val="24"/>
          <w:highlight w:val="none"/>
        </w:rPr>
      </w:pPr>
    </w:p>
    <w:p w14:paraId="574D8566">
      <w:pPr>
        <w:pStyle w:val="12"/>
        <w:spacing w:before="0" w:beforeAutospacing="0" w:after="0" w:afterAutospacing="0" w:line="360" w:lineRule="auto"/>
        <w:rPr>
          <w:rFonts w:hint="eastAsia" w:eastAsia="宋体" w:cs="宋体"/>
          <w:color w:val="auto"/>
          <w:kern w:val="2"/>
          <w:highlight w:val="none"/>
        </w:rPr>
      </w:pPr>
    </w:p>
    <w:p w14:paraId="5C98FAFB">
      <w:pPr>
        <w:pStyle w:val="12"/>
        <w:spacing w:before="0" w:beforeAutospacing="0" w:after="0" w:afterAutospacing="0" w:line="360" w:lineRule="auto"/>
        <w:rPr>
          <w:rFonts w:hint="eastAsia" w:eastAsia="宋体" w:cs="宋体"/>
          <w:color w:val="auto"/>
          <w:kern w:val="2"/>
          <w:highlight w:val="none"/>
        </w:rPr>
      </w:pPr>
    </w:p>
    <w:p w14:paraId="74276108">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09F231C3">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7F5F6218">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68B1C1A1">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16169BB5">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0B845D7C">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04294822">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3DF4D399">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5F2EE9E2">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7D304023">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045E07EF">
      <w:pPr>
        <w:pStyle w:val="12"/>
        <w:spacing w:before="0" w:beforeAutospacing="0" w:after="0" w:afterAutospacing="0" w:line="360" w:lineRule="auto"/>
        <w:ind w:firstLine="5440" w:firstLineChars="1700"/>
        <w:rPr>
          <w:rFonts w:hint="eastAsia" w:eastAsia="宋体" w:cs="宋体"/>
          <w:color w:val="auto"/>
          <w:kern w:val="2"/>
          <w:sz w:val="32"/>
          <w:szCs w:val="32"/>
          <w:highlight w:val="none"/>
        </w:rPr>
      </w:pPr>
    </w:p>
    <w:p w14:paraId="60EADE15">
      <w:pPr>
        <w:pStyle w:val="3"/>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color w:val="auto"/>
          <w:highlight w:val="none"/>
        </w:rPr>
      </w:pPr>
      <w:bookmarkStart w:id="220" w:name="_Toc8352"/>
      <w:bookmarkStart w:id="221" w:name="_Toc139614847"/>
      <w:bookmarkStart w:id="222" w:name="_Toc1048717801"/>
      <w:bookmarkStart w:id="223" w:name="_Toc8335"/>
      <w:r>
        <w:rPr>
          <w:rFonts w:hint="eastAsia"/>
          <w:color w:val="auto"/>
          <w:highlight w:val="none"/>
          <w:lang w:val="en-US" w:eastAsia="zh-CN"/>
        </w:rPr>
        <w:t>附件：福建省</w:t>
      </w:r>
      <w:r>
        <w:rPr>
          <w:rFonts w:hint="eastAsia"/>
          <w:color w:val="auto"/>
          <w:highlight w:val="none"/>
        </w:rPr>
        <w:t>政府采购供应商资格承诺函</w:t>
      </w:r>
      <w:bookmarkEnd w:id="220"/>
      <w:bookmarkEnd w:id="221"/>
      <w:bookmarkEnd w:id="222"/>
      <w:bookmarkEnd w:id="223"/>
    </w:p>
    <w:p w14:paraId="67E0774A">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14:paraId="226DC90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614E5EB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5DE0B47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1B6481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E376642">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ABD08A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2259FF1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5F65C50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具备招标</w:t>
      </w:r>
      <w:r>
        <w:rPr>
          <w:rFonts w:hint="eastAsia" w:ascii="宋体" w:hAnsi="宋体" w:eastAsia="宋体" w:cs="宋体"/>
          <w:color w:val="auto"/>
          <w:sz w:val="24"/>
          <w:szCs w:val="24"/>
          <w:highlight w:val="none"/>
        </w:rPr>
        <w:t>文件要求以及《中华人民共和国政府采购法》第二十二条规定的条件:</w:t>
      </w:r>
    </w:p>
    <w:p w14:paraId="1981529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3AAECD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731BEF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FCEEB6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03C63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1A123FE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6A105B9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6BB04A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0874CFDA">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名称(单位公章):</w:t>
      </w:r>
    </w:p>
    <w:p w14:paraId="7B7751A9">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F461EB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72F48FD6">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1153475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A549A8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14:paraId="7E8CB5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在投标(响应)文件中按此模板提供承诺函，否则，视为</w:t>
      </w:r>
      <w:r>
        <w:rPr>
          <w:rFonts w:hint="eastAsia" w:ascii="宋体" w:hAnsi="宋体" w:eastAsia="宋体" w:cs="宋体"/>
          <w:color w:val="auto"/>
          <w:sz w:val="24"/>
          <w:szCs w:val="24"/>
          <w:highlight w:val="none"/>
          <w:lang w:eastAsia="zh-CN"/>
        </w:rPr>
        <w:t>未按照招标文件规定提交投标人的资格及资信文件，按资格审查不通过处理。</w:t>
      </w:r>
    </w:p>
    <w:p w14:paraId="2F61220B">
      <w:pPr>
        <w:spacing w:line="360" w:lineRule="auto"/>
        <w:ind w:left="-283" w:leftChars="-135" w:firstLine="240" w:firstLineChars="100"/>
        <w:rPr>
          <w:rFonts w:hint="eastAsia" w:ascii="宋体" w:hAnsi="宋体" w:eastAsia="宋体" w:cs="宋体"/>
          <w:color w:val="auto"/>
          <w:sz w:val="24"/>
          <w:szCs w:val="24"/>
          <w:highlight w:val="none"/>
        </w:rPr>
      </w:pPr>
    </w:p>
    <w:p w14:paraId="5AF3B4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8EDACA">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0ECFDC79">
      <w:pPr>
        <w:pStyle w:val="3"/>
        <w:jc w:val="center"/>
        <w:outlineLvl w:val="1"/>
        <w:rPr>
          <w:rFonts w:hint="eastAsia" w:ascii="宋体" w:hAnsi="宋体" w:eastAsia="宋体" w:cs="宋体"/>
          <w:color w:val="auto"/>
          <w:sz w:val="28"/>
          <w:szCs w:val="28"/>
          <w:highlight w:val="none"/>
        </w:rPr>
      </w:pPr>
      <w:bookmarkStart w:id="224" w:name="_Toc480983544"/>
      <w:bookmarkStart w:id="225" w:name="_Toc533519525"/>
      <w:bookmarkStart w:id="226" w:name="_Toc481479999"/>
      <w:bookmarkStart w:id="227" w:name="_Toc23788"/>
      <w:bookmarkStart w:id="228" w:name="_Toc518466688"/>
      <w:bookmarkStart w:id="229" w:name="_Toc25139"/>
      <w:bookmarkStart w:id="230" w:name="_Toc445805337"/>
      <w:bookmarkStart w:id="231" w:name="_Toc515448370"/>
      <w:bookmarkStart w:id="232" w:name="_Toc481048051"/>
      <w:bookmarkStart w:id="233" w:name="_Toc29977"/>
      <w:bookmarkStart w:id="234" w:name="_Toc29742"/>
      <w:bookmarkStart w:id="235" w:name="_Toc1855495656"/>
      <w:bookmarkStart w:id="236" w:name="_Toc482352471"/>
      <w:bookmarkStart w:id="237" w:name="_Toc1704273782"/>
      <w:bookmarkStart w:id="238" w:name="_Toc515448957"/>
      <w:bookmarkStart w:id="239" w:name="_Toc16305"/>
      <w:bookmarkStart w:id="240" w:name="_Toc304239744"/>
      <w:r>
        <w:rPr>
          <w:rFonts w:hint="eastAsia" w:ascii="宋体" w:hAnsi="宋体" w:eastAsia="宋体" w:cs="宋体"/>
          <w:color w:val="auto"/>
          <w:sz w:val="28"/>
          <w:szCs w:val="28"/>
          <w:highlight w:val="none"/>
        </w:rPr>
        <w:t>资格及符合性条款（带*条款）响应表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3B8E364">
      <w:pPr>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名称：</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6489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45935B51">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5812" w:type="dxa"/>
            <w:noWrap w:val="0"/>
            <w:vAlign w:val="center"/>
          </w:tcPr>
          <w:p w14:paraId="1DF7122F">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采购文件要求</w:t>
            </w:r>
          </w:p>
        </w:tc>
        <w:tc>
          <w:tcPr>
            <w:tcW w:w="992" w:type="dxa"/>
            <w:noWrap w:val="0"/>
            <w:vAlign w:val="center"/>
          </w:tcPr>
          <w:p w14:paraId="5BC75166">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报价响应情况</w:t>
            </w:r>
          </w:p>
        </w:tc>
        <w:tc>
          <w:tcPr>
            <w:tcW w:w="850" w:type="dxa"/>
            <w:noWrap w:val="0"/>
            <w:vAlign w:val="center"/>
          </w:tcPr>
          <w:p w14:paraId="5CAF49B2">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偏离说明</w:t>
            </w:r>
          </w:p>
        </w:tc>
        <w:tc>
          <w:tcPr>
            <w:tcW w:w="851" w:type="dxa"/>
            <w:noWrap w:val="0"/>
            <w:vAlign w:val="center"/>
          </w:tcPr>
          <w:p w14:paraId="4C7B42F2">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相关证明资料对应页码</w:t>
            </w:r>
          </w:p>
        </w:tc>
      </w:tr>
      <w:tr w14:paraId="4119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77979D70">
            <w:pPr>
              <w:widowControl/>
              <w:numPr>
                <w:ilvl w:val="0"/>
                <w:numId w:val="3"/>
              </w:numPr>
              <w:ind w:left="197" w:hanging="197"/>
              <w:jc w:val="center"/>
              <w:rPr>
                <w:rFonts w:hint="eastAsia" w:ascii="宋体" w:hAnsi="宋体" w:cs="宋体"/>
                <w:bCs/>
                <w:color w:val="auto"/>
                <w:sz w:val="24"/>
                <w:highlight w:val="none"/>
              </w:rPr>
            </w:pPr>
          </w:p>
        </w:tc>
        <w:tc>
          <w:tcPr>
            <w:tcW w:w="5812" w:type="dxa"/>
            <w:noWrap w:val="0"/>
            <w:vAlign w:val="center"/>
          </w:tcPr>
          <w:p w14:paraId="2761721A">
            <w:pPr>
              <w:spacing w:line="360" w:lineRule="auto"/>
              <w:rPr>
                <w:rFonts w:hint="eastAsia" w:ascii="宋体" w:hAnsi="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tc>
        <w:tc>
          <w:tcPr>
            <w:tcW w:w="992" w:type="dxa"/>
            <w:noWrap w:val="0"/>
            <w:vAlign w:val="center"/>
          </w:tcPr>
          <w:p w14:paraId="57EB5A43">
            <w:pPr>
              <w:widowControl/>
              <w:jc w:val="center"/>
              <w:rPr>
                <w:rFonts w:hint="eastAsia" w:ascii="宋体" w:hAnsi="宋体" w:cs="宋体"/>
                <w:bCs/>
                <w:color w:val="auto"/>
                <w:sz w:val="24"/>
                <w:highlight w:val="none"/>
              </w:rPr>
            </w:pPr>
          </w:p>
        </w:tc>
        <w:tc>
          <w:tcPr>
            <w:tcW w:w="850" w:type="dxa"/>
            <w:noWrap w:val="0"/>
            <w:vAlign w:val="center"/>
          </w:tcPr>
          <w:p w14:paraId="09FFE4B3">
            <w:pPr>
              <w:widowControl/>
              <w:jc w:val="center"/>
              <w:rPr>
                <w:rFonts w:hint="eastAsia" w:ascii="宋体" w:hAnsi="宋体" w:cs="宋体"/>
                <w:bCs/>
                <w:color w:val="auto"/>
                <w:sz w:val="24"/>
                <w:highlight w:val="none"/>
              </w:rPr>
            </w:pPr>
          </w:p>
        </w:tc>
        <w:tc>
          <w:tcPr>
            <w:tcW w:w="851" w:type="dxa"/>
            <w:noWrap w:val="0"/>
            <w:vAlign w:val="center"/>
          </w:tcPr>
          <w:p w14:paraId="7C796AEF">
            <w:pPr>
              <w:widowControl/>
              <w:jc w:val="center"/>
              <w:rPr>
                <w:rFonts w:hint="eastAsia" w:ascii="宋体" w:hAnsi="宋体" w:cs="宋体"/>
                <w:bCs/>
                <w:color w:val="auto"/>
                <w:sz w:val="24"/>
                <w:highlight w:val="none"/>
              </w:rPr>
            </w:pPr>
          </w:p>
        </w:tc>
      </w:tr>
      <w:tr w14:paraId="6DF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0F7DE784">
            <w:pPr>
              <w:widowControl/>
              <w:numPr>
                <w:ilvl w:val="0"/>
                <w:numId w:val="3"/>
              </w:numPr>
              <w:ind w:left="197" w:hanging="197"/>
              <w:jc w:val="center"/>
              <w:rPr>
                <w:rFonts w:hint="eastAsia" w:ascii="宋体" w:hAnsi="宋体" w:cs="宋体"/>
                <w:bCs/>
                <w:color w:val="auto"/>
                <w:sz w:val="24"/>
                <w:highlight w:val="none"/>
              </w:rPr>
            </w:pPr>
          </w:p>
        </w:tc>
        <w:tc>
          <w:tcPr>
            <w:tcW w:w="5812" w:type="dxa"/>
            <w:noWrap w:val="0"/>
            <w:vAlign w:val="top"/>
          </w:tcPr>
          <w:p w14:paraId="61E1A51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6.2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tc>
        <w:tc>
          <w:tcPr>
            <w:tcW w:w="992" w:type="dxa"/>
            <w:noWrap w:val="0"/>
            <w:vAlign w:val="center"/>
          </w:tcPr>
          <w:p w14:paraId="4E61A2B1">
            <w:pPr>
              <w:widowControl/>
              <w:jc w:val="center"/>
              <w:rPr>
                <w:rFonts w:hint="eastAsia" w:ascii="宋体" w:hAnsi="宋体" w:cs="宋体"/>
                <w:bCs/>
                <w:color w:val="auto"/>
                <w:sz w:val="24"/>
                <w:highlight w:val="none"/>
              </w:rPr>
            </w:pPr>
          </w:p>
        </w:tc>
        <w:tc>
          <w:tcPr>
            <w:tcW w:w="850" w:type="dxa"/>
            <w:noWrap w:val="0"/>
            <w:vAlign w:val="center"/>
          </w:tcPr>
          <w:p w14:paraId="55DFE193">
            <w:pPr>
              <w:widowControl/>
              <w:jc w:val="center"/>
              <w:rPr>
                <w:rFonts w:hint="eastAsia" w:ascii="宋体" w:hAnsi="宋体" w:cs="宋体"/>
                <w:bCs/>
                <w:color w:val="auto"/>
                <w:sz w:val="24"/>
                <w:highlight w:val="none"/>
              </w:rPr>
            </w:pPr>
          </w:p>
        </w:tc>
        <w:tc>
          <w:tcPr>
            <w:tcW w:w="851" w:type="dxa"/>
            <w:noWrap w:val="0"/>
            <w:vAlign w:val="center"/>
          </w:tcPr>
          <w:p w14:paraId="6A61607D">
            <w:pPr>
              <w:widowControl/>
              <w:jc w:val="center"/>
              <w:rPr>
                <w:rFonts w:hint="eastAsia" w:ascii="宋体" w:hAnsi="宋体" w:cs="宋体"/>
                <w:bCs/>
                <w:color w:val="auto"/>
                <w:sz w:val="24"/>
                <w:highlight w:val="none"/>
              </w:rPr>
            </w:pPr>
          </w:p>
        </w:tc>
      </w:tr>
      <w:tr w14:paraId="6185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700A2DCC">
            <w:pPr>
              <w:widowControl/>
              <w:numPr>
                <w:ilvl w:val="0"/>
                <w:numId w:val="3"/>
              </w:numPr>
              <w:ind w:left="197" w:hanging="197"/>
              <w:jc w:val="center"/>
              <w:rPr>
                <w:rFonts w:hint="eastAsia" w:ascii="宋体" w:hAnsi="宋体" w:cs="宋体"/>
                <w:bCs/>
                <w:color w:val="auto"/>
                <w:sz w:val="24"/>
                <w:highlight w:val="none"/>
              </w:rPr>
            </w:pPr>
          </w:p>
        </w:tc>
        <w:tc>
          <w:tcPr>
            <w:tcW w:w="5812" w:type="dxa"/>
            <w:noWrap w:val="0"/>
            <w:vAlign w:val="top"/>
          </w:tcPr>
          <w:p w14:paraId="54FF0996">
            <w:pPr>
              <w:spacing w:line="360" w:lineRule="auto"/>
              <w:rPr>
                <w:rFonts w:hint="eastAsia" w:ascii="宋体" w:hAnsi="宋体" w:cs="宋体"/>
                <w:b/>
                <w:bCs/>
                <w:color w:val="auto"/>
                <w:sz w:val="24"/>
                <w:szCs w:val="24"/>
                <w:highlight w:val="none"/>
              </w:rPr>
            </w:pPr>
            <w:r>
              <w:rPr>
                <w:rFonts w:hint="eastAsia" w:ascii="宋体" w:hAnsi="宋体" w:eastAsia="宋体" w:cs="宋体"/>
                <w:b/>
                <w:color w:val="auto"/>
                <w:sz w:val="24"/>
                <w:szCs w:val="24"/>
                <w:highlight w:val="none"/>
                <w:lang w:val="en-US" w:eastAsia="zh-CN"/>
              </w:rPr>
              <w:t>*4.1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eastAsia="宋体" w:cs="宋体"/>
                <w:b/>
                <w:color w:val="auto"/>
                <w:sz w:val="24"/>
                <w:szCs w:val="24"/>
                <w:highlight w:val="none"/>
                <w:lang w:val="en-US" w:eastAsia="zh-CN"/>
              </w:rPr>
              <w:t>25.5</w:t>
            </w:r>
            <w:r>
              <w:rPr>
                <w:rFonts w:hint="eastAsia" w:ascii="宋体" w:hAnsi="宋体" w:eastAsia="宋体" w:cs="宋体"/>
                <w:b/>
                <w:color w:val="auto"/>
                <w:sz w:val="24"/>
                <w:szCs w:val="24"/>
                <w:highlight w:val="none"/>
                <w:lang w:eastAsia="zh-CN"/>
              </w:rPr>
              <w:t>万元，采购预算为总报价的最高限价，总报价超过采购预算的属无效报价。</w:t>
            </w:r>
          </w:p>
        </w:tc>
        <w:tc>
          <w:tcPr>
            <w:tcW w:w="992" w:type="dxa"/>
            <w:noWrap w:val="0"/>
            <w:vAlign w:val="center"/>
          </w:tcPr>
          <w:p w14:paraId="52FC2997">
            <w:pPr>
              <w:widowControl/>
              <w:jc w:val="center"/>
              <w:rPr>
                <w:rFonts w:hint="eastAsia" w:ascii="宋体" w:hAnsi="宋体" w:cs="宋体"/>
                <w:bCs/>
                <w:color w:val="auto"/>
                <w:sz w:val="24"/>
                <w:highlight w:val="none"/>
              </w:rPr>
            </w:pPr>
          </w:p>
        </w:tc>
        <w:tc>
          <w:tcPr>
            <w:tcW w:w="850" w:type="dxa"/>
            <w:noWrap w:val="0"/>
            <w:vAlign w:val="center"/>
          </w:tcPr>
          <w:p w14:paraId="5CCDBC84">
            <w:pPr>
              <w:widowControl/>
              <w:jc w:val="center"/>
              <w:rPr>
                <w:rFonts w:hint="eastAsia" w:ascii="宋体" w:hAnsi="宋体" w:cs="宋体"/>
                <w:bCs/>
                <w:color w:val="auto"/>
                <w:sz w:val="24"/>
                <w:highlight w:val="none"/>
              </w:rPr>
            </w:pPr>
          </w:p>
        </w:tc>
        <w:tc>
          <w:tcPr>
            <w:tcW w:w="851" w:type="dxa"/>
            <w:noWrap w:val="0"/>
            <w:vAlign w:val="center"/>
          </w:tcPr>
          <w:p w14:paraId="395302FA">
            <w:pPr>
              <w:widowControl/>
              <w:jc w:val="center"/>
              <w:rPr>
                <w:rFonts w:hint="eastAsia" w:ascii="宋体" w:hAnsi="宋体" w:cs="宋体"/>
                <w:bCs/>
                <w:color w:val="auto"/>
                <w:sz w:val="24"/>
                <w:highlight w:val="none"/>
              </w:rPr>
            </w:pPr>
          </w:p>
        </w:tc>
      </w:tr>
    </w:tbl>
    <w:p w14:paraId="6233D828">
      <w:pPr>
        <w:rPr>
          <w:rFonts w:hint="eastAsia" w:ascii="宋体" w:hAnsi="宋体" w:cs="宋体"/>
          <w:color w:val="auto"/>
          <w:sz w:val="24"/>
          <w:highlight w:val="none"/>
        </w:rPr>
      </w:pPr>
      <w:r>
        <w:rPr>
          <w:rFonts w:hint="eastAsia" w:ascii="宋体" w:hAnsi="宋体" w:cs="宋体"/>
          <w:color w:val="auto"/>
          <w:sz w:val="24"/>
          <w:highlight w:val="none"/>
        </w:rPr>
        <w:t>注：表格中所列带*条款若与</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文件其他部分所列不一致，以</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文件其他部分所列为准，请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自行修改补充</w:t>
      </w:r>
    </w:p>
    <w:p w14:paraId="611882A5">
      <w:pPr>
        <w:pStyle w:val="3"/>
        <w:jc w:val="center"/>
        <w:outlineLvl w:val="1"/>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br w:type="page"/>
      </w:r>
      <w:bookmarkStart w:id="241" w:name="_Toc23010"/>
      <w:bookmarkStart w:id="242" w:name="_Toc20533"/>
      <w:bookmarkStart w:id="243" w:name="_Toc518466689"/>
      <w:bookmarkStart w:id="244" w:name="_Toc24294"/>
      <w:bookmarkStart w:id="245" w:name="_Toc468780747"/>
      <w:bookmarkStart w:id="246" w:name="_Toc515448958"/>
      <w:bookmarkStart w:id="247" w:name="_Toc11279"/>
      <w:bookmarkStart w:id="248" w:name="_Toc480983545"/>
      <w:bookmarkStart w:id="249" w:name="_Toc515448371"/>
      <w:bookmarkStart w:id="250" w:name="_Toc481048052"/>
      <w:bookmarkStart w:id="251" w:name="_Toc1112443272"/>
      <w:bookmarkStart w:id="252" w:name="_Toc451186434"/>
      <w:bookmarkStart w:id="253" w:name="_Toc533519526"/>
      <w:bookmarkStart w:id="254" w:name="_Toc482352472"/>
      <w:bookmarkStart w:id="255" w:name="_Toc481480000"/>
      <w:r>
        <w:rPr>
          <w:rFonts w:hint="eastAsia" w:ascii="宋体" w:hAnsi="宋体" w:eastAsia="宋体" w:cs="宋体"/>
          <w:color w:val="auto"/>
          <w:sz w:val="28"/>
          <w:szCs w:val="28"/>
          <w:highlight w:val="none"/>
        </w:rPr>
        <w:t>技术评分条款响应表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C33E231">
      <w:pPr>
        <w:rPr>
          <w:rFonts w:hint="eastAsia" w:ascii="宋体" w:hAnsi="宋体" w:cs="宋体"/>
          <w:color w:val="auto"/>
          <w:sz w:val="24"/>
          <w:highlight w:val="none"/>
        </w:rPr>
      </w:pP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名称</w:t>
      </w:r>
      <w:r>
        <w:rPr>
          <w:rFonts w:hint="eastAsia" w:ascii="宋体" w:hAnsi="宋体" w:cs="宋体"/>
          <w:color w:val="auto"/>
          <w:sz w:val="24"/>
          <w:highlight w:val="none"/>
        </w:rPr>
        <w:t>（加盖公章）：</w:t>
      </w:r>
    </w:p>
    <w:tbl>
      <w:tblPr>
        <w:tblStyle w:val="13"/>
        <w:tblW w:w="9854"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188"/>
        <w:gridCol w:w="1043"/>
        <w:gridCol w:w="1822"/>
      </w:tblGrid>
      <w:tr w14:paraId="434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trPr>
        <w:tc>
          <w:tcPr>
            <w:tcW w:w="801" w:type="dxa"/>
            <w:noWrap w:val="0"/>
            <w:vAlign w:val="center"/>
          </w:tcPr>
          <w:p w14:paraId="173FCE8B">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188" w:type="dxa"/>
            <w:noWrap w:val="0"/>
            <w:vAlign w:val="center"/>
          </w:tcPr>
          <w:p w14:paraId="7FA81E33">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043" w:type="dxa"/>
            <w:noWrap w:val="0"/>
            <w:vAlign w:val="center"/>
          </w:tcPr>
          <w:p w14:paraId="66F8C8F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822" w:type="dxa"/>
            <w:noWrap w:val="0"/>
            <w:vAlign w:val="center"/>
          </w:tcPr>
          <w:p w14:paraId="5A910EEA">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4FB2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01" w:type="dxa"/>
            <w:noWrap w:val="0"/>
            <w:vAlign w:val="center"/>
          </w:tcPr>
          <w:p w14:paraId="41019144">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2632FE1C">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根据各</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提供的采购文件中对第三章磋商内容及要求“二、技术要求”中“▲”标示的内容（共1</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项）作出明确的逐项响应承诺,在《技术规格和商务偏离表》中列明是否偏离，并对其真实性负责，完全满足采购文件要求的得</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分；采购要求每存在一项负偏离（或未响应）扣3分，直至扣完为止。</w:t>
            </w:r>
          </w:p>
        </w:tc>
        <w:tc>
          <w:tcPr>
            <w:tcW w:w="1043" w:type="dxa"/>
            <w:noWrap w:val="0"/>
            <w:vAlign w:val="center"/>
          </w:tcPr>
          <w:p w14:paraId="3B53E46F">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822" w:type="dxa"/>
            <w:noWrap w:val="0"/>
            <w:vAlign w:val="center"/>
          </w:tcPr>
          <w:p w14:paraId="44FDC97C">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0EF2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6618B978">
            <w:pPr>
              <w:widowControl/>
              <w:numPr>
                <w:ilvl w:val="0"/>
                <w:numId w:val="4"/>
              </w:numPr>
              <w:jc w:val="center"/>
              <w:rPr>
                <w:rFonts w:hint="eastAsia" w:ascii="宋体" w:hAnsi="宋体" w:cs="宋体"/>
                <w:color w:val="auto"/>
                <w:sz w:val="24"/>
                <w:highlight w:val="none"/>
              </w:rPr>
            </w:pPr>
          </w:p>
        </w:tc>
        <w:tc>
          <w:tcPr>
            <w:tcW w:w="6188" w:type="dxa"/>
            <w:noWrap w:val="0"/>
            <w:vAlign w:val="center"/>
          </w:tcPr>
          <w:p w14:paraId="11172ACE">
            <w:pPr>
              <w:spacing w:line="360" w:lineRule="auto"/>
              <w:rPr>
                <w:rFonts w:hint="eastAsia" w:ascii="宋体" w:hAnsi="宋体" w:cs="宋体"/>
                <w:color w:val="auto"/>
                <w:sz w:val="24"/>
                <w:highlight w:val="none"/>
              </w:rPr>
            </w:pPr>
            <w:r>
              <w:rPr>
                <w:rFonts w:hint="eastAsia" w:ascii="宋体" w:hAnsi="宋体" w:eastAsia="宋体" w:cs="宋体"/>
                <w:b w:val="0"/>
                <w:bCs/>
                <w:color w:val="auto"/>
                <w:sz w:val="24"/>
                <w:szCs w:val="24"/>
                <w:highlight w:val="none"/>
              </w:rPr>
              <w:t>根据</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b w:val="0"/>
                <w:bCs/>
                <w:color w:val="auto"/>
                <w:sz w:val="24"/>
                <w:szCs w:val="24"/>
                <w:highlight w:val="none"/>
              </w:rPr>
              <w:t>对本项目需求分析情况进行评价：①</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b w:val="0"/>
                <w:bCs/>
                <w:color w:val="auto"/>
                <w:sz w:val="24"/>
                <w:szCs w:val="24"/>
                <w:highlight w:val="none"/>
              </w:rPr>
              <w:t>有针对本项目提供需求分析情况的得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分；②在满足①基础上，分析内容包含本项目各个岗位工作内容、对项目总体定位、工作目标及涉及的各项内容等分析详细具体、调研充分，有达到预期服务目标的保障措施的</w:t>
            </w:r>
            <w:r>
              <w:rPr>
                <w:rFonts w:hint="eastAsia" w:ascii="宋体" w:hAnsi="宋体" w:eastAsia="宋体" w:cs="宋体"/>
                <w:b w:val="0"/>
                <w:bCs/>
                <w:color w:val="auto"/>
                <w:sz w:val="24"/>
                <w:szCs w:val="24"/>
                <w:highlight w:val="none"/>
                <w:lang w:val="en-US" w:eastAsia="zh-CN"/>
              </w:rPr>
              <w:t>得3</w:t>
            </w:r>
            <w:r>
              <w:rPr>
                <w:rFonts w:hint="eastAsia" w:ascii="宋体" w:hAnsi="宋体" w:eastAsia="宋体" w:cs="宋体"/>
                <w:b w:val="0"/>
                <w:bCs/>
                <w:color w:val="auto"/>
                <w:sz w:val="24"/>
                <w:szCs w:val="24"/>
                <w:highlight w:val="none"/>
              </w:rPr>
              <w:t>分；③未提供或不符合上述情况的不得分。</w:t>
            </w:r>
          </w:p>
        </w:tc>
        <w:tc>
          <w:tcPr>
            <w:tcW w:w="1043" w:type="dxa"/>
            <w:noWrap w:val="0"/>
            <w:vAlign w:val="center"/>
          </w:tcPr>
          <w:p w14:paraId="35DBA450">
            <w:pPr>
              <w:widowControl/>
              <w:jc w:val="left"/>
              <w:rPr>
                <w:rFonts w:hint="eastAsia" w:ascii="宋体" w:hAnsi="宋体" w:cs="宋体"/>
                <w:color w:val="auto"/>
                <w:sz w:val="24"/>
                <w:highlight w:val="none"/>
              </w:rPr>
            </w:pPr>
          </w:p>
        </w:tc>
        <w:tc>
          <w:tcPr>
            <w:tcW w:w="1822" w:type="dxa"/>
            <w:noWrap w:val="0"/>
            <w:vAlign w:val="center"/>
          </w:tcPr>
          <w:p w14:paraId="7C4F81BC">
            <w:pPr>
              <w:widowControl/>
              <w:jc w:val="left"/>
              <w:rPr>
                <w:rFonts w:hint="eastAsia" w:ascii="宋体" w:hAnsi="宋体" w:cs="宋体"/>
                <w:color w:val="auto"/>
                <w:sz w:val="24"/>
                <w:highlight w:val="none"/>
              </w:rPr>
            </w:pPr>
          </w:p>
        </w:tc>
      </w:tr>
      <w:tr w14:paraId="3584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4F897BB4">
            <w:pPr>
              <w:widowControl/>
              <w:numPr>
                <w:ilvl w:val="0"/>
                <w:numId w:val="4"/>
              </w:numPr>
              <w:jc w:val="center"/>
              <w:rPr>
                <w:rFonts w:hint="eastAsia" w:ascii="宋体" w:hAnsi="宋体" w:cs="宋体"/>
                <w:color w:val="auto"/>
                <w:sz w:val="24"/>
                <w:highlight w:val="none"/>
              </w:rPr>
            </w:pPr>
          </w:p>
        </w:tc>
        <w:tc>
          <w:tcPr>
            <w:tcW w:w="6188" w:type="dxa"/>
            <w:noWrap w:val="0"/>
            <w:vAlign w:val="center"/>
          </w:tcPr>
          <w:p w14:paraId="0351DB82">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对大会工作流程及大会场馆的熟悉程度进行评价: ①对流程了解全面、条理清晰、重点突出的得3分；②对流程了解有缺漏的得1分；③未提供相关说明不得分。</w:t>
            </w:r>
          </w:p>
        </w:tc>
        <w:tc>
          <w:tcPr>
            <w:tcW w:w="1043" w:type="dxa"/>
            <w:noWrap w:val="0"/>
            <w:vAlign w:val="center"/>
          </w:tcPr>
          <w:p w14:paraId="69CD9AAC">
            <w:pPr>
              <w:widowControl/>
              <w:jc w:val="left"/>
              <w:rPr>
                <w:rFonts w:hint="eastAsia" w:ascii="宋体" w:hAnsi="宋体" w:cs="宋体"/>
                <w:color w:val="auto"/>
                <w:sz w:val="24"/>
                <w:highlight w:val="none"/>
              </w:rPr>
            </w:pPr>
          </w:p>
        </w:tc>
        <w:tc>
          <w:tcPr>
            <w:tcW w:w="1822" w:type="dxa"/>
            <w:noWrap w:val="0"/>
            <w:vAlign w:val="center"/>
          </w:tcPr>
          <w:p w14:paraId="34D1F0C0">
            <w:pPr>
              <w:widowControl/>
              <w:jc w:val="left"/>
              <w:rPr>
                <w:rFonts w:hint="eastAsia" w:ascii="宋体" w:hAnsi="宋体" w:cs="宋体"/>
                <w:color w:val="auto"/>
                <w:sz w:val="24"/>
                <w:highlight w:val="none"/>
              </w:rPr>
            </w:pPr>
          </w:p>
        </w:tc>
      </w:tr>
      <w:tr w14:paraId="02FC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59562FA4">
            <w:pPr>
              <w:widowControl/>
              <w:numPr>
                <w:ilvl w:val="0"/>
                <w:numId w:val="4"/>
              </w:numPr>
              <w:jc w:val="center"/>
              <w:rPr>
                <w:rFonts w:hint="eastAsia" w:ascii="宋体" w:hAnsi="宋体" w:cs="宋体"/>
                <w:color w:val="auto"/>
                <w:sz w:val="24"/>
                <w:highlight w:val="none"/>
              </w:rPr>
            </w:pPr>
          </w:p>
        </w:tc>
        <w:tc>
          <w:tcPr>
            <w:tcW w:w="6188" w:type="dxa"/>
            <w:noWrap w:val="0"/>
            <w:vAlign w:val="center"/>
          </w:tcPr>
          <w:p w14:paraId="4719DE7A">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针对本项目配备的管理服务团队（包括但不限于人员配备表、岗位工作职责等内容） 进行评价：每提供一项详细内容的得1.5分，满分3分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未提供的不得分。</w:t>
            </w:r>
          </w:p>
        </w:tc>
        <w:tc>
          <w:tcPr>
            <w:tcW w:w="1043" w:type="dxa"/>
            <w:noWrap w:val="0"/>
            <w:vAlign w:val="center"/>
          </w:tcPr>
          <w:p w14:paraId="37A60BFD">
            <w:pPr>
              <w:widowControl/>
              <w:jc w:val="left"/>
              <w:rPr>
                <w:rFonts w:hint="eastAsia" w:ascii="宋体" w:hAnsi="宋体" w:cs="宋体"/>
                <w:color w:val="auto"/>
                <w:sz w:val="24"/>
                <w:highlight w:val="none"/>
              </w:rPr>
            </w:pPr>
          </w:p>
        </w:tc>
        <w:tc>
          <w:tcPr>
            <w:tcW w:w="1822" w:type="dxa"/>
            <w:noWrap w:val="0"/>
            <w:vAlign w:val="center"/>
          </w:tcPr>
          <w:p w14:paraId="2E60E095">
            <w:pPr>
              <w:widowControl/>
              <w:jc w:val="left"/>
              <w:rPr>
                <w:rFonts w:hint="eastAsia" w:ascii="宋体" w:hAnsi="宋体" w:cs="宋体"/>
                <w:color w:val="auto"/>
                <w:sz w:val="24"/>
                <w:highlight w:val="none"/>
              </w:rPr>
            </w:pPr>
          </w:p>
        </w:tc>
      </w:tr>
      <w:tr w14:paraId="6AF6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4245E8F1">
            <w:pPr>
              <w:widowControl/>
              <w:numPr>
                <w:ilvl w:val="0"/>
                <w:numId w:val="4"/>
              </w:numPr>
              <w:jc w:val="center"/>
              <w:rPr>
                <w:rFonts w:hint="eastAsia" w:ascii="宋体" w:hAnsi="宋体" w:cs="宋体"/>
                <w:color w:val="auto"/>
                <w:sz w:val="24"/>
                <w:highlight w:val="none"/>
              </w:rPr>
            </w:pPr>
          </w:p>
        </w:tc>
        <w:tc>
          <w:tcPr>
            <w:tcW w:w="6188" w:type="dxa"/>
            <w:noWrap w:val="0"/>
            <w:vAlign w:val="center"/>
          </w:tcPr>
          <w:p w14:paraId="1F2A2AB2">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承诺：“在合同履约期限内派专人对服务人员进行现场管理，并对现场的一切事务承担监管责任，且做好安全及其它相关防护措施，在服务过程中服务人员发生的任何事故，均由</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承担，对</w:t>
            </w:r>
            <w:r>
              <w:rPr>
                <w:rFonts w:hint="eastAsia" w:ascii="宋体" w:hAnsi="宋体" w:cs="宋体"/>
                <w:color w:val="auto"/>
                <w:kern w:val="0"/>
                <w:sz w:val="24"/>
                <w:szCs w:val="24"/>
                <w:highlight w:val="none"/>
                <w:lang w:val="en-US" w:eastAsia="zh-CN" w:bidi="ar"/>
              </w:rPr>
              <w:t>招标</w:t>
            </w:r>
            <w:r>
              <w:rPr>
                <w:rFonts w:hint="eastAsia" w:ascii="宋体" w:hAnsi="宋体" w:cs="宋体"/>
                <w:color w:val="auto"/>
                <w:kern w:val="0"/>
                <w:sz w:val="24"/>
                <w:szCs w:val="24"/>
                <w:highlight w:val="none"/>
                <w:lang w:bidi="ar"/>
              </w:rPr>
              <w:t>人及第三方造成损害的，</w:t>
            </w:r>
            <w:r>
              <w:rPr>
                <w:rFonts w:hint="eastAsia" w:ascii="宋体" w:hAnsi="宋体" w:cs="宋体"/>
                <w:color w:val="auto"/>
                <w:kern w:val="0"/>
                <w:sz w:val="24"/>
                <w:szCs w:val="24"/>
                <w:highlight w:val="none"/>
                <w:lang w:val="en-US" w:eastAsia="zh-CN" w:bidi="ar"/>
              </w:rPr>
              <w:t>投标人</w:t>
            </w:r>
            <w:r>
              <w:rPr>
                <w:rFonts w:hint="eastAsia" w:ascii="宋体" w:hAnsi="宋体" w:cs="宋体"/>
                <w:color w:val="auto"/>
                <w:kern w:val="0"/>
                <w:sz w:val="24"/>
                <w:szCs w:val="24"/>
                <w:highlight w:val="none"/>
                <w:lang w:bidi="ar"/>
              </w:rPr>
              <w:t>负责赔偿。”，提供满足上述要求的承诺的得3分。 注：投标人须提供书面承诺（格式自拟）并加盖投标人公章，未提供或不符合上述要求的不得分。</w:t>
            </w:r>
          </w:p>
        </w:tc>
        <w:tc>
          <w:tcPr>
            <w:tcW w:w="1043" w:type="dxa"/>
            <w:noWrap w:val="0"/>
            <w:vAlign w:val="center"/>
          </w:tcPr>
          <w:p w14:paraId="1D6D57F3">
            <w:pPr>
              <w:widowControl/>
              <w:jc w:val="left"/>
              <w:rPr>
                <w:rFonts w:hint="eastAsia" w:ascii="宋体" w:hAnsi="宋体" w:cs="宋体"/>
                <w:color w:val="auto"/>
                <w:sz w:val="24"/>
                <w:highlight w:val="none"/>
              </w:rPr>
            </w:pPr>
          </w:p>
        </w:tc>
        <w:tc>
          <w:tcPr>
            <w:tcW w:w="1822" w:type="dxa"/>
            <w:noWrap w:val="0"/>
            <w:vAlign w:val="center"/>
          </w:tcPr>
          <w:p w14:paraId="273B38C4">
            <w:pPr>
              <w:widowControl/>
              <w:jc w:val="left"/>
              <w:rPr>
                <w:rFonts w:hint="eastAsia" w:ascii="宋体" w:hAnsi="宋体" w:cs="宋体"/>
                <w:color w:val="auto"/>
                <w:sz w:val="24"/>
                <w:highlight w:val="none"/>
              </w:rPr>
            </w:pPr>
          </w:p>
        </w:tc>
      </w:tr>
      <w:tr w14:paraId="6E13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74828289">
            <w:pPr>
              <w:widowControl/>
              <w:numPr>
                <w:ilvl w:val="0"/>
                <w:numId w:val="4"/>
              </w:numPr>
              <w:jc w:val="center"/>
              <w:rPr>
                <w:rFonts w:hint="eastAsia" w:ascii="宋体" w:hAnsi="宋体" w:cs="宋体"/>
                <w:color w:val="auto"/>
                <w:sz w:val="24"/>
                <w:highlight w:val="none"/>
              </w:rPr>
            </w:pPr>
          </w:p>
        </w:tc>
        <w:tc>
          <w:tcPr>
            <w:tcW w:w="6188" w:type="dxa"/>
            <w:noWrap w:val="0"/>
            <w:vAlign w:val="center"/>
          </w:tcPr>
          <w:p w14:paraId="656768A9">
            <w:pPr>
              <w:spacing w:line="360" w:lineRule="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承诺：</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提供周到的礼仪接待，岗位内容明确具体，无疏漏，以确保高质量的会务保障</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 注：</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1043" w:type="dxa"/>
            <w:noWrap w:val="0"/>
            <w:vAlign w:val="center"/>
          </w:tcPr>
          <w:p w14:paraId="70674BD6">
            <w:pPr>
              <w:widowControl/>
              <w:jc w:val="left"/>
              <w:rPr>
                <w:rFonts w:hint="eastAsia" w:ascii="宋体" w:hAnsi="宋体" w:cs="宋体"/>
                <w:color w:val="auto"/>
                <w:sz w:val="24"/>
                <w:highlight w:val="none"/>
              </w:rPr>
            </w:pPr>
          </w:p>
        </w:tc>
        <w:tc>
          <w:tcPr>
            <w:tcW w:w="1822" w:type="dxa"/>
            <w:noWrap w:val="0"/>
            <w:vAlign w:val="center"/>
          </w:tcPr>
          <w:p w14:paraId="693F8AC8">
            <w:pPr>
              <w:widowControl/>
              <w:jc w:val="left"/>
              <w:rPr>
                <w:rFonts w:hint="eastAsia" w:ascii="宋体" w:hAnsi="宋体" w:cs="宋体"/>
                <w:color w:val="auto"/>
                <w:sz w:val="24"/>
                <w:highlight w:val="none"/>
              </w:rPr>
            </w:pPr>
          </w:p>
        </w:tc>
      </w:tr>
      <w:tr w14:paraId="7C8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65134C11">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745241B8">
            <w:pPr>
              <w:pStyle w:val="12"/>
              <w:widowControl/>
              <w:spacing w:line="360" w:lineRule="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
              </w:rPr>
              <w:t>根据投标人提供的整体执行计划方案（包括大会①会前的执行进度安排；②会中的执行进度安排；③后期的收尾保障安排）进行评价：每提供一个详细内容的得1分，满分3分，未提供的不得分。</w:t>
            </w:r>
          </w:p>
        </w:tc>
        <w:tc>
          <w:tcPr>
            <w:tcW w:w="1043" w:type="dxa"/>
            <w:noWrap w:val="0"/>
            <w:vAlign w:val="center"/>
          </w:tcPr>
          <w:p w14:paraId="71405FC3">
            <w:pPr>
              <w:widowControl/>
              <w:jc w:val="left"/>
              <w:rPr>
                <w:rFonts w:hint="eastAsia" w:ascii="宋体" w:hAnsi="宋体" w:cs="宋体"/>
                <w:color w:val="auto"/>
                <w:sz w:val="24"/>
                <w:highlight w:val="none"/>
              </w:rPr>
            </w:pPr>
          </w:p>
        </w:tc>
        <w:tc>
          <w:tcPr>
            <w:tcW w:w="1822" w:type="dxa"/>
            <w:noWrap w:val="0"/>
            <w:vAlign w:val="center"/>
          </w:tcPr>
          <w:p w14:paraId="56636789">
            <w:pPr>
              <w:widowControl/>
              <w:jc w:val="left"/>
              <w:rPr>
                <w:rFonts w:hint="eastAsia" w:ascii="宋体" w:hAnsi="宋体" w:cs="宋体"/>
                <w:color w:val="auto"/>
                <w:sz w:val="24"/>
                <w:highlight w:val="none"/>
              </w:rPr>
            </w:pPr>
          </w:p>
        </w:tc>
      </w:tr>
      <w:tr w14:paraId="151D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00E9A6F0">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53891519">
            <w:pPr>
              <w:pStyle w:val="19"/>
              <w:spacing w:line="360" w:lineRule="auto"/>
              <w:rPr>
                <w:rFonts w:hint="eastAsia" w:ascii="宋体" w:hAnsi="宋体" w:cs="宋体"/>
                <w:color w:val="auto"/>
                <w:sz w:val="24"/>
                <w:highlight w:val="none"/>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针对本项目提供的服务人员稳定性的保障措施方案进行评价:①对项目理解准确、依据适用完整、表述条理清晰且有逻辑的得3分；②对项目理解准确、表述条理清晰，但依据适用不够完整或表述缺乏逻辑的得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分；③对项目理解方案阐述简短或方案可操作性一般的得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分；④对项目理解方案不合理或提供方案与本项目无关的或未提供的均不得分。</w:t>
            </w:r>
          </w:p>
        </w:tc>
        <w:tc>
          <w:tcPr>
            <w:tcW w:w="1043" w:type="dxa"/>
            <w:noWrap w:val="0"/>
            <w:vAlign w:val="center"/>
          </w:tcPr>
          <w:p w14:paraId="2201A1C1">
            <w:pPr>
              <w:widowControl/>
              <w:jc w:val="left"/>
              <w:rPr>
                <w:rFonts w:hint="eastAsia" w:ascii="宋体" w:hAnsi="宋体" w:cs="宋体"/>
                <w:color w:val="auto"/>
                <w:sz w:val="24"/>
                <w:highlight w:val="none"/>
              </w:rPr>
            </w:pPr>
          </w:p>
        </w:tc>
        <w:tc>
          <w:tcPr>
            <w:tcW w:w="1822" w:type="dxa"/>
            <w:noWrap w:val="0"/>
            <w:vAlign w:val="center"/>
          </w:tcPr>
          <w:p w14:paraId="2D7E25DD">
            <w:pPr>
              <w:widowControl/>
              <w:jc w:val="left"/>
              <w:rPr>
                <w:rFonts w:hint="eastAsia" w:ascii="宋体" w:hAnsi="宋体" w:cs="宋体"/>
                <w:color w:val="auto"/>
                <w:sz w:val="24"/>
                <w:highlight w:val="none"/>
              </w:rPr>
            </w:pPr>
          </w:p>
        </w:tc>
      </w:tr>
      <w:tr w14:paraId="00D7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1B22A052">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6E637CEF">
            <w:pPr>
              <w:pStyle w:val="19"/>
              <w:spacing w:line="360" w:lineRule="auto"/>
              <w:jc w:val="both"/>
              <w:rPr>
                <w:rFonts w:hint="eastAsia" w:ascii="宋体" w:hAnsi="宋体" w:cs="宋体"/>
                <w:color w:val="auto"/>
                <w:sz w:val="24"/>
                <w:highlight w:val="none"/>
              </w:rPr>
            </w:pPr>
            <w:r>
              <w:rPr>
                <w:rFonts w:hint="eastAsia" w:ascii="宋体" w:hAnsi="宋体" w:eastAsia="宋体" w:cs="宋体"/>
                <w:color w:val="auto"/>
                <w:sz w:val="24"/>
                <w:szCs w:val="24"/>
                <w:highlight w:val="none"/>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rPr>
              <w:t>的服务风险防控措施进行评价：①对服务过程中各节点可能出现的风险有事先预估评判，并制定相应的服务风险防控措施，有相应的人力、物力投入安排，能够避免风险或出现风险能及时有效处理的，得</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分；②有提出服务过程中可能出现的风险，但制定的服务风险防控措施较为简单，得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分；③未提供措施或者措施不可行或不符合项目需求的不得分。</w:t>
            </w:r>
          </w:p>
        </w:tc>
        <w:tc>
          <w:tcPr>
            <w:tcW w:w="1043" w:type="dxa"/>
            <w:noWrap w:val="0"/>
            <w:vAlign w:val="center"/>
          </w:tcPr>
          <w:p w14:paraId="3B85FCE1">
            <w:pPr>
              <w:widowControl/>
              <w:jc w:val="left"/>
              <w:rPr>
                <w:rFonts w:hint="eastAsia" w:ascii="宋体" w:hAnsi="宋体" w:cs="宋体"/>
                <w:color w:val="auto"/>
                <w:sz w:val="24"/>
                <w:highlight w:val="none"/>
              </w:rPr>
            </w:pPr>
          </w:p>
        </w:tc>
        <w:tc>
          <w:tcPr>
            <w:tcW w:w="1822" w:type="dxa"/>
            <w:noWrap w:val="0"/>
            <w:vAlign w:val="center"/>
          </w:tcPr>
          <w:p w14:paraId="4681B5FC">
            <w:pPr>
              <w:widowControl/>
              <w:jc w:val="left"/>
              <w:rPr>
                <w:rFonts w:hint="eastAsia" w:ascii="宋体" w:hAnsi="宋体" w:cs="宋体"/>
                <w:color w:val="auto"/>
                <w:sz w:val="24"/>
                <w:highlight w:val="none"/>
              </w:rPr>
            </w:pPr>
          </w:p>
        </w:tc>
      </w:tr>
      <w:tr w14:paraId="770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39875926">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23E2B5A8">
            <w:pPr>
              <w:pStyle w:val="19"/>
              <w:spacing w:line="360" w:lineRule="auto"/>
              <w:jc w:val="both"/>
              <w:rPr>
                <w:rFonts w:hint="eastAsia" w:ascii="宋体" w:hAnsi="宋体" w:cs="宋体"/>
                <w:color w:val="auto"/>
                <w:sz w:val="24"/>
                <w:highlight w:val="none"/>
              </w:rPr>
            </w:pPr>
            <w:r>
              <w:rPr>
                <w:rFonts w:hint="eastAsia" w:ascii="宋体" w:hAnsi="宋体" w:eastAsia="宋体" w:cs="宋体"/>
                <w:color w:val="auto"/>
                <w:sz w:val="24"/>
                <w:szCs w:val="24"/>
                <w:highlight w:val="none"/>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rPr>
              <w:t>针对本项目提供的实施重难点、合理化建议进行评议：①对本项目的重点、难点作出分析，并提出解决措施、合理化建议，符合项目需求，内容完整详细、阐述全面、理解到位的得3分；②方案内容包含上述内容，但论述较为简单、基本符合项目需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分；③所提供的方案对以上内容有缺项的得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分；④未提供方案或者方案与本项目无关的不得分。</w:t>
            </w:r>
          </w:p>
        </w:tc>
        <w:tc>
          <w:tcPr>
            <w:tcW w:w="1043" w:type="dxa"/>
            <w:noWrap w:val="0"/>
            <w:vAlign w:val="center"/>
          </w:tcPr>
          <w:p w14:paraId="16D7BEC7">
            <w:pPr>
              <w:widowControl/>
              <w:jc w:val="left"/>
              <w:rPr>
                <w:rFonts w:hint="eastAsia" w:ascii="宋体" w:hAnsi="宋体" w:cs="宋体"/>
                <w:color w:val="auto"/>
                <w:sz w:val="24"/>
                <w:highlight w:val="none"/>
              </w:rPr>
            </w:pPr>
          </w:p>
        </w:tc>
        <w:tc>
          <w:tcPr>
            <w:tcW w:w="1822" w:type="dxa"/>
            <w:noWrap w:val="0"/>
            <w:vAlign w:val="center"/>
          </w:tcPr>
          <w:p w14:paraId="2D9EAB2F">
            <w:pPr>
              <w:widowControl/>
              <w:jc w:val="left"/>
              <w:rPr>
                <w:rFonts w:hint="eastAsia" w:ascii="宋体" w:hAnsi="宋体" w:cs="宋体"/>
                <w:color w:val="auto"/>
                <w:sz w:val="24"/>
                <w:highlight w:val="none"/>
              </w:rPr>
            </w:pPr>
          </w:p>
        </w:tc>
      </w:tr>
      <w:tr w14:paraId="5D01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01" w:type="dxa"/>
            <w:noWrap w:val="0"/>
            <w:vAlign w:val="center"/>
          </w:tcPr>
          <w:p w14:paraId="46F40A1C">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40804BDF">
            <w:pPr>
              <w:pStyle w:val="19"/>
              <w:spacing w:line="360" w:lineRule="auto"/>
              <w:jc w:val="both"/>
              <w:rPr>
                <w:rFonts w:hint="eastAsia" w:ascii="宋体" w:hAnsi="宋体" w:cs="宋体"/>
                <w:color w:val="auto"/>
                <w:sz w:val="24"/>
                <w:highlight w:val="none"/>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所委派的服务人员在服务期内，若发现不符合服务人员要求的、不能胜任工作的、违反相关管理规定和纪律要求的、因工作失职或不规范履行职责造成严重后果或不良影响的，</w:t>
            </w:r>
            <w:r>
              <w:rPr>
                <w:rFonts w:hint="eastAsia" w:ascii="宋体" w:hAnsi="宋体" w:cs="宋体"/>
                <w:color w:val="auto"/>
                <w:sz w:val="24"/>
                <w:szCs w:val="24"/>
                <w:highlight w:val="none"/>
                <w:lang w:eastAsia="zh-CN"/>
              </w:rPr>
              <w:t>招标人</w:t>
            </w:r>
            <w:r>
              <w:rPr>
                <w:rFonts w:hint="eastAsia" w:ascii="宋体" w:hAnsi="宋体" w:eastAsia="宋体" w:cs="宋体"/>
                <w:color w:val="auto"/>
                <w:sz w:val="24"/>
                <w:szCs w:val="24"/>
                <w:highlight w:val="none"/>
              </w:rPr>
              <w:t>要求调换服务人员的，应无条件更换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 注：</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1043" w:type="dxa"/>
            <w:noWrap w:val="0"/>
            <w:vAlign w:val="center"/>
          </w:tcPr>
          <w:p w14:paraId="7DAED4A2">
            <w:pPr>
              <w:widowControl/>
              <w:jc w:val="left"/>
              <w:rPr>
                <w:rFonts w:hint="eastAsia" w:ascii="宋体" w:hAnsi="宋体" w:cs="宋体"/>
                <w:color w:val="auto"/>
                <w:sz w:val="24"/>
                <w:highlight w:val="none"/>
              </w:rPr>
            </w:pPr>
          </w:p>
        </w:tc>
        <w:tc>
          <w:tcPr>
            <w:tcW w:w="1822" w:type="dxa"/>
            <w:noWrap w:val="0"/>
            <w:vAlign w:val="center"/>
          </w:tcPr>
          <w:p w14:paraId="40D93E3C">
            <w:pPr>
              <w:widowControl/>
              <w:jc w:val="left"/>
              <w:rPr>
                <w:rFonts w:hint="eastAsia" w:ascii="宋体" w:hAnsi="宋体" w:cs="宋体"/>
                <w:color w:val="auto"/>
                <w:sz w:val="24"/>
                <w:highlight w:val="none"/>
              </w:rPr>
            </w:pPr>
          </w:p>
        </w:tc>
      </w:tr>
      <w:tr w14:paraId="4D45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01" w:type="dxa"/>
            <w:noWrap w:val="0"/>
            <w:vAlign w:val="center"/>
          </w:tcPr>
          <w:p w14:paraId="5C210E57">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4BB1CBD0">
            <w:pPr>
              <w:pStyle w:val="19"/>
              <w:spacing w:line="360" w:lineRule="auto"/>
              <w:jc w:val="both"/>
              <w:rPr>
                <w:rFonts w:hint="eastAsia" w:ascii="宋体" w:hAnsi="宋体" w:cs="宋体"/>
                <w:color w:val="auto"/>
                <w:sz w:val="24"/>
                <w:highlight w:val="none"/>
              </w:rPr>
            </w:pPr>
            <w:r>
              <w:rPr>
                <w:rFonts w:hint="eastAsia" w:ascii="宋体" w:hAnsi="宋体" w:eastAsia="宋体" w:cs="宋体"/>
                <w:b w:val="0"/>
                <w:bCs/>
                <w:color w:val="auto"/>
                <w:sz w:val="24"/>
                <w:szCs w:val="24"/>
                <w:highlight w:val="none"/>
                <w:lang w:val="en-US" w:eastAsia="zh-CN"/>
              </w:rPr>
              <w:t>根据</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提供的与</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的沟通制度、配合方案等进行评价：①方案包含沟通制度、与</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的配合方案符合本项目服务需求的得1分； ②在满足①的基础上，沟通制度详细、能够了解沟通需求，有相应的沟通渠道、在沟通后能够更好的服务本项目、并且在服务过程中能在既定工作方案的基础上做到过程控制与调整，提高服务质量和</w:t>
            </w:r>
            <w:r>
              <w:rPr>
                <w:rFonts w:hint="eastAsia" w:ascii="宋体" w:hAnsi="宋体" w:cs="宋体"/>
                <w:b w:val="0"/>
                <w:bCs/>
                <w:color w:val="auto"/>
                <w:sz w:val="24"/>
                <w:szCs w:val="24"/>
                <w:highlight w:val="none"/>
                <w:lang w:val="en-US" w:eastAsia="zh-CN"/>
              </w:rPr>
              <w:t>招标人</w:t>
            </w:r>
            <w:r>
              <w:rPr>
                <w:rFonts w:hint="eastAsia" w:ascii="宋体" w:hAnsi="宋体" w:eastAsia="宋体" w:cs="宋体"/>
                <w:b w:val="0"/>
                <w:bCs/>
                <w:color w:val="auto"/>
                <w:sz w:val="24"/>
                <w:szCs w:val="24"/>
                <w:highlight w:val="none"/>
                <w:lang w:val="en-US" w:eastAsia="zh-CN"/>
              </w:rPr>
              <w:t>满意度的得3分；③未提供或不满足以上要求的不得分。</w:t>
            </w:r>
          </w:p>
        </w:tc>
        <w:tc>
          <w:tcPr>
            <w:tcW w:w="1043" w:type="dxa"/>
            <w:noWrap w:val="0"/>
            <w:vAlign w:val="center"/>
          </w:tcPr>
          <w:p w14:paraId="4C343B7F">
            <w:pPr>
              <w:widowControl/>
              <w:jc w:val="left"/>
              <w:rPr>
                <w:rFonts w:hint="eastAsia" w:ascii="宋体" w:hAnsi="宋体" w:cs="宋体"/>
                <w:color w:val="auto"/>
                <w:sz w:val="24"/>
                <w:highlight w:val="none"/>
              </w:rPr>
            </w:pPr>
          </w:p>
        </w:tc>
        <w:tc>
          <w:tcPr>
            <w:tcW w:w="1822" w:type="dxa"/>
            <w:noWrap w:val="0"/>
            <w:vAlign w:val="center"/>
          </w:tcPr>
          <w:p w14:paraId="4B5A37A8">
            <w:pPr>
              <w:widowControl/>
              <w:jc w:val="left"/>
              <w:rPr>
                <w:rFonts w:hint="eastAsia" w:ascii="宋体" w:hAnsi="宋体" w:cs="宋体"/>
                <w:color w:val="auto"/>
                <w:sz w:val="24"/>
                <w:highlight w:val="none"/>
              </w:rPr>
            </w:pPr>
          </w:p>
        </w:tc>
      </w:tr>
      <w:tr w14:paraId="2075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01" w:type="dxa"/>
            <w:noWrap w:val="0"/>
            <w:vAlign w:val="center"/>
          </w:tcPr>
          <w:p w14:paraId="0F0FE0D3">
            <w:pPr>
              <w:widowControl/>
              <w:numPr>
                <w:ilvl w:val="0"/>
                <w:numId w:val="4"/>
              </w:numPr>
              <w:jc w:val="center"/>
              <w:rPr>
                <w:rFonts w:hint="eastAsia" w:ascii="宋体" w:hAnsi="宋体" w:cs="宋体"/>
                <w:color w:val="auto"/>
                <w:sz w:val="24"/>
                <w:highlight w:val="none"/>
              </w:rPr>
            </w:pPr>
          </w:p>
        </w:tc>
        <w:tc>
          <w:tcPr>
            <w:tcW w:w="6188" w:type="dxa"/>
            <w:noWrap w:val="0"/>
            <w:vAlign w:val="top"/>
          </w:tcPr>
          <w:p w14:paraId="01ECA55B">
            <w:pPr>
              <w:spacing w:line="360" w:lineRule="auto"/>
              <w:rPr>
                <w:rFonts w:hint="eastAsia" w:ascii="宋体" w:hAnsi="宋体" w:cs="宋体"/>
                <w:color w:val="auto"/>
                <w:sz w:val="24"/>
                <w:highlight w:val="none"/>
              </w:rPr>
            </w:pPr>
            <w:r>
              <w:rPr>
                <w:rFonts w:hint="eastAsia" w:ascii="宋体" w:hAnsi="宋体" w:eastAsia="宋体" w:cs="宋体"/>
                <w:b w:val="0"/>
                <w:bCs/>
                <w:color w:val="auto"/>
                <w:sz w:val="24"/>
                <w:szCs w:val="24"/>
                <w:highlight w:val="none"/>
                <w:lang w:val="en-US" w:eastAsia="zh-CN"/>
              </w:rPr>
              <w:t>投标人承诺技术评分条款未列明的其他技术及服务条款响应全满足，验收时按照响应的内容及考核方案进行验收。提供书面承诺函（格式自拟）满足要求的得2分，否则不得分。</w:t>
            </w:r>
          </w:p>
        </w:tc>
        <w:tc>
          <w:tcPr>
            <w:tcW w:w="1043" w:type="dxa"/>
            <w:noWrap w:val="0"/>
            <w:vAlign w:val="center"/>
          </w:tcPr>
          <w:p w14:paraId="353BAEAF">
            <w:pPr>
              <w:widowControl/>
              <w:jc w:val="left"/>
              <w:rPr>
                <w:rFonts w:hint="eastAsia" w:ascii="宋体" w:hAnsi="宋体" w:cs="宋体"/>
                <w:color w:val="auto"/>
                <w:sz w:val="24"/>
                <w:highlight w:val="none"/>
              </w:rPr>
            </w:pPr>
          </w:p>
        </w:tc>
        <w:tc>
          <w:tcPr>
            <w:tcW w:w="1822" w:type="dxa"/>
            <w:noWrap w:val="0"/>
            <w:vAlign w:val="center"/>
          </w:tcPr>
          <w:p w14:paraId="6FBE0E4E">
            <w:pPr>
              <w:widowControl/>
              <w:jc w:val="left"/>
              <w:rPr>
                <w:rFonts w:hint="eastAsia" w:ascii="宋体" w:hAnsi="宋体" w:cs="宋体"/>
                <w:color w:val="auto"/>
                <w:sz w:val="24"/>
                <w:highlight w:val="none"/>
              </w:rPr>
            </w:pPr>
          </w:p>
        </w:tc>
      </w:tr>
    </w:tbl>
    <w:p w14:paraId="0FBA9955">
      <w:pPr>
        <w:rPr>
          <w:rFonts w:hint="eastAsia" w:ascii="宋体" w:hAnsi="宋体" w:cs="宋体"/>
          <w:color w:val="auto"/>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sz w:val="24"/>
          <w:highlight w:val="none"/>
        </w:rPr>
        <w:t>注：表格中所列条款应与评分条款逐条对应，对于条款不明确或错误部分评委有权不予采信。</w:t>
      </w:r>
    </w:p>
    <w:p w14:paraId="50532577">
      <w:pPr>
        <w:pStyle w:val="3"/>
        <w:jc w:val="center"/>
        <w:outlineLvl w:val="1"/>
        <w:rPr>
          <w:rFonts w:hint="eastAsia" w:ascii="宋体" w:hAnsi="宋体" w:eastAsia="宋体" w:cs="宋体"/>
          <w:color w:val="auto"/>
          <w:sz w:val="28"/>
          <w:szCs w:val="28"/>
          <w:highlight w:val="none"/>
        </w:rPr>
      </w:pPr>
      <w:bookmarkStart w:id="256" w:name="_Toc481480001"/>
      <w:bookmarkStart w:id="257" w:name="_Toc533519527"/>
      <w:bookmarkStart w:id="258" w:name="_Toc23434"/>
      <w:bookmarkStart w:id="259" w:name="_Toc515448959"/>
      <w:bookmarkStart w:id="260" w:name="_Toc9933"/>
      <w:bookmarkStart w:id="261" w:name="_Toc518466690"/>
      <w:bookmarkStart w:id="262" w:name="_Toc515448372"/>
      <w:bookmarkStart w:id="263" w:name="_Toc480983546"/>
      <w:bookmarkStart w:id="264" w:name="_Toc12562"/>
      <w:bookmarkStart w:id="265" w:name="_Toc701075432"/>
      <w:bookmarkStart w:id="266" w:name="_Toc763010653"/>
      <w:bookmarkStart w:id="267" w:name="_Toc481048053"/>
      <w:bookmarkStart w:id="268" w:name="_Toc1365752504"/>
      <w:bookmarkStart w:id="269" w:name="_Toc482352473"/>
      <w:r>
        <w:rPr>
          <w:rFonts w:hint="eastAsia" w:ascii="宋体" w:hAnsi="宋体" w:eastAsia="宋体" w:cs="宋体"/>
          <w:color w:val="auto"/>
          <w:sz w:val="28"/>
          <w:szCs w:val="28"/>
          <w:highlight w:val="none"/>
        </w:rPr>
        <w:t>商务评分条款响应表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EEBCE96">
      <w:pPr>
        <w:rPr>
          <w:rFonts w:hint="eastAsia"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名称（加盖公章）：</w:t>
      </w:r>
    </w:p>
    <w:tbl>
      <w:tblPr>
        <w:tblStyle w:val="13"/>
        <w:tblW w:w="9634"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868"/>
        <w:gridCol w:w="1291"/>
        <w:gridCol w:w="1716"/>
      </w:tblGrid>
      <w:tr w14:paraId="43B8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759" w:type="dxa"/>
            <w:noWrap w:val="0"/>
            <w:vAlign w:val="center"/>
          </w:tcPr>
          <w:p w14:paraId="7B8A3EEF">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868" w:type="dxa"/>
            <w:noWrap w:val="0"/>
            <w:vAlign w:val="center"/>
          </w:tcPr>
          <w:p w14:paraId="6F50E712">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291" w:type="dxa"/>
            <w:noWrap w:val="0"/>
            <w:vAlign w:val="center"/>
          </w:tcPr>
          <w:p w14:paraId="1A18B06A">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716" w:type="dxa"/>
            <w:noWrap w:val="0"/>
            <w:vAlign w:val="center"/>
          </w:tcPr>
          <w:p w14:paraId="4A25AD4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10AF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59" w:type="dxa"/>
            <w:noWrap w:val="0"/>
            <w:vAlign w:val="center"/>
          </w:tcPr>
          <w:p w14:paraId="0A991F77">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868" w:type="dxa"/>
            <w:noWrap w:val="0"/>
            <w:vAlign w:val="center"/>
          </w:tcPr>
          <w:p w14:paraId="5DFA58DE">
            <w:pPr>
              <w:pStyle w:val="20"/>
              <w:spacing w:line="360" w:lineRule="auto"/>
              <w:jc w:val="left"/>
              <w:rPr>
                <w:rFonts w:ascii="宋体" w:hAnsi="宋体" w:cs="宋体"/>
                <w:color w:val="auto"/>
                <w:sz w:val="24"/>
                <w:highlight w:val="none"/>
              </w:rPr>
            </w:pPr>
            <w:r>
              <w:rPr>
                <w:rFonts w:hint="eastAsia" w:ascii="宋体" w:hAnsi="宋体"/>
                <w:b w:val="0"/>
                <w:bCs w:val="0"/>
                <w:color w:val="auto"/>
                <w:kern w:val="2"/>
                <w:szCs w:val="24"/>
                <w:highlight w:val="none"/>
                <w:lang w:eastAsia="zh-CN"/>
              </w:rPr>
              <w:t>投标人</w:t>
            </w:r>
            <w:r>
              <w:rPr>
                <w:rFonts w:hint="eastAsia" w:ascii="宋体" w:hAnsi="宋体"/>
                <w:b w:val="0"/>
                <w:bCs w:val="0"/>
                <w:color w:val="auto"/>
                <w:kern w:val="2"/>
                <w:szCs w:val="24"/>
                <w:highlight w:val="none"/>
              </w:rPr>
              <w:t>可提供厦门本地化服务的得</w:t>
            </w:r>
            <w:r>
              <w:rPr>
                <w:rFonts w:hint="eastAsia" w:ascii="宋体" w:hAnsi="宋体"/>
                <w:b w:val="0"/>
                <w:bCs w:val="0"/>
                <w:color w:val="auto"/>
                <w:kern w:val="2"/>
                <w:szCs w:val="24"/>
                <w:highlight w:val="none"/>
                <w:lang w:val="en-US" w:eastAsia="zh-CN"/>
              </w:rPr>
              <w:t>2</w:t>
            </w:r>
            <w:r>
              <w:rPr>
                <w:rFonts w:hint="eastAsia" w:ascii="宋体" w:hAnsi="宋体"/>
                <w:b w:val="0"/>
                <w:bCs w:val="0"/>
                <w:color w:val="auto"/>
                <w:kern w:val="2"/>
                <w:szCs w:val="24"/>
                <w:highlight w:val="none"/>
              </w:rPr>
              <w:t>分，否则不得分。</w:t>
            </w:r>
            <w:r>
              <w:rPr>
                <w:rFonts w:hint="eastAsia" w:ascii="宋体" w:hAnsi="宋体"/>
                <w:b w:val="0"/>
                <w:bCs w:val="0"/>
                <w:color w:val="auto"/>
                <w:kern w:val="2"/>
                <w:szCs w:val="24"/>
                <w:highlight w:val="none"/>
                <w:lang w:eastAsia="zh-CN"/>
              </w:rPr>
              <w:t>投标人</w:t>
            </w:r>
            <w:r>
              <w:rPr>
                <w:rFonts w:hint="eastAsia" w:ascii="宋体" w:hAnsi="宋体"/>
                <w:b w:val="0"/>
                <w:bCs w:val="0"/>
                <w:color w:val="auto"/>
                <w:kern w:val="2"/>
                <w:szCs w:val="24"/>
                <w:highlight w:val="none"/>
              </w:rPr>
              <w:t>可提供合作单位协议或者自身机构的营业执照证明，也可以提供在本地设立的项目部、办公室、办事处等机构证明，或者承诺成交后提供本地化服务。</w:t>
            </w:r>
          </w:p>
        </w:tc>
        <w:tc>
          <w:tcPr>
            <w:tcW w:w="1291" w:type="dxa"/>
            <w:noWrap w:val="0"/>
            <w:vAlign w:val="center"/>
          </w:tcPr>
          <w:p w14:paraId="08792DA2">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716" w:type="dxa"/>
            <w:noWrap w:val="0"/>
            <w:vAlign w:val="center"/>
          </w:tcPr>
          <w:p w14:paraId="29CA1737">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1715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59" w:type="dxa"/>
            <w:noWrap w:val="0"/>
            <w:vAlign w:val="center"/>
          </w:tcPr>
          <w:p w14:paraId="34B122BF">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868" w:type="dxa"/>
            <w:noWrap w:val="0"/>
            <w:vAlign w:val="center"/>
          </w:tcPr>
          <w:p w14:paraId="7D78073A">
            <w:pPr>
              <w:pStyle w:val="20"/>
              <w:spacing w:line="360" w:lineRule="auto"/>
              <w:jc w:val="left"/>
              <w:rPr>
                <w:rFonts w:ascii="宋体" w:hAnsi="宋体" w:cs="宋体"/>
                <w:color w:val="auto"/>
                <w:sz w:val="24"/>
                <w:highlight w:val="none"/>
              </w:rPr>
            </w:pPr>
            <w:r>
              <w:rPr>
                <w:rFonts w:hint="eastAsia" w:ascii="宋体" w:hAnsi="宋体" w:eastAsia="宋体" w:cs="宋体"/>
                <w:b w:val="0"/>
                <w:color w:val="auto"/>
                <w:kern w:val="2"/>
                <w:sz w:val="24"/>
                <w:szCs w:val="24"/>
                <w:highlight w:val="none"/>
              </w:rPr>
              <w:t>根据</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提供的【响应处理能力】进行评价：</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承诺：</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color w:val="auto"/>
                <w:kern w:val="2"/>
                <w:sz w:val="24"/>
                <w:szCs w:val="24"/>
                <w:highlight w:val="none"/>
              </w:rPr>
              <w:t>公章。未提供或不符合上述要求的不得分。</w:t>
            </w:r>
          </w:p>
        </w:tc>
        <w:tc>
          <w:tcPr>
            <w:tcW w:w="1291" w:type="dxa"/>
            <w:noWrap w:val="0"/>
            <w:vAlign w:val="center"/>
          </w:tcPr>
          <w:p w14:paraId="7CD01E1B">
            <w:pPr>
              <w:widowControl/>
              <w:jc w:val="left"/>
              <w:rPr>
                <w:rFonts w:hint="eastAsia" w:ascii="宋体" w:hAnsi="宋体" w:cs="宋体"/>
                <w:color w:val="auto"/>
                <w:sz w:val="24"/>
                <w:highlight w:val="none"/>
              </w:rPr>
            </w:pPr>
          </w:p>
        </w:tc>
        <w:tc>
          <w:tcPr>
            <w:tcW w:w="1716" w:type="dxa"/>
            <w:noWrap w:val="0"/>
            <w:vAlign w:val="center"/>
          </w:tcPr>
          <w:p w14:paraId="0BE4D467">
            <w:pPr>
              <w:widowControl/>
              <w:jc w:val="left"/>
              <w:rPr>
                <w:rFonts w:hint="eastAsia" w:ascii="宋体" w:hAnsi="宋体" w:cs="宋体"/>
                <w:color w:val="auto"/>
                <w:sz w:val="24"/>
                <w:highlight w:val="none"/>
              </w:rPr>
            </w:pPr>
          </w:p>
        </w:tc>
      </w:tr>
      <w:tr w14:paraId="49CE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759" w:type="dxa"/>
            <w:noWrap w:val="0"/>
            <w:vAlign w:val="center"/>
          </w:tcPr>
          <w:p w14:paraId="0CB1A4F3">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868" w:type="dxa"/>
            <w:noWrap w:val="0"/>
            <w:vAlign w:val="top"/>
          </w:tcPr>
          <w:p w14:paraId="33722CD8">
            <w:pPr>
              <w:pStyle w:val="19"/>
              <w:spacing w:line="360" w:lineRule="auto"/>
              <w:jc w:val="both"/>
              <w:rPr>
                <w:rFonts w:ascii="宋体" w:hAnsi="宋体" w:cs="宋体"/>
                <w:color w:val="auto"/>
                <w:sz w:val="24"/>
                <w:highlight w:val="none"/>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在合同履行期间，服务人员发生劳动纠纷的，由投标人自行解决并承担所有责任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1291" w:type="dxa"/>
            <w:noWrap w:val="0"/>
            <w:vAlign w:val="center"/>
          </w:tcPr>
          <w:p w14:paraId="7DCD77C3">
            <w:pPr>
              <w:widowControl/>
              <w:jc w:val="left"/>
              <w:rPr>
                <w:rFonts w:hint="eastAsia" w:ascii="宋体" w:hAnsi="宋体" w:cs="宋体"/>
                <w:color w:val="auto"/>
                <w:sz w:val="24"/>
                <w:highlight w:val="none"/>
              </w:rPr>
            </w:pPr>
          </w:p>
        </w:tc>
        <w:tc>
          <w:tcPr>
            <w:tcW w:w="1716" w:type="dxa"/>
            <w:noWrap w:val="0"/>
            <w:vAlign w:val="center"/>
          </w:tcPr>
          <w:p w14:paraId="02159881">
            <w:pPr>
              <w:widowControl/>
              <w:jc w:val="left"/>
              <w:rPr>
                <w:rFonts w:hint="eastAsia" w:ascii="宋体" w:hAnsi="宋体" w:cs="宋体"/>
                <w:color w:val="auto"/>
                <w:sz w:val="24"/>
                <w:highlight w:val="none"/>
              </w:rPr>
            </w:pPr>
          </w:p>
        </w:tc>
      </w:tr>
      <w:tr w14:paraId="3B6E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center"/>
          </w:tcPr>
          <w:p w14:paraId="2EFDA50B">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868" w:type="dxa"/>
            <w:noWrap w:val="0"/>
            <w:vAlign w:val="top"/>
          </w:tcPr>
          <w:p w14:paraId="65435A54">
            <w:pPr>
              <w:pStyle w:val="19"/>
              <w:spacing w:line="360" w:lineRule="auto"/>
              <w:jc w:val="both"/>
              <w:rPr>
                <w:rFonts w:hint="eastAsia" w:ascii="宋体" w:hAnsi="宋体" w:cs="宋体"/>
                <w:color w:val="auto"/>
                <w:highlight w:val="none"/>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w:t>
            </w:r>
            <w:r>
              <w:rPr>
                <w:rFonts w:hint="eastAsia" w:ascii="宋体" w:hAnsi="宋体" w:cs="宋体"/>
                <w:color w:val="auto"/>
                <w:sz w:val="24"/>
                <w:szCs w:val="24"/>
                <w:highlight w:val="none"/>
                <w:lang w:val="en-US" w:eastAsia="zh-CN"/>
              </w:rPr>
              <w:t>成交</w:t>
            </w:r>
            <w:r>
              <w:rPr>
                <w:rFonts w:ascii="宋体" w:hAnsi="宋体" w:cs="宋体"/>
                <w:color w:val="auto"/>
                <w:sz w:val="24"/>
                <w:szCs w:val="24"/>
                <w:highlight w:val="none"/>
              </w:rPr>
              <w:t>后遵守保密义务，并签订保密协议</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1291" w:type="dxa"/>
            <w:noWrap w:val="0"/>
            <w:vAlign w:val="center"/>
          </w:tcPr>
          <w:p w14:paraId="50F88AA8">
            <w:pPr>
              <w:widowControl/>
              <w:jc w:val="left"/>
              <w:rPr>
                <w:rFonts w:hint="eastAsia" w:ascii="宋体" w:hAnsi="宋体" w:cs="宋体"/>
                <w:color w:val="auto"/>
                <w:sz w:val="24"/>
                <w:highlight w:val="none"/>
              </w:rPr>
            </w:pPr>
          </w:p>
        </w:tc>
        <w:tc>
          <w:tcPr>
            <w:tcW w:w="1716" w:type="dxa"/>
            <w:noWrap w:val="0"/>
            <w:vAlign w:val="center"/>
          </w:tcPr>
          <w:p w14:paraId="51029B0F">
            <w:pPr>
              <w:widowControl/>
              <w:jc w:val="left"/>
              <w:rPr>
                <w:rFonts w:hint="eastAsia" w:ascii="宋体" w:hAnsi="宋体" w:cs="宋体"/>
                <w:color w:val="auto"/>
                <w:sz w:val="24"/>
                <w:highlight w:val="none"/>
              </w:rPr>
            </w:pPr>
          </w:p>
        </w:tc>
      </w:tr>
      <w:tr w14:paraId="5B4B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9" w:type="dxa"/>
            <w:noWrap w:val="0"/>
            <w:vAlign w:val="center"/>
          </w:tcPr>
          <w:p w14:paraId="4B3D8A04">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868" w:type="dxa"/>
            <w:noWrap w:val="0"/>
            <w:vAlign w:val="top"/>
          </w:tcPr>
          <w:p w14:paraId="3446B5E6">
            <w:pPr>
              <w:pStyle w:val="19"/>
              <w:spacing w:line="360" w:lineRule="auto"/>
              <w:jc w:val="both"/>
              <w:rPr>
                <w:rFonts w:ascii="宋体" w:hAnsi="宋体" w:cs="宋体"/>
                <w:color w:val="auto"/>
                <w:sz w:val="24"/>
                <w:highlight w:val="none"/>
              </w:rPr>
            </w:pP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随时接受并积极配合采购人对其服务的考核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提供满足上述要求的承诺的得3分。注：</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投标人</w:t>
            </w:r>
            <w:r>
              <w:rPr>
                <w:rFonts w:hint="eastAsia" w:ascii="宋体" w:hAnsi="宋体" w:eastAsia="宋体" w:cs="宋体"/>
                <w:b w:val="0"/>
                <w:bCs w:val="0"/>
                <w:color w:val="auto"/>
                <w:sz w:val="24"/>
                <w:szCs w:val="24"/>
                <w:highlight w:val="none"/>
              </w:rPr>
              <w:t>公章，未提供或不符合上述要求的不得分。</w:t>
            </w:r>
          </w:p>
        </w:tc>
        <w:tc>
          <w:tcPr>
            <w:tcW w:w="1291" w:type="dxa"/>
            <w:noWrap w:val="0"/>
            <w:vAlign w:val="center"/>
          </w:tcPr>
          <w:p w14:paraId="427F5AF7">
            <w:pPr>
              <w:widowControl/>
              <w:jc w:val="left"/>
              <w:rPr>
                <w:rFonts w:hint="eastAsia" w:ascii="宋体" w:hAnsi="宋体" w:cs="宋体"/>
                <w:color w:val="auto"/>
                <w:sz w:val="24"/>
                <w:highlight w:val="none"/>
              </w:rPr>
            </w:pPr>
          </w:p>
        </w:tc>
        <w:tc>
          <w:tcPr>
            <w:tcW w:w="1716" w:type="dxa"/>
            <w:noWrap w:val="0"/>
            <w:vAlign w:val="center"/>
          </w:tcPr>
          <w:p w14:paraId="4C055A69">
            <w:pPr>
              <w:widowControl/>
              <w:jc w:val="left"/>
              <w:rPr>
                <w:rFonts w:hint="eastAsia" w:ascii="宋体" w:hAnsi="宋体" w:cs="宋体"/>
                <w:color w:val="auto"/>
                <w:sz w:val="24"/>
                <w:highlight w:val="none"/>
              </w:rPr>
            </w:pPr>
          </w:p>
        </w:tc>
      </w:tr>
      <w:tr w14:paraId="40C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759" w:type="dxa"/>
            <w:noWrap w:val="0"/>
            <w:vAlign w:val="center"/>
          </w:tcPr>
          <w:p w14:paraId="41DECB1F">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868" w:type="dxa"/>
            <w:noWrap w:val="0"/>
            <w:vAlign w:val="top"/>
          </w:tcPr>
          <w:p w14:paraId="3F74A1A8">
            <w:pPr>
              <w:pStyle w:val="19"/>
              <w:spacing w:line="360" w:lineRule="auto"/>
              <w:jc w:val="both"/>
              <w:rPr>
                <w:rFonts w:ascii="宋体" w:hAnsi="宋体" w:cs="宋体"/>
                <w:color w:val="auto"/>
                <w:sz w:val="24"/>
                <w:highlight w:val="none"/>
              </w:rPr>
            </w:pPr>
            <w:r>
              <w:rPr>
                <w:rFonts w:hint="eastAsia" w:ascii="宋体" w:hAnsi="宋体" w:eastAsia="宋体" w:cs="宋体"/>
                <w:b w:val="0"/>
                <w:bCs w:val="0"/>
                <w:color w:val="auto"/>
                <w:sz w:val="24"/>
                <w:szCs w:val="24"/>
                <w:highlight w:val="none"/>
              </w:rPr>
              <w:t>针对本项目</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编制各项管理制度（</w:t>
            </w:r>
            <w:r>
              <w:rPr>
                <w:rFonts w:hint="eastAsia" w:ascii="宋体" w:hAnsi="宋体" w:eastAsia="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rPr>
              <w:t>：内部管理制度、安全管理制度，应结合本项目实际情况制定），每提供一项制度，得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分，满分</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未提供不得分</w:t>
            </w:r>
            <w:r>
              <w:rPr>
                <w:rFonts w:hint="eastAsia" w:ascii="宋体" w:hAnsi="宋体" w:eastAsia="宋体" w:cs="宋体"/>
                <w:b w:val="0"/>
                <w:bCs w:val="0"/>
                <w:color w:val="auto"/>
                <w:sz w:val="24"/>
                <w:szCs w:val="24"/>
                <w:highlight w:val="none"/>
              </w:rPr>
              <w:t>。</w:t>
            </w:r>
          </w:p>
        </w:tc>
        <w:tc>
          <w:tcPr>
            <w:tcW w:w="1291" w:type="dxa"/>
            <w:noWrap w:val="0"/>
            <w:vAlign w:val="center"/>
          </w:tcPr>
          <w:p w14:paraId="1BAE1383">
            <w:pPr>
              <w:widowControl/>
              <w:jc w:val="left"/>
              <w:rPr>
                <w:rFonts w:hint="eastAsia" w:ascii="宋体" w:hAnsi="宋体" w:cs="宋体"/>
                <w:color w:val="auto"/>
                <w:sz w:val="24"/>
                <w:highlight w:val="none"/>
              </w:rPr>
            </w:pPr>
          </w:p>
        </w:tc>
        <w:tc>
          <w:tcPr>
            <w:tcW w:w="1716" w:type="dxa"/>
            <w:noWrap w:val="0"/>
            <w:vAlign w:val="center"/>
          </w:tcPr>
          <w:p w14:paraId="6BB841D9">
            <w:pPr>
              <w:widowControl/>
              <w:jc w:val="left"/>
              <w:rPr>
                <w:rFonts w:hint="eastAsia" w:ascii="宋体" w:hAnsi="宋体" w:cs="宋体"/>
                <w:color w:val="auto"/>
                <w:sz w:val="24"/>
                <w:highlight w:val="none"/>
              </w:rPr>
            </w:pPr>
          </w:p>
        </w:tc>
      </w:tr>
      <w:tr w14:paraId="34A1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59" w:type="dxa"/>
            <w:noWrap w:val="0"/>
            <w:vAlign w:val="center"/>
          </w:tcPr>
          <w:p w14:paraId="7760AFDC">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868" w:type="dxa"/>
            <w:noWrap w:val="0"/>
            <w:vAlign w:val="center"/>
          </w:tcPr>
          <w:p w14:paraId="2F7AB4B2">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承诺“成交后，在服务期内，对拟投入的所有人员安全负全部责任，如若发生安全事故，承担全部责任”的得</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分，须提供书面承诺函，否则不得分。</w:t>
            </w:r>
          </w:p>
        </w:tc>
        <w:tc>
          <w:tcPr>
            <w:tcW w:w="1291" w:type="dxa"/>
            <w:noWrap w:val="0"/>
            <w:vAlign w:val="center"/>
          </w:tcPr>
          <w:p w14:paraId="06ABD2C1">
            <w:pPr>
              <w:widowControl/>
              <w:jc w:val="left"/>
              <w:rPr>
                <w:rFonts w:hint="eastAsia" w:ascii="宋体" w:hAnsi="宋体" w:cs="宋体"/>
                <w:color w:val="auto"/>
                <w:sz w:val="24"/>
                <w:highlight w:val="none"/>
              </w:rPr>
            </w:pPr>
          </w:p>
        </w:tc>
        <w:tc>
          <w:tcPr>
            <w:tcW w:w="1716" w:type="dxa"/>
            <w:noWrap w:val="0"/>
            <w:vAlign w:val="center"/>
          </w:tcPr>
          <w:p w14:paraId="5FB6D6F1">
            <w:pPr>
              <w:widowControl/>
              <w:jc w:val="left"/>
              <w:rPr>
                <w:rFonts w:hint="eastAsia" w:ascii="宋体" w:hAnsi="宋体" w:cs="宋体"/>
                <w:color w:val="auto"/>
                <w:sz w:val="24"/>
                <w:highlight w:val="none"/>
              </w:rPr>
            </w:pPr>
          </w:p>
        </w:tc>
      </w:tr>
      <w:tr w14:paraId="09CF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59" w:type="dxa"/>
            <w:noWrap w:val="0"/>
            <w:vAlign w:val="center"/>
          </w:tcPr>
          <w:p w14:paraId="0EB099DE">
            <w:pPr>
              <w:jc w:val="center"/>
              <w:rPr>
                <w:rFonts w:ascii="宋体" w:hAnsi="宋体" w:cs="宋体"/>
                <w:color w:val="auto"/>
                <w:sz w:val="24"/>
                <w:highlight w:val="none"/>
              </w:rPr>
            </w:pPr>
            <w:r>
              <w:rPr>
                <w:rFonts w:hint="eastAsia" w:ascii="宋体" w:hAnsi="宋体" w:cs="宋体"/>
                <w:color w:val="auto"/>
                <w:sz w:val="24"/>
                <w:highlight w:val="none"/>
              </w:rPr>
              <w:t>8</w:t>
            </w:r>
          </w:p>
        </w:tc>
        <w:tc>
          <w:tcPr>
            <w:tcW w:w="5868" w:type="dxa"/>
            <w:noWrap w:val="0"/>
            <w:vAlign w:val="top"/>
          </w:tcPr>
          <w:p w14:paraId="7E3DDF4B">
            <w:pPr>
              <w:pStyle w:val="19"/>
              <w:spacing w:line="360" w:lineRule="auto"/>
              <w:jc w:val="both"/>
              <w:rPr>
                <w:rFonts w:ascii="宋体" w:hAnsi="宋体" w:cs="宋体"/>
                <w:color w:val="auto"/>
                <w:sz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投标人提供自</w:t>
            </w:r>
            <w:r>
              <w:rPr>
                <w:rFonts w:hint="eastAsia" w:ascii="宋体" w:hAnsi="宋体" w:eastAsia="宋体" w:cs="宋体"/>
                <w:color w:val="auto"/>
                <w:sz w:val="24"/>
                <w:szCs w:val="24"/>
                <w:highlight w:val="none"/>
              </w:rPr>
              <w:t>2022年1月1日（以合同签订时间为准）至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截止当日承接过的同类业绩进行评价：每提供1份业绩得1分，满分3分。注：（1）同类业绩是指：</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承接关于会务服务工作</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项目。（2）需提供业绩的以下证明材料，否则不计分：采购合同文本复印件；</w:t>
            </w:r>
          </w:p>
        </w:tc>
        <w:tc>
          <w:tcPr>
            <w:tcW w:w="1291" w:type="dxa"/>
            <w:noWrap w:val="0"/>
            <w:vAlign w:val="center"/>
          </w:tcPr>
          <w:p w14:paraId="50002CFB">
            <w:pPr>
              <w:widowControl/>
              <w:jc w:val="left"/>
              <w:rPr>
                <w:rFonts w:hint="eastAsia" w:ascii="宋体" w:hAnsi="宋体" w:cs="宋体"/>
                <w:color w:val="auto"/>
                <w:sz w:val="24"/>
                <w:highlight w:val="none"/>
              </w:rPr>
            </w:pPr>
          </w:p>
        </w:tc>
        <w:tc>
          <w:tcPr>
            <w:tcW w:w="1716" w:type="dxa"/>
            <w:noWrap w:val="0"/>
            <w:vAlign w:val="center"/>
          </w:tcPr>
          <w:p w14:paraId="3E4DA0DA">
            <w:pPr>
              <w:widowControl/>
              <w:jc w:val="left"/>
              <w:rPr>
                <w:rFonts w:hint="eastAsia" w:ascii="宋体" w:hAnsi="宋体" w:cs="宋体"/>
                <w:color w:val="auto"/>
                <w:sz w:val="24"/>
                <w:highlight w:val="none"/>
              </w:rPr>
            </w:pPr>
          </w:p>
        </w:tc>
      </w:tr>
      <w:tr w14:paraId="13BB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59" w:type="dxa"/>
            <w:noWrap w:val="0"/>
            <w:vAlign w:val="center"/>
          </w:tcPr>
          <w:p w14:paraId="3C9AAECD">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5868" w:type="dxa"/>
            <w:noWrap w:val="0"/>
            <w:vAlign w:val="top"/>
          </w:tcPr>
          <w:p w14:paraId="399BF5D3">
            <w:pPr>
              <w:pStyle w:val="19"/>
              <w:spacing w:line="360" w:lineRule="auto"/>
              <w:jc w:val="both"/>
              <w:rPr>
                <w:rFonts w:ascii="宋体" w:hAnsi="宋体" w:cs="宋体"/>
                <w:color w:val="auto"/>
                <w:sz w:val="24"/>
                <w:highlight w:val="none"/>
              </w:rPr>
            </w:pPr>
            <w:r>
              <w:rPr>
                <w:rFonts w:hint="eastAsia" w:ascii="宋体" w:hAnsi="宋体" w:cs="宋体"/>
                <w:b w:val="0"/>
                <w:color w:val="auto"/>
                <w:kern w:val="2"/>
                <w:sz w:val="24"/>
                <w:szCs w:val="24"/>
                <w:highlight w:val="none"/>
                <w:lang w:val="en-US" w:eastAsia="zh-CN"/>
              </w:rPr>
              <w:t>根据</w:t>
            </w:r>
            <w:r>
              <w:rPr>
                <w:rFonts w:hint="eastAsia" w:ascii="宋体" w:hAnsi="宋体" w:cs="宋体"/>
                <w:color w:val="auto"/>
                <w:sz w:val="24"/>
                <w:szCs w:val="24"/>
                <w:highlight w:val="none"/>
                <w:lang w:val="en-US" w:eastAsia="zh-CN"/>
              </w:rPr>
              <w:t>投标人提供自</w:t>
            </w:r>
            <w:r>
              <w:rPr>
                <w:rFonts w:hint="eastAsia" w:ascii="宋体" w:hAnsi="宋体" w:cs="宋体"/>
                <w:b w:val="0"/>
                <w:color w:val="auto"/>
                <w:kern w:val="2"/>
                <w:sz w:val="24"/>
                <w:szCs w:val="24"/>
                <w:highlight w:val="none"/>
                <w:lang w:val="en-US" w:eastAsia="zh-CN"/>
              </w:rPr>
              <w:t>2022年1月1日至报价截止当日获得过同类服务项目（同类服务项目是指关于</w:t>
            </w:r>
            <w:r>
              <w:rPr>
                <w:rFonts w:hint="eastAsia" w:ascii="宋体" w:hAnsi="宋体" w:eastAsia="宋体" w:cs="宋体"/>
                <w:color w:val="auto"/>
                <w:sz w:val="24"/>
                <w:szCs w:val="24"/>
                <w:highlight w:val="none"/>
              </w:rPr>
              <w:t>会务服务工作</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w:t>
            </w:r>
            <w:r>
              <w:rPr>
                <w:rFonts w:hint="eastAsia" w:ascii="宋体" w:hAnsi="宋体" w:cs="宋体"/>
                <w:b w:val="0"/>
                <w:color w:val="auto"/>
                <w:kern w:val="2"/>
                <w:sz w:val="24"/>
                <w:szCs w:val="24"/>
                <w:highlight w:val="none"/>
                <w:lang w:val="en-US" w:eastAsia="zh-CN"/>
              </w:rPr>
              <w:t>）的业主单位对其履行合同情况及服务质量的评价材料（或表扬信或感谢信或验收合格的材料证明）进行评价：每提供1份正面评价材料（需体现优秀、优良、良好或满意）的得1分，满分2分。</w:t>
            </w:r>
          </w:p>
        </w:tc>
        <w:tc>
          <w:tcPr>
            <w:tcW w:w="1291" w:type="dxa"/>
            <w:noWrap w:val="0"/>
            <w:vAlign w:val="center"/>
          </w:tcPr>
          <w:p w14:paraId="6C923340">
            <w:pPr>
              <w:widowControl/>
              <w:jc w:val="left"/>
              <w:rPr>
                <w:rFonts w:hint="eastAsia" w:ascii="宋体" w:hAnsi="宋体" w:cs="宋体"/>
                <w:color w:val="auto"/>
                <w:sz w:val="24"/>
                <w:highlight w:val="none"/>
              </w:rPr>
            </w:pPr>
          </w:p>
        </w:tc>
        <w:tc>
          <w:tcPr>
            <w:tcW w:w="1716" w:type="dxa"/>
            <w:noWrap w:val="0"/>
            <w:vAlign w:val="center"/>
          </w:tcPr>
          <w:p w14:paraId="6CEB3BE2">
            <w:pPr>
              <w:widowControl/>
              <w:jc w:val="left"/>
              <w:rPr>
                <w:rFonts w:hint="eastAsia" w:ascii="宋体" w:hAnsi="宋体" w:cs="宋体"/>
                <w:color w:val="auto"/>
                <w:sz w:val="24"/>
                <w:highlight w:val="none"/>
              </w:rPr>
            </w:pPr>
          </w:p>
        </w:tc>
      </w:tr>
    </w:tbl>
    <w:p w14:paraId="5AFEB153">
      <w:pPr>
        <w:rPr>
          <w:color w:val="auto"/>
          <w:highlight w:val="none"/>
        </w:rPr>
      </w:pPr>
      <w:r>
        <w:rPr>
          <w:rFonts w:hint="eastAsia" w:ascii="宋体" w:hAnsi="宋体" w:cs="宋体"/>
          <w:color w:val="auto"/>
          <w:sz w:val="24"/>
          <w:highlight w:val="none"/>
        </w:rPr>
        <w:t>注：表格中所列条款应与评分条款逐条对应，对于条款不明确或错误部分评委有权不予采信。</w:t>
      </w:r>
    </w:p>
    <w:p w14:paraId="6FA5B49A">
      <w:pPr>
        <w:rPr>
          <w:color w:val="auto"/>
          <w:highlight w:val="none"/>
        </w:rPr>
      </w:pPr>
    </w:p>
    <w:p w14:paraId="408F92BA">
      <w:pPr>
        <w:rPr>
          <w:color w:val="auto"/>
          <w:highlight w:val="none"/>
        </w:rPr>
      </w:pPr>
    </w:p>
    <w:bookmarkEnd w:id="270"/>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19AE">
    <w:pPr>
      <w:pStyle w:val="8"/>
      <w:rPr>
        <w:rFonts w:ascii="宋体" w:hAnsi="宋体"/>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EC31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DEEC31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7D6B">
    <w:pPr>
      <w:pStyle w:val="8"/>
      <w:jc w:val="center"/>
    </w:pPr>
    <w:r>
      <w:rPr>
        <w:rFonts w:hint="eastAsia"/>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7548">
    <w:pPr>
      <w:pStyle w:val="8"/>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93858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F938583">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DD3D">
    <w:pPr>
      <w:pStyle w:val="8"/>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26A36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A26A36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4A29">
    <w:pPr>
      <w:pStyle w:val="8"/>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8E1B6B">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28E1B6B">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3B64">
    <w:pPr>
      <w:pStyle w:val="8"/>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5CC3C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65CC3C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BC24">
    <w:pPr>
      <w:pStyle w:val="8"/>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F91AD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0F91AD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FD06">
    <w:pPr>
      <w:pStyle w:val="8"/>
      <w:tabs>
        <w:tab w:val="right" w:pos="8460"/>
        <w:tab w:val="clear" w:pos="8306"/>
      </w:tabs>
      <w:ind w:right="-89" w:firstLine="420"/>
      <w:jc w:val="center"/>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DE687">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94DE687">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E1B3">
    <w:pPr>
      <w:pStyle w:val="8"/>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14F0C8">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E14F0C8">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386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7A03">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CD5E">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4FE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88A641"/>
    <w:multiLevelType w:val="singleLevel"/>
    <w:tmpl w:val="1A88A641"/>
    <w:lvl w:ilvl="0" w:tentative="0">
      <w:start w:val="1"/>
      <w:numFmt w:val="decimal"/>
      <w:suff w:val="nothing"/>
      <w:lvlText w:val="%1、"/>
      <w:lvlJc w:val="left"/>
    </w:lvl>
  </w:abstractNum>
  <w:abstractNum w:abstractNumId="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F3924"/>
    <w:rsid w:val="127E3260"/>
    <w:rsid w:val="1BFF23F7"/>
    <w:rsid w:val="1D5C7326"/>
    <w:rsid w:val="3CDA526C"/>
    <w:rsid w:val="4CA33437"/>
    <w:rsid w:val="51FF3924"/>
    <w:rsid w:val="E4FD874C"/>
    <w:rsid w:val="F3BB45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5">
    <w:name w:val="Body Text"/>
    <w:basedOn w:val="1"/>
    <w:qFormat/>
    <w:uiPriority w:val="0"/>
    <w:pPr>
      <w:jc w:val="center"/>
    </w:pPr>
    <w:rPr>
      <w:rFonts w:ascii="幼圆" w:hAnsi="新宋体" w:eastAsia="幼圆"/>
      <w:b/>
      <w:bCs/>
      <w:sz w:val="84"/>
      <w:szCs w:val="20"/>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spacing w:after="120" w:line="480" w:lineRule="auto"/>
      <w:ind w:left="420"/>
    </w:pPr>
    <w:rPr>
      <w:rFonts w:ascii="Times New Roman" w:hAnsi="Times New Roman"/>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5">
    <w:name w:val="Strong"/>
    <w:basedOn w:val="14"/>
    <w:qFormat/>
    <w:uiPriority w:val="22"/>
    <w:rPr>
      <w:b/>
      <w:bCs/>
    </w:rPr>
  </w:style>
  <w:style w:type="character" w:styleId="16">
    <w:name w:val="Hyperlink"/>
    <w:basedOn w:val="14"/>
    <w:unhideWhenUsed/>
    <w:qFormat/>
    <w:uiPriority w:val="0"/>
    <w:rPr>
      <w:color w:val="0000FF"/>
      <w:u w:val="single"/>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Char Char Char Char Char Char Char"/>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9">
    <w:name w:val="null3"/>
    <w:qFormat/>
    <w:uiPriority w:val="0"/>
    <w:rPr>
      <w:rFonts w:hint="eastAsia" w:ascii="Calibri" w:hAnsi="Calibri" w:eastAsia="宋体" w:cs="Times New Roman"/>
      <w:lang w:val="en-US" w:eastAsia="zh-CN" w:bidi="ar-SA"/>
    </w:rPr>
  </w:style>
  <w:style w:type="paragraph" w:customStyle="1" w:styleId="20">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1">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6301</Words>
  <Characters>6968</Characters>
  <Lines>0</Lines>
  <Paragraphs>0</Paragraphs>
  <TotalTime>0</TotalTime>
  <ScaleCrop>false</ScaleCrop>
  <LinksUpToDate>false</LinksUpToDate>
  <CharactersWithSpaces>7110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2025-04-22T19:50:00Z</dcterms:created>
  <dc:creator> CarambolaLu </dc:creator>
  <cp:lastModifiedBy>WPS_1528123779</cp:lastModifiedBy>
  <dcterms:modified xsi:type="dcterms:W3CDTF">2025-04-22T07:05:11Z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4B19CFFA9819494EA6922B2BEB7F5F97_11</vt:lpwstr>
  </property>
  <property fmtid="{D5CDD505-2E9C-101B-9397-08002B2CF9AE}" pid="4" name="KSOTemplateDocerSaveRecord">
    <vt:lpwstr>eyJoZGlkIjoiODQ0NWY5YjE3NGYzMmZkYTI2NTFkNWYyOGEwODRiNzgiLCJ1c2VySWQiOiIzNzYwNDg2NTAifQ==</vt:lpwstr>
  </property>
</Properties>
</file>