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43CC5">
      <w:pPr>
        <w:spacing w:line="360" w:lineRule="auto"/>
        <w:rPr>
          <w:rFonts w:hint="eastAsia" w:ascii="宋体" w:hAnsi="宋体"/>
          <w:b/>
          <w:color w:val="auto"/>
          <w:sz w:val="52"/>
          <w:szCs w:val="52"/>
          <w:highlight w:val="none"/>
        </w:rPr>
      </w:pPr>
    </w:p>
    <w:p w14:paraId="7FAC6D55">
      <w:pPr>
        <w:spacing w:line="360" w:lineRule="auto"/>
        <w:jc w:val="center"/>
        <w:rPr>
          <w:rFonts w:hint="eastAsia" w:ascii="宋体" w:hAnsi="宋体"/>
          <w:b/>
          <w:color w:val="auto"/>
          <w:sz w:val="52"/>
          <w:szCs w:val="52"/>
          <w:highlight w:val="none"/>
        </w:rPr>
      </w:pPr>
      <w:r>
        <w:rPr>
          <w:rFonts w:hint="eastAsia" w:ascii="宋体" w:hAnsi="宋体"/>
          <w:b/>
          <w:color w:val="auto"/>
          <w:sz w:val="52"/>
          <w:szCs w:val="52"/>
          <w:highlight w:val="none"/>
          <w:lang w:val="en-US" w:eastAsia="zh-CN"/>
        </w:rPr>
        <w:t xml:space="preserve"> </w:t>
      </w:r>
      <w:r>
        <w:rPr>
          <w:rFonts w:hint="eastAsia" w:ascii="宋体" w:hAnsi="宋体"/>
          <w:b/>
          <w:color w:val="auto"/>
          <w:sz w:val="52"/>
          <w:szCs w:val="52"/>
          <w:highlight w:val="none"/>
        </w:rPr>
        <w:t xml:space="preserve">  </w:t>
      </w:r>
    </w:p>
    <w:p w14:paraId="49A70DD8">
      <w:pPr>
        <w:spacing w:line="360" w:lineRule="auto"/>
        <w:jc w:val="center"/>
        <w:rPr>
          <w:rFonts w:hint="eastAsia" w:ascii="宋体" w:hAnsi="宋体"/>
          <w:b/>
          <w:color w:val="auto"/>
          <w:sz w:val="52"/>
          <w:szCs w:val="52"/>
          <w:highlight w:val="none"/>
        </w:rPr>
      </w:pPr>
      <w:r>
        <w:rPr>
          <w:rFonts w:hint="eastAsia" w:ascii="宋体" w:hAnsi="宋体"/>
          <w:b/>
          <w:color w:val="auto"/>
          <w:sz w:val="52"/>
          <w:szCs w:val="52"/>
          <w:highlight w:val="none"/>
        </w:rPr>
        <w:t>竞争性磋商采购文件</w:t>
      </w:r>
    </w:p>
    <w:p w14:paraId="23572E59">
      <w:pPr>
        <w:spacing w:line="360" w:lineRule="auto"/>
        <w:ind w:firstLine="1303" w:firstLineChars="543"/>
        <w:rPr>
          <w:rFonts w:hint="eastAsia" w:ascii="宋体" w:hAnsi="宋体"/>
          <w:color w:val="auto"/>
          <w:sz w:val="24"/>
          <w:szCs w:val="24"/>
          <w:highlight w:val="none"/>
        </w:rPr>
      </w:pPr>
    </w:p>
    <w:p w14:paraId="2FF7D667">
      <w:pPr>
        <w:spacing w:line="360" w:lineRule="auto"/>
        <w:ind w:firstLine="2399" w:firstLineChars="543"/>
        <w:rPr>
          <w:rFonts w:hint="eastAsia" w:ascii="宋体" w:hAnsi="宋体"/>
          <w:b/>
          <w:color w:val="auto"/>
          <w:sz w:val="44"/>
          <w:highlight w:val="none"/>
        </w:rPr>
      </w:pPr>
    </w:p>
    <w:p w14:paraId="4E389443">
      <w:pPr>
        <w:spacing w:line="360" w:lineRule="auto"/>
        <w:ind w:firstLine="1966" w:firstLineChars="445"/>
        <w:rPr>
          <w:rFonts w:hint="eastAsia" w:ascii="宋体" w:hAnsi="宋体"/>
          <w:b/>
          <w:color w:val="auto"/>
          <w:sz w:val="44"/>
          <w:highlight w:val="none"/>
        </w:rPr>
      </w:pPr>
    </w:p>
    <w:p w14:paraId="2B665671">
      <w:pPr>
        <w:spacing w:line="360" w:lineRule="auto"/>
        <w:outlineLvl w:val="9"/>
        <w:rPr>
          <w:rFonts w:hint="eastAsia" w:ascii="宋体" w:hAnsi="宋体" w:eastAsia="宋体"/>
          <w:b/>
          <w:color w:val="auto"/>
          <w:sz w:val="44"/>
          <w:szCs w:val="44"/>
          <w:highlight w:val="none"/>
          <w:lang w:eastAsia="zh-CN"/>
        </w:rPr>
      </w:pPr>
      <w:r>
        <w:rPr>
          <w:rFonts w:hint="eastAsia" w:ascii="宋体" w:hAnsi="宋体"/>
          <w:b/>
          <w:color w:val="auto"/>
          <w:sz w:val="44"/>
          <w:highlight w:val="none"/>
        </w:rPr>
        <w:t xml:space="preserve">    </w:t>
      </w:r>
      <w:r>
        <w:rPr>
          <w:rFonts w:hint="eastAsia" w:ascii="宋体" w:hAnsi="宋体"/>
          <w:b/>
          <w:color w:val="auto"/>
          <w:sz w:val="44"/>
          <w:szCs w:val="44"/>
          <w:highlight w:val="none"/>
        </w:rPr>
        <w:t xml:space="preserve"> 项目编号：</w:t>
      </w:r>
      <w:r>
        <w:rPr>
          <w:rFonts w:hint="eastAsia" w:ascii="宋体" w:hAnsi="宋体"/>
          <w:b/>
          <w:bCs/>
          <w:color w:val="auto"/>
          <w:sz w:val="44"/>
          <w:szCs w:val="44"/>
          <w:highlight w:val="none"/>
          <w:lang w:eastAsia="zh-CN"/>
        </w:rPr>
        <w:t>XM2025-TZ5071</w:t>
      </w:r>
    </w:p>
    <w:p w14:paraId="1CA3EE35">
      <w:pPr>
        <w:spacing w:line="360" w:lineRule="auto"/>
        <w:outlineLvl w:val="9"/>
        <w:rPr>
          <w:rFonts w:hint="eastAsia" w:ascii="宋体" w:hAnsi="宋体"/>
          <w:b/>
          <w:color w:val="auto"/>
          <w:sz w:val="44"/>
          <w:highlight w:val="none"/>
        </w:rPr>
      </w:pPr>
      <w:r>
        <w:rPr>
          <w:rFonts w:hint="eastAsia" w:ascii="宋体" w:hAnsi="宋体"/>
          <w:b/>
          <w:color w:val="auto"/>
          <w:sz w:val="44"/>
          <w:highlight w:val="none"/>
        </w:rPr>
        <w:t xml:space="preserve">     项目名称：厦禾校区食堂建设及文博楼用电改造</w:t>
      </w:r>
    </w:p>
    <w:p w14:paraId="35AF81FD">
      <w:pPr>
        <w:spacing w:line="360" w:lineRule="auto"/>
        <w:jc w:val="center"/>
        <w:rPr>
          <w:rFonts w:hint="eastAsia" w:ascii="宋体" w:hAnsi="宋体"/>
          <w:b/>
          <w:color w:val="auto"/>
          <w:sz w:val="44"/>
          <w:highlight w:val="none"/>
        </w:rPr>
      </w:pPr>
    </w:p>
    <w:p w14:paraId="3202DDE7">
      <w:pPr>
        <w:spacing w:line="360" w:lineRule="auto"/>
        <w:jc w:val="center"/>
        <w:rPr>
          <w:rFonts w:hint="eastAsia" w:ascii="宋体" w:hAnsi="宋体"/>
          <w:b/>
          <w:color w:val="auto"/>
          <w:sz w:val="32"/>
          <w:szCs w:val="32"/>
          <w:highlight w:val="none"/>
        </w:rPr>
      </w:pPr>
    </w:p>
    <w:p w14:paraId="1B139EFC">
      <w:pPr>
        <w:spacing w:line="360" w:lineRule="auto"/>
        <w:jc w:val="center"/>
        <w:rPr>
          <w:rFonts w:hint="eastAsia" w:ascii="宋体" w:hAnsi="宋体"/>
          <w:b/>
          <w:color w:val="auto"/>
          <w:sz w:val="32"/>
          <w:szCs w:val="32"/>
          <w:highlight w:val="none"/>
        </w:rPr>
      </w:pPr>
    </w:p>
    <w:p w14:paraId="2349D2DE">
      <w:pPr>
        <w:spacing w:line="360" w:lineRule="auto"/>
        <w:jc w:val="center"/>
        <w:rPr>
          <w:rFonts w:hint="eastAsia" w:ascii="宋体" w:hAnsi="宋体"/>
          <w:b/>
          <w:color w:val="auto"/>
          <w:sz w:val="32"/>
          <w:szCs w:val="32"/>
          <w:highlight w:val="none"/>
        </w:rPr>
      </w:pPr>
    </w:p>
    <w:p w14:paraId="7ABE7D54">
      <w:pPr>
        <w:spacing w:line="360" w:lineRule="auto"/>
        <w:rPr>
          <w:rFonts w:hint="eastAsia" w:ascii="宋体" w:hAnsi="宋体"/>
          <w:b/>
          <w:color w:val="auto"/>
          <w:sz w:val="32"/>
          <w:szCs w:val="32"/>
          <w:highlight w:val="none"/>
        </w:rPr>
      </w:pPr>
    </w:p>
    <w:p w14:paraId="7B8B42A9">
      <w:pPr>
        <w:spacing w:line="360" w:lineRule="auto"/>
        <w:rPr>
          <w:rFonts w:hint="eastAsia" w:ascii="宋体" w:hAnsi="宋体"/>
          <w:b/>
          <w:color w:val="auto"/>
          <w:sz w:val="32"/>
          <w:szCs w:val="32"/>
          <w:highlight w:val="none"/>
        </w:rPr>
      </w:pPr>
      <w:r>
        <w:rPr>
          <w:rFonts w:hint="eastAsia" w:ascii="宋体" w:hAnsi="宋体"/>
          <w:b/>
          <w:color w:val="auto"/>
          <w:sz w:val="32"/>
          <w:szCs w:val="32"/>
          <w:highlight w:val="none"/>
        </w:rPr>
        <w:t xml:space="preserve">        采  购  人 ：福建省厦门第六中学</w:t>
      </w:r>
    </w:p>
    <w:p w14:paraId="0013920A">
      <w:pPr>
        <w:spacing w:line="360" w:lineRule="auto"/>
        <w:outlineLvl w:val="9"/>
        <w:rPr>
          <w:rFonts w:hint="eastAsia" w:ascii="宋体" w:hAnsi="宋体"/>
          <w:b/>
          <w:color w:val="auto"/>
          <w:sz w:val="32"/>
          <w:szCs w:val="32"/>
          <w:highlight w:val="none"/>
        </w:rPr>
      </w:pPr>
      <w:r>
        <w:rPr>
          <w:rFonts w:hint="eastAsia" w:ascii="宋体" w:hAnsi="宋体"/>
          <w:b/>
          <w:color w:val="auto"/>
          <w:sz w:val="32"/>
          <w:szCs w:val="32"/>
          <w:highlight w:val="none"/>
        </w:rPr>
        <w:t xml:space="preserve">        采购代理机构：</w:t>
      </w:r>
      <w:r>
        <w:rPr>
          <w:rFonts w:hint="eastAsia" w:ascii="宋体" w:hAnsi="宋体"/>
          <w:b/>
          <w:bCs/>
          <w:color w:val="auto"/>
          <w:sz w:val="32"/>
          <w:highlight w:val="none"/>
        </w:rPr>
        <w:t>厦门万翔招标有限公司</w:t>
      </w:r>
    </w:p>
    <w:p w14:paraId="1C36FF2A">
      <w:pPr>
        <w:spacing w:line="360" w:lineRule="auto"/>
        <w:ind w:firstLine="480" w:firstLineChars="200"/>
        <w:rPr>
          <w:rFonts w:ascii="宋体" w:hAnsi="宋体" w:cs="宋体"/>
          <w:color w:val="auto"/>
          <w:sz w:val="24"/>
          <w:szCs w:val="24"/>
          <w:highlight w:val="none"/>
        </w:rPr>
      </w:pPr>
    </w:p>
    <w:p w14:paraId="4BE3ADAA">
      <w:pPr>
        <w:pStyle w:val="2"/>
        <w:rPr>
          <w:rFonts w:ascii="宋体" w:hAnsi="宋体" w:cs="宋体"/>
          <w:color w:val="auto"/>
          <w:sz w:val="24"/>
          <w:szCs w:val="24"/>
          <w:highlight w:val="none"/>
        </w:rPr>
      </w:pPr>
    </w:p>
    <w:p w14:paraId="642CAED6">
      <w:pPr>
        <w:pStyle w:val="2"/>
        <w:rPr>
          <w:rFonts w:ascii="宋体" w:hAnsi="宋体" w:cs="宋体"/>
          <w:color w:val="auto"/>
          <w:sz w:val="24"/>
          <w:szCs w:val="24"/>
          <w:highlight w:val="none"/>
        </w:rPr>
      </w:pPr>
    </w:p>
    <w:p w14:paraId="3621E569">
      <w:pPr>
        <w:pStyle w:val="2"/>
        <w:rPr>
          <w:rFonts w:ascii="宋体" w:hAnsi="宋体" w:cs="宋体"/>
          <w:color w:val="auto"/>
          <w:sz w:val="24"/>
          <w:szCs w:val="24"/>
          <w:highlight w:val="none"/>
        </w:rPr>
      </w:pPr>
    </w:p>
    <w:p w14:paraId="6B6351C2">
      <w:pPr>
        <w:pStyle w:val="2"/>
        <w:rPr>
          <w:rFonts w:ascii="宋体" w:hAnsi="宋体" w:cs="宋体"/>
          <w:color w:val="auto"/>
          <w:sz w:val="24"/>
          <w:szCs w:val="24"/>
          <w:highlight w:val="none"/>
        </w:rPr>
      </w:pPr>
    </w:p>
    <w:p w14:paraId="34406169">
      <w:pPr>
        <w:pStyle w:val="2"/>
        <w:rPr>
          <w:rFonts w:ascii="宋体" w:hAnsi="宋体" w:cs="宋体"/>
          <w:color w:val="auto"/>
          <w:sz w:val="24"/>
          <w:szCs w:val="24"/>
          <w:highlight w:val="none"/>
        </w:rPr>
      </w:pPr>
    </w:p>
    <w:p w14:paraId="5D079F72">
      <w:pPr>
        <w:jc w:val="center"/>
        <w:rPr>
          <w:rFonts w:ascii="宋体" w:hAnsi="宋体"/>
          <w:b/>
          <w:bCs/>
          <w:color w:val="auto"/>
          <w:sz w:val="36"/>
          <w:szCs w:val="40"/>
          <w:highlight w:val="none"/>
        </w:rPr>
      </w:pPr>
    </w:p>
    <w:sdt>
      <w:sdtPr>
        <w:rPr>
          <w:rFonts w:ascii="宋体" w:hAnsi="宋体"/>
          <w:b/>
          <w:bCs/>
          <w:color w:val="auto"/>
          <w:sz w:val="36"/>
          <w:szCs w:val="40"/>
          <w:highlight w:val="none"/>
        </w:rPr>
        <w:id w:val="147482849"/>
        <w:docPartObj>
          <w:docPartGallery w:val="Table of Contents"/>
          <w:docPartUnique/>
        </w:docPartObj>
      </w:sdtPr>
      <w:sdtEndPr>
        <w:rPr>
          <w:rFonts w:hint="eastAsia" w:ascii="宋体" w:hAnsi="宋体" w:cs="宋体"/>
          <w:b/>
          <w:bCs/>
          <w:color w:val="auto"/>
          <w:sz w:val="21"/>
          <w:szCs w:val="32"/>
          <w:highlight w:val="none"/>
        </w:rPr>
      </w:sdtEndPr>
      <w:sdtContent>
        <w:p w14:paraId="767EA7EA">
          <w:pPr>
            <w:spacing w:before="0" w:beforeLines="0" w:after="0" w:afterLines="0" w:line="240" w:lineRule="auto"/>
            <w:ind w:left="0" w:leftChars="0" w:right="0" w:rightChars="0" w:firstLine="0" w:firstLineChars="0"/>
            <w:jc w:val="center"/>
            <w:rPr>
              <w:color w:val="auto"/>
              <w:highlight w:val="none"/>
            </w:rPr>
          </w:pPr>
          <w:r>
            <w:rPr>
              <w:rFonts w:ascii="宋体" w:hAnsi="宋体" w:eastAsia="宋体"/>
              <w:b/>
              <w:bCs/>
              <w:color w:val="auto"/>
              <w:sz w:val="32"/>
              <w:szCs w:val="36"/>
              <w:highlight w:val="none"/>
            </w:rPr>
            <w:t>目  录</w:t>
          </w:r>
        </w:p>
        <w:p w14:paraId="3E0EE1B7">
          <w:pPr>
            <w:pStyle w:val="12"/>
            <w:tabs>
              <w:tab w:val="right" w:leader="dot" w:pos="8306"/>
            </w:tabs>
            <w:spacing w:line="360" w:lineRule="auto"/>
            <w:rPr>
              <w:rFonts w:hint="eastAsia" w:ascii="宋体" w:hAnsi="宋体" w:cs="宋体"/>
              <w:b/>
              <w:bCs/>
              <w:color w:val="auto"/>
              <w:sz w:val="24"/>
              <w:szCs w:val="32"/>
              <w:highlight w:val="none"/>
            </w:rPr>
          </w:pPr>
          <w:r>
            <w:rPr>
              <w:rFonts w:hint="eastAsia" w:ascii="宋体" w:hAnsi="宋体" w:cs="宋体"/>
              <w:b/>
              <w:color w:val="auto"/>
              <w:sz w:val="32"/>
              <w:szCs w:val="32"/>
              <w:highlight w:val="none"/>
            </w:rPr>
            <w:fldChar w:fldCharType="begin"/>
          </w:r>
          <w:r>
            <w:rPr>
              <w:rFonts w:hint="eastAsia" w:ascii="宋体" w:hAnsi="宋体" w:cs="宋体"/>
              <w:b/>
              <w:color w:val="auto"/>
              <w:sz w:val="32"/>
              <w:szCs w:val="32"/>
              <w:highlight w:val="none"/>
            </w:rPr>
            <w:instrText xml:space="preserve">TOC \o "1-3" \h \u </w:instrText>
          </w:r>
          <w:r>
            <w:rPr>
              <w:rFonts w:hint="eastAsia" w:ascii="宋体" w:hAnsi="宋体" w:cs="宋体"/>
              <w:b/>
              <w:color w:val="auto"/>
              <w:sz w:val="32"/>
              <w:szCs w:val="32"/>
              <w:highlight w:val="none"/>
            </w:rPr>
            <w:fldChar w:fldCharType="separate"/>
          </w:r>
          <w:r>
            <w:rPr>
              <w:rFonts w:hint="eastAsia" w:ascii="宋体" w:hAnsi="宋体" w:cs="宋体"/>
              <w:b/>
              <w:bCs/>
              <w:color w:val="auto"/>
              <w:sz w:val="24"/>
              <w:szCs w:val="40"/>
              <w:highlight w:val="none"/>
            </w:rPr>
            <w:fldChar w:fldCharType="begin"/>
          </w:r>
          <w:r>
            <w:rPr>
              <w:rFonts w:hint="eastAsia" w:ascii="宋体" w:hAnsi="宋体" w:cs="宋体"/>
              <w:b/>
              <w:bCs/>
              <w:color w:val="auto"/>
              <w:sz w:val="24"/>
              <w:szCs w:val="40"/>
              <w:highlight w:val="none"/>
            </w:rPr>
            <w:instrText xml:space="preserve"> HYPERLINK \l _Toc995878070 </w:instrText>
          </w:r>
          <w:r>
            <w:rPr>
              <w:rFonts w:hint="eastAsia" w:ascii="宋体" w:hAnsi="宋体" w:cs="宋体"/>
              <w:b/>
              <w:bCs/>
              <w:color w:val="auto"/>
              <w:sz w:val="24"/>
              <w:szCs w:val="40"/>
              <w:highlight w:val="none"/>
            </w:rPr>
            <w:fldChar w:fldCharType="separate"/>
          </w:r>
          <w:r>
            <w:rPr>
              <w:rFonts w:hint="eastAsia" w:ascii="宋体" w:hAnsi="宋体" w:cs="宋体"/>
              <w:b/>
              <w:bCs/>
              <w:color w:val="auto"/>
              <w:sz w:val="24"/>
              <w:szCs w:val="40"/>
              <w:highlight w:val="none"/>
            </w:rPr>
            <w:t>第一章  磋商邀请</w:t>
          </w:r>
          <w:r>
            <w:rPr>
              <w:rFonts w:hint="eastAsia" w:ascii="宋体" w:hAnsi="宋体" w:cs="宋体"/>
              <w:b/>
              <w:bCs/>
              <w:color w:val="auto"/>
              <w:sz w:val="24"/>
              <w:szCs w:val="32"/>
              <w:highlight w:val="none"/>
            </w:rPr>
            <w:tab/>
          </w:r>
          <w:r>
            <w:rPr>
              <w:rFonts w:hint="eastAsia" w:ascii="宋体" w:hAnsi="宋体" w:cs="宋体"/>
              <w:b/>
              <w:bCs/>
              <w:color w:val="auto"/>
              <w:sz w:val="24"/>
              <w:szCs w:val="32"/>
              <w:highlight w:val="none"/>
            </w:rPr>
            <w:fldChar w:fldCharType="begin"/>
          </w:r>
          <w:r>
            <w:rPr>
              <w:rFonts w:hint="eastAsia" w:ascii="宋体" w:hAnsi="宋体" w:cs="宋体"/>
              <w:b/>
              <w:bCs/>
              <w:color w:val="auto"/>
              <w:sz w:val="24"/>
              <w:szCs w:val="32"/>
              <w:highlight w:val="none"/>
            </w:rPr>
            <w:instrText xml:space="preserve"> PAGEREF _Toc995878070 \h </w:instrText>
          </w:r>
          <w:r>
            <w:rPr>
              <w:rFonts w:hint="eastAsia" w:ascii="宋体" w:hAnsi="宋体" w:cs="宋体"/>
              <w:b/>
              <w:bCs/>
              <w:color w:val="auto"/>
              <w:sz w:val="24"/>
              <w:szCs w:val="32"/>
              <w:highlight w:val="none"/>
            </w:rPr>
            <w:fldChar w:fldCharType="separate"/>
          </w:r>
          <w:r>
            <w:rPr>
              <w:rFonts w:hint="eastAsia" w:ascii="宋体" w:hAnsi="宋体" w:eastAsia="宋体" w:cs="宋体"/>
              <w:b/>
              <w:bCs/>
              <w:color w:val="auto"/>
              <w:sz w:val="24"/>
              <w:szCs w:val="32"/>
              <w:highlight w:val="none"/>
            </w:rPr>
            <w:t>2</w:t>
          </w:r>
          <w:r>
            <w:rPr>
              <w:rFonts w:hint="eastAsia" w:ascii="宋体" w:hAnsi="宋体" w:cs="宋体"/>
              <w:b/>
              <w:bCs/>
              <w:color w:val="auto"/>
              <w:sz w:val="24"/>
              <w:szCs w:val="32"/>
              <w:highlight w:val="none"/>
            </w:rPr>
            <w:fldChar w:fldCharType="end"/>
          </w:r>
          <w:r>
            <w:rPr>
              <w:rFonts w:hint="eastAsia" w:ascii="宋体" w:hAnsi="宋体" w:cs="宋体"/>
              <w:b/>
              <w:bCs/>
              <w:color w:val="auto"/>
              <w:sz w:val="24"/>
              <w:szCs w:val="40"/>
              <w:highlight w:val="none"/>
            </w:rPr>
            <w:fldChar w:fldCharType="end"/>
          </w:r>
        </w:p>
        <w:p w14:paraId="54B815B2">
          <w:pPr>
            <w:pStyle w:val="12"/>
            <w:tabs>
              <w:tab w:val="right" w:leader="dot" w:pos="8306"/>
            </w:tabs>
            <w:spacing w:line="360" w:lineRule="auto"/>
            <w:rPr>
              <w:rFonts w:hint="eastAsia" w:ascii="宋体" w:hAnsi="宋体" w:cs="宋体"/>
              <w:b/>
              <w:bCs/>
              <w:color w:val="auto"/>
              <w:sz w:val="24"/>
              <w:szCs w:val="32"/>
              <w:highlight w:val="none"/>
            </w:rPr>
          </w:pPr>
          <w:r>
            <w:rPr>
              <w:rFonts w:hint="eastAsia" w:ascii="宋体" w:hAnsi="宋体" w:cs="宋体"/>
              <w:b/>
              <w:bCs/>
              <w:color w:val="auto"/>
              <w:sz w:val="24"/>
              <w:szCs w:val="40"/>
              <w:highlight w:val="none"/>
            </w:rPr>
            <w:fldChar w:fldCharType="begin"/>
          </w:r>
          <w:r>
            <w:rPr>
              <w:rFonts w:hint="eastAsia" w:ascii="宋体" w:hAnsi="宋体" w:cs="宋体"/>
              <w:b/>
              <w:bCs/>
              <w:color w:val="auto"/>
              <w:sz w:val="24"/>
              <w:szCs w:val="40"/>
              <w:highlight w:val="none"/>
            </w:rPr>
            <w:instrText xml:space="preserve"> HYPERLINK \l _Toc141444512 </w:instrText>
          </w:r>
          <w:r>
            <w:rPr>
              <w:rFonts w:hint="eastAsia" w:ascii="宋体" w:hAnsi="宋体" w:cs="宋体"/>
              <w:b/>
              <w:bCs/>
              <w:color w:val="auto"/>
              <w:sz w:val="24"/>
              <w:szCs w:val="40"/>
              <w:highlight w:val="none"/>
            </w:rPr>
            <w:fldChar w:fldCharType="separate"/>
          </w:r>
          <w:r>
            <w:rPr>
              <w:rFonts w:hint="eastAsia" w:ascii="宋体" w:hAnsi="宋体" w:cs="宋体"/>
              <w:b/>
              <w:bCs/>
              <w:color w:val="auto"/>
              <w:sz w:val="24"/>
              <w:szCs w:val="40"/>
              <w:highlight w:val="none"/>
            </w:rPr>
            <w:t>第二章  报价人须知</w:t>
          </w:r>
          <w:r>
            <w:rPr>
              <w:rFonts w:hint="eastAsia" w:ascii="宋体" w:hAnsi="宋体" w:cs="宋体"/>
              <w:b/>
              <w:bCs/>
              <w:color w:val="auto"/>
              <w:sz w:val="24"/>
              <w:szCs w:val="32"/>
              <w:highlight w:val="none"/>
            </w:rPr>
            <w:tab/>
          </w:r>
          <w:r>
            <w:rPr>
              <w:rFonts w:hint="eastAsia" w:ascii="宋体" w:hAnsi="宋体" w:cs="宋体"/>
              <w:b/>
              <w:bCs/>
              <w:color w:val="auto"/>
              <w:sz w:val="24"/>
              <w:szCs w:val="32"/>
              <w:highlight w:val="none"/>
            </w:rPr>
            <w:fldChar w:fldCharType="begin"/>
          </w:r>
          <w:r>
            <w:rPr>
              <w:rFonts w:hint="eastAsia" w:ascii="宋体" w:hAnsi="宋体" w:cs="宋体"/>
              <w:b/>
              <w:bCs/>
              <w:color w:val="auto"/>
              <w:sz w:val="24"/>
              <w:szCs w:val="32"/>
              <w:highlight w:val="none"/>
            </w:rPr>
            <w:instrText xml:space="preserve"> PAGEREF _Toc141444512 \h </w:instrText>
          </w:r>
          <w:r>
            <w:rPr>
              <w:rFonts w:hint="eastAsia" w:ascii="宋体" w:hAnsi="宋体" w:cs="宋体"/>
              <w:b/>
              <w:bCs/>
              <w:color w:val="auto"/>
              <w:sz w:val="24"/>
              <w:szCs w:val="32"/>
              <w:highlight w:val="none"/>
            </w:rPr>
            <w:fldChar w:fldCharType="separate"/>
          </w:r>
          <w:r>
            <w:rPr>
              <w:rFonts w:hint="eastAsia" w:ascii="宋体" w:hAnsi="宋体" w:eastAsia="宋体" w:cs="宋体"/>
              <w:b/>
              <w:bCs/>
              <w:color w:val="auto"/>
              <w:sz w:val="24"/>
              <w:szCs w:val="32"/>
              <w:highlight w:val="none"/>
            </w:rPr>
            <w:t>6</w:t>
          </w:r>
          <w:r>
            <w:rPr>
              <w:rFonts w:hint="eastAsia" w:ascii="宋体" w:hAnsi="宋体" w:cs="宋体"/>
              <w:b/>
              <w:bCs/>
              <w:color w:val="auto"/>
              <w:sz w:val="24"/>
              <w:szCs w:val="32"/>
              <w:highlight w:val="none"/>
            </w:rPr>
            <w:fldChar w:fldCharType="end"/>
          </w:r>
          <w:r>
            <w:rPr>
              <w:rFonts w:hint="eastAsia" w:ascii="宋体" w:hAnsi="宋体" w:cs="宋体"/>
              <w:b/>
              <w:bCs/>
              <w:color w:val="auto"/>
              <w:sz w:val="24"/>
              <w:szCs w:val="40"/>
              <w:highlight w:val="none"/>
            </w:rPr>
            <w:fldChar w:fldCharType="end"/>
          </w:r>
        </w:p>
        <w:p w14:paraId="031967D4">
          <w:pPr>
            <w:pStyle w:val="13"/>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_Toc930307998 </w:instrText>
          </w:r>
          <w:r>
            <w:rPr>
              <w:rFonts w:hint="eastAsia" w:ascii="宋体" w:hAnsi="宋体" w:cs="宋体"/>
              <w:color w:val="auto"/>
              <w:sz w:val="24"/>
              <w:szCs w:val="40"/>
              <w:highlight w:val="none"/>
            </w:rPr>
            <w:fldChar w:fldCharType="separate"/>
          </w:r>
          <w:r>
            <w:rPr>
              <w:rFonts w:hint="eastAsia" w:ascii="宋体" w:hAnsi="宋体" w:cs="宋体"/>
              <w:bCs/>
              <w:color w:val="auto"/>
              <w:sz w:val="24"/>
              <w:szCs w:val="40"/>
              <w:highlight w:val="none"/>
            </w:rPr>
            <w:t>报价人须知前附表1</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_Toc930307998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7</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6D823258">
          <w:pPr>
            <w:pStyle w:val="13"/>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_Toc481968538 </w:instrText>
          </w:r>
          <w:r>
            <w:rPr>
              <w:rFonts w:hint="eastAsia" w:ascii="宋体" w:hAnsi="宋体" w:cs="宋体"/>
              <w:color w:val="auto"/>
              <w:sz w:val="24"/>
              <w:szCs w:val="40"/>
              <w:highlight w:val="none"/>
            </w:rPr>
            <w:fldChar w:fldCharType="separate"/>
          </w:r>
          <w:r>
            <w:rPr>
              <w:rFonts w:hint="eastAsia" w:ascii="宋体" w:hAnsi="宋体" w:cs="宋体"/>
              <w:bCs/>
              <w:color w:val="auto"/>
              <w:sz w:val="24"/>
              <w:szCs w:val="40"/>
              <w:highlight w:val="none"/>
            </w:rPr>
            <w:t>报价人须知前附表2：资</w:t>
          </w:r>
          <w:r>
            <w:rPr>
              <w:rFonts w:hint="eastAsia" w:ascii="宋体" w:hAnsi="宋体" w:cs="宋体"/>
              <w:bCs/>
              <w:color w:val="auto"/>
              <w:sz w:val="24"/>
              <w:szCs w:val="40"/>
              <w:highlight w:val="none"/>
            </w:rPr>
            <w:t>格性、符合性检查表</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_Toc481968538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10</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086AE0DA">
          <w:pPr>
            <w:pStyle w:val="13"/>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_Toc12593785 </w:instrText>
          </w:r>
          <w:r>
            <w:rPr>
              <w:rFonts w:hint="eastAsia" w:ascii="宋体" w:hAnsi="宋体" w:cs="宋体"/>
              <w:color w:val="auto"/>
              <w:sz w:val="24"/>
              <w:szCs w:val="40"/>
              <w:highlight w:val="none"/>
            </w:rPr>
            <w:fldChar w:fldCharType="separate"/>
          </w:r>
          <w:r>
            <w:rPr>
              <w:rFonts w:hint="eastAsia" w:ascii="宋体" w:hAnsi="宋体" w:cs="宋体"/>
              <w:color w:val="auto"/>
              <w:sz w:val="24"/>
              <w:szCs w:val="40"/>
              <w:highlight w:val="none"/>
            </w:rPr>
            <w:t>报价人须知前附表3：磋商规则、评审标准</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_Toc12593785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18</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7196444F">
          <w:pPr>
            <w:pStyle w:val="13"/>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_Toc1475657740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22"/>
              <w:highlight w:val="none"/>
            </w:rPr>
            <w:t>报价人须知前附表4：中小企业及监狱企业优惠办法</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_Toc1475657740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29</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404D534B">
          <w:pPr>
            <w:pStyle w:val="13"/>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_Toc1762230432 </w:instrText>
          </w:r>
          <w:r>
            <w:rPr>
              <w:rFonts w:hint="eastAsia" w:ascii="宋体" w:hAnsi="宋体" w:cs="宋体"/>
              <w:color w:val="auto"/>
              <w:sz w:val="24"/>
              <w:szCs w:val="40"/>
              <w:highlight w:val="none"/>
            </w:rPr>
            <w:fldChar w:fldCharType="separate"/>
          </w:r>
          <w:r>
            <w:rPr>
              <w:rFonts w:hint="eastAsia" w:ascii="宋体" w:hAnsi="宋体" w:cs="宋体"/>
              <w:color w:val="auto"/>
              <w:sz w:val="24"/>
              <w:szCs w:val="40"/>
              <w:highlight w:val="none"/>
            </w:rPr>
            <w:t>一、说明</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_Toc1762230432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32</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0B3B2D0E">
          <w:pPr>
            <w:pStyle w:val="12"/>
            <w:tabs>
              <w:tab w:val="right" w:leader="dot" w:pos="8306"/>
            </w:tabs>
            <w:spacing w:line="360" w:lineRule="auto"/>
            <w:ind w:firstLine="480" w:firstLineChars="200"/>
            <w:rPr>
              <w:rFonts w:hint="eastAsia" w:ascii="宋体" w:hAnsi="宋体" w:cs="宋体"/>
              <w:color w:val="auto"/>
              <w:sz w:val="24"/>
              <w:szCs w:val="3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_Toc2080751012 </w:instrText>
          </w:r>
          <w:r>
            <w:rPr>
              <w:rFonts w:hint="eastAsia" w:ascii="宋体" w:hAnsi="宋体" w:cs="宋体"/>
              <w:color w:val="auto"/>
              <w:sz w:val="24"/>
              <w:szCs w:val="40"/>
              <w:highlight w:val="none"/>
            </w:rPr>
            <w:fldChar w:fldCharType="separate"/>
          </w:r>
          <w:r>
            <w:rPr>
              <w:rFonts w:hint="eastAsia" w:ascii="宋体" w:hAnsi="宋体" w:cs="宋体"/>
              <w:color w:val="auto"/>
              <w:sz w:val="24"/>
              <w:szCs w:val="40"/>
              <w:highlight w:val="none"/>
            </w:rPr>
            <w:t>二、采购文件</w:t>
          </w:r>
          <w:r>
            <w:rPr>
              <w:rFonts w:hint="eastAsia" w:ascii="宋体" w:hAnsi="宋体" w:cs="宋体"/>
              <w:color w:val="auto"/>
              <w:sz w:val="24"/>
              <w:szCs w:val="32"/>
              <w:highlight w:val="none"/>
            </w:rPr>
            <w:tab/>
          </w:r>
          <w:r>
            <w:rPr>
              <w:rFonts w:hint="eastAsia" w:ascii="宋体" w:hAnsi="宋体" w:cs="宋体"/>
              <w:color w:val="auto"/>
              <w:sz w:val="24"/>
              <w:szCs w:val="32"/>
              <w:highlight w:val="none"/>
            </w:rPr>
            <w:fldChar w:fldCharType="begin"/>
          </w:r>
          <w:r>
            <w:rPr>
              <w:rFonts w:hint="eastAsia" w:ascii="宋体" w:hAnsi="宋体" w:cs="宋体"/>
              <w:color w:val="auto"/>
              <w:sz w:val="24"/>
              <w:szCs w:val="32"/>
              <w:highlight w:val="none"/>
            </w:rPr>
            <w:instrText xml:space="preserve"> PAGEREF _Toc2080751012 \h </w:instrText>
          </w:r>
          <w:r>
            <w:rPr>
              <w:rFonts w:hint="eastAsia" w:ascii="宋体" w:hAnsi="宋体" w:cs="宋体"/>
              <w:color w:val="auto"/>
              <w:sz w:val="24"/>
              <w:szCs w:val="32"/>
              <w:highlight w:val="none"/>
            </w:rPr>
            <w:fldChar w:fldCharType="separate"/>
          </w:r>
          <w:r>
            <w:rPr>
              <w:rFonts w:hint="eastAsia" w:ascii="宋体" w:hAnsi="宋体" w:eastAsia="宋体" w:cs="宋体"/>
              <w:color w:val="auto"/>
              <w:sz w:val="24"/>
              <w:szCs w:val="32"/>
              <w:highlight w:val="none"/>
            </w:rPr>
            <w:t>34</w:t>
          </w:r>
          <w:r>
            <w:rPr>
              <w:rFonts w:hint="eastAsia" w:ascii="宋体" w:hAnsi="宋体" w:cs="宋体"/>
              <w:color w:val="auto"/>
              <w:sz w:val="24"/>
              <w:szCs w:val="32"/>
              <w:highlight w:val="none"/>
            </w:rPr>
            <w:fldChar w:fldCharType="end"/>
          </w:r>
          <w:r>
            <w:rPr>
              <w:rFonts w:hint="eastAsia" w:ascii="宋体" w:hAnsi="宋体" w:cs="宋体"/>
              <w:color w:val="auto"/>
              <w:sz w:val="24"/>
              <w:szCs w:val="40"/>
              <w:highlight w:val="none"/>
            </w:rPr>
            <w:fldChar w:fldCharType="end"/>
          </w:r>
        </w:p>
        <w:p w14:paraId="4C7621FA">
          <w:pPr>
            <w:pStyle w:val="13"/>
            <w:tabs>
              <w:tab w:val="right" w:leader="dot" w:pos="8306"/>
            </w:tabs>
            <w:spacing w:line="360" w:lineRule="auto"/>
            <w:ind w:left="0" w:leftChars="0" w:firstLine="480" w:firstLineChars="200"/>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_Toc480252347 </w:instrText>
          </w:r>
          <w:r>
            <w:rPr>
              <w:rFonts w:hint="eastAsia" w:ascii="宋体" w:hAnsi="宋体" w:cs="宋体"/>
              <w:color w:val="auto"/>
              <w:sz w:val="24"/>
              <w:szCs w:val="40"/>
              <w:highlight w:val="none"/>
            </w:rPr>
            <w:fldChar w:fldCharType="separate"/>
          </w:r>
          <w:r>
            <w:rPr>
              <w:rFonts w:hint="eastAsia" w:ascii="宋体" w:hAnsi="宋体" w:cs="宋体"/>
              <w:color w:val="auto"/>
              <w:sz w:val="24"/>
              <w:szCs w:val="40"/>
              <w:highlight w:val="none"/>
            </w:rPr>
            <w:t>三、报价文件的编写</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_Toc480252347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35</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7EEC1BA3">
          <w:pPr>
            <w:pStyle w:val="12"/>
            <w:tabs>
              <w:tab w:val="right" w:leader="dot" w:pos="8306"/>
            </w:tabs>
            <w:spacing w:line="360" w:lineRule="auto"/>
            <w:ind w:firstLine="480" w:firstLineChars="200"/>
            <w:rPr>
              <w:rFonts w:hint="eastAsia" w:ascii="宋体" w:hAnsi="宋体" w:cs="宋体"/>
              <w:color w:val="auto"/>
              <w:sz w:val="24"/>
              <w:szCs w:val="3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_Toc69765014 </w:instrText>
          </w:r>
          <w:r>
            <w:rPr>
              <w:rFonts w:hint="eastAsia" w:ascii="宋体" w:hAnsi="宋体" w:cs="宋体"/>
              <w:color w:val="auto"/>
              <w:sz w:val="24"/>
              <w:szCs w:val="40"/>
              <w:highlight w:val="none"/>
            </w:rPr>
            <w:fldChar w:fldCharType="separate"/>
          </w:r>
          <w:r>
            <w:rPr>
              <w:rFonts w:hint="eastAsia" w:ascii="宋体" w:hAnsi="宋体" w:cs="宋体"/>
              <w:color w:val="auto"/>
              <w:sz w:val="24"/>
              <w:szCs w:val="40"/>
              <w:highlight w:val="none"/>
            </w:rPr>
            <w:t>四、报价文件的提交</w:t>
          </w:r>
          <w:r>
            <w:rPr>
              <w:rFonts w:hint="eastAsia" w:ascii="宋体" w:hAnsi="宋体" w:cs="宋体"/>
              <w:color w:val="auto"/>
              <w:sz w:val="24"/>
              <w:szCs w:val="32"/>
              <w:highlight w:val="none"/>
            </w:rPr>
            <w:tab/>
          </w:r>
          <w:r>
            <w:rPr>
              <w:rFonts w:hint="eastAsia" w:ascii="宋体" w:hAnsi="宋体" w:cs="宋体"/>
              <w:color w:val="auto"/>
              <w:sz w:val="24"/>
              <w:szCs w:val="32"/>
              <w:highlight w:val="none"/>
            </w:rPr>
            <w:fldChar w:fldCharType="begin"/>
          </w:r>
          <w:r>
            <w:rPr>
              <w:rFonts w:hint="eastAsia" w:ascii="宋体" w:hAnsi="宋体" w:cs="宋体"/>
              <w:color w:val="auto"/>
              <w:sz w:val="24"/>
              <w:szCs w:val="32"/>
              <w:highlight w:val="none"/>
            </w:rPr>
            <w:instrText xml:space="preserve"> PAGEREF _Toc69765014 \h </w:instrText>
          </w:r>
          <w:r>
            <w:rPr>
              <w:rFonts w:hint="eastAsia" w:ascii="宋体" w:hAnsi="宋体" w:cs="宋体"/>
              <w:color w:val="auto"/>
              <w:sz w:val="24"/>
              <w:szCs w:val="32"/>
              <w:highlight w:val="none"/>
            </w:rPr>
            <w:fldChar w:fldCharType="separate"/>
          </w:r>
          <w:r>
            <w:rPr>
              <w:rFonts w:hint="eastAsia" w:ascii="宋体" w:hAnsi="宋体" w:eastAsia="宋体" w:cs="宋体"/>
              <w:color w:val="auto"/>
              <w:sz w:val="24"/>
              <w:szCs w:val="32"/>
              <w:highlight w:val="none"/>
            </w:rPr>
            <w:t>39</w:t>
          </w:r>
          <w:r>
            <w:rPr>
              <w:rFonts w:hint="eastAsia" w:ascii="宋体" w:hAnsi="宋体" w:cs="宋体"/>
              <w:color w:val="auto"/>
              <w:sz w:val="24"/>
              <w:szCs w:val="32"/>
              <w:highlight w:val="none"/>
            </w:rPr>
            <w:fldChar w:fldCharType="end"/>
          </w:r>
          <w:r>
            <w:rPr>
              <w:rFonts w:hint="eastAsia" w:ascii="宋体" w:hAnsi="宋体" w:cs="宋体"/>
              <w:color w:val="auto"/>
              <w:sz w:val="24"/>
              <w:szCs w:val="40"/>
              <w:highlight w:val="none"/>
            </w:rPr>
            <w:fldChar w:fldCharType="end"/>
          </w:r>
        </w:p>
        <w:p w14:paraId="70823D4B">
          <w:pPr>
            <w:pStyle w:val="12"/>
            <w:tabs>
              <w:tab w:val="right" w:leader="dot" w:pos="8306"/>
            </w:tabs>
            <w:spacing w:line="360" w:lineRule="auto"/>
            <w:ind w:firstLine="480" w:firstLineChars="200"/>
            <w:rPr>
              <w:rFonts w:hint="eastAsia" w:ascii="宋体" w:hAnsi="宋体" w:cs="宋体"/>
              <w:color w:val="auto"/>
              <w:sz w:val="24"/>
              <w:szCs w:val="3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_Toc370113679 </w:instrText>
          </w:r>
          <w:r>
            <w:rPr>
              <w:rFonts w:hint="eastAsia" w:ascii="宋体" w:hAnsi="宋体" w:cs="宋体"/>
              <w:color w:val="auto"/>
              <w:sz w:val="24"/>
              <w:szCs w:val="40"/>
              <w:highlight w:val="none"/>
            </w:rPr>
            <w:fldChar w:fldCharType="separate"/>
          </w:r>
          <w:r>
            <w:rPr>
              <w:rFonts w:hint="eastAsia" w:ascii="宋体" w:hAnsi="宋体" w:cs="宋体"/>
              <w:color w:val="auto"/>
              <w:sz w:val="24"/>
              <w:szCs w:val="40"/>
              <w:highlight w:val="none"/>
            </w:rPr>
            <w:t>五、报价文件的评估和比较</w:t>
          </w:r>
          <w:r>
            <w:rPr>
              <w:rFonts w:hint="eastAsia" w:ascii="宋体" w:hAnsi="宋体" w:cs="宋体"/>
              <w:color w:val="auto"/>
              <w:sz w:val="24"/>
              <w:szCs w:val="32"/>
              <w:highlight w:val="none"/>
            </w:rPr>
            <w:tab/>
          </w:r>
          <w:r>
            <w:rPr>
              <w:rFonts w:hint="eastAsia" w:ascii="宋体" w:hAnsi="宋体" w:cs="宋体"/>
              <w:color w:val="auto"/>
              <w:sz w:val="24"/>
              <w:szCs w:val="32"/>
              <w:highlight w:val="none"/>
            </w:rPr>
            <w:fldChar w:fldCharType="begin"/>
          </w:r>
          <w:r>
            <w:rPr>
              <w:rFonts w:hint="eastAsia" w:ascii="宋体" w:hAnsi="宋体" w:cs="宋体"/>
              <w:color w:val="auto"/>
              <w:sz w:val="24"/>
              <w:szCs w:val="32"/>
              <w:highlight w:val="none"/>
            </w:rPr>
            <w:instrText xml:space="preserve"> PAGEREF _Toc370113679 \h </w:instrText>
          </w:r>
          <w:r>
            <w:rPr>
              <w:rFonts w:hint="eastAsia" w:ascii="宋体" w:hAnsi="宋体" w:cs="宋体"/>
              <w:color w:val="auto"/>
              <w:sz w:val="24"/>
              <w:szCs w:val="32"/>
              <w:highlight w:val="none"/>
            </w:rPr>
            <w:fldChar w:fldCharType="separate"/>
          </w:r>
          <w:r>
            <w:rPr>
              <w:rFonts w:hint="eastAsia" w:ascii="宋体" w:hAnsi="宋体" w:eastAsia="宋体" w:cs="宋体"/>
              <w:color w:val="auto"/>
              <w:sz w:val="24"/>
              <w:szCs w:val="32"/>
              <w:highlight w:val="none"/>
            </w:rPr>
            <w:t>39</w:t>
          </w:r>
          <w:r>
            <w:rPr>
              <w:rFonts w:hint="eastAsia" w:ascii="宋体" w:hAnsi="宋体" w:cs="宋体"/>
              <w:color w:val="auto"/>
              <w:sz w:val="24"/>
              <w:szCs w:val="32"/>
              <w:highlight w:val="none"/>
            </w:rPr>
            <w:fldChar w:fldCharType="end"/>
          </w:r>
          <w:r>
            <w:rPr>
              <w:rFonts w:hint="eastAsia" w:ascii="宋体" w:hAnsi="宋体" w:cs="宋体"/>
              <w:color w:val="auto"/>
              <w:sz w:val="24"/>
              <w:szCs w:val="40"/>
              <w:highlight w:val="none"/>
            </w:rPr>
            <w:fldChar w:fldCharType="end"/>
          </w:r>
        </w:p>
        <w:p w14:paraId="2D7C9529">
          <w:pPr>
            <w:pStyle w:val="12"/>
            <w:tabs>
              <w:tab w:val="right" w:leader="dot" w:pos="8306"/>
            </w:tabs>
            <w:spacing w:line="360" w:lineRule="auto"/>
            <w:ind w:firstLine="480" w:firstLineChars="200"/>
            <w:rPr>
              <w:rFonts w:hint="eastAsia" w:ascii="宋体" w:hAnsi="宋体" w:cs="宋体"/>
              <w:color w:val="auto"/>
              <w:sz w:val="24"/>
              <w:szCs w:val="3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_Toc1320416104 </w:instrText>
          </w:r>
          <w:r>
            <w:rPr>
              <w:rFonts w:hint="eastAsia" w:ascii="宋体" w:hAnsi="宋体" w:cs="宋体"/>
              <w:color w:val="auto"/>
              <w:sz w:val="24"/>
              <w:szCs w:val="40"/>
              <w:highlight w:val="none"/>
            </w:rPr>
            <w:fldChar w:fldCharType="separate"/>
          </w:r>
          <w:r>
            <w:rPr>
              <w:rFonts w:hint="eastAsia" w:ascii="宋体" w:hAnsi="宋体" w:cs="宋体"/>
              <w:color w:val="auto"/>
              <w:sz w:val="24"/>
              <w:szCs w:val="40"/>
              <w:highlight w:val="none"/>
            </w:rPr>
            <w:t>六、成交与签订合同</w:t>
          </w:r>
          <w:r>
            <w:rPr>
              <w:rFonts w:hint="eastAsia" w:ascii="宋体" w:hAnsi="宋体" w:cs="宋体"/>
              <w:color w:val="auto"/>
              <w:sz w:val="24"/>
              <w:szCs w:val="32"/>
              <w:highlight w:val="none"/>
            </w:rPr>
            <w:tab/>
          </w:r>
          <w:r>
            <w:rPr>
              <w:rFonts w:hint="eastAsia" w:ascii="宋体" w:hAnsi="宋体" w:cs="宋体"/>
              <w:color w:val="auto"/>
              <w:sz w:val="24"/>
              <w:szCs w:val="32"/>
              <w:highlight w:val="none"/>
            </w:rPr>
            <w:fldChar w:fldCharType="begin"/>
          </w:r>
          <w:r>
            <w:rPr>
              <w:rFonts w:hint="eastAsia" w:ascii="宋体" w:hAnsi="宋体" w:cs="宋体"/>
              <w:color w:val="auto"/>
              <w:sz w:val="24"/>
              <w:szCs w:val="32"/>
              <w:highlight w:val="none"/>
            </w:rPr>
            <w:instrText xml:space="preserve"> PAGEREF _Toc1320416104 \h </w:instrText>
          </w:r>
          <w:r>
            <w:rPr>
              <w:rFonts w:hint="eastAsia" w:ascii="宋体" w:hAnsi="宋体" w:cs="宋体"/>
              <w:color w:val="auto"/>
              <w:sz w:val="24"/>
              <w:szCs w:val="32"/>
              <w:highlight w:val="none"/>
            </w:rPr>
            <w:fldChar w:fldCharType="separate"/>
          </w:r>
          <w:r>
            <w:rPr>
              <w:rFonts w:hint="eastAsia" w:ascii="宋体" w:hAnsi="宋体" w:eastAsia="宋体" w:cs="宋体"/>
              <w:color w:val="auto"/>
              <w:sz w:val="24"/>
              <w:szCs w:val="32"/>
              <w:highlight w:val="none"/>
            </w:rPr>
            <w:t>42</w:t>
          </w:r>
          <w:r>
            <w:rPr>
              <w:rFonts w:hint="eastAsia" w:ascii="宋体" w:hAnsi="宋体" w:cs="宋体"/>
              <w:color w:val="auto"/>
              <w:sz w:val="24"/>
              <w:szCs w:val="32"/>
              <w:highlight w:val="none"/>
            </w:rPr>
            <w:fldChar w:fldCharType="end"/>
          </w:r>
          <w:r>
            <w:rPr>
              <w:rFonts w:hint="eastAsia" w:ascii="宋体" w:hAnsi="宋体" w:cs="宋体"/>
              <w:color w:val="auto"/>
              <w:sz w:val="24"/>
              <w:szCs w:val="40"/>
              <w:highlight w:val="none"/>
            </w:rPr>
            <w:fldChar w:fldCharType="end"/>
          </w:r>
        </w:p>
        <w:p w14:paraId="4D45DDBF">
          <w:pPr>
            <w:pStyle w:val="12"/>
            <w:tabs>
              <w:tab w:val="right" w:leader="dot" w:pos="8306"/>
            </w:tabs>
            <w:spacing w:line="360" w:lineRule="auto"/>
            <w:rPr>
              <w:rFonts w:hint="eastAsia" w:ascii="宋体" w:hAnsi="宋体" w:cs="宋体"/>
              <w:color w:val="auto"/>
              <w:sz w:val="24"/>
              <w:szCs w:val="32"/>
              <w:highlight w:val="none"/>
            </w:rPr>
          </w:pPr>
          <w:r>
            <w:rPr>
              <w:rFonts w:hint="eastAsia" w:ascii="宋体" w:hAnsi="宋体" w:cs="宋体"/>
              <w:b/>
              <w:bCs/>
              <w:color w:val="auto"/>
              <w:sz w:val="24"/>
              <w:szCs w:val="40"/>
              <w:highlight w:val="none"/>
            </w:rPr>
            <w:fldChar w:fldCharType="begin"/>
          </w:r>
          <w:r>
            <w:rPr>
              <w:rFonts w:hint="eastAsia" w:ascii="宋体" w:hAnsi="宋体" w:cs="宋体"/>
              <w:b/>
              <w:bCs/>
              <w:color w:val="auto"/>
              <w:sz w:val="24"/>
              <w:szCs w:val="40"/>
              <w:highlight w:val="none"/>
            </w:rPr>
            <w:instrText xml:space="preserve"> HYPERLINK \l _Toc673582025 </w:instrText>
          </w:r>
          <w:r>
            <w:rPr>
              <w:rFonts w:hint="eastAsia" w:ascii="宋体" w:hAnsi="宋体" w:cs="宋体"/>
              <w:b/>
              <w:bCs/>
              <w:color w:val="auto"/>
              <w:sz w:val="24"/>
              <w:szCs w:val="40"/>
              <w:highlight w:val="none"/>
            </w:rPr>
            <w:fldChar w:fldCharType="separate"/>
          </w:r>
          <w:r>
            <w:rPr>
              <w:rFonts w:hint="eastAsia" w:ascii="宋体" w:hAnsi="宋体" w:cs="宋体"/>
              <w:b/>
              <w:bCs/>
              <w:color w:val="auto"/>
              <w:sz w:val="24"/>
              <w:szCs w:val="40"/>
              <w:highlight w:val="none"/>
            </w:rPr>
            <w:t>第三章  磋商内容及要求</w:t>
          </w:r>
          <w:r>
            <w:rPr>
              <w:rFonts w:hint="eastAsia" w:ascii="宋体" w:hAnsi="宋体" w:cs="宋体"/>
              <w:b/>
              <w:bCs/>
              <w:color w:val="auto"/>
              <w:sz w:val="24"/>
              <w:szCs w:val="32"/>
              <w:highlight w:val="none"/>
            </w:rPr>
            <w:tab/>
          </w:r>
          <w:r>
            <w:rPr>
              <w:rFonts w:hint="eastAsia" w:ascii="宋体" w:hAnsi="宋体" w:cs="宋体"/>
              <w:b/>
              <w:bCs/>
              <w:color w:val="auto"/>
              <w:sz w:val="24"/>
              <w:szCs w:val="32"/>
              <w:highlight w:val="none"/>
            </w:rPr>
            <w:fldChar w:fldCharType="begin"/>
          </w:r>
          <w:r>
            <w:rPr>
              <w:rFonts w:hint="eastAsia" w:ascii="宋体" w:hAnsi="宋体" w:cs="宋体"/>
              <w:b/>
              <w:bCs/>
              <w:color w:val="auto"/>
              <w:sz w:val="24"/>
              <w:szCs w:val="32"/>
              <w:highlight w:val="none"/>
            </w:rPr>
            <w:instrText xml:space="preserve"> PAGEREF _Toc673582025 \h </w:instrText>
          </w:r>
          <w:r>
            <w:rPr>
              <w:rFonts w:hint="eastAsia" w:ascii="宋体" w:hAnsi="宋体" w:cs="宋体"/>
              <w:b/>
              <w:bCs/>
              <w:color w:val="auto"/>
              <w:sz w:val="24"/>
              <w:szCs w:val="32"/>
              <w:highlight w:val="none"/>
            </w:rPr>
            <w:fldChar w:fldCharType="separate"/>
          </w:r>
          <w:r>
            <w:rPr>
              <w:rFonts w:hint="eastAsia" w:ascii="宋体" w:hAnsi="宋体" w:eastAsia="宋体" w:cs="宋体"/>
              <w:b/>
              <w:bCs/>
              <w:color w:val="auto"/>
              <w:sz w:val="24"/>
              <w:szCs w:val="32"/>
              <w:highlight w:val="none"/>
            </w:rPr>
            <w:t>44</w:t>
          </w:r>
          <w:r>
            <w:rPr>
              <w:rFonts w:hint="eastAsia" w:ascii="宋体" w:hAnsi="宋体" w:cs="宋体"/>
              <w:b/>
              <w:bCs/>
              <w:color w:val="auto"/>
              <w:sz w:val="24"/>
              <w:szCs w:val="32"/>
              <w:highlight w:val="none"/>
            </w:rPr>
            <w:fldChar w:fldCharType="end"/>
          </w:r>
          <w:r>
            <w:rPr>
              <w:rFonts w:hint="eastAsia" w:ascii="宋体" w:hAnsi="宋体" w:cs="宋体"/>
              <w:b/>
              <w:bCs/>
              <w:color w:val="auto"/>
              <w:sz w:val="24"/>
              <w:szCs w:val="40"/>
              <w:highlight w:val="none"/>
            </w:rPr>
            <w:fldChar w:fldCharType="end"/>
          </w:r>
        </w:p>
        <w:p w14:paraId="77DD69A4">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_Toc700809290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一、采购项目概述</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_Toc700809290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44</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1A91BC4F">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_Toc688740652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二、技术要求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_Toc688740652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44</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5FE54936">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_Toc946407761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三、商务要求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_Toc946407761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46</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0449D649">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_Toc672100360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四、报价要求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_Toc672100360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46</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291E42EA">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_Toc701334438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五、付款条件</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_Toc701334438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48</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1757D549">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_Toc264151268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六、施工要求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_Toc264151268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48</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0F55B9F1">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_Toc785763472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七、验收条件</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_Toc785763472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48</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7A7D447A">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_Toc597148611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八、工期要求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_Toc597148611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48</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274D1E59">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_Toc1138319257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九、质量要求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_Toc1138319257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48</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3547FBCD">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_Toc1925299962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十、工程维保服务要求</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_Toc1925299962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49</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7213C5B1">
          <w:pPr>
            <w:pStyle w:val="13"/>
            <w:tabs>
              <w:tab w:val="right" w:leader="dot" w:pos="8306"/>
            </w:tabs>
            <w:spacing w:line="360" w:lineRule="auto"/>
            <w:rPr>
              <w:rFonts w:hint="eastAsia" w:ascii="宋体" w:hAnsi="宋体" w:cs="宋体"/>
              <w:color w:val="auto"/>
              <w:sz w:val="24"/>
              <w:szCs w:val="22"/>
              <w:highlight w:val="none"/>
            </w:rPr>
          </w:pPr>
          <w:r>
            <w:rPr>
              <w:rFonts w:hint="eastAsia" w:ascii="宋体" w:hAnsi="宋体" w:cs="宋体"/>
              <w:color w:val="auto"/>
              <w:sz w:val="24"/>
              <w:szCs w:val="40"/>
              <w:highlight w:val="none"/>
            </w:rPr>
            <w:fldChar w:fldCharType="begin"/>
          </w:r>
          <w:r>
            <w:rPr>
              <w:rFonts w:hint="eastAsia" w:ascii="宋体" w:hAnsi="宋体" w:cs="宋体"/>
              <w:color w:val="auto"/>
              <w:sz w:val="24"/>
              <w:szCs w:val="40"/>
              <w:highlight w:val="none"/>
            </w:rPr>
            <w:instrText xml:space="preserve"> HYPERLINK \l _Toc2072806352 </w:instrText>
          </w:r>
          <w:r>
            <w:rPr>
              <w:rFonts w:hint="eastAsia" w:ascii="宋体" w:hAnsi="宋体" w:cs="宋体"/>
              <w:color w:val="auto"/>
              <w:sz w:val="24"/>
              <w:szCs w:val="40"/>
              <w:highlight w:val="none"/>
            </w:rPr>
            <w:fldChar w:fldCharType="separate"/>
          </w:r>
          <w:r>
            <w:rPr>
              <w:rFonts w:hint="eastAsia" w:ascii="宋体" w:hAnsi="宋体" w:eastAsia="宋体" w:cs="宋体"/>
              <w:color w:val="auto"/>
              <w:sz w:val="24"/>
              <w:szCs w:val="32"/>
              <w:highlight w:val="none"/>
            </w:rPr>
            <w:t>十一、资格证明文件</w:t>
          </w:r>
          <w:r>
            <w:rPr>
              <w:rFonts w:hint="eastAsia" w:ascii="宋体" w:hAnsi="宋体" w:cs="宋体"/>
              <w:color w:val="auto"/>
              <w:sz w:val="24"/>
              <w:szCs w:val="22"/>
              <w:highlight w:val="none"/>
            </w:rPr>
            <w:tab/>
          </w:r>
          <w:r>
            <w:rPr>
              <w:rFonts w:hint="eastAsia" w:ascii="宋体" w:hAnsi="宋体" w:cs="宋体"/>
              <w:color w:val="auto"/>
              <w:sz w:val="24"/>
              <w:szCs w:val="22"/>
              <w:highlight w:val="none"/>
            </w:rPr>
            <w:fldChar w:fldCharType="begin"/>
          </w:r>
          <w:r>
            <w:rPr>
              <w:rFonts w:hint="eastAsia" w:ascii="宋体" w:hAnsi="宋体" w:cs="宋体"/>
              <w:color w:val="auto"/>
              <w:sz w:val="24"/>
              <w:szCs w:val="22"/>
              <w:highlight w:val="none"/>
            </w:rPr>
            <w:instrText xml:space="preserve"> PAGEREF _Toc2072806352 \h </w:instrText>
          </w:r>
          <w:r>
            <w:rPr>
              <w:rFonts w:hint="eastAsia" w:ascii="宋体" w:hAnsi="宋体" w:cs="宋体"/>
              <w:color w:val="auto"/>
              <w:sz w:val="24"/>
              <w:szCs w:val="22"/>
              <w:highlight w:val="none"/>
            </w:rPr>
            <w:fldChar w:fldCharType="separate"/>
          </w:r>
          <w:r>
            <w:rPr>
              <w:rFonts w:hint="eastAsia" w:ascii="宋体" w:hAnsi="宋体" w:eastAsia="宋体" w:cs="宋体"/>
              <w:color w:val="auto"/>
              <w:sz w:val="24"/>
              <w:szCs w:val="22"/>
              <w:highlight w:val="none"/>
            </w:rPr>
            <w:t>49</w:t>
          </w:r>
          <w:r>
            <w:rPr>
              <w:rFonts w:hint="eastAsia" w:ascii="宋体" w:hAnsi="宋体" w:cs="宋体"/>
              <w:color w:val="auto"/>
              <w:sz w:val="24"/>
              <w:szCs w:val="22"/>
              <w:highlight w:val="none"/>
            </w:rPr>
            <w:fldChar w:fldCharType="end"/>
          </w:r>
          <w:r>
            <w:rPr>
              <w:rFonts w:hint="eastAsia" w:ascii="宋体" w:hAnsi="宋体" w:cs="宋体"/>
              <w:color w:val="auto"/>
              <w:sz w:val="24"/>
              <w:szCs w:val="40"/>
              <w:highlight w:val="none"/>
            </w:rPr>
            <w:fldChar w:fldCharType="end"/>
          </w:r>
        </w:p>
        <w:p w14:paraId="00D31AAB">
          <w:pPr>
            <w:pStyle w:val="12"/>
            <w:tabs>
              <w:tab w:val="right" w:leader="dot" w:pos="8306"/>
            </w:tabs>
            <w:spacing w:line="360" w:lineRule="auto"/>
            <w:rPr>
              <w:rFonts w:hint="eastAsia" w:ascii="宋体" w:hAnsi="宋体" w:cs="宋体"/>
              <w:b/>
              <w:bCs/>
              <w:color w:val="auto"/>
              <w:sz w:val="24"/>
              <w:szCs w:val="32"/>
              <w:highlight w:val="none"/>
            </w:rPr>
          </w:pPr>
          <w:r>
            <w:rPr>
              <w:rFonts w:hint="eastAsia" w:ascii="宋体" w:hAnsi="宋体" w:cs="宋体"/>
              <w:b/>
              <w:bCs/>
              <w:color w:val="auto"/>
              <w:sz w:val="24"/>
              <w:szCs w:val="40"/>
              <w:highlight w:val="none"/>
            </w:rPr>
            <w:fldChar w:fldCharType="begin"/>
          </w:r>
          <w:r>
            <w:rPr>
              <w:rFonts w:hint="eastAsia" w:ascii="宋体" w:hAnsi="宋体" w:cs="宋体"/>
              <w:b/>
              <w:bCs/>
              <w:color w:val="auto"/>
              <w:sz w:val="24"/>
              <w:szCs w:val="40"/>
              <w:highlight w:val="none"/>
            </w:rPr>
            <w:instrText xml:space="preserve"> HYPERLINK \l _Toc533431948 </w:instrText>
          </w:r>
          <w:r>
            <w:rPr>
              <w:rFonts w:hint="eastAsia" w:ascii="宋体" w:hAnsi="宋体" w:cs="宋体"/>
              <w:b/>
              <w:bCs/>
              <w:color w:val="auto"/>
              <w:sz w:val="24"/>
              <w:szCs w:val="40"/>
              <w:highlight w:val="none"/>
            </w:rPr>
            <w:fldChar w:fldCharType="separate"/>
          </w:r>
          <w:r>
            <w:rPr>
              <w:rFonts w:hint="eastAsia" w:ascii="宋体" w:hAnsi="宋体" w:cs="宋体"/>
              <w:b/>
              <w:bCs/>
              <w:color w:val="auto"/>
              <w:sz w:val="24"/>
              <w:szCs w:val="40"/>
              <w:highlight w:val="none"/>
            </w:rPr>
            <w:t>第四章  采购合同（参考文本）</w:t>
          </w:r>
          <w:r>
            <w:rPr>
              <w:rFonts w:hint="eastAsia" w:ascii="宋体" w:hAnsi="宋体" w:cs="宋体"/>
              <w:b/>
              <w:bCs/>
              <w:color w:val="auto"/>
              <w:sz w:val="24"/>
              <w:szCs w:val="32"/>
              <w:highlight w:val="none"/>
            </w:rPr>
            <w:tab/>
          </w:r>
          <w:r>
            <w:rPr>
              <w:rFonts w:hint="eastAsia" w:ascii="宋体" w:hAnsi="宋体" w:cs="宋体"/>
              <w:b/>
              <w:bCs/>
              <w:color w:val="auto"/>
              <w:sz w:val="24"/>
              <w:szCs w:val="32"/>
              <w:highlight w:val="none"/>
            </w:rPr>
            <w:fldChar w:fldCharType="begin"/>
          </w:r>
          <w:r>
            <w:rPr>
              <w:rFonts w:hint="eastAsia" w:ascii="宋体" w:hAnsi="宋体" w:cs="宋体"/>
              <w:b/>
              <w:bCs/>
              <w:color w:val="auto"/>
              <w:sz w:val="24"/>
              <w:szCs w:val="32"/>
              <w:highlight w:val="none"/>
            </w:rPr>
            <w:instrText xml:space="preserve"> PAGEREF _Toc533431948 \h </w:instrText>
          </w:r>
          <w:r>
            <w:rPr>
              <w:rFonts w:hint="eastAsia" w:ascii="宋体" w:hAnsi="宋体" w:cs="宋体"/>
              <w:b/>
              <w:bCs/>
              <w:color w:val="auto"/>
              <w:sz w:val="24"/>
              <w:szCs w:val="32"/>
              <w:highlight w:val="none"/>
            </w:rPr>
            <w:fldChar w:fldCharType="separate"/>
          </w:r>
          <w:r>
            <w:rPr>
              <w:rFonts w:hint="eastAsia" w:ascii="宋体" w:hAnsi="宋体" w:eastAsia="宋体" w:cs="宋体"/>
              <w:b/>
              <w:bCs/>
              <w:color w:val="auto"/>
              <w:sz w:val="24"/>
              <w:szCs w:val="32"/>
              <w:highlight w:val="none"/>
            </w:rPr>
            <w:t>50</w:t>
          </w:r>
          <w:r>
            <w:rPr>
              <w:rFonts w:hint="eastAsia" w:ascii="宋体" w:hAnsi="宋体" w:cs="宋体"/>
              <w:b/>
              <w:bCs/>
              <w:color w:val="auto"/>
              <w:sz w:val="24"/>
              <w:szCs w:val="32"/>
              <w:highlight w:val="none"/>
            </w:rPr>
            <w:fldChar w:fldCharType="end"/>
          </w:r>
          <w:r>
            <w:rPr>
              <w:rFonts w:hint="eastAsia" w:ascii="宋体" w:hAnsi="宋体" w:cs="宋体"/>
              <w:b/>
              <w:bCs/>
              <w:color w:val="auto"/>
              <w:sz w:val="24"/>
              <w:szCs w:val="40"/>
              <w:highlight w:val="none"/>
            </w:rPr>
            <w:fldChar w:fldCharType="end"/>
          </w:r>
        </w:p>
        <w:p w14:paraId="73B39AE3">
          <w:pPr>
            <w:pStyle w:val="12"/>
            <w:tabs>
              <w:tab w:val="right" w:leader="dot" w:pos="8306"/>
            </w:tabs>
            <w:spacing w:line="360" w:lineRule="auto"/>
            <w:rPr>
              <w:rFonts w:hint="eastAsia" w:ascii="宋体" w:hAnsi="宋体" w:cs="宋体"/>
              <w:b/>
              <w:bCs/>
              <w:color w:val="auto"/>
              <w:sz w:val="24"/>
              <w:szCs w:val="32"/>
              <w:highlight w:val="none"/>
            </w:rPr>
          </w:pPr>
          <w:r>
            <w:rPr>
              <w:rFonts w:hint="eastAsia" w:ascii="宋体" w:hAnsi="宋体" w:cs="宋体"/>
              <w:b/>
              <w:bCs/>
              <w:color w:val="auto"/>
              <w:sz w:val="24"/>
              <w:szCs w:val="40"/>
              <w:highlight w:val="none"/>
            </w:rPr>
            <w:fldChar w:fldCharType="begin"/>
          </w:r>
          <w:r>
            <w:rPr>
              <w:rFonts w:hint="eastAsia" w:ascii="宋体" w:hAnsi="宋体" w:cs="宋体"/>
              <w:b/>
              <w:bCs/>
              <w:color w:val="auto"/>
              <w:sz w:val="24"/>
              <w:szCs w:val="40"/>
              <w:highlight w:val="none"/>
            </w:rPr>
            <w:instrText xml:space="preserve"> HYPERLINK \l _Toc1540046746 </w:instrText>
          </w:r>
          <w:r>
            <w:rPr>
              <w:rFonts w:hint="eastAsia" w:ascii="宋体" w:hAnsi="宋体" w:cs="宋体"/>
              <w:b/>
              <w:bCs/>
              <w:color w:val="auto"/>
              <w:sz w:val="24"/>
              <w:szCs w:val="40"/>
              <w:highlight w:val="none"/>
            </w:rPr>
            <w:fldChar w:fldCharType="separate"/>
          </w:r>
          <w:r>
            <w:rPr>
              <w:rFonts w:hint="eastAsia" w:ascii="宋体" w:hAnsi="宋体" w:cs="宋体"/>
              <w:b/>
              <w:bCs/>
              <w:color w:val="auto"/>
              <w:sz w:val="24"/>
              <w:szCs w:val="40"/>
              <w:highlight w:val="none"/>
            </w:rPr>
            <w:t>第五章　报价文件格式</w:t>
          </w:r>
          <w:r>
            <w:rPr>
              <w:rFonts w:hint="eastAsia" w:ascii="宋体" w:hAnsi="宋体" w:cs="宋体"/>
              <w:b/>
              <w:bCs/>
              <w:color w:val="auto"/>
              <w:sz w:val="24"/>
              <w:szCs w:val="32"/>
              <w:highlight w:val="none"/>
            </w:rPr>
            <w:tab/>
          </w:r>
          <w:r>
            <w:rPr>
              <w:rFonts w:hint="eastAsia" w:ascii="宋体" w:hAnsi="宋体" w:cs="宋体"/>
              <w:b/>
              <w:bCs/>
              <w:color w:val="auto"/>
              <w:sz w:val="24"/>
              <w:szCs w:val="32"/>
              <w:highlight w:val="none"/>
            </w:rPr>
            <w:fldChar w:fldCharType="begin"/>
          </w:r>
          <w:r>
            <w:rPr>
              <w:rFonts w:hint="eastAsia" w:ascii="宋体" w:hAnsi="宋体" w:cs="宋体"/>
              <w:b/>
              <w:bCs/>
              <w:color w:val="auto"/>
              <w:sz w:val="24"/>
              <w:szCs w:val="32"/>
              <w:highlight w:val="none"/>
            </w:rPr>
            <w:instrText xml:space="preserve"> PAGEREF _Toc1540046746 \h </w:instrText>
          </w:r>
          <w:r>
            <w:rPr>
              <w:rFonts w:hint="eastAsia" w:ascii="宋体" w:hAnsi="宋体" w:cs="宋体"/>
              <w:b/>
              <w:bCs/>
              <w:color w:val="auto"/>
              <w:sz w:val="24"/>
              <w:szCs w:val="32"/>
              <w:highlight w:val="none"/>
            </w:rPr>
            <w:fldChar w:fldCharType="separate"/>
          </w:r>
          <w:r>
            <w:rPr>
              <w:rFonts w:hint="eastAsia" w:ascii="宋体" w:hAnsi="宋体" w:eastAsia="宋体" w:cs="宋体"/>
              <w:b/>
              <w:bCs/>
              <w:color w:val="auto"/>
              <w:sz w:val="24"/>
              <w:szCs w:val="32"/>
              <w:highlight w:val="none"/>
            </w:rPr>
            <w:t>85</w:t>
          </w:r>
          <w:r>
            <w:rPr>
              <w:rFonts w:hint="eastAsia" w:ascii="宋体" w:hAnsi="宋体" w:cs="宋体"/>
              <w:b/>
              <w:bCs/>
              <w:color w:val="auto"/>
              <w:sz w:val="24"/>
              <w:szCs w:val="32"/>
              <w:highlight w:val="none"/>
            </w:rPr>
            <w:fldChar w:fldCharType="end"/>
          </w:r>
          <w:r>
            <w:rPr>
              <w:rFonts w:hint="eastAsia" w:ascii="宋体" w:hAnsi="宋体" w:cs="宋体"/>
              <w:b/>
              <w:bCs/>
              <w:color w:val="auto"/>
              <w:sz w:val="24"/>
              <w:szCs w:val="40"/>
              <w:highlight w:val="none"/>
            </w:rPr>
            <w:fldChar w:fldCharType="end"/>
          </w:r>
        </w:p>
        <w:p w14:paraId="75F15EF1">
          <w:pPr>
            <w:spacing w:line="360" w:lineRule="auto"/>
            <w:rPr>
              <w:rFonts w:ascii="宋体" w:hAnsi="宋体" w:cs="宋体"/>
              <w:color w:val="auto"/>
              <w:szCs w:val="32"/>
              <w:highlight w:val="none"/>
            </w:rPr>
          </w:pPr>
          <w:r>
            <w:rPr>
              <w:rFonts w:hint="eastAsia" w:ascii="宋体" w:hAnsi="宋体" w:cs="宋体"/>
              <w:color w:val="auto"/>
              <w:szCs w:val="32"/>
              <w:highlight w:val="none"/>
            </w:rPr>
            <w:fldChar w:fldCharType="end"/>
          </w:r>
        </w:p>
      </w:sdtContent>
    </w:sdt>
    <w:p w14:paraId="775E69E5">
      <w:pPr>
        <w:spacing w:line="360" w:lineRule="auto"/>
        <w:rPr>
          <w:rFonts w:ascii="宋体" w:hAnsi="宋体" w:cs="宋体"/>
          <w:color w:val="auto"/>
          <w:szCs w:val="32"/>
          <w:highlight w:val="none"/>
        </w:rPr>
      </w:pPr>
    </w:p>
    <w:p w14:paraId="1FF1A308">
      <w:pPr>
        <w:spacing w:line="360" w:lineRule="auto"/>
        <w:jc w:val="center"/>
        <w:outlineLvl w:val="0"/>
        <w:rPr>
          <w:rFonts w:ascii="宋体" w:hAnsi="宋体" w:cs="宋体"/>
          <w:b/>
          <w:bCs/>
          <w:color w:val="auto"/>
          <w:sz w:val="24"/>
          <w:szCs w:val="24"/>
          <w:highlight w:val="none"/>
        </w:rPr>
      </w:pPr>
      <w:bookmarkStart w:id="0" w:name="_Toc21705"/>
      <w:bookmarkStart w:id="1" w:name="_Toc995878070"/>
      <w:bookmarkStart w:id="2" w:name="_Toc19784"/>
      <w:r>
        <w:rPr>
          <w:rFonts w:hint="eastAsia" w:ascii="宋体" w:hAnsi="宋体" w:cs="宋体"/>
          <w:b/>
          <w:bCs/>
          <w:color w:val="auto"/>
          <w:sz w:val="32"/>
          <w:szCs w:val="32"/>
          <w:highlight w:val="none"/>
        </w:rPr>
        <w:t>第一章</w:t>
      </w:r>
      <w:bookmarkEnd w:id="0"/>
      <w:bookmarkStart w:id="3" w:name="_Toc19307"/>
      <w:r>
        <w:rPr>
          <w:rFonts w:hint="default" w:ascii="宋体" w:hAnsi="宋体" w:cs="宋体"/>
          <w:b/>
          <w:bCs/>
          <w:color w:val="auto"/>
          <w:sz w:val="32"/>
          <w:szCs w:val="32"/>
          <w:highlight w:val="none"/>
        </w:rPr>
        <w:t xml:space="preserve">  </w:t>
      </w:r>
      <w:r>
        <w:rPr>
          <w:rFonts w:hint="eastAsia" w:ascii="宋体" w:hAnsi="宋体" w:cs="宋体"/>
          <w:b/>
          <w:bCs/>
          <w:color w:val="auto"/>
          <w:sz w:val="32"/>
          <w:szCs w:val="32"/>
          <w:highlight w:val="none"/>
        </w:rPr>
        <w:t>磋商邀请</w:t>
      </w:r>
      <w:bookmarkEnd w:id="1"/>
      <w:bookmarkEnd w:id="2"/>
      <w:bookmarkEnd w:id="3"/>
    </w:p>
    <w:p w14:paraId="47C0F43F">
      <w:pPr>
        <w:tabs>
          <w:tab w:val="left" w:pos="900"/>
        </w:tabs>
        <w:spacing w:line="360" w:lineRule="auto"/>
        <w:ind w:firstLine="482" w:firstLineChars="200"/>
        <w:rPr>
          <w:rFonts w:ascii="宋体" w:hAnsi="宋体" w:cs="宋体"/>
          <w:b/>
          <w:bCs/>
          <w:color w:val="auto"/>
          <w:sz w:val="24"/>
          <w:szCs w:val="24"/>
          <w:highlight w:val="none"/>
          <w:u w:val="single"/>
        </w:rPr>
      </w:pPr>
      <w:r>
        <w:rPr>
          <w:rFonts w:hint="eastAsia" w:ascii="宋体" w:hAnsi="宋体" w:cs="宋体"/>
          <w:b/>
          <w:color w:val="auto"/>
          <w:sz w:val="24"/>
          <w:szCs w:val="24"/>
          <w:highlight w:val="none"/>
          <w:u w:val="single"/>
        </w:rPr>
        <w:t>厦门万</w:t>
      </w:r>
      <w:r>
        <w:rPr>
          <w:rFonts w:hint="eastAsia" w:ascii="宋体" w:hAnsi="宋体" w:cs="宋体"/>
          <w:b/>
          <w:color w:val="auto"/>
          <w:sz w:val="24"/>
          <w:szCs w:val="24"/>
          <w:highlight w:val="none"/>
          <w:u w:val="single"/>
        </w:rPr>
        <w:t>翔招标有限公司</w:t>
      </w:r>
      <w:r>
        <w:rPr>
          <w:rFonts w:hint="eastAsia" w:ascii="宋体" w:hAnsi="宋体" w:cs="宋体"/>
          <w:color w:val="auto"/>
          <w:sz w:val="24"/>
          <w:szCs w:val="24"/>
          <w:highlight w:val="none"/>
        </w:rPr>
        <w:t>受采购人</w:t>
      </w:r>
      <w:r>
        <w:rPr>
          <w:rFonts w:hint="eastAsia" w:ascii="宋体" w:hAnsi="宋体" w:cs="宋体"/>
          <w:b/>
          <w:color w:val="auto"/>
          <w:sz w:val="24"/>
          <w:szCs w:val="24"/>
          <w:highlight w:val="none"/>
          <w:u w:val="single"/>
        </w:rPr>
        <w:t>福建省厦门第六中学</w:t>
      </w:r>
      <w:r>
        <w:rPr>
          <w:rFonts w:hint="eastAsia" w:ascii="宋体" w:hAnsi="宋体" w:cs="宋体"/>
          <w:color w:val="auto"/>
          <w:sz w:val="24"/>
          <w:szCs w:val="24"/>
          <w:highlight w:val="none"/>
        </w:rPr>
        <w:t>委托，对</w:t>
      </w:r>
      <w:r>
        <w:rPr>
          <w:rFonts w:hint="eastAsia" w:ascii="宋体" w:hAnsi="宋体" w:cs="宋体"/>
          <w:b/>
          <w:bCs/>
          <w:color w:val="auto"/>
          <w:sz w:val="24"/>
          <w:szCs w:val="24"/>
          <w:highlight w:val="none"/>
        </w:rPr>
        <w:t>厦禾校区食堂建设及文博楼用电改造</w:t>
      </w:r>
      <w:r>
        <w:rPr>
          <w:rFonts w:hint="eastAsia" w:ascii="宋体" w:hAnsi="宋体" w:cs="宋体"/>
          <w:bCs/>
          <w:color w:val="auto"/>
          <w:sz w:val="24"/>
          <w:szCs w:val="24"/>
          <w:highlight w:val="none"/>
        </w:rPr>
        <w:t>项目的采购</w:t>
      </w:r>
      <w:r>
        <w:rPr>
          <w:rFonts w:hint="eastAsia" w:ascii="宋体" w:hAnsi="宋体" w:cs="宋体"/>
          <w:color w:val="auto"/>
          <w:sz w:val="24"/>
          <w:szCs w:val="24"/>
          <w:highlight w:val="none"/>
        </w:rPr>
        <w:t>采用</w:t>
      </w:r>
      <w:r>
        <w:rPr>
          <w:rFonts w:hint="eastAsia" w:ascii="宋体" w:hAnsi="宋体" w:cs="宋体"/>
          <w:b/>
          <w:color w:val="auto"/>
          <w:sz w:val="24"/>
          <w:szCs w:val="24"/>
          <w:highlight w:val="none"/>
          <w:u w:val="single"/>
        </w:rPr>
        <w:t>竞争性磋商方式</w:t>
      </w:r>
      <w:r>
        <w:rPr>
          <w:rFonts w:hint="eastAsia" w:ascii="宋体" w:hAnsi="宋体" w:cs="宋体"/>
          <w:color w:val="auto"/>
          <w:sz w:val="24"/>
          <w:szCs w:val="24"/>
          <w:highlight w:val="none"/>
        </w:rPr>
        <w:t>进行。现欢迎国内合格报价人密封提交报价文件。</w:t>
      </w:r>
    </w:p>
    <w:p w14:paraId="162EA90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1.项目编号：XM2025-TZ5071。</w:t>
      </w:r>
    </w:p>
    <w:p w14:paraId="58FF4A0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2.采购工程名称、数量及主要技术规格：见后附采购工程一览表。</w:t>
      </w:r>
    </w:p>
    <w:p w14:paraId="389CDF3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3.采购文件获取方式：</w:t>
      </w:r>
      <w:r>
        <w:rPr>
          <w:rFonts w:hint="eastAsia" w:ascii="宋体" w:hAnsi="宋体" w:cs="宋体"/>
          <w:b/>
          <w:bCs w:val="0"/>
          <w:color w:val="auto"/>
          <w:sz w:val="24"/>
          <w:szCs w:val="24"/>
          <w:highlight w:val="none"/>
        </w:rPr>
        <w:t>2025年</w:t>
      </w:r>
      <w:r>
        <w:rPr>
          <w:rFonts w:hint="eastAsia" w:ascii="宋体" w:hAnsi="宋体" w:cs="宋体"/>
          <w:b/>
          <w:bCs w:val="0"/>
          <w:color w:val="auto"/>
          <w:sz w:val="24"/>
          <w:szCs w:val="24"/>
          <w:highlight w:val="none"/>
          <w:lang w:val="en-US" w:eastAsia="zh-CN"/>
        </w:rPr>
        <w:t>3</w:t>
      </w:r>
      <w:r>
        <w:rPr>
          <w:rFonts w:hint="eastAsia" w:ascii="宋体" w:hAnsi="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28</w:t>
      </w:r>
      <w:r>
        <w:rPr>
          <w:rFonts w:hint="eastAsia" w:ascii="宋体" w:hAnsi="宋体" w:cs="宋体"/>
          <w:b/>
          <w:bCs w:val="0"/>
          <w:color w:val="auto"/>
          <w:sz w:val="24"/>
          <w:szCs w:val="24"/>
          <w:highlight w:val="none"/>
        </w:rPr>
        <w:t>日至2025年</w:t>
      </w:r>
      <w:r>
        <w:rPr>
          <w:rFonts w:hint="eastAsia" w:ascii="宋体" w:hAnsi="宋体" w:cs="宋体"/>
          <w:b/>
          <w:bCs w:val="0"/>
          <w:color w:val="auto"/>
          <w:sz w:val="24"/>
          <w:szCs w:val="24"/>
          <w:highlight w:val="none"/>
          <w:lang w:val="en-US" w:eastAsia="zh-CN"/>
        </w:rPr>
        <w:t>4</w:t>
      </w:r>
      <w:r>
        <w:rPr>
          <w:rFonts w:hint="eastAsia" w:ascii="宋体" w:hAnsi="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3</w:t>
      </w:r>
      <w:r>
        <w:rPr>
          <w:rFonts w:hint="eastAsia" w:ascii="宋体" w:hAnsi="宋体" w:cs="宋体"/>
          <w:b/>
          <w:bCs w:val="0"/>
          <w:color w:val="auto"/>
          <w:sz w:val="24"/>
          <w:szCs w:val="24"/>
          <w:highlight w:val="none"/>
        </w:rPr>
        <w:t>日</w:t>
      </w:r>
      <w:r>
        <w:rPr>
          <w:rFonts w:hint="eastAsia" w:ascii="宋体" w:hAnsi="宋体" w:cs="宋体"/>
          <w:color w:val="auto"/>
          <w:sz w:val="24"/>
          <w:szCs w:val="24"/>
          <w:highlight w:val="none"/>
        </w:rPr>
        <w:t>（</w:t>
      </w:r>
      <w:r>
        <w:rPr>
          <w:rFonts w:hint="eastAsia" w:ascii="宋体" w:hAnsi="宋体" w:cs="宋体"/>
          <w:color w:val="auto"/>
          <w:sz w:val="24"/>
          <w:szCs w:val="24"/>
          <w:highlight w:val="none"/>
        </w:rPr>
        <w:t>节假日除外）上午8:30至12:00，下午2:00至5:30（北京时间）在</w:t>
      </w:r>
      <w:r>
        <w:rPr>
          <w:rFonts w:hint="eastAsia" w:ascii="宋体" w:hAnsi="宋体" w:cs="宋体"/>
          <w:color w:val="auto"/>
          <w:sz w:val="24"/>
          <w:szCs w:val="24"/>
          <w:highlight w:val="none"/>
          <w:u w:val="single"/>
        </w:rPr>
        <w:t>厦门市湖里区机场北路476号四楼售标室</w:t>
      </w:r>
      <w:r>
        <w:rPr>
          <w:rFonts w:hint="eastAsia" w:ascii="宋体" w:hAnsi="宋体" w:cs="宋体"/>
          <w:color w:val="auto"/>
          <w:sz w:val="24"/>
          <w:szCs w:val="24"/>
          <w:highlight w:val="none"/>
        </w:rPr>
        <w:t>购买采购文件，联系人及电话：蒋小姐0592-2219823。</w:t>
      </w:r>
    </w:p>
    <w:p w14:paraId="51077FB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4.采购文件售价：</w:t>
      </w:r>
      <w:r>
        <w:rPr>
          <w:rFonts w:hint="eastAsia" w:ascii="宋体" w:hAnsi="宋体" w:cs="宋体"/>
          <w:b/>
          <w:bCs/>
          <w:color w:val="auto"/>
          <w:sz w:val="24"/>
          <w:szCs w:val="24"/>
          <w:highlight w:val="none"/>
        </w:rPr>
        <w:t>50元人民币</w:t>
      </w:r>
      <w:r>
        <w:rPr>
          <w:rFonts w:hint="eastAsia" w:ascii="宋体" w:hAnsi="宋体" w:cs="宋体"/>
          <w:color w:val="auto"/>
          <w:sz w:val="24"/>
          <w:szCs w:val="24"/>
          <w:highlight w:val="none"/>
        </w:rPr>
        <w:t>，邮寄费人民币</w:t>
      </w:r>
      <w:r>
        <w:rPr>
          <w:rFonts w:hint="eastAsia" w:ascii="宋体" w:hAnsi="宋体" w:cs="宋体"/>
          <w:color w:val="auto"/>
          <w:sz w:val="24"/>
          <w:szCs w:val="24"/>
          <w:highlight w:val="none"/>
        </w:rPr>
        <w:t>50元，售后不退。</w:t>
      </w:r>
    </w:p>
    <w:p w14:paraId="60937ADE">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5.报价文件提交截止时间：</w:t>
      </w:r>
      <w:r>
        <w:rPr>
          <w:rFonts w:hint="eastAsia" w:ascii="宋体" w:hAnsi="宋体" w:cs="宋体"/>
          <w:b/>
          <w:bCs/>
          <w:color w:val="auto"/>
          <w:sz w:val="24"/>
          <w:szCs w:val="24"/>
          <w:highlight w:val="none"/>
          <w:u w:val="none"/>
        </w:rPr>
        <w:t>2025</w:t>
      </w:r>
      <w:r>
        <w:rPr>
          <w:rFonts w:hint="eastAsia" w:ascii="宋体" w:hAnsi="宋体" w:cs="宋体"/>
          <w:b/>
          <w:bCs/>
          <w:color w:val="auto"/>
          <w:sz w:val="24"/>
          <w:szCs w:val="24"/>
          <w:highlight w:val="none"/>
          <w:u w:val="none"/>
        </w:rPr>
        <w:t>年</w:t>
      </w:r>
      <w:r>
        <w:rPr>
          <w:rFonts w:hint="eastAsia" w:ascii="宋体" w:hAnsi="宋体" w:cs="宋体"/>
          <w:b/>
          <w:bCs/>
          <w:color w:val="auto"/>
          <w:sz w:val="24"/>
          <w:szCs w:val="24"/>
          <w:highlight w:val="none"/>
          <w:u w:val="none"/>
          <w:lang w:val="en-US" w:eastAsia="zh-CN"/>
        </w:rPr>
        <w:t>4</w:t>
      </w:r>
      <w:r>
        <w:rPr>
          <w:rFonts w:hint="eastAsia" w:ascii="宋体" w:hAnsi="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7</w:t>
      </w:r>
      <w:r>
        <w:rPr>
          <w:rFonts w:hint="eastAsia" w:ascii="宋体" w:hAnsi="宋体" w:cs="宋体"/>
          <w:b/>
          <w:bCs/>
          <w:color w:val="auto"/>
          <w:sz w:val="24"/>
          <w:szCs w:val="24"/>
          <w:highlight w:val="none"/>
          <w:u w:val="none"/>
        </w:rPr>
        <w:t>日</w:t>
      </w:r>
      <w:r>
        <w:rPr>
          <w:rFonts w:hint="eastAsia" w:ascii="宋体" w:hAnsi="宋体" w:cs="宋体"/>
          <w:b/>
          <w:bCs/>
          <w:color w:val="auto"/>
          <w:sz w:val="24"/>
          <w:szCs w:val="24"/>
          <w:highlight w:val="none"/>
          <w:u w:val="none"/>
          <w:lang w:val="en-US" w:eastAsia="zh-CN"/>
        </w:rPr>
        <w:t>上午9：00</w:t>
      </w:r>
      <w:r>
        <w:rPr>
          <w:rFonts w:hint="eastAsia" w:ascii="宋体" w:hAnsi="宋体" w:cs="宋体"/>
          <w:b/>
          <w:bCs/>
          <w:color w:val="auto"/>
          <w:sz w:val="24"/>
          <w:szCs w:val="24"/>
          <w:highlight w:val="none"/>
          <w:u w:val="none"/>
        </w:rPr>
        <w:t>（北京时间）</w:t>
      </w:r>
      <w:r>
        <w:rPr>
          <w:rFonts w:hint="eastAsia" w:ascii="宋体" w:hAnsi="宋体" w:cs="宋体"/>
          <w:color w:val="auto"/>
          <w:sz w:val="24"/>
          <w:szCs w:val="24"/>
          <w:highlight w:val="none"/>
        </w:rPr>
        <w:t>，报价文件应在截止时间前将报价文</w:t>
      </w:r>
      <w:r>
        <w:rPr>
          <w:rFonts w:hint="eastAsia" w:ascii="宋体" w:hAnsi="宋体" w:cs="宋体"/>
          <w:color w:val="auto"/>
          <w:sz w:val="24"/>
          <w:szCs w:val="24"/>
          <w:highlight w:val="none"/>
        </w:rPr>
        <w:t>件递交到</w:t>
      </w:r>
      <w:r>
        <w:rPr>
          <w:rFonts w:hint="eastAsia" w:ascii="宋体" w:hAnsi="宋体" w:cs="宋体"/>
          <w:b/>
          <w:color w:val="auto"/>
          <w:sz w:val="24"/>
          <w:szCs w:val="24"/>
          <w:highlight w:val="none"/>
          <w:u w:val="single"/>
        </w:rPr>
        <w:t>厦门市湖里区机场北路476号四楼开标厅</w:t>
      </w:r>
      <w:r>
        <w:rPr>
          <w:rFonts w:hint="eastAsia" w:ascii="宋体" w:hAnsi="宋体" w:cs="宋体"/>
          <w:color w:val="auto"/>
          <w:sz w:val="24"/>
          <w:szCs w:val="24"/>
          <w:highlight w:val="none"/>
        </w:rPr>
        <w:t>，逾期收到的或不符合</w:t>
      </w:r>
      <w:r>
        <w:rPr>
          <w:rFonts w:hint="eastAsia" w:ascii="宋体" w:hAnsi="宋体" w:cs="宋体"/>
          <w:color w:val="auto"/>
          <w:sz w:val="24"/>
          <w:szCs w:val="24"/>
          <w:highlight w:val="none"/>
        </w:rPr>
        <w:t>规定的报价文件将被拒绝。</w:t>
      </w:r>
    </w:p>
    <w:p w14:paraId="4D8B145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6.磋商时间：</w:t>
      </w:r>
      <w:r>
        <w:rPr>
          <w:rFonts w:hint="eastAsia" w:ascii="宋体" w:hAnsi="宋体" w:cs="宋体"/>
          <w:b/>
          <w:bCs/>
          <w:color w:val="auto"/>
          <w:sz w:val="24"/>
          <w:szCs w:val="24"/>
          <w:highlight w:val="none"/>
          <w:u w:val="none"/>
        </w:rPr>
        <w:t>2025年</w:t>
      </w:r>
      <w:r>
        <w:rPr>
          <w:rFonts w:hint="eastAsia" w:ascii="宋体" w:hAnsi="宋体" w:cs="宋体"/>
          <w:b/>
          <w:bCs/>
          <w:color w:val="auto"/>
          <w:sz w:val="24"/>
          <w:szCs w:val="24"/>
          <w:highlight w:val="none"/>
          <w:u w:val="none"/>
          <w:lang w:val="en-US" w:eastAsia="zh-CN"/>
        </w:rPr>
        <w:t>4</w:t>
      </w:r>
      <w:r>
        <w:rPr>
          <w:rFonts w:hint="eastAsia" w:ascii="宋体" w:hAnsi="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7</w:t>
      </w:r>
      <w:r>
        <w:rPr>
          <w:rFonts w:hint="eastAsia" w:ascii="宋体" w:hAnsi="宋体" w:cs="宋体"/>
          <w:b/>
          <w:bCs/>
          <w:color w:val="auto"/>
          <w:sz w:val="24"/>
          <w:szCs w:val="24"/>
          <w:highlight w:val="none"/>
          <w:u w:val="none"/>
        </w:rPr>
        <w:t>日</w:t>
      </w:r>
      <w:r>
        <w:rPr>
          <w:rFonts w:hint="eastAsia" w:ascii="宋体" w:hAnsi="宋体" w:cs="宋体"/>
          <w:b/>
          <w:bCs/>
          <w:color w:val="auto"/>
          <w:sz w:val="24"/>
          <w:szCs w:val="24"/>
          <w:highlight w:val="none"/>
          <w:u w:val="none"/>
          <w:lang w:val="en-US" w:eastAsia="zh-CN"/>
        </w:rPr>
        <w:t>上午9：00</w:t>
      </w:r>
      <w:r>
        <w:rPr>
          <w:rFonts w:hint="eastAsia" w:ascii="宋体" w:hAnsi="宋体" w:cs="宋体"/>
          <w:b/>
          <w:bCs/>
          <w:color w:val="auto"/>
          <w:sz w:val="24"/>
          <w:szCs w:val="24"/>
          <w:highlight w:val="none"/>
          <w:u w:val="none"/>
        </w:rPr>
        <w:t>（北京时间）</w:t>
      </w:r>
    </w:p>
    <w:p w14:paraId="4F1D907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7.报价人对本次磋商活动事项如有疑问的，请在磋商截止时间5日之前，以书面形式与采购代理机构联系。</w:t>
      </w:r>
    </w:p>
    <w:p w14:paraId="74ED4EF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8.以上信息如有变更，</w:t>
      </w:r>
      <w:r>
        <w:rPr>
          <w:rFonts w:hint="eastAsia" w:ascii="宋体" w:hAnsi="宋体" w:cs="宋体"/>
          <w:color w:val="auto"/>
          <w:sz w:val="24"/>
          <w:szCs w:val="24"/>
          <w:highlight w:val="none"/>
          <w:u w:val="single"/>
        </w:rPr>
        <w:t>（采购代理机构）</w:t>
      </w:r>
      <w:r>
        <w:rPr>
          <w:rFonts w:hint="eastAsia" w:ascii="宋体" w:hAnsi="宋体" w:cs="宋体"/>
          <w:color w:val="auto"/>
          <w:sz w:val="24"/>
          <w:szCs w:val="24"/>
          <w:highlight w:val="none"/>
        </w:rPr>
        <w:t>将通过</w:t>
      </w:r>
      <w:r>
        <w:rPr>
          <w:rFonts w:hint="eastAsia" w:ascii="宋体" w:hAnsi="宋体" w:cs="宋体"/>
          <w:bCs/>
          <w:color w:val="auto"/>
          <w:sz w:val="24"/>
          <w:szCs w:val="24"/>
          <w:highlight w:val="none"/>
        </w:rPr>
        <w:t>厦门招投标网（</w:t>
      </w:r>
      <w:r>
        <w:rPr>
          <w:rFonts w:hint="eastAsia" w:ascii="宋体" w:hAnsi="宋体" w:cs="宋体"/>
          <w:color w:val="auto"/>
          <w:sz w:val="24"/>
          <w:szCs w:val="24"/>
          <w:highlight w:val="none"/>
        </w:rPr>
        <w:t>www.xmztb.com</w:t>
      </w:r>
      <w:r>
        <w:rPr>
          <w:rFonts w:hint="eastAsia" w:ascii="宋体" w:hAnsi="宋体" w:cs="宋体"/>
          <w:bCs/>
          <w:color w:val="auto"/>
          <w:sz w:val="24"/>
          <w:szCs w:val="24"/>
          <w:highlight w:val="none"/>
        </w:rPr>
        <w:t>）</w:t>
      </w:r>
      <w:r>
        <w:rPr>
          <w:rFonts w:hint="eastAsia" w:ascii="宋体" w:hAnsi="宋体" w:cs="宋体"/>
          <w:bCs/>
          <w:color w:val="auto"/>
          <w:sz w:val="24"/>
          <w:szCs w:val="24"/>
          <w:highlight w:val="none"/>
        </w:rPr>
        <w:t>等信息</w:t>
      </w:r>
      <w:r>
        <w:rPr>
          <w:rFonts w:hint="eastAsia" w:ascii="宋体" w:hAnsi="宋体" w:cs="宋体"/>
          <w:bCs/>
          <w:color w:val="auto"/>
          <w:sz w:val="24"/>
          <w:szCs w:val="24"/>
          <w:highlight w:val="none"/>
        </w:rPr>
        <w:t>发布媒体通知，</w:t>
      </w:r>
      <w:r>
        <w:rPr>
          <w:rFonts w:hint="eastAsia" w:ascii="宋体" w:hAnsi="宋体" w:cs="宋体"/>
          <w:color w:val="auto"/>
          <w:sz w:val="24"/>
          <w:szCs w:val="24"/>
          <w:highlight w:val="none"/>
        </w:rPr>
        <w:t>请报价人关注。</w:t>
      </w:r>
    </w:p>
    <w:p w14:paraId="1472763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9.本项目（</w:t>
      </w:r>
      <w:r>
        <w:rPr>
          <w:rFonts w:hint="eastAsia" w:ascii="宋体" w:hAnsi="宋体" w:cs="宋体"/>
          <w:b/>
          <w:bCs/>
          <w:color w:val="auto"/>
          <w:sz w:val="24"/>
          <w:szCs w:val="24"/>
          <w:highlight w:val="none"/>
        </w:rPr>
        <w:t>不接受</w:t>
      </w:r>
      <w:r>
        <w:rPr>
          <w:rFonts w:hint="eastAsia" w:ascii="宋体" w:hAnsi="宋体" w:cs="宋体"/>
          <w:color w:val="auto"/>
          <w:sz w:val="24"/>
          <w:szCs w:val="24"/>
          <w:highlight w:val="none"/>
        </w:rPr>
        <w:t>）联合体报价。</w:t>
      </w:r>
    </w:p>
    <w:p w14:paraId="6D7AF58D">
      <w:pPr>
        <w:tabs>
          <w:tab w:val="left" w:pos="11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10.各有关联系方式</w:t>
      </w:r>
    </w:p>
    <w:tbl>
      <w:tblPr>
        <w:tblStyle w:val="17"/>
        <w:tblW w:w="8741"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2"/>
        <w:gridCol w:w="1388"/>
        <w:gridCol w:w="1078"/>
        <w:gridCol w:w="2662"/>
        <w:gridCol w:w="2911"/>
      </w:tblGrid>
      <w:tr w14:paraId="4C89FF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702" w:type="dxa"/>
            <w:tcBorders>
              <w:top w:val="double" w:color="auto" w:sz="4" w:space="0"/>
              <w:left w:val="double" w:color="auto" w:sz="4" w:space="0"/>
              <w:bottom w:val="single" w:color="auto" w:sz="6" w:space="0"/>
              <w:right w:val="single" w:color="auto" w:sz="6" w:space="0"/>
            </w:tcBorders>
            <w:noWrap/>
            <w:vAlign w:val="center"/>
          </w:tcPr>
          <w:p w14:paraId="40C8A023">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序号</w:t>
            </w:r>
          </w:p>
        </w:tc>
        <w:tc>
          <w:tcPr>
            <w:tcW w:w="1388" w:type="dxa"/>
            <w:tcBorders>
              <w:top w:val="double" w:color="auto" w:sz="4" w:space="0"/>
              <w:left w:val="single" w:color="auto" w:sz="6" w:space="0"/>
              <w:bottom w:val="single" w:color="auto" w:sz="6" w:space="0"/>
              <w:right w:val="single" w:color="auto" w:sz="6" w:space="0"/>
            </w:tcBorders>
            <w:noWrap/>
            <w:vAlign w:val="center"/>
          </w:tcPr>
          <w:p w14:paraId="054EAFFD">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分工</w:t>
            </w:r>
          </w:p>
        </w:tc>
        <w:tc>
          <w:tcPr>
            <w:tcW w:w="1078" w:type="dxa"/>
            <w:tcBorders>
              <w:top w:val="double" w:color="auto" w:sz="4" w:space="0"/>
              <w:left w:val="single" w:color="auto" w:sz="6" w:space="0"/>
              <w:bottom w:val="single" w:color="auto" w:sz="6" w:space="0"/>
              <w:right w:val="single" w:color="auto" w:sz="6" w:space="0"/>
            </w:tcBorders>
            <w:noWrap/>
            <w:vAlign w:val="center"/>
          </w:tcPr>
          <w:p w14:paraId="34D677AD">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联系人</w:t>
            </w:r>
          </w:p>
        </w:tc>
        <w:tc>
          <w:tcPr>
            <w:tcW w:w="2662" w:type="dxa"/>
            <w:tcBorders>
              <w:top w:val="double" w:color="auto" w:sz="4" w:space="0"/>
              <w:left w:val="single" w:color="auto" w:sz="6" w:space="0"/>
              <w:bottom w:val="single" w:color="auto" w:sz="6" w:space="0"/>
              <w:right w:val="single" w:color="auto" w:sz="6" w:space="0"/>
            </w:tcBorders>
            <w:noWrap/>
            <w:vAlign w:val="center"/>
          </w:tcPr>
          <w:p w14:paraId="77FF2F42">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职责范围</w:t>
            </w:r>
          </w:p>
        </w:tc>
        <w:tc>
          <w:tcPr>
            <w:tcW w:w="2911" w:type="dxa"/>
            <w:tcBorders>
              <w:top w:val="double" w:color="auto" w:sz="4" w:space="0"/>
              <w:left w:val="single" w:color="auto" w:sz="6" w:space="0"/>
              <w:bottom w:val="single" w:color="auto" w:sz="6" w:space="0"/>
              <w:right w:val="double" w:color="auto" w:sz="4" w:space="0"/>
            </w:tcBorders>
            <w:noWrap/>
            <w:vAlign w:val="center"/>
          </w:tcPr>
          <w:p w14:paraId="713E2DE6">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联系电话</w:t>
            </w:r>
          </w:p>
        </w:tc>
      </w:tr>
      <w:tr w14:paraId="074E3E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02" w:type="dxa"/>
            <w:tcBorders>
              <w:top w:val="single" w:color="auto" w:sz="6" w:space="0"/>
              <w:left w:val="double" w:color="auto" w:sz="4" w:space="0"/>
              <w:bottom w:val="single" w:color="auto" w:sz="6" w:space="0"/>
              <w:right w:val="single" w:color="auto" w:sz="6" w:space="0"/>
            </w:tcBorders>
            <w:noWrap/>
            <w:vAlign w:val="center"/>
          </w:tcPr>
          <w:p w14:paraId="29C27F08">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388" w:type="dxa"/>
            <w:tcBorders>
              <w:top w:val="single" w:color="auto" w:sz="6" w:space="0"/>
              <w:left w:val="single" w:color="auto" w:sz="6" w:space="0"/>
              <w:bottom w:val="single" w:color="auto" w:sz="6" w:space="0"/>
              <w:right w:val="single" w:color="auto" w:sz="6" w:space="0"/>
            </w:tcBorders>
            <w:noWrap/>
            <w:vAlign w:val="center"/>
          </w:tcPr>
          <w:p w14:paraId="13C3C858">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项目经办</w:t>
            </w:r>
          </w:p>
        </w:tc>
        <w:tc>
          <w:tcPr>
            <w:tcW w:w="1078" w:type="dxa"/>
            <w:tcBorders>
              <w:top w:val="single" w:color="auto" w:sz="6" w:space="0"/>
              <w:left w:val="single" w:color="auto" w:sz="6" w:space="0"/>
              <w:bottom w:val="single" w:color="auto" w:sz="6" w:space="0"/>
              <w:right w:val="single" w:color="auto" w:sz="6" w:space="0"/>
            </w:tcBorders>
            <w:noWrap/>
            <w:vAlign w:val="center"/>
          </w:tcPr>
          <w:p w14:paraId="6DE5A683">
            <w:pPr>
              <w:spacing w:line="360" w:lineRule="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rPr>
              <w:t>陈小姐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tc>
        <w:tc>
          <w:tcPr>
            <w:tcW w:w="2662" w:type="dxa"/>
            <w:tcBorders>
              <w:top w:val="single" w:color="auto" w:sz="6" w:space="0"/>
              <w:left w:val="single" w:color="auto" w:sz="6" w:space="0"/>
              <w:bottom w:val="single" w:color="auto" w:sz="6" w:space="0"/>
              <w:right w:val="single" w:color="auto" w:sz="6" w:space="0"/>
            </w:tcBorders>
            <w:noWrap/>
            <w:vAlign w:val="center"/>
          </w:tcPr>
          <w:p w14:paraId="33D57169">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负责采购文件的咨询、答疑等工作</w:t>
            </w:r>
          </w:p>
        </w:tc>
        <w:tc>
          <w:tcPr>
            <w:tcW w:w="2911" w:type="dxa"/>
            <w:tcBorders>
              <w:top w:val="single" w:color="auto" w:sz="6" w:space="0"/>
              <w:left w:val="single" w:color="auto" w:sz="6" w:space="0"/>
              <w:bottom w:val="single" w:color="auto" w:sz="6" w:space="0"/>
              <w:right w:val="double" w:color="auto" w:sz="4" w:space="0"/>
            </w:tcBorders>
            <w:noWrap/>
            <w:vAlign w:val="center"/>
          </w:tcPr>
          <w:p w14:paraId="7E5AFD16">
            <w:pPr>
              <w:spacing w:line="360" w:lineRule="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0592-5733218</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5769394</w:t>
            </w:r>
          </w:p>
          <w:p w14:paraId="0449AB37">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传真0592-5706660-6969</w:t>
            </w:r>
          </w:p>
        </w:tc>
      </w:tr>
      <w:tr w14:paraId="0B55B2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02" w:type="dxa"/>
            <w:tcBorders>
              <w:top w:val="single" w:color="auto" w:sz="6" w:space="0"/>
              <w:left w:val="double" w:color="auto" w:sz="4" w:space="0"/>
              <w:bottom w:val="single" w:color="auto" w:sz="6" w:space="0"/>
              <w:right w:val="single" w:color="auto" w:sz="6" w:space="0"/>
            </w:tcBorders>
            <w:noWrap/>
            <w:vAlign w:val="center"/>
          </w:tcPr>
          <w:p w14:paraId="6AC78685">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w:t>
            </w:r>
          </w:p>
        </w:tc>
        <w:tc>
          <w:tcPr>
            <w:tcW w:w="1388" w:type="dxa"/>
            <w:tcBorders>
              <w:top w:val="single" w:color="auto" w:sz="6" w:space="0"/>
              <w:left w:val="single" w:color="auto" w:sz="6" w:space="0"/>
              <w:bottom w:val="single" w:color="auto" w:sz="6" w:space="0"/>
              <w:right w:val="single" w:color="auto" w:sz="6" w:space="0"/>
            </w:tcBorders>
            <w:noWrap/>
            <w:vAlign w:val="center"/>
          </w:tcPr>
          <w:p w14:paraId="0D69C75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磋商保证金</w:t>
            </w:r>
          </w:p>
        </w:tc>
        <w:tc>
          <w:tcPr>
            <w:tcW w:w="1078" w:type="dxa"/>
            <w:tcBorders>
              <w:top w:val="single" w:color="auto" w:sz="6" w:space="0"/>
              <w:left w:val="single" w:color="auto" w:sz="6" w:space="0"/>
              <w:bottom w:val="single" w:color="auto" w:sz="6" w:space="0"/>
              <w:right w:val="single" w:color="auto" w:sz="6" w:space="0"/>
            </w:tcBorders>
            <w:noWrap/>
            <w:vAlign w:val="center"/>
          </w:tcPr>
          <w:p w14:paraId="674C2DA3">
            <w:pPr>
              <w:spacing w:line="360" w:lineRule="auto"/>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陈小姐</w:t>
            </w:r>
          </w:p>
        </w:tc>
        <w:tc>
          <w:tcPr>
            <w:tcW w:w="2662" w:type="dxa"/>
            <w:tcBorders>
              <w:top w:val="single" w:color="auto" w:sz="6" w:space="0"/>
              <w:left w:val="single" w:color="auto" w:sz="6" w:space="0"/>
              <w:bottom w:val="single" w:color="auto" w:sz="6" w:space="0"/>
              <w:right w:val="single" w:color="auto" w:sz="6" w:space="0"/>
            </w:tcBorders>
            <w:noWrap/>
            <w:vAlign w:val="center"/>
          </w:tcPr>
          <w:p w14:paraId="2D33AF4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磋商保证金收、退</w:t>
            </w:r>
          </w:p>
        </w:tc>
        <w:tc>
          <w:tcPr>
            <w:tcW w:w="2911" w:type="dxa"/>
            <w:tcBorders>
              <w:top w:val="single" w:color="auto" w:sz="6" w:space="0"/>
              <w:left w:val="single" w:color="auto" w:sz="6" w:space="0"/>
              <w:bottom w:val="single" w:color="auto" w:sz="6" w:space="0"/>
              <w:right w:val="double" w:color="auto" w:sz="4" w:space="0"/>
            </w:tcBorders>
            <w:noWrap/>
            <w:vAlign w:val="center"/>
          </w:tcPr>
          <w:p w14:paraId="43BB8C4B">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0592-5703367</w:t>
            </w:r>
          </w:p>
        </w:tc>
      </w:tr>
      <w:tr w14:paraId="31A0D49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02" w:type="dxa"/>
            <w:tcBorders>
              <w:top w:val="single" w:color="auto" w:sz="6" w:space="0"/>
              <w:left w:val="double" w:color="auto" w:sz="4" w:space="0"/>
              <w:bottom w:val="single" w:color="auto" w:sz="6" w:space="0"/>
              <w:right w:val="single" w:color="auto" w:sz="6" w:space="0"/>
            </w:tcBorders>
            <w:noWrap/>
            <w:vAlign w:val="center"/>
          </w:tcPr>
          <w:p w14:paraId="6141064A">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w:t>
            </w:r>
          </w:p>
        </w:tc>
        <w:tc>
          <w:tcPr>
            <w:tcW w:w="1388" w:type="dxa"/>
            <w:tcBorders>
              <w:top w:val="single" w:color="auto" w:sz="6" w:space="0"/>
              <w:left w:val="single" w:color="auto" w:sz="6" w:space="0"/>
              <w:bottom w:val="single" w:color="auto" w:sz="6" w:space="0"/>
              <w:right w:val="single" w:color="auto" w:sz="6" w:space="0"/>
            </w:tcBorders>
            <w:noWrap/>
            <w:vAlign w:val="center"/>
          </w:tcPr>
          <w:p w14:paraId="09044CE5">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财务</w:t>
            </w:r>
          </w:p>
        </w:tc>
        <w:tc>
          <w:tcPr>
            <w:tcW w:w="1078" w:type="dxa"/>
            <w:tcBorders>
              <w:top w:val="single" w:color="auto" w:sz="6" w:space="0"/>
              <w:left w:val="single" w:color="auto" w:sz="6" w:space="0"/>
              <w:bottom w:val="single" w:color="auto" w:sz="6" w:space="0"/>
              <w:right w:val="single" w:color="auto" w:sz="6" w:space="0"/>
            </w:tcBorders>
            <w:noWrap/>
            <w:vAlign w:val="center"/>
          </w:tcPr>
          <w:p w14:paraId="6E804394">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张先生</w:t>
            </w:r>
          </w:p>
        </w:tc>
        <w:tc>
          <w:tcPr>
            <w:tcW w:w="2662" w:type="dxa"/>
            <w:tcBorders>
              <w:top w:val="single" w:color="auto" w:sz="6" w:space="0"/>
              <w:left w:val="single" w:color="auto" w:sz="6" w:space="0"/>
              <w:bottom w:val="single" w:color="auto" w:sz="6" w:space="0"/>
              <w:right w:val="single" w:color="auto" w:sz="6" w:space="0"/>
            </w:tcBorders>
            <w:noWrap/>
            <w:vAlign w:val="center"/>
          </w:tcPr>
          <w:p w14:paraId="7559EF38">
            <w:pPr>
              <w:spacing w:line="360" w:lineRule="auto"/>
              <w:rPr>
                <w:rFonts w:ascii="宋体" w:hAnsi="宋体" w:cs="宋体"/>
                <w:color w:val="auto"/>
                <w:sz w:val="24"/>
                <w:szCs w:val="24"/>
                <w:highlight w:val="none"/>
              </w:rPr>
            </w:pPr>
            <w:r>
              <w:rPr>
                <w:rFonts w:hint="eastAsia" w:ascii="宋体" w:hAnsi="宋体" w:cs="宋体"/>
                <w:color w:val="auto"/>
                <w:kern w:val="0"/>
                <w:sz w:val="24"/>
                <w:szCs w:val="24"/>
                <w:highlight w:val="none"/>
              </w:rPr>
              <w:t>文件费、磋商保证金到账咨询</w:t>
            </w:r>
          </w:p>
        </w:tc>
        <w:tc>
          <w:tcPr>
            <w:tcW w:w="2911" w:type="dxa"/>
            <w:tcBorders>
              <w:top w:val="single" w:color="auto" w:sz="6" w:space="0"/>
              <w:left w:val="single" w:color="auto" w:sz="6" w:space="0"/>
              <w:bottom w:val="single" w:color="auto" w:sz="6" w:space="0"/>
              <w:right w:val="double" w:color="auto" w:sz="4" w:space="0"/>
            </w:tcBorders>
            <w:noWrap/>
            <w:vAlign w:val="center"/>
          </w:tcPr>
          <w:p w14:paraId="2303F0C3">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0592-2298139</w:t>
            </w:r>
          </w:p>
        </w:tc>
      </w:tr>
      <w:tr w14:paraId="79B10B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02" w:type="dxa"/>
            <w:tcBorders>
              <w:top w:val="single" w:color="auto" w:sz="6" w:space="0"/>
              <w:left w:val="double" w:color="auto" w:sz="4" w:space="0"/>
              <w:bottom w:val="single" w:color="auto" w:sz="6" w:space="0"/>
              <w:right w:val="single" w:color="auto" w:sz="6" w:space="0"/>
            </w:tcBorders>
            <w:noWrap/>
            <w:vAlign w:val="center"/>
          </w:tcPr>
          <w:p w14:paraId="28EE5873">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4</w:t>
            </w:r>
          </w:p>
        </w:tc>
        <w:tc>
          <w:tcPr>
            <w:tcW w:w="1388" w:type="dxa"/>
            <w:tcBorders>
              <w:top w:val="single" w:color="auto" w:sz="6" w:space="0"/>
              <w:left w:val="single" w:color="auto" w:sz="6" w:space="0"/>
              <w:bottom w:val="single" w:color="auto" w:sz="6" w:space="0"/>
              <w:right w:val="single" w:color="auto" w:sz="6" w:space="0"/>
            </w:tcBorders>
            <w:noWrap/>
            <w:vAlign w:val="center"/>
          </w:tcPr>
          <w:p w14:paraId="1CC5D50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代理服务费</w:t>
            </w:r>
          </w:p>
        </w:tc>
        <w:tc>
          <w:tcPr>
            <w:tcW w:w="1078" w:type="dxa"/>
            <w:tcBorders>
              <w:top w:val="single" w:color="auto" w:sz="6" w:space="0"/>
              <w:left w:val="single" w:color="auto" w:sz="6" w:space="0"/>
              <w:bottom w:val="single" w:color="auto" w:sz="6" w:space="0"/>
              <w:right w:val="single" w:color="auto" w:sz="6" w:space="0"/>
            </w:tcBorders>
            <w:noWrap/>
            <w:vAlign w:val="center"/>
          </w:tcPr>
          <w:p w14:paraId="78B0A3E6">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陈小姐</w:t>
            </w:r>
          </w:p>
        </w:tc>
        <w:tc>
          <w:tcPr>
            <w:tcW w:w="2662" w:type="dxa"/>
            <w:tcBorders>
              <w:top w:val="single" w:color="auto" w:sz="6" w:space="0"/>
              <w:left w:val="single" w:color="auto" w:sz="6" w:space="0"/>
              <w:bottom w:val="single" w:color="auto" w:sz="6" w:space="0"/>
              <w:right w:val="single" w:color="auto" w:sz="6" w:space="0"/>
            </w:tcBorders>
            <w:noWrap/>
            <w:vAlign w:val="center"/>
          </w:tcPr>
          <w:p w14:paraId="3F36B61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代理服务费收取</w:t>
            </w:r>
          </w:p>
        </w:tc>
        <w:tc>
          <w:tcPr>
            <w:tcW w:w="2911" w:type="dxa"/>
            <w:tcBorders>
              <w:top w:val="single" w:color="auto" w:sz="6" w:space="0"/>
              <w:left w:val="single" w:color="auto" w:sz="6" w:space="0"/>
              <w:bottom w:val="single" w:color="auto" w:sz="6" w:space="0"/>
              <w:right w:val="double" w:color="auto" w:sz="4" w:space="0"/>
            </w:tcBorders>
            <w:noWrap/>
            <w:vAlign w:val="center"/>
          </w:tcPr>
          <w:p w14:paraId="30925208">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0592-5703367</w:t>
            </w:r>
          </w:p>
        </w:tc>
      </w:tr>
      <w:tr w14:paraId="0EC8C2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02" w:type="dxa"/>
            <w:tcBorders>
              <w:top w:val="single" w:color="auto" w:sz="6" w:space="0"/>
              <w:left w:val="double" w:color="auto" w:sz="4" w:space="0"/>
              <w:bottom w:val="single" w:color="auto" w:sz="6" w:space="0"/>
              <w:right w:val="single" w:color="auto" w:sz="6" w:space="0"/>
            </w:tcBorders>
            <w:noWrap/>
            <w:vAlign w:val="center"/>
          </w:tcPr>
          <w:p w14:paraId="60C63C5D">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5</w:t>
            </w:r>
          </w:p>
        </w:tc>
        <w:tc>
          <w:tcPr>
            <w:tcW w:w="1388" w:type="dxa"/>
            <w:tcBorders>
              <w:top w:val="single" w:color="auto" w:sz="6" w:space="0"/>
              <w:left w:val="single" w:color="auto" w:sz="6" w:space="0"/>
              <w:bottom w:val="single" w:color="auto" w:sz="6" w:space="0"/>
              <w:right w:val="single" w:color="auto" w:sz="6" w:space="0"/>
            </w:tcBorders>
            <w:noWrap/>
            <w:vAlign w:val="center"/>
          </w:tcPr>
          <w:p w14:paraId="0487890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监督</w:t>
            </w:r>
          </w:p>
        </w:tc>
        <w:tc>
          <w:tcPr>
            <w:tcW w:w="1078" w:type="dxa"/>
            <w:tcBorders>
              <w:top w:val="single" w:color="auto" w:sz="6" w:space="0"/>
              <w:left w:val="single" w:color="auto" w:sz="6" w:space="0"/>
              <w:bottom w:val="single" w:color="auto" w:sz="6" w:space="0"/>
              <w:right w:val="single" w:color="auto" w:sz="6" w:space="0"/>
            </w:tcBorders>
            <w:noWrap/>
            <w:vAlign w:val="center"/>
          </w:tcPr>
          <w:p w14:paraId="60993EA1">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黄经理</w:t>
            </w:r>
          </w:p>
        </w:tc>
        <w:tc>
          <w:tcPr>
            <w:tcW w:w="2662" w:type="dxa"/>
            <w:tcBorders>
              <w:top w:val="single" w:color="auto" w:sz="6" w:space="0"/>
              <w:left w:val="single" w:color="auto" w:sz="6" w:space="0"/>
              <w:bottom w:val="single" w:color="auto" w:sz="6" w:space="0"/>
              <w:right w:val="single" w:color="auto" w:sz="6" w:space="0"/>
            </w:tcBorders>
            <w:noWrap/>
            <w:vAlign w:val="center"/>
          </w:tcPr>
          <w:p w14:paraId="5706AA07">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欢迎报价人对项目采购过程中公告发布、采购文件购买、磋商保证金缴交和退还、代理服务费收取、成交通知书发放等环节的服务进行监督。我们将竭诚为您提供最优质的服务。</w:t>
            </w:r>
          </w:p>
        </w:tc>
        <w:tc>
          <w:tcPr>
            <w:tcW w:w="2911" w:type="dxa"/>
            <w:tcBorders>
              <w:top w:val="single" w:color="auto" w:sz="6" w:space="0"/>
              <w:left w:val="single" w:color="auto" w:sz="6" w:space="0"/>
              <w:bottom w:val="single" w:color="auto" w:sz="6" w:space="0"/>
              <w:right w:val="double" w:color="auto" w:sz="4" w:space="0"/>
            </w:tcBorders>
            <w:noWrap/>
            <w:vAlign w:val="center"/>
          </w:tcPr>
          <w:p w14:paraId="3878CCA3">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0592-5705656</w:t>
            </w:r>
          </w:p>
        </w:tc>
      </w:tr>
      <w:tr w14:paraId="0EF9B4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02" w:type="dxa"/>
            <w:tcBorders>
              <w:top w:val="single" w:color="auto" w:sz="6" w:space="0"/>
              <w:left w:val="double" w:color="auto" w:sz="4" w:space="0"/>
              <w:bottom w:val="single" w:color="auto" w:sz="6" w:space="0"/>
              <w:right w:val="single" w:color="auto" w:sz="6" w:space="0"/>
            </w:tcBorders>
            <w:noWrap/>
            <w:vAlign w:val="center"/>
          </w:tcPr>
          <w:p w14:paraId="2FBF37AE">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6</w:t>
            </w:r>
          </w:p>
        </w:tc>
        <w:tc>
          <w:tcPr>
            <w:tcW w:w="1388" w:type="dxa"/>
            <w:tcBorders>
              <w:top w:val="single" w:color="auto" w:sz="6" w:space="0"/>
              <w:left w:val="single" w:color="auto" w:sz="6" w:space="0"/>
              <w:bottom w:val="single" w:color="auto" w:sz="6" w:space="0"/>
              <w:right w:val="single" w:color="auto" w:sz="6" w:space="0"/>
            </w:tcBorders>
            <w:noWrap/>
            <w:vAlign w:val="center"/>
          </w:tcPr>
          <w:p w14:paraId="1CD7BFF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接收质疑</w:t>
            </w:r>
          </w:p>
        </w:tc>
        <w:tc>
          <w:tcPr>
            <w:tcW w:w="1078" w:type="dxa"/>
            <w:tcBorders>
              <w:top w:val="single" w:color="auto" w:sz="6" w:space="0"/>
              <w:left w:val="single" w:color="auto" w:sz="6" w:space="0"/>
              <w:bottom w:val="single" w:color="auto" w:sz="6" w:space="0"/>
              <w:right w:val="single" w:color="auto" w:sz="6" w:space="0"/>
            </w:tcBorders>
            <w:noWrap/>
            <w:vAlign w:val="center"/>
          </w:tcPr>
          <w:p w14:paraId="5A4F7624">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刘经理</w:t>
            </w:r>
          </w:p>
        </w:tc>
        <w:tc>
          <w:tcPr>
            <w:tcW w:w="2662" w:type="dxa"/>
            <w:tcBorders>
              <w:top w:val="single" w:color="auto" w:sz="6" w:space="0"/>
              <w:left w:val="single" w:color="auto" w:sz="6" w:space="0"/>
              <w:bottom w:val="single" w:color="auto" w:sz="6" w:space="0"/>
              <w:right w:val="single" w:color="auto" w:sz="6" w:space="0"/>
            </w:tcBorders>
            <w:noWrap/>
            <w:vAlign w:val="center"/>
          </w:tcPr>
          <w:p w14:paraId="7BCCA754">
            <w:pPr>
              <w:spacing w:line="360" w:lineRule="auto"/>
              <w:rPr>
                <w:rFonts w:ascii="宋体" w:hAnsi="宋体" w:cs="宋体"/>
                <w:b/>
                <w:color w:val="auto"/>
                <w:sz w:val="24"/>
                <w:szCs w:val="24"/>
                <w:highlight w:val="none"/>
              </w:rPr>
            </w:pPr>
            <w:r>
              <w:rPr>
                <w:rFonts w:hint="eastAsia" w:ascii="宋体" w:hAnsi="宋体" w:cs="宋体"/>
                <w:color w:val="auto"/>
                <w:kern w:val="0"/>
                <w:sz w:val="24"/>
                <w:szCs w:val="24"/>
                <w:highlight w:val="none"/>
              </w:rPr>
              <w:t>负责接收质疑</w:t>
            </w:r>
          </w:p>
        </w:tc>
        <w:tc>
          <w:tcPr>
            <w:tcW w:w="2911" w:type="dxa"/>
            <w:tcBorders>
              <w:top w:val="single" w:color="auto" w:sz="6" w:space="0"/>
              <w:left w:val="single" w:color="auto" w:sz="6" w:space="0"/>
              <w:bottom w:val="single" w:color="auto" w:sz="6" w:space="0"/>
              <w:right w:val="double" w:color="auto" w:sz="4" w:space="0"/>
            </w:tcBorders>
            <w:noWrap/>
            <w:vAlign w:val="center"/>
          </w:tcPr>
          <w:p w14:paraId="016C3A2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电话0592-2218761</w:t>
            </w:r>
          </w:p>
          <w:p w14:paraId="01D8AB5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传真0592-5706660-6969</w:t>
            </w:r>
          </w:p>
          <w:p w14:paraId="6865B18A">
            <w:pPr>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"mailto:邮箱hcq@iport.com.cn" </w:instrText>
            </w:r>
            <w:r>
              <w:rPr>
                <w:color w:val="auto"/>
                <w:highlight w:val="none"/>
              </w:rPr>
              <w:fldChar w:fldCharType="separate"/>
            </w:r>
            <w:r>
              <w:rPr>
                <w:rFonts w:hint="eastAsia" w:ascii="宋体" w:hAnsi="宋体" w:cs="宋体"/>
                <w:color w:val="auto"/>
                <w:sz w:val="24"/>
                <w:szCs w:val="24"/>
                <w:highlight w:val="none"/>
              </w:rPr>
              <w:t>邮箱lmf@iport.com.cn</w:t>
            </w:r>
            <w:r>
              <w:rPr>
                <w:rFonts w:hint="eastAsia" w:ascii="宋体" w:hAnsi="宋体" w:cs="宋体"/>
                <w:color w:val="auto"/>
                <w:sz w:val="24"/>
                <w:szCs w:val="24"/>
                <w:highlight w:val="none"/>
              </w:rPr>
              <w:fldChar w:fldCharType="end"/>
            </w:r>
          </w:p>
          <w:p w14:paraId="121D2988">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通讯地址：厦门市湖里区机场北路476号4楼</w:t>
            </w:r>
          </w:p>
        </w:tc>
      </w:tr>
      <w:tr w14:paraId="7531B1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702" w:type="dxa"/>
            <w:tcBorders>
              <w:top w:val="single" w:color="auto" w:sz="6" w:space="0"/>
              <w:left w:val="double" w:color="auto" w:sz="4" w:space="0"/>
              <w:bottom w:val="double" w:color="auto" w:sz="4" w:space="0"/>
              <w:right w:val="single" w:color="auto" w:sz="6" w:space="0"/>
            </w:tcBorders>
            <w:noWrap/>
            <w:vAlign w:val="center"/>
          </w:tcPr>
          <w:p w14:paraId="1F2CC17E">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7</w:t>
            </w:r>
          </w:p>
        </w:tc>
        <w:tc>
          <w:tcPr>
            <w:tcW w:w="1388" w:type="dxa"/>
            <w:tcBorders>
              <w:top w:val="single" w:color="auto" w:sz="6" w:space="0"/>
              <w:left w:val="single" w:color="auto" w:sz="6" w:space="0"/>
              <w:bottom w:val="double" w:color="auto" w:sz="4" w:space="0"/>
              <w:right w:val="single" w:color="auto" w:sz="6" w:space="0"/>
            </w:tcBorders>
            <w:noWrap/>
            <w:vAlign w:val="center"/>
          </w:tcPr>
          <w:p w14:paraId="5030B71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售标</w:t>
            </w:r>
          </w:p>
        </w:tc>
        <w:tc>
          <w:tcPr>
            <w:tcW w:w="1078" w:type="dxa"/>
            <w:tcBorders>
              <w:top w:val="single" w:color="auto" w:sz="6" w:space="0"/>
              <w:left w:val="single" w:color="auto" w:sz="6" w:space="0"/>
              <w:bottom w:val="double" w:color="auto" w:sz="4" w:space="0"/>
              <w:right w:val="single" w:color="auto" w:sz="6" w:space="0"/>
            </w:tcBorders>
            <w:noWrap/>
            <w:vAlign w:val="center"/>
          </w:tcPr>
          <w:p w14:paraId="443677DE">
            <w:pPr>
              <w:spacing w:line="360" w:lineRule="auto"/>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蒋小姐</w:t>
            </w:r>
          </w:p>
        </w:tc>
        <w:tc>
          <w:tcPr>
            <w:tcW w:w="2662" w:type="dxa"/>
            <w:tcBorders>
              <w:top w:val="single" w:color="auto" w:sz="6" w:space="0"/>
              <w:left w:val="single" w:color="auto" w:sz="6" w:space="0"/>
              <w:bottom w:val="double" w:color="auto" w:sz="4" w:space="0"/>
              <w:right w:val="single" w:color="auto" w:sz="6" w:space="0"/>
            </w:tcBorders>
            <w:noWrap/>
            <w:vAlign w:val="center"/>
          </w:tcPr>
          <w:p w14:paraId="332F5465">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负责受理采购文件出售（邮寄）</w:t>
            </w:r>
          </w:p>
        </w:tc>
        <w:tc>
          <w:tcPr>
            <w:tcW w:w="2911" w:type="dxa"/>
            <w:tcBorders>
              <w:top w:val="single" w:color="auto" w:sz="6" w:space="0"/>
              <w:left w:val="single" w:color="auto" w:sz="6" w:space="0"/>
              <w:bottom w:val="double" w:color="auto" w:sz="4" w:space="0"/>
              <w:right w:val="double" w:color="auto" w:sz="4" w:space="0"/>
            </w:tcBorders>
            <w:noWrap/>
            <w:vAlign w:val="center"/>
          </w:tcPr>
          <w:p w14:paraId="6D7BC326">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0592-2219823</w:t>
            </w:r>
          </w:p>
          <w:p w14:paraId="4BDAC8D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传真0592-5706660-6969</w:t>
            </w:r>
          </w:p>
        </w:tc>
      </w:tr>
    </w:tbl>
    <w:p w14:paraId="0EB7FE74">
      <w:pPr>
        <w:tabs>
          <w:tab w:val="left" w:pos="1140"/>
        </w:tabs>
        <w:spacing w:line="360" w:lineRule="auto"/>
        <w:ind w:left="426"/>
        <w:rPr>
          <w:rFonts w:ascii="宋体" w:hAnsi="宋体" w:cs="宋体"/>
          <w:color w:val="auto"/>
          <w:sz w:val="24"/>
          <w:szCs w:val="24"/>
          <w:highlight w:val="none"/>
        </w:rPr>
      </w:pPr>
      <w:r>
        <w:rPr>
          <w:rFonts w:hint="eastAsia" w:ascii="宋体" w:hAnsi="宋体" w:cs="宋体"/>
          <w:color w:val="auto"/>
          <w:sz w:val="24"/>
          <w:szCs w:val="24"/>
          <w:highlight w:val="none"/>
        </w:rPr>
        <w:t>11.磋商保证金及代理服务费、文件费缴交账户：</w:t>
      </w:r>
    </w:p>
    <w:tbl>
      <w:tblPr>
        <w:tblStyle w:val="17"/>
        <w:tblW w:w="9461"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22"/>
        <w:gridCol w:w="3643"/>
        <w:gridCol w:w="4196"/>
      </w:tblGrid>
      <w:tr w14:paraId="2368B8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622" w:type="dxa"/>
            <w:tcBorders>
              <w:top w:val="double" w:color="auto" w:sz="4" w:space="0"/>
              <w:left w:val="double" w:color="auto" w:sz="4" w:space="0"/>
              <w:bottom w:val="single" w:color="auto" w:sz="6" w:space="0"/>
              <w:right w:val="single" w:color="auto" w:sz="6" w:space="0"/>
            </w:tcBorders>
            <w:noWrap/>
            <w:vAlign w:val="center"/>
          </w:tcPr>
          <w:p w14:paraId="26C97D64">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类   别</w:t>
            </w:r>
          </w:p>
        </w:tc>
        <w:tc>
          <w:tcPr>
            <w:tcW w:w="3643" w:type="dxa"/>
            <w:tcBorders>
              <w:top w:val="double" w:color="auto" w:sz="4" w:space="0"/>
              <w:left w:val="single" w:color="auto" w:sz="6" w:space="0"/>
              <w:bottom w:val="single" w:color="auto" w:sz="6" w:space="0"/>
              <w:right w:val="single" w:color="auto" w:sz="6" w:space="0"/>
            </w:tcBorders>
            <w:noWrap/>
            <w:vAlign w:val="center"/>
          </w:tcPr>
          <w:p w14:paraId="5557E522">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磋商保证金缴交账户</w:t>
            </w:r>
          </w:p>
        </w:tc>
        <w:tc>
          <w:tcPr>
            <w:tcW w:w="4196" w:type="dxa"/>
            <w:tcBorders>
              <w:top w:val="double" w:color="auto" w:sz="4" w:space="0"/>
              <w:left w:val="single" w:color="auto" w:sz="6" w:space="0"/>
              <w:bottom w:val="single" w:color="auto" w:sz="6" w:space="0"/>
              <w:right w:val="double" w:color="auto" w:sz="4" w:space="0"/>
            </w:tcBorders>
            <w:noWrap/>
            <w:vAlign w:val="center"/>
          </w:tcPr>
          <w:p w14:paraId="33DF35E4">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文件费、代理服务费缴交账户</w:t>
            </w:r>
          </w:p>
        </w:tc>
      </w:tr>
      <w:tr w14:paraId="7CC01C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622" w:type="dxa"/>
            <w:tcBorders>
              <w:top w:val="single" w:color="auto" w:sz="6" w:space="0"/>
              <w:left w:val="double" w:color="auto" w:sz="4" w:space="0"/>
              <w:bottom w:val="single" w:color="auto" w:sz="6" w:space="0"/>
              <w:right w:val="single" w:color="auto" w:sz="6" w:space="0"/>
            </w:tcBorders>
            <w:noWrap/>
            <w:vAlign w:val="center"/>
          </w:tcPr>
          <w:p w14:paraId="3536752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开 户 行</w:t>
            </w:r>
          </w:p>
        </w:tc>
        <w:tc>
          <w:tcPr>
            <w:tcW w:w="3643" w:type="dxa"/>
            <w:tcBorders>
              <w:top w:val="single" w:color="auto" w:sz="6" w:space="0"/>
              <w:left w:val="single" w:color="auto" w:sz="6" w:space="0"/>
              <w:bottom w:val="single" w:color="auto" w:sz="6" w:space="0"/>
              <w:right w:val="single" w:color="auto" w:sz="6" w:space="0"/>
            </w:tcBorders>
            <w:noWrap/>
            <w:vAlign w:val="center"/>
          </w:tcPr>
          <w:p w14:paraId="2EA3BDC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中国建设银行股份有限公司厦门自贸试验区航空港支行</w:t>
            </w:r>
          </w:p>
        </w:tc>
        <w:tc>
          <w:tcPr>
            <w:tcW w:w="4196" w:type="dxa"/>
            <w:tcBorders>
              <w:top w:val="single" w:color="auto" w:sz="6" w:space="0"/>
              <w:left w:val="single" w:color="auto" w:sz="6" w:space="0"/>
              <w:bottom w:val="single" w:color="auto" w:sz="6" w:space="0"/>
              <w:right w:val="double" w:color="auto" w:sz="4" w:space="0"/>
            </w:tcBorders>
            <w:noWrap/>
            <w:vAlign w:val="center"/>
          </w:tcPr>
          <w:p w14:paraId="04C062D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中国建设银行股份有限公司厦门自贸试验区航空港支行</w:t>
            </w:r>
          </w:p>
        </w:tc>
      </w:tr>
      <w:tr w14:paraId="4188C3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22" w:type="dxa"/>
            <w:tcBorders>
              <w:top w:val="single" w:color="auto" w:sz="6" w:space="0"/>
              <w:left w:val="double" w:color="auto" w:sz="4" w:space="0"/>
              <w:bottom w:val="single" w:color="auto" w:sz="6" w:space="0"/>
              <w:right w:val="single" w:color="auto" w:sz="6" w:space="0"/>
            </w:tcBorders>
            <w:noWrap/>
            <w:vAlign w:val="center"/>
          </w:tcPr>
          <w:p w14:paraId="37DC404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账    号</w:t>
            </w:r>
          </w:p>
        </w:tc>
        <w:tc>
          <w:tcPr>
            <w:tcW w:w="3643" w:type="dxa"/>
            <w:tcBorders>
              <w:top w:val="single" w:color="auto" w:sz="6" w:space="0"/>
              <w:left w:val="single" w:color="auto" w:sz="6" w:space="0"/>
              <w:bottom w:val="single" w:color="auto" w:sz="6" w:space="0"/>
              <w:right w:val="single" w:color="auto" w:sz="6" w:space="0"/>
            </w:tcBorders>
            <w:noWrap/>
            <w:vAlign w:val="center"/>
          </w:tcPr>
          <w:p w14:paraId="2C194D3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35101570201052504219</w:t>
            </w:r>
          </w:p>
        </w:tc>
        <w:tc>
          <w:tcPr>
            <w:tcW w:w="4196" w:type="dxa"/>
            <w:tcBorders>
              <w:top w:val="single" w:color="auto" w:sz="6" w:space="0"/>
              <w:left w:val="single" w:color="auto" w:sz="6" w:space="0"/>
              <w:bottom w:val="single" w:color="auto" w:sz="6" w:space="0"/>
              <w:right w:val="double" w:color="auto" w:sz="4" w:space="0"/>
            </w:tcBorders>
            <w:noWrap/>
            <w:vAlign w:val="center"/>
          </w:tcPr>
          <w:p w14:paraId="362C61B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35101570201052504219</w:t>
            </w:r>
          </w:p>
        </w:tc>
      </w:tr>
      <w:tr w14:paraId="6805F3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22" w:type="dxa"/>
            <w:tcBorders>
              <w:top w:val="single" w:color="auto" w:sz="6" w:space="0"/>
              <w:left w:val="double" w:color="auto" w:sz="4" w:space="0"/>
              <w:bottom w:val="double" w:color="auto" w:sz="4" w:space="0"/>
              <w:right w:val="single" w:color="auto" w:sz="6" w:space="0"/>
            </w:tcBorders>
            <w:noWrap/>
            <w:vAlign w:val="center"/>
          </w:tcPr>
          <w:p w14:paraId="756A07A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户名</w:t>
            </w:r>
          </w:p>
        </w:tc>
        <w:tc>
          <w:tcPr>
            <w:tcW w:w="7839" w:type="dxa"/>
            <w:gridSpan w:val="2"/>
            <w:tcBorders>
              <w:top w:val="single" w:color="auto" w:sz="6" w:space="0"/>
              <w:left w:val="single" w:color="auto" w:sz="6" w:space="0"/>
              <w:bottom w:val="double" w:color="auto" w:sz="4" w:space="0"/>
              <w:right w:val="double" w:color="auto" w:sz="4" w:space="0"/>
            </w:tcBorders>
            <w:noWrap/>
            <w:vAlign w:val="center"/>
          </w:tcPr>
          <w:p w14:paraId="3306821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tc>
      </w:tr>
    </w:tbl>
    <w:p w14:paraId="736A2E1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注：报价人须将相关的费用缴交至上表对应的账号，缴错账号而产生的一切后果由报价人自行承担。</w:t>
      </w:r>
    </w:p>
    <w:p w14:paraId="24E19CED">
      <w:pPr>
        <w:spacing w:line="360" w:lineRule="auto"/>
        <w:ind w:firstLine="480" w:firstLineChars="200"/>
        <w:rPr>
          <w:rFonts w:ascii="宋体" w:hAnsi="宋体" w:cs="宋体"/>
          <w:color w:val="auto"/>
          <w:sz w:val="24"/>
          <w:szCs w:val="24"/>
          <w:highlight w:val="none"/>
        </w:rPr>
      </w:pPr>
      <w:bookmarkStart w:id="4" w:name="_Toc11765"/>
      <w:r>
        <w:rPr>
          <w:rFonts w:hint="eastAsia" w:ascii="宋体" w:hAnsi="宋体" w:cs="宋体"/>
          <w:color w:val="auto"/>
          <w:sz w:val="24"/>
          <w:szCs w:val="24"/>
          <w:highlight w:val="none"/>
        </w:rPr>
        <w:t>12.注意事项：</w:t>
      </w:r>
      <w:bookmarkEnd w:id="4"/>
    </w:p>
    <w:p w14:paraId="461C527F">
      <w:pPr>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（1）有意向的潜在</w:t>
      </w:r>
      <w:r>
        <w:rPr>
          <w:rFonts w:hint="eastAsia" w:ascii="宋体" w:hAnsi="宋体" w:cs="宋体"/>
          <w:color w:val="auto"/>
          <w:sz w:val="24"/>
          <w:szCs w:val="24"/>
          <w:highlight w:val="none"/>
        </w:rPr>
        <w:t>报价人</w:t>
      </w:r>
      <w:r>
        <w:rPr>
          <w:rFonts w:ascii="宋体" w:hAnsi="宋体" w:cs="宋体"/>
          <w:color w:val="auto"/>
          <w:sz w:val="24"/>
          <w:szCs w:val="24"/>
          <w:highlight w:val="none"/>
        </w:rPr>
        <w:t>发邮件至wxsb@iport.com.cn索取</w:t>
      </w:r>
      <w:r>
        <w:rPr>
          <w:rFonts w:hint="eastAsia" w:ascii="宋体" w:hAnsi="宋体" w:cs="宋体"/>
          <w:color w:val="auto"/>
          <w:sz w:val="24"/>
          <w:szCs w:val="24"/>
          <w:highlight w:val="none"/>
        </w:rPr>
        <w:t>采购文件</w:t>
      </w:r>
      <w:r>
        <w:rPr>
          <w:rFonts w:ascii="宋体" w:hAnsi="宋体" w:cs="宋体"/>
          <w:color w:val="auto"/>
          <w:sz w:val="24"/>
          <w:szCs w:val="24"/>
          <w:highlight w:val="none"/>
        </w:rPr>
        <w:t>购买登记表。</w:t>
      </w:r>
    </w:p>
    <w:p w14:paraId="6E39FA37">
      <w:pPr>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（2）建议采用电汇或网银购买</w:t>
      </w:r>
      <w:r>
        <w:rPr>
          <w:rFonts w:hint="eastAsia" w:ascii="宋体" w:hAnsi="宋体" w:cs="宋体"/>
          <w:color w:val="auto"/>
          <w:sz w:val="24"/>
          <w:szCs w:val="24"/>
          <w:highlight w:val="none"/>
        </w:rPr>
        <w:t>采购文件</w:t>
      </w:r>
      <w:r>
        <w:rPr>
          <w:rFonts w:ascii="宋体" w:hAnsi="宋体" w:cs="宋体"/>
          <w:color w:val="auto"/>
          <w:sz w:val="24"/>
          <w:szCs w:val="24"/>
          <w:highlight w:val="none"/>
        </w:rPr>
        <w:t>，请</w:t>
      </w:r>
      <w:r>
        <w:rPr>
          <w:rFonts w:hint="eastAsia" w:ascii="宋体" w:hAnsi="宋体" w:cs="宋体"/>
          <w:color w:val="auto"/>
          <w:sz w:val="24"/>
          <w:szCs w:val="24"/>
          <w:highlight w:val="none"/>
        </w:rPr>
        <w:t>报价</w:t>
      </w:r>
      <w:r>
        <w:rPr>
          <w:rFonts w:ascii="宋体" w:hAnsi="宋体" w:cs="宋体"/>
          <w:color w:val="auto"/>
          <w:sz w:val="24"/>
          <w:szCs w:val="24"/>
          <w:highlight w:val="none"/>
        </w:rPr>
        <w:t>付款时务必注明“</w:t>
      </w:r>
      <w:r>
        <w:rPr>
          <w:rFonts w:hint="eastAsia" w:ascii="宋体" w:hAnsi="宋体" w:cs="宋体"/>
          <w:color w:val="auto"/>
          <w:sz w:val="24"/>
          <w:szCs w:val="24"/>
          <w:highlight w:val="none"/>
        </w:rPr>
        <w:t>项目</w:t>
      </w:r>
      <w:r>
        <w:rPr>
          <w:rFonts w:ascii="宋体" w:hAnsi="宋体" w:cs="宋体"/>
          <w:color w:val="auto"/>
          <w:sz w:val="24"/>
          <w:szCs w:val="24"/>
          <w:highlight w:val="none"/>
        </w:rPr>
        <w:t>编号+用途”（比如：XM2025-TZ5071文件费）。</w:t>
      </w:r>
    </w:p>
    <w:p w14:paraId="453857BF">
      <w:pPr>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（3）潜在</w:t>
      </w:r>
      <w:r>
        <w:rPr>
          <w:rFonts w:hint="eastAsia" w:ascii="宋体" w:hAnsi="宋体" w:cs="宋体"/>
          <w:color w:val="auto"/>
          <w:sz w:val="24"/>
          <w:szCs w:val="24"/>
          <w:highlight w:val="none"/>
        </w:rPr>
        <w:t>报价</w:t>
      </w:r>
      <w:r>
        <w:rPr>
          <w:rFonts w:ascii="宋体" w:hAnsi="宋体" w:cs="宋体"/>
          <w:color w:val="auto"/>
          <w:sz w:val="24"/>
          <w:szCs w:val="24"/>
          <w:highlight w:val="none"/>
        </w:rPr>
        <w:t>填好购买登记表后将加盖公章的文件购买登记表扫描件及文件购买付款凭证发至wxsb@iport.com.cn进行购买登记，收到登记资料后发送</w:t>
      </w:r>
      <w:r>
        <w:rPr>
          <w:rFonts w:hint="eastAsia" w:ascii="宋体" w:hAnsi="宋体" w:cs="宋体"/>
          <w:color w:val="auto"/>
          <w:sz w:val="24"/>
          <w:szCs w:val="24"/>
          <w:highlight w:val="none"/>
        </w:rPr>
        <w:t>采购文件</w:t>
      </w:r>
      <w:r>
        <w:rPr>
          <w:rFonts w:ascii="宋体" w:hAnsi="宋体" w:cs="宋体"/>
          <w:color w:val="auto"/>
          <w:sz w:val="24"/>
          <w:szCs w:val="24"/>
          <w:highlight w:val="none"/>
        </w:rPr>
        <w:t>电子版，如需纸质版，</w:t>
      </w:r>
      <w:r>
        <w:rPr>
          <w:rFonts w:hint="eastAsia" w:ascii="宋体" w:hAnsi="宋体" w:cs="宋体"/>
          <w:color w:val="auto"/>
          <w:sz w:val="24"/>
          <w:szCs w:val="24"/>
          <w:highlight w:val="none"/>
        </w:rPr>
        <w:t>采购代理机构</w:t>
      </w:r>
      <w:r>
        <w:rPr>
          <w:rFonts w:ascii="宋体" w:hAnsi="宋体" w:cs="宋体"/>
          <w:color w:val="auto"/>
          <w:sz w:val="24"/>
          <w:szCs w:val="24"/>
          <w:highlight w:val="none"/>
        </w:rPr>
        <w:t>可以邮寄，邮费需到付。</w:t>
      </w:r>
    </w:p>
    <w:p w14:paraId="6E13C9A6">
      <w:pPr>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（4）文件费及项目</w:t>
      </w:r>
      <w:r>
        <w:rPr>
          <w:rFonts w:hint="eastAsia" w:ascii="宋体" w:hAnsi="宋体" w:cs="宋体"/>
          <w:color w:val="auto"/>
          <w:sz w:val="24"/>
          <w:szCs w:val="24"/>
          <w:highlight w:val="none"/>
        </w:rPr>
        <w:t>成交</w:t>
      </w:r>
      <w:r>
        <w:rPr>
          <w:rFonts w:ascii="宋体" w:hAnsi="宋体" w:cs="宋体"/>
          <w:color w:val="auto"/>
          <w:sz w:val="24"/>
          <w:szCs w:val="24"/>
          <w:highlight w:val="none"/>
        </w:rPr>
        <w:t>供应商服务费等发票均以邮件方式发送至购标指定邮箱。</w:t>
      </w:r>
    </w:p>
    <w:p w14:paraId="043BF52B">
      <w:pPr>
        <w:spacing w:line="360" w:lineRule="auto"/>
        <w:ind w:firstLine="480" w:firstLineChars="200"/>
        <w:rPr>
          <w:rFonts w:ascii="宋体" w:hAnsi="宋体" w:cs="宋体"/>
          <w:color w:val="auto"/>
          <w:sz w:val="24"/>
          <w:szCs w:val="24"/>
          <w:highlight w:val="none"/>
        </w:rPr>
      </w:pPr>
    </w:p>
    <w:p w14:paraId="15D9B26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采购代理机构：厦门万翔招标有限公司</w:t>
      </w:r>
    </w:p>
    <w:p w14:paraId="4EA6122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地址：厦门市湖里区机场北路476号四楼</w:t>
      </w:r>
    </w:p>
    <w:p w14:paraId="50028C2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邮编：361006</w:t>
      </w:r>
    </w:p>
    <w:p w14:paraId="78906B2E">
      <w:pPr>
        <w:spacing w:line="360" w:lineRule="auto"/>
        <w:rPr>
          <w:rFonts w:ascii="宋体" w:hAnsi="宋体" w:cs="宋体"/>
          <w:color w:val="auto"/>
          <w:sz w:val="24"/>
          <w:szCs w:val="24"/>
          <w:highlight w:val="none"/>
        </w:rPr>
      </w:pPr>
    </w:p>
    <w:p w14:paraId="79A32C73">
      <w:pPr>
        <w:pStyle w:val="15"/>
        <w:ind w:firstLine="210"/>
        <w:rPr>
          <w:color w:val="auto"/>
          <w:highlight w:val="none"/>
        </w:rPr>
      </w:pPr>
    </w:p>
    <w:p w14:paraId="156FA20E">
      <w:pPr>
        <w:spacing w:line="360" w:lineRule="auto"/>
        <w:rPr>
          <w:rFonts w:ascii="宋体" w:hAnsi="宋体" w:cs="宋体"/>
          <w:b/>
          <w:bCs/>
          <w:color w:val="auto"/>
          <w:sz w:val="32"/>
          <w:szCs w:val="32"/>
          <w:highlight w:val="none"/>
        </w:rPr>
      </w:pPr>
    </w:p>
    <w:p w14:paraId="0E674F74">
      <w:pPr>
        <w:spacing w:line="360" w:lineRule="auto"/>
        <w:rPr>
          <w:rFonts w:ascii="宋体" w:hAnsi="宋体" w:cs="宋体"/>
          <w:b/>
          <w:bCs/>
          <w:color w:val="auto"/>
          <w:sz w:val="32"/>
          <w:szCs w:val="32"/>
          <w:highlight w:val="none"/>
        </w:rPr>
      </w:pPr>
    </w:p>
    <w:p w14:paraId="39DD4BE1">
      <w:pPr>
        <w:spacing w:line="360" w:lineRule="auto"/>
        <w:rPr>
          <w:rFonts w:ascii="宋体" w:hAnsi="宋体" w:cs="宋体"/>
          <w:b/>
          <w:bCs/>
          <w:color w:val="auto"/>
          <w:sz w:val="32"/>
          <w:szCs w:val="32"/>
          <w:highlight w:val="none"/>
        </w:rPr>
      </w:pPr>
    </w:p>
    <w:p w14:paraId="329CF983">
      <w:pPr>
        <w:spacing w:line="360" w:lineRule="auto"/>
        <w:rPr>
          <w:rFonts w:ascii="宋体" w:hAnsi="宋体" w:cs="宋体"/>
          <w:b/>
          <w:bCs/>
          <w:color w:val="auto"/>
          <w:sz w:val="32"/>
          <w:szCs w:val="32"/>
          <w:highlight w:val="none"/>
        </w:rPr>
      </w:pPr>
    </w:p>
    <w:p w14:paraId="0FC49A6B">
      <w:pPr>
        <w:spacing w:line="360" w:lineRule="auto"/>
        <w:rPr>
          <w:rFonts w:ascii="宋体" w:hAnsi="宋体" w:cs="宋体"/>
          <w:b/>
          <w:bCs/>
          <w:color w:val="auto"/>
          <w:sz w:val="32"/>
          <w:szCs w:val="32"/>
          <w:highlight w:val="none"/>
        </w:rPr>
      </w:pPr>
    </w:p>
    <w:p w14:paraId="7EF67B6E">
      <w:pPr>
        <w:spacing w:line="360" w:lineRule="auto"/>
        <w:rPr>
          <w:rFonts w:ascii="宋体" w:hAnsi="宋体" w:cs="宋体"/>
          <w:b/>
          <w:bCs/>
          <w:color w:val="auto"/>
          <w:sz w:val="32"/>
          <w:szCs w:val="32"/>
          <w:highlight w:val="none"/>
        </w:rPr>
      </w:pPr>
    </w:p>
    <w:p w14:paraId="120EC3A5">
      <w:pPr>
        <w:spacing w:line="360" w:lineRule="auto"/>
        <w:rPr>
          <w:rFonts w:ascii="宋体" w:hAnsi="宋体" w:cs="宋体"/>
          <w:b/>
          <w:bCs/>
          <w:color w:val="auto"/>
          <w:sz w:val="32"/>
          <w:szCs w:val="32"/>
          <w:highlight w:val="none"/>
        </w:rPr>
      </w:pPr>
    </w:p>
    <w:p w14:paraId="73F065D5">
      <w:pPr>
        <w:spacing w:line="360" w:lineRule="auto"/>
        <w:rPr>
          <w:rFonts w:ascii="宋体" w:hAnsi="宋体" w:cs="宋体"/>
          <w:b/>
          <w:bCs/>
          <w:color w:val="auto"/>
          <w:sz w:val="32"/>
          <w:szCs w:val="32"/>
          <w:highlight w:val="none"/>
        </w:rPr>
      </w:pPr>
    </w:p>
    <w:p w14:paraId="1690B1EE">
      <w:pPr>
        <w:spacing w:line="360" w:lineRule="auto"/>
        <w:rPr>
          <w:rFonts w:ascii="宋体" w:hAnsi="宋体" w:cs="宋体"/>
          <w:b/>
          <w:bCs/>
          <w:color w:val="auto"/>
          <w:sz w:val="32"/>
          <w:szCs w:val="32"/>
          <w:highlight w:val="none"/>
        </w:rPr>
      </w:pPr>
    </w:p>
    <w:p w14:paraId="2724D713">
      <w:pPr>
        <w:spacing w:line="360" w:lineRule="auto"/>
        <w:rPr>
          <w:rFonts w:ascii="宋体" w:hAnsi="宋体" w:cs="宋体"/>
          <w:b/>
          <w:bCs/>
          <w:color w:val="auto"/>
          <w:sz w:val="32"/>
          <w:szCs w:val="32"/>
          <w:highlight w:val="none"/>
        </w:rPr>
      </w:pPr>
    </w:p>
    <w:p w14:paraId="15E0946C">
      <w:pPr>
        <w:spacing w:line="360" w:lineRule="auto"/>
        <w:rPr>
          <w:rFonts w:ascii="宋体" w:hAnsi="宋体" w:cs="宋体"/>
          <w:b/>
          <w:bCs/>
          <w:color w:val="auto"/>
          <w:sz w:val="32"/>
          <w:szCs w:val="32"/>
          <w:highlight w:val="none"/>
        </w:rPr>
      </w:pPr>
    </w:p>
    <w:p w14:paraId="39E197F2">
      <w:pPr>
        <w:spacing w:line="360" w:lineRule="auto"/>
        <w:rPr>
          <w:rFonts w:ascii="宋体" w:hAnsi="宋体" w:cs="宋体"/>
          <w:b/>
          <w:bCs/>
          <w:color w:val="auto"/>
          <w:sz w:val="32"/>
          <w:szCs w:val="32"/>
          <w:highlight w:val="none"/>
        </w:rPr>
      </w:pPr>
    </w:p>
    <w:p w14:paraId="03BC39EC">
      <w:pPr>
        <w:spacing w:line="360" w:lineRule="auto"/>
        <w:rPr>
          <w:rFonts w:ascii="宋体" w:hAnsi="宋体" w:cs="宋体"/>
          <w:b/>
          <w:bCs/>
          <w:color w:val="auto"/>
          <w:sz w:val="32"/>
          <w:szCs w:val="32"/>
          <w:highlight w:val="none"/>
        </w:rPr>
      </w:pPr>
    </w:p>
    <w:p w14:paraId="1408BCD8">
      <w:pPr>
        <w:spacing w:line="360" w:lineRule="auto"/>
        <w:rPr>
          <w:rFonts w:ascii="宋体" w:hAnsi="宋体" w:cs="宋体"/>
          <w:b/>
          <w:bCs/>
          <w:color w:val="auto"/>
          <w:sz w:val="32"/>
          <w:szCs w:val="32"/>
          <w:highlight w:val="none"/>
        </w:rPr>
      </w:pPr>
    </w:p>
    <w:p w14:paraId="67656EEF">
      <w:pPr>
        <w:spacing w:line="360" w:lineRule="auto"/>
        <w:rPr>
          <w:rFonts w:ascii="宋体" w:hAnsi="宋体" w:cs="宋体"/>
          <w:b/>
          <w:bCs/>
          <w:color w:val="auto"/>
          <w:sz w:val="32"/>
          <w:szCs w:val="32"/>
          <w:highlight w:val="none"/>
        </w:rPr>
      </w:pPr>
    </w:p>
    <w:p w14:paraId="557AB513">
      <w:pPr>
        <w:spacing w:line="360" w:lineRule="auto"/>
        <w:rPr>
          <w:rFonts w:ascii="宋体" w:hAnsi="宋体" w:cs="宋体"/>
          <w:b/>
          <w:bCs/>
          <w:color w:val="auto"/>
          <w:sz w:val="32"/>
          <w:szCs w:val="32"/>
          <w:highlight w:val="none"/>
        </w:rPr>
      </w:pPr>
    </w:p>
    <w:p w14:paraId="61EBDE3A">
      <w:pPr>
        <w:spacing w:line="360" w:lineRule="auto"/>
        <w:rPr>
          <w:rFonts w:ascii="宋体" w:hAnsi="宋体" w:cs="宋体"/>
          <w:b/>
          <w:bCs/>
          <w:color w:val="auto"/>
          <w:sz w:val="24"/>
          <w:szCs w:val="24"/>
          <w:highlight w:val="none"/>
        </w:rPr>
      </w:pPr>
      <w:r>
        <w:rPr>
          <w:rFonts w:hint="eastAsia" w:ascii="宋体" w:hAnsi="宋体" w:cs="宋体"/>
          <w:b/>
          <w:bCs/>
          <w:color w:val="auto"/>
          <w:sz w:val="32"/>
          <w:szCs w:val="32"/>
          <w:highlight w:val="none"/>
        </w:rPr>
        <w:t>附：采购工程一览表</w:t>
      </w:r>
    </w:p>
    <w:tbl>
      <w:tblPr>
        <w:tblStyle w:val="17"/>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2"/>
        <w:gridCol w:w="953"/>
        <w:gridCol w:w="1782"/>
        <w:gridCol w:w="741"/>
        <w:gridCol w:w="1391"/>
        <w:gridCol w:w="1432"/>
        <w:gridCol w:w="1418"/>
      </w:tblGrid>
      <w:tr w14:paraId="70A3E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22" w:type="dxa"/>
            <w:noWrap/>
            <w:vAlign w:val="center"/>
          </w:tcPr>
          <w:p w14:paraId="52EEF84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合同包</w:t>
            </w:r>
          </w:p>
        </w:tc>
        <w:tc>
          <w:tcPr>
            <w:tcW w:w="953" w:type="dxa"/>
            <w:noWrap/>
            <w:vAlign w:val="center"/>
          </w:tcPr>
          <w:p w14:paraId="241AE3D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品目号</w:t>
            </w:r>
          </w:p>
        </w:tc>
        <w:tc>
          <w:tcPr>
            <w:tcW w:w="1782" w:type="dxa"/>
            <w:noWrap/>
            <w:vAlign w:val="center"/>
          </w:tcPr>
          <w:p w14:paraId="27EA596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工程名称</w:t>
            </w:r>
          </w:p>
        </w:tc>
        <w:tc>
          <w:tcPr>
            <w:tcW w:w="741" w:type="dxa"/>
            <w:noWrap/>
            <w:vAlign w:val="center"/>
          </w:tcPr>
          <w:p w14:paraId="64F6A87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数量</w:t>
            </w:r>
          </w:p>
        </w:tc>
        <w:tc>
          <w:tcPr>
            <w:tcW w:w="1391" w:type="dxa"/>
            <w:noWrap/>
            <w:vAlign w:val="center"/>
          </w:tcPr>
          <w:p w14:paraId="7EDDB11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技术规格及要求</w:t>
            </w:r>
          </w:p>
        </w:tc>
        <w:tc>
          <w:tcPr>
            <w:tcW w:w="1432" w:type="dxa"/>
            <w:noWrap/>
            <w:vAlign w:val="center"/>
          </w:tcPr>
          <w:p w14:paraId="64671D5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工期</w:t>
            </w:r>
          </w:p>
        </w:tc>
        <w:tc>
          <w:tcPr>
            <w:tcW w:w="1418" w:type="dxa"/>
            <w:noWrap/>
            <w:vAlign w:val="center"/>
          </w:tcPr>
          <w:p w14:paraId="1A2146C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施工地点</w:t>
            </w:r>
          </w:p>
        </w:tc>
      </w:tr>
      <w:tr w14:paraId="5B80F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jc w:val="center"/>
        </w:trPr>
        <w:tc>
          <w:tcPr>
            <w:tcW w:w="1322" w:type="dxa"/>
            <w:noWrap/>
            <w:vAlign w:val="center"/>
          </w:tcPr>
          <w:p w14:paraId="160E562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XM2025-TZ5071</w:t>
            </w:r>
          </w:p>
        </w:tc>
        <w:tc>
          <w:tcPr>
            <w:tcW w:w="953" w:type="dxa"/>
            <w:noWrap/>
            <w:vAlign w:val="center"/>
          </w:tcPr>
          <w:p w14:paraId="1A0A26E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1782" w:type="dxa"/>
            <w:noWrap/>
            <w:vAlign w:val="center"/>
          </w:tcPr>
          <w:p w14:paraId="77FBEA9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厦禾校区食堂建设及文博楼用电改造</w:t>
            </w:r>
          </w:p>
        </w:tc>
        <w:tc>
          <w:tcPr>
            <w:tcW w:w="741" w:type="dxa"/>
            <w:noWrap/>
            <w:vAlign w:val="center"/>
          </w:tcPr>
          <w:p w14:paraId="465C0A1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1项</w:t>
            </w:r>
          </w:p>
        </w:tc>
        <w:tc>
          <w:tcPr>
            <w:tcW w:w="1391" w:type="dxa"/>
            <w:noWrap/>
            <w:vAlign w:val="center"/>
          </w:tcPr>
          <w:p w14:paraId="714FAD4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详见采购内容及要求</w:t>
            </w:r>
          </w:p>
        </w:tc>
        <w:tc>
          <w:tcPr>
            <w:tcW w:w="1432" w:type="dxa"/>
            <w:noWrap/>
            <w:vAlign w:val="center"/>
          </w:tcPr>
          <w:p w14:paraId="42C4905C">
            <w:pPr>
              <w:spacing w:line="360" w:lineRule="auto"/>
              <w:ind w:right="171"/>
              <w:jc w:val="center"/>
              <w:rPr>
                <w:rFonts w:ascii="宋体" w:hAnsi="宋体" w:cs="宋体"/>
                <w:color w:val="auto"/>
                <w:sz w:val="24"/>
                <w:szCs w:val="24"/>
                <w:highlight w:val="none"/>
              </w:rPr>
            </w:pPr>
            <w:r>
              <w:rPr>
                <w:rFonts w:hint="eastAsia" w:ascii="宋体" w:hAnsi="宋体" w:cs="宋体"/>
                <w:color w:val="auto"/>
                <w:sz w:val="24"/>
                <w:szCs w:val="24"/>
                <w:highlight w:val="none"/>
              </w:rPr>
              <w:t>详见采购内容及要求</w:t>
            </w:r>
          </w:p>
        </w:tc>
        <w:tc>
          <w:tcPr>
            <w:tcW w:w="1418" w:type="dxa"/>
            <w:noWrap/>
            <w:vAlign w:val="center"/>
          </w:tcPr>
          <w:p w14:paraId="1548B67D">
            <w:pPr>
              <w:spacing w:line="360" w:lineRule="auto"/>
              <w:ind w:right="171"/>
              <w:jc w:val="center"/>
              <w:rPr>
                <w:rFonts w:ascii="宋体" w:hAnsi="宋体" w:cs="宋体"/>
                <w:color w:val="auto"/>
                <w:sz w:val="24"/>
                <w:szCs w:val="24"/>
                <w:highlight w:val="none"/>
              </w:rPr>
            </w:pPr>
            <w:r>
              <w:rPr>
                <w:rFonts w:hint="eastAsia" w:ascii="宋体" w:hAnsi="宋体" w:cs="宋体"/>
                <w:color w:val="auto"/>
                <w:sz w:val="24"/>
                <w:szCs w:val="24"/>
                <w:highlight w:val="none"/>
              </w:rPr>
              <w:t>采购人指定地点</w:t>
            </w:r>
          </w:p>
        </w:tc>
      </w:tr>
      <w:tr w14:paraId="097AD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jc w:val="center"/>
        </w:trPr>
        <w:tc>
          <w:tcPr>
            <w:tcW w:w="1322" w:type="dxa"/>
            <w:noWrap/>
            <w:vAlign w:val="center"/>
          </w:tcPr>
          <w:p w14:paraId="1537569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施工范围</w:t>
            </w:r>
          </w:p>
        </w:tc>
        <w:tc>
          <w:tcPr>
            <w:tcW w:w="7717" w:type="dxa"/>
            <w:gridSpan w:val="6"/>
            <w:noWrap/>
            <w:vAlign w:val="center"/>
          </w:tcPr>
          <w:p w14:paraId="45E8AF2D">
            <w:pPr>
              <w:spacing w:line="360" w:lineRule="auto"/>
              <w:ind w:right="171"/>
              <w:jc w:val="center"/>
              <w:rPr>
                <w:rFonts w:ascii="宋体" w:hAnsi="宋体" w:cs="宋体"/>
                <w:color w:val="auto"/>
                <w:sz w:val="24"/>
                <w:szCs w:val="24"/>
                <w:highlight w:val="none"/>
              </w:rPr>
            </w:pPr>
            <w:r>
              <w:rPr>
                <w:rFonts w:hint="eastAsia" w:ascii="宋体" w:hAnsi="宋体" w:cs="宋体"/>
                <w:color w:val="auto"/>
                <w:sz w:val="24"/>
                <w:szCs w:val="24"/>
                <w:highlight w:val="none"/>
              </w:rPr>
              <w:t>详见第三章 磋商内容及要求</w:t>
            </w:r>
          </w:p>
        </w:tc>
      </w:tr>
    </w:tbl>
    <w:p w14:paraId="746E0E95">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备注：合同包完整不可分，报价人必须对合同包内所有</w:t>
      </w:r>
      <w:r>
        <w:rPr>
          <w:rFonts w:hint="eastAsia" w:ascii="宋体" w:hAnsi="宋体" w:cs="宋体"/>
          <w:color w:val="auto"/>
          <w:sz w:val="24"/>
          <w:szCs w:val="24"/>
          <w:highlight w:val="none"/>
        </w:rPr>
        <w:t>内容进行完整报价。报价人可按合同包响应，评审与成交以合同包为单位。</w:t>
      </w:r>
    </w:p>
    <w:p w14:paraId="1E1FE8D1">
      <w:pPr>
        <w:spacing w:line="360" w:lineRule="auto"/>
        <w:jc w:val="center"/>
        <w:rPr>
          <w:rFonts w:ascii="宋体" w:hAnsi="宋体" w:cs="宋体"/>
          <w:b/>
          <w:bCs/>
          <w:color w:val="auto"/>
          <w:sz w:val="24"/>
          <w:szCs w:val="24"/>
          <w:highlight w:val="none"/>
        </w:rPr>
      </w:pPr>
    </w:p>
    <w:p w14:paraId="3B2857E6">
      <w:pPr>
        <w:spacing w:line="360" w:lineRule="auto"/>
        <w:jc w:val="center"/>
        <w:rPr>
          <w:rFonts w:ascii="宋体" w:hAnsi="宋体" w:cs="宋体"/>
          <w:b/>
          <w:bCs/>
          <w:color w:val="auto"/>
          <w:sz w:val="24"/>
          <w:szCs w:val="24"/>
          <w:highlight w:val="none"/>
        </w:rPr>
      </w:pPr>
    </w:p>
    <w:p w14:paraId="667FC257">
      <w:pPr>
        <w:spacing w:line="360" w:lineRule="auto"/>
        <w:jc w:val="center"/>
        <w:rPr>
          <w:rFonts w:ascii="宋体" w:hAnsi="宋体" w:cs="宋体"/>
          <w:b/>
          <w:bCs/>
          <w:color w:val="auto"/>
          <w:sz w:val="24"/>
          <w:szCs w:val="24"/>
          <w:highlight w:val="none"/>
        </w:rPr>
      </w:pPr>
    </w:p>
    <w:p w14:paraId="3F521B4F">
      <w:pPr>
        <w:spacing w:line="360" w:lineRule="auto"/>
        <w:jc w:val="center"/>
        <w:rPr>
          <w:rFonts w:ascii="宋体" w:hAnsi="宋体" w:cs="宋体"/>
          <w:b/>
          <w:bCs/>
          <w:color w:val="auto"/>
          <w:sz w:val="24"/>
          <w:szCs w:val="24"/>
          <w:highlight w:val="none"/>
        </w:rPr>
      </w:pPr>
    </w:p>
    <w:p w14:paraId="06C66046">
      <w:pPr>
        <w:spacing w:line="360" w:lineRule="auto"/>
        <w:jc w:val="center"/>
        <w:rPr>
          <w:rFonts w:ascii="宋体" w:hAnsi="宋体" w:cs="宋体"/>
          <w:b/>
          <w:bCs/>
          <w:color w:val="auto"/>
          <w:sz w:val="24"/>
          <w:szCs w:val="24"/>
          <w:highlight w:val="none"/>
        </w:rPr>
      </w:pPr>
    </w:p>
    <w:p w14:paraId="2B124676">
      <w:pPr>
        <w:spacing w:line="360" w:lineRule="auto"/>
        <w:jc w:val="center"/>
        <w:rPr>
          <w:rFonts w:ascii="宋体" w:hAnsi="宋体" w:cs="宋体"/>
          <w:b/>
          <w:bCs/>
          <w:color w:val="auto"/>
          <w:sz w:val="24"/>
          <w:szCs w:val="24"/>
          <w:highlight w:val="none"/>
        </w:rPr>
      </w:pPr>
    </w:p>
    <w:p w14:paraId="1A1990E7">
      <w:pPr>
        <w:spacing w:line="360" w:lineRule="auto"/>
        <w:jc w:val="center"/>
        <w:rPr>
          <w:rFonts w:ascii="宋体" w:hAnsi="宋体" w:cs="宋体"/>
          <w:b/>
          <w:bCs/>
          <w:color w:val="auto"/>
          <w:sz w:val="24"/>
          <w:szCs w:val="24"/>
          <w:highlight w:val="none"/>
        </w:rPr>
      </w:pPr>
    </w:p>
    <w:p w14:paraId="5C96420F">
      <w:pPr>
        <w:spacing w:line="360" w:lineRule="auto"/>
        <w:jc w:val="center"/>
        <w:rPr>
          <w:rFonts w:ascii="宋体" w:hAnsi="宋体" w:cs="宋体"/>
          <w:b/>
          <w:bCs/>
          <w:color w:val="auto"/>
          <w:sz w:val="24"/>
          <w:szCs w:val="24"/>
          <w:highlight w:val="none"/>
        </w:rPr>
      </w:pPr>
    </w:p>
    <w:p w14:paraId="5CE9048B">
      <w:pPr>
        <w:spacing w:line="360" w:lineRule="auto"/>
        <w:jc w:val="center"/>
        <w:rPr>
          <w:rFonts w:ascii="宋体" w:hAnsi="宋体" w:cs="宋体"/>
          <w:b/>
          <w:bCs/>
          <w:color w:val="auto"/>
          <w:sz w:val="24"/>
          <w:szCs w:val="24"/>
          <w:highlight w:val="none"/>
        </w:rPr>
      </w:pPr>
    </w:p>
    <w:p w14:paraId="0853B6EE">
      <w:pPr>
        <w:pStyle w:val="2"/>
        <w:rPr>
          <w:rFonts w:ascii="宋体" w:hAnsi="宋体" w:cs="宋体"/>
          <w:b/>
          <w:bCs/>
          <w:color w:val="auto"/>
          <w:sz w:val="24"/>
          <w:szCs w:val="24"/>
          <w:highlight w:val="none"/>
        </w:rPr>
      </w:pPr>
    </w:p>
    <w:p w14:paraId="5D3B955D">
      <w:pPr>
        <w:pStyle w:val="2"/>
        <w:rPr>
          <w:rFonts w:ascii="宋体" w:hAnsi="宋体" w:cs="宋体"/>
          <w:b/>
          <w:bCs/>
          <w:color w:val="auto"/>
          <w:sz w:val="24"/>
          <w:szCs w:val="24"/>
          <w:highlight w:val="none"/>
        </w:rPr>
      </w:pPr>
    </w:p>
    <w:p w14:paraId="64FBB467">
      <w:pPr>
        <w:pStyle w:val="2"/>
        <w:rPr>
          <w:rFonts w:ascii="宋体" w:hAnsi="宋体" w:cs="宋体"/>
          <w:b/>
          <w:bCs/>
          <w:color w:val="auto"/>
          <w:sz w:val="24"/>
          <w:szCs w:val="24"/>
          <w:highlight w:val="none"/>
        </w:rPr>
      </w:pPr>
    </w:p>
    <w:p w14:paraId="28A7EE91">
      <w:pPr>
        <w:spacing w:line="360" w:lineRule="auto"/>
        <w:jc w:val="center"/>
        <w:rPr>
          <w:rFonts w:ascii="宋体" w:hAnsi="宋体" w:cs="宋体"/>
          <w:b/>
          <w:bCs/>
          <w:color w:val="auto"/>
          <w:sz w:val="24"/>
          <w:szCs w:val="24"/>
          <w:highlight w:val="none"/>
        </w:rPr>
      </w:pPr>
    </w:p>
    <w:p w14:paraId="735D8051">
      <w:pPr>
        <w:spacing w:line="360" w:lineRule="auto"/>
        <w:jc w:val="center"/>
        <w:rPr>
          <w:rFonts w:ascii="宋体" w:hAnsi="宋体" w:cs="宋体"/>
          <w:b/>
          <w:bCs/>
          <w:color w:val="auto"/>
          <w:sz w:val="24"/>
          <w:szCs w:val="24"/>
          <w:highlight w:val="none"/>
        </w:rPr>
      </w:pPr>
    </w:p>
    <w:p w14:paraId="368028C7">
      <w:pPr>
        <w:spacing w:line="360" w:lineRule="auto"/>
        <w:jc w:val="center"/>
        <w:rPr>
          <w:rFonts w:ascii="宋体" w:hAnsi="宋体" w:cs="宋体"/>
          <w:b/>
          <w:bCs/>
          <w:color w:val="auto"/>
          <w:sz w:val="24"/>
          <w:szCs w:val="24"/>
          <w:highlight w:val="none"/>
        </w:rPr>
      </w:pPr>
    </w:p>
    <w:p w14:paraId="34949191">
      <w:pPr>
        <w:spacing w:line="360" w:lineRule="auto"/>
        <w:jc w:val="center"/>
        <w:rPr>
          <w:rFonts w:ascii="宋体" w:hAnsi="宋体" w:cs="宋体"/>
          <w:b/>
          <w:bCs/>
          <w:color w:val="auto"/>
          <w:sz w:val="24"/>
          <w:szCs w:val="24"/>
          <w:highlight w:val="none"/>
        </w:rPr>
      </w:pPr>
    </w:p>
    <w:p w14:paraId="417BBD73">
      <w:pPr>
        <w:spacing w:line="360" w:lineRule="auto"/>
        <w:jc w:val="center"/>
        <w:rPr>
          <w:rFonts w:ascii="宋体" w:hAnsi="宋体" w:cs="宋体"/>
          <w:b/>
          <w:bCs/>
          <w:color w:val="auto"/>
          <w:sz w:val="24"/>
          <w:szCs w:val="24"/>
          <w:highlight w:val="none"/>
        </w:rPr>
      </w:pPr>
    </w:p>
    <w:p w14:paraId="036D5AA2">
      <w:pPr>
        <w:spacing w:line="360" w:lineRule="auto"/>
        <w:jc w:val="center"/>
        <w:rPr>
          <w:rFonts w:ascii="宋体" w:hAnsi="宋体" w:cs="宋体"/>
          <w:b/>
          <w:bCs/>
          <w:color w:val="auto"/>
          <w:sz w:val="24"/>
          <w:szCs w:val="24"/>
          <w:highlight w:val="none"/>
        </w:rPr>
      </w:pPr>
    </w:p>
    <w:p w14:paraId="649431D5">
      <w:pPr>
        <w:pStyle w:val="22"/>
        <w:spacing w:line="360" w:lineRule="auto"/>
        <w:jc w:val="center"/>
        <w:outlineLvl w:val="0"/>
        <w:rPr>
          <w:rFonts w:hAnsi="宋体" w:cs="宋体"/>
          <w:color w:val="auto"/>
          <w:highlight w:val="none"/>
        </w:rPr>
      </w:pPr>
      <w:bookmarkStart w:id="5" w:name="_Toc25403"/>
      <w:bookmarkStart w:id="6" w:name="_Toc20568"/>
      <w:bookmarkStart w:id="7" w:name="_Toc21942"/>
      <w:bookmarkStart w:id="8" w:name="_Toc141444512"/>
      <w:r>
        <w:rPr>
          <w:rFonts w:hint="eastAsia" w:hAnsi="宋体" w:cs="宋体"/>
          <w:b/>
          <w:color w:val="auto"/>
          <w:sz w:val="32"/>
          <w:szCs w:val="32"/>
          <w:highlight w:val="none"/>
        </w:rPr>
        <w:t>第二章  报价人须知</w:t>
      </w:r>
      <w:bookmarkEnd w:id="5"/>
      <w:bookmarkEnd w:id="6"/>
      <w:bookmarkEnd w:id="7"/>
      <w:bookmarkEnd w:id="8"/>
    </w:p>
    <w:p w14:paraId="78510A3A">
      <w:pPr>
        <w:pStyle w:val="22"/>
        <w:spacing w:line="360" w:lineRule="auto"/>
        <w:rPr>
          <w:rFonts w:hAnsi="宋体" w:cs="宋体"/>
          <w:color w:val="auto"/>
          <w:highlight w:val="none"/>
        </w:rPr>
      </w:pPr>
    </w:p>
    <w:p w14:paraId="212C135B">
      <w:pPr>
        <w:pStyle w:val="22"/>
        <w:spacing w:line="360" w:lineRule="auto"/>
        <w:rPr>
          <w:rFonts w:hAnsi="宋体" w:cs="宋体"/>
          <w:color w:val="auto"/>
          <w:highlight w:val="none"/>
        </w:rPr>
      </w:pPr>
    </w:p>
    <w:p w14:paraId="205ABA2B">
      <w:pPr>
        <w:pStyle w:val="22"/>
        <w:spacing w:line="360" w:lineRule="auto"/>
        <w:rPr>
          <w:rFonts w:hAnsi="宋体" w:cs="宋体"/>
          <w:color w:val="auto"/>
          <w:highlight w:val="none"/>
        </w:rPr>
      </w:pPr>
    </w:p>
    <w:tbl>
      <w:tblPr>
        <w:tblStyle w:val="17"/>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357EF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tcPr>
          <w:p w14:paraId="4D04D2C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注释： </w:t>
            </w:r>
          </w:p>
          <w:p w14:paraId="2281CD30">
            <w:pPr>
              <w:spacing w:line="360" w:lineRule="auto"/>
              <w:ind w:firstLine="360" w:firstLineChars="150"/>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《报价人须知》应载明报价人准备报价文件所必须的信息，以及递交报价文件、评审和签订合同等有关规定。 </w:t>
            </w:r>
          </w:p>
          <w:p w14:paraId="547752AE">
            <w:pPr>
              <w:spacing w:line="360" w:lineRule="auto"/>
              <w:ind w:firstLine="240" w:firstLineChars="100"/>
              <w:rPr>
                <w:rFonts w:ascii="宋体" w:hAnsi="宋体" w:cs="宋体"/>
                <w:color w:val="auto"/>
                <w:sz w:val="24"/>
                <w:szCs w:val="24"/>
                <w:highlight w:val="none"/>
              </w:rPr>
            </w:pPr>
          </w:p>
        </w:tc>
      </w:tr>
    </w:tbl>
    <w:p w14:paraId="7CC18218">
      <w:pPr>
        <w:spacing w:line="360" w:lineRule="auto"/>
        <w:jc w:val="center"/>
        <w:rPr>
          <w:rFonts w:ascii="宋体" w:hAnsi="宋体" w:cs="宋体"/>
          <w:b/>
          <w:bCs/>
          <w:color w:val="auto"/>
          <w:sz w:val="24"/>
          <w:szCs w:val="24"/>
          <w:highlight w:val="none"/>
        </w:rPr>
      </w:pPr>
    </w:p>
    <w:p w14:paraId="1BB17B27">
      <w:pPr>
        <w:spacing w:line="360" w:lineRule="auto"/>
        <w:jc w:val="center"/>
        <w:rPr>
          <w:rFonts w:ascii="宋体" w:hAnsi="宋体" w:cs="宋体"/>
          <w:b/>
          <w:bCs/>
          <w:color w:val="auto"/>
          <w:sz w:val="24"/>
          <w:szCs w:val="24"/>
          <w:highlight w:val="none"/>
        </w:rPr>
      </w:pPr>
    </w:p>
    <w:p w14:paraId="37B71C3A">
      <w:pPr>
        <w:spacing w:line="360" w:lineRule="auto"/>
        <w:jc w:val="center"/>
        <w:rPr>
          <w:rFonts w:ascii="宋体" w:hAnsi="宋体" w:cs="宋体"/>
          <w:b/>
          <w:bCs/>
          <w:color w:val="auto"/>
          <w:sz w:val="24"/>
          <w:szCs w:val="24"/>
          <w:highlight w:val="none"/>
        </w:rPr>
      </w:pPr>
    </w:p>
    <w:p w14:paraId="2EA3D8BD">
      <w:pPr>
        <w:spacing w:line="360" w:lineRule="auto"/>
        <w:jc w:val="center"/>
        <w:rPr>
          <w:rFonts w:ascii="宋体" w:hAnsi="宋体" w:cs="宋体"/>
          <w:b/>
          <w:bCs/>
          <w:color w:val="auto"/>
          <w:sz w:val="24"/>
          <w:szCs w:val="24"/>
          <w:highlight w:val="none"/>
        </w:rPr>
      </w:pPr>
    </w:p>
    <w:p w14:paraId="6BC93B9A">
      <w:pPr>
        <w:spacing w:line="360" w:lineRule="auto"/>
        <w:jc w:val="center"/>
        <w:rPr>
          <w:rFonts w:ascii="宋体" w:hAnsi="宋体" w:cs="宋体"/>
          <w:b/>
          <w:bCs/>
          <w:color w:val="auto"/>
          <w:sz w:val="24"/>
          <w:szCs w:val="24"/>
          <w:highlight w:val="none"/>
        </w:rPr>
      </w:pPr>
    </w:p>
    <w:p w14:paraId="1A2EC5C9">
      <w:pPr>
        <w:spacing w:line="360" w:lineRule="auto"/>
        <w:jc w:val="center"/>
        <w:rPr>
          <w:rFonts w:ascii="宋体" w:hAnsi="宋体" w:cs="宋体"/>
          <w:b/>
          <w:bCs/>
          <w:color w:val="auto"/>
          <w:sz w:val="24"/>
          <w:szCs w:val="24"/>
          <w:highlight w:val="none"/>
        </w:rPr>
      </w:pPr>
    </w:p>
    <w:p w14:paraId="57760448">
      <w:pPr>
        <w:spacing w:line="360" w:lineRule="auto"/>
        <w:jc w:val="center"/>
        <w:rPr>
          <w:rFonts w:ascii="宋体" w:hAnsi="宋体" w:cs="宋体"/>
          <w:b/>
          <w:bCs/>
          <w:color w:val="auto"/>
          <w:sz w:val="24"/>
          <w:szCs w:val="24"/>
          <w:highlight w:val="none"/>
        </w:rPr>
      </w:pPr>
    </w:p>
    <w:p w14:paraId="3A377E9C">
      <w:pPr>
        <w:spacing w:line="360" w:lineRule="auto"/>
        <w:jc w:val="center"/>
        <w:rPr>
          <w:rFonts w:ascii="宋体" w:hAnsi="宋体" w:cs="宋体"/>
          <w:b/>
          <w:bCs/>
          <w:color w:val="auto"/>
          <w:sz w:val="24"/>
          <w:szCs w:val="24"/>
          <w:highlight w:val="none"/>
        </w:rPr>
      </w:pPr>
    </w:p>
    <w:p w14:paraId="321F57D8">
      <w:pPr>
        <w:spacing w:line="360" w:lineRule="auto"/>
        <w:jc w:val="center"/>
        <w:rPr>
          <w:rFonts w:ascii="宋体" w:hAnsi="宋体" w:cs="宋体"/>
          <w:b/>
          <w:bCs/>
          <w:color w:val="auto"/>
          <w:sz w:val="24"/>
          <w:szCs w:val="24"/>
          <w:highlight w:val="none"/>
        </w:rPr>
      </w:pPr>
    </w:p>
    <w:p w14:paraId="19571E51">
      <w:pPr>
        <w:spacing w:line="360" w:lineRule="auto"/>
        <w:jc w:val="center"/>
        <w:rPr>
          <w:rFonts w:ascii="宋体" w:hAnsi="宋体" w:cs="宋体"/>
          <w:b/>
          <w:bCs/>
          <w:color w:val="auto"/>
          <w:sz w:val="24"/>
          <w:szCs w:val="24"/>
          <w:highlight w:val="none"/>
        </w:rPr>
      </w:pPr>
    </w:p>
    <w:p w14:paraId="3F5E17D1">
      <w:pPr>
        <w:spacing w:line="360" w:lineRule="auto"/>
        <w:rPr>
          <w:rFonts w:ascii="宋体" w:hAnsi="宋体" w:cs="宋体"/>
          <w:b/>
          <w:bCs/>
          <w:color w:val="auto"/>
          <w:sz w:val="24"/>
          <w:szCs w:val="24"/>
          <w:highlight w:val="none"/>
        </w:rPr>
      </w:pPr>
    </w:p>
    <w:p w14:paraId="58CDF5C3">
      <w:pPr>
        <w:spacing w:line="360" w:lineRule="auto"/>
        <w:rPr>
          <w:rFonts w:ascii="宋体" w:hAnsi="宋体" w:cs="宋体"/>
          <w:b/>
          <w:bCs/>
          <w:color w:val="auto"/>
          <w:sz w:val="24"/>
          <w:szCs w:val="24"/>
          <w:highlight w:val="none"/>
        </w:rPr>
      </w:pPr>
    </w:p>
    <w:p w14:paraId="642FD3F5">
      <w:pPr>
        <w:spacing w:line="360" w:lineRule="auto"/>
        <w:rPr>
          <w:rFonts w:ascii="宋体" w:hAnsi="宋体" w:cs="宋体"/>
          <w:b/>
          <w:bCs/>
          <w:color w:val="auto"/>
          <w:sz w:val="24"/>
          <w:szCs w:val="24"/>
          <w:highlight w:val="none"/>
        </w:rPr>
      </w:pPr>
    </w:p>
    <w:p w14:paraId="1276399D">
      <w:pPr>
        <w:spacing w:line="360" w:lineRule="auto"/>
        <w:rPr>
          <w:rFonts w:ascii="宋体" w:hAnsi="宋体" w:cs="宋体"/>
          <w:b/>
          <w:bCs/>
          <w:color w:val="auto"/>
          <w:sz w:val="24"/>
          <w:szCs w:val="24"/>
          <w:highlight w:val="none"/>
        </w:rPr>
      </w:pPr>
    </w:p>
    <w:p w14:paraId="7045CF93">
      <w:pPr>
        <w:spacing w:line="360" w:lineRule="auto"/>
        <w:rPr>
          <w:rFonts w:ascii="宋体" w:hAnsi="宋体" w:cs="宋体"/>
          <w:b/>
          <w:bCs/>
          <w:color w:val="auto"/>
          <w:sz w:val="24"/>
          <w:szCs w:val="24"/>
          <w:highlight w:val="none"/>
        </w:rPr>
      </w:pPr>
    </w:p>
    <w:p w14:paraId="5DF65A94">
      <w:pPr>
        <w:spacing w:line="360" w:lineRule="auto"/>
        <w:rPr>
          <w:rFonts w:ascii="宋体" w:hAnsi="宋体" w:cs="宋体"/>
          <w:b/>
          <w:bCs/>
          <w:color w:val="auto"/>
          <w:sz w:val="24"/>
          <w:szCs w:val="24"/>
          <w:highlight w:val="none"/>
        </w:rPr>
      </w:pPr>
    </w:p>
    <w:p w14:paraId="58D11AEF">
      <w:pPr>
        <w:spacing w:line="360" w:lineRule="auto"/>
        <w:rPr>
          <w:rFonts w:ascii="宋体" w:hAnsi="宋体" w:cs="宋体"/>
          <w:b/>
          <w:bCs/>
          <w:color w:val="auto"/>
          <w:sz w:val="24"/>
          <w:szCs w:val="24"/>
          <w:highlight w:val="none"/>
        </w:rPr>
      </w:pPr>
    </w:p>
    <w:p w14:paraId="3CD203EA">
      <w:pPr>
        <w:spacing w:line="360" w:lineRule="auto"/>
        <w:rPr>
          <w:rFonts w:ascii="宋体" w:hAnsi="宋体" w:cs="宋体"/>
          <w:b/>
          <w:bCs/>
          <w:color w:val="auto"/>
          <w:sz w:val="24"/>
          <w:szCs w:val="24"/>
          <w:highlight w:val="none"/>
        </w:rPr>
      </w:pPr>
    </w:p>
    <w:p w14:paraId="77196BFE">
      <w:pPr>
        <w:spacing w:line="360" w:lineRule="auto"/>
        <w:rPr>
          <w:rFonts w:ascii="宋体" w:hAnsi="宋体" w:cs="宋体"/>
          <w:b/>
          <w:bCs/>
          <w:color w:val="auto"/>
          <w:sz w:val="24"/>
          <w:szCs w:val="24"/>
          <w:highlight w:val="none"/>
        </w:rPr>
      </w:pPr>
    </w:p>
    <w:p w14:paraId="4BC9E30C">
      <w:pPr>
        <w:spacing w:line="360" w:lineRule="auto"/>
        <w:rPr>
          <w:rFonts w:ascii="宋体" w:hAnsi="宋体" w:cs="宋体"/>
          <w:b/>
          <w:bCs/>
          <w:color w:val="auto"/>
          <w:sz w:val="24"/>
          <w:szCs w:val="24"/>
          <w:highlight w:val="none"/>
        </w:rPr>
      </w:pPr>
    </w:p>
    <w:p w14:paraId="5355DFBF">
      <w:pPr>
        <w:spacing w:line="360" w:lineRule="auto"/>
        <w:rPr>
          <w:rFonts w:ascii="宋体" w:hAnsi="宋体" w:cs="宋体"/>
          <w:b/>
          <w:bCs/>
          <w:color w:val="auto"/>
          <w:sz w:val="24"/>
          <w:szCs w:val="24"/>
          <w:highlight w:val="none"/>
        </w:rPr>
      </w:pPr>
    </w:p>
    <w:p w14:paraId="6585696D">
      <w:pPr>
        <w:spacing w:line="360" w:lineRule="auto"/>
        <w:ind w:firstLine="2891" w:firstLineChars="900"/>
        <w:outlineLvl w:val="1"/>
        <w:rPr>
          <w:rFonts w:ascii="宋体" w:hAnsi="宋体" w:cs="宋体"/>
          <w:b/>
          <w:bCs/>
          <w:color w:val="auto"/>
          <w:sz w:val="32"/>
          <w:szCs w:val="32"/>
          <w:highlight w:val="none"/>
        </w:rPr>
      </w:pPr>
      <w:bookmarkStart w:id="9" w:name="_Toc930307998"/>
      <w:bookmarkStart w:id="10" w:name="_Toc14089"/>
      <w:bookmarkStart w:id="11" w:name="_Toc28227"/>
      <w:r>
        <w:rPr>
          <w:rFonts w:hint="eastAsia" w:ascii="宋体" w:hAnsi="宋体" w:cs="宋体"/>
          <w:b/>
          <w:bCs/>
          <w:color w:val="auto"/>
          <w:sz w:val="32"/>
          <w:szCs w:val="32"/>
          <w:highlight w:val="none"/>
        </w:rPr>
        <w:t>报价人须知前附表1</w:t>
      </w:r>
      <w:bookmarkEnd w:id="9"/>
      <w:bookmarkEnd w:id="10"/>
      <w:bookmarkEnd w:id="11"/>
    </w:p>
    <w:p w14:paraId="03D1EF60">
      <w:pPr>
        <w:spacing w:line="360" w:lineRule="auto"/>
        <w:ind w:firstLine="525"/>
        <w:rPr>
          <w:rFonts w:ascii="宋体" w:hAnsi="宋体" w:cs="宋体"/>
          <w:color w:val="auto"/>
          <w:sz w:val="24"/>
          <w:szCs w:val="24"/>
          <w:highlight w:val="none"/>
        </w:rPr>
      </w:pPr>
      <w:r>
        <w:rPr>
          <w:rFonts w:hint="eastAsia" w:ascii="宋体" w:hAnsi="宋体" w:cs="宋体"/>
          <w:color w:val="auto"/>
          <w:sz w:val="24"/>
          <w:szCs w:val="24"/>
          <w:highlight w:val="none"/>
        </w:rPr>
        <w:t xml:space="preserve">本须知前附表的条款号是与《报价人须知》中条款的项号相对应的。如果有矛盾的话，应以本附表为准。 </w:t>
      </w:r>
    </w:p>
    <w:tbl>
      <w:tblPr>
        <w:tblStyle w:val="17"/>
        <w:tblW w:w="9036" w:type="dxa"/>
        <w:tblInd w:w="-5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944"/>
        <w:gridCol w:w="7342"/>
      </w:tblGrid>
      <w:tr w14:paraId="3E99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50" w:type="dxa"/>
            <w:tcBorders>
              <w:top w:val="single" w:color="auto" w:sz="4" w:space="0"/>
              <w:left w:val="single" w:color="auto" w:sz="4" w:space="0"/>
              <w:bottom w:val="single" w:color="auto" w:sz="4" w:space="0"/>
              <w:right w:val="single" w:color="auto" w:sz="4" w:space="0"/>
            </w:tcBorders>
            <w:noWrap/>
          </w:tcPr>
          <w:p w14:paraId="573CDA1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944" w:type="dxa"/>
            <w:tcBorders>
              <w:top w:val="single" w:color="auto" w:sz="4" w:space="0"/>
              <w:left w:val="single" w:color="auto" w:sz="4" w:space="0"/>
              <w:bottom w:val="single" w:color="auto" w:sz="4" w:space="0"/>
              <w:right w:val="single" w:color="auto" w:sz="4" w:space="0"/>
            </w:tcBorders>
            <w:noWrap/>
          </w:tcPr>
          <w:p w14:paraId="55D4DF6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7342" w:type="dxa"/>
            <w:tcBorders>
              <w:top w:val="single" w:color="auto" w:sz="4" w:space="0"/>
              <w:left w:val="single" w:color="auto" w:sz="4" w:space="0"/>
              <w:bottom w:val="single" w:color="auto" w:sz="4" w:space="0"/>
              <w:right w:val="single" w:color="auto" w:sz="4" w:space="0"/>
            </w:tcBorders>
            <w:noWrap/>
          </w:tcPr>
          <w:p w14:paraId="3935C52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编   列   内    容</w:t>
            </w:r>
          </w:p>
        </w:tc>
      </w:tr>
      <w:tr w14:paraId="571B0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50" w:type="dxa"/>
            <w:tcBorders>
              <w:top w:val="single" w:color="auto" w:sz="4" w:space="0"/>
              <w:left w:val="single" w:color="auto" w:sz="4" w:space="0"/>
              <w:bottom w:val="single" w:color="auto" w:sz="4" w:space="0"/>
              <w:right w:val="single" w:color="auto" w:sz="4" w:space="0"/>
            </w:tcBorders>
            <w:noWrap/>
            <w:vAlign w:val="center"/>
          </w:tcPr>
          <w:p w14:paraId="57EBBC2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944" w:type="dxa"/>
            <w:tcBorders>
              <w:top w:val="single" w:color="auto" w:sz="4" w:space="0"/>
              <w:left w:val="single" w:color="auto" w:sz="4" w:space="0"/>
              <w:bottom w:val="single" w:color="auto" w:sz="4" w:space="0"/>
              <w:right w:val="single" w:color="auto" w:sz="4" w:space="0"/>
            </w:tcBorders>
            <w:noWrap/>
            <w:vAlign w:val="center"/>
          </w:tcPr>
          <w:p w14:paraId="018242B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7342" w:type="dxa"/>
            <w:tcBorders>
              <w:top w:val="single" w:color="auto" w:sz="4" w:space="0"/>
              <w:left w:val="single" w:color="auto" w:sz="4" w:space="0"/>
              <w:bottom w:val="single" w:color="auto" w:sz="4" w:space="0"/>
              <w:right w:val="single" w:color="auto" w:sz="4" w:space="0"/>
            </w:tcBorders>
            <w:noWrap/>
            <w:vAlign w:val="center"/>
          </w:tcPr>
          <w:p w14:paraId="18DFACBA">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项目名称：</w:t>
            </w:r>
            <w:r>
              <w:rPr>
                <w:rFonts w:hint="eastAsia" w:ascii="宋体" w:hAnsi="宋体" w:cs="宋体"/>
                <w:color w:val="auto"/>
                <w:sz w:val="24"/>
                <w:szCs w:val="24"/>
                <w:highlight w:val="none"/>
                <w:u w:val="single"/>
              </w:rPr>
              <w:t>厦禾校区食堂建设及文博楼用电改造</w:t>
            </w:r>
          </w:p>
          <w:p w14:paraId="5DBFDFA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采购人名称：</w:t>
            </w:r>
            <w:r>
              <w:rPr>
                <w:rFonts w:hint="eastAsia" w:ascii="宋体" w:hAnsi="宋体" w:cs="宋体"/>
                <w:color w:val="auto"/>
                <w:sz w:val="24"/>
                <w:szCs w:val="24"/>
                <w:highlight w:val="none"/>
                <w:u w:val="single"/>
              </w:rPr>
              <w:t>福建省厦门第六中学</w:t>
            </w:r>
          </w:p>
          <w:p w14:paraId="3DC3DD7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采购人地址：</w:t>
            </w:r>
            <w:r>
              <w:rPr>
                <w:rFonts w:hint="eastAsia" w:ascii="宋体" w:hAnsi="宋体" w:cs="宋体"/>
                <w:color w:val="auto"/>
                <w:sz w:val="24"/>
                <w:szCs w:val="24"/>
                <w:highlight w:val="none"/>
                <w:u w:val="single"/>
              </w:rPr>
              <w:t>厦门市和宁路50号</w:t>
            </w:r>
          </w:p>
          <w:p w14:paraId="608C0E3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项目内容：</w:t>
            </w:r>
            <w:r>
              <w:rPr>
                <w:rFonts w:hint="eastAsia" w:ascii="宋体" w:hAnsi="宋体" w:cs="宋体"/>
                <w:color w:val="auto"/>
                <w:sz w:val="24"/>
                <w:szCs w:val="24"/>
                <w:highlight w:val="none"/>
                <w:u w:val="single"/>
              </w:rPr>
              <w:t>厦禾校区食堂建设及文博楼用电改造</w:t>
            </w:r>
          </w:p>
          <w:p w14:paraId="7D50D2BB">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single"/>
              </w:rPr>
              <w:t>XM2025-TZ5071</w:t>
            </w:r>
          </w:p>
        </w:tc>
      </w:tr>
      <w:tr w14:paraId="77453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50" w:type="dxa"/>
            <w:tcBorders>
              <w:top w:val="single" w:color="auto" w:sz="4" w:space="0"/>
              <w:left w:val="single" w:color="auto" w:sz="4" w:space="0"/>
              <w:bottom w:val="single" w:color="auto" w:sz="4" w:space="0"/>
              <w:right w:val="single" w:color="auto" w:sz="4" w:space="0"/>
            </w:tcBorders>
            <w:noWrap/>
            <w:vAlign w:val="center"/>
          </w:tcPr>
          <w:p w14:paraId="3519290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944" w:type="dxa"/>
            <w:tcBorders>
              <w:top w:val="single" w:color="auto" w:sz="4" w:space="0"/>
              <w:left w:val="single" w:color="auto" w:sz="4" w:space="0"/>
              <w:bottom w:val="single" w:color="auto" w:sz="4" w:space="0"/>
              <w:right w:val="single" w:color="auto" w:sz="4" w:space="0"/>
            </w:tcBorders>
            <w:noWrap/>
            <w:vAlign w:val="center"/>
          </w:tcPr>
          <w:p w14:paraId="43039540">
            <w:pPr>
              <w:spacing w:line="360" w:lineRule="auto"/>
              <w:jc w:val="center"/>
              <w:rPr>
                <w:rFonts w:ascii="宋体" w:hAnsi="宋体" w:cs="宋体"/>
                <w:color w:val="auto"/>
                <w:sz w:val="24"/>
                <w:szCs w:val="24"/>
                <w:highlight w:val="none"/>
              </w:rPr>
            </w:pPr>
          </w:p>
        </w:tc>
        <w:tc>
          <w:tcPr>
            <w:tcW w:w="7342" w:type="dxa"/>
            <w:tcBorders>
              <w:top w:val="single" w:color="auto" w:sz="4" w:space="0"/>
              <w:left w:val="single" w:color="auto" w:sz="4" w:space="0"/>
              <w:bottom w:val="single" w:color="auto" w:sz="4" w:space="0"/>
              <w:right w:val="single" w:color="auto" w:sz="4" w:space="0"/>
            </w:tcBorders>
            <w:noWrap/>
            <w:vAlign w:val="center"/>
          </w:tcPr>
          <w:p w14:paraId="37AC0B9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是否允许中国境外报价人参加本采购项目：</w:t>
            </w: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eq \o\ac(</w:instrText>
            </w:r>
            <w:r>
              <w:rPr>
                <w:rFonts w:hint="eastAsia" w:ascii="宋体" w:hAnsi="宋体" w:cs="宋体"/>
                <w:color w:val="auto"/>
                <w:position w:val="-4"/>
                <w:sz w:val="36"/>
                <w:szCs w:val="24"/>
                <w:highlight w:val="none"/>
              </w:rPr>
              <w:instrText xml:space="preserve">□</w:instrText>
            </w:r>
            <w:r>
              <w:rPr>
                <w:rFonts w:hint="eastAsia" w:ascii="宋体" w:hAnsi="宋体" w:cs="宋体"/>
                <w:color w:val="auto"/>
                <w:sz w:val="24"/>
                <w:szCs w:val="24"/>
                <w:highlight w:val="none"/>
              </w:rPr>
              <w:instrText xml:space="preserve">,√)</w:instrTex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否</w:t>
            </w:r>
          </w:p>
        </w:tc>
      </w:tr>
      <w:tr w14:paraId="2139E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50" w:type="dxa"/>
            <w:tcBorders>
              <w:top w:val="single" w:color="auto" w:sz="4" w:space="0"/>
              <w:left w:val="single" w:color="auto" w:sz="4" w:space="0"/>
              <w:bottom w:val="single" w:color="auto" w:sz="4" w:space="0"/>
              <w:right w:val="single" w:color="auto" w:sz="4" w:space="0"/>
            </w:tcBorders>
            <w:noWrap/>
            <w:vAlign w:val="center"/>
          </w:tcPr>
          <w:p w14:paraId="771D973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944" w:type="dxa"/>
            <w:tcBorders>
              <w:top w:val="single" w:color="auto" w:sz="4" w:space="0"/>
              <w:left w:val="single" w:color="auto" w:sz="4" w:space="0"/>
              <w:bottom w:val="single" w:color="auto" w:sz="4" w:space="0"/>
              <w:right w:val="single" w:color="auto" w:sz="4" w:space="0"/>
            </w:tcBorders>
            <w:noWrap/>
            <w:vAlign w:val="center"/>
          </w:tcPr>
          <w:p w14:paraId="16F1197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7342" w:type="dxa"/>
            <w:tcBorders>
              <w:top w:val="single" w:color="auto" w:sz="4" w:space="0"/>
              <w:left w:val="single" w:color="auto" w:sz="4" w:space="0"/>
              <w:bottom w:val="single" w:color="auto" w:sz="4" w:space="0"/>
              <w:right w:val="single" w:color="auto" w:sz="4" w:space="0"/>
            </w:tcBorders>
            <w:noWrap/>
            <w:vAlign w:val="center"/>
          </w:tcPr>
          <w:p w14:paraId="3E2034B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资格标准：</w:t>
            </w:r>
          </w:p>
          <w:p w14:paraId="070082A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详见第二章《报价人须知》第3条，以及第三章《采购内容及要求》有关内容。</w:t>
            </w:r>
          </w:p>
        </w:tc>
      </w:tr>
      <w:tr w14:paraId="02FD1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750" w:type="dxa"/>
            <w:tcBorders>
              <w:top w:val="single" w:color="auto" w:sz="4" w:space="0"/>
              <w:left w:val="single" w:color="auto" w:sz="4" w:space="0"/>
              <w:bottom w:val="single" w:color="auto" w:sz="4" w:space="0"/>
              <w:right w:val="single" w:color="auto" w:sz="4" w:space="0"/>
            </w:tcBorders>
            <w:noWrap/>
            <w:vAlign w:val="center"/>
          </w:tcPr>
          <w:p w14:paraId="09E5A42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944" w:type="dxa"/>
            <w:tcBorders>
              <w:top w:val="single" w:color="auto" w:sz="4" w:space="0"/>
              <w:left w:val="single" w:color="auto" w:sz="4" w:space="0"/>
              <w:bottom w:val="single" w:color="auto" w:sz="4" w:space="0"/>
              <w:right w:val="single" w:color="auto" w:sz="4" w:space="0"/>
            </w:tcBorders>
            <w:noWrap/>
            <w:vAlign w:val="center"/>
          </w:tcPr>
          <w:p w14:paraId="4583E0F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7342" w:type="dxa"/>
            <w:tcBorders>
              <w:top w:val="single" w:color="auto" w:sz="4" w:space="0"/>
              <w:left w:val="single" w:color="auto" w:sz="4" w:space="0"/>
              <w:bottom w:val="single" w:color="auto" w:sz="4" w:space="0"/>
              <w:right w:val="single" w:color="auto" w:sz="4" w:space="0"/>
            </w:tcBorders>
            <w:noWrap/>
            <w:vAlign w:val="center"/>
          </w:tcPr>
          <w:p w14:paraId="54994F5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报价有效期：报价截止之日起</w:t>
            </w:r>
            <w:r>
              <w:rPr>
                <w:rFonts w:hint="eastAsia" w:ascii="宋体" w:hAnsi="宋体" w:cs="宋体"/>
                <w:color w:val="auto"/>
                <w:sz w:val="24"/>
                <w:szCs w:val="24"/>
                <w:highlight w:val="none"/>
                <w:u w:val="single"/>
              </w:rPr>
              <w:t>90</w:t>
            </w:r>
            <w:r>
              <w:rPr>
                <w:rFonts w:hint="eastAsia" w:ascii="宋体" w:hAnsi="宋体" w:cs="宋体"/>
                <w:color w:val="auto"/>
                <w:sz w:val="24"/>
                <w:szCs w:val="24"/>
                <w:highlight w:val="none"/>
              </w:rPr>
              <w:t>个日历日。</w:t>
            </w:r>
          </w:p>
          <w:p w14:paraId="11926B2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报价有效期不足将导致其报价文件被拒绝。</w:t>
            </w:r>
          </w:p>
        </w:tc>
      </w:tr>
      <w:tr w14:paraId="649CF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50" w:type="dxa"/>
            <w:tcBorders>
              <w:top w:val="single" w:color="auto" w:sz="4" w:space="0"/>
              <w:left w:val="single" w:color="auto" w:sz="4" w:space="0"/>
              <w:bottom w:val="single" w:color="auto" w:sz="4" w:space="0"/>
              <w:right w:val="single" w:color="auto" w:sz="4" w:space="0"/>
            </w:tcBorders>
            <w:noWrap/>
            <w:vAlign w:val="center"/>
          </w:tcPr>
          <w:p w14:paraId="3390182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944" w:type="dxa"/>
            <w:tcBorders>
              <w:top w:val="single" w:color="auto" w:sz="4" w:space="0"/>
              <w:left w:val="single" w:color="auto" w:sz="4" w:space="0"/>
              <w:bottom w:val="single" w:color="auto" w:sz="4" w:space="0"/>
              <w:right w:val="single" w:color="auto" w:sz="4" w:space="0"/>
            </w:tcBorders>
            <w:noWrap/>
            <w:vAlign w:val="center"/>
          </w:tcPr>
          <w:p w14:paraId="2C18C52E">
            <w:pPr>
              <w:spacing w:line="360" w:lineRule="auto"/>
              <w:rPr>
                <w:rFonts w:ascii="宋体" w:hAnsi="宋体" w:cs="宋体"/>
                <w:color w:val="auto"/>
                <w:sz w:val="24"/>
                <w:szCs w:val="24"/>
                <w:highlight w:val="none"/>
              </w:rPr>
            </w:pPr>
          </w:p>
        </w:tc>
        <w:tc>
          <w:tcPr>
            <w:tcW w:w="7342" w:type="dxa"/>
            <w:tcBorders>
              <w:top w:val="single" w:color="auto" w:sz="4" w:space="0"/>
              <w:left w:val="single" w:color="auto" w:sz="4" w:space="0"/>
              <w:bottom w:val="single" w:color="auto" w:sz="4" w:space="0"/>
              <w:right w:val="single" w:color="auto" w:sz="4" w:space="0"/>
            </w:tcBorders>
            <w:noWrap/>
            <w:vAlign w:val="center"/>
          </w:tcPr>
          <w:p w14:paraId="292B37D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报价文件递交地址：</w:t>
            </w:r>
            <w:r>
              <w:rPr>
                <w:rFonts w:hint="eastAsia" w:ascii="宋体" w:hAnsi="宋体" w:cs="宋体"/>
                <w:color w:val="auto"/>
                <w:sz w:val="24"/>
                <w:szCs w:val="24"/>
                <w:highlight w:val="none"/>
                <w:u w:val="single"/>
              </w:rPr>
              <w:t>厦门市湖里区机场北路476号四楼开标厅</w:t>
            </w:r>
          </w:p>
          <w:p w14:paraId="43707EC2">
            <w:pPr>
              <w:spacing w:line="360" w:lineRule="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接收人：陈小姐</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熊小姐</w:t>
            </w:r>
          </w:p>
          <w:p w14:paraId="533A047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报价文件提交截止时间：详见磋商邀请。</w:t>
            </w:r>
          </w:p>
        </w:tc>
      </w:tr>
      <w:tr w14:paraId="19E70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50" w:type="dxa"/>
            <w:tcBorders>
              <w:top w:val="single" w:color="auto" w:sz="4" w:space="0"/>
              <w:left w:val="single" w:color="auto" w:sz="4" w:space="0"/>
              <w:bottom w:val="single" w:color="auto" w:sz="4" w:space="0"/>
              <w:right w:val="single" w:color="auto" w:sz="4" w:space="0"/>
            </w:tcBorders>
            <w:noWrap/>
            <w:vAlign w:val="center"/>
          </w:tcPr>
          <w:p w14:paraId="53D4D7B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944" w:type="dxa"/>
            <w:tcBorders>
              <w:top w:val="single" w:color="auto" w:sz="4" w:space="0"/>
              <w:left w:val="single" w:color="auto" w:sz="4" w:space="0"/>
              <w:bottom w:val="single" w:color="auto" w:sz="4" w:space="0"/>
              <w:right w:val="single" w:color="auto" w:sz="4" w:space="0"/>
            </w:tcBorders>
            <w:noWrap/>
            <w:vAlign w:val="center"/>
          </w:tcPr>
          <w:p w14:paraId="61F809E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7342" w:type="dxa"/>
            <w:tcBorders>
              <w:top w:val="single" w:color="auto" w:sz="4" w:space="0"/>
              <w:left w:val="single" w:color="auto" w:sz="4" w:space="0"/>
              <w:bottom w:val="single" w:color="auto" w:sz="4" w:space="0"/>
              <w:right w:val="single" w:color="auto" w:sz="4" w:space="0"/>
            </w:tcBorders>
            <w:noWrap/>
            <w:vAlign w:val="center"/>
          </w:tcPr>
          <w:p w14:paraId="2B09C20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磋商保证金：报价文件应附有人民币</w:t>
            </w:r>
            <w:r>
              <w:rPr>
                <w:rFonts w:hint="eastAsia" w:ascii="宋体" w:hAnsi="宋体" w:cs="宋体"/>
                <w:color w:val="auto"/>
                <w:sz w:val="24"/>
                <w:szCs w:val="24"/>
                <w:highlight w:val="none"/>
                <w:u w:val="single"/>
              </w:rPr>
              <w:t>35000</w:t>
            </w:r>
            <w:r>
              <w:rPr>
                <w:rFonts w:hint="eastAsia" w:ascii="宋体" w:hAnsi="宋体" w:cs="宋体"/>
                <w:color w:val="auto"/>
                <w:sz w:val="24"/>
                <w:szCs w:val="24"/>
                <w:highlight w:val="none"/>
              </w:rPr>
              <w:t>元整的磋商保证金，磋商保证金以转账、电汇两种形式提交（不收取现金、现金支票，不能用个人卡在银联支付系统转账，否则作未提交磋商保证金处理）。磋商保证金必须且在报价文件提交截止时间前到账，否则视为无效响应。</w:t>
            </w:r>
          </w:p>
        </w:tc>
      </w:tr>
      <w:tr w14:paraId="38D24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750" w:type="dxa"/>
            <w:tcBorders>
              <w:top w:val="single" w:color="auto" w:sz="4" w:space="0"/>
              <w:left w:val="single" w:color="auto" w:sz="4" w:space="0"/>
              <w:bottom w:val="single" w:color="auto" w:sz="4" w:space="0"/>
              <w:right w:val="single" w:color="auto" w:sz="4" w:space="0"/>
            </w:tcBorders>
            <w:noWrap/>
            <w:vAlign w:val="center"/>
          </w:tcPr>
          <w:p w14:paraId="614AA42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944" w:type="dxa"/>
            <w:tcBorders>
              <w:top w:val="single" w:color="auto" w:sz="4" w:space="0"/>
              <w:left w:val="single" w:color="auto" w:sz="4" w:space="0"/>
              <w:bottom w:val="single" w:color="auto" w:sz="4" w:space="0"/>
              <w:right w:val="single" w:color="auto" w:sz="4" w:space="0"/>
            </w:tcBorders>
            <w:noWrap/>
            <w:vAlign w:val="center"/>
          </w:tcPr>
          <w:p w14:paraId="0132CF3E">
            <w:pPr>
              <w:spacing w:line="360" w:lineRule="auto"/>
              <w:jc w:val="center"/>
              <w:rPr>
                <w:rFonts w:ascii="宋体" w:hAnsi="宋体" w:cs="宋体"/>
                <w:color w:val="auto"/>
                <w:sz w:val="24"/>
                <w:szCs w:val="24"/>
                <w:highlight w:val="none"/>
              </w:rPr>
            </w:pPr>
          </w:p>
        </w:tc>
        <w:tc>
          <w:tcPr>
            <w:tcW w:w="7342" w:type="dxa"/>
            <w:tcBorders>
              <w:top w:val="single" w:color="auto" w:sz="4" w:space="0"/>
              <w:left w:val="single" w:color="auto" w:sz="4" w:space="0"/>
              <w:bottom w:val="single" w:color="auto" w:sz="4" w:space="0"/>
              <w:right w:val="single" w:color="auto" w:sz="4" w:space="0"/>
            </w:tcBorders>
            <w:noWrap/>
          </w:tcPr>
          <w:p w14:paraId="4B522ACD">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磋商规则、评审标准：</w:t>
            </w:r>
          </w:p>
          <w:p w14:paraId="3461CCF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u w:val="single"/>
              </w:rPr>
              <w:t>详见《报价人须知前附表3》；</w:t>
            </w:r>
          </w:p>
        </w:tc>
      </w:tr>
      <w:tr w14:paraId="4560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750" w:type="dxa"/>
            <w:tcBorders>
              <w:top w:val="single" w:color="auto" w:sz="4" w:space="0"/>
              <w:left w:val="single" w:color="auto" w:sz="4" w:space="0"/>
              <w:bottom w:val="single" w:color="auto" w:sz="4" w:space="0"/>
              <w:right w:val="single" w:color="auto" w:sz="4" w:space="0"/>
            </w:tcBorders>
            <w:noWrap/>
            <w:vAlign w:val="center"/>
          </w:tcPr>
          <w:p w14:paraId="7A13E45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944" w:type="dxa"/>
            <w:tcBorders>
              <w:top w:val="single" w:color="auto" w:sz="4" w:space="0"/>
              <w:left w:val="single" w:color="auto" w:sz="4" w:space="0"/>
              <w:bottom w:val="single" w:color="auto" w:sz="4" w:space="0"/>
              <w:right w:val="single" w:color="auto" w:sz="4" w:space="0"/>
            </w:tcBorders>
            <w:noWrap/>
            <w:vAlign w:val="center"/>
          </w:tcPr>
          <w:p w14:paraId="08B19F3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22.4</w:t>
            </w:r>
          </w:p>
        </w:tc>
        <w:tc>
          <w:tcPr>
            <w:tcW w:w="7342" w:type="dxa"/>
            <w:tcBorders>
              <w:top w:val="single" w:color="auto" w:sz="4" w:space="0"/>
              <w:left w:val="single" w:color="auto" w:sz="4" w:space="0"/>
              <w:bottom w:val="single" w:color="auto" w:sz="4" w:space="0"/>
              <w:right w:val="single" w:color="auto" w:sz="4" w:space="0"/>
            </w:tcBorders>
            <w:noWrap/>
            <w:vAlign w:val="center"/>
          </w:tcPr>
          <w:p w14:paraId="0A19647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代理服务费标准及收取方式：</w:t>
            </w:r>
          </w:p>
          <w:tbl>
            <w:tblPr>
              <w:tblStyle w:val="17"/>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399B9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7600A9C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成交金额（万元）</w:t>
                  </w:r>
                </w:p>
              </w:tc>
              <w:tc>
                <w:tcPr>
                  <w:tcW w:w="2700" w:type="dxa"/>
                  <w:noWrap/>
                </w:tcPr>
                <w:p w14:paraId="5F13308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费率</w:t>
                  </w:r>
                </w:p>
              </w:tc>
            </w:tr>
            <w:tr w14:paraId="527AA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54C482D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[0―100]</w:t>
                  </w:r>
                </w:p>
              </w:tc>
              <w:tc>
                <w:tcPr>
                  <w:tcW w:w="2700" w:type="dxa"/>
                  <w:noWrap/>
                </w:tcPr>
                <w:p w14:paraId="195B66F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w:t>
                  </w:r>
                </w:p>
              </w:tc>
            </w:tr>
            <w:tr w14:paraId="555BF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7CB7C309">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（100－500]</w:t>
                  </w:r>
                </w:p>
              </w:tc>
              <w:tc>
                <w:tcPr>
                  <w:tcW w:w="2700" w:type="dxa"/>
                  <w:noWrap/>
                </w:tcPr>
                <w:p w14:paraId="39E5303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0.7%</w:t>
                  </w:r>
                </w:p>
              </w:tc>
            </w:tr>
          </w:tbl>
          <w:p w14:paraId="19A7063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注：1、代理服务费的收取按差额定率累进法计算，由成交供应商支付。</w:t>
            </w:r>
          </w:p>
          <w:p w14:paraId="7283B28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2、成交供应商以转</w:t>
            </w:r>
            <w:r>
              <w:rPr>
                <w:rFonts w:hint="eastAsia" w:ascii="宋体" w:hAnsi="宋体" w:cs="宋体"/>
                <w:color w:val="auto"/>
                <w:sz w:val="24"/>
                <w:szCs w:val="24"/>
                <w:highlight w:val="none"/>
              </w:rPr>
              <w:t>账或汇款方式提交。</w:t>
            </w:r>
          </w:p>
          <w:p w14:paraId="34202C64">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3、成交供应商为中小企业的，其代理服务费按照上述服务收费标准下浮10%进行支付。</w:t>
            </w:r>
          </w:p>
          <w:p w14:paraId="4334F55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（为方便代理服务费的核对，请在银行汇款凭证上标注项目标号如 ：</w:t>
            </w:r>
            <w:r>
              <w:rPr>
                <w:rFonts w:hint="eastAsia" w:ascii="宋体" w:hAnsi="宋体" w:cs="宋体"/>
                <w:color w:val="auto"/>
                <w:sz w:val="24"/>
                <w:szCs w:val="24"/>
                <w:highlight w:val="none"/>
                <w:u w:val="single"/>
              </w:rPr>
              <w:t>___（项目名称、项目编号）</w:t>
            </w:r>
            <w:r>
              <w:rPr>
                <w:rFonts w:hint="eastAsia" w:ascii="宋体" w:hAnsi="宋体" w:cs="宋体"/>
                <w:color w:val="auto"/>
                <w:sz w:val="24"/>
                <w:szCs w:val="24"/>
                <w:highlight w:val="none"/>
              </w:rPr>
              <w:t>代理</w:t>
            </w:r>
            <w:r>
              <w:rPr>
                <w:rFonts w:hint="eastAsia" w:ascii="宋体" w:hAnsi="宋体" w:cs="宋体"/>
                <w:color w:val="auto"/>
                <w:sz w:val="24"/>
                <w:szCs w:val="24"/>
                <w:highlight w:val="none"/>
              </w:rPr>
              <w:t>服务费。）</w:t>
            </w:r>
          </w:p>
        </w:tc>
      </w:tr>
    </w:tbl>
    <w:p w14:paraId="789D33E6">
      <w:pPr>
        <w:spacing w:line="360" w:lineRule="auto"/>
        <w:jc w:val="center"/>
        <w:outlineLvl w:val="1"/>
        <w:rPr>
          <w:rFonts w:ascii="宋体" w:hAnsi="宋体" w:cs="宋体"/>
          <w:b/>
          <w:bCs/>
          <w:color w:val="auto"/>
          <w:sz w:val="32"/>
          <w:szCs w:val="32"/>
          <w:highlight w:val="none"/>
          <w:u w:val="single"/>
        </w:rPr>
      </w:pPr>
      <w:r>
        <w:rPr>
          <w:rFonts w:hint="eastAsia" w:ascii="宋体" w:hAnsi="宋体" w:cs="宋体"/>
          <w:b/>
          <w:bCs/>
          <w:color w:val="auto"/>
          <w:sz w:val="24"/>
          <w:szCs w:val="24"/>
          <w:highlight w:val="none"/>
        </w:rPr>
        <w:br w:type="page"/>
      </w:r>
      <w:bookmarkStart w:id="12" w:name="_Toc23594"/>
      <w:bookmarkStart w:id="13" w:name="_Toc29451"/>
      <w:bookmarkStart w:id="14" w:name="_Toc1580"/>
      <w:bookmarkStart w:id="15" w:name="_Toc481968538"/>
      <w:r>
        <w:rPr>
          <w:rFonts w:hint="eastAsia" w:ascii="宋体" w:hAnsi="宋体" w:cs="宋体"/>
          <w:b/>
          <w:bCs/>
          <w:color w:val="auto"/>
          <w:sz w:val="32"/>
          <w:szCs w:val="32"/>
          <w:highlight w:val="none"/>
          <w:u w:val="single"/>
        </w:rPr>
        <w:t>报价人须知前附表2：资</w:t>
      </w:r>
      <w:r>
        <w:rPr>
          <w:rFonts w:hint="eastAsia" w:ascii="宋体" w:hAnsi="宋体" w:cs="宋体"/>
          <w:b/>
          <w:bCs/>
          <w:color w:val="auto"/>
          <w:sz w:val="32"/>
          <w:szCs w:val="32"/>
          <w:highlight w:val="none"/>
          <w:u w:val="single"/>
        </w:rPr>
        <w:t>格性、符合性检查表</w:t>
      </w:r>
      <w:bookmarkEnd w:id="12"/>
      <w:bookmarkEnd w:id="13"/>
      <w:bookmarkEnd w:id="14"/>
      <w:bookmarkEnd w:id="15"/>
    </w:p>
    <w:p w14:paraId="4B481961">
      <w:pPr>
        <w:spacing w:line="360" w:lineRule="auto"/>
        <w:ind w:firstLine="495"/>
        <w:rPr>
          <w:rFonts w:ascii="宋体" w:hAnsi="宋体" w:cs="宋体"/>
          <w:color w:val="auto"/>
          <w:sz w:val="24"/>
          <w:szCs w:val="24"/>
          <w:highlight w:val="none"/>
        </w:rPr>
      </w:pPr>
      <w:r>
        <w:rPr>
          <w:rFonts w:hint="eastAsia" w:ascii="宋体" w:hAnsi="宋体" w:cs="宋体"/>
          <w:color w:val="auto"/>
          <w:sz w:val="24"/>
          <w:szCs w:val="24"/>
          <w:highlight w:val="none"/>
        </w:rPr>
        <w:t>本须知前附表2集中列示了资格性、符合性检查的所有条款，其内容是磋商小组判断报价人的报价是否有效的重要依据。</w:t>
      </w:r>
    </w:p>
    <w:tbl>
      <w:tblPr>
        <w:tblStyle w:val="17"/>
        <w:tblW w:w="9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456"/>
        <w:gridCol w:w="988"/>
        <w:gridCol w:w="7733"/>
      </w:tblGrid>
      <w:tr w14:paraId="77850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48" w:type="dxa"/>
            <w:gridSpan w:val="4"/>
            <w:tcBorders>
              <w:top w:val="single" w:color="auto" w:sz="4" w:space="0"/>
              <w:left w:val="single" w:color="auto" w:sz="4" w:space="0"/>
              <w:bottom w:val="single" w:color="auto" w:sz="4" w:space="0"/>
              <w:right w:val="single" w:color="auto" w:sz="4" w:space="0"/>
            </w:tcBorders>
            <w:noWrap/>
          </w:tcPr>
          <w:p w14:paraId="4A08710A">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 xml:space="preserve">                             资格性要求</w:t>
            </w:r>
          </w:p>
        </w:tc>
      </w:tr>
      <w:tr w14:paraId="644AB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214C50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456" w:type="dxa"/>
            <w:tcBorders>
              <w:top w:val="single" w:color="auto" w:sz="4" w:space="0"/>
              <w:left w:val="single" w:color="auto" w:sz="4" w:space="0"/>
              <w:bottom w:val="single" w:color="auto" w:sz="4" w:space="0"/>
              <w:right w:val="single" w:color="auto" w:sz="4" w:space="0"/>
            </w:tcBorders>
            <w:noWrap/>
            <w:vAlign w:val="center"/>
          </w:tcPr>
          <w:p w14:paraId="4DEE433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章</w:t>
            </w:r>
          </w:p>
        </w:tc>
        <w:tc>
          <w:tcPr>
            <w:tcW w:w="988" w:type="dxa"/>
            <w:tcBorders>
              <w:top w:val="single" w:color="auto" w:sz="4" w:space="0"/>
              <w:left w:val="single" w:color="auto" w:sz="4" w:space="0"/>
              <w:bottom w:val="single" w:color="auto" w:sz="4" w:space="0"/>
              <w:right w:val="single" w:color="auto" w:sz="4" w:space="0"/>
            </w:tcBorders>
            <w:noWrap/>
            <w:vAlign w:val="center"/>
          </w:tcPr>
          <w:p w14:paraId="09A52CC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7733" w:type="dxa"/>
            <w:tcBorders>
              <w:top w:val="single" w:color="auto" w:sz="4" w:space="0"/>
              <w:left w:val="single" w:color="auto" w:sz="4" w:space="0"/>
              <w:bottom w:val="single" w:color="auto" w:sz="4" w:space="0"/>
              <w:right w:val="single" w:color="auto" w:sz="4" w:space="0"/>
            </w:tcBorders>
            <w:noWrap/>
            <w:vAlign w:val="center"/>
          </w:tcPr>
          <w:p w14:paraId="7C4E938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14:paraId="11AAB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tcPr>
          <w:p w14:paraId="0B02B99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456" w:type="dxa"/>
            <w:tcBorders>
              <w:top w:val="single" w:color="auto" w:sz="4" w:space="0"/>
              <w:left w:val="single" w:color="auto" w:sz="4" w:space="0"/>
              <w:bottom w:val="single" w:color="auto" w:sz="4" w:space="0"/>
              <w:right w:val="single" w:color="auto" w:sz="4" w:space="0"/>
            </w:tcBorders>
            <w:noWrap/>
          </w:tcPr>
          <w:p w14:paraId="5D1665C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988" w:type="dxa"/>
            <w:tcBorders>
              <w:top w:val="single" w:color="auto" w:sz="4" w:space="0"/>
              <w:left w:val="single" w:color="auto" w:sz="4" w:space="0"/>
              <w:bottom w:val="single" w:color="auto" w:sz="4" w:space="0"/>
              <w:right w:val="single" w:color="auto" w:sz="4" w:space="0"/>
            </w:tcBorders>
            <w:noWrap/>
            <w:vAlign w:val="center"/>
          </w:tcPr>
          <w:p w14:paraId="49109D1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7733" w:type="dxa"/>
            <w:tcBorders>
              <w:top w:val="single" w:color="auto" w:sz="4" w:space="0"/>
              <w:left w:val="single" w:color="auto" w:sz="4" w:space="0"/>
              <w:bottom w:val="single" w:color="auto" w:sz="4" w:space="0"/>
              <w:right w:val="single" w:color="auto" w:sz="4" w:space="0"/>
            </w:tcBorders>
            <w:noWrap/>
          </w:tcPr>
          <w:p w14:paraId="5D554AAA">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3.合格的报价人</w:t>
            </w:r>
          </w:p>
          <w:p w14:paraId="356C445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 凡有能力提供本采购文件所述工程的，符合本采购文件规定资格要求的报价人均可能成为合格的报价人。</w:t>
            </w:r>
          </w:p>
          <w:p w14:paraId="07EDDB4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报价人具备《中华人民共和国政府采购法》第二十二条第一款规定的条件，应提供以下材料：</w:t>
            </w:r>
          </w:p>
          <w:p w14:paraId="1AFA636C">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（1）法人或者其他组织的营业执照等证明文件，自然人的身份证明；</w:t>
            </w:r>
          </w:p>
          <w:p w14:paraId="0E27D25A">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报价人是法人或者其他组织的应提供营业执照等证明文件，报价人是自然人的应提供有效的自然人身份证明。</w:t>
            </w:r>
          </w:p>
          <w:p w14:paraId="10FD20B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（2）报价人已提供加载有统一社会信用代码营业执照的，视为已提供税务登记证和组织机构代码证。</w:t>
            </w:r>
          </w:p>
          <w:p w14:paraId="293718B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（3）按要求提供福建省政府采购供应商资格承诺函。</w:t>
            </w:r>
          </w:p>
          <w:p w14:paraId="1D8486E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 报价人应遵守有关法律、法规和规章的规定，同时其响应货物或工程也应符合有关法律、法规和规章的规定。</w:t>
            </w:r>
          </w:p>
          <w:p w14:paraId="0F5F986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3.3一个报价人只能提交一个报价文件。如果报价人之间存在下列互为关联关系的情形之一的，不得同时参加本项目同一合同包响应：</w:t>
            </w:r>
          </w:p>
          <w:p w14:paraId="3417009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法定代表人、单位负责人为同一人或夫妻关系的不同报价人；</w:t>
            </w:r>
          </w:p>
          <w:p w14:paraId="165C6D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 存在直接控股、管理关系的不同报价人；</w:t>
            </w:r>
          </w:p>
          <w:p w14:paraId="3C2EA56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均为同一家母公司直接或间接持股50％及以上的被投资公司。</w:t>
            </w:r>
          </w:p>
          <w:p w14:paraId="609A336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50EDC0D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3.5若接受联合体磋商，则两个或者两个以上报价人可以组成一个响应联合体，以一个报价人的身份响应。</w:t>
            </w:r>
          </w:p>
          <w:p w14:paraId="3F7EBB8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3447055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2EA3043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以联合体形式响应的，除本采购文件其他章节或本须知其他条款另有规定或要求外，报价文件中仅加盖联合体一方公章的相关文件，对联合体各方均具有约束力。</w:t>
            </w:r>
          </w:p>
          <w:p w14:paraId="106E3B8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（3）项目如涉及资质要求，该部分内容应由联合体中具有该资质要求的报价人承担。联合体协议及签订的采购合同应包含此项内容。</w:t>
            </w:r>
          </w:p>
          <w:p w14:paraId="2FB44FEF">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（4）联合体中有同类资质的报价人按照联合体分工承担相同工作的，应当按照资质等级较低的报价人确定资质等级。</w:t>
            </w:r>
          </w:p>
          <w:p w14:paraId="123FA9A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3.6磋商代理人在同一个项目中只能接受一个报价人的委托参加磋商响应。</w:t>
            </w:r>
          </w:p>
          <w:p w14:paraId="2DC995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3.7报价人存在下列情形之一的，将被认定为串通响应行为并作无效响应处理：</w:t>
            </w:r>
          </w:p>
          <w:p w14:paraId="4F1F356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（1）报价人之间协商磋商报价等采购文件的实质性内容；</w:t>
            </w:r>
          </w:p>
          <w:p w14:paraId="3253262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（2）报价人之间约定成交供应商；</w:t>
            </w:r>
          </w:p>
          <w:p w14:paraId="26EEE94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（3）报价人之间约定部分报价人放弃磋商响应或者成交；</w:t>
            </w:r>
          </w:p>
          <w:p w14:paraId="2DAD067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（4）属于同一集团、协会、商会等组织成员的报价人按照该组织要求协同磋商响应；</w:t>
            </w:r>
          </w:p>
          <w:p w14:paraId="63A7DC0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（5）报价人之间为谋取成交或者排斥特定报价人而采取的其他联合行动；</w:t>
            </w:r>
          </w:p>
          <w:p w14:paraId="4415A77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（6）不同报价人的报价文件由同一单位或者个人编制；</w:t>
            </w:r>
          </w:p>
          <w:p w14:paraId="58271E2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（7）不同报价人委托同一单位或者个人办理磋商响应事宜；</w:t>
            </w:r>
          </w:p>
          <w:p w14:paraId="00CF8CC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（8）不同报价人的报价文件载明的项目管理成员为同一人；</w:t>
            </w:r>
          </w:p>
          <w:p w14:paraId="51714A6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（9）不同报价人的报价文件异常一致或者报价呈规律性差异；</w:t>
            </w:r>
          </w:p>
          <w:p w14:paraId="0708E4D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（10）不同报价人的报价文件相互混装；</w:t>
            </w:r>
          </w:p>
          <w:p w14:paraId="068FDB4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（11）不同报价人的磋商保证金从同一单位或者个人的账户转出。</w:t>
            </w:r>
          </w:p>
          <w:p w14:paraId="36F40C2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（12）不同报价人的报价文件错、漏之处一致或雷同，且不能合理解释的；</w:t>
            </w:r>
          </w:p>
          <w:p w14:paraId="0D3EB3B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（13）不同的报价人的法定代表人、委托代理人等由同一个单位缴纳社会保险的；</w:t>
            </w:r>
          </w:p>
          <w:p w14:paraId="1DECF1C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（14）由同一人或分别由几个有利害关系的人携带两个以上（含两个）报价人的企业资料参与资格审查、领取采购资料，或代表两个以上（含两个）报价人参加项目答疑会、交纳或退还磋商保证金、参加磋商的；</w:t>
            </w:r>
          </w:p>
          <w:p w14:paraId="031C41A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（15）有关法律、法规或规章规定的其他串通行为。</w:t>
            </w:r>
          </w:p>
        </w:tc>
      </w:tr>
      <w:tr w14:paraId="0E159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tcPr>
          <w:p w14:paraId="562D041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456" w:type="dxa"/>
            <w:tcBorders>
              <w:top w:val="single" w:color="auto" w:sz="4" w:space="0"/>
              <w:left w:val="single" w:color="auto" w:sz="4" w:space="0"/>
              <w:bottom w:val="single" w:color="auto" w:sz="4" w:space="0"/>
              <w:right w:val="single" w:color="auto" w:sz="4" w:space="0"/>
            </w:tcBorders>
            <w:noWrap/>
          </w:tcPr>
          <w:p w14:paraId="2F09A705">
            <w:pPr>
              <w:spacing w:line="360" w:lineRule="auto"/>
              <w:jc w:val="center"/>
              <w:rPr>
                <w:rFonts w:ascii="宋体" w:hAnsi="宋体" w:cs="宋体"/>
                <w:color w:val="auto"/>
                <w:sz w:val="24"/>
                <w:szCs w:val="24"/>
                <w:highlight w:val="none"/>
              </w:rPr>
            </w:pPr>
          </w:p>
        </w:tc>
        <w:tc>
          <w:tcPr>
            <w:tcW w:w="988" w:type="dxa"/>
            <w:tcBorders>
              <w:top w:val="single" w:color="auto" w:sz="4" w:space="0"/>
              <w:left w:val="single" w:color="auto" w:sz="4" w:space="0"/>
              <w:bottom w:val="single" w:color="auto" w:sz="4" w:space="0"/>
              <w:right w:val="single" w:color="auto" w:sz="4" w:space="0"/>
            </w:tcBorders>
            <w:noWrap/>
            <w:vAlign w:val="center"/>
          </w:tcPr>
          <w:p w14:paraId="6F5D6E7B">
            <w:pPr>
              <w:spacing w:line="360" w:lineRule="auto"/>
              <w:jc w:val="center"/>
              <w:rPr>
                <w:rFonts w:ascii="宋体" w:hAnsi="宋体" w:cs="宋体"/>
                <w:color w:val="auto"/>
                <w:sz w:val="24"/>
                <w:szCs w:val="24"/>
                <w:highlight w:val="none"/>
              </w:rPr>
            </w:pPr>
          </w:p>
        </w:tc>
        <w:tc>
          <w:tcPr>
            <w:tcW w:w="7733" w:type="dxa"/>
            <w:tcBorders>
              <w:top w:val="single" w:color="auto" w:sz="4" w:space="0"/>
              <w:left w:val="single" w:color="auto" w:sz="4" w:space="0"/>
              <w:bottom w:val="single" w:color="auto" w:sz="4" w:space="0"/>
              <w:right w:val="single" w:color="auto" w:sz="4" w:space="0"/>
            </w:tcBorders>
            <w:noWrap/>
          </w:tcPr>
          <w:p w14:paraId="06E226B0">
            <w:pPr>
              <w:tabs>
                <w:tab w:val="left" w:pos="63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信用记录按照下列规定执行：信用记录的查询及审查：①由评审专家评审当日通过“信用中国”网站（www.creditchina.gov.cn）、中国政府采购网（www.ccgp.gov.cn）、“信用厦门”网站（credit.xm.gov.cn）查询并打印报价人信用记录（以下简称：“评审专家的查询结果”）。②查询结果存在报价人（包括联合体各方，联合体成员存在不良记录的，视同联合体存在不良信用记录，认定联合体资格审查不合格）应被拒绝参与政府采购活动相关信息的，其资格审查不合格。</w:t>
            </w:r>
          </w:p>
        </w:tc>
      </w:tr>
      <w:tr w14:paraId="73F2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tcPr>
          <w:p w14:paraId="4B8BD51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456" w:type="dxa"/>
            <w:tcBorders>
              <w:top w:val="single" w:color="auto" w:sz="4" w:space="0"/>
              <w:left w:val="single" w:color="auto" w:sz="4" w:space="0"/>
              <w:bottom w:val="single" w:color="auto" w:sz="4" w:space="0"/>
              <w:right w:val="single" w:color="auto" w:sz="4" w:space="0"/>
            </w:tcBorders>
            <w:noWrap/>
          </w:tcPr>
          <w:p w14:paraId="7CBCEFC6">
            <w:pPr>
              <w:spacing w:line="360" w:lineRule="auto"/>
              <w:jc w:val="both"/>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w:t>
            </w:r>
          </w:p>
        </w:tc>
        <w:tc>
          <w:tcPr>
            <w:tcW w:w="988" w:type="dxa"/>
            <w:tcBorders>
              <w:top w:val="single" w:color="auto" w:sz="4" w:space="0"/>
              <w:left w:val="single" w:color="auto" w:sz="4" w:space="0"/>
              <w:bottom w:val="single" w:color="auto" w:sz="4" w:space="0"/>
              <w:right w:val="single" w:color="auto" w:sz="4" w:space="0"/>
            </w:tcBorders>
            <w:noWrap/>
            <w:vAlign w:val="center"/>
          </w:tcPr>
          <w:p w14:paraId="4919A6EE">
            <w:pPr>
              <w:spacing w:line="360" w:lineRule="auto"/>
              <w:jc w:val="both"/>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十一</w:t>
            </w:r>
          </w:p>
        </w:tc>
        <w:tc>
          <w:tcPr>
            <w:tcW w:w="7733" w:type="dxa"/>
            <w:tcBorders>
              <w:top w:val="single" w:color="auto" w:sz="4" w:space="0"/>
              <w:left w:val="single" w:color="auto" w:sz="4" w:space="0"/>
              <w:bottom w:val="single" w:color="auto" w:sz="4" w:space="0"/>
              <w:right w:val="single" w:color="auto" w:sz="4" w:space="0"/>
            </w:tcBorders>
            <w:noWrap/>
          </w:tcPr>
          <w:p w14:paraId="4CA27438">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*1、报价人应提供工商营业执照（副本）（加盖公章）的复印件，提供税务登记证及组织机构代码证复印件。报价人已提供加载有统一社会信用代码营业执照的，视为已提供税务登记证和组织机构代码证。</w:t>
            </w:r>
          </w:p>
        </w:tc>
      </w:tr>
      <w:tr w14:paraId="5997F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771" w:type="dxa"/>
            <w:tcBorders>
              <w:top w:val="single" w:color="auto" w:sz="4" w:space="0"/>
              <w:left w:val="single" w:color="auto" w:sz="4" w:space="0"/>
              <w:bottom w:val="single" w:color="auto" w:sz="4" w:space="0"/>
              <w:right w:val="single" w:color="auto" w:sz="4" w:space="0"/>
            </w:tcBorders>
            <w:noWrap/>
          </w:tcPr>
          <w:p w14:paraId="46A611E3">
            <w:pPr>
              <w:spacing w:line="360" w:lineRule="auto"/>
              <w:ind w:firstLine="0" w:firstLineChars="0"/>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p>
        </w:tc>
        <w:tc>
          <w:tcPr>
            <w:tcW w:w="456" w:type="dxa"/>
            <w:tcBorders>
              <w:top w:val="single" w:color="auto" w:sz="4" w:space="0"/>
              <w:left w:val="single" w:color="auto" w:sz="4" w:space="0"/>
              <w:bottom w:val="single" w:color="auto" w:sz="4" w:space="0"/>
              <w:right w:val="single" w:color="auto" w:sz="4" w:space="0"/>
            </w:tcBorders>
            <w:noWrap/>
          </w:tcPr>
          <w:p w14:paraId="018A62DE">
            <w:pPr>
              <w:spacing w:line="360" w:lineRule="auto"/>
              <w:jc w:val="both"/>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88" w:type="dxa"/>
            <w:tcBorders>
              <w:top w:val="single" w:color="auto" w:sz="4" w:space="0"/>
              <w:left w:val="single" w:color="auto" w:sz="4" w:space="0"/>
              <w:bottom w:val="single" w:color="auto" w:sz="4" w:space="0"/>
              <w:right w:val="single" w:color="auto" w:sz="4" w:space="0"/>
            </w:tcBorders>
            <w:noWrap/>
          </w:tcPr>
          <w:p w14:paraId="427586E7">
            <w:pPr>
              <w:spacing w:line="360" w:lineRule="auto"/>
              <w:jc w:val="both"/>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十一</w:t>
            </w:r>
          </w:p>
        </w:tc>
        <w:tc>
          <w:tcPr>
            <w:tcW w:w="7733" w:type="dxa"/>
            <w:tcBorders>
              <w:top w:val="single" w:color="auto" w:sz="4" w:space="0"/>
              <w:left w:val="single" w:color="auto" w:sz="4" w:space="0"/>
              <w:bottom w:val="single" w:color="auto" w:sz="4" w:space="0"/>
              <w:right w:val="single" w:color="auto" w:sz="4" w:space="0"/>
            </w:tcBorders>
            <w:noWrap/>
          </w:tcPr>
          <w:p w14:paraId="018FB2DD">
            <w:pPr>
              <w:pStyle w:val="14"/>
              <w:shd w:val="clear" w:color="auto" w:fill="FFFFFF"/>
              <w:spacing w:line="360" w:lineRule="auto"/>
              <w:ind w:firstLine="0" w:firstLineChars="0"/>
              <w:rPr>
                <w:rFonts w:ascii="宋体" w:hAnsi="宋体" w:cs="宋体"/>
                <w:b/>
                <w:bCs/>
                <w:color w:val="auto"/>
                <w:highlight w:val="none"/>
              </w:rPr>
            </w:pPr>
            <w:r>
              <w:rPr>
                <w:rFonts w:hint="eastAsia" w:ascii="宋体" w:hAnsi="宋体" w:cs="宋体"/>
                <w:b/>
                <w:bCs/>
                <w:color w:val="auto"/>
                <w:highlight w:val="none"/>
              </w:rPr>
              <w:t>*2、报价人全权代表若不是单位负责人，应提供单位授权书原件，并提供被授权代表身份证复印件。</w:t>
            </w:r>
          </w:p>
        </w:tc>
      </w:tr>
      <w:tr w14:paraId="5BB98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tcPr>
          <w:p w14:paraId="54237731">
            <w:pPr>
              <w:spacing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c>
          <w:tcPr>
            <w:tcW w:w="456" w:type="dxa"/>
            <w:tcBorders>
              <w:top w:val="single" w:color="auto" w:sz="4" w:space="0"/>
              <w:left w:val="single" w:color="auto" w:sz="4" w:space="0"/>
              <w:bottom w:val="single" w:color="auto" w:sz="4" w:space="0"/>
              <w:right w:val="single" w:color="auto" w:sz="4" w:space="0"/>
            </w:tcBorders>
            <w:noWrap/>
          </w:tcPr>
          <w:p w14:paraId="50FB27F2">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88" w:type="dxa"/>
            <w:tcBorders>
              <w:top w:val="single" w:color="auto" w:sz="4" w:space="0"/>
              <w:left w:val="single" w:color="auto" w:sz="4" w:space="0"/>
              <w:bottom w:val="single" w:color="auto" w:sz="4" w:space="0"/>
              <w:right w:val="single" w:color="auto" w:sz="4" w:space="0"/>
            </w:tcBorders>
            <w:noWrap/>
          </w:tcPr>
          <w:p w14:paraId="4F660727">
            <w:pPr>
              <w:spacing w:line="360" w:lineRule="auto"/>
              <w:jc w:val="both"/>
              <w:rPr>
                <w:rFonts w:hint="eastAsia" w:ascii="宋体" w:hAnsi="宋体" w:cs="宋体"/>
                <w:color w:val="auto"/>
                <w:sz w:val="24"/>
                <w:szCs w:val="24"/>
                <w:highlight w:val="none"/>
                <w:lang w:val="en-US" w:eastAsia="zh-CN"/>
              </w:rPr>
            </w:pPr>
          </w:p>
          <w:p w14:paraId="5DAF96B9">
            <w:pPr>
              <w:spacing w:line="360" w:lineRule="auto"/>
              <w:jc w:val="center"/>
              <w:rPr>
                <w:rFonts w:hint="default" w:ascii="宋体" w:hAnsi="宋体" w:cs="宋体"/>
                <w:color w:val="auto"/>
                <w:sz w:val="24"/>
                <w:szCs w:val="24"/>
                <w:highlight w:val="none"/>
                <w:lang w:val="en-US"/>
              </w:rPr>
            </w:pPr>
            <w:r>
              <w:rPr>
                <w:rFonts w:hint="eastAsia" w:ascii="宋体" w:hAnsi="宋体" w:cs="宋体"/>
                <w:color w:val="auto"/>
                <w:sz w:val="24"/>
                <w:szCs w:val="24"/>
                <w:highlight w:val="none"/>
                <w:lang w:val="en-US" w:eastAsia="zh-CN"/>
              </w:rPr>
              <w:t>十一</w:t>
            </w:r>
          </w:p>
        </w:tc>
        <w:tc>
          <w:tcPr>
            <w:tcW w:w="7733" w:type="dxa"/>
            <w:tcBorders>
              <w:top w:val="single" w:color="auto" w:sz="4" w:space="0"/>
              <w:left w:val="single" w:color="auto" w:sz="4" w:space="0"/>
              <w:bottom w:val="single" w:color="auto" w:sz="4" w:space="0"/>
              <w:right w:val="single" w:color="auto" w:sz="4" w:space="0"/>
            </w:tcBorders>
            <w:noWrap/>
          </w:tcPr>
          <w:p w14:paraId="41528989">
            <w:pPr>
              <w:pStyle w:val="14"/>
              <w:shd w:val="clear" w:color="auto" w:fill="FFFFFF"/>
              <w:spacing w:line="360" w:lineRule="auto"/>
              <w:ind w:firstLine="0" w:firstLineChars="0"/>
              <w:rPr>
                <w:rFonts w:hint="eastAsia" w:ascii="宋体" w:hAnsi="宋体" w:cs="宋体"/>
                <w:b/>
                <w:bCs/>
                <w:color w:val="auto"/>
                <w:highlight w:val="none"/>
              </w:rPr>
            </w:pPr>
            <w:r>
              <w:rPr>
                <w:rFonts w:hint="eastAsia" w:ascii="宋体" w:hAnsi="宋体" w:cs="宋体"/>
                <w:b/>
                <w:bCs/>
                <w:color w:val="auto"/>
                <w:highlight w:val="none"/>
              </w:rPr>
              <w:t>*3、报价人应提供建筑工程施工总承包贰级以上（含贰级）资质或建筑装修装饰工程专业承包贰级以上（含贰级）资质证明文件（加盖公章）的复印件。</w:t>
            </w:r>
          </w:p>
        </w:tc>
      </w:tr>
      <w:tr w14:paraId="0770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48" w:type="dxa"/>
            <w:gridSpan w:val="4"/>
            <w:tcBorders>
              <w:top w:val="single" w:color="auto" w:sz="4" w:space="0"/>
              <w:left w:val="single" w:color="auto" w:sz="4" w:space="0"/>
              <w:bottom w:val="single" w:color="auto" w:sz="4" w:space="0"/>
              <w:right w:val="single" w:color="auto" w:sz="4" w:space="0"/>
            </w:tcBorders>
            <w:noWrap/>
          </w:tcPr>
          <w:p w14:paraId="27F2B60F">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符合性要求</w:t>
            </w:r>
          </w:p>
        </w:tc>
      </w:tr>
      <w:tr w14:paraId="46E7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B0C448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456" w:type="dxa"/>
            <w:tcBorders>
              <w:top w:val="single" w:color="auto" w:sz="4" w:space="0"/>
              <w:left w:val="single" w:color="auto" w:sz="4" w:space="0"/>
              <w:bottom w:val="single" w:color="auto" w:sz="4" w:space="0"/>
              <w:right w:val="single" w:color="auto" w:sz="4" w:space="0"/>
            </w:tcBorders>
            <w:noWrap/>
            <w:vAlign w:val="center"/>
          </w:tcPr>
          <w:p w14:paraId="0DA25A4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章</w:t>
            </w:r>
          </w:p>
        </w:tc>
        <w:tc>
          <w:tcPr>
            <w:tcW w:w="988" w:type="dxa"/>
            <w:tcBorders>
              <w:top w:val="single" w:color="auto" w:sz="4" w:space="0"/>
              <w:left w:val="single" w:color="auto" w:sz="4" w:space="0"/>
              <w:bottom w:val="single" w:color="auto" w:sz="4" w:space="0"/>
              <w:right w:val="single" w:color="auto" w:sz="4" w:space="0"/>
            </w:tcBorders>
            <w:noWrap/>
            <w:vAlign w:val="center"/>
          </w:tcPr>
          <w:p w14:paraId="0D1B4D9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7733" w:type="dxa"/>
            <w:tcBorders>
              <w:top w:val="single" w:color="auto" w:sz="4" w:space="0"/>
              <w:left w:val="single" w:color="auto" w:sz="4" w:space="0"/>
              <w:bottom w:val="single" w:color="auto" w:sz="4" w:space="0"/>
              <w:right w:val="single" w:color="auto" w:sz="4" w:space="0"/>
            </w:tcBorders>
            <w:noWrap/>
            <w:vAlign w:val="center"/>
          </w:tcPr>
          <w:p w14:paraId="6AD0E39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14:paraId="48A60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121FCDE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456" w:type="dxa"/>
            <w:tcBorders>
              <w:top w:val="single" w:color="auto" w:sz="4" w:space="0"/>
              <w:left w:val="single" w:color="auto" w:sz="4" w:space="0"/>
              <w:bottom w:val="single" w:color="auto" w:sz="4" w:space="0"/>
              <w:right w:val="single" w:color="auto" w:sz="4" w:space="0"/>
            </w:tcBorders>
            <w:noWrap/>
            <w:vAlign w:val="center"/>
          </w:tcPr>
          <w:p w14:paraId="2EB6793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一</w:t>
            </w:r>
          </w:p>
        </w:tc>
        <w:tc>
          <w:tcPr>
            <w:tcW w:w="988" w:type="dxa"/>
            <w:tcBorders>
              <w:top w:val="single" w:color="auto" w:sz="4" w:space="0"/>
              <w:left w:val="single" w:color="auto" w:sz="4" w:space="0"/>
              <w:bottom w:val="single" w:color="auto" w:sz="4" w:space="0"/>
              <w:right w:val="single" w:color="auto" w:sz="4" w:space="0"/>
            </w:tcBorders>
            <w:noWrap/>
            <w:vAlign w:val="center"/>
          </w:tcPr>
          <w:p w14:paraId="71C3E92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7733" w:type="dxa"/>
            <w:tcBorders>
              <w:top w:val="single" w:color="auto" w:sz="4" w:space="0"/>
              <w:left w:val="single" w:color="auto" w:sz="4" w:space="0"/>
              <w:bottom w:val="single" w:color="auto" w:sz="4" w:space="0"/>
              <w:right w:val="single" w:color="auto" w:sz="4" w:space="0"/>
            </w:tcBorders>
            <w:noWrap/>
          </w:tcPr>
          <w:p w14:paraId="255407C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报价人的报价文件未按规定的响应截止时间之前提交的，其响应将被拒绝。</w:t>
            </w:r>
          </w:p>
        </w:tc>
      </w:tr>
      <w:tr w14:paraId="61E75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46E5A3D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456" w:type="dxa"/>
            <w:tcBorders>
              <w:top w:val="single" w:color="auto" w:sz="4" w:space="0"/>
              <w:left w:val="single" w:color="auto" w:sz="4" w:space="0"/>
              <w:bottom w:val="single" w:color="auto" w:sz="4" w:space="0"/>
              <w:right w:val="single" w:color="auto" w:sz="4" w:space="0"/>
            </w:tcBorders>
            <w:noWrap/>
            <w:vAlign w:val="center"/>
          </w:tcPr>
          <w:p w14:paraId="22DB95C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988" w:type="dxa"/>
            <w:tcBorders>
              <w:top w:val="single" w:color="auto" w:sz="4" w:space="0"/>
              <w:left w:val="single" w:color="auto" w:sz="4" w:space="0"/>
              <w:bottom w:val="single" w:color="auto" w:sz="4" w:space="0"/>
              <w:right w:val="single" w:color="auto" w:sz="4" w:space="0"/>
            </w:tcBorders>
            <w:noWrap/>
            <w:vAlign w:val="center"/>
          </w:tcPr>
          <w:p w14:paraId="0F57720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7733" w:type="dxa"/>
            <w:tcBorders>
              <w:top w:val="single" w:color="auto" w:sz="4" w:space="0"/>
              <w:left w:val="single" w:color="auto" w:sz="4" w:space="0"/>
              <w:bottom w:val="single" w:color="auto" w:sz="4" w:space="0"/>
              <w:right w:val="single" w:color="auto" w:sz="4" w:space="0"/>
            </w:tcBorders>
            <w:noWrap/>
          </w:tcPr>
          <w:p w14:paraId="1F659C16">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8.要求</w:t>
            </w:r>
          </w:p>
          <w:p w14:paraId="3FE83085">
            <w:pPr>
              <w:pStyle w:val="8"/>
              <w:spacing w:line="360" w:lineRule="auto"/>
              <w:ind w:firstLine="480"/>
              <w:jc w:val="left"/>
              <w:rPr>
                <w:rFonts w:hAnsi="宋体" w:cs="宋体"/>
                <w:color w:val="auto"/>
                <w:sz w:val="24"/>
                <w:szCs w:val="24"/>
                <w:highlight w:val="none"/>
              </w:rPr>
            </w:pPr>
            <w:r>
              <w:rPr>
                <w:rFonts w:hint="eastAsia" w:hAnsi="宋体" w:cs="宋体"/>
                <w:color w:val="auto"/>
                <w:sz w:val="24"/>
                <w:szCs w:val="24"/>
                <w:highlight w:val="none"/>
              </w:rPr>
              <w:t>8.1报价人应仔细阅读采购文件的所有内容，按采购文件的要求提供报价文件，报价文件应对采购文件的要求作出实质性响应，并保证所提供的全部资料的真实性，否则其报价文件可被作响应无效处理。</w:t>
            </w:r>
          </w:p>
          <w:p w14:paraId="28857C9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074DC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0B27BB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456" w:type="dxa"/>
            <w:tcBorders>
              <w:top w:val="single" w:color="auto" w:sz="4" w:space="0"/>
              <w:left w:val="single" w:color="auto" w:sz="4" w:space="0"/>
              <w:bottom w:val="single" w:color="auto" w:sz="4" w:space="0"/>
              <w:right w:val="single" w:color="auto" w:sz="4" w:space="0"/>
            </w:tcBorders>
            <w:noWrap/>
            <w:vAlign w:val="center"/>
          </w:tcPr>
          <w:p w14:paraId="61FBA3F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988" w:type="dxa"/>
            <w:tcBorders>
              <w:top w:val="single" w:color="auto" w:sz="4" w:space="0"/>
              <w:left w:val="single" w:color="auto" w:sz="4" w:space="0"/>
              <w:bottom w:val="single" w:color="auto" w:sz="4" w:space="0"/>
              <w:right w:val="single" w:color="auto" w:sz="4" w:space="0"/>
            </w:tcBorders>
            <w:noWrap/>
            <w:vAlign w:val="center"/>
          </w:tcPr>
          <w:p w14:paraId="2D08D9E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7733" w:type="dxa"/>
            <w:tcBorders>
              <w:top w:val="single" w:color="auto" w:sz="4" w:space="0"/>
              <w:left w:val="single" w:color="auto" w:sz="4" w:space="0"/>
              <w:bottom w:val="single" w:color="auto" w:sz="4" w:space="0"/>
              <w:right w:val="single" w:color="auto" w:sz="4" w:space="0"/>
            </w:tcBorders>
            <w:noWrap/>
          </w:tcPr>
          <w:p w14:paraId="5287A70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报价文件有效期：</w:t>
            </w:r>
          </w:p>
          <w:p w14:paraId="198DD93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报价文件提交截止之日起</w:t>
            </w:r>
            <w:r>
              <w:rPr>
                <w:rFonts w:hint="eastAsia" w:ascii="宋体" w:hAnsi="宋体" w:cs="宋体"/>
                <w:color w:val="auto"/>
                <w:sz w:val="24"/>
                <w:szCs w:val="24"/>
                <w:highlight w:val="none"/>
                <w:u w:val="single"/>
              </w:rPr>
              <w:t xml:space="preserve">  90 </w:t>
            </w:r>
            <w:r>
              <w:rPr>
                <w:rFonts w:hint="eastAsia" w:ascii="宋体" w:hAnsi="宋体" w:cs="宋体"/>
                <w:color w:val="auto"/>
                <w:sz w:val="24"/>
                <w:szCs w:val="24"/>
                <w:highlight w:val="none"/>
              </w:rPr>
              <w:t>个日历日。</w:t>
            </w:r>
          </w:p>
          <w:p w14:paraId="4B57473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有效期不足将导致其报价文件被拒绝。</w:t>
            </w:r>
          </w:p>
        </w:tc>
      </w:tr>
      <w:tr w14:paraId="53F38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2349050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456" w:type="dxa"/>
            <w:tcBorders>
              <w:top w:val="single" w:color="auto" w:sz="4" w:space="0"/>
              <w:left w:val="single" w:color="auto" w:sz="4" w:space="0"/>
              <w:bottom w:val="single" w:color="auto" w:sz="4" w:space="0"/>
              <w:right w:val="single" w:color="auto" w:sz="4" w:space="0"/>
            </w:tcBorders>
            <w:noWrap/>
            <w:vAlign w:val="center"/>
          </w:tcPr>
          <w:p w14:paraId="1DD318B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988" w:type="dxa"/>
            <w:tcBorders>
              <w:top w:val="single" w:color="auto" w:sz="4" w:space="0"/>
              <w:left w:val="single" w:color="auto" w:sz="4" w:space="0"/>
              <w:bottom w:val="single" w:color="auto" w:sz="4" w:space="0"/>
              <w:right w:val="single" w:color="auto" w:sz="4" w:space="0"/>
            </w:tcBorders>
            <w:noWrap/>
            <w:vAlign w:val="center"/>
          </w:tcPr>
          <w:p w14:paraId="1158227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12.5</w:t>
            </w:r>
          </w:p>
        </w:tc>
        <w:tc>
          <w:tcPr>
            <w:tcW w:w="7733" w:type="dxa"/>
            <w:tcBorders>
              <w:top w:val="single" w:color="auto" w:sz="4" w:space="0"/>
              <w:left w:val="single" w:color="auto" w:sz="4" w:space="0"/>
              <w:bottom w:val="single" w:color="auto" w:sz="4" w:space="0"/>
              <w:right w:val="single" w:color="auto" w:sz="4" w:space="0"/>
            </w:tcBorders>
            <w:noWrap/>
          </w:tcPr>
          <w:p w14:paraId="4D6540E6">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12.5 未按要求提交磋商保证金的磋商响应，将被视为无效响应。</w:t>
            </w:r>
          </w:p>
        </w:tc>
      </w:tr>
      <w:tr w14:paraId="58071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55C097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456" w:type="dxa"/>
            <w:tcBorders>
              <w:top w:val="single" w:color="auto" w:sz="4" w:space="0"/>
              <w:left w:val="single" w:color="auto" w:sz="4" w:space="0"/>
              <w:bottom w:val="single" w:color="auto" w:sz="4" w:space="0"/>
              <w:right w:val="single" w:color="auto" w:sz="4" w:space="0"/>
            </w:tcBorders>
            <w:noWrap/>
            <w:vAlign w:val="center"/>
          </w:tcPr>
          <w:p w14:paraId="3295221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988" w:type="dxa"/>
            <w:tcBorders>
              <w:top w:val="single" w:color="auto" w:sz="4" w:space="0"/>
              <w:left w:val="single" w:color="auto" w:sz="4" w:space="0"/>
              <w:bottom w:val="single" w:color="auto" w:sz="4" w:space="0"/>
              <w:right w:val="single" w:color="auto" w:sz="4" w:space="0"/>
            </w:tcBorders>
            <w:noWrap/>
            <w:vAlign w:val="center"/>
          </w:tcPr>
          <w:p w14:paraId="0E50F8D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13.7</w:t>
            </w:r>
          </w:p>
        </w:tc>
        <w:tc>
          <w:tcPr>
            <w:tcW w:w="7733" w:type="dxa"/>
            <w:tcBorders>
              <w:top w:val="single" w:color="auto" w:sz="4" w:space="0"/>
              <w:left w:val="single" w:color="auto" w:sz="4" w:space="0"/>
              <w:bottom w:val="single" w:color="auto" w:sz="4" w:space="0"/>
              <w:right w:val="single" w:color="auto" w:sz="4" w:space="0"/>
            </w:tcBorders>
            <w:noWrap/>
          </w:tcPr>
          <w:p w14:paraId="6990224E">
            <w:pPr>
              <w:pStyle w:val="23"/>
              <w:spacing w:line="360" w:lineRule="auto"/>
              <w:ind w:firstLine="480" w:firstLineChars="200"/>
              <w:outlineLvl w:val="9"/>
              <w:rPr>
                <w:rFonts w:hAnsi="宋体" w:cs="宋体"/>
                <w:color w:val="auto"/>
                <w:sz w:val="24"/>
                <w:szCs w:val="24"/>
                <w:highlight w:val="none"/>
              </w:rPr>
            </w:pPr>
            <w:bookmarkStart w:id="16" w:name="_Toc122714709"/>
            <w:r>
              <w:rPr>
                <w:rFonts w:hint="eastAsia" w:hAnsi="宋体" w:cs="宋体"/>
                <w:color w:val="auto"/>
                <w:sz w:val="24"/>
                <w:szCs w:val="24"/>
                <w:highlight w:val="none"/>
              </w:rPr>
              <w:t>13.7未按本须知规定的格式填写报价文件、报价文件字迹模糊不清的，其磋商响应将被拒绝。</w:t>
            </w:r>
            <w:bookmarkEnd w:id="16"/>
          </w:p>
        </w:tc>
      </w:tr>
      <w:tr w14:paraId="36CF6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2EE69F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456" w:type="dxa"/>
            <w:tcBorders>
              <w:top w:val="single" w:color="auto" w:sz="4" w:space="0"/>
              <w:left w:val="single" w:color="auto" w:sz="4" w:space="0"/>
              <w:bottom w:val="single" w:color="auto" w:sz="4" w:space="0"/>
              <w:right w:val="single" w:color="auto" w:sz="4" w:space="0"/>
            </w:tcBorders>
            <w:noWrap/>
            <w:vAlign w:val="center"/>
          </w:tcPr>
          <w:p w14:paraId="5E190BF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988" w:type="dxa"/>
            <w:tcBorders>
              <w:top w:val="single" w:color="auto" w:sz="4" w:space="0"/>
              <w:left w:val="single" w:color="auto" w:sz="4" w:space="0"/>
              <w:bottom w:val="single" w:color="auto" w:sz="4" w:space="0"/>
              <w:right w:val="single" w:color="auto" w:sz="4" w:space="0"/>
            </w:tcBorders>
            <w:noWrap/>
            <w:vAlign w:val="center"/>
          </w:tcPr>
          <w:p w14:paraId="67A8CC9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14</w:t>
            </w:r>
          </w:p>
        </w:tc>
        <w:tc>
          <w:tcPr>
            <w:tcW w:w="7733" w:type="dxa"/>
            <w:tcBorders>
              <w:top w:val="single" w:color="auto" w:sz="4" w:space="0"/>
              <w:left w:val="single" w:color="auto" w:sz="4" w:space="0"/>
              <w:bottom w:val="single" w:color="auto" w:sz="4" w:space="0"/>
              <w:right w:val="single" w:color="auto" w:sz="4" w:space="0"/>
            </w:tcBorders>
            <w:noWrap/>
          </w:tcPr>
          <w:p w14:paraId="529157E1">
            <w:pPr>
              <w:pStyle w:val="23"/>
              <w:spacing w:line="360" w:lineRule="auto"/>
              <w:ind w:firstLine="480" w:firstLineChars="200"/>
              <w:outlineLvl w:val="9"/>
              <w:rPr>
                <w:rFonts w:hAnsi="宋体" w:cs="宋体"/>
                <w:color w:val="auto"/>
                <w:sz w:val="24"/>
                <w:szCs w:val="24"/>
                <w:highlight w:val="none"/>
              </w:rPr>
            </w:pPr>
            <w:bookmarkStart w:id="17" w:name="_Toc330695611"/>
            <w:r>
              <w:rPr>
                <w:rFonts w:hint="eastAsia" w:hAnsi="宋体" w:cs="宋体"/>
                <w:color w:val="auto"/>
                <w:sz w:val="24"/>
                <w:szCs w:val="24"/>
                <w:highlight w:val="none"/>
              </w:rPr>
              <w:t>14.1 报价人应将报价文件正本和副本分别用信封密封，并标明采购文件编号、报价人名称、采购项目名称及“正本”或“副本”。报价文件未密封可导致其磋商被拒绝。</w:t>
            </w:r>
            <w:bookmarkEnd w:id="17"/>
          </w:p>
          <w:p w14:paraId="154DC076">
            <w:pPr>
              <w:pStyle w:val="23"/>
              <w:spacing w:line="360" w:lineRule="auto"/>
              <w:ind w:firstLine="480" w:firstLineChars="200"/>
              <w:outlineLvl w:val="9"/>
              <w:rPr>
                <w:rFonts w:hAnsi="宋体" w:cs="宋体"/>
                <w:color w:val="auto"/>
                <w:sz w:val="24"/>
                <w:szCs w:val="24"/>
                <w:highlight w:val="none"/>
              </w:rPr>
            </w:pPr>
            <w:bookmarkStart w:id="18" w:name="_Toc1515808196"/>
            <w:r>
              <w:rPr>
                <w:rFonts w:hint="eastAsia" w:hAnsi="宋体" w:cs="宋体"/>
                <w:color w:val="auto"/>
                <w:sz w:val="24"/>
                <w:szCs w:val="24"/>
                <w:highlight w:val="none"/>
              </w:rPr>
              <w:t>14.5报价文件应在磋商邀请中规定的截止时间前送达，迟到的报价文件为无效报价文件，将被拒绝。</w:t>
            </w:r>
            <w:bookmarkEnd w:id="18"/>
          </w:p>
          <w:p w14:paraId="171B7450">
            <w:pPr>
              <w:pStyle w:val="23"/>
              <w:spacing w:line="360" w:lineRule="auto"/>
              <w:rPr>
                <w:rFonts w:hAnsi="宋体" w:cs="宋体"/>
                <w:color w:val="auto"/>
                <w:sz w:val="24"/>
                <w:szCs w:val="24"/>
                <w:highlight w:val="none"/>
              </w:rPr>
            </w:pPr>
            <w:bookmarkStart w:id="19" w:name="_Toc141"/>
            <w:bookmarkStart w:id="20" w:name="_Toc22176"/>
            <w:bookmarkStart w:id="21" w:name="_Toc22732"/>
            <w:bookmarkStart w:id="22" w:name="_Toc272825736"/>
            <w:r>
              <w:rPr>
                <w:rFonts w:hint="eastAsia" w:hAnsi="宋体" w:cs="宋体"/>
                <w:color w:val="auto"/>
                <w:sz w:val="24"/>
                <w:szCs w:val="24"/>
                <w:highlight w:val="none"/>
              </w:rPr>
              <w:t>14.7报价人在磋商响应截止期后不得修改、撤回报价文件。报价人在报价截止期后修改报价文件的，其磋商响应将被拒绝。</w:t>
            </w:r>
            <w:bookmarkEnd w:id="19"/>
            <w:bookmarkEnd w:id="20"/>
            <w:bookmarkEnd w:id="21"/>
            <w:bookmarkEnd w:id="22"/>
          </w:p>
        </w:tc>
      </w:tr>
      <w:tr w14:paraId="38E7B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78D2D8A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456" w:type="dxa"/>
            <w:tcBorders>
              <w:top w:val="single" w:color="auto" w:sz="4" w:space="0"/>
              <w:left w:val="single" w:color="auto" w:sz="4" w:space="0"/>
              <w:bottom w:val="single" w:color="auto" w:sz="4" w:space="0"/>
              <w:right w:val="single" w:color="auto" w:sz="4" w:space="0"/>
            </w:tcBorders>
            <w:noWrap/>
            <w:vAlign w:val="center"/>
          </w:tcPr>
          <w:p w14:paraId="68EA70E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988" w:type="dxa"/>
            <w:tcBorders>
              <w:top w:val="single" w:color="auto" w:sz="4" w:space="0"/>
              <w:left w:val="single" w:color="auto" w:sz="4" w:space="0"/>
              <w:bottom w:val="single" w:color="auto" w:sz="4" w:space="0"/>
              <w:right w:val="single" w:color="auto" w:sz="4" w:space="0"/>
            </w:tcBorders>
            <w:noWrap/>
            <w:vAlign w:val="center"/>
          </w:tcPr>
          <w:p w14:paraId="5535D9F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17</w:t>
            </w:r>
          </w:p>
        </w:tc>
        <w:tc>
          <w:tcPr>
            <w:tcW w:w="7733" w:type="dxa"/>
            <w:tcBorders>
              <w:top w:val="single" w:color="auto" w:sz="4" w:space="0"/>
              <w:left w:val="single" w:color="auto" w:sz="4" w:space="0"/>
              <w:bottom w:val="single" w:color="auto" w:sz="4" w:space="0"/>
              <w:right w:val="single" w:color="auto" w:sz="4" w:space="0"/>
            </w:tcBorders>
            <w:noWrap/>
          </w:tcPr>
          <w:p w14:paraId="61AEC6B2">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17.报价文件的初审</w:t>
            </w:r>
          </w:p>
          <w:p w14:paraId="3073035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报价人任何试图影响磋商小组对报价文件的评审、比较或者推荐候选人的行为，都将导致其磋商响应被拒绝，并被没收磋商保证金。</w:t>
            </w:r>
          </w:p>
          <w:p w14:paraId="40EC8E1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17.1磋商小组将对报价文件进行审查，以确定报价文件是否完整、有无计算上的错误、是否提交了磋商保证金、文件是否已正确签署。 </w:t>
            </w:r>
          </w:p>
          <w:p w14:paraId="2BD6ECB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17.2 算术错误将按以下方法更正：</w:t>
            </w:r>
          </w:p>
          <w:p w14:paraId="6AC5D2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（1）报价文件中报价一览表内容与报价文件中明细表内容不一致的，以报价一览表为准。</w:t>
            </w:r>
          </w:p>
          <w:p w14:paraId="29226A9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05205D0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如果报价人不接受按上述方法对报价文件中的算术错误进行更正，其响应将被拒绝并没收其磋商保证金。</w:t>
            </w:r>
          </w:p>
          <w:p w14:paraId="324D879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17.3资格性检查和符合性检查 </w:t>
            </w:r>
          </w:p>
          <w:p w14:paraId="5F1AC76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7A553DF9">
            <w:pPr>
              <w:spacing w:line="360" w:lineRule="auto"/>
              <w:ind w:left="31" w:leftChars="15"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4F6A9974">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 (1）未按规定由报价人的法定代表人或其授权代表签字；或未加盖报价人公章的；或签字人未提供单位有效授权委托书的；</w:t>
            </w:r>
          </w:p>
          <w:p w14:paraId="136A67C0">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（2）未按规定提交磋商保证金的；</w:t>
            </w:r>
          </w:p>
          <w:p w14:paraId="41CA64BA">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（3）磋商响应有效期不满足采购文件要求的；</w:t>
            </w:r>
          </w:p>
          <w:p w14:paraId="7B3AB778">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（4）报价文件内容与采购文件内容及要求有重大偏离或保留的；</w:t>
            </w:r>
          </w:p>
          <w:p w14:paraId="63AFCE83">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（5）报价人提交的是可选择的报价；</w:t>
            </w:r>
          </w:p>
          <w:p w14:paraId="40D3F700">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（6）报价人未按采购文件要求进行分项报价；</w:t>
            </w:r>
          </w:p>
          <w:p w14:paraId="490AE5DC">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（7）报价文件中提供虚假或失实资料的；</w:t>
            </w:r>
          </w:p>
          <w:p w14:paraId="189CD5A0">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（8）不符合采购文件中规定的其它实质性条款。 </w:t>
            </w:r>
          </w:p>
          <w:p w14:paraId="33109188">
            <w:pPr>
              <w:spacing w:line="360" w:lineRule="auto"/>
              <w:ind w:left="69" w:leftChars="33"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磋商小组决定报价的响应性只根据报价文件本身的内容，而不寻求其他的外部证据。</w:t>
            </w:r>
          </w:p>
          <w:p w14:paraId="471B67FC">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17.4报价人提交的报价文件将给予保密，但不予退回。</w:t>
            </w:r>
          </w:p>
          <w:p w14:paraId="5A6152E0">
            <w:pPr>
              <w:pStyle w:val="5"/>
              <w:snapToGrid w:val="0"/>
              <w:spacing w:line="360" w:lineRule="auto"/>
              <w:ind w:firstLine="480" w:firstLineChars="200"/>
              <w:outlineLvl w:val="0"/>
              <w:rPr>
                <w:rFonts w:cs="宋体"/>
                <w:color w:val="auto"/>
                <w:sz w:val="24"/>
                <w:szCs w:val="24"/>
                <w:highlight w:val="none"/>
              </w:rPr>
            </w:pPr>
            <w:bookmarkStart w:id="23" w:name="_Toc2118774718"/>
            <w:bookmarkStart w:id="24" w:name="_Toc7717"/>
            <w:bookmarkStart w:id="25" w:name="_Toc22412"/>
            <w:bookmarkStart w:id="26" w:name="_Toc9760"/>
            <w:r>
              <w:rPr>
                <w:rFonts w:hint="eastAsia" w:cs="宋体"/>
                <w:color w:val="auto"/>
                <w:sz w:val="24"/>
                <w:szCs w:val="24"/>
                <w:highlight w:val="none"/>
              </w:rPr>
              <w:t>17.5报价人资格和报价产品均必须满足中华人民共和国相关法律法规及行业的强制性要求，否则将作无效响应处理。</w:t>
            </w:r>
            <w:bookmarkEnd w:id="23"/>
            <w:bookmarkEnd w:id="24"/>
            <w:bookmarkEnd w:id="25"/>
            <w:bookmarkEnd w:id="26"/>
          </w:p>
        </w:tc>
      </w:tr>
      <w:tr w14:paraId="5904F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vAlign w:val="center"/>
          </w:tcPr>
          <w:p w14:paraId="6798116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456" w:type="dxa"/>
            <w:tcBorders>
              <w:top w:val="single" w:color="auto" w:sz="4" w:space="0"/>
              <w:left w:val="single" w:color="auto" w:sz="4" w:space="0"/>
              <w:bottom w:val="single" w:color="auto" w:sz="4" w:space="0"/>
              <w:right w:val="single" w:color="auto" w:sz="4" w:space="0"/>
            </w:tcBorders>
            <w:noWrap/>
            <w:vAlign w:val="center"/>
          </w:tcPr>
          <w:p w14:paraId="392FF1A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988" w:type="dxa"/>
            <w:tcBorders>
              <w:top w:val="single" w:color="auto" w:sz="4" w:space="0"/>
              <w:left w:val="single" w:color="auto" w:sz="4" w:space="0"/>
              <w:bottom w:val="single" w:color="auto" w:sz="4" w:space="0"/>
              <w:right w:val="single" w:color="auto" w:sz="4" w:space="0"/>
            </w:tcBorders>
            <w:noWrap/>
            <w:vAlign w:val="center"/>
          </w:tcPr>
          <w:p w14:paraId="71C0D7E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19.3</w:t>
            </w:r>
          </w:p>
        </w:tc>
        <w:tc>
          <w:tcPr>
            <w:tcW w:w="7733" w:type="dxa"/>
            <w:tcBorders>
              <w:top w:val="single" w:color="auto" w:sz="4" w:space="0"/>
              <w:left w:val="single" w:color="auto" w:sz="4" w:space="0"/>
              <w:bottom w:val="single" w:color="auto" w:sz="4" w:space="0"/>
              <w:right w:val="single" w:color="auto" w:sz="4" w:space="0"/>
            </w:tcBorders>
            <w:noWrap/>
          </w:tcPr>
          <w:p w14:paraId="2B11AD1A">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53AE8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tcPr>
          <w:p w14:paraId="170B1E6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9</w:t>
            </w:r>
          </w:p>
        </w:tc>
        <w:tc>
          <w:tcPr>
            <w:tcW w:w="456" w:type="dxa"/>
            <w:tcBorders>
              <w:top w:val="single" w:color="auto" w:sz="4" w:space="0"/>
              <w:left w:val="single" w:color="auto" w:sz="4" w:space="0"/>
              <w:bottom w:val="single" w:color="auto" w:sz="4" w:space="0"/>
              <w:right w:val="single" w:color="auto" w:sz="4" w:space="0"/>
            </w:tcBorders>
            <w:noWrap/>
          </w:tcPr>
          <w:p w14:paraId="0E3443AC">
            <w:pPr>
              <w:spacing w:line="360" w:lineRule="auto"/>
              <w:jc w:val="center"/>
              <w:rPr>
                <w:rFonts w:ascii="宋体" w:hAnsi="宋体" w:cs="宋体"/>
                <w:color w:val="auto"/>
                <w:sz w:val="24"/>
                <w:szCs w:val="24"/>
                <w:highlight w:val="none"/>
              </w:rPr>
            </w:pPr>
          </w:p>
        </w:tc>
        <w:tc>
          <w:tcPr>
            <w:tcW w:w="988" w:type="dxa"/>
            <w:tcBorders>
              <w:top w:val="single" w:color="auto" w:sz="4" w:space="0"/>
              <w:left w:val="single" w:color="auto" w:sz="4" w:space="0"/>
              <w:bottom w:val="single" w:color="auto" w:sz="4" w:space="0"/>
              <w:right w:val="single" w:color="auto" w:sz="4" w:space="0"/>
            </w:tcBorders>
            <w:noWrap/>
          </w:tcPr>
          <w:p w14:paraId="6747EE7D">
            <w:pPr>
              <w:spacing w:line="360" w:lineRule="auto"/>
              <w:jc w:val="center"/>
              <w:rPr>
                <w:rFonts w:ascii="宋体" w:hAnsi="宋体" w:cs="宋体"/>
                <w:color w:val="auto"/>
                <w:sz w:val="24"/>
                <w:szCs w:val="24"/>
                <w:highlight w:val="none"/>
              </w:rPr>
            </w:pPr>
          </w:p>
        </w:tc>
        <w:tc>
          <w:tcPr>
            <w:tcW w:w="7733" w:type="dxa"/>
            <w:tcBorders>
              <w:top w:val="single" w:color="auto" w:sz="4" w:space="0"/>
              <w:left w:val="single" w:color="auto" w:sz="4" w:space="0"/>
              <w:bottom w:val="single" w:color="auto" w:sz="4" w:space="0"/>
              <w:right w:val="single" w:color="auto" w:sz="4" w:space="0"/>
            </w:tcBorders>
            <w:noWrap/>
          </w:tcPr>
          <w:p w14:paraId="74974DEF">
            <w:pPr>
              <w:tabs>
                <w:tab w:val="left" w:pos="2145"/>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磋商小组将对采购文件中列明的合格报价人应符合“资格性要求”部分做资格审查，没有提供相关证明文件或文件未按规定签署盖章者将导致报价无效。</w:t>
            </w:r>
          </w:p>
        </w:tc>
      </w:tr>
      <w:tr w14:paraId="1F5A1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tcPr>
          <w:p w14:paraId="788C6FD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10</w:t>
            </w:r>
          </w:p>
        </w:tc>
        <w:tc>
          <w:tcPr>
            <w:tcW w:w="456" w:type="dxa"/>
            <w:tcBorders>
              <w:top w:val="single" w:color="auto" w:sz="4" w:space="0"/>
              <w:left w:val="single" w:color="auto" w:sz="4" w:space="0"/>
              <w:bottom w:val="single" w:color="auto" w:sz="4" w:space="0"/>
              <w:right w:val="single" w:color="auto" w:sz="4" w:space="0"/>
            </w:tcBorders>
            <w:noWrap/>
          </w:tcPr>
          <w:p w14:paraId="7AE6ECB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三</w:t>
            </w:r>
          </w:p>
        </w:tc>
        <w:tc>
          <w:tcPr>
            <w:tcW w:w="988" w:type="dxa"/>
            <w:tcBorders>
              <w:top w:val="single" w:color="auto" w:sz="4" w:space="0"/>
              <w:left w:val="single" w:color="auto" w:sz="4" w:space="0"/>
              <w:bottom w:val="single" w:color="auto" w:sz="4" w:space="0"/>
              <w:right w:val="single" w:color="auto" w:sz="4" w:space="0"/>
            </w:tcBorders>
            <w:noWrap/>
          </w:tcPr>
          <w:p w14:paraId="0A52D46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7733" w:type="dxa"/>
            <w:tcBorders>
              <w:top w:val="single" w:color="auto" w:sz="4" w:space="0"/>
              <w:left w:val="single" w:color="auto" w:sz="4" w:space="0"/>
              <w:bottom w:val="single" w:color="auto" w:sz="4" w:space="0"/>
              <w:right w:val="single" w:color="auto" w:sz="4" w:space="0"/>
            </w:tcBorders>
            <w:noWrap/>
          </w:tcPr>
          <w:p w14:paraId="4CDBFDE1">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54261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tcPr>
          <w:p w14:paraId="69415C1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456" w:type="dxa"/>
            <w:tcBorders>
              <w:top w:val="single" w:color="auto" w:sz="4" w:space="0"/>
              <w:left w:val="single" w:color="auto" w:sz="4" w:space="0"/>
              <w:bottom w:val="single" w:color="auto" w:sz="4" w:space="0"/>
              <w:right w:val="single" w:color="auto" w:sz="4" w:space="0"/>
            </w:tcBorders>
            <w:noWrap/>
          </w:tcPr>
          <w:p w14:paraId="70F1D227">
            <w:pPr>
              <w:spacing w:line="360" w:lineRule="auto"/>
              <w:jc w:val="center"/>
              <w:rPr>
                <w:rFonts w:ascii="宋体" w:hAnsi="宋体" w:cs="宋体"/>
                <w:color w:val="auto"/>
                <w:sz w:val="24"/>
                <w:szCs w:val="24"/>
                <w:highlight w:val="none"/>
              </w:rPr>
            </w:pPr>
          </w:p>
        </w:tc>
        <w:tc>
          <w:tcPr>
            <w:tcW w:w="988" w:type="dxa"/>
            <w:tcBorders>
              <w:top w:val="single" w:color="auto" w:sz="4" w:space="0"/>
              <w:left w:val="single" w:color="auto" w:sz="4" w:space="0"/>
              <w:bottom w:val="single" w:color="auto" w:sz="4" w:space="0"/>
              <w:right w:val="single" w:color="auto" w:sz="4" w:space="0"/>
            </w:tcBorders>
            <w:noWrap/>
          </w:tcPr>
          <w:p w14:paraId="32FD9B3B">
            <w:pPr>
              <w:spacing w:line="360" w:lineRule="auto"/>
              <w:jc w:val="center"/>
              <w:rPr>
                <w:rFonts w:ascii="宋体" w:hAnsi="宋体" w:cs="宋体"/>
                <w:color w:val="auto"/>
                <w:sz w:val="24"/>
                <w:szCs w:val="24"/>
                <w:highlight w:val="none"/>
              </w:rPr>
            </w:pPr>
          </w:p>
        </w:tc>
        <w:tc>
          <w:tcPr>
            <w:tcW w:w="7733" w:type="dxa"/>
            <w:tcBorders>
              <w:top w:val="single" w:color="auto" w:sz="4" w:space="0"/>
              <w:left w:val="single" w:color="auto" w:sz="4" w:space="0"/>
              <w:bottom w:val="single" w:color="auto" w:sz="4" w:space="0"/>
              <w:right w:val="single" w:color="auto" w:sz="4" w:space="0"/>
            </w:tcBorders>
            <w:noWrap/>
          </w:tcPr>
          <w:p w14:paraId="3888B963">
            <w:pPr>
              <w:spacing w:line="360" w:lineRule="auto"/>
              <w:ind w:left="69"/>
              <w:rPr>
                <w:rFonts w:ascii="宋体" w:hAnsi="宋体" w:cs="宋体"/>
                <w:bCs/>
                <w:color w:val="auto"/>
                <w:sz w:val="24"/>
                <w:szCs w:val="24"/>
                <w:highlight w:val="none"/>
              </w:rPr>
            </w:pPr>
            <w:r>
              <w:rPr>
                <w:rFonts w:hint="eastAsia" w:ascii="宋体" w:hAnsi="宋体" w:cs="宋体"/>
                <w:bCs/>
                <w:color w:val="auto"/>
                <w:sz w:val="24"/>
                <w:szCs w:val="24"/>
                <w:highlight w:val="none"/>
              </w:rPr>
              <w:t>报价人应按照采购文件格式要求在</w:t>
            </w:r>
            <w:r>
              <w:rPr>
                <w:rFonts w:hint="eastAsia" w:ascii="宋体" w:hAnsi="宋体" w:cs="宋体"/>
                <w:color w:val="auto"/>
                <w:sz w:val="24"/>
                <w:szCs w:val="24"/>
                <w:highlight w:val="none"/>
              </w:rPr>
              <w:t>报价文件</w:t>
            </w:r>
            <w:r>
              <w:rPr>
                <w:rFonts w:hint="eastAsia" w:ascii="宋体" w:hAnsi="宋体" w:cs="宋体"/>
                <w:bCs/>
                <w:color w:val="auto"/>
                <w:sz w:val="24"/>
                <w:szCs w:val="24"/>
                <w:highlight w:val="none"/>
              </w:rPr>
              <w:t>中提供《廉洁承诺书》原件（报价人为联合体的，联合体各方均应提供《廉洁承诺书》原件），否则作无效报价处理。</w:t>
            </w:r>
          </w:p>
        </w:tc>
      </w:tr>
      <w:tr w14:paraId="2C9AE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tcPr>
          <w:p w14:paraId="64BBBB3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456" w:type="dxa"/>
            <w:tcBorders>
              <w:top w:val="single" w:color="auto" w:sz="4" w:space="0"/>
              <w:left w:val="single" w:color="auto" w:sz="4" w:space="0"/>
              <w:bottom w:val="single" w:color="auto" w:sz="4" w:space="0"/>
              <w:right w:val="single" w:color="auto" w:sz="4" w:space="0"/>
            </w:tcBorders>
            <w:noWrap/>
          </w:tcPr>
          <w:p w14:paraId="38F70398">
            <w:pPr>
              <w:spacing w:line="360" w:lineRule="auto"/>
              <w:jc w:val="center"/>
              <w:rPr>
                <w:rFonts w:ascii="宋体" w:hAnsi="宋体" w:cs="宋体"/>
                <w:color w:val="auto"/>
                <w:sz w:val="24"/>
                <w:szCs w:val="24"/>
                <w:highlight w:val="none"/>
              </w:rPr>
            </w:pPr>
          </w:p>
        </w:tc>
        <w:tc>
          <w:tcPr>
            <w:tcW w:w="988" w:type="dxa"/>
            <w:tcBorders>
              <w:top w:val="single" w:color="auto" w:sz="4" w:space="0"/>
              <w:left w:val="single" w:color="auto" w:sz="4" w:space="0"/>
              <w:bottom w:val="single" w:color="auto" w:sz="4" w:space="0"/>
              <w:right w:val="single" w:color="auto" w:sz="4" w:space="0"/>
            </w:tcBorders>
            <w:noWrap/>
          </w:tcPr>
          <w:p w14:paraId="3AF373A5">
            <w:pPr>
              <w:spacing w:line="360" w:lineRule="auto"/>
              <w:jc w:val="center"/>
              <w:rPr>
                <w:rFonts w:ascii="宋体" w:hAnsi="宋体" w:cs="宋体"/>
                <w:color w:val="auto"/>
                <w:sz w:val="24"/>
                <w:szCs w:val="24"/>
                <w:highlight w:val="none"/>
              </w:rPr>
            </w:pPr>
          </w:p>
        </w:tc>
        <w:tc>
          <w:tcPr>
            <w:tcW w:w="7733" w:type="dxa"/>
            <w:tcBorders>
              <w:top w:val="single" w:color="auto" w:sz="4" w:space="0"/>
              <w:left w:val="single" w:color="auto" w:sz="4" w:space="0"/>
              <w:bottom w:val="single" w:color="auto" w:sz="4" w:space="0"/>
              <w:right w:val="single" w:color="auto" w:sz="4" w:space="0"/>
            </w:tcBorders>
            <w:noWrap/>
          </w:tcPr>
          <w:p w14:paraId="77E77A42">
            <w:pPr>
              <w:spacing w:line="360" w:lineRule="auto"/>
              <w:ind w:left="69"/>
              <w:rPr>
                <w:rFonts w:ascii="宋体" w:hAnsi="宋体" w:cs="宋体"/>
                <w:bCs/>
                <w:color w:val="auto"/>
                <w:sz w:val="24"/>
                <w:szCs w:val="24"/>
                <w:highlight w:val="none"/>
              </w:rPr>
            </w:pPr>
            <w:r>
              <w:rPr>
                <w:rFonts w:hint="eastAsia" w:ascii="宋体" w:hAnsi="宋体" w:cs="宋体"/>
                <w:b/>
                <w:color w:val="auto"/>
                <w:sz w:val="24"/>
                <w:szCs w:val="24"/>
                <w:highlight w:val="none"/>
              </w:rPr>
              <w:t>成交供应商必须凭成交通知书的原件与采购人签订《采购合同》。</w:t>
            </w:r>
          </w:p>
        </w:tc>
      </w:tr>
      <w:tr w14:paraId="7169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Borders>
              <w:top w:val="single" w:color="auto" w:sz="4" w:space="0"/>
              <w:left w:val="single" w:color="auto" w:sz="4" w:space="0"/>
              <w:bottom w:val="single" w:color="auto" w:sz="4" w:space="0"/>
              <w:right w:val="single" w:color="auto" w:sz="4" w:space="0"/>
            </w:tcBorders>
            <w:noWrap/>
          </w:tcPr>
          <w:p w14:paraId="3C819F3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w:t>
            </w:r>
          </w:p>
        </w:tc>
        <w:tc>
          <w:tcPr>
            <w:tcW w:w="456" w:type="dxa"/>
            <w:tcBorders>
              <w:top w:val="single" w:color="auto" w:sz="4" w:space="0"/>
              <w:left w:val="single" w:color="auto" w:sz="4" w:space="0"/>
              <w:bottom w:val="single" w:color="auto" w:sz="4" w:space="0"/>
              <w:right w:val="single" w:color="auto" w:sz="4" w:space="0"/>
            </w:tcBorders>
            <w:noWrap/>
          </w:tcPr>
          <w:p w14:paraId="515AE282">
            <w:pPr>
              <w:spacing w:line="360" w:lineRule="auto"/>
              <w:jc w:val="center"/>
              <w:rPr>
                <w:rFonts w:ascii="宋体" w:hAnsi="宋体" w:cs="宋体"/>
                <w:color w:val="auto"/>
                <w:sz w:val="24"/>
                <w:szCs w:val="24"/>
                <w:highlight w:val="none"/>
              </w:rPr>
            </w:pPr>
          </w:p>
        </w:tc>
        <w:tc>
          <w:tcPr>
            <w:tcW w:w="988" w:type="dxa"/>
            <w:tcBorders>
              <w:top w:val="single" w:color="auto" w:sz="4" w:space="0"/>
              <w:left w:val="single" w:color="auto" w:sz="4" w:space="0"/>
              <w:bottom w:val="single" w:color="auto" w:sz="4" w:space="0"/>
              <w:right w:val="single" w:color="auto" w:sz="4" w:space="0"/>
            </w:tcBorders>
            <w:noWrap/>
          </w:tcPr>
          <w:p w14:paraId="314AFD09">
            <w:pPr>
              <w:spacing w:line="360" w:lineRule="auto"/>
              <w:jc w:val="center"/>
              <w:rPr>
                <w:rFonts w:ascii="宋体" w:hAnsi="宋体" w:cs="宋体"/>
                <w:color w:val="auto"/>
                <w:sz w:val="24"/>
                <w:szCs w:val="24"/>
                <w:highlight w:val="none"/>
              </w:rPr>
            </w:pPr>
          </w:p>
        </w:tc>
        <w:tc>
          <w:tcPr>
            <w:tcW w:w="7733" w:type="dxa"/>
            <w:tcBorders>
              <w:top w:val="single" w:color="auto" w:sz="4" w:space="0"/>
              <w:left w:val="single" w:color="auto" w:sz="4" w:space="0"/>
              <w:bottom w:val="single" w:color="auto" w:sz="4" w:space="0"/>
              <w:right w:val="single" w:color="auto" w:sz="4" w:space="0"/>
            </w:tcBorders>
            <w:noWrap/>
          </w:tcPr>
          <w:p w14:paraId="68A05065">
            <w:pPr>
              <w:spacing w:line="360" w:lineRule="auto"/>
              <w:ind w:left="69"/>
              <w:rPr>
                <w:rFonts w:ascii="宋体" w:hAnsi="宋体" w:cs="宋体"/>
                <w:b/>
                <w:color w:val="auto"/>
                <w:sz w:val="24"/>
                <w:szCs w:val="24"/>
                <w:highlight w:val="none"/>
              </w:rPr>
            </w:pPr>
            <w:r>
              <w:rPr>
                <w:rFonts w:hint="eastAsia" w:ascii="宋体" w:hAnsi="宋体" w:cs="宋体"/>
                <w:color w:val="auto"/>
                <w:sz w:val="24"/>
                <w:szCs w:val="24"/>
                <w:highlight w:val="none"/>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bl>
    <w:p w14:paraId="26E0205D">
      <w:pPr>
        <w:spacing w:line="360" w:lineRule="auto"/>
        <w:ind w:firstLine="495"/>
        <w:rPr>
          <w:rFonts w:ascii="宋体" w:hAnsi="宋体" w:cs="宋体"/>
          <w:color w:val="auto"/>
          <w:sz w:val="24"/>
          <w:szCs w:val="24"/>
          <w:highlight w:val="none"/>
        </w:rPr>
      </w:pPr>
    </w:p>
    <w:p w14:paraId="4444CE4A">
      <w:pPr>
        <w:spacing w:line="360" w:lineRule="auto"/>
        <w:ind w:firstLine="495"/>
        <w:rPr>
          <w:rFonts w:ascii="宋体" w:hAnsi="宋体" w:cs="宋体"/>
          <w:color w:val="auto"/>
          <w:sz w:val="24"/>
          <w:szCs w:val="24"/>
          <w:highlight w:val="none"/>
        </w:rPr>
      </w:pPr>
    </w:p>
    <w:p w14:paraId="7B68AE49">
      <w:pPr>
        <w:spacing w:line="360" w:lineRule="auto"/>
        <w:jc w:val="center"/>
        <w:rPr>
          <w:rFonts w:ascii="宋体" w:hAnsi="宋体" w:cs="宋体"/>
          <w:b/>
          <w:color w:val="auto"/>
          <w:sz w:val="24"/>
          <w:szCs w:val="24"/>
          <w:highlight w:val="none"/>
        </w:rPr>
      </w:pPr>
      <w:r>
        <w:rPr>
          <w:rFonts w:hint="eastAsia" w:ascii="宋体" w:hAnsi="宋体" w:cs="宋体"/>
          <w:b/>
          <w:color w:val="auto"/>
          <w:sz w:val="32"/>
          <w:szCs w:val="32"/>
          <w:highlight w:val="none"/>
        </w:rPr>
        <w:t>带 “*”条款汇总表</w:t>
      </w:r>
    </w:p>
    <w:tbl>
      <w:tblPr>
        <w:tblStyle w:val="17"/>
        <w:tblW w:w="0" w:type="auto"/>
        <w:tblInd w:w="-2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457"/>
        <w:gridCol w:w="992"/>
        <w:gridCol w:w="6546"/>
      </w:tblGrid>
      <w:tr w14:paraId="4E3D6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5" w:type="dxa"/>
            <w:gridSpan w:val="4"/>
            <w:noWrap/>
          </w:tcPr>
          <w:p w14:paraId="4E4B2614">
            <w:pPr>
              <w:spacing w:line="360" w:lineRule="auto"/>
              <w:jc w:val="left"/>
              <w:rPr>
                <w:rFonts w:ascii="宋体" w:hAnsi="宋体" w:cs="宋体"/>
                <w:color w:val="auto"/>
                <w:sz w:val="24"/>
                <w:szCs w:val="24"/>
                <w:highlight w:val="none"/>
              </w:rPr>
            </w:pPr>
            <w:r>
              <w:rPr>
                <w:rFonts w:hint="eastAsia" w:ascii="宋体" w:hAnsi="宋体" w:cs="宋体"/>
                <w:b/>
                <w:color w:val="auto"/>
                <w:sz w:val="24"/>
                <w:szCs w:val="24"/>
                <w:highlight w:val="none"/>
              </w:rPr>
              <w:t>注：</w:t>
            </w:r>
            <w:r>
              <w:rPr>
                <w:rFonts w:hint="eastAsia" w:ascii="宋体" w:hAnsi="宋体" w:cs="宋体"/>
                <w:color w:val="auto"/>
                <w:sz w:val="24"/>
                <w:szCs w:val="24"/>
                <w:highlight w:val="none"/>
              </w:rPr>
              <w:t>对于采购文件中的重要技术条款（带*技术条款），报价人应在报价文件中提供其磋商服务满足采购文件重要技术条款要求的客观证据材料。未按要求提供证据材料的，磋商小组将认定不满足该项要求。</w:t>
            </w:r>
          </w:p>
        </w:tc>
      </w:tr>
      <w:tr w14:paraId="12CA1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noWrap/>
          </w:tcPr>
          <w:p w14:paraId="7AB32B7F">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项号</w:t>
            </w:r>
          </w:p>
        </w:tc>
        <w:tc>
          <w:tcPr>
            <w:tcW w:w="457" w:type="dxa"/>
            <w:noWrap/>
          </w:tcPr>
          <w:p w14:paraId="38FD1FB5">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章</w:t>
            </w:r>
          </w:p>
        </w:tc>
        <w:tc>
          <w:tcPr>
            <w:tcW w:w="992" w:type="dxa"/>
            <w:noWrap/>
          </w:tcPr>
          <w:p w14:paraId="5C522F96">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条款号</w:t>
            </w:r>
          </w:p>
        </w:tc>
        <w:tc>
          <w:tcPr>
            <w:tcW w:w="6546" w:type="dxa"/>
            <w:noWrap/>
          </w:tcPr>
          <w:p w14:paraId="060FF80F">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具体内容</w:t>
            </w:r>
          </w:p>
        </w:tc>
      </w:tr>
      <w:tr w14:paraId="0B97B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noWrap/>
          </w:tcPr>
          <w:p w14:paraId="519893F0">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p>
        </w:tc>
        <w:tc>
          <w:tcPr>
            <w:tcW w:w="457" w:type="dxa"/>
            <w:noWrap/>
          </w:tcPr>
          <w:p w14:paraId="1A3B0396">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w:t>
            </w:r>
          </w:p>
        </w:tc>
        <w:tc>
          <w:tcPr>
            <w:tcW w:w="992" w:type="dxa"/>
            <w:noWrap/>
          </w:tcPr>
          <w:p w14:paraId="57E5305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四</w:t>
            </w:r>
          </w:p>
        </w:tc>
        <w:tc>
          <w:tcPr>
            <w:tcW w:w="6546" w:type="dxa"/>
            <w:noWrap/>
          </w:tcPr>
          <w:p w14:paraId="5B4CF038">
            <w:pPr>
              <w:widowControl/>
              <w:spacing w:line="360" w:lineRule="auto"/>
              <w:ind w:firstLine="0"/>
              <w:jc w:val="left"/>
              <w:rPr>
                <w:rFonts w:ascii="宋体" w:hAnsi="宋体" w:cs="宋体"/>
                <w:color w:val="auto"/>
                <w:sz w:val="24"/>
                <w:szCs w:val="24"/>
                <w:highlight w:val="none"/>
              </w:rPr>
            </w:pPr>
            <w:r>
              <w:rPr>
                <w:rFonts w:hint="eastAsia" w:ascii="宋体" w:hAnsi="宋体" w:eastAsia="宋体" w:cs="宋体"/>
                <w:b/>
                <w:color w:val="auto"/>
                <w:sz w:val="24"/>
                <w:szCs w:val="24"/>
                <w:highlight w:val="none"/>
              </w:rPr>
              <w:t>*1、本采购项目的采购预算（控制价）为人民币175万元，采购预算（控制价）为总报价的最高限价，总报价超过采购预算的属无效报价。</w:t>
            </w:r>
          </w:p>
        </w:tc>
      </w:tr>
      <w:tr w14:paraId="40205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noWrap/>
          </w:tcPr>
          <w:p w14:paraId="032F0897">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p>
        </w:tc>
        <w:tc>
          <w:tcPr>
            <w:tcW w:w="457" w:type="dxa"/>
            <w:shd w:val="clear" w:color="auto" w:fill="auto"/>
            <w:noWrap/>
            <w:vAlign w:val="top"/>
          </w:tcPr>
          <w:p w14:paraId="2B735B3C">
            <w:pPr>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三</w:t>
            </w:r>
          </w:p>
        </w:tc>
        <w:tc>
          <w:tcPr>
            <w:tcW w:w="992" w:type="dxa"/>
            <w:noWrap/>
          </w:tcPr>
          <w:p w14:paraId="4C024DB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十一</w:t>
            </w:r>
          </w:p>
        </w:tc>
        <w:tc>
          <w:tcPr>
            <w:tcW w:w="6546" w:type="dxa"/>
            <w:noWrap/>
          </w:tcPr>
          <w:p w14:paraId="44EABFD6">
            <w:pPr>
              <w:spacing w:line="360" w:lineRule="auto"/>
              <w:ind w:firstLine="0" w:firstLineChars="0"/>
              <w:rPr>
                <w:rFonts w:ascii="宋体" w:hAnsi="宋体" w:cs="宋体"/>
                <w:b/>
                <w:color w:val="auto"/>
                <w:sz w:val="24"/>
                <w:szCs w:val="24"/>
                <w:highlight w:val="none"/>
              </w:rPr>
            </w:pPr>
            <w:r>
              <w:rPr>
                <w:rFonts w:hint="eastAsia" w:ascii="宋体" w:hAnsi="宋体" w:cs="宋体"/>
                <w:b/>
                <w:color w:val="auto"/>
                <w:sz w:val="24"/>
                <w:szCs w:val="24"/>
                <w:highlight w:val="none"/>
              </w:rPr>
              <w:t>*1、报价人应提供工商营业执照（副本）（加盖公章）的复印件，提供税务登记证及组织机构代码证复印件。报价人已提供加载有统一社会信用代码营业执照的，视为已提供税务登记证和组织机构代码证。</w:t>
            </w:r>
          </w:p>
        </w:tc>
      </w:tr>
      <w:tr w14:paraId="5C3A7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noWrap/>
          </w:tcPr>
          <w:p w14:paraId="72760D6D">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457" w:type="dxa"/>
            <w:shd w:val="clear" w:color="auto" w:fill="auto"/>
            <w:noWrap/>
            <w:vAlign w:val="top"/>
          </w:tcPr>
          <w:p w14:paraId="6F6A5B53">
            <w:pPr>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三</w:t>
            </w:r>
          </w:p>
        </w:tc>
        <w:tc>
          <w:tcPr>
            <w:tcW w:w="992" w:type="dxa"/>
            <w:noWrap/>
          </w:tcPr>
          <w:p w14:paraId="01313A0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十一</w:t>
            </w:r>
          </w:p>
        </w:tc>
        <w:tc>
          <w:tcPr>
            <w:tcW w:w="6546" w:type="dxa"/>
            <w:noWrap/>
          </w:tcPr>
          <w:p w14:paraId="0F943806">
            <w:pPr>
              <w:spacing w:line="360" w:lineRule="auto"/>
              <w:ind w:firstLine="0" w:firstLineChars="0"/>
              <w:rPr>
                <w:rFonts w:ascii="宋体" w:hAnsi="宋体" w:cs="宋体"/>
                <w:b/>
                <w:color w:val="auto"/>
                <w:sz w:val="24"/>
                <w:szCs w:val="24"/>
                <w:highlight w:val="none"/>
              </w:rPr>
            </w:pPr>
            <w:r>
              <w:rPr>
                <w:rFonts w:hint="eastAsia" w:ascii="宋体" w:hAnsi="宋体" w:cs="宋体"/>
                <w:b/>
                <w:color w:val="auto"/>
                <w:sz w:val="24"/>
                <w:szCs w:val="24"/>
                <w:highlight w:val="none"/>
              </w:rPr>
              <w:t>*2、报价人全权代表若不是单位负责人，应提供单位授权书原件，并提供被授权代表身份证复印件。</w:t>
            </w:r>
          </w:p>
        </w:tc>
      </w:tr>
      <w:tr w14:paraId="5B8EC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noWrap/>
          </w:tcPr>
          <w:p w14:paraId="15ABDD9D">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c>
          <w:tcPr>
            <w:tcW w:w="457" w:type="dxa"/>
            <w:shd w:val="clear" w:color="auto" w:fill="auto"/>
            <w:noWrap/>
            <w:vAlign w:val="top"/>
          </w:tcPr>
          <w:p w14:paraId="62F247EA">
            <w:pPr>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三</w:t>
            </w:r>
          </w:p>
        </w:tc>
        <w:tc>
          <w:tcPr>
            <w:tcW w:w="992" w:type="dxa"/>
            <w:noWrap/>
          </w:tcPr>
          <w:p w14:paraId="3F96827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十一</w:t>
            </w:r>
          </w:p>
        </w:tc>
        <w:tc>
          <w:tcPr>
            <w:tcW w:w="6546" w:type="dxa"/>
            <w:noWrap/>
          </w:tcPr>
          <w:p w14:paraId="53751F94">
            <w:pPr>
              <w:spacing w:line="360" w:lineRule="auto"/>
              <w:ind w:firstLine="0" w:firstLineChars="0"/>
              <w:rPr>
                <w:rFonts w:ascii="宋体" w:hAnsi="宋体" w:cs="宋体"/>
                <w:b/>
                <w:color w:val="auto"/>
                <w:sz w:val="24"/>
                <w:szCs w:val="24"/>
                <w:highlight w:val="none"/>
              </w:rPr>
            </w:pPr>
            <w:r>
              <w:rPr>
                <w:rFonts w:hint="eastAsia" w:ascii="宋体" w:hAnsi="宋体" w:cs="宋体"/>
                <w:b/>
                <w:color w:val="auto"/>
                <w:sz w:val="24"/>
                <w:szCs w:val="24"/>
                <w:highlight w:val="none"/>
              </w:rPr>
              <w:t>*3、报价人应提供建筑工程施工总承包贰级以上（含贰级）资质或建筑装修装饰工程专业承包贰级以上（含贰级）资质证明文件（加盖公章）的复印件。</w:t>
            </w:r>
          </w:p>
        </w:tc>
      </w:tr>
    </w:tbl>
    <w:p w14:paraId="2A3BAC3E">
      <w:pPr>
        <w:spacing w:line="360" w:lineRule="auto"/>
        <w:jc w:val="center"/>
        <w:rPr>
          <w:rFonts w:ascii="宋体" w:hAnsi="宋体" w:cs="宋体"/>
          <w:b/>
          <w:color w:val="auto"/>
          <w:sz w:val="24"/>
          <w:szCs w:val="24"/>
          <w:highlight w:val="none"/>
          <w:u w:val="single"/>
        </w:rPr>
      </w:pPr>
    </w:p>
    <w:p w14:paraId="3A879154">
      <w:pPr>
        <w:spacing w:line="360" w:lineRule="auto"/>
        <w:jc w:val="center"/>
        <w:rPr>
          <w:rFonts w:ascii="宋体" w:hAnsi="宋体" w:cs="宋体"/>
          <w:b/>
          <w:color w:val="auto"/>
          <w:sz w:val="24"/>
          <w:szCs w:val="24"/>
          <w:highlight w:val="none"/>
          <w:u w:val="single"/>
        </w:rPr>
      </w:pPr>
    </w:p>
    <w:p w14:paraId="000FBCA3">
      <w:pPr>
        <w:spacing w:line="360" w:lineRule="auto"/>
        <w:jc w:val="center"/>
        <w:rPr>
          <w:rFonts w:ascii="宋体" w:hAnsi="宋体" w:cs="宋体"/>
          <w:b/>
          <w:color w:val="auto"/>
          <w:sz w:val="24"/>
          <w:szCs w:val="24"/>
          <w:highlight w:val="none"/>
          <w:u w:val="single"/>
        </w:rPr>
      </w:pPr>
    </w:p>
    <w:p w14:paraId="41FFA28E">
      <w:pPr>
        <w:spacing w:line="360" w:lineRule="auto"/>
        <w:jc w:val="center"/>
        <w:rPr>
          <w:rFonts w:ascii="宋体" w:hAnsi="宋体" w:cs="宋体"/>
          <w:b/>
          <w:color w:val="auto"/>
          <w:sz w:val="32"/>
          <w:szCs w:val="32"/>
          <w:highlight w:val="none"/>
          <w:u w:val="single"/>
        </w:rPr>
      </w:pPr>
    </w:p>
    <w:p w14:paraId="16A00DBF">
      <w:pPr>
        <w:spacing w:line="360" w:lineRule="auto"/>
        <w:jc w:val="center"/>
        <w:rPr>
          <w:rFonts w:ascii="宋体" w:hAnsi="宋体" w:cs="宋体"/>
          <w:b/>
          <w:color w:val="auto"/>
          <w:sz w:val="32"/>
          <w:szCs w:val="32"/>
          <w:highlight w:val="none"/>
          <w:u w:val="single"/>
        </w:rPr>
      </w:pPr>
    </w:p>
    <w:p w14:paraId="40BF6C5F">
      <w:pPr>
        <w:spacing w:line="360" w:lineRule="auto"/>
        <w:jc w:val="center"/>
        <w:rPr>
          <w:rFonts w:ascii="宋体" w:hAnsi="宋体" w:cs="宋体"/>
          <w:b/>
          <w:color w:val="auto"/>
          <w:sz w:val="32"/>
          <w:szCs w:val="32"/>
          <w:highlight w:val="none"/>
          <w:u w:val="single"/>
        </w:rPr>
      </w:pPr>
    </w:p>
    <w:p w14:paraId="7D9C29CF">
      <w:pPr>
        <w:spacing w:line="360" w:lineRule="auto"/>
        <w:jc w:val="center"/>
        <w:rPr>
          <w:rFonts w:ascii="宋体" w:hAnsi="宋体" w:cs="宋体"/>
          <w:b/>
          <w:color w:val="auto"/>
          <w:sz w:val="32"/>
          <w:szCs w:val="32"/>
          <w:highlight w:val="none"/>
          <w:u w:val="single"/>
        </w:rPr>
      </w:pPr>
    </w:p>
    <w:p w14:paraId="1BAFD696">
      <w:pPr>
        <w:spacing w:line="360" w:lineRule="auto"/>
        <w:jc w:val="center"/>
        <w:rPr>
          <w:rFonts w:ascii="宋体" w:hAnsi="宋体" w:cs="宋体"/>
          <w:b/>
          <w:color w:val="auto"/>
          <w:sz w:val="32"/>
          <w:szCs w:val="32"/>
          <w:highlight w:val="none"/>
          <w:u w:val="single"/>
        </w:rPr>
      </w:pPr>
    </w:p>
    <w:p w14:paraId="496509DA">
      <w:pPr>
        <w:spacing w:line="360" w:lineRule="auto"/>
        <w:jc w:val="center"/>
        <w:rPr>
          <w:rFonts w:ascii="宋体" w:hAnsi="宋体" w:cs="宋体"/>
          <w:b/>
          <w:color w:val="auto"/>
          <w:sz w:val="32"/>
          <w:szCs w:val="32"/>
          <w:highlight w:val="none"/>
          <w:u w:val="single"/>
        </w:rPr>
      </w:pPr>
    </w:p>
    <w:p w14:paraId="556DB93E">
      <w:pPr>
        <w:spacing w:line="360" w:lineRule="auto"/>
        <w:ind w:firstLine="1285" w:firstLineChars="400"/>
        <w:outlineLvl w:val="1"/>
        <w:rPr>
          <w:rFonts w:ascii="宋体" w:hAnsi="宋体" w:cs="宋体"/>
          <w:b/>
          <w:color w:val="auto"/>
          <w:sz w:val="24"/>
          <w:szCs w:val="24"/>
          <w:highlight w:val="none"/>
          <w:u w:val="single"/>
        </w:rPr>
      </w:pPr>
      <w:bookmarkStart w:id="27" w:name="_Toc26094"/>
      <w:bookmarkStart w:id="28" w:name="_Toc17848"/>
      <w:bookmarkStart w:id="29" w:name="_Toc12593785"/>
      <w:r>
        <w:rPr>
          <w:rFonts w:hint="eastAsia" w:ascii="宋体" w:hAnsi="宋体" w:cs="宋体"/>
          <w:b/>
          <w:color w:val="auto"/>
          <w:sz w:val="32"/>
          <w:szCs w:val="32"/>
          <w:highlight w:val="none"/>
          <w:u w:val="single"/>
        </w:rPr>
        <w:t>报价人须知前附表3：磋商规则、评审标准</w:t>
      </w:r>
      <w:bookmarkEnd w:id="27"/>
      <w:bookmarkEnd w:id="28"/>
      <w:bookmarkEnd w:id="29"/>
    </w:p>
    <w:tbl>
      <w:tblPr>
        <w:tblStyle w:val="17"/>
        <w:tblW w:w="9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0"/>
      </w:tblGrid>
      <w:tr w14:paraId="1DE07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0" w:type="dxa"/>
            <w:noWrap/>
          </w:tcPr>
          <w:p w14:paraId="4F0D6A68">
            <w:pPr>
              <w:spacing w:line="360" w:lineRule="auto"/>
              <w:outlineLvl w:val="0"/>
              <w:rPr>
                <w:rFonts w:ascii="宋体" w:hAnsi="宋体" w:cs="宋体"/>
                <w:b/>
                <w:bCs/>
                <w:color w:val="auto"/>
                <w:sz w:val="24"/>
                <w:szCs w:val="24"/>
                <w:highlight w:val="none"/>
              </w:rPr>
            </w:pPr>
            <w:bookmarkStart w:id="30" w:name="_Toc15497"/>
            <w:bookmarkStart w:id="31" w:name="_Toc1465227154"/>
            <w:bookmarkStart w:id="32" w:name="_Toc5141"/>
            <w:bookmarkStart w:id="33" w:name="_Toc2704"/>
            <w:r>
              <w:rPr>
                <w:rFonts w:hint="eastAsia" w:ascii="宋体" w:hAnsi="宋体" w:cs="宋体"/>
                <w:b/>
                <w:bCs/>
                <w:color w:val="auto"/>
                <w:sz w:val="24"/>
                <w:szCs w:val="24"/>
                <w:highlight w:val="none"/>
              </w:rPr>
              <w:t>一、磋商规则：</w:t>
            </w:r>
            <w:bookmarkEnd w:id="30"/>
            <w:bookmarkEnd w:id="31"/>
            <w:bookmarkEnd w:id="32"/>
            <w:bookmarkEnd w:id="33"/>
          </w:p>
          <w:p w14:paraId="485FE99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1.采购代理机构按有关规定编制采购文件，组建磋商小组。报价人按照采购文件规定提交报价文件。</w:t>
            </w:r>
          </w:p>
          <w:p w14:paraId="173EF68E">
            <w:pPr>
              <w:tabs>
                <w:tab w:val="left" w:pos="-5801"/>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2.磋商小组对报价人进行资格性和符合性审查，报价人不符合资格性及符合性条款和“*”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7EA5F07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磋商小组所有成员应当集中与单一报价人分别进行磋商，磋商顺序采用随机抽取的方法确认。</w:t>
            </w:r>
          </w:p>
          <w:p w14:paraId="6BA6AA3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4.磋商小组对采购文件和报价文件提出重点的磋商内容，根据采购文件及有关规定，磋商小组与进入磋商程序的报价人进行一轮或多轮磋商。</w:t>
            </w:r>
          </w:p>
          <w:p w14:paraId="2B56FB7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5.每轮磋商结束前由磋商小组决定是否需要进行下一轮磋商，如需要进行下一轮磋商，采购代理机构提前告知报价人下一轮磋商时间。</w:t>
            </w:r>
          </w:p>
          <w:p w14:paraId="34AE2A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6.在磋商过程中，磋商小组可以根据采购文件明确规定的可能实质性变动内容变动采购文件；有实质性变动的，磋商小组应当以书面形式通知所有参加磋商的报价人。</w:t>
            </w:r>
          </w:p>
          <w:p w14:paraId="77FC664E">
            <w:pPr>
              <w:tabs>
                <w:tab w:val="left" w:pos="-5801"/>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7.除非采购文件的采购需求中的技术、服务要求以及合同草案条款有实质性变动的，否则后一次的报价不得高于前一</w:t>
            </w:r>
            <w:r>
              <w:rPr>
                <w:rFonts w:hint="eastAsia" w:ascii="宋体" w:hAnsi="宋体" w:cs="宋体"/>
                <w:color w:val="auto"/>
                <w:sz w:val="24"/>
                <w:szCs w:val="24"/>
                <w:highlight w:val="none"/>
              </w:rPr>
              <w:t>次的报价。若出现后一次的报价高于前一次报价的，则后一次的报价无效，以前一次的报价为准。</w:t>
            </w:r>
          </w:p>
          <w:p w14:paraId="456D2B15">
            <w:pPr>
              <w:tabs>
                <w:tab w:val="left" w:pos="-5801"/>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8.报价人递交的报价文件澄清、更正等文件、最终报价应予密封并交至采购代理机构指定人员，报价部分单独密封。采购代理机构工作人员在收齐全部报价人材料后，统一送达磋商小组。</w:t>
            </w:r>
          </w:p>
          <w:p w14:paraId="0045F5E1">
            <w:pPr>
              <w:tabs>
                <w:tab w:val="left" w:pos="-5801"/>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 提交最后报价的报价人不得少于三家。经磋商确定最终采购需求和提交最后报价的报价人后，由磋商小组采用综合评分法对提交最后报价的报价人的报价文件和最后报价进行综合评分。</w:t>
            </w:r>
          </w:p>
          <w:p w14:paraId="1163841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10.参加磋商并代表报价人签署报价文件的应该是采购文件要求的报价人代表，磋商时应出示身份证原件。</w:t>
            </w:r>
          </w:p>
          <w:p w14:paraId="044E4C13">
            <w:pPr>
              <w:spacing w:line="360" w:lineRule="auto"/>
              <w:ind w:right="-120" w:rightChars="-57"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11.在磋商活动中，有关人员不得透露与磋商有关的一切技术资料、价格和其它信息给其他报价人。</w:t>
            </w:r>
          </w:p>
          <w:p w14:paraId="7C23FBD4">
            <w:pPr>
              <w:spacing w:line="360" w:lineRule="auto"/>
              <w:ind w:left="55" w:leftChars="26" w:right="-120" w:rightChars="-57"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t>确定候选供应商原则</w:t>
            </w:r>
            <w:r>
              <w:rPr>
                <w:rFonts w:hint="eastAsia" w:ascii="宋体" w:hAnsi="宋体" w:cs="宋体"/>
                <w:color w:val="auto"/>
                <w:sz w:val="24"/>
                <w:szCs w:val="24"/>
                <w:highlight w:val="none"/>
              </w:rPr>
              <w:t>：</w:t>
            </w:r>
          </w:p>
          <w:p w14:paraId="0D308AF7">
            <w:pPr>
              <w:spacing w:line="360" w:lineRule="auto"/>
              <w:ind w:left="55" w:leftChars="26" w:right="-120" w:rightChars="-57"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A.磋商小组采用综合评分的方法确定成交候选供应商，磋商小组按照：综合评分由高到低的顺序推荐成交候选供应商，若综合得分相同的，按照最后报价由低到高的顺序排列；综合得分相同且报价相同的，按技术得分顺序排列。综合得分相同且报价相同且技术得分相同的，由磋商小组投票表决。 </w:t>
            </w:r>
          </w:p>
          <w:p w14:paraId="1B68B5A8">
            <w:pPr>
              <w:spacing w:line="360" w:lineRule="auto"/>
              <w:ind w:left="55" w:leftChars="26" w:right="-120" w:rightChars="-57"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B.</w:t>
            </w:r>
            <w:r>
              <w:rPr>
                <w:rFonts w:hint="eastAsia" w:ascii="宋体" w:hAnsi="宋体" w:cs="宋体"/>
                <w:color w:val="auto"/>
                <w:sz w:val="24"/>
                <w:szCs w:val="24"/>
                <w:highlight w:val="none"/>
              </w:rPr>
              <w:t>（</w:t>
            </w: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eq \o\ac(</w:instrText>
            </w:r>
            <w:r>
              <w:rPr>
                <w:rFonts w:hint="eastAsia" w:ascii="宋体" w:hAnsi="宋体" w:cs="宋体"/>
                <w:color w:val="auto"/>
                <w:position w:val="-4"/>
                <w:sz w:val="36"/>
                <w:szCs w:val="24"/>
                <w:highlight w:val="none"/>
              </w:rPr>
              <w:instrText xml:space="preserve">□</w:instrText>
            </w:r>
            <w:r>
              <w:rPr>
                <w:rFonts w:hint="eastAsia" w:ascii="宋体" w:hAnsi="宋体" w:cs="宋体"/>
                <w:color w:val="auto"/>
                <w:sz w:val="24"/>
                <w:szCs w:val="24"/>
                <w:highlight w:val="none"/>
              </w:rPr>
              <w:instrText xml:space="preserve">,√)</w:instrTex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否）</w:t>
            </w:r>
            <w:r>
              <w:rPr>
                <w:rFonts w:hint="eastAsia" w:ascii="宋体" w:hAnsi="宋体" w:cs="宋体"/>
                <w:color w:val="auto"/>
                <w:sz w:val="24"/>
                <w:szCs w:val="24"/>
                <w:highlight w:val="none"/>
              </w:rPr>
              <w:t>属于市场竞争不充分的科研项目以及需要扶持的科技成果转化项目，成交候选供应商可以为2家；</w:t>
            </w:r>
          </w:p>
          <w:p w14:paraId="2EEAB6F4">
            <w:pPr>
              <w:spacing w:line="360" w:lineRule="auto"/>
              <w:ind w:left="55" w:leftChars="26" w:right="-120" w:rightChars="-57"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C.成交候选供应商的数量≥3个。 </w:t>
            </w:r>
          </w:p>
        </w:tc>
      </w:tr>
      <w:tr w14:paraId="0563D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0" w:type="dxa"/>
            <w:noWrap/>
          </w:tcPr>
          <w:p w14:paraId="194B33A2">
            <w:pPr>
              <w:tabs>
                <w:tab w:val="left" w:pos="1080"/>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二、磋商可能实质性变动的内容：</w:t>
            </w:r>
          </w:p>
          <w:p w14:paraId="0CB4160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1.采购需求技术内容</w:t>
            </w:r>
            <w:r>
              <w:rPr>
                <w:rFonts w:hint="eastAsia" w:ascii="宋体" w:hAnsi="宋体" w:cs="宋体"/>
                <w:color w:val="auto"/>
                <w:sz w:val="24"/>
                <w:szCs w:val="24"/>
                <w:highlight w:val="none"/>
                <w:u w:val="single"/>
              </w:rPr>
              <w:t xml:space="preserve">：   无         </w:t>
            </w:r>
          </w:p>
          <w:p w14:paraId="7D96FA91">
            <w:pPr>
              <w:tabs>
                <w:tab w:val="left" w:pos="-5801"/>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2.采购需求服务内容</w:t>
            </w:r>
            <w:r>
              <w:rPr>
                <w:rFonts w:hint="eastAsia" w:ascii="宋体" w:hAnsi="宋体" w:cs="宋体"/>
                <w:color w:val="auto"/>
                <w:sz w:val="24"/>
                <w:szCs w:val="24"/>
                <w:highlight w:val="none"/>
                <w:u w:val="single"/>
              </w:rPr>
              <w:t xml:space="preserve">：   无         </w:t>
            </w:r>
          </w:p>
          <w:p w14:paraId="0E777FDA">
            <w:pPr>
              <w:tabs>
                <w:tab w:val="left" w:pos="-5801"/>
              </w:tabs>
              <w:spacing w:line="360" w:lineRule="auto"/>
              <w:ind w:firstLine="480" w:firstLineChars="200"/>
              <w:rPr>
                <w:rFonts w:ascii="宋体" w:hAnsi="宋体" w:cs="宋体"/>
                <w:b/>
                <w:bCs/>
                <w:color w:val="auto"/>
                <w:sz w:val="24"/>
                <w:szCs w:val="24"/>
                <w:highlight w:val="none"/>
              </w:rPr>
            </w:pPr>
            <w:r>
              <w:rPr>
                <w:rFonts w:hint="eastAsia" w:ascii="宋体" w:hAnsi="宋体" w:cs="宋体"/>
                <w:color w:val="auto"/>
                <w:sz w:val="24"/>
                <w:szCs w:val="24"/>
                <w:highlight w:val="none"/>
              </w:rPr>
              <w:t>3. 合同草案条款</w:t>
            </w:r>
            <w:r>
              <w:rPr>
                <w:rFonts w:hint="eastAsia" w:ascii="宋体" w:hAnsi="宋体" w:cs="宋体"/>
                <w:color w:val="auto"/>
                <w:sz w:val="24"/>
                <w:szCs w:val="24"/>
                <w:highlight w:val="none"/>
                <w:u w:val="single"/>
              </w:rPr>
              <w:t xml:space="preserve">：无 </w:t>
            </w:r>
          </w:p>
        </w:tc>
      </w:tr>
      <w:tr w14:paraId="15835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0" w:type="dxa"/>
            <w:noWrap/>
          </w:tcPr>
          <w:p w14:paraId="33D5581B">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三、磋商评审标准：具体见附件</w:t>
            </w:r>
          </w:p>
        </w:tc>
      </w:tr>
      <w:tr w14:paraId="41EE8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0" w:type="dxa"/>
            <w:noWrap/>
          </w:tcPr>
          <w:p w14:paraId="004B1B0A">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 xml:space="preserve">     采购人在收到评审报告后五个工作日内，根据成交候选供应商排列顺序确定第一名成交候选供应商为成交供应商。</w:t>
            </w:r>
          </w:p>
          <w:p w14:paraId="597B7B8A">
            <w:pPr>
              <w:spacing w:line="360" w:lineRule="auto"/>
              <w:ind w:right="-40" w:rightChars="-19"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成交供应商拒绝签订采购合同的，采购人可以按照成交候选供应商的排序顺序由高到低</w:t>
            </w:r>
            <w:r>
              <w:rPr>
                <w:rFonts w:hint="eastAsia" w:ascii="宋体" w:hAnsi="宋体" w:cs="宋体"/>
                <w:color w:val="auto"/>
                <w:sz w:val="24"/>
                <w:szCs w:val="24"/>
                <w:highlight w:val="none"/>
              </w:rPr>
              <w:t>原则确定其他候选供应商作为成交供应商并签订采购合同，也可以重新开展采购活动。无正当理由拒绝签订采购合同的成交供应商不得参加对该项目重新开展的采购活动，将被没收磋商保证金，依法追究并承担相应的法律责任。</w:t>
            </w:r>
          </w:p>
        </w:tc>
      </w:tr>
    </w:tbl>
    <w:p w14:paraId="32FFD7A1">
      <w:pPr>
        <w:pStyle w:val="5"/>
        <w:snapToGrid w:val="0"/>
        <w:spacing w:line="360" w:lineRule="auto"/>
        <w:ind w:firstLine="0"/>
        <w:rPr>
          <w:rFonts w:cs="宋体"/>
          <w:b/>
          <w:bCs/>
          <w:color w:val="auto"/>
          <w:kern w:val="2"/>
          <w:sz w:val="24"/>
          <w:szCs w:val="24"/>
          <w:highlight w:val="none"/>
        </w:rPr>
      </w:pPr>
      <w:r>
        <w:rPr>
          <w:rFonts w:hint="eastAsia" w:cs="宋体"/>
          <w:b/>
          <w:bCs/>
          <w:color w:val="auto"/>
          <w:kern w:val="2"/>
          <w:sz w:val="24"/>
          <w:szCs w:val="24"/>
          <w:highlight w:val="none"/>
        </w:rPr>
        <w:t>注：以联合体形式响应磋商的，只能以联合体其中一方具备的条件作为评审依据。报价人在报价文件中必须以联合体的确定一方的条件参与商务部分的评审，报价人未明确的，则该报价人的该项商务评分按最低分处理。</w:t>
      </w:r>
    </w:p>
    <w:p w14:paraId="5A0BA563">
      <w:pPr>
        <w:spacing w:line="360" w:lineRule="auto"/>
        <w:jc w:val="center"/>
        <w:rPr>
          <w:rFonts w:ascii="宋体" w:hAnsi="宋体" w:cs="宋体"/>
          <w:b/>
          <w:bCs/>
          <w:color w:val="auto"/>
          <w:sz w:val="24"/>
          <w:szCs w:val="24"/>
          <w:highlight w:val="none"/>
          <w:u w:val="single"/>
        </w:rPr>
      </w:pPr>
    </w:p>
    <w:p w14:paraId="0BAA16DC">
      <w:pPr>
        <w:spacing w:line="360" w:lineRule="auto"/>
        <w:jc w:val="center"/>
        <w:rPr>
          <w:rFonts w:ascii="宋体" w:hAnsi="宋体" w:cs="宋体"/>
          <w:b/>
          <w:bCs/>
          <w:color w:val="auto"/>
          <w:sz w:val="24"/>
          <w:szCs w:val="24"/>
          <w:highlight w:val="none"/>
          <w:u w:val="single"/>
        </w:rPr>
      </w:pPr>
    </w:p>
    <w:p w14:paraId="341E64BC">
      <w:pPr>
        <w:pStyle w:val="2"/>
        <w:rPr>
          <w:rFonts w:ascii="宋体" w:hAnsi="宋体" w:cs="宋体"/>
          <w:b/>
          <w:bCs/>
          <w:color w:val="auto"/>
          <w:sz w:val="24"/>
          <w:szCs w:val="24"/>
          <w:highlight w:val="none"/>
          <w:u w:val="single"/>
        </w:rPr>
      </w:pPr>
    </w:p>
    <w:p w14:paraId="64206C17">
      <w:pPr>
        <w:pStyle w:val="2"/>
        <w:rPr>
          <w:rFonts w:ascii="宋体" w:hAnsi="宋体" w:cs="宋体"/>
          <w:b/>
          <w:bCs/>
          <w:color w:val="auto"/>
          <w:sz w:val="24"/>
          <w:szCs w:val="24"/>
          <w:highlight w:val="none"/>
          <w:u w:val="single"/>
        </w:rPr>
      </w:pPr>
    </w:p>
    <w:p w14:paraId="1587005D">
      <w:pPr>
        <w:pStyle w:val="2"/>
        <w:rPr>
          <w:rFonts w:ascii="宋体" w:hAnsi="宋体" w:cs="宋体"/>
          <w:b/>
          <w:bCs/>
          <w:color w:val="auto"/>
          <w:sz w:val="24"/>
          <w:szCs w:val="24"/>
          <w:highlight w:val="none"/>
          <w:u w:val="single"/>
        </w:rPr>
      </w:pPr>
    </w:p>
    <w:p w14:paraId="64907695">
      <w:pPr>
        <w:spacing w:line="360" w:lineRule="auto"/>
        <w:rPr>
          <w:rFonts w:ascii="宋体" w:hAnsi="宋体" w:cs="宋体"/>
          <w:b/>
          <w:color w:val="auto"/>
          <w:sz w:val="24"/>
          <w:szCs w:val="24"/>
          <w:highlight w:val="none"/>
        </w:rPr>
      </w:pPr>
      <w:bookmarkStart w:id="34" w:name="_Toc27719"/>
      <w:r>
        <w:rPr>
          <w:rFonts w:hint="eastAsia" w:ascii="宋体" w:hAnsi="宋体" w:cs="宋体"/>
          <w:b/>
          <w:color w:val="auto"/>
          <w:sz w:val="24"/>
          <w:szCs w:val="24"/>
          <w:highlight w:val="none"/>
        </w:rPr>
        <w:t>附件：磋商评审标准：</w:t>
      </w:r>
      <w:bookmarkEnd w:id="34"/>
    </w:p>
    <w:p w14:paraId="065F3CC6">
      <w:pPr>
        <w:spacing w:line="360" w:lineRule="auto"/>
        <w:rPr>
          <w:rFonts w:ascii="宋体" w:hAnsi="宋体" w:cs="宋体"/>
          <w:color w:val="auto"/>
          <w:sz w:val="24"/>
          <w:szCs w:val="24"/>
          <w:highlight w:val="none"/>
        </w:rPr>
      </w:pPr>
      <w:bookmarkStart w:id="35" w:name="_Toc31130"/>
      <w:r>
        <w:rPr>
          <w:rFonts w:hint="eastAsia" w:ascii="宋体" w:hAnsi="宋体" w:cs="宋体"/>
          <w:b/>
          <w:color w:val="auto"/>
          <w:sz w:val="24"/>
          <w:szCs w:val="24"/>
          <w:highlight w:val="none"/>
        </w:rPr>
        <w:t>综合评分法：</w:t>
      </w:r>
      <w:r>
        <w:rPr>
          <w:rFonts w:hint="eastAsia" w:ascii="宋体" w:hAnsi="宋体" w:cs="宋体"/>
          <w:color w:val="auto"/>
          <w:sz w:val="24"/>
          <w:szCs w:val="24"/>
          <w:highlight w:val="none"/>
        </w:rPr>
        <w:t>综合得分= F1 + F2 + F3</w:t>
      </w:r>
      <w:bookmarkEnd w:id="35"/>
    </w:p>
    <w:p w14:paraId="4C8E22E5">
      <w:pPr>
        <w:spacing w:line="360" w:lineRule="auto"/>
        <w:rPr>
          <w:rFonts w:ascii="宋体" w:hAnsi="宋体" w:cs="宋体"/>
          <w:bCs/>
          <w:color w:val="auto"/>
          <w:sz w:val="24"/>
          <w:szCs w:val="24"/>
          <w:highlight w:val="none"/>
        </w:rPr>
      </w:pPr>
      <w:bookmarkStart w:id="36" w:name="_Toc4587"/>
      <w:r>
        <w:rPr>
          <w:rFonts w:hint="eastAsia" w:ascii="宋体" w:hAnsi="宋体" w:cs="宋体"/>
          <w:bCs/>
          <w:color w:val="auto"/>
          <w:sz w:val="24"/>
          <w:szCs w:val="24"/>
          <w:highlight w:val="none"/>
        </w:rPr>
        <w:t>注：以联合体形式响应磋</w:t>
      </w:r>
      <w:r>
        <w:rPr>
          <w:rFonts w:hint="eastAsia" w:ascii="宋体" w:hAnsi="宋体" w:cs="宋体"/>
          <w:bCs/>
          <w:color w:val="auto"/>
          <w:sz w:val="24"/>
          <w:szCs w:val="24"/>
          <w:highlight w:val="none"/>
        </w:rPr>
        <w:t>商的，只能以联合体其中一方具备的条件作为评审依据。报价人在报价文件中必须以联合体的确定一方的条件参与商务部分的评审。</w:t>
      </w:r>
      <w:bookmarkEnd w:id="36"/>
    </w:p>
    <w:p w14:paraId="43C32216">
      <w:pPr>
        <w:pStyle w:val="5"/>
        <w:snapToGrid w:val="0"/>
        <w:spacing w:line="360" w:lineRule="auto"/>
        <w:ind w:firstLine="0"/>
        <w:rPr>
          <w:rFonts w:cs="宋体"/>
          <w:b/>
          <w:color w:val="auto"/>
          <w:sz w:val="24"/>
          <w:szCs w:val="24"/>
          <w:highlight w:val="none"/>
        </w:rPr>
      </w:pPr>
      <w:r>
        <w:rPr>
          <w:rFonts w:hint="eastAsia" w:cs="宋体"/>
          <w:b/>
          <w:color w:val="auto"/>
          <w:sz w:val="24"/>
          <w:szCs w:val="24"/>
          <w:highlight w:val="none"/>
        </w:rPr>
        <w:t>（一）技术评分（F1）标准（满分65分）：</w:t>
      </w:r>
    </w:p>
    <w:tbl>
      <w:tblPr>
        <w:tblStyle w:val="17"/>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6840"/>
        <w:gridCol w:w="1186"/>
      </w:tblGrid>
      <w:tr w14:paraId="1A2FE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2530F151">
            <w:pPr>
              <w:pStyle w:val="24"/>
              <w:spacing w:line="360" w:lineRule="auto"/>
              <w:jc w:val="center"/>
              <w:rPr>
                <w:rFonts w:ascii="宋体" w:hAnsi="宋体" w:cs="宋体"/>
                <w:b/>
                <w:bCs/>
                <w:color w:val="auto"/>
                <w:kern w:val="10"/>
                <w:sz w:val="24"/>
                <w:highlight w:val="none"/>
              </w:rPr>
            </w:pPr>
            <w:r>
              <w:rPr>
                <w:rFonts w:hint="eastAsia" w:ascii="宋体" w:hAnsi="宋体" w:cs="宋体"/>
                <w:b/>
                <w:bCs/>
                <w:color w:val="auto"/>
                <w:sz w:val="24"/>
                <w:highlight w:val="none"/>
              </w:rPr>
              <w:t>序号</w:t>
            </w:r>
          </w:p>
        </w:tc>
        <w:tc>
          <w:tcPr>
            <w:tcW w:w="6840" w:type="dxa"/>
            <w:noWrap/>
            <w:vAlign w:val="center"/>
          </w:tcPr>
          <w:p w14:paraId="10691EE6">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评分界定</w:t>
            </w:r>
          </w:p>
        </w:tc>
        <w:tc>
          <w:tcPr>
            <w:tcW w:w="1186" w:type="dxa"/>
            <w:noWrap/>
            <w:vAlign w:val="center"/>
          </w:tcPr>
          <w:p w14:paraId="579F826C">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满分分值</w:t>
            </w:r>
          </w:p>
        </w:tc>
      </w:tr>
      <w:tr w14:paraId="5B7B3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7606A874">
            <w:pPr>
              <w:pStyle w:val="24"/>
              <w:spacing w:line="360" w:lineRule="auto"/>
              <w:jc w:val="center"/>
              <w:rPr>
                <w:rFonts w:ascii="宋体" w:hAnsi="宋体" w:cs="宋体"/>
                <w:color w:val="auto"/>
                <w:kern w:val="10"/>
                <w:sz w:val="24"/>
                <w:highlight w:val="none"/>
              </w:rPr>
            </w:pPr>
            <w:r>
              <w:rPr>
                <w:rFonts w:hint="eastAsia" w:ascii="宋体" w:hAnsi="宋体" w:cs="宋体"/>
                <w:color w:val="auto"/>
                <w:sz w:val="24"/>
                <w:highlight w:val="none"/>
              </w:rPr>
              <w:t>1</w:t>
            </w:r>
          </w:p>
        </w:tc>
        <w:tc>
          <w:tcPr>
            <w:tcW w:w="6840" w:type="dxa"/>
            <w:noWrap/>
            <w:vAlign w:val="center"/>
          </w:tcPr>
          <w:p w14:paraId="366F4EB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根据供应商提供的</w:t>
            </w:r>
            <w:r>
              <w:rPr>
                <w:rFonts w:hint="eastAsia" w:ascii="宋体" w:hAnsi="宋体" w:cs="宋体"/>
                <w:b/>
                <w:bCs/>
                <w:color w:val="auto"/>
                <w:sz w:val="24"/>
                <w:szCs w:val="24"/>
                <w:highlight w:val="none"/>
              </w:rPr>
              <w:t>现场踏勘报告</w:t>
            </w:r>
            <w:r>
              <w:rPr>
                <w:rFonts w:hint="eastAsia" w:ascii="宋体" w:hAnsi="宋体" w:cs="宋体"/>
                <w:color w:val="auto"/>
                <w:sz w:val="24"/>
                <w:szCs w:val="24"/>
                <w:highlight w:val="none"/>
              </w:rPr>
              <w:t>进行评价： ①有提供现场踏勘报告（至少包括3个不同角度的现场照片、施工总平面图、施工现场的具体位置分布图）的得1.5分； ②在满足①的基础上，踏勘报告完整详实，对各区域分布了解充分、现场整体状况描述准确、细节记录完整、符合实际情况且能够促进项目实施的得3分； ③未提供或不符合上述情形不得分。</w:t>
            </w:r>
          </w:p>
        </w:tc>
        <w:tc>
          <w:tcPr>
            <w:tcW w:w="1186" w:type="dxa"/>
            <w:noWrap/>
            <w:vAlign w:val="center"/>
          </w:tcPr>
          <w:p w14:paraId="6A379482">
            <w:pPr>
              <w:spacing w:line="360" w:lineRule="auto"/>
              <w:ind w:left="-99" w:leftChars="-47" w:right="-78" w:rightChars="-37"/>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40448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1C7D8C7B">
            <w:pPr>
              <w:pStyle w:val="24"/>
              <w:spacing w:line="360" w:lineRule="auto"/>
              <w:jc w:val="center"/>
              <w:rPr>
                <w:rFonts w:ascii="宋体" w:hAnsi="宋体" w:cs="宋体"/>
                <w:color w:val="auto"/>
                <w:kern w:val="10"/>
                <w:sz w:val="24"/>
                <w:highlight w:val="none"/>
              </w:rPr>
            </w:pPr>
            <w:r>
              <w:rPr>
                <w:rFonts w:hint="eastAsia" w:ascii="宋体" w:hAnsi="宋体" w:cs="宋体"/>
                <w:color w:val="auto"/>
                <w:sz w:val="24"/>
                <w:highlight w:val="none"/>
              </w:rPr>
              <w:t>2</w:t>
            </w:r>
          </w:p>
        </w:tc>
        <w:tc>
          <w:tcPr>
            <w:tcW w:w="6840" w:type="dxa"/>
            <w:noWrap/>
            <w:vAlign w:val="center"/>
          </w:tcPr>
          <w:p w14:paraId="2BFA16E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根据供应商提供</w:t>
            </w:r>
            <w:r>
              <w:rPr>
                <w:rFonts w:hint="eastAsia" w:ascii="宋体" w:hAnsi="宋体" w:cs="宋体"/>
                <w:b/>
                <w:bCs/>
                <w:color w:val="auto"/>
                <w:sz w:val="24"/>
                <w:szCs w:val="24"/>
                <w:highlight w:val="none"/>
              </w:rPr>
              <w:t>施工重点、难点及解决方案</w:t>
            </w:r>
            <w:r>
              <w:rPr>
                <w:rFonts w:hint="eastAsia" w:ascii="宋体" w:hAnsi="宋体" w:cs="宋体"/>
                <w:color w:val="auto"/>
                <w:sz w:val="24"/>
                <w:szCs w:val="24"/>
                <w:highlight w:val="none"/>
              </w:rPr>
              <w:t>进行评价： ①有提供施工重点、难点及解决方案的得1.5分； ②在满足①的基础上，提供的不是通用型的施工难点和解决方案，而是结合学校校园实际场地情况、项目施工具体情况，提供有针对性的难点及解决方案、针对重点改造区域施工难点提出相应解决措施，对重点难点分析到位、吻合实际现场情况，并提出具体的解决方案的得3分； ③未提供或不符合上述情形不得分。</w:t>
            </w:r>
          </w:p>
        </w:tc>
        <w:tc>
          <w:tcPr>
            <w:tcW w:w="1186" w:type="dxa"/>
            <w:noWrap/>
            <w:vAlign w:val="center"/>
          </w:tcPr>
          <w:p w14:paraId="38378219">
            <w:pPr>
              <w:spacing w:line="360" w:lineRule="auto"/>
              <w:ind w:left="-99" w:leftChars="-47" w:right="-78" w:rightChars="-37"/>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6DFD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7D0B4B25">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6840" w:type="dxa"/>
            <w:noWrap/>
            <w:vAlign w:val="center"/>
          </w:tcPr>
          <w:p w14:paraId="6C8EAAC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根据供应商针对本项目</w:t>
            </w:r>
            <w:r>
              <w:rPr>
                <w:rFonts w:hint="eastAsia" w:ascii="宋体" w:hAnsi="宋体" w:cs="宋体"/>
                <w:b/>
                <w:bCs/>
                <w:color w:val="auto"/>
                <w:sz w:val="24"/>
                <w:szCs w:val="24"/>
                <w:highlight w:val="none"/>
              </w:rPr>
              <w:t>体育组办公室</w:t>
            </w:r>
            <w:r>
              <w:rPr>
                <w:rFonts w:hint="eastAsia" w:ascii="宋体" w:hAnsi="宋体" w:cs="宋体"/>
                <w:color w:val="auto"/>
                <w:sz w:val="24"/>
                <w:szCs w:val="24"/>
                <w:highlight w:val="none"/>
              </w:rPr>
              <w:t>改造前后的效果对比描述说明进行评价： ①有提供完整的效果提升方案、效果图及文字说明的得1.5分； ②在满足①的基础上，改造后有明显的效果提升，与校园建筑物整体协调好，描述说明与实际情况符合的得3分； ③未提供或不符合上述情形不得分。</w:t>
            </w:r>
          </w:p>
        </w:tc>
        <w:tc>
          <w:tcPr>
            <w:tcW w:w="1186" w:type="dxa"/>
            <w:noWrap/>
            <w:vAlign w:val="center"/>
          </w:tcPr>
          <w:p w14:paraId="1C069F7A">
            <w:pPr>
              <w:spacing w:line="360" w:lineRule="auto"/>
              <w:ind w:left="-99" w:leftChars="-47" w:right="-78" w:rightChars="-37"/>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2AE39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15A51A07">
            <w:pPr>
              <w:pStyle w:val="24"/>
              <w:spacing w:line="360" w:lineRule="auto"/>
              <w:jc w:val="center"/>
              <w:rPr>
                <w:rFonts w:ascii="宋体" w:hAnsi="宋体" w:cs="宋体"/>
                <w:color w:val="auto"/>
                <w:sz w:val="24"/>
                <w:highlight w:val="none"/>
              </w:rPr>
            </w:pPr>
            <w:bookmarkStart w:id="37" w:name="_Toc1612"/>
            <w:r>
              <w:rPr>
                <w:rFonts w:hint="eastAsia" w:ascii="宋体" w:hAnsi="宋体" w:cs="宋体"/>
                <w:color w:val="auto"/>
                <w:sz w:val="24"/>
                <w:highlight w:val="none"/>
              </w:rPr>
              <w:t>4</w:t>
            </w:r>
          </w:p>
        </w:tc>
        <w:tc>
          <w:tcPr>
            <w:tcW w:w="6840" w:type="dxa"/>
            <w:noWrap/>
            <w:vAlign w:val="center"/>
          </w:tcPr>
          <w:p w14:paraId="0611737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根据供应商针对本项目</w:t>
            </w:r>
            <w:r>
              <w:rPr>
                <w:rFonts w:hint="eastAsia" w:ascii="宋体" w:hAnsi="宋体" w:cs="宋体"/>
                <w:b/>
                <w:bCs/>
                <w:color w:val="auto"/>
                <w:sz w:val="24"/>
                <w:szCs w:val="24"/>
                <w:highlight w:val="none"/>
              </w:rPr>
              <w:t>食堂主厨区</w:t>
            </w:r>
            <w:r>
              <w:rPr>
                <w:rFonts w:hint="eastAsia" w:ascii="宋体" w:hAnsi="宋体" w:cs="宋体"/>
                <w:color w:val="auto"/>
                <w:sz w:val="24"/>
                <w:szCs w:val="24"/>
                <w:highlight w:val="none"/>
              </w:rPr>
              <w:t>等改造前后的效果对比描述说明进行评价： ①有提供完整的效果提升方案、效果图及文字说明的得1.5分； ②在满足①的基础上，改造后有明显的效果提升，与校园建筑物整体协调好，描述说明与实际情况符合的得3分； ③未提供或不符合上述情形不得分。</w:t>
            </w:r>
          </w:p>
        </w:tc>
        <w:tc>
          <w:tcPr>
            <w:tcW w:w="1186" w:type="dxa"/>
            <w:noWrap/>
            <w:vAlign w:val="center"/>
          </w:tcPr>
          <w:p w14:paraId="0D39559C">
            <w:pPr>
              <w:spacing w:line="360" w:lineRule="auto"/>
              <w:ind w:left="-99" w:leftChars="-47" w:right="-78" w:rightChars="-37"/>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21678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0B3880E8">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6840" w:type="dxa"/>
            <w:noWrap/>
            <w:vAlign w:val="center"/>
          </w:tcPr>
          <w:p w14:paraId="0E5D987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根据供应商针对本项目</w:t>
            </w:r>
            <w:r>
              <w:rPr>
                <w:rFonts w:hint="eastAsia" w:ascii="宋体" w:hAnsi="宋体" w:cs="宋体"/>
                <w:b/>
                <w:bCs/>
                <w:color w:val="auto"/>
                <w:sz w:val="24"/>
                <w:szCs w:val="24"/>
                <w:highlight w:val="none"/>
              </w:rPr>
              <w:t>食堂加工区</w:t>
            </w:r>
            <w:r>
              <w:rPr>
                <w:rFonts w:hint="eastAsia" w:ascii="宋体" w:hAnsi="宋体" w:cs="宋体"/>
                <w:color w:val="auto"/>
                <w:sz w:val="24"/>
                <w:szCs w:val="24"/>
                <w:highlight w:val="none"/>
              </w:rPr>
              <w:t>等改造前后的效果对比描述说明进行评价： ①有提供完整的效果提升方案、效果图及文字说明的得1.5分； ②在满足①的基础上，改造后有明显的效果提升，与校园建筑物整体协调好，描述说明与实际情况符合的得3分； ③未提供或不符合上述情形不得分。</w:t>
            </w:r>
          </w:p>
        </w:tc>
        <w:tc>
          <w:tcPr>
            <w:tcW w:w="1186" w:type="dxa"/>
            <w:noWrap/>
            <w:vAlign w:val="center"/>
          </w:tcPr>
          <w:p w14:paraId="09384821">
            <w:pPr>
              <w:spacing w:line="360" w:lineRule="auto"/>
              <w:ind w:left="-99" w:leftChars="-47" w:right="-78" w:rightChars="-37"/>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3783B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82" w:type="dxa"/>
            <w:noWrap/>
            <w:vAlign w:val="center"/>
          </w:tcPr>
          <w:p w14:paraId="26C12B83">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6840" w:type="dxa"/>
            <w:noWrap/>
            <w:vAlign w:val="center"/>
          </w:tcPr>
          <w:p w14:paraId="6DB2A60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负责人具备二级及以上注册建造师（建筑工程专业）的得1.5分；技术负责人具备中级或以上职称的得1.5分；本项满分3分；须提供证书有效复印件、本单位近6个月任意一个月（不含磋商时间当月，企业成立不足6个月提供自成立以来）响应供应商为其依法缴纳社保的证明材料，否则不得分。</w:t>
            </w:r>
          </w:p>
        </w:tc>
        <w:tc>
          <w:tcPr>
            <w:tcW w:w="1186" w:type="dxa"/>
            <w:noWrap/>
            <w:vAlign w:val="center"/>
          </w:tcPr>
          <w:p w14:paraId="15E0A813">
            <w:pPr>
              <w:spacing w:line="360" w:lineRule="auto"/>
              <w:ind w:left="-99" w:leftChars="-47" w:right="-78" w:rightChars="-37"/>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6105B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Merge w:val="restart"/>
            <w:noWrap/>
            <w:vAlign w:val="center"/>
          </w:tcPr>
          <w:p w14:paraId="07300958">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7</w:t>
            </w:r>
          </w:p>
        </w:tc>
        <w:tc>
          <w:tcPr>
            <w:tcW w:w="6840" w:type="dxa"/>
            <w:noWrap/>
            <w:vAlign w:val="center"/>
          </w:tcPr>
          <w:p w14:paraId="532077D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根据供应商提供的</w:t>
            </w:r>
            <w:r>
              <w:rPr>
                <w:rFonts w:hint="eastAsia" w:ascii="宋体" w:hAnsi="宋体" w:cs="宋体"/>
                <w:b/>
                <w:bCs/>
                <w:color w:val="auto"/>
                <w:sz w:val="24"/>
                <w:szCs w:val="24"/>
                <w:highlight w:val="none"/>
              </w:rPr>
              <w:t>施工组织方案</w:t>
            </w:r>
            <w:r>
              <w:rPr>
                <w:rFonts w:hint="eastAsia" w:ascii="宋体" w:hAnsi="宋体" w:cs="宋体"/>
                <w:color w:val="auto"/>
                <w:sz w:val="24"/>
                <w:szCs w:val="24"/>
                <w:highlight w:val="none"/>
              </w:rPr>
              <w:t>进行评分：</w:t>
            </w:r>
          </w:p>
          <w:p w14:paraId="2A0190B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施工方法及组织部署情况：①供应商提供有主要施工方法及施工组织部署的得1.5分；②在满足①的基础上，能够针对本项目情况提供具体可行的施工方法，并科学进行组织部署，能够保障工程质量，确保项目顺利实施的得3分；③未提供相关描述或施工方法及组织部署不可行的不得分。</w:t>
            </w:r>
          </w:p>
        </w:tc>
        <w:tc>
          <w:tcPr>
            <w:tcW w:w="1186" w:type="dxa"/>
            <w:noWrap/>
            <w:vAlign w:val="center"/>
          </w:tcPr>
          <w:p w14:paraId="5E7C303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117BB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Merge w:val="continue"/>
            <w:noWrap/>
            <w:vAlign w:val="center"/>
          </w:tcPr>
          <w:p w14:paraId="2653EAA0">
            <w:pPr>
              <w:pStyle w:val="24"/>
              <w:spacing w:line="360" w:lineRule="auto"/>
              <w:jc w:val="center"/>
              <w:rPr>
                <w:rFonts w:ascii="宋体" w:hAnsi="宋体" w:cs="宋体"/>
                <w:color w:val="auto"/>
                <w:sz w:val="24"/>
                <w:highlight w:val="none"/>
              </w:rPr>
            </w:pPr>
          </w:p>
        </w:tc>
        <w:tc>
          <w:tcPr>
            <w:tcW w:w="6840" w:type="dxa"/>
            <w:noWrap/>
            <w:vAlign w:val="center"/>
          </w:tcPr>
          <w:p w14:paraId="484248F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技术组织措施：①供应商提供有主要技术组织措施的得1.5分；②在满足①的基础上，能够针对本项目情况提供具体可行的技术组织措施，能够保障工程质量，确保项目顺利实施的得3分；③未提供相关描述或技术组织措施不可行的不得分。</w:t>
            </w:r>
          </w:p>
        </w:tc>
        <w:tc>
          <w:tcPr>
            <w:tcW w:w="1186" w:type="dxa"/>
            <w:noWrap/>
            <w:vAlign w:val="center"/>
          </w:tcPr>
          <w:p w14:paraId="193BB75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23144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Merge w:val="continue"/>
            <w:noWrap/>
            <w:vAlign w:val="center"/>
          </w:tcPr>
          <w:p w14:paraId="78AFFE4F">
            <w:pPr>
              <w:pStyle w:val="24"/>
              <w:spacing w:line="360" w:lineRule="auto"/>
              <w:jc w:val="center"/>
              <w:rPr>
                <w:rFonts w:ascii="宋体" w:hAnsi="宋体" w:cs="宋体"/>
                <w:color w:val="auto"/>
                <w:sz w:val="24"/>
                <w:highlight w:val="none"/>
              </w:rPr>
            </w:pPr>
          </w:p>
        </w:tc>
        <w:tc>
          <w:tcPr>
            <w:tcW w:w="6840" w:type="dxa"/>
            <w:noWrap/>
            <w:vAlign w:val="center"/>
          </w:tcPr>
          <w:p w14:paraId="7000B04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施工进度表或工期网络计划：①供应商提供有施工进度表或工期网络计划的得1.5分；②在满足①的基础上，有考虑各工序间的衔接，突发意外情况（如台风、停水停电等情况）的停工及赶工，并制定相应的工期保障及赶工计划得3分；③未提供相关描述或施工进度表或工期网络计划不可行的不得分。</w:t>
            </w:r>
          </w:p>
        </w:tc>
        <w:tc>
          <w:tcPr>
            <w:tcW w:w="1186" w:type="dxa"/>
            <w:noWrap/>
            <w:vAlign w:val="center"/>
          </w:tcPr>
          <w:p w14:paraId="7B78316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0CA2B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Merge w:val="continue"/>
            <w:noWrap/>
            <w:vAlign w:val="center"/>
          </w:tcPr>
          <w:p w14:paraId="6EA207F3">
            <w:pPr>
              <w:pStyle w:val="24"/>
              <w:spacing w:line="360" w:lineRule="auto"/>
              <w:jc w:val="center"/>
              <w:rPr>
                <w:rFonts w:ascii="宋体" w:hAnsi="宋体" w:cs="宋体"/>
                <w:color w:val="auto"/>
                <w:sz w:val="24"/>
                <w:highlight w:val="none"/>
              </w:rPr>
            </w:pPr>
          </w:p>
        </w:tc>
        <w:tc>
          <w:tcPr>
            <w:tcW w:w="6840" w:type="dxa"/>
            <w:noWrap/>
            <w:vAlign w:val="center"/>
          </w:tcPr>
          <w:p w14:paraId="621B033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卫生保洁、建筑垃圾清理及运输：①供应商提供有卫生保洁、建筑垃圾清理及运输方案的得1.5分；②在满足①的基础上，针对本项目不同区域有详细的卫生保洁、建筑垃圾清理及运输方案，确保项目顺利实施的得3分；③未提供相关描述或卫生保洁、建筑垃圾清理及运输不可行的不得分。</w:t>
            </w:r>
          </w:p>
        </w:tc>
        <w:tc>
          <w:tcPr>
            <w:tcW w:w="1186" w:type="dxa"/>
            <w:noWrap/>
            <w:vAlign w:val="center"/>
          </w:tcPr>
          <w:p w14:paraId="7BFD6D8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28C02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Merge w:val="continue"/>
            <w:noWrap/>
            <w:vAlign w:val="center"/>
          </w:tcPr>
          <w:p w14:paraId="30BA8084">
            <w:pPr>
              <w:pStyle w:val="24"/>
              <w:spacing w:line="360" w:lineRule="auto"/>
              <w:jc w:val="center"/>
              <w:rPr>
                <w:rFonts w:ascii="宋体" w:hAnsi="宋体" w:cs="宋体"/>
                <w:color w:val="auto"/>
                <w:sz w:val="24"/>
                <w:highlight w:val="none"/>
              </w:rPr>
            </w:pPr>
          </w:p>
        </w:tc>
        <w:tc>
          <w:tcPr>
            <w:tcW w:w="6840" w:type="dxa"/>
            <w:noWrap/>
            <w:vAlign w:val="center"/>
          </w:tcPr>
          <w:p w14:paraId="3CF7F19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成品保护及现场恢复：①供应商提供有成品保护及现场恢复方案的得1.5分；②在满足①的基础上，针对本项目不同区域有详细的成品保护及现场恢复方案，确保项目顺利实施的得3分；③未提供相关描述或成品保护及现场恢复方案不可行的不得分。</w:t>
            </w:r>
          </w:p>
        </w:tc>
        <w:tc>
          <w:tcPr>
            <w:tcW w:w="1186" w:type="dxa"/>
            <w:noWrap/>
            <w:vAlign w:val="center"/>
          </w:tcPr>
          <w:p w14:paraId="598B29B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56027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Merge w:val="continue"/>
            <w:noWrap/>
            <w:vAlign w:val="center"/>
          </w:tcPr>
          <w:p w14:paraId="4869E045">
            <w:pPr>
              <w:pStyle w:val="24"/>
              <w:spacing w:line="360" w:lineRule="auto"/>
              <w:jc w:val="center"/>
              <w:rPr>
                <w:rFonts w:ascii="宋体" w:hAnsi="宋体" w:cs="宋体"/>
                <w:color w:val="auto"/>
                <w:sz w:val="24"/>
                <w:highlight w:val="none"/>
              </w:rPr>
            </w:pPr>
          </w:p>
        </w:tc>
        <w:tc>
          <w:tcPr>
            <w:tcW w:w="6840" w:type="dxa"/>
            <w:noWrap/>
            <w:vAlign w:val="center"/>
          </w:tcPr>
          <w:p w14:paraId="2FD8A0F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安全及文明施工组织措施：①供应商提供有安全施工、文明施工组织措施的得1.5分；②在满足①的基础上，能够针对本项目具体情况，提供保障施工安全以及文明施工的具体措施，确保项目顺利实施的得3分；③未提供相关描述或安全及文明施工组织措施不可行的不得分。</w:t>
            </w:r>
          </w:p>
        </w:tc>
        <w:tc>
          <w:tcPr>
            <w:tcW w:w="1186" w:type="dxa"/>
            <w:noWrap/>
            <w:vAlign w:val="center"/>
          </w:tcPr>
          <w:p w14:paraId="2FE33D6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2406E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461001DA">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8</w:t>
            </w:r>
          </w:p>
        </w:tc>
        <w:tc>
          <w:tcPr>
            <w:tcW w:w="6840" w:type="dxa"/>
            <w:noWrap/>
            <w:vAlign w:val="center"/>
          </w:tcPr>
          <w:p w14:paraId="1ACC390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内墙砖</w:t>
            </w:r>
            <w:r>
              <w:rPr>
                <w:rFonts w:hint="eastAsia" w:ascii="宋体" w:hAnsi="宋体" w:cs="宋体"/>
                <w:color w:val="auto"/>
                <w:sz w:val="24"/>
                <w:szCs w:val="24"/>
                <w:highlight w:val="none"/>
              </w:rPr>
              <w:t>的主要技术参数及要求响应情况：①表面平整度（mm）上凸≤2.0，下凹≤2.0；②表面质量：至少砖的95%的主要区域无明显缺陷；③吸水率（%）0.5＜E≤3，且单个最大值≤3.3；④破坏强度（N）：当厚度≥7.5mm时，平均值≥1100；⑤断裂模数（MPa）：平均值≥30，且单个值≥27；⑥耐家庭化学试剂和游泳池盐类检验结果不低于GB级。以上每满足一条得0.5分，满分3分，须提供国家认可的具备检测资格的检测机构出具的检验(检测)报告复印件。（报告需加盖检验检测机构公章或专用章，并标注有CMA或CNAS标志），否则不得分。</w:t>
            </w:r>
          </w:p>
        </w:tc>
        <w:tc>
          <w:tcPr>
            <w:tcW w:w="1186" w:type="dxa"/>
            <w:noWrap/>
            <w:vAlign w:val="center"/>
          </w:tcPr>
          <w:p w14:paraId="5BE9EC0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67E93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4C42670A">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9</w:t>
            </w:r>
          </w:p>
        </w:tc>
        <w:tc>
          <w:tcPr>
            <w:tcW w:w="6840" w:type="dxa"/>
            <w:noWrap/>
            <w:vAlign w:val="center"/>
          </w:tcPr>
          <w:p w14:paraId="1D69576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LED面板灯</w:t>
            </w:r>
            <w:r>
              <w:rPr>
                <w:rFonts w:hint="eastAsia" w:ascii="宋体" w:hAnsi="宋体" w:cs="宋体"/>
                <w:color w:val="auto"/>
                <w:sz w:val="24"/>
                <w:szCs w:val="24"/>
                <w:highlight w:val="none"/>
              </w:rPr>
              <w:t>的主要技术参数及要求响应情况： ①LED面板灯：C0-C180面的光束角须满足105°±2°，C90-C270面的光束角须满足85°±2°；②LED面板灯光生物安全级别为：无危险类或无危害类，灯光频闪为：无显著影响或无危害；③LED面板灯光频闪为：要求光输出波形的波动深度≤0.35%或者满足光输出波形频率＞3125hz； 以上每满足一条得1分，满分3分。提供国家认可的检验检测机构出具的检验检测报告有效复印件佐证（报告需加盖检验检测机构公章或专用章，并标注有CMA或CNAS标志），否则不得分。</w:t>
            </w:r>
          </w:p>
        </w:tc>
        <w:tc>
          <w:tcPr>
            <w:tcW w:w="1186" w:type="dxa"/>
            <w:noWrap/>
            <w:vAlign w:val="center"/>
          </w:tcPr>
          <w:p w14:paraId="740BA5A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76281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7A001786">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10</w:t>
            </w:r>
          </w:p>
        </w:tc>
        <w:tc>
          <w:tcPr>
            <w:tcW w:w="6840" w:type="dxa"/>
            <w:noWrap/>
            <w:vAlign w:val="center"/>
          </w:tcPr>
          <w:p w14:paraId="37E019F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水漆</w:t>
            </w:r>
            <w:r>
              <w:rPr>
                <w:rFonts w:hint="eastAsia" w:ascii="宋体" w:hAnsi="宋体" w:cs="宋体"/>
                <w:color w:val="auto"/>
                <w:sz w:val="24"/>
                <w:szCs w:val="24"/>
                <w:highlight w:val="none"/>
              </w:rPr>
              <w:t>的主要技术参数及要求响应情况：①病毒灭活率≥99.99%且杀灭对数值≥4.43KL； ②游离甲醛≤16.8mg/kg； ③可溶性汞≤9mg/kg；④测试微生物大肠杆菌，抗菌涂料24h后平均回收菌数≤20且抗（细）菌率≥99.99%；⑤测试微生物金黄色葡萄球菌，抗菌涂料24h后平均回收菌数≤20且抗（细）菌率≥99.99%；⑥挥发性有机物含量（VOC）≤68.2g/L 。以上每满足一条得0.5分，满分3分，提供国家认可的检验检测机构出具的检验检测报告有效复印件佐证（报告需加盖检验检测机构公章或专用章，并标注有CMA或CNAS标志），否则不得分。</w:t>
            </w:r>
          </w:p>
        </w:tc>
        <w:tc>
          <w:tcPr>
            <w:tcW w:w="1186" w:type="dxa"/>
            <w:noWrap/>
            <w:vAlign w:val="center"/>
          </w:tcPr>
          <w:p w14:paraId="59D7712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14:paraId="0ADFB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7FA5AC10">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11</w:t>
            </w:r>
          </w:p>
        </w:tc>
        <w:tc>
          <w:tcPr>
            <w:tcW w:w="6840" w:type="dxa"/>
            <w:noWrap/>
            <w:vAlign w:val="center"/>
          </w:tcPr>
          <w:p w14:paraId="264CD63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铝扣板</w:t>
            </w:r>
            <w:r>
              <w:rPr>
                <w:rFonts w:hint="eastAsia" w:ascii="宋体" w:hAnsi="宋体" w:cs="宋体"/>
                <w:color w:val="auto"/>
                <w:sz w:val="24"/>
                <w:szCs w:val="24"/>
                <w:highlight w:val="none"/>
              </w:rPr>
              <w:t>的主要技术参数及要求响应情况：①膜厚（聚酯粉末喷涂）：最小局部膜厚≥14μm；②漆膜硬度≥HB；③尺寸偏差（产品厚度）≥0.35mm；④附着力（级）：铝及铝合金基材0，且涂层应平滑、均匀，不允许有皱纹、流痕、鼓泡、裂纹、发粘。以上每满足一条得0.5分，满分2分，提供国家认可的检验检测机构出具的检验检测报告有效复印件佐证（报告需加盖检验检测机构公章或专用章，并标注有CMA或CNAS标志），否则不得分。</w:t>
            </w:r>
          </w:p>
        </w:tc>
        <w:tc>
          <w:tcPr>
            <w:tcW w:w="1186" w:type="dxa"/>
            <w:noWrap/>
            <w:vAlign w:val="center"/>
          </w:tcPr>
          <w:p w14:paraId="5D85418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14:paraId="4CF60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7343DBB1">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12</w:t>
            </w:r>
          </w:p>
        </w:tc>
        <w:tc>
          <w:tcPr>
            <w:tcW w:w="6840" w:type="dxa"/>
            <w:noWrap/>
            <w:vAlign w:val="center"/>
          </w:tcPr>
          <w:p w14:paraId="1F5CDAE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不锈钢盖板</w:t>
            </w:r>
            <w:r>
              <w:rPr>
                <w:rFonts w:hint="eastAsia" w:ascii="宋体" w:hAnsi="宋体" w:cs="宋体"/>
                <w:color w:val="auto"/>
                <w:sz w:val="24"/>
                <w:szCs w:val="24"/>
                <w:highlight w:val="none"/>
              </w:rPr>
              <w:t>的主要技术参数及要求响应情况：①产品材质：304不锈钢、硬度高、承重性强；背部加强筋、增强承重；②产品款式：整版一次成型、全折边无拼接；斜边双排防滑钉、均匀分布排气孔；304不锈钢本色、持久耐用、永不褪色；③产品性能：防滑点均匀分布、双排防滑；均匀分布排气孔、透气快；孔径大小合理、防鼠、防虫；④产品优势：日常使用快速排水、排气；双排防滑钉安全有保障；防鼠、防鼠、清洁方便；安装便捷、坚固耐用。以上每满足一条得0.5分，满分2分，提供产品彩页或截图佐证，否则不得分。</w:t>
            </w:r>
          </w:p>
        </w:tc>
        <w:tc>
          <w:tcPr>
            <w:tcW w:w="1186" w:type="dxa"/>
            <w:noWrap/>
            <w:vAlign w:val="center"/>
          </w:tcPr>
          <w:p w14:paraId="712CE94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14:paraId="50926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269FCD01">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13</w:t>
            </w:r>
          </w:p>
        </w:tc>
        <w:tc>
          <w:tcPr>
            <w:tcW w:w="6840" w:type="dxa"/>
            <w:noWrap/>
            <w:vAlign w:val="center"/>
          </w:tcPr>
          <w:p w14:paraId="35A8B75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地坪涂料</w:t>
            </w:r>
            <w:r>
              <w:rPr>
                <w:rFonts w:hint="eastAsia" w:ascii="宋体" w:hAnsi="宋体" w:cs="宋体"/>
                <w:color w:val="auto"/>
                <w:sz w:val="24"/>
                <w:szCs w:val="24"/>
                <w:highlight w:val="none"/>
              </w:rPr>
              <w:t>的主要技术参数及要求响应情况：①产品拉伸粘结强度热老化后≥2.4MPa且冻融循环后为2.0MPa； ②产品耐磨性（750g/500r）：≤0.030g； ③产品防滑性（干摩擦系数）：≥0.50，防滑性（湿摩擦系数）：≥0.70，附着力为Ⅰ级； ④产品可溶性重金属/（mg/kg）：铅（Pb）、镉（Cd）、铬（Cr）、汞（Hg）均不得检出，且产品抗霉菌耐久性能1级以下。以上每满足一条得0.5分，满分2分，提供国家认可的检验检测机构出具的检验检测报告有效复印件佐证（报告需加盖检验检测机构公章或专用章，并标注有CMA或CNAS标志），否则不得分。</w:t>
            </w:r>
          </w:p>
        </w:tc>
        <w:tc>
          <w:tcPr>
            <w:tcW w:w="1186" w:type="dxa"/>
            <w:noWrap/>
            <w:vAlign w:val="center"/>
          </w:tcPr>
          <w:p w14:paraId="083B3CA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14:paraId="2A538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53C5146E">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14</w:t>
            </w:r>
          </w:p>
        </w:tc>
        <w:tc>
          <w:tcPr>
            <w:tcW w:w="6840" w:type="dxa"/>
            <w:noWrap/>
            <w:vAlign w:val="center"/>
          </w:tcPr>
          <w:p w14:paraId="5C28D69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饰面板、封边条</w:t>
            </w:r>
            <w:r>
              <w:rPr>
                <w:rFonts w:hint="eastAsia" w:ascii="宋体" w:hAnsi="宋体" w:cs="宋体"/>
                <w:color w:val="auto"/>
                <w:sz w:val="24"/>
                <w:szCs w:val="24"/>
                <w:highlight w:val="none"/>
              </w:rPr>
              <w:t>的主要技术参数及要求响应情况：①饰面板符合气候箱法E1技术指标要求且甲醛释放量mg/m3未检出，表面胶合强度≥1.66MPa，耐香烟灼烧等级为≥4级；②封边条产品甲醛释放量mg/L未检出，且可迁移元素（可溶性重金属）铅（pb）、镉（Cd）、铬（Cr）、汞（Hg）、mg/kg含量均未检出，耐光色牢度（灰色样卡）≥4级，领苯二甲酸酯（DBP、BBP、DEHP、DNOP、DINP和DIDP）的总量≤0.1%，且未检出属于禁用要求的多溴联苯mg/kg含量。以上每满足一条得1分，满分2分，提供国家认可的检验检测机构出具的检验检测报告有效复印件佐证（报告需加盖检验检测机构公章或专用章，并标注有CMA或CNAS标志），否则不得分。</w:t>
            </w:r>
          </w:p>
        </w:tc>
        <w:tc>
          <w:tcPr>
            <w:tcW w:w="1186" w:type="dxa"/>
            <w:noWrap/>
            <w:vAlign w:val="center"/>
          </w:tcPr>
          <w:p w14:paraId="2B8F1B2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14:paraId="75F7A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0D0133B8">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15</w:t>
            </w:r>
          </w:p>
        </w:tc>
        <w:tc>
          <w:tcPr>
            <w:tcW w:w="6840" w:type="dxa"/>
            <w:noWrap/>
            <w:vAlign w:val="center"/>
          </w:tcPr>
          <w:p w14:paraId="64847C6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电缆</w:t>
            </w:r>
            <w:r>
              <w:rPr>
                <w:rFonts w:hint="eastAsia" w:ascii="宋体" w:hAnsi="宋体" w:cs="宋体"/>
                <w:color w:val="auto"/>
                <w:sz w:val="24"/>
                <w:szCs w:val="24"/>
                <w:highlight w:val="none"/>
              </w:rPr>
              <w:t>的主要技术参数及要求响应情况：①护套机械性能：老化前抗张强度≥9.0N/mm2，老化前断裂伸长率≥125%； ②绝缘收缩试验（130℃，1h）收缩率≤4%； ③电性能：导体直流电阻（20℃）最大0.0754Ω/km；④绝缘平均厚度≤1.7mm，且护套最薄点厚度≥2.12mm。以上每满足一条得0.5分，满分2分，提供国家认可的检验检测机构出具的检验检测报告有效复印件佐证（报告需加盖检验检测机构公章或专用章，并标注有CMA或CNAS标志），否则不得分。</w:t>
            </w:r>
          </w:p>
        </w:tc>
        <w:tc>
          <w:tcPr>
            <w:tcW w:w="1186" w:type="dxa"/>
            <w:noWrap/>
            <w:vAlign w:val="center"/>
          </w:tcPr>
          <w:p w14:paraId="21DD80E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14:paraId="1E182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7325775D">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16</w:t>
            </w:r>
          </w:p>
        </w:tc>
        <w:tc>
          <w:tcPr>
            <w:tcW w:w="6840" w:type="dxa"/>
            <w:noWrap/>
            <w:vAlign w:val="center"/>
          </w:tcPr>
          <w:p w14:paraId="39ED27F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网络线</w:t>
            </w:r>
            <w:r>
              <w:rPr>
                <w:rFonts w:hint="eastAsia" w:ascii="宋体" w:hAnsi="宋体" w:cs="宋体"/>
                <w:color w:val="auto"/>
                <w:sz w:val="24"/>
                <w:szCs w:val="24"/>
                <w:highlight w:val="none"/>
              </w:rPr>
              <w:t>的主要技术参数及要求响应情况：①电气性能：导体与导体之间应承受DC1.0kv、1min的电压，应无放电或击穿现象，且绝缘电阻≥5000MΩ·km（直流500V）；②六类非屏蔽配线架端口拔插次数：RJ45端口拔插次数≥750次；③产品符合 YD/T 1019-2013《数字通信用聚烯烃绝 缘水平对绞电缆》及 GB/T 50312-2016《综合布线系统 工程验收规范》，通过权威检测机构 20 米三连接或 10 米二连接永久链路的检测；④100M 双绞线中白蓝、蓝、白橙、橙、 白绿、绿、白棕、棕各单根导体的直流电阻均≤7.91  Ω/100m。以上每满足一条得0.5分，满分2分，提供国家认可的检验检测机构出具的检验检测报告有效复印件佐证（报告需加盖检验检测机构公章或专用章，并标注有CMA或CNAS标志），否则不得分。</w:t>
            </w:r>
          </w:p>
        </w:tc>
        <w:tc>
          <w:tcPr>
            <w:tcW w:w="1186" w:type="dxa"/>
            <w:noWrap/>
            <w:vAlign w:val="center"/>
          </w:tcPr>
          <w:p w14:paraId="3947572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14:paraId="18404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noWrap/>
            <w:vAlign w:val="center"/>
          </w:tcPr>
          <w:p w14:paraId="52C243DE">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17</w:t>
            </w:r>
          </w:p>
        </w:tc>
        <w:tc>
          <w:tcPr>
            <w:tcW w:w="6840" w:type="dxa"/>
            <w:noWrap/>
            <w:vAlign w:val="center"/>
          </w:tcPr>
          <w:p w14:paraId="08CE225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智能水表</w:t>
            </w:r>
            <w:r>
              <w:rPr>
                <w:rFonts w:hint="eastAsia" w:ascii="宋体" w:hAnsi="宋体" w:cs="宋体"/>
                <w:color w:val="auto"/>
                <w:sz w:val="24"/>
                <w:szCs w:val="24"/>
                <w:highlight w:val="none"/>
              </w:rPr>
              <w:t>的主要技术参数及要求响应情况：①产品通信类型：NB-LOT无线、M-BUS且远程自动抄表，可采集精准至小时/日/月/年等时段，各项用水数据；②产品属性：磁传干式直读式智能水表；产品防水防护等级达到IP68，防干式传动不受温差影响，最小流量≤0.032m3/h且自带NB-LOT无线通信模块，直连系统；每满足1项得1分，满分2分。提供产品彩页或截图佐证，否则不得分。</w:t>
            </w:r>
          </w:p>
        </w:tc>
        <w:tc>
          <w:tcPr>
            <w:tcW w:w="1186" w:type="dxa"/>
            <w:noWrap/>
            <w:vAlign w:val="center"/>
          </w:tcPr>
          <w:p w14:paraId="3E197B5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14:paraId="687B3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782" w:type="dxa"/>
            <w:noWrap/>
            <w:vAlign w:val="center"/>
          </w:tcPr>
          <w:p w14:paraId="5E45315D">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18</w:t>
            </w:r>
          </w:p>
        </w:tc>
        <w:tc>
          <w:tcPr>
            <w:tcW w:w="6840" w:type="dxa"/>
            <w:noWrap/>
            <w:vAlign w:val="center"/>
          </w:tcPr>
          <w:p w14:paraId="52EE97B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门禁刷脸设备</w:t>
            </w:r>
            <w:r>
              <w:rPr>
                <w:rFonts w:hint="eastAsia" w:ascii="宋体" w:hAnsi="宋体" w:cs="宋体"/>
                <w:color w:val="auto"/>
                <w:sz w:val="24"/>
                <w:szCs w:val="24"/>
                <w:highlight w:val="none"/>
              </w:rPr>
              <w:t>的主要技术参数及要求响应情况：①人脸比对误识率和准确率：误识率≤0.01%，准确率≥99.99%；②人脸比对平均时间＜150ms；③暗光识别功能：在环境照度为0.001 lux；且不打开白光补光灯时， 可以正常进行人脸识别；④强逆光识别功能：在环境照度为80000lux的点光源条件下，逆光应能正常进行人脸识别。每满足1项得0.5分，满分2分。提供国家认可的检验检测机构出具的检验检测报告有效复印件佐证（报告需加盖检验检测机构公章或专用章，并标注有CMA或CNAS标志），否则不得分。</w:t>
            </w:r>
          </w:p>
        </w:tc>
        <w:tc>
          <w:tcPr>
            <w:tcW w:w="1186" w:type="dxa"/>
            <w:noWrap/>
            <w:vAlign w:val="center"/>
          </w:tcPr>
          <w:p w14:paraId="1B34488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14:paraId="19E8E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82" w:type="dxa"/>
            <w:noWrap/>
            <w:vAlign w:val="center"/>
          </w:tcPr>
          <w:p w14:paraId="122A4184">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19</w:t>
            </w:r>
          </w:p>
        </w:tc>
        <w:tc>
          <w:tcPr>
            <w:tcW w:w="6840" w:type="dxa"/>
            <w:noWrap/>
            <w:vAlign w:val="center"/>
          </w:tcPr>
          <w:p w14:paraId="65EE1C4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供应商提供的</w:t>
            </w:r>
            <w:r>
              <w:rPr>
                <w:rFonts w:hint="eastAsia" w:ascii="宋体" w:hAnsi="宋体" w:cs="宋体"/>
                <w:b/>
                <w:bCs/>
                <w:color w:val="auto"/>
                <w:sz w:val="24"/>
                <w:szCs w:val="24"/>
                <w:highlight w:val="none"/>
              </w:rPr>
              <w:t>明厨亮灶设备（网络摄像机）</w:t>
            </w:r>
            <w:r>
              <w:rPr>
                <w:rFonts w:hint="eastAsia" w:ascii="宋体" w:hAnsi="宋体" w:cs="宋体"/>
                <w:color w:val="auto"/>
                <w:sz w:val="24"/>
                <w:szCs w:val="24"/>
                <w:highlight w:val="none"/>
              </w:rPr>
              <w:t>的主要技术参数及要求响应情况：①监控摄像机的主输出基本接口为10/100M或10/100/100M以太网接口，应符合IEEE802.3标准，采用RJ45连接；可选用射频无线接口或光纤接口连接；②最大亮度鉴别等级试验≥10级；③亮度信号信噪比试验≥53.0dB； ④摄像机具备报警功能，且静电放电抗扰度试验符合GB/T 17626.2-2006中试验等级3的规定，试验期间，被测样品不应损坏、故障或发生状态改变，试验后设备应正常工作。每满足1项得0.5分，满分2分。提供国家认可的检验检测机构出具的检验检测报告有效复印件佐证（报告需加盖检验检测机构公章或专用章，并标注有CMA或CNAS标志），否则不得分。</w:t>
            </w:r>
          </w:p>
        </w:tc>
        <w:tc>
          <w:tcPr>
            <w:tcW w:w="1186" w:type="dxa"/>
            <w:noWrap/>
            <w:vAlign w:val="center"/>
          </w:tcPr>
          <w:p w14:paraId="1056389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14:paraId="1AFB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7" w:hRule="atLeast"/>
          <w:jc w:val="center"/>
        </w:trPr>
        <w:tc>
          <w:tcPr>
            <w:tcW w:w="782" w:type="dxa"/>
            <w:noWrap/>
            <w:vAlign w:val="center"/>
          </w:tcPr>
          <w:p w14:paraId="3BEDBD63">
            <w:pPr>
              <w:pStyle w:val="24"/>
              <w:spacing w:line="360" w:lineRule="auto"/>
              <w:jc w:val="center"/>
              <w:rPr>
                <w:rFonts w:ascii="宋体" w:hAnsi="宋体" w:cs="宋体"/>
                <w:color w:val="auto"/>
                <w:sz w:val="24"/>
                <w:highlight w:val="none"/>
              </w:rPr>
            </w:pPr>
            <w:r>
              <w:rPr>
                <w:rFonts w:hint="eastAsia" w:ascii="宋体" w:hAnsi="宋体" w:cs="宋体"/>
                <w:color w:val="auto"/>
                <w:sz w:val="24"/>
                <w:highlight w:val="none"/>
              </w:rPr>
              <w:t>20</w:t>
            </w:r>
          </w:p>
        </w:tc>
        <w:tc>
          <w:tcPr>
            <w:tcW w:w="6840" w:type="dxa"/>
            <w:noWrap/>
            <w:vAlign w:val="center"/>
          </w:tcPr>
          <w:p w14:paraId="01B0591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承诺已根据现场实际情况对本项目的工程量清单进行核对并确认无漏项，有漏项则已含在总报价中，成交后按本项目的采购范围进行施工，除采购人提出变更外不再提出增补要求，否则采购人有权终止合同，提供书面承诺并加盖磋商响应供应商公章的得2分，未提供得分。</w:t>
            </w:r>
          </w:p>
        </w:tc>
        <w:tc>
          <w:tcPr>
            <w:tcW w:w="1186" w:type="dxa"/>
            <w:noWrap/>
            <w:vAlign w:val="center"/>
          </w:tcPr>
          <w:p w14:paraId="05604DE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14:paraId="0E836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8808" w:type="dxa"/>
            <w:gridSpan w:val="3"/>
            <w:noWrap/>
            <w:vAlign w:val="center"/>
          </w:tcPr>
          <w:p w14:paraId="498E604C">
            <w:pPr>
              <w:spacing w:line="360" w:lineRule="auto"/>
              <w:ind w:firstLine="480" w:firstLineChars="200"/>
              <w:jc w:val="left"/>
              <w:outlineLvl w:val="0"/>
              <w:rPr>
                <w:rFonts w:ascii="宋体" w:hAnsi="宋体" w:cs="宋体"/>
                <w:color w:val="auto"/>
                <w:sz w:val="24"/>
                <w:szCs w:val="24"/>
                <w:highlight w:val="none"/>
              </w:rPr>
            </w:pPr>
            <w:bookmarkStart w:id="38" w:name="_Toc912"/>
            <w:bookmarkStart w:id="39" w:name="_Toc113663112"/>
            <w:bookmarkStart w:id="40" w:name="_Toc10073"/>
            <w:r>
              <w:rPr>
                <w:rFonts w:hint="eastAsia" w:ascii="宋体" w:hAnsi="宋体" w:cs="宋体"/>
                <w:color w:val="auto"/>
                <w:sz w:val="24"/>
                <w:szCs w:val="24"/>
                <w:highlight w:val="none"/>
              </w:rPr>
              <w:t>说明：</w:t>
            </w:r>
            <w:r>
              <w:rPr>
                <w:rFonts w:hint="eastAsia" w:ascii="宋体" w:hAnsi="宋体" w:cs="宋体"/>
                <w:color w:val="auto"/>
                <w:kern w:val="0"/>
                <w:sz w:val="24"/>
                <w:szCs w:val="24"/>
                <w:highlight w:val="none"/>
              </w:rPr>
              <w:t>报价人应提供证明材料并标注对应关系，未按要求提供证明材料的，认定该项技术指标不得分；报价人</w:t>
            </w:r>
            <w:r>
              <w:rPr>
                <w:rFonts w:hint="eastAsia" w:ascii="宋体" w:hAnsi="宋体" w:cs="宋体"/>
                <w:color w:val="auto"/>
                <w:sz w:val="24"/>
                <w:szCs w:val="24"/>
                <w:highlight w:val="none"/>
              </w:rPr>
              <w:t>应如实表述其工程的技术指标，如</w:t>
            </w:r>
            <w:r>
              <w:rPr>
                <w:rFonts w:hint="eastAsia" w:ascii="宋体" w:hAnsi="宋体" w:cs="宋体"/>
                <w:color w:val="auto"/>
                <w:kern w:val="0"/>
                <w:sz w:val="24"/>
                <w:szCs w:val="24"/>
                <w:highlight w:val="none"/>
              </w:rPr>
              <w:t>报价人</w:t>
            </w:r>
            <w:r>
              <w:rPr>
                <w:rFonts w:hint="eastAsia" w:ascii="宋体" w:hAnsi="宋体" w:cs="宋体"/>
                <w:color w:val="auto"/>
                <w:sz w:val="24"/>
                <w:szCs w:val="24"/>
                <w:highlight w:val="none"/>
              </w:rPr>
              <w:t>复制采购文件的磋商内容作为其报价文件组成内容的，磋商小组将对其作出不利的评审。</w:t>
            </w:r>
            <w:bookmarkEnd w:id="37"/>
            <w:bookmarkEnd w:id="38"/>
            <w:bookmarkEnd w:id="39"/>
            <w:bookmarkEnd w:id="40"/>
          </w:p>
        </w:tc>
      </w:tr>
    </w:tbl>
    <w:p w14:paraId="67FF8849">
      <w:pPr>
        <w:pStyle w:val="5"/>
        <w:snapToGrid w:val="0"/>
        <w:spacing w:line="360" w:lineRule="auto"/>
        <w:ind w:firstLine="0"/>
        <w:rPr>
          <w:rFonts w:cs="宋体"/>
          <w:b/>
          <w:color w:val="auto"/>
          <w:sz w:val="24"/>
          <w:szCs w:val="24"/>
          <w:highlight w:val="none"/>
        </w:rPr>
      </w:pPr>
      <w:r>
        <w:rPr>
          <w:rFonts w:hint="eastAsia" w:cs="宋体"/>
          <w:b/>
          <w:color w:val="auto"/>
          <w:sz w:val="24"/>
          <w:szCs w:val="24"/>
          <w:highlight w:val="none"/>
        </w:rPr>
        <w:t>（二）商务评分（F2）标准（满分25分）：</w:t>
      </w:r>
    </w:p>
    <w:tbl>
      <w:tblPr>
        <w:tblStyle w:val="17"/>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6911"/>
        <w:gridCol w:w="1190"/>
      </w:tblGrid>
      <w:tr w14:paraId="1858C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noWrap/>
            <w:vAlign w:val="center"/>
          </w:tcPr>
          <w:p w14:paraId="563F3CD8">
            <w:pPr>
              <w:pStyle w:val="25"/>
              <w:spacing w:line="360" w:lineRule="auto"/>
              <w:jc w:val="left"/>
              <w:rPr>
                <w:rFonts w:ascii="宋体" w:hAnsi="宋体" w:cs="宋体"/>
                <w:bCs/>
                <w:color w:val="auto"/>
                <w:kern w:val="2"/>
                <w:szCs w:val="24"/>
                <w:highlight w:val="none"/>
              </w:rPr>
            </w:pPr>
            <w:r>
              <w:rPr>
                <w:rFonts w:hint="eastAsia" w:ascii="宋体" w:hAnsi="宋体" w:cs="宋体"/>
                <w:bCs/>
                <w:color w:val="auto"/>
                <w:kern w:val="2"/>
                <w:szCs w:val="24"/>
                <w:highlight w:val="none"/>
              </w:rPr>
              <w:t>序号</w:t>
            </w:r>
          </w:p>
        </w:tc>
        <w:tc>
          <w:tcPr>
            <w:tcW w:w="6911" w:type="dxa"/>
            <w:noWrap/>
            <w:vAlign w:val="center"/>
          </w:tcPr>
          <w:p w14:paraId="2024DC00">
            <w:pPr>
              <w:pStyle w:val="25"/>
              <w:spacing w:line="360" w:lineRule="auto"/>
              <w:rPr>
                <w:rFonts w:ascii="宋体" w:hAnsi="宋体" w:cs="宋体"/>
                <w:bCs/>
                <w:color w:val="auto"/>
                <w:kern w:val="2"/>
                <w:szCs w:val="24"/>
                <w:highlight w:val="none"/>
              </w:rPr>
            </w:pPr>
            <w:r>
              <w:rPr>
                <w:rFonts w:hint="eastAsia" w:ascii="宋体" w:hAnsi="宋体" w:cs="宋体"/>
                <w:bCs/>
                <w:color w:val="auto"/>
                <w:kern w:val="2"/>
                <w:szCs w:val="24"/>
                <w:highlight w:val="none"/>
              </w:rPr>
              <w:t>评分界定</w:t>
            </w:r>
          </w:p>
        </w:tc>
        <w:tc>
          <w:tcPr>
            <w:tcW w:w="1190" w:type="dxa"/>
            <w:noWrap/>
            <w:vAlign w:val="center"/>
          </w:tcPr>
          <w:p w14:paraId="5C0F45E4">
            <w:pPr>
              <w:pStyle w:val="25"/>
              <w:spacing w:line="360" w:lineRule="auto"/>
              <w:rPr>
                <w:rFonts w:ascii="宋体" w:hAnsi="宋体" w:cs="宋体"/>
                <w:bCs/>
                <w:color w:val="auto"/>
                <w:kern w:val="2"/>
                <w:szCs w:val="24"/>
                <w:highlight w:val="none"/>
              </w:rPr>
            </w:pPr>
            <w:r>
              <w:rPr>
                <w:rFonts w:hint="eastAsia" w:ascii="宋体" w:hAnsi="宋体" w:cs="宋体"/>
                <w:bCs/>
                <w:color w:val="auto"/>
                <w:kern w:val="2"/>
                <w:szCs w:val="24"/>
                <w:highlight w:val="none"/>
              </w:rPr>
              <w:t>满分分值</w:t>
            </w:r>
          </w:p>
        </w:tc>
      </w:tr>
      <w:tr w14:paraId="7AF44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707" w:type="dxa"/>
            <w:noWrap/>
            <w:vAlign w:val="center"/>
          </w:tcPr>
          <w:p w14:paraId="0070821D">
            <w:pPr>
              <w:pStyle w:val="25"/>
              <w:spacing w:line="360" w:lineRule="auto"/>
              <w:rPr>
                <w:rFonts w:hint="eastAsia" w:ascii="宋体" w:hAnsi="宋体" w:eastAsia="宋体" w:cs="宋体"/>
                <w:b w:val="0"/>
                <w:color w:val="auto"/>
                <w:kern w:val="2"/>
                <w:szCs w:val="24"/>
                <w:highlight w:val="none"/>
                <w:lang w:eastAsia="zh-CN"/>
              </w:rPr>
            </w:pPr>
            <w:r>
              <w:rPr>
                <w:rFonts w:hint="eastAsia" w:ascii="宋体" w:hAnsi="宋体" w:cs="宋体"/>
                <w:b w:val="0"/>
                <w:color w:val="auto"/>
                <w:kern w:val="2"/>
                <w:szCs w:val="24"/>
                <w:highlight w:val="none"/>
                <w:lang w:val="en-US" w:eastAsia="zh-CN"/>
              </w:rPr>
              <w:t>1</w:t>
            </w:r>
          </w:p>
        </w:tc>
        <w:tc>
          <w:tcPr>
            <w:tcW w:w="6911" w:type="dxa"/>
            <w:noWrap/>
            <w:vAlign w:val="center"/>
          </w:tcPr>
          <w:p w14:paraId="3F6E838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供应商承诺项目实施过程中能够配合采购人提出的合理意见并接受采购人监督的得3分，供应商应提供书面承诺函，否则不得分。</w:t>
            </w:r>
          </w:p>
        </w:tc>
        <w:tc>
          <w:tcPr>
            <w:tcW w:w="1190" w:type="dxa"/>
            <w:noWrap/>
            <w:vAlign w:val="center"/>
          </w:tcPr>
          <w:p w14:paraId="537648FE">
            <w:pPr>
              <w:pStyle w:val="25"/>
              <w:spacing w:line="360" w:lineRule="auto"/>
              <w:rPr>
                <w:rFonts w:ascii="宋体" w:hAnsi="宋体" w:cs="宋体"/>
                <w:b w:val="0"/>
                <w:color w:val="auto"/>
                <w:kern w:val="2"/>
                <w:szCs w:val="24"/>
                <w:highlight w:val="none"/>
              </w:rPr>
            </w:pPr>
            <w:r>
              <w:rPr>
                <w:rFonts w:hint="eastAsia" w:ascii="宋体" w:hAnsi="宋体" w:cs="宋体"/>
                <w:b w:val="0"/>
                <w:color w:val="auto"/>
                <w:kern w:val="2"/>
                <w:szCs w:val="24"/>
                <w:highlight w:val="none"/>
              </w:rPr>
              <w:t>3</w:t>
            </w:r>
          </w:p>
        </w:tc>
      </w:tr>
      <w:tr w14:paraId="3972E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707" w:type="dxa"/>
            <w:noWrap/>
            <w:vAlign w:val="center"/>
          </w:tcPr>
          <w:p w14:paraId="662EF5DF">
            <w:pPr>
              <w:pStyle w:val="25"/>
              <w:spacing w:line="360" w:lineRule="auto"/>
              <w:rPr>
                <w:rFonts w:hint="eastAsia" w:ascii="宋体" w:hAnsi="宋体" w:eastAsia="宋体" w:cs="宋体"/>
                <w:b w:val="0"/>
                <w:color w:val="auto"/>
                <w:kern w:val="2"/>
                <w:szCs w:val="24"/>
                <w:highlight w:val="none"/>
                <w:lang w:eastAsia="zh-CN"/>
              </w:rPr>
            </w:pPr>
            <w:r>
              <w:rPr>
                <w:rFonts w:hint="eastAsia" w:ascii="宋体" w:hAnsi="宋体" w:cs="宋体"/>
                <w:b w:val="0"/>
                <w:color w:val="auto"/>
                <w:kern w:val="2"/>
                <w:szCs w:val="24"/>
                <w:highlight w:val="none"/>
                <w:lang w:val="en-US" w:eastAsia="zh-CN"/>
              </w:rPr>
              <w:t>2</w:t>
            </w:r>
          </w:p>
        </w:tc>
        <w:tc>
          <w:tcPr>
            <w:tcW w:w="6911" w:type="dxa"/>
            <w:noWrap/>
            <w:vAlign w:val="center"/>
          </w:tcPr>
          <w:p w14:paraId="2E041E5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供应商承诺项目验收完成后，供应商需对施工现场进行清理，清理干净并经采购人确认后方可撤离现场，提供书面承诺的得</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分，否则不得分。</w:t>
            </w:r>
          </w:p>
        </w:tc>
        <w:tc>
          <w:tcPr>
            <w:tcW w:w="1190" w:type="dxa"/>
            <w:noWrap/>
            <w:vAlign w:val="center"/>
          </w:tcPr>
          <w:p w14:paraId="45634F57">
            <w:pPr>
              <w:pStyle w:val="25"/>
              <w:spacing w:line="360" w:lineRule="auto"/>
              <w:rPr>
                <w:rFonts w:hint="eastAsia" w:ascii="宋体" w:hAnsi="宋体" w:eastAsia="宋体" w:cs="宋体"/>
                <w:b w:val="0"/>
                <w:color w:val="auto"/>
                <w:kern w:val="2"/>
                <w:szCs w:val="24"/>
                <w:highlight w:val="none"/>
                <w:lang w:eastAsia="zh-CN"/>
              </w:rPr>
            </w:pPr>
            <w:r>
              <w:rPr>
                <w:rFonts w:hint="eastAsia" w:ascii="宋体" w:hAnsi="宋体" w:cs="宋体"/>
                <w:b w:val="0"/>
                <w:color w:val="auto"/>
                <w:kern w:val="2"/>
                <w:szCs w:val="24"/>
                <w:highlight w:val="none"/>
                <w:lang w:val="en-US" w:eastAsia="zh-CN"/>
              </w:rPr>
              <w:t>3</w:t>
            </w:r>
          </w:p>
        </w:tc>
      </w:tr>
      <w:tr w14:paraId="430E8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707" w:type="dxa"/>
            <w:noWrap/>
            <w:vAlign w:val="center"/>
          </w:tcPr>
          <w:p w14:paraId="3AF92445">
            <w:pPr>
              <w:pStyle w:val="25"/>
              <w:spacing w:line="360" w:lineRule="auto"/>
              <w:rPr>
                <w:rFonts w:hint="eastAsia" w:ascii="宋体" w:hAnsi="宋体" w:eastAsia="宋体" w:cs="宋体"/>
                <w:b w:val="0"/>
                <w:color w:val="auto"/>
                <w:kern w:val="2"/>
                <w:szCs w:val="24"/>
                <w:highlight w:val="none"/>
                <w:lang w:eastAsia="zh-CN"/>
              </w:rPr>
            </w:pPr>
            <w:bookmarkStart w:id="41" w:name="_Toc13985"/>
            <w:r>
              <w:rPr>
                <w:rFonts w:hint="eastAsia" w:ascii="宋体" w:hAnsi="宋体" w:cs="宋体"/>
                <w:b w:val="0"/>
                <w:color w:val="auto"/>
                <w:kern w:val="2"/>
                <w:szCs w:val="24"/>
                <w:highlight w:val="none"/>
                <w:lang w:val="en-US" w:eastAsia="zh-CN"/>
              </w:rPr>
              <w:t>3</w:t>
            </w:r>
          </w:p>
        </w:tc>
        <w:tc>
          <w:tcPr>
            <w:tcW w:w="6911" w:type="dxa"/>
            <w:noWrap/>
            <w:vAlign w:val="center"/>
          </w:tcPr>
          <w:p w14:paraId="6DE44A4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供应商承诺：在施工期间为驻场施工人员购买施工意外保险的得3分；需提供书面承诺，否则不得分。</w:t>
            </w:r>
          </w:p>
        </w:tc>
        <w:tc>
          <w:tcPr>
            <w:tcW w:w="1190" w:type="dxa"/>
            <w:noWrap/>
            <w:vAlign w:val="center"/>
          </w:tcPr>
          <w:p w14:paraId="1AECAFAF">
            <w:pPr>
              <w:pStyle w:val="25"/>
              <w:spacing w:line="360" w:lineRule="auto"/>
              <w:rPr>
                <w:rFonts w:ascii="宋体" w:hAnsi="宋体" w:cs="宋体"/>
                <w:b w:val="0"/>
                <w:color w:val="auto"/>
                <w:kern w:val="2"/>
                <w:szCs w:val="24"/>
                <w:highlight w:val="none"/>
              </w:rPr>
            </w:pPr>
            <w:r>
              <w:rPr>
                <w:rFonts w:hint="eastAsia" w:ascii="宋体" w:hAnsi="宋体" w:cs="宋体"/>
                <w:b w:val="0"/>
                <w:color w:val="auto"/>
                <w:kern w:val="2"/>
                <w:szCs w:val="24"/>
                <w:highlight w:val="none"/>
              </w:rPr>
              <w:t>3</w:t>
            </w:r>
          </w:p>
        </w:tc>
      </w:tr>
      <w:tr w14:paraId="1C1EA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Merge w:val="restart"/>
            <w:noWrap/>
            <w:vAlign w:val="center"/>
          </w:tcPr>
          <w:p w14:paraId="3916DE76">
            <w:pPr>
              <w:pStyle w:val="25"/>
              <w:spacing w:line="360" w:lineRule="auto"/>
              <w:rPr>
                <w:rFonts w:hint="eastAsia" w:ascii="宋体" w:hAnsi="宋体" w:eastAsia="宋体" w:cs="宋体"/>
                <w:b w:val="0"/>
                <w:color w:val="auto"/>
                <w:kern w:val="2"/>
                <w:szCs w:val="24"/>
                <w:highlight w:val="none"/>
                <w:lang w:eastAsia="zh-CN"/>
              </w:rPr>
            </w:pPr>
            <w:r>
              <w:rPr>
                <w:rFonts w:hint="eastAsia" w:ascii="宋体" w:hAnsi="宋体" w:cs="宋体"/>
                <w:b w:val="0"/>
                <w:color w:val="auto"/>
                <w:kern w:val="2"/>
                <w:szCs w:val="24"/>
                <w:highlight w:val="none"/>
                <w:lang w:val="en-US" w:eastAsia="zh-CN"/>
              </w:rPr>
              <w:t>4</w:t>
            </w:r>
          </w:p>
        </w:tc>
        <w:tc>
          <w:tcPr>
            <w:tcW w:w="6911" w:type="dxa"/>
            <w:noWrap/>
            <w:vAlign w:val="center"/>
          </w:tcPr>
          <w:p w14:paraId="19206D3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供应商的保修服务：</w:t>
            </w:r>
          </w:p>
          <w:p w14:paraId="487EC0A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①根据供应商提供的保修服务方案（包括但不限于服务人员配备情况、保修范围、保修方案）进行综合评价：提供有保修服务方案的得1分，在此基础上能够结合本项目具体情况，提供详尽完善的保修方案，并配备有相关服务人员，为采购人提供切实保修服务保障的得3分；未提供或不可行的不得分。</w:t>
            </w:r>
          </w:p>
        </w:tc>
        <w:tc>
          <w:tcPr>
            <w:tcW w:w="1190" w:type="dxa"/>
            <w:noWrap/>
            <w:vAlign w:val="center"/>
          </w:tcPr>
          <w:p w14:paraId="4AB2577B">
            <w:pPr>
              <w:pStyle w:val="25"/>
              <w:spacing w:line="360" w:lineRule="auto"/>
              <w:rPr>
                <w:rFonts w:ascii="宋体" w:hAnsi="宋体" w:cs="宋体"/>
                <w:b w:val="0"/>
                <w:color w:val="auto"/>
                <w:kern w:val="2"/>
                <w:szCs w:val="24"/>
                <w:highlight w:val="none"/>
              </w:rPr>
            </w:pPr>
            <w:r>
              <w:rPr>
                <w:rFonts w:hint="eastAsia" w:ascii="宋体" w:hAnsi="宋体" w:cs="宋体"/>
                <w:b w:val="0"/>
                <w:color w:val="auto"/>
                <w:kern w:val="2"/>
                <w:szCs w:val="24"/>
                <w:highlight w:val="none"/>
              </w:rPr>
              <w:t>3</w:t>
            </w:r>
          </w:p>
        </w:tc>
      </w:tr>
      <w:tr w14:paraId="6B51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707" w:type="dxa"/>
            <w:vMerge w:val="continue"/>
            <w:noWrap/>
            <w:vAlign w:val="center"/>
          </w:tcPr>
          <w:p w14:paraId="1ECBD5E9">
            <w:pPr>
              <w:pStyle w:val="25"/>
              <w:spacing w:line="360" w:lineRule="auto"/>
              <w:rPr>
                <w:rFonts w:ascii="宋体" w:hAnsi="宋体" w:cs="宋体"/>
                <w:b w:val="0"/>
                <w:color w:val="auto"/>
                <w:kern w:val="2"/>
                <w:szCs w:val="24"/>
                <w:highlight w:val="none"/>
              </w:rPr>
            </w:pPr>
          </w:p>
        </w:tc>
        <w:tc>
          <w:tcPr>
            <w:tcW w:w="6911" w:type="dxa"/>
            <w:noWrap/>
            <w:vAlign w:val="center"/>
          </w:tcPr>
          <w:p w14:paraId="7C02A32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②供应商书面承诺：保修服务响应时间2小时内（含2小时）响应并达到现场处理的得3分，2小时以上响应并达到现场处理的得1分，否则不得分。</w:t>
            </w:r>
          </w:p>
        </w:tc>
        <w:tc>
          <w:tcPr>
            <w:tcW w:w="1190" w:type="dxa"/>
            <w:noWrap/>
            <w:vAlign w:val="center"/>
          </w:tcPr>
          <w:p w14:paraId="22326FB0">
            <w:pPr>
              <w:pStyle w:val="25"/>
              <w:spacing w:line="360" w:lineRule="auto"/>
              <w:rPr>
                <w:rFonts w:ascii="宋体" w:hAnsi="宋体" w:cs="宋体"/>
                <w:b w:val="0"/>
                <w:color w:val="auto"/>
                <w:kern w:val="2"/>
                <w:szCs w:val="24"/>
                <w:highlight w:val="none"/>
              </w:rPr>
            </w:pPr>
            <w:r>
              <w:rPr>
                <w:rFonts w:hint="eastAsia" w:ascii="宋体" w:hAnsi="宋体" w:cs="宋体"/>
                <w:b w:val="0"/>
                <w:color w:val="auto"/>
                <w:kern w:val="2"/>
                <w:szCs w:val="24"/>
                <w:highlight w:val="none"/>
              </w:rPr>
              <w:t>3</w:t>
            </w:r>
          </w:p>
        </w:tc>
      </w:tr>
      <w:tr w14:paraId="01463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07" w:type="dxa"/>
            <w:vMerge w:val="continue"/>
            <w:noWrap/>
            <w:vAlign w:val="center"/>
          </w:tcPr>
          <w:p w14:paraId="6615E61B">
            <w:pPr>
              <w:pStyle w:val="25"/>
              <w:spacing w:line="360" w:lineRule="auto"/>
              <w:rPr>
                <w:rFonts w:ascii="宋体" w:hAnsi="宋体" w:cs="宋体"/>
                <w:b w:val="0"/>
                <w:color w:val="auto"/>
                <w:kern w:val="2"/>
                <w:szCs w:val="24"/>
                <w:highlight w:val="none"/>
              </w:rPr>
            </w:pPr>
          </w:p>
        </w:tc>
        <w:tc>
          <w:tcPr>
            <w:tcW w:w="6911" w:type="dxa"/>
            <w:noWrap/>
            <w:vAlign w:val="center"/>
          </w:tcPr>
          <w:p w14:paraId="06F7E9A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③供应商提供交付期承诺：满足磋商文件要求的基础上，承诺交付期每提前2天的得1分，满分</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分。</w:t>
            </w:r>
          </w:p>
        </w:tc>
        <w:tc>
          <w:tcPr>
            <w:tcW w:w="1190" w:type="dxa"/>
            <w:noWrap/>
            <w:vAlign w:val="center"/>
          </w:tcPr>
          <w:p w14:paraId="0C50F5AE">
            <w:pPr>
              <w:pStyle w:val="25"/>
              <w:spacing w:line="360" w:lineRule="auto"/>
              <w:rPr>
                <w:rFonts w:hint="eastAsia" w:ascii="宋体" w:hAnsi="宋体" w:eastAsia="宋体" w:cs="宋体"/>
                <w:b w:val="0"/>
                <w:color w:val="auto"/>
                <w:kern w:val="2"/>
                <w:szCs w:val="24"/>
                <w:highlight w:val="none"/>
                <w:lang w:eastAsia="zh-CN"/>
              </w:rPr>
            </w:pPr>
            <w:r>
              <w:rPr>
                <w:rFonts w:hint="eastAsia" w:ascii="宋体" w:hAnsi="宋体" w:cs="宋体"/>
                <w:b w:val="0"/>
                <w:color w:val="auto"/>
                <w:kern w:val="2"/>
                <w:szCs w:val="24"/>
                <w:highlight w:val="none"/>
                <w:lang w:val="en-US" w:eastAsia="zh-CN"/>
              </w:rPr>
              <w:t>3</w:t>
            </w:r>
          </w:p>
        </w:tc>
      </w:tr>
      <w:tr w14:paraId="7A1CD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707" w:type="dxa"/>
            <w:vMerge w:val="continue"/>
            <w:noWrap/>
            <w:vAlign w:val="center"/>
          </w:tcPr>
          <w:p w14:paraId="253922A7">
            <w:pPr>
              <w:pStyle w:val="25"/>
              <w:spacing w:line="360" w:lineRule="auto"/>
              <w:rPr>
                <w:rFonts w:ascii="宋体" w:hAnsi="宋体" w:cs="宋体"/>
                <w:b w:val="0"/>
                <w:color w:val="auto"/>
                <w:kern w:val="2"/>
                <w:szCs w:val="24"/>
                <w:highlight w:val="none"/>
              </w:rPr>
            </w:pPr>
          </w:p>
        </w:tc>
        <w:tc>
          <w:tcPr>
            <w:tcW w:w="6911" w:type="dxa"/>
            <w:noWrap/>
            <w:vAlign w:val="center"/>
          </w:tcPr>
          <w:p w14:paraId="179CEB7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④供应商应为本项目提供本地化保修服务，供应商可提供合作单位协议或者自身机构的营业执照证明，也可以提供在本地设立的项目部、办公室、办事处等机构证明，或者承诺成交后5个工作日内提供本地化服务保障并提供具体措施的得3分，否则不得分。【注：如提供承诺函的供应商若成交，但成交后未按承诺函履行承诺，则视为虚假承诺，采购人将单方取消供应商成交资格，给采购人造成损失的，则还要承担相应的赔偿责任。】</w:t>
            </w:r>
          </w:p>
        </w:tc>
        <w:tc>
          <w:tcPr>
            <w:tcW w:w="1190" w:type="dxa"/>
            <w:noWrap/>
            <w:vAlign w:val="center"/>
          </w:tcPr>
          <w:p w14:paraId="600922E7">
            <w:pPr>
              <w:pStyle w:val="25"/>
              <w:spacing w:line="360" w:lineRule="auto"/>
              <w:rPr>
                <w:rFonts w:ascii="宋体" w:hAnsi="宋体" w:cs="宋体"/>
                <w:b w:val="0"/>
                <w:color w:val="auto"/>
                <w:kern w:val="2"/>
                <w:szCs w:val="24"/>
                <w:highlight w:val="none"/>
              </w:rPr>
            </w:pPr>
            <w:r>
              <w:rPr>
                <w:rFonts w:hint="eastAsia" w:ascii="宋体" w:hAnsi="宋体" w:cs="宋体"/>
                <w:b w:val="0"/>
                <w:color w:val="auto"/>
                <w:kern w:val="2"/>
                <w:szCs w:val="24"/>
                <w:highlight w:val="none"/>
              </w:rPr>
              <w:t>3</w:t>
            </w:r>
          </w:p>
        </w:tc>
      </w:tr>
      <w:tr w14:paraId="0A355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707" w:type="dxa"/>
            <w:noWrap/>
            <w:vAlign w:val="center"/>
          </w:tcPr>
          <w:p w14:paraId="151EC240">
            <w:pPr>
              <w:pStyle w:val="25"/>
              <w:spacing w:line="360" w:lineRule="auto"/>
              <w:rPr>
                <w:rFonts w:hint="eastAsia" w:ascii="宋体" w:hAnsi="宋体" w:eastAsia="宋体" w:cs="宋体"/>
                <w:b w:val="0"/>
                <w:color w:val="auto"/>
                <w:kern w:val="2"/>
                <w:szCs w:val="24"/>
                <w:highlight w:val="none"/>
                <w:lang w:eastAsia="zh-CN"/>
              </w:rPr>
            </w:pPr>
            <w:r>
              <w:rPr>
                <w:rFonts w:hint="eastAsia" w:ascii="宋体" w:hAnsi="宋体" w:cs="宋体"/>
                <w:b w:val="0"/>
                <w:color w:val="auto"/>
                <w:kern w:val="2"/>
                <w:szCs w:val="24"/>
                <w:highlight w:val="none"/>
                <w:lang w:val="en-US" w:eastAsia="zh-CN"/>
              </w:rPr>
              <w:t>5</w:t>
            </w:r>
          </w:p>
        </w:tc>
        <w:tc>
          <w:tcPr>
            <w:tcW w:w="6911" w:type="dxa"/>
            <w:noWrap/>
            <w:vAlign w:val="center"/>
          </w:tcPr>
          <w:p w14:paraId="4FDE865E">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类似业绩、经验：</w:t>
            </w:r>
          </w:p>
          <w:p w14:paraId="092021F7">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根据供应商2021年至今（以合同签订时间为准）完成类似装修项目的业绩经验的证明文件进行评价：每个有效业绩得</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分，满分</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分。</w:t>
            </w:r>
          </w:p>
          <w:p w14:paraId="0351426E">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说明：有效证明文件完整包括该业绩的成交（中标）公告[提供相关网站成交（中标）公告的下载网页及其网址]、成交（中标）通知书复印件、采购合同文本复印件，以及能够证明该业绩项目已经采购人验收合格的相关证明文件复印件，原件备查；如未按照磋商文件要求提供该项业绩完整资料的，磋商小组对该项业绩将不予采信。】</w:t>
            </w:r>
          </w:p>
        </w:tc>
        <w:tc>
          <w:tcPr>
            <w:tcW w:w="1190" w:type="dxa"/>
            <w:noWrap/>
            <w:vAlign w:val="center"/>
          </w:tcPr>
          <w:p w14:paraId="25902C47">
            <w:pPr>
              <w:pStyle w:val="25"/>
              <w:spacing w:line="360" w:lineRule="auto"/>
              <w:rPr>
                <w:rFonts w:hint="eastAsia" w:ascii="宋体" w:hAnsi="宋体" w:eastAsia="宋体" w:cs="宋体"/>
                <w:b w:val="0"/>
                <w:color w:val="auto"/>
                <w:kern w:val="2"/>
                <w:szCs w:val="24"/>
                <w:highlight w:val="none"/>
                <w:lang w:eastAsia="zh-CN"/>
              </w:rPr>
            </w:pPr>
            <w:r>
              <w:rPr>
                <w:rFonts w:hint="eastAsia" w:ascii="宋体" w:hAnsi="宋体" w:cs="宋体"/>
                <w:b w:val="0"/>
                <w:color w:val="auto"/>
                <w:kern w:val="2"/>
                <w:szCs w:val="24"/>
                <w:highlight w:val="none"/>
                <w:lang w:val="en-US" w:eastAsia="zh-CN"/>
              </w:rPr>
              <w:t>4</w:t>
            </w:r>
          </w:p>
        </w:tc>
      </w:tr>
      <w:tr w14:paraId="3972E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808" w:type="dxa"/>
            <w:gridSpan w:val="3"/>
            <w:noWrap/>
            <w:vAlign w:val="center"/>
          </w:tcPr>
          <w:p w14:paraId="6760B032">
            <w:pPr>
              <w:spacing w:line="360" w:lineRule="auto"/>
              <w:ind w:firstLine="480" w:firstLineChars="200"/>
              <w:jc w:val="left"/>
              <w:outlineLvl w:val="0"/>
              <w:rPr>
                <w:rFonts w:ascii="宋体" w:hAnsi="宋体" w:cs="宋体"/>
                <w:color w:val="auto"/>
                <w:sz w:val="24"/>
                <w:szCs w:val="24"/>
                <w:highlight w:val="none"/>
              </w:rPr>
            </w:pPr>
            <w:bookmarkStart w:id="42" w:name="_Toc2043297821"/>
            <w:bookmarkStart w:id="43" w:name="_Toc26621"/>
            <w:bookmarkStart w:id="44" w:name="_Toc19581"/>
            <w:r>
              <w:rPr>
                <w:rFonts w:hint="eastAsia" w:ascii="宋体" w:hAnsi="宋体" w:cs="宋体"/>
                <w:color w:val="auto"/>
                <w:sz w:val="24"/>
                <w:szCs w:val="24"/>
                <w:highlight w:val="none"/>
              </w:rPr>
              <w:t>报价人须提供该业绩项目的中标（成交）公告（提供相关网站中标（成交）公告的下载网页及其网址）、中标（成交）通知书复印件、采购合同文本复印件，以及能够证明该业绩项目已经采购人验收合格的相关证明文件复印件，原件备查；如未按采购文件要求提供该项业绩完整资料的，评委对该项业绩应不予采信。</w:t>
            </w:r>
            <w:bookmarkEnd w:id="41"/>
            <w:bookmarkEnd w:id="42"/>
            <w:bookmarkEnd w:id="43"/>
            <w:bookmarkEnd w:id="44"/>
          </w:p>
        </w:tc>
      </w:tr>
      <w:tr w14:paraId="237AE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808" w:type="dxa"/>
            <w:gridSpan w:val="3"/>
            <w:noWrap/>
            <w:vAlign w:val="center"/>
          </w:tcPr>
          <w:p w14:paraId="7CDD1AAB">
            <w:pPr>
              <w:spacing w:line="360" w:lineRule="auto"/>
              <w:jc w:val="left"/>
              <w:outlineLvl w:val="0"/>
              <w:rPr>
                <w:rFonts w:ascii="宋体" w:hAnsi="宋体" w:cs="宋体"/>
                <w:b/>
                <w:color w:val="auto"/>
                <w:sz w:val="24"/>
                <w:szCs w:val="24"/>
                <w:highlight w:val="none"/>
              </w:rPr>
            </w:pPr>
            <w:bookmarkStart w:id="45" w:name="_Toc29254"/>
            <w:bookmarkStart w:id="46" w:name="_Toc874167989"/>
            <w:bookmarkStart w:id="47" w:name="_Toc10"/>
            <w:bookmarkStart w:id="48" w:name="_Toc27879"/>
            <w:r>
              <w:rPr>
                <w:rFonts w:hint="eastAsia" w:ascii="宋体" w:hAnsi="宋体" w:cs="宋体"/>
                <w:b/>
                <w:color w:val="auto"/>
                <w:sz w:val="24"/>
                <w:szCs w:val="24"/>
                <w:highlight w:val="none"/>
              </w:rPr>
              <w:t>（三）报价评分（F3）标准（满分10分）：</w:t>
            </w:r>
            <w:bookmarkEnd w:id="45"/>
            <w:bookmarkEnd w:id="46"/>
            <w:bookmarkEnd w:id="47"/>
            <w:bookmarkEnd w:id="48"/>
          </w:p>
          <w:p w14:paraId="2278A68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满足采购文件要求且有效标评审价最低的报价人的价格为磋商基准价，其价格分为满分。其他报价人的价格分统一按照公式：磋商报价得分=</w:t>
            </w:r>
            <w:r>
              <w:rPr>
                <w:rFonts w:hint="eastAsia" w:ascii="宋体" w:hAnsi="宋体" w:cs="宋体"/>
                <w:b/>
                <w:color w:val="auto"/>
                <w:sz w:val="24"/>
                <w:szCs w:val="24"/>
                <w:highlight w:val="none"/>
              </w:rPr>
              <w:t>10</w:t>
            </w:r>
            <w:r>
              <w:rPr>
                <w:rFonts w:hint="eastAsia" w:ascii="宋体" w:hAnsi="宋体" w:cs="宋体"/>
                <w:color w:val="auto"/>
                <w:sz w:val="24"/>
                <w:szCs w:val="24"/>
                <w:highlight w:val="none"/>
              </w:rPr>
              <w:t>×磋商基准价/报价人的评审价</w:t>
            </w:r>
          </w:p>
          <w:p w14:paraId="2CD19FEE">
            <w:pPr>
              <w:spacing w:line="360" w:lineRule="auto"/>
              <w:ind w:firstLine="480" w:firstLineChars="200"/>
              <w:jc w:val="left"/>
              <w:outlineLvl w:val="0"/>
              <w:rPr>
                <w:rFonts w:ascii="宋体" w:hAnsi="宋体" w:cs="宋体"/>
                <w:color w:val="auto"/>
                <w:sz w:val="24"/>
                <w:szCs w:val="24"/>
                <w:highlight w:val="none"/>
              </w:rPr>
            </w:pPr>
            <w:bookmarkStart w:id="49" w:name="_Toc27197"/>
            <w:bookmarkStart w:id="50" w:name="_Toc25903"/>
            <w:bookmarkStart w:id="51" w:name="_Toc1139536490"/>
            <w:bookmarkStart w:id="52" w:name="_Toc3607"/>
            <w:r>
              <w:rPr>
                <w:rFonts w:hint="eastAsia" w:ascii="宋体" w:hAnsi="宋体" w:cs="宋体"/>
                <w:color w:val="auto"/>
                <w:sz w:val="24"/>
                <w:szCs w:val="24"/>
                <w:highlight w:val="none"/>
              </w:rPr>
              <w:t>说明：最后磋商报价还需进行算术错误修正、</w:t>
            </w:r>
            <w:r>
              <w:rPr>
                <w:rFonts w:hint="eastAsia" w:ascii="宋体" w:hAnsi="宋体" w:cs="宋体"/>
                <w:color w:val="auto"/>
                <w:spacing w:val="-4"/>
                <w:sz w:val="24"/>
                <w:szCs w:val="24"/>
                <w:highlight w:val="none"/>
              </w:rPr>
              <w:t>漏（缺）项修正、</w:t>
            </w:r>
            <w:r>
              <w:rPr>
                <w:rFonts w:hint="eastAsia" w:ascii="宋体" w:hAnsi="宋体" w:cs="宋体"/>
                <w:color w:val="auto"/>
                <w:sz w:val="24"/>
                <w:szCs w:val="24"/>
                <w:highlight w:val="none"/>
              </w:rPr>
              <w:t>中小企业政策优惠扣除、“后一次的报价高于前</w:t>
            </w:r>
            <w:r>
              <w:rPr>
                <w:rFonts w:hint="eastAsia" w:ascii="宋体" w:hAnsi="宋体" w:cs="宋体"/>
                <w:color w:val="auto"/>
                <w:sz w:val="24"/>
                <w:szCs w:val="24"/>
                <w:highlight w:val="none"/>
              </w:rPr>
              <w:t>一次报价的，后一次的报价无效，以前一次的报价为准”的报价认定。</w:t>
            </w:r>
            <w:bookmarkEnd w:id="49"/>
            <w:bookmarkEnd w:id="50"/>
            <w:bookmarkEnd w:id="51"/>
            <w:bookmarkEnd w:id="52"/>
          </w:p>
        </w:tc>
      </w:tr>
    </w:tbl>
    <w:p w14:paraId="1B9DBA84">
      <w:pPr>
        <w:outlineLvl w:val="9"/>
        <w:rPr>
          <w:rFonts w:ascii="宋体" w:hAnsi="宋体" w:eastAsia="宋体" w:cs="宋体"/>
          <w:color w:val="auto"/>
          <w:sz w:val="24"/>
          <w:szCs w:val="24"/>
          <w:highlight w:val="none"/>
        </w:rPr>
      </w:pPr>
    </w:p>
    <w:p w14:paraId="12759A6A">
      <w:pPr>
        <w:outlineLvl w:val="9"/>
        <w:rPr>
          <w:rFonts w:ascii="宋体" w:hAnsi="宋体" w:eastAsia="宋体" w:cs="宋体"/>
          <w:color w:val="auto"/>
          <w:sz w:val="32"/>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bookmarkStart w:id="53" w:name="_Toc11972"/>
      <w:bookmarkStart w:id="54" w:name="_Toc6204"/>
    </w:p>
    <w:p w14:paraId="6209294D">
      <w:pPr>
        <w:pStyle w:val="3"/>
        <w:keepNext w:val="0"/>
        <w:keepLines w:val="0"/>
        <w:tabs>
          <w:tab w:val="center" w:pos="4365"/>
        </w:tabs>
        <w:spacing w:before="0" w:after="0" w:line="360" w:lineRule="auto"/>
        <w:jc w:val="center"/>
        <w:rPr>
          <w:rFonts w:ascii="宋体" w:hAnsi="宋体" w:eastAsia="宋体" w:cs="宋体"/>
          <w:color w:val="auto"/>
          <w:sz w:val="24"/>
          <w:szCs w:val="24"/>
          <w:highlight w:val="none"/>
        </w:rPr>
      </w:pPr>
      <w:bookmarkStart w:id="55" w:name="_Toc2968"/>
      <w:bookmarkStart w:id="56" w:name="_Toc1475657740"/>
      <w:r>
        <w:rPr>
          <w:rFonts w:hint="eastAsia" w:ascii="宋体" w:hAnsi="宋体" w:eastAsia="宋体" w:cs="宋体"/>
          <w:color w:val="auto"/>
          <w:sz w:val="32"/>
          <w:highlight w:val="none"/>
        </w:rPr>
        <w:t>报价人须知前附表4：中小企业及监狱企业优惠办法</w:t>
      </w:r>
      <w:bookmarkEnd w:id="53"/>
      <w:bookmarkEnd w:id="54"/>
      <w:bookmarkEnd w:id="55"/>
      <w:bookmarkEnd w:id="56"/>
    </w:p>
    <w:tbl>
      <w:tblPr>
        <w:tblStyle w:val="17"/>
        <w:tblW w:w="9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7208"/>
      </w:tblGrid>
      <w:tr w14:paraId="49555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ign w:val="center"/>
          </w:tcPr>
          <w:p w14:paraId="1683485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序号</w:t>
            </w:r>
          </w:p>
        </w:tc>
        <w:tc>
          <w:tcPr>
            <w:tcW w:w="1484" w:type="dxa"/>
            <w:noWrap/>
            <w:vAlign w:val="center"/>
          </w:tcPr>
          <w:p w14:paraId="7E82600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项目</w:t>
            </w:r>
          </w:p>
        </w:tc>
        <w:tc>
          <w:tcPr>
            <w:tcW w:w="7208" w:type="dxa"/>
            <w:noWrap/>
            <w:vAlign w:val="center"/>
          </w:tcPr>
          <w:p w14:paraId="484C1A1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14:paraId="727FA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ign w:val="center"/>
          </w:tcPr>
          <w:p w14:paraId="5B108851">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w:t>
            </w:r>
          </w:p>
        </w:tc>
        <w:tc>
          <w:tcPr>
            <w:tcW w:w="1484" w:type="dxa"/>
            <w:noWrap/>
            <w:vAlign w:val="center"/>
          </w:tcPr>
          <w:p w14:paraId="5B606BEE">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本项目是否属于预留份额专门面向中小企业采购活动：</w:t>
            </w:r>
          </w:p>
        </w:tc>
        <w:tc>
          <w:tcPr>
            <w:tcW w:w="7208" w:type="dxa"/>
            <w:noWrap/>
            <w:vAlign w:val="center"/>
          </w:tcPr>
          <w:p w14:paraId="32D40992">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eq \o\ac(</w:instrText>
            </w:r>
            <w:r>
              <w:rPr>
                <w:rFonts w:hint="eastAsia" w:ascii="宋体" w:hAnsi="宋体" w:cs="宋体"/>
                <w:color w:val="auto"/>
                <w:position w:val="-4"/>
                <w:sz w:val="36"/>
                <w:szCs w:val="24"/>
                <w:highlight w:val="none"/>
              </w:rPr>
              <w:instrText xml:space="preserve">□</w:instrText>
            </w:r>
            <w:r>
              <w:rPr>
                <w:rFonts w:hint="eastAsia" w:ascii="宋体" w:hAnsi="宋体" w:cs="宋体"/>
                <w:color w:val="auto"/>
                <w:sz w:val="24"/>
                <w:szCs w:val="24"/>
                <w:highlight w:val="none"/>
              </w:rPr>
              <w:instrText xml:space="preserve">)</w:instrTex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否</w:t>
            </w:r>
          </w:p>
          <w:p w14:paraId="6F56A111">
            <w:pPr>
              <w:spacing w:line="360" w:lineRule="auto"/>
              <w:rPr>
                <w:rFonts w:ascii="宋体" w:hAnsi="宋体" w:cs="宋体"/>
                <w:color w:val="auto"/>
                <w:sz w:val="24"/>
                <w:szCs w:val="24"/>
                <w:highlight w:val="none"/>
              </w:rPr>
            </w:pPr>
          </w:p>
        </w:tc>
      </w:tr>
      <w:tr w14:paraId="54B1F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ign w:val="center"/>
          </w:tcPr>
          <w:p w14:paraId="4F37ED21">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2</w:t>
            </w:r>
          </w:p>
        </w:tc>
        <w:tc>
          <w:tcPr>
            <w:tcW w:w="1484" w:type="dxa"/>
            <w:noWrap/>
            <w:vAlign w:val="center"/>
          </w:tcPr>
          <w:p w14:paraId="51E78F7C">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中小企业的认定标准</w:t>
            </w:r>
          </w:p>
        </w:tc>
        <w:tc>
          <w:tcPr>
            <w:tcW w:w="7208" w:type="dxa"/>
            <w:noWrap/>
          </w:tcPr>
          <w:p w14:paraId="6D3EE2B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中小企业参加政府采购活动，应当出具《中小企业声明函》，否则不得享受相关中小企业扶持政策。</w:t>
            </w:r>
          </w:p>
          <w:p w14:paraId="11935C8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须满足以下条件，才能认定为中小企业</w:t>
            </w:r>
            <w:r>
              <w:rPr>
                <w:rFonts w:hint="eastAsia" w:ascii="宋体" w:hAnsi="宋体" w:cs="宋体"/>
                <w:b/>
                <w:color w:val="auto"/>
                <w:sz w:val="24"/>
                <w:szCs w:val="24"/>
                <w:highlight w:val="none"/>
              </w:rPr>
              <w:t>（含中型、小型、微型企业，下同）</w:t>
            </w:r>
            <w:r>
              <w:rPr>
                <w:rFonts w:hint="eastAsia" w:ascii="宋体" w:hAnsi="宋体" w:cs="宋体"/>
                <w:color w:val="auto"/>
                <w:sz w:val="24"/>
                <w:szCs w:val="24"/>
                <w:highlight w:val="none"/>
              </w:rPr>
              <w:t>：</w:t>
            </w:r>
          </w:p>
          <w:p w14:paraId="75CCED9D">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6F4E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jc w:val="center"/>
        </w:trPr>
        <w:tc>
          <w:tcPr>
            <w:tcW w:w="900" w:type="dxa"/>
            <w:noWrap/>
            <w:vAlign w:val="center"/>
          </w:tcPr>
          <w:p w14:paraId="099A81DF">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3</w:t>
            </w:r>
          </w:p>
        </w:tc>
        <w:tc>
          <w:tcPr>
            <w:tcW w:w="1484" w:type="dxa"/>
            <w:noWrap/>
            <w:vAlign w:val="center"/>
          </w:tcPr>
          <w:p w14:paraId="226C79E6">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优惠办法：</w:t>
            </w:r>
          </w:p>
        </w:tc>
        <w:tc>
          <w:tcPr>
            <w:tcW w:w="7208" w:type="dxa"/>
            <w:tcBorders>
              <w:bottom w:val="single" w:color="auto" w:sz="4" w:space="0"/>
            </w:tcBorders>
            <w:noWrap/>
          </w:tcPr>
          <w:p w14:paraId="1FA33C24">
            <w:pPr>
              <w:widowControl/>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报价人为中小企业（含中型、小型、微型企业，下同）：</w:t>
            </w:r>
          </w:p>
          <w:p w14:paraId="47AB4869">
            <w:pPr>
              <w:widowControl/>
              <w:spacing w:line="360" w:lineRule="auto"/>
              <w:ind w:firstLine="464" w:firstLineChars="200"/>
              <w:jc w:val="left"/>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①</w:t>
            </w:r>
            <w:r>
              <w:rPr>
                <w:rFonts w:hint="eastAsia" w:ascii="宋体" w:hAnsi="宋体" w:cs="宋体"/>
                <w:color w:val="auto"/>
                <w:spacing w:val="-4"/>
                <w:sz w:val="24"/>
                <w:szCs w:val="24"/>
                <w:highlight w:val="none"/>
              </w:rPr>
              <w:t>磋商</w:t>
            </w:r>
            <w:r>
              <w:rPr>
                <w:rFonts w:hint="eastAsia" w:ascii="宋体" w:hAnsi="宋体" w:cs="宋体"/>
                <w:color w:val="auto"/>
                <w:spacing w:val="-4"/>
                <w:sz w:val="24"/>
                <w:szCs w:val="24"/>
                <w:highlight w:val="none"/>
              </w:rPr>
              <w:t>保证金：全免</w:t>
            </w:r>
          </w:p>
          <w:p w14:paraId="7B631356">
            <w:pPr>
              <w:widowControl/>
              <w:spacing w:line="360" w:lineRule="auto"/>
              <w:ind w:firstLine="464" w:firstLineChars="200"/>
              <w:jc w:val="left"/>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②履约保证金：按约定比例的50%支付（如果有的话）</w:t>
            </w:r>
          </w:p>
          <w:p w14:paraId="25AC1748">
            <w:pPr>
              <w:widowControl/>
              <w:spacing w:line="360" w:lineRule="auto"/>
              <w:ind w:firstLine="464" w:firstLineChars="200"/>
              <w:jc w:val="left"/>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③代理服务费：按采购文件规定的收费标准下调10%</w:t>
            </w:r>
          </w:p>
          <w:p w14:paraId="34A1250F">
            <w:pPr>
              <w:widowControl/>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本项目的承建商为小微企业。</w:t>
            </w:r>
            <w:r>
              <w:rPr>
                <w:rFonts w:hint="eastAsia" w:ascii="宋体" w:hAnsi="宋体" w:cs="宋体"/>
                <w:color w:val="auto"/>
                <w:sz w:val="24"/>
                <w:szCs w:val="24"/>
                <w:highlight w:val="none"/>
              </w:rPr>
              <w:t>对其报价给予</w:t>
            </w:r>
            <w:r>
              <w:rPr>
                <w:rFonts w:hint="eastAsia" w:ascii="宋体" w:hAnsi="宋体" w:cs="宋体"/>
                <w:color w:val="auto"/>
                <w:sz w:val="24"/>
                <w:szCs w:val="24"/>
                <w:highlight w:val="none"/>
              </w:rPr>
              <w:t>5%的扣除，</w:t>
            </w:r>
            <w:r>
              <w:rPr>
                <w:rFonts w:hint="eastAsia" w:ascii="宋体" w:hAnsi="宋体" w:cs="宋体"/>
                <w:color w:val="auto"/>
                <w:sz w:val="24"/>
                <w:szCs w:val="24"/>
                <w:highlight w:val="none"/>
              </w:rPr>
              <w:t>扣除后的价格作为该报价人的评审价参与价格评审。</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2%的价</w:t>
            </w:r>
            <w:r>
              <w:rPr>
                <w:rFonts w:hint="eastAsia" w:ascii="宋体" w:hAnsi="宋体" w:cs="宋体"/>
                <w:color w:val="auto"/>
                <w:sz w:val="24"/>
                <w:szCs w:val="24"/>
                <w:highlight w:val="none"/>
              </w:rPr>
              <w:t>格扣除。</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联合体各方均为小型、微型企业的，联合体视同为小型、微型企业享受本办法第四条、第五条规定的扶持政策。</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组成联合体的大中型企业和其他自然人、法人或者其他组织，与小型、微型企业之间不得存在投资关系。</w:t>
            </w:r>
          </w:p>
          <w:p w14:paraId="7C1554A1">
            <w:pPr>
              <w:pStyle w:val="16"/>
              <w:numPr>
                <w:ilvl w:val="255"/>
                <w:numId w:val="0"/>
              </w:num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w:t>
            </w:r>
            <w:r>
              <w:rPr>
                <w:rFonts w:hint="eastAsia" w:ascii="宋体" w:hAnsi="宋体" w:eastAsia="宋体" w:cs="宋体"/>
                <w:color w:val="auto"/>
                <w:kern w:val="2"/>
                <w:sz w:val="24"/>
                <w:szCs w:val="24"/>
                <w:highlight w:val="none"/>
                <w:lang w:val="en-US" w:eastAsia="zh-CN" w:bidi="ar-SA"/>
              </w:rPr>
              <w:t>2017]141号），残疾人福利性单位视同小型、微型企业。残疾人福利性单位属于小型、微型企业的，不重复享受政策。</w:t>
            </w:r>
          </w:p>
          <w:p w14:paraId="583C4204">
            <w:pPr>
              <w:widowControl/>
              <w:spacing w:line="360" w:lineRule="auto"/>
              <w:ind w:firstLine="480" w:firstLineChars="200"/>
              <w:jc w:val="left"/>
              <w:rPr>
                <w:rFonts w:ascii="宋体" w:hAnsi="宋体" w:cs="宋体"/>
                <w:color w:val="auto"/>
                <w:spacing w:val="-4"/>
                <w:sz w:val="24"/>
                <w:szCs w:val="24"/>
                <w:highlight w:val="none"/>
              </w:rPr>
            </w:pPr>
            <w:r>
              <w:rPr>
                <w:rFonts w:hint="eastAsia" w:ascii="宋体" w:hAnsi="宋体" w:eastAsia="宋体" w:cs="宋体"/>
                <w:color w:val="auto"/>
                <w:kern w:val="2"/>
                <w:sz w:val="24"/>
                <w:szCs w:val="24"/>
                <w:highlight w:val="none"/>
                <w:lang w:val="en-US" w:eastAsia="zh-CN" w:bidi="ar-SA"/>
              </w:rPr>
              <w:t>若本项目属于预留份额专门面向中小企业采购活动，不再执行价格评审优惠的扶持政策。</w:t>
            </w:r>
          </w:p>
        </w:tc>
      </w:tr>
      <w:tr w14:paraId="203E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40E7F8AE">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4</w:t>
            </w:r>
          </w:p>
        </w:tc>
        <w:tc>
          <w:tcPr>
            <w:tcW w:w="1484" w:type="dxa"/>
            <w:noWrap/>
            <w:vAlign w:val="center"/>
          </w:tcPr>
          <w:p w14:paraId="0FACD669">
            <w:pPr>
              <w:widowControl/>
              <w:spacing w:line="360" w:lineRule="auto"/>
              <w:jc w:val="center"/>
              <w:rPr>
                <w:rFonts w:ascii="宋体" w:hAnsi="宋体" w:cs="宋体"/>
                <w:b/>
                <w:color w:val="auto"/>
                <w:sz w:val="24"/>
                <w:szCs w:val="24"/>
                <w:highlight w:val="none"/>
              </w:rPr>
            </w:pPr>
            <w:r>
              <w:rPr>
                <w:rFonts w:hint="eastAsia" w:ascii="宋体" w:hAnsi="宋体" w:cs="宋体"/>
                <w:color w:val="auto"/>
                <w:sz w:val="24"/>
                <w:szCs w:val="24"/>
                <w:highlight w:val="none"/>
              </w:rPr>
              <w:t>本项目对应的中小企业划</w:t>
            </w:r>
            <w:r>
              <w:rPr>
                <w:rFonts w:hint="eastAsia" w:ascii="宋体" w:hAnsi="宋体" w:cs="宋体"/>
                <w:color w:val="auto"/>
                <w:sz w:val="24"/>
                <w:szCs w:val="24"/>
                <w:highlight w:val="none"/>
              </w:rPr>
              <w:t>分标准所属建筑业</w:t>
            </w:r>
            <w:r>
              <w:rPr>
                <w:rFonts w:hint="eastAsia" w:ascii="宋体" w:hAnsi="宋体" w:cs="宋体"/>
                <w:color w:val="auto"/>
                <w:sz w:val="24"/>
                <w:szCs w:val="24"/>
                <w:highlight w:val="none"/>
                <w:u w:val="none"/>
              </w:rPr>
              <w:t>。</w:t>
            </w:r>
          </w:p>
        </w:tc>
        <w:tc>
          <w:tcPr>
            <w:tcW w:w="7208" w:type="dxa"/>
            <w:tcBorders>
              <w:bottom w:val="single" w:color="auto" w:sz="4" w:space="0"/>
            </w:tcBorders>
            <w:noWrap/>
          </w:tcPr>
          <w:p w14:paraId="176F8B7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14:paraId="52C19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7F0B0B96">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5</w:t>
            </w:r>
          </w:p>
        </w:tc>
        <w:tc>
          <w:tcPr>
            <w:tcW w:w="1484" w:type="dxa"/>
            <w:noWrap/>
            <w:vAlign w:val="center"/>
          </w:tcPr>
          <w:p w14:paraId="049223FD">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相关风险</w:t>
            </w:r>
          </w:p>
        </w:tc>
        <w:tc>
          <w:tcPr>
            <w:tcW w:w="7208" w:type="dxa"/>
            <w:tcBorders>
              <w:bottom w:val="single" w:color="auto" w:sz="4" w:space="0"/>
            </w:tcBorders>
            <w:noWrap/>
          </w:tcPr>
          <w:p w14:paraId="32987C68">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一、经评审委员会评审，存在下列任一情况的，报价人将不被视为中小企业：</w:t>
            </w:r>
          </w:p>
          <w:p w14:paraId="39FB644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报价人不符合“工信部联企业[2011]300号”规定的中小企业标准的；</w:t>
            </w:r>
          </w:p>
          <w:p w14:paraId="1B22D89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2.响应货物全部或部分为使用大型企业注册商标的货物的；</w:t>
            </w:r>
          </w:p>
          <w:p w14:paraId="370DE06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报价文件中标明的中小企业产品的制造商不符合“工信部联企业[2011]300号”规定的中小企业标准的；</w:t>
            </w:r>
          </w:p>
          <w:p w14:paraId="5EB69C1D">
            <w:pPr>
              <w:spacing w:line="360" w:lineRule="auto"/>
              <w:ind w:firstLine="482" w:firstLineChars="200"/>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二、提供虚假证明材料后果：</w:t>
            </w:r>
          </w:p>
          <w:p w14:paraId="4CC4FCA7">
            <w:pPr>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报价人为取得中小企业身份而提供虚假证明材料，在评审过程中发现的，按无效响应处理，磋商保证金不予退还；已取得成交资格的，无论该行为是否影响成交，均取消其成交资格，磋商保证金、代理服务费不予退还，该报价人还应承担由此引起的其他经济、法律责任。出现此种情形时，采购人、采购代理机构将有关情况上报政府采购监管部门，由监管部门按有关规定对其进行相应处罚。</w:t>
            </w:r>
          </w:p>
          <w:p w14:paraId="081EB9D8">
            <w:pPr>
              <w:spacing w:line="360" w:lineRule="auto"/>
              <w:ind w:firstLine="480" w:firstLineChars="200"/>
              <w:rPr>
                <w:rFonts w:ascii="宋体" w:hAnsi="宋体" w:cs="宋体"/>
                <w:color w:val="auto"/>
                <w:sz w:val="24"/>
                <w:szCs w:val="24"/>
                <w:highlight w:val="none"/>
              </w:rPr>
            </w:pPr>
            <w:r>
              <w:rPr>
                <w:rFonts w:hint="eastAsia" w:ascii="宋体" w:hAnsi="宋体" w:cs="宋体"/>
                <w:color w:val="auto"/>
                <w:kern w:val="0"/>
                <w:sz w:val="24"/>
                <w:szCs w:val="24"/>
                <w:highlight w:val="none"/>
              </w:rPr>
              <w:t>采购人、采购代理机构</w:t>
            </w:r>
            <w:r>
              <w:rPr>
                <w:rFonts w:hint="eastAsia" w:ascii="宋体" w:hAnsi="宋体" w:cs="宋体"/>
                <w:color w:val="auto"/>
                <w:sz w:val="24"/>
                <w:szCs w:val="24"/>
                <w:highlight w:val="none"/>
              </w:rPr>
              <w:t>有权上报财政部门，建议财政部门将该报价人列入不良行为记录名单，在一至三年内禁止该报价人参加政府采购活动并予以通报。</w:t>
            </w:r>
            <w:r>
              <w:rPr>
                <w:rFonts w:hint="eastAsia" w:ascii="宋体" w:hAnsi="宋体" w:cs="宋体"/>
                <w:b/>
                <w:i/>
                <w:color w:val="auto"/>
                <w:kern w:val="0"/>
                <w:sz w:val="24"/>
                <w:szCs w:val="24"/>
                <w:highlight w:val="none"/>
                <w:u w:val="single"/>
              </w:rPr>
              <w:t>（提醒：如果不满足中小企业的认定标准，则不需要提供《中小企业声明函》，否则因此导致虚假应标的后果由报价人自行承担。）</w:t>
            </w:r>
          </w:p>
        </w:tc>
      </w:tr>
    </w:tbl>
    <w:p w14:paraId="35036F73">
      <w:pPr>
        <w:spacing w:line="360" w:lineRule="auto"/>
        <w:rPr>
          <w:rFonts w:ascii="宋体" w:hAnsi="宋体" w:cs="宋体"/>
          <w:b/>
          <w:bCs/>
          <w:color w:val="auto"/>
          <w:sz w:val="24"/>
          <w:szCs w:val="24"/>
          <w:highlight w:val="none"/>
          <w:u w:val="single"/>
        </w:rPr>
      </w:pPr>
    </w:p>
    <w:p w14:paraId="5D0A1A88">
      <w:pPr>
        <w:spacing w:line="360" w:lineRule="auto"/>
        <w:jc w:val="center"/>
        <w:rPr>
          <w:rFonts w:ascii="宋体" w:hAnsi="宋体" w:cs="宋体"/>
          <w:b/>
          <w:bCs/>
          <w:color w:val="auto"/>
          <w:sz w:val="32"/>
          <w:szCs w:val="32"/>
          <w:highlight w:val="none"/>
          <w:u w:val="single"/>
        </w:rPr>
      </w:pPr>
    </w:p>
    <w:p w14:paraId="5CD2DCED">
      <w:pPr>
        <w:spacing w:line="360" w:lineRule="auto"/>
        <w:jc w:val="center"/>
        <w:rPr>
          <w:rFonts w:ascii="宋体" w:hAnsi="宋体" w:cs="宋体"/>
          <w:b/>
          <w:bCs/>
          <w:color w:val="auto"/>
          <w:sz w:val="32"/>
          <w:szCs w:val="32"/>
          <w:highlight w:val="none"/>
          <w:u w:val="single"/>
        </w:rPr>
      </w:pPr>
    </w:p>
    <w:p w14:paraId="0502D7D6">
      <w:pPr>
        <w:spacing w:line="360" w:lineRule="auto"/>
        <w:jc w:val="center"/>
        <w:rPr>
          <w:rFonts w:ascii="宋体" w:hAnsi="宋体" w:cs="宋体"/>
          <w:b/>
          <w:bCs/>
          <w:color w:val="auto"/>
          <w:sz w:val="32"/>
          <w:szCs w:val="32"/>
          <w:highlight w:val="none"/>
          <w:u w:val="single"/>
        </w:rPr>
      </w:pPr>
    </w:p>
    <w:p w14:paraId="33D84E1F">
      <w:pPr>
        <w:spacing w:line="360" w:lineRule="auto"/>
        <w:jc w:val="center"/>
        <w:rPr>
          <w:rFonts w:ascii="宋体" w:hAnsi="宋体" w:cs="宋体"/>
          <w:b/>
          <w:bCs/>
          <w:color w:val="auto"/>
          <w:sz w:val="32"/>
          <w:szCs w:val="32"/>
          <w:highlight w:val="none"/>
          <w:u w:val="single"/>
        </w:rPr>
      </w:pPr>
    </w:p>
    <w:p w14:paraId="0F68B729">
      <w:pPr>
        <w:spacing w:line="360" w:lineRule="auto"/>
        <w:jc w:val="center"/>
        <w:rPr>
          <w:rFonts w:ascii="宋体" w:hAnsi="宋体" w:cs="宋体"/>
          <w:b/>
          <w:bCs/>
          <w:color w:val="auto"/>
          <w:sz w:val="32"/>
          <w:szCs w:val="32"/>
          <w:highlight w:val="none"/>
          <w:u w:val="single"/>
        </w:rPr>
      </w:pPr>
    </w:p>
    <w:p w14:paraId="7463C347">
      <w:pPr>
        <w:spacing w:line="360" w:lineRule="auto"/>
        <w:jc w:val="center"/>
        <w:rPr>
          <w:rFonts w:ascii="宋体" w:hAnsi="宋体" w:cs="宋体"/>
          <w:b/>
          <w:bCs/>
          <w:color w:val="auto"/>
          <w:sz w:val="32"/>
          <w:szCs w:val="32"/>
          <w:highlight w:val="none"/>
          <w:u w:val="single"/>
        </w:rPr>
      </w:pPr>
    </w:p>
    <w:p w14:paraId="441F3750">
      <w:pPr>
        <w:spacing w:line="360" w:lineRule="auto"/>
        <w:jc w:val="center"/>
        <w:rPr>
          <w:rFonts w:ascii="宋体" w:hAnsi="宋体" w:cs="宋体"/>
          <w:b/>
          <w:bCs/>
          <w:color w:val="auto"/>
          <w:sz w:val="32"/>
          <w:szCs w:val="32"/>
          <w:highlight w:val="none"/>
          <w:u w:val="single"/>
        </w:rPr>
      </w:pPr>
    </w:p>
    <w:p w14:paraId="5CDD0E2E">
      <w:pPr>
        <w:spacing w:line="360" w:lineRule="auto"/>
        <w:jc w:val="center"/>
        <w:rPr>
          <w:rFonts w:ascii="宋体" w:hAnsi="宋体" w:cs="宋体"/>
          <w:b/>
          <w:bCs/>
          <w:color w:val="auto"/>
          <w:sz w:val="32"/>
          <w:szCs w:val="32"/>
          <w:highlight w:val="none"/>
          <w:u w:val="single"/>
        </w:rPr>
      </w:pPr>
    </w:p>
    <w:p w14:paraId="01FB1910">
      <w:pPr>
        <w:spacing w:line="360" w:lineRule="auto"/>
        <w:jc w:val="center"/>
        <w:rPr>
          <w:rFonts w:ascii="宋体" w:hAnsi="宋体" w:cs="宋体"/>
          <w:b/>
          <w:bCs/>
          <w:color w:val="auto"/>
          <w:sz w:val="32"/>
          <w:szCs w:val="32"/>
          <w:highlight w:val="none"/>
          <w:u w:val="single"/>
        </w:rPr>
      </w:pPr>
    </w:p>
    <w:p w14:paraId="5DB29A7F">
      <w:pPr>
        <w:spacing w:line="360" w:lineRule="auto"/>
        <w:rPr>
          <w:rFonts w:ascii="宋体" w:hAnsi="宋体" w:cs="宋体"/>
          <w:b/>
          <w:bCs/>
          <w:color w:val="auto"/>
          <w:sz w:val="32"/>
          <w:szCs w:val="32"/>
          <w:highlight w:val="none"/>
          <w:u w:val="single"/>
        </w:rPr>
      </w:pPr>
    </w:p>
    <w:p w14:paraId="6792DE59">
      <w:pPr>
        <w:pStyle w:val="2"/>
        <w:rPr>
          <w:rFonts w:ascii="宋体" w:hAnsi="宋体" w:cs="宋体"/>
          <w:b/>
          <w:bCs/>
          <w:color w:val="auto"/>
          <w:sz w:val="32"/>
          <w:szCs w:val="32"/>
          <w:highlight w:val="none"/>
          <w:u w:val="single"/>
        </w:rPr>
      </w:pPr>
    </w:p>
    <w:p w14:paraId="2CE63809">
      <w:pPr>
        <w:pStyle w:val="2"/>
        <w:rPr>
          <w:rFonts w:ascii="宋体" w:hAnsi="宋体" w:cs="宋体"/>
          <w:b/>
          <w:bCs/>
          <w:color w:val="auto"/>
          <w:sz w:val="32"/>
          <w:szCs w:val="32"/>
          <w:highlight w:val="none"/>
          <w:u w:val="single"/>
        </w:rPr>
      </w:pPr>
    </w:p>
    <w:p w14:paraId="360BE8A2">
      <w:pPr>
        <w:pStyle w:val="2"/>
        <w:rPr>
          <w:rFonts w:ascii="宋体" w:hAnsi="宋体" w:cs="宋体"/>
          <w:b/>
          <w:bCs/>
          <w:color w:val="auto"/>
          <w:sz w:val="32"/>
          <w:szCs w:val="32"/>
          <w:highlight w:val="none"/>
          <w:u w:val="single"/>
        </w:rPr>
      </w:pPr>
    </w:p>
    <w:p w14:paraId="11E78388">
      <w:pPr>
        <w:pStyle w:val="2"/>
        <w:rPr>
          <w:rFonts w:ascii="宋体" w:hAnsi="宋体" w:cs="宋体"/>
          <w:b/>
          <w:bCs/>
          <w:color w:val="auto"/>
          <w:sz w:val="32"/>
          <w:szCs w:val="32"/>
          <w:highlight w:val="none"/>
          <w:u w:val="single"/>
        </w:rPr>
      </w:pPr>
    </w:p>
    <w:p w14:paraId="1D7FA656">
      <w:pPr>
        <w:pStyle w:val="2"/>
        <w:rPr>
          <w:rFonts w:ascii="宋体" w:hAnsi="宋体" w:cs="宋体"/>
          <w:b/>
          <w:bCs/>
          <w:color w:val="auto"/>
          <w:sz w:val="32"/>
          <w:szCs w:val="32"/>
          <w:highlight w:val="none"/>
          <w:u w:val="single"/>
        </w:rPr>
      </w:pPr>
    </w:p>
    <w:p w14:paraId="62A6348D">
      <w:pPr>
        <w:pStyle w:val="2"/>
        <w:rPr>
          <w:rFonts w:ascii="宋体" w:hAnsi="宋体" w:cs="宋体"/>
          <w:b/>
          <w:bCs/>
          <w:color w:val="auto"/>
          <w:sz w:val="32"/>
          <w:szCs w:val="32"/>
          <w:highlight w:val="none"/>
          <w:u w:val="single"/>
        </w:rPr>
      </w:pPr>
    </w:p>
    <w:p w14:paraId="040B07FB">
      <w:pPr>
        <w:pStyle w:val="2"/>
        <w:rPr>
          <w:rFonts w:ascii="宋体" w:hAnsi="宋体" w:cs="宋体"/>
          <w:b/>
          <w:bCs/>
          <w:color w:val="auto"/>
          <w:sz w:val="32"/>
          <w:szCs w:val="32"/>
          <w:highlight w:val="none"/>
          <w:u w:val="single"/>
        </w:rPr>
      </w:pPr>
    </w:p>
    <w:p w14:paraId="459FE6E6">
      <w:pPr>
        <w:pStyle w:val="2"/>
        <w:rPr>
          <w:rFonts w:ascii="宋体" w:hAnsi="宋体" w:cs="宋体"/>
          <w:b/>
          <w:bCs/>
          <w:color w:val="auto"/>
          <w:sz w:val="32"/>
          <w:szCs w:val="32"/>
          <w:highlight w:val="none"/>
          <w:u w:val="single"/>
        </w:rPr>
      </w:pPr>
    </w:p>
    <w:p w14:paraId="3F015D5E">
      <w:pPr>
        <w:spacing w:line="360" w:lineRule="auto"/>
        <w:rPr>
          <w:rFonts w:ascii="宋体" w:hAnsi="宋体" w:cs="宋体"/>
          <w:b/>
          <w:bCs/>
          <w:color w:val="auto"/>
          <w:sz w:val="32"/>
          <w:szCs w:val="32"/>
          <w:highlight w:val="none"/>
          <w:u w:val="single"/>
        </w:rPr>
      </w:pPr>
    </w:p>
    <w:p w14:paraId="09933507">
      <w:pPr>
        <w:pStyle w:val="8"/>
        <w:spacing w:line="360" w:lineRule="auto"/>
        <w:jc w:val="center"/>
        <w:outlineLvl w:val="0"/>
        <w:rPr>
          <w:rFonts w:hAnsi="宋体" w:cs="宋体"/>
          <w:b/>
          <w:color w:val="auto"/>
          <w:sz w:val="32"/>
          <w:szCs w:val="32"/>
          <w:highlight w:val="none"/>
        </w:rPr>
      </w:pPr>
      <w:bookmarkStart w:id="57" w:name="_Toc1542596339"/>
      <w:bookmarkStart w:id="58" w:name="_Toc26971"/>
      <w:bookmarkStart w:id="59" w:name="_Toc31794"/>
      <w:bookmarkStart w:id="60" w:name="_Toc17398"/>
      <w:r>
        <w:rPr>
          <w:rFonts w:hint="eastAsia" w:hAnsi="宋体" w:cs="宋体"/>
          <w:b/>
          <w:color w:val="auto"/>
          <w:sz w:val="32"/>
          <w:szCs w:val="32"/>
          <w:highlight w:val="none"/>
        </w:rPr>
        <w:t>第二章  报价人须知</w:t>
      </w:r>
      <w:bookmarkEnd w:id="57"/>
      <w:bookmarkEnd w:id="58"/>
      <w:bookmarkEnd w:id="59"/>
      <w:bookmarkEnd w:id="60"/>
    </w:p>
    <w:p w14:paraId="28DC7F01">
      <w:pPr>
        <w:pStyle w:val="8"/>
        <w:spacing w:line="360" w:lineRule="auto"/>
        <w:jc w:val="center"/>
        <w:rPr>
          <w:rFonts w:hAnsi="宋体" w:cs="宋体"/>
          <w:b/>
          <w:color w:val="auto"/>
          <w:sz w:val="32"/>
          <w:szCs w:val="32"/>
          <w:highlight w:val="none"/>
        </w:rPr>
      </w:pPr>
    </w:p>
    <w:p w14:paraId="4AFB847D">
      <w:pPr>
        <w:pStyle w:val="8"/>
        <w:spacing w:line="360" w:lineRule="auto"/>
        <w:jc w:val="center"/>
        <w:outlineLvl w:val="1"/>
        <w:rPr>
          <w:rFonts w:hAnsi="宋体" w:cs="宋体"/>
          <w:b/>
          <w:color w:val="auto"/>
          <w:sz w:val="24"/>
          <w:szCs w:val="24"/>
          <w:highlight w:val="none"/>
        </w:rPr>
      </w:pPr>
      <w:bookmarkStart w:id="61" w:name="_Toc7090"/>
      <w:bookmarkStart w:id="62" w:name="_Toc6930"/>
      <w:bookmarkStart w:id="63" w:name="_Toc22435"/>
      <w:bookmarkStart w:id="64" w:name="_Toc1762230432"/>
      <w:r>
        <w:rPr>
          <w:rFonts w:hint="eastAsia" w:hAnsi="宋体" w:cs="宋体"/>
          <w:b/>
          <w:color w:val="auto"/>
          <w:sz w:val="32"/>
          <w:szCs w:val="32"/>
          <w:highlight w:val="none"/>
        </w:rPr>
        <w:t>一、说明</w:t>
      </w:r>
      <w:bookmarkEnd w:id="61"/>
      <w:bookmarkEnd w:id="62"/>
      <w:bookmarkEnd w:id="63"/>
      <w:bookmarkEnd w:id="64"/>
    </w:p>
    <w:p w14:paraId="5805AB05">
      <w:pPr>
        <w:pStyle w:val="8"/>
        <w:spacing w:line="360" w:lineRule="auto"/>
        <w:jc w:val="left"/>
        <w:rPr>
          <w:rFonts w:hAnsi="宋体" w:cs="宋体"/>
          <w:b/>
          <w:color w:val="auto"/>
          <w:sz w:val="24"/>
          <w:szCs w:val="24"/>
          <w:highlight w:val="none"/>
        </w:rPr>
      </w:pPr>
      <w:bookmarkStart w:id="65" w:name="_Toc2139"/>
      <w:bookmarkStart w:id="66" w:name="_Toc14336"/>
      <w:r>
        <w:rPr>
          <w:rFonts w:hint="eastAsia" w:hAnsi="宋体" w:cs="宋体"/>
          <w:b/>
          <w:color w:val="auto"/>
          <w:sz w:val="24"/>
          <w:szCs w:val="24"/>
          <w:highlight w:val="none"/>
        </w:rPr>
        <w:t>1.适用范围</w:t>
      </w:r>
      <w:bookmarkEnd w:id="65"/>
      <w:bookmarkEnd w:id="66"/>
    </w:p>
    <w:p w14:paraId="4B27D9CE">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1.1本采购文件仅适用于邀请中所叙</w:t>
      </w:r>
      <w:r>
        <w:rPr>
          <w:rFonts w:hint="eastAsia" w:hAnsi="宋体" w:cs="宋体"/>
          <w:color w:val="auto"/>
          <w:sz w:val="24"/>
          <w:szCs w:val="24"/>
          <w:highlight w:val="none"/>
        </w:rPr>
        <w:t>述项目的工程采购</w:t>
      </w:r>
      <w:r>
        <w:rPr>
          <w:rFonts w:hint="eastAsia" w:hAnsi="宋体" w:cs="宋体"/>
          <w:color w:val="auto"/>
          <w:sz w:val="24"/>
          <w:szCs w:val="24"/>
          <w:highlight w:val="none"/>
        </w:rPr>
        <w:t>。</w:t>
      </w:r>
    </w:p>
    <w:p w14:paraId="739F0DCE">
      <w:pPr>
        <w:pStyle w:val="8"/>
        <w:spacing w:line="360" w:lineRule="auto"/>
        <w:jc w:val="left"/>
        <w:rPr>
          <w:rFonts w:hAnsi="宋体" w:cs="宋体"/>
          <w:b/>
          <w:color w:val="auto"/>
          <w:sz w:val="24"/>
          <w:szCs w:val="24"/>
          <w:highlight w:val="none"/>
        </w:rPr>
      </w:pPr>
      <w:bookmarkStart w:id="67" w:name="_Toc17705"/>
      <w:bookmarkStart w:id="68" w:name="_Toc21183"/>
      <w:r>
        <w:rPr>
          <w:rFonts w:hint="eastAsia" w:hAnsi="宋体" w:cs="宋体"/>
          <w:b/>
          <w:color w:val="auto"/>
          <w:sz w:val="24"/>
          <w:szCs w:val="24"/>
          <w:highlight w:val="none"/>
        </w:rPr>
        <w:t>2.定义</w:t>
      </w:r>
      <w:bookmarkEnd w:id="67"/>
      <w:bookmarkEnd w:id="68"/>
    </w:p>
    <w:p w14:paraId="4DCC32B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 “采购人”系指本次采购项目的业主方。</w:t>
      </w:r>
    </w:p>
    <w:p w14:paraId="1602ECF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 “采购单位”系指组织本次采购活动的采购人或采购代理机构。</w:t>
      </w:r>
    </w:p>
    <w:p w14:paraId="7A9B7B7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 “采购代理机构”系指本次采购项目活动组织方。</w:t>
      </w:r>
    </w:p>
    <w:p w14:paraId="72E1B124">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2.4 “报价人”系指购买了本采购文件，且已经提交或准备提交报价文件的</w:t>
      </w:r>
      <w:r>
        <w:rPr>
          <w:rFonts w:hint="eastAsia" w:hAnsi="宋体" w:cs="宋体"/>
          <w:color w:val="auto"/>
          <w:sz w:val="24"/>
          <w:szCs w:val="24"/>
          <w:highlight w:val="none"/>
        </w:rPr>
        <w:t>服务商或承包商。</w:t>
      </w:r>
    </w:p>
    <w:p w14:paraId="00A0F4E8">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2.5 “货物”系指指各种形态和和种类的物品，包括原材料、燃料、设备、产品等。</w:t>
      </w:r>
    </w:p>
    <w:p w14:paraId="42D32ABC">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2.6“工程”系指采购文件规定成交供应商须承担的土建施工、修缮、景观建设、改造，绿化工程等。</w:t>
      </w:r>
    </w:p>
    <w:p w14:paraId="7B80A8EA">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2.7“服务”系指除货物和工程以外的其他政府采购对象。</w:t>
      </w:r>
    </w:p>
    <w:p w14:paraId="53ED6450">
      <w:pPr>
        <w:pStyle w:val="8"/>
        <w:spacing w:line="360" w:lineRule="auto"/>
        <w:jc w:val="left"/>
        <w:rPr>
          <w:rFonts w:hAnsi="宋体" w:cs="宋体"/>
          <w:b/>
          <w:color w:val="auto"/>
          <w:sz w:val="24"/>
          <w:szCs w:val="24"/>
          <w:highlight w:val="none"/>
        </w:rPr>
      </w:pPr>
      <w:bookmarkStart w:id="69" w:name="_Toc20894"/>
      <w:bookmarkStart w:id="70" w:name="_Toc12325"/>
      <w:r>
        <w:rPr>
          <w:rFonts w:hint="eastAsia" w:hAnsi="宋体" w:cs="宋体"/>
          <w:b/>
          <w:color w:val="auto"/>
          <w:sz w:val="24"/>
          <w:szCs w:val="24"/>
          <w:highlight w:val="none"/>
        </w:rPr>
        <w:t>3.合格的报价人</w:t>
      </w:r>
      <w:bookmarkEnd w:id="69"/>
      <w:bookmarkEnd w:id="70"/>
    </w:p>
    <w:p w14:paraId="52D1456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 凡有能力提供本采购文件所述工程的，符合本采购文件规定资格要求的报价人均可能成为合格的报价人。</w:t>
      </w:r>
    </w:p>
    <w:p w14:paraId="55FA34E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报价人具备《中华人民共和国政府采购法》第二十二条第一款规定的条件，应提供以下材料：</w:t>
      </w:r>
    </w:p>
    <w:p w14:paraId="491C9CE7">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（1）法人或者其他组织的营业执照等证明文件，自然人的身份证明；</w:t>
      </w:r>
    </w:p>
    <w:p w14:paraId="40F9FE06">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报价人是法人或者其他组织的应提供营业执照等证明文件，报价人是自然人的应提供有效的自然人身份证明。</w:t>
      </w:r>
    </w:p>
    <w:p w14:paraId="7BD7F5F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（2）报价人已提供加载有统一社会信用代码营业执照的，视为已提供税务登记证和组织机构代码证。</w:t>
      </w:r>
    </w:p>
    <w:p w14:paraId="60F99E9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（3）按要求提供福建省政府采购供应商资格承诺函。</w:t>
      </w:r>
    </w:p>
    <w:p w14:paraId="4354E2A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 报价人应遵守有关法律、法规和规章的规定，同时其响应货物或工程也</w:t>
      </w:r>
      <w:r>
        <w:rPr>
          <w:rFonts w:hint="eastAsia" w:ascii="宋体" w:hAnsi="宋体" w:cs="宋体"/>
          <w:color w:val="auto"/>
          <w:sz w:val="24"/>
          <w:szCs w:val="24"/>
          <w:highlight w:val="none"/>
        </w:rPr>
        <w:t>应符合有关法律、法规和规章的规定。</w:t>
      </w:r>
    </w:p>
    <w:p w14:paraId="4897E05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3.3一个报价人只能提交一个报价文件。如果报价人之间存在下列互为关联关系的情形之一的，不得同时参加本项目同一合同包响应：</w:t>
      </w:r>
    </w:p>
    <w:p w14:paraId="278F49D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法定代表人、单位负责人为同一人或夫妻关系的不同报价人；</w:t>
      </w:r>
    </w:p>
    <w:p w14:paraId="411C794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 存在直接控股、管理关系的不同报价人；</w:t>
      </w:r>
    </w:p>
    <w:p w14:paraId="30ECA83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均为同一家母公司直接或间接持股50％及以上的被投资公司。</w:t>
      </w:r>
    </w:p>
    <w:p w14:paraId="378A9AA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3.4报价人不得与本次磋商项下设计、编制技术规格和其他文件的公司或提供咨询服务的公司包括其附属机构有关联关系，关联关系指：（1）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0AD23E6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3.5若接受联合体磋商，则两个或者两个以上报价人可以组成一个响应联合体，以一个报价人的身份响应。</w:t>
      </w:r>
    </w:p>
    <w:p w14:paraId="22AA761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2ECE27B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65F6098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以联合体形式响应的，除本采购文件其他章节或本须知其他条款另有规定或要求外，报价文件中仅加盖联合体一方公章的相关文件，对联合体各方均具有约束力。</w:t>
      </w:r>
    </w:p>
    <w:p w14:paraId="6B6CC5F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（3）项目如涉及资质要求，该部分内容应由联合体中具有该资质要求的报价人承担。联合体协议及签订的采购合同应包含此项内容。</w:t>
      </w:r>
    </w:p>
    <w:p w14:paraId="765D3EED">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（4）联合体中有同类资质的报价人按照联合体分工承担相同工作的，应当按照资质等级较低的报价人确定资质等级。</w:t>
      </w:r>
    </w:p>
    <w:p w14:paraId="417490F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3.6磋商代理人在同一个项目中只能接受一个报价人的委托参加磋商响应。</w:t>
      </w:r>
    </w:p>
    <w:p w14:paraId="31C17D0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3.7报价人存在下列情形之一的，将被认定为串通响应行为并作无效响应处理：</w:t>
      </w:r>
    </w:p>
    <w:p w14:paraId="447E507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（1）报价人之间协商磋商报价等采购文件的实质性内容；</w:t>
      </w:r>
    </w:p>
    <w:p w14:paraId="346503F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（2）报价人之间约定成交供应商；</w:t>
      </w:r>
    </w:p>
    <w:p w14:paraId="7C1F0D0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（3）报价人之间约定部分报价人放弃磋商响应或者成交；</w:t>
      </w:r>
    </w:p>
    <w:p w14:paraId="278BEDC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（4）属于同一集团、协会、商会等组织成员的报价人按照该组织要求协同磋商响应；</w:t>
      </w:r>
    </w:p>
    <w:p w14:paraId="3AAF21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（5）报价人之间为谋取成交或者排斥特定报价人而采取的其他联合行动；</w:t>
      </w:r>
    </w:p>
    <w:p w14:paraId="40151FD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（6）不同报价人的报价文件由同一单位或者个人编制；</w:t>
      </w:r>
    </w:p>
    <w:p w14:paraId="5F18519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（7）不同报价人委托同一单位或者个人办理磋商响应事宜；</w:t>
      </w:r>
    </w:p>
    <w:p w14:paraId="0C58B87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（8）不同报价人的报价文件载明的项目管理成员为同一人；</w:t>
      </w:r>
    </w:p>
    <w:p w14:paraId="2F62C11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（9）不同报价人的报价文件异常一致或者报价呈规律性差异；</w:t>
      </w:r>
    </w:p>
    <w:p w14:paraId="25D7975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（10）不同报价人的报价文件相互混装；</w:t>
      </w:r>
    </w:p>
    <w:p w14:paraId="4C40DFC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（11）不同报价人的磋商保证金从同一单位或者个人的账户转出。</w:t>
      </w:r>
    </w:p>
    <w:p w14:paraId="3BD4D45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（12）不同报价人的报价文件错、漏之处一致或雷同，且不能合理解释的；</w:t>
      </w:r>
    </w:p>
    <w:p w14:paraId="669394D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（13）不同的报价人的法定代表人、委托代理人等由同一个单位缴纳社会保险的；</w:t>
      </w:r>
    </w:p>
    <w:p w14:paraId="27E341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（14）由同一人或分别由几个有利害关系的人携带两个以上（含两个）报价人的企业资料参与资格审查、领取采购资料，或代表两个以上（含两个）报价人参加项目答疑会、交纳或退还磋商保证金、参加磋商的；</w:t>
      </w:r>
    </w:p>
    <w:p w14:paraId="3C011AB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（15）有关法律、法规或规章规定的其他串通行为。</w:t>
      </w:r>
    </w:p>
    <w:p w14:paraId="5FCD53AE">
      <w:pPr>
        <w:spacing w:line="360" w:lineRule="auto"/>
        <w:ind w:firstLine="480" w:firstLineChars="200"/>
        <w:rPr>
          <w:rFonts w:ascii="宋体" w:hAnsi="宋体" w:cs="宋体"/>
          <w:color w:val="auto"/>
          <w:sz w:val="24"/>
          <w:szCs w:val="24"/>
          <w:highlight w:val="none"/>
        </w:rPr>
      </w:pPr>
    </w:p>
    <w:p w14:paraId="0CD6D011">
      <w:pPr>
        <w:pStyle w:val="8"/>
        <w:spacing w:line="360" w:lineRule="auto"/>
        <w:jc w:val="left"/>
        <w:rPr>
          <w:rFonts w:hAnsi="宋体" w:cs="宋体"/>
          <w:b/>
          <w:color w:val="auto"/>
          <w:sz w:val="24"/>
          <w:szCs w:val="24"/>
          <w:highlight w:val="none"/>
        </w:rPr>
      </w:pPr>
      <w:bookmarkStart w:id="71" w:name="_Toc5217"/>
      <w:bookmarkStart w:id="72" w:name="_Toc22832"/>
      <w:r>
        <w:rPr>
          <w:rFonts w:hint="eastAsia" w:hAnsi="宋体" w:cs="宋体"/>
          <w:b/>
          <w:color w:val="auto"/>
          <w:sz w:val="24"/>
          <w:szCs w:val="24"/>
          <w:highlight w:val="none"/>
        </w:rPr>
        <w:t>4.磋商费用</w:t>
      </w:r>
      <w:bookmarkEnd w:id="71"/>
      <w:bookmarkEnd w:id="72"/>
    </w:p>
    <w:p w14:paraId="2A4AD06E">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4.1 报价人应承担其准备与参加磋商所涉及的一切费用。</w:t>
      </w:r>
    </w:p>
    <w:p w14:paraId="41EFE2FA">
      <w:pPr>
        <w:pStyle w:val="8"/>
        <w:spacing w:line="360" w:lineRule="auto"/>
        <w:jc w:val="left"/>
        <w:rPr>
          <w:rFonts w:hAnsi="宋体" w:cs="宋体"/>
          <w:b/>
          <w:color w:val="auto"/>
          <w:sz w:val="24"/>
          <w:szCs w:val="24"/>
          <w:highlight w:val="none"/>
        </w:rPr>
      </w:pPr>
      <w:bookmarkStart w:id="73" w:name="_Toc30089"/>
      <w:bookmarkStart w:id="74" w:name="_Toc18409"/>
      <w:r>
        <w:rPr>
          <w:rFonts w:hint="eastAsia" w:hAnsi="宋体" w:cs="宋体"/>
          <w:b/>
          <w:color w:val="auto"/>
          <w:sz w:val="24"/>
          <w:szCs w:val="24"/>
          <w:highlight w:val="none"/>
        </w:rPr>
        <w:t>5.知识产权</w:t>
      </w:r>
      <w:bookmarkEnd w:id="73"/>
      <w:bookmarkEnd w:id="74"/>
    </w:p>
    <w:p w14:paraId="6663EAD0">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5.1 报价人应保证在本项目使用任何产品或其任何一部分时，不会产生因第三方提出侵犯其专利权、商标权或其它知识产权而引起的法律和经济责任。因此产生的法律和经济责任由报价人承担。</w:t>
      </w:r>
    </w:p>
    <w:p w14:paraId="14DC91EF">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5.2如报价人不拥有相应的知识产权，则在报价中必须包括合法获取该知识产权的相关费用。</w:t>
      </w:r>
    </w:p>
    <w:p w14:paraId="781B5C01">
      <w:pPr>
        <w:pStyle w:val="8"/>
        <w:spacing w:line="360" w:lineRule="auto"/>
        <w:ind w:firstLine="480" w:firstLineChars="200"/>
        <w:jc w:val="left"/>
        <w:rPr>
          <w:rFonts w:hAnsi="宋体" w:cs="宋体"/>
          <w:color w:val="auto"/>
          <w:sz w:val="24"/>
          <w:szCs w:val="24"/>
          <w:highlight w:val="none"/>
        </w:rPr>
      </w:pPr>
    </w:p>
    <w:p w14:paraId="184F9EB9">
      <w:pPr>
        <w:pStyle w:val="23"/>
        <w:spacing w:line="360" w:lineRule="auto"/>
        <w:jc w:val="center"/>
        <w:outlineLvl w:val="1"/>
        <w:rPr>
          <w:rFonts w:hAnsi="宋体" w:cs="宋体"/>
          <w:b/>
          <w:color w:val="auto"/>
          <w:sz w:val="24"/>
          <w:szCs w:val="24"/>
          <w:highlight w:val="none"/>
        </w:rPr>
      </w:pPr>
      <w:bookmarkStart w:id="75" w:name="_Toc23881"/>
      <w:bookmarkStart w:id="76" w:name="_Toc24669"/>
      <w:bookmarkStart w:id="77" w:name="_Toc2080751012"/>
      <w:bookmarkStart w:id="78" w:name="_Toc2178"/>
      <w:r>
        <w:rPr>
          <w:rFonts w:hint="eastAsia" w:hAnsi="宋体" w:cs="宋体"/>
          <w:b/>
          <w:color w:val="auto"/>
          <w:sz w:val="32"/>
          <w:szCs w:val="32"/>
          <w:highlight w:val="none"/>
        </w:rPr>
        <w:t>二、采购文件</w:t>
      </w:r>
      <w:bookmarkEnd w:id="75"/>
      <w:bookmarkEnd w:id="76"/>
      <w:bookmarkEnd w:id="77"/>
      <w:bookmarkEnd w:id="78"/>
    </w:p>
    <w:p w14:paraId="6522A614">
      <w:pPr>
        <w:pStyle w:val="8"/>
        <w:spacing w:line="360" w:lineRule="auto"/>
        <w:jc w:val="left"/>
        <w:rPr>
          <w:rFonts w:hAnsi="宋体" w:cs="宋体"/>
          <w:b/>
          <w:color w:val="auto"/>
          <w:sz w:val="24"/>
          <w:szCs w:val="24"/>
          <w:highlight w:val="none"/>
        </w:rPr>
      </w:pPr>
      <w:bookmarkStart w:id="79" w:name="_Toc19511"/>
      <w:r>
        <w:rPr>
          <w:rFonts w:hint="eastAsia" w:hAnsi="宋体" w:cs="宋体"/>
          <w:b/>
          <w:color w:val="auto"/>
          <w:sz w:val="24"/>
          <w:szCs w:val="24"/>
          <w:highlight w:val="none"/>
        </w:rPr>
        <w:t>6.采购文件的组成</w:t>
      </w:r>
      <w:bookmarkEnd w:id="79"/>
    </w:p>
    <w:p w14:paraId="31ECFBB9">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6.1采购文件用以阐明所需</w:t>
      </w:r>
      <w:r>
        <w:rPr>
          <w:rFonts w:hint="eastAsia" w:hAnsi="宋体" w:cs="宋体"/>
          <w:color w:val="auto"/>
          <w:sz w:val="24"/>
          <w:szCs w:val="24"/>
          <w:highlight w:val="none"/>
        </w:rPr>
        <w:t>工程</w:t>
      </w:r>
      <w:r>
        <w:rPr>
          <w:rFonts w:hint="eastAsia" w:hAnsi="宋体" w:cs="宋体"/>
          <w:color w:val="auto"/>
          <w:sz w:val="24"/>
          <w:szCs w:val="24"/>
          <w:highlight w:val="none"/>
        </w:rPr>
        <w:t>、磋商程序和合同格式及条款。采购文件由下述部分组成：</w:t>
      </w:r>
    </w:p>
    <w:p w14:paraId="19D1E241">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（1）磋商邀请</w:t>
      </w:r>
    </w:p>
    <w:p w14:paraId="3740D1EF">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（2）报价人须知</w:t>
      </w:r>
    </w:p>
    <w:p w14:paraId="1B1E39C5">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（3）采购内容及要求</w:t>
      </w:r>
    </w:p>
    <w:p w14:paraId="6C61D4E6">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（4）采购合同</w:t>
      </w:r>
    </w:p>
    <w:p w14:paraId="4FCABEA9">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（5）磋商报价文件格式</w:t>
      </w:r>
    </w:p>
    <w:p w14:paraId="160767BF">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（6）相关的补充、修改文件</w:t>
      </w:r>
    </w:p>
    <w:p w14:paraId="32F53F89">
      <w:pPr>
        <w:pStyle w:val="8"/>
        <w:spacing w:line="360" w:lineRule="auto"/>
        <w:jc w:val="left"/>
        <w:rPr>
          <w:rFonts w:hAnsi="宋体" w:cs="宋体"/>
          <w:b/>
          <w:color w:val="auto"/>
          <w:sz w:val="24"/>
          <w:szCs w:val="24"/>
          <w:highlight w:val="none"/>
        </w:rPr>
      </w:pPr>
      <w:bookmarkStart w:id="80" w:name="_Toc11560"/>
      <w:r>
        <w:rPr>
          <w:rFonts w:hint="eastAsia" w:hAnsi="宋体" w:cs="宋体"/>
          <w:b/>
          <w:color w:val="auto"/>
          <w:sz w:val="24"/>
          <w:szCs w:val="24"/>
          <w:highlight w:val="none"/>
        </w:rPr>
        <w:t>7.采购文件的澄清与修改</w:t>
      </w:r>
      <w:bookmarkEnd w:id="80"/>
    </w:p>
    <w:p w14:paraId="6AC92C62">
      <w:pPr>
        <w:pStyle w:val="5"/>
        <w:snapToGrid w:val="0"/>
        <w:spacing w:line="360" w:lineRule="auto"/>
        <w:ind w:firstLineChars="175"/>
        <w:rPr>
          <w:rFonts w:cs="宋体"/>
          <w:bCs/>
          <w:color w:val="auto"/>
          <w:sz w:val="24"/>
          <w:szCs w:val="24"/>
          <w:highlight w:val="none"/>
        </w:rPr>
      </w:pPr>
      <w:bookmarkStart w:id="81" w:name="_Toc24659"/>
      <w:r>
        <w:rPr>
          <w:rFonts w:hint="eastAsia" w:cs="宋体"/>
          <w:color w:val="auto"/>
          <w:sz w:val="24"/>
          <w:szCs w:val="24"/>
          <w:highlight w:val="none"/>
        </w:rPr>
        <w:t>7.1</w:t>
      </w:r>
      <w:r>
        <w:rPr>
          <w:rFonts w:hint="eastAsia" w:cs="宋体"/>
          <w:bCs/>
          <w:color w:val="auto"/>
          <w:sz w:val="24"/>
          <w:szCs w:val="24"/>
          <w:highlight w:val="none"/>
        </w:rPr>
        <w:t>至磋商响应截止时间5日（如至原定截止时间不足5日，则需延长截止时间）前，</w:t>
      </w:r>
      <w:r>
        <w:rPr>
          <w:rFonts w:hint="eastAsia" w:cs="宋体"/>
          <w:color w:val="auto"/>
          <w:sz w:val="24"/>
          <w:szCs w:val="24"/>
          <w:highlight w:val="none"/>
        </w:rPr>
        <w:t>采购代理机构</w:t>
      </w:r>
      <w:r>
        <w:rPr>
          <w:rFonts w:hint="eastAsia" w:cs="宋体"/>
          <w:bCs/>
          <w:color w:val="auto"/>
          <w:sz w:val="24"/>
          <w:szCs w:val="24"/>
          <w:highlight w:val="none"/>
        </w:rPr>
        <w:t>可主动或依报价人要求澄清的问题修改采购文件，但应当</w:t>
      </w:r>
      <w:r>
        <w:rPr>
          <w:rFonts w:hint="eastAsia" w:cs="宋体"/>
          <w:color w:val="auto"/>
          <w:sz w:val="24"/>
          <w:szCs w:val="24"/>
          <w:highlight w:val="none"/>
        </w:rPr>
        <w:t>在原信息发布媒体上发布更正公告，</w:t>
      </w:r>
      <w:r>
        <w:rPr>
          <w:rFonts w:hint="eastAsia" w:cs="宋体"/>
          <w:bCs/>
          <w:color w:val="auto"/>
          <w:sz w:val="24"/>
          <w:szCs w:val="24"/>
          <w:highlight w:val="none"/>
        </w:rPr>
        <w:t>并以书面形式通知所有采购文件收受人，报价人在收到该通知后应当立即以传真形式予以确认</w:t>
      </w:r>
      <w:r>
        <w:rPr>
          <w:rFonts w:hint="eastAsia" w:cs="宋体"/>
          <w:color w:val="auto"/>
          <w:sz w:val="24"/>
          <w:szCs w:val="24"/>
          <w:highlight w:val="none"/>
        </w:rPr>
        <w:t>（如属网上采购项目</w:t>
      </w:r>
      <w:r>
        <w:rPr>
          <w:rFonts w:hint="eastAsia" w:cs="宋体"/>
          <w:bCs/>
          <w:color w:val="auto"/>
          <w:sz w:val="24"/>
          <w:szCs w:val="24"/>
          <w:highlight w:val="none"/>
        </w:rPr>
        <w:t>，在采购公告原发布媒体及实施网上采购的网站发布更正公告，不再书面答复）。</w:t>
      </w:r>
      <w:r>
        <w:rPr>
          <w:rFonts w:hint="eastAsia" w:cs="宋体"/>
          <w:color w:val="auto"/>
          <w:sz w:val="24"/>
          <w:szCs w:val="24"/>
          <w:highlight w:val="none"/>
        </w:rPr>
        <w:t>该修改内容为采购文件的组成部分，对报价人具有约束力。但</w:t>
      </w:r>
      <w:r>
        <w:rPr>
          <w:rFonts w:hint="eastAsia" w:cs="宋体"/>
          <w:bCs/>
          <w:color w:val="auto"/>
          <w:sz w:val="24"/>
          <w:szCs w:val="24"/>
          <w:highlight w:val="none"/>
        </w:rPr>
        <w:t>本采购文件第7.2条规定的推迟响应截止时间情形不受本条约束。</w:t>
      </w:r>
      <w:bookmarkEnd w:id="81"/>
    </w:p>
    <w:p w14:paraId="618FEF17">
      <w:pPr>
        <w:pStyle w:val="5"/>
        <w:snapToGrid w:val="0"/>
        <w:spacing w:line="360" w:lineRule="auto"/>
        <w:ind w:firstLineChars="175"/>
        <w:rPr>
          <w:rFonts w:cs="宋体"/>
          <w:color w:val="auto"/>
          <w:sz w:val="24"/>
          <w:szCs w:val="24"/>
          <w:highlight w:val="none"/>
        </w:rPr>
      </w:pPr>
      <w:bookmarkStart w:id="82" w:name="_Toc30281"/>
      <w:r>
        <w:rPr>
          <w:rFonts w:hint="eastAsia" w:cs="宋体"/>
          <w:color w:val="auto"/>
          <w:sz w:val="24"/>
          <w:szCs w:val="24"/>
          <w:highlight w:val="none"/>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bookmarkEnd w:id="82"/>
    </w:p>
    <w:p w14:paraId="6B0CEDA4">
      <w:pPr>
        <w:pStyle w:val="5"/>
        <w:snapToGrid w:val="0"/>
        <w:spacing w:line="360" w:lineRule="auto"/>
        <w:ind w:firstLineChars="175"/>
        <w:rPr>
          <w:rFonts w:cs="宋体"/>
          <w:color w:val="auto"/>
          <w:sz w:val="24"/>
          <w:szCs w:val="24"/>
          <w:highlight w:val="none"/>
        </w:rPr>
      </w:pPr>
    </w:p>
    <w:p w14:paraId="5ADC63AA">
      <w:pPr>
        <w:pStyle w:val="5"/>
        <w:snapToGrid w:val="0"/>
        <w:spacing w:line="360" w:lineRule="auto"/>
        <w:ind w:firstLine="562" w:firstLineChars="175"/>
        <w:jc w:val="center"/>
        <w:outlineLvl w:val="1"/>
        <w:rPr>
          <w:rFonts w:cs="宋体"/>
          <w:bCs/>
          <w:color w:val="auto"/>
          <w:sz w:val="24"/>
          <w:szCs w:val="24"/>
          <w:highlight w:val="none"/>
        </w:rPr>
      </w:pPr>
      <w:bookmarkStart w:id="83" w:name="_Toc3818"/>
      <w:bookmarkStart w:id="84" w:name="_Toc25324"/>
      <w:bookmarkStart w:id="85" w:name="_Toc480252347"/>
      <w:bookmarkStart w:id="86" w:name="_Toc20915"/>
      <w:r>
        <w:rPr>
          <w:rFonts w:hint="eastAsia" w:cs="宋体"/>
          <w:b/>
          <w:color w:val="auto"/>
          <w:sz w:val="32"/>
          <w:szCs w:val="32"/>
          <w:highlight w:val="none"/>
        </w:rPr>
        <w:t>三、报价文件的编写</w:t>
      </w:r>
      <w:bookmarkEnd w:id="83"/>
      <w:bookmarkEnd w:id="84"/>
      <w:bookmarkEnd w:id="85"/>
      <w:bookmarkEnd w:id="86"/>
    </w:p>
    <w:p w14:paraId="7D329465">
      <w:pPr>
        <w:pStyle w:val="8"/>
        <w:spacing w:line="360" w:lineRule="auto"/>
        <w:jc w:val="left"/>
        <w:rPr>
          <w:rFonts w:hAnsi="宋体" w:cs="宋体"/>
          <w:b/>
          <w:color w:val="auto"/>
          <w:sz w:val="24"/>
          <w:szCs w:val="24"/>
          <w:highlight w:val="none"/>
        </w:rPr>
      </w:pPr>
      <w:bookmarkStart w:id="87" w:name="_Toc9349"/>
      <w:r>
        <w:rPr>
          <w:rFonts w:hint="eastAsia" w:hAnsi="宋体" w:cs="宋体"/>
          <w:b/>
          <w:color w:val="auto"/>
          <w:sz w:val="24"/>
          <w:szCs w:val="24"/>
          <w:highlight w:val="none"/>
        </w:rPr>
        <w:t>8.要求</w:t>
      </w:r>
      <w:bookmarkEnd w:id="87"/>
    </w:p>
    <w:p w14:paraId="2B693907">
      <w:pPr>
        <w:pStyle w:val="8"/>
        <w:spacing w:line="360" w:lineRule="auto"/>
        <w:ind w:firstLine="480"/>
        <w:jc w:val="left"/>
        <w:rPr>
          <w:rFonts w:hAnsi="宋体" w:cs="宋体"/>
          <w:color w:val="auto"/>
          <w:sz w:val="24"/>
          <w:szCs w:val="24"/>
          <w:highlight w:val="none"/>
        </w:rPr>
      </w:pPr>
      <w:r>
        <w:rPr>
          <w:rFonts w:hint="eastAsia" w:hAnsi="宋体" w:cs="宋体"/>
          <w:color w:val="auto"/>
          <w:sz w:val="24"/>
          <w:szCs w:val="24"/>
          <w:highlight w:val="none"/>
        </w:rPr>
        <w:t>8.1报价人应仔细阅读采购文件的所有内容，按采购文件的要求提供报价文件，报价文件应对采购文件的要求作出实质性响应，并保证所提供的全部资料的真实性，否则其报价文件可被作响应无效处理。</w:t>
      </w:r>
    </w:p>
    <w:p w14:paraId="2FA71105">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8.2除非有另外的规定，报价人应按被邀请参加响应的合同包进行报价，同时，应对所报价合同包下的所有品目号进行报价。采购人不接受有任何可选择性的报价，每一种货物、</w:t>
      </w:r>
      <w:r>
        <w:rPr>
          <w:rFonts w:hint="eastAsia" w:hAnsi="宋体" w:cs="宋体"/>
          <w:color w:val="auto"/>
          <w:sz w:val="24"/>
          <w:szCs w:val="24"/>
          <w:highlight w:val="none"/>
        </w:rPr>
        <w:t>服务</w:t>
      </w:r>
      <w:r>
        <w:rPr>
          <w:rFonts w:hint="eastAsia" w:hAnsi="宋体" w:cs="宋体"/>
          <w:color w:val="auto"/>
          <w:sz w:val="24"/>
          <w:szCs w:val="24"/>
          <w:highlight w:val="none"/>
        </w:rPr>
        <w:t>、工程只能有一个报价。</w:t>
      </w:r>
    </w:p>
    <w:p w14:paraId="71192272">
      <w:pPr>
        <w:pStyle w:val="8"/>
        <w:spacing w:line="360" w:lineRule="auto"/>
        <w:jc w:val="left"/>
        <w:rPr>
          <w:rFonts w:hAnsi="宋体" w:cs="宋体"/>
          <w:b/>
          <w:color w:val="auto"/>
          <w:sz w:val="24"/>
          <w:szCs w:val="24"/>
          <w:highlight w:val="none"/>
        </w:rPr>
      </w:pPr>
      <w:bookmarkStart w:id="88" w:name="_Toc1549"/>
      <w:r>
        <w:rPr>
          <w:rFonts w:hint="eastAsia" w:hAnsi="宋体" w:cs="宋体"/>
          <w:b/>
          <w:color w:val="auto"/>
          <w:sz w:val="24"/>
          <w:szCs w:val="24"/>
          <w:highlight w:val="none"/>
        </w:rPr>
        <w:t>9.磋商报价文件语言及报价要求</w:t>
      </w:r>
      <w:bookmarkEnd w:id="88"/>
    </w:p>
    <w:p w14:paraId="19AAC16B">
      <w:pPr>
        <w:pStyle w:val="8"/>
        <w:spacing w:line="360" w:lineRule="auto"/>
        <w:ind w:firstLine="480" w:firstLineChars="200"/>
        <w:jc w:val="left"/>
        <w:rPr>
          <w:rFonts w:hAnsi="宋体" w:cs="宋体"/>
          <w:b/>
          <w:color w:val="auto"/>
          <w:sz w:val="24"/>
          <w:szCs w:val="24"/>
          <w:highlight w:val="none"/>
        </w:rPr>
      </w:pPr>
      <w:r>
        <w:rPr>
          <w:rFonts w:hint="eastAsia" w:hAnsi="宋体" w:cs="宋体"/>
          <w:color w:val="auto"/>
          <w:sz w:val="24"/>
          <w:szCs w:val="24"/>
          <w:highlight w:val="none"/>
        </w:rPr>
        <w:t>9.1磋商报价文件应用中文书写。报价文件中所附或所引用的原件不是中文时，应附中文译文。各种计量单位及符号应采用国际上统一使用的公制计量单位和符号。</w:t>
      </w:r>
    </w:p>
    <w:p w14:paraId="5FC8F810">
      <w:pPr>
        <w:pStyle w:val="8"/>
        <w:spacing w:line="360" w:lineRule="auto"/>
        <w:jc w:val="left"/>
        <w:rPr>
          <w:rFonts w:hAnsi="宋体" w:cs="宋体"/>
          <w:b/>
          <w:color w:val="auto"/>
          <w:sz w:val="24"/>
          <w:szCs w:val="24"/>
          <w:highlight w:val="none"/>
        </w:rPr>
      </w:pPr>
      <w:bookmarkStart w:id="89" w:name="_Toc30699"/>
      <w:r>
        <w:rPr>
          <w:rFonts w:hint="eastAsia" w:hAnsi="宋体" w:cs="宋体"/>
          <w:b/>
          <w:color w:val="auto"/>
          <w:sz w:val="24"/>
          <w:szCs w:val="24"/>
          <w:highlight w:val="none"/>
        </w:rPr>
        <w:t>10.磋商报价文件的组成</w:t>
      </w:r>
      <w:bookmarkEnd w:id="89"/>
    </w:p>
    <w:p w14:paraId="2A0E43A0">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10.1磋商报价文件应包括下列部分：</w:t>
      </w:r>
    </w:p>
    <w:p w14:paraId="5A8426F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（1）磋商响应声明函</w:t>
      </w:r>
    </w:p>
    <w:p w14:paraId="1A5559D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（2）报价一览表</w:t>
      </w:r>
    </w:p>
    <w:p w14:paraId="561C46E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（3）工程量清单报价表</w:t>
      </w:r>
    </w:p>
    <w:p w14:paraId="7673859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（4）工程说明一览表</w:t>
      </w:r>
    </w:p>
    <w:p w14:paraId="7213E81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（5） 项目管理机构配备情况 </w:t>
      </w:r>
    </w:p>
    <w:p w14:paraId="7A035DF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（6）技术规格和商务偏离表</w:t>
      </w:r>
    </w:p>
    <w:p w14:paraId="517CA76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（7）报价人的资格证明文件</w:t>
      </w:r>
    </w:p>
    <w:p w14:paraId="75A9EF19">
      <w:pPr>
        <w:spacing w:line="360" w:lineRule="auto"/>
        <w:ind w:firstLine="960" w:firstLineChars="400"/>
        <w:rPr>
          <w:rFonts w:ascii="宋体" w:hAnsi="宋体" w:cs="宋体"/>
          <w:color w:val="auto"/>
          <w:sz w:val="24"/>
          <w:szCs w:val="24"/>
          <w:highlight w:val="none"/>
        </w:rPr>
      </w:pPr>
      <w:r>
        <w:rPr>
          <w:rFonts w:hint="eastAsia" w:ascii="宋体" w:hAnsi="宋体" w:cs="宋体"/>
          <w:color w:val="auto"/>
          <w:sz w:val="24"/>
          <w:szCs w:val="24"/>
          <w:highlight w:val="none"/>
        </w:rPr>
        <w:t>关于资格的声明函</w:t>
      </w:r>
    </w:p>
    <w:p w14:paraId="259A7B7C">
      <w:pPr>
        <w:spacing w:line="360" w:lineRule="auto"/>
        <w:ind w:firstLine="960" w:firstLineChars="400"/>
        <w:rPr>
          <w:rFonts w:ascii="宋体" w:hAnsi="宋体" w:cs="宋体"/>
          <w:color w:val="auto"/>
          <w:sz w:val="24"/>
          <w:szCs w:val="24"/>
          <w:highlight w:val="none"/>
        </w:rPr>
      </w:pPr>
      <w:r>
        <w:rPr>
          <w:rFonts w:hint="eastAsia" w:ascii="宋体" w:hAnsi="宋体" w:cs="宋体"/>
          <w:color w:val="auto"/>
          <w:sz w:val="24"/>
          <w:szCs w:val="24"/>
          <w:highlight w:val="none"/>
        </w:rPr>
        <w:t>报价人的资格声明</w:t>
      </w:r>
    </w:p>
    <w:p w14:paraId="7A3AA978">
      <w:pPr>
        <w:spacing w:line="360" w:lineRule="auto"/>
        <w:ind w:firstLine="960" w:firstLineChars="400"/>
        <w:rPr>
          <w:rFonts w:ascii="宋体" w:hAnsi="宋体" w:cs="宋体"/>
          <w:color w:val="auto"/>
          <w:sz w:val="24"/>
          <w:szCs w:val="24"/>
          <w:highlight w:val="none"/>
        </w:rPr>
      </w:pPr>
      <w:r>
        <w:rPr>
          <w:rFonts w:hint="eastAsia" w:ascii="宋体" w:hAnsi="宋体" w:cs="宋体"/>
          <w:color w:val="auto"/>
          <w:sz w:val="24"/>
          <w:szCs w:val="24"/>
          <w:highlight w:val="none"/>
        </w:rPr>
        <w:t>法定代表人授权书</w:t>
      </w:r>
    </w:p>
    <w:p w14:paraId="5B78745B">
      <w:pPr>
        <w:spacing w:line="360" w:lineRule="auto"/>
        <w:ind w:firstLine="960" w:firstLineChars="400"/>
        <w:rPr>
          <w:rFonts w:ascii="宋体" w:hAnsi="宋体" w:cs="宋体"/>
          <w:color w:val="auto"/>
          <w:sz w:val="24"/>
          <w:szCs w:val="24"/>
          <w:highlight w:val="none"/>
        </w:rPr>
      </w:pPr>
      <w:r>
        <w:rPr>
          <w:rFonts w:hint="eastAsia" w:ascii="宋体" w:hAnsi="宋体" w:cs="宋体"/>
          <w:color w:val="auto"/>
          <w:sz w:val="24"/>
          <w:szCs w:val="24"/>
          <w:highlight w:val="none"/>
        </w:rPr>
        <w:t>单位营业执照、税务登记证（或统一信用代码）</w:t>
      </w:r>
    </w:p>
    <w:p w14:paraId="594137F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 代理服务费承诺书</w:t>
      </w:r>
    </w:p>
    <w:p w14:paraId="7286451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 (9) 磋商保证金</w:t>
      </w:r>
    </w:p>
    <w:p w14:paraId="2AB6187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（10）报价人应交的其他资料</w:t>
      </w:r>
    </w:p>
    <w:p w14:paraId="7D13B975">
      <w:pPr>
        <w:pStyle w:val="8"/>
        <w:spacing w:line="360" w:lineRule="auto"/>
        <w:jc w:val="left"/>
        <w:rPr>
          <w:rFonts w:hAnsi="宋体" w:cs="宋体"/>
          <w:b/>
          <w:color w:val="auto"/>
          <w:sz w:val="24"/>
          <w:szCs w:val="24"/>
          <w:highlight w:val="none"/>
        </w:rPr>
      </w:pPr>
      <w:bookmarkStart w:id="90" w:name="_Toc12704"/>
      <w:r>
        <w:rPr>
          <w:rFonts w:hint="eastAsia" w:hAnsi="宋体" w:cs="宋体"/>
          <w:b/>
          <w:color w:val="auto"/>
          <w:sz w:val="24"/>
          <w:szCs w:val="24"/>
          <w:highlight w:val="none"/>
        </w:rPr>
        <w:t>11.磋商响应有效期</w:t>
      </w:r>
      <w:bookmarkEnd w:id="90"/>
    </w:p>
    <w:p w14:paraId="4162B529">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11.1报价文件从</w:t>
      </w:r>
      <w:r>
        <w:rPr>
          <w:rFonts w:hint="eastAsia" w:hAnsi="宋体" w:cs="宋体"/>
          <w:bCs/>
          <w:color w:val="auto"/>
          <w:sz w:val="24"/>
          <w:szCs w:val="24"/>
          <w:highlight w:val="none"/>
        </w:rPr>
        <w:t>报价人须知前附表1</w:t>
      </w:r>
      <w:r>
        <w:rPr>
          <w:rFonts w:hint="eastAsia" w:hAnsi="宋体" w:cs="宋体"/>
          <w:color w:val="auto"/>
          <w:sz w:val="24"/>
          <w:szCs w:val="24"/>
          <w:highlight w:val="none"/>
        </w:rPr>
        <w:t>所规定的磋商响应截止期之日开始生效，在</w:t>
      </w:r>
      <w:r>
        <w:rPr>
          <w:rFonts w:hint="eastAsia" w:hAnsi="宋体" w:cs="宋体"/>
          <w:bCs/>
          <w:color w:val="auto"/>
          <w:sz w:val="24"/>
          <w:szCs w:val="24"/>
          <w:highlight w:val="none"/>
        </w:rPr>
        <w:t>报价人须知前附表</w:t>
      </w:r>
      <w:r>
        <w:rPr>
          <w:rFonts w:hint="eastAsia" w:hAnsi="宋体" w:cs="宋体"/>
          <w:color w:val="auto"/>
          <w:sz w:val="24"/>
          <w:szCs w:val="24"/>
          <w:highlight w:val="none"/>
        </w:rPr>
        <w:t>所规定的期限内保持有效。有效期不足将导致其报价文件被拒绝。</w:t>
      </w:r>
    </w:p>
    <w:p w14:paraId="690BC66F">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0A576613">
      <w:pPr>
        <w:pStyle w:val="8"/>
        <w:spacing w:line="360" w:lineRule="auto"/>
        <w:jc w:val="left"/>
        <w:rPr>
          <w:rFonts w:hAnsi="宋体" w:cs="宋体"/>
          <w:b/>
          <w:color w:val="auto"/>
          <w:sz w:val="24"/>
          <w:szCs w:val="24"/>
          <w:highlight w:val="none"/>
        </w:rPr>
      </w:pPr>
      <w:bookmarkStart w:id="91" w:name="_Toc7806"/>
      <w:r>
        <w:rPr>
          <w:rFonts w:hint="eastAsia" w:hAnsi="宋体" w:cs="宋体"/>
          <w:b/>
          <w:color w:val="auto"/>
          <w:sz w:val="24"/>
          <w:szCs w:val="24"/>
          <w:highlight w:val="none"/>
        </w:rPr>
        <w:t>12.磋商保证金</w:t>
      </w:r>
      <w:bookmarkEnd w:id="91"/>
    </w:p>
    <w:p w14:paraId="5255BD2C">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12.1 磋商保证金为报价文件的组成部分之一。</w:t>
      </w:r>
    </w:p>
    <w:p w14:paraId="383BFC6B">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12.2报价人应在提交报价文件之前向采购代理机构指定的保证金专户缴交报价人须知前附表要求的磋商保证金。联合体参加磋商的，可以由联合体中的一方或者共同提交磋商保证金，以一方名义提交磋商保证金的，对联合体各方均具有约束力。</w:t>
      </w:r>
    </w:p>
    <w:p w14:paraId="57F61FE0">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12.3 磋商保证金用于保护本次磋商活动免受报价人的行为而引起的风险。</w:t>
      </w:r>
    </w:p>
    <w:p w14:paraId="3C40987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12.4磋商保证金交纳方式及其它：</w:t>
      </w:r>
    </w:p>
    <w:p w14:paraId="7D4311D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5395CAD1">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②若项目存在分包的，则磋商保证金应按不同的合同包号分别提交。</w:t>
      </w:r>
    </w:p>
    <w:p w14:paraId="4CC98E5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③报价人为中小企业的，其磋商保证金减半交纳。减半交纳磋商保证金的报价人未按照采购文件格式要求在报价文件中提供《中小企业声明函》的，其磋商响应作无效响应处理。</w:t>
      </w:r>
    </w:p>
    <w:p w14:paraId="4F94BF45">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12.5 未按要求提交磋商保证金的磋商响应，将被视为无效响应。</w:t>
      </w:r>
    </w:p>
    <w:p w14:paraId="21360840">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12.6 采购代理机构将在成交通知书发出之日起5个工作日内予以原额无息退还未成交供应商的磋商保证金。</w:t>
      </w:r>
    </w:p>
    <w:p w14:paraId="1FB1738F">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12.7在成交供应商支付所有代理服务费并签订合同后5个工作日内，采购代理机构对成交供应商的磋商保证金予以原额无息退还。</w:t>
      </w:r>
    </w:p>
    <w:p w14:paraId="6543757A">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12.8磋商保证金产生的银行利息统一上缴市财政。</w:t>
      </w:r>
    </w:p>
    <w:p w14:paraId="3EAAB148">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12.9 发生以下情况之一的，磋商保证金将不予退还，由采购代理机构上缴财政部门：</w:t>
      </w:r>
    </w:p>
    <w:p w14:paraId="79D802DF">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（1）报价人在提交最后报价后，撤回磋商响应；</w:t>
      </w:r>
    </w:p>
    <w:p w14:paraId="41847120">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（2）除因不可抗力或采购文件认可的情形外，成交供应商未能做到按本须知规定签订合同的；</w:t>
      </w:r>
    </w:p>
    <w:p w14:paraId="698D4B0F">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（3）成交供应商未按本须知规定缴纳代理服务费；</w:t>
      </w:r>
    </w:p>
    <w:p w14:paraId="005D9ED9">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（4）以他人名义参与磋商响应或者以其他方式弄虚作假，骗取成交的；</w:t>
      </w:r>
    </w:p>
    <w:p w14:paraId="352C11B5">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（5）报价人在报价文件中提供虚假材料的；</w:t>
      </w:r>
    </w:p>
    <w:p w14:paraId="37484906">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（6）在禁止参加政府采购活动的处罚期内，仍参加政府采购活动的；</w:t>
      </w:r>
    </w:p>
    <w:p w14:paraId="662697EC">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（7）以不正当手段诋毁、排挤其他报价人的；</w:t>
      </w:r>
    </w:p>
    <w:p w14:paraId="1C4D89FD">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（8）因本项目政府采购过程中的违法行为，受到行政处罚的；</w:t>
      </w:r>
    </w:p>
    <w:p w14:paraId="71D101A5">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（9）与采购人、其他报价人或者采购代理机构恶意串通的；</w:t>
      </w:r>
    </w:p>
    <w:p w14:paraId="3EC8A0C0">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（10）法律、法规、规章及本采购文件中规定的其他没收磋商保证金的情形。</w:t>
      </w:r>
    </w:p>
    <w:p w14:paraId="27057231">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上述不予退还磋商保证金的情形给采购单位造成损失的，相关责任人还应当承担赔偿责任。</w:t>
      </w:r>
    </w:p>
    <w:p w14:paraId="3BD37302">
      <w:pPr>
        <w:pStyle w:val="8"/>
        <w:spacing w:line="360" w:lineRule="auto"/>
        <w:jc w:val="left"/>
        <w:rPr>
          <w:rFonts w:hAnsi="宋体" w:cs="宋体"/>
          <w:b/>
          <w:color w:val="auto"/>
          <w:sz w:val="24"/>
          <w:szCs w:val="24"/>
          <w:highlight w:val="none"/>
        </w:rPr>
      </w:pPr>
      <w:bookmarkStart w:id="92" w:name="_Toc29216"/>
      <w:r>
        <w:rPr>
          <w:rFonts w:hint="eastAsia" w:hAnsi="宋体" w:cs="宋体"/>
          <w:b/>
          <w:color w:val="auto"/>
          <w:sz w:val="24"/>
          <w:szCs w:val="24"/>
          <w:highlight w:val="none"/>
        </w:rPr>
        <w:t>13.磋商报价文件的格式</w:t>
      </w:r>
      <w:bookmarkEnd w:id="92"/>
    </w:p>
    <w:p w14:paraId="3A2BE20D">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13.1报价人须编制由本须知第10条规定文件组成的报价文件正本一份，副本</w:t>
      </w:r>
      <w:r>
        <w:rPr>
          <w:rFonts w:hint="eastAsia" w:hAnsi="宋体" w:cs="宋体"/>
          <w:color w:val="auto"/>
          <w:sz w:val="24"/>
          <w:szCs w:val="24"/>
          <w:highlight w:val="none"/>
          <w:u w:val="single"/>
        </w:rPr>
        <w:t>四</w:t>
      </w:r>
      <w:r>
        <w:rPr>
          <w:rFonts w:hint="eastAsia" w:hAnsi="宋体" w:cs="宋体"/>
          <w:color w:val="auto"/>
          <w:sz w:val="24"/>
          <w:szCs w:val="24"/>
          <w:highlight w:val="none"/>
        </w:rPr>
        <w:t>份，正本用A4等标准幅面纸张打印装订，副本可使用正本的完整复印件，并在封面注明“正本”、“副本”字样。正本与副本如有不一致的，以正本为准。</w:t>
      </w:r>
    </w:p>
    <w:p w14:paraId="599FEE54">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13.2报价文件应由报价人的法定代表人或授权代表签字并加盖公章，如由后者签字，应提供“单位授权委托书”。</w:t>
      </w:r>
    </w:p>
    <w:p w14:paraId="4919F9B6">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13.3除非另有规定或许可，磋商</w:t>
      </w:r>
      <w:r>
        <w:rPr>
          <w:rFonts w:hint="eastAsia" w:hAnsi="宋体" w:cs="宋体"/>
          <w:color w:val="auto"/>
          <w:sz w:val="24"/>
          <w:szCs w:val="24"/>
          <w:highlight w:val="none"/>
        </w:rPr>
        <w:t>响应使用货币为人民币。</w:t>
      </w:r>
    </w:p>
    <w:p w14:paraId="0EBB91B5">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13.4报价人应提交证明其拟提供货物、服务、工程符合采购文件要求的技术报价文件，该文件可以是文字资料、图纸和数据，并须提供货物、服务、工程主要技术性能的详细描述。</w:t>
      </w:r>
    </w:p>
    <w:p w14:paraId="4929967B">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13.5采购文件的正本和全部副本均应使用不能擦去的墨料或墨水打印、书写或复印，并由法定代表人或其授权代表签署，盖报价人公章。</w:t>
      </w:r>
    </w:p>
    <w:p w14:paraId="5C37C315">
      <w:pPr>
        <w:pStyle w:val="23"/>
        <w:spacing w:line="360" w:lineRule="auto"/>
        <w:ind w:firstLine="480" w:firstLineChars="200"/>
        <w:outlineLvl w:val="9"/>
        <w:rPr>
          <w:rFonts w:hAnsi="宋体" w:cs="宋体"/>
          <w:color w:val="auto"/>
          <w:sz w:val="24"/>
          <w:szCs w:val="24"/>
          <w:highlight w:val="none"/>
        </w:rPr>
      </w:pPr>
      <w:bookmarkStart w:id="93" w:name="_Toc482716569"/>
      <w:r>
        <w:rPr>
          <w:rFonts w:hint="eastAsia" w:hAnsi="宋体" w:cs="宋体"/>
          <w:color w:val="auto"/>
          <w:sz w:val="24"/>
          <w:szCs w:val="24"/>
          <w:highlight w:val="none"/>
        </w:rPr>
        <w:t>13.6 全套报价文件应无涂改和行间插字，除非这些改动是根</w:t>
      </w:r>
      <w:r>
        <w:rPr>
          <w:rFonts w:hint="eastAsia" w:hAnsi="宋体" w:cs="宋体"/>
          <w:color w:val="auto"/>
          <w:sz w:val="24"/>
          <w:szCs w:val="24"/>
          <w:highlight w:val="none"/>
        </w:rPr>
        <w:t>据采购代理机构的指示进行的，或者是为改正报价人造成的必须修改的错误而进行的。有改动时，修改处应由法定代表人或授权代表签字证明或加盖报价人公章。</w:t>
      </w:r>
      <w:bookmarkEnd w:id="93"/>
    </w:p>
    <w:p w14:paraId="3AF26E6A">
      <w:pPr>
        <w:pStyle w:val="23"/>
        <w:spacing w:line="360" w:lineRule="auto"/>
        <w:ind w:firstLine="480" w:firstLineChars="200"/>
        <w:outlineLvl w:val="9"/>
        <w:rPr>
          <w:rFonts w:hAnsi="宋体" w:cs="宋体"/>
          <w:color w:val="auto"/>
          <w:sz w:val="24"/>
          <w:szCs w:val="24"/>
          <w:highlight w:val="none"/>
        </w:rPr>
      </w:pPr>
      <w:bookmarkStart w:id="94" w:name="_Toc652217"/>
      <w:r>
        <w:rPr>
          <w:rFonts w:hint="eastAsia" w:hAnsi="宋体" w:cs="宋体"/>
          <w:color w:val="auto"/>
          <w:sz w:val="24"/>
          <w:szCs w:val="24"/>
          <w:highlight w:val="none"/>
        </w:rPr>
        <w:t>13.7未按本须知规定的格式填写报价文件、报价文件字迹模糊不清的，其磋商响应将被拒绝。</w:t>
      </w:r>
      <w:bookmarkEnd w:id="94"/>
    </w:p>
    <w:p w14:paraId="2D9E9706">
      <w:pPr>
        <w:pStyle w:val="23"/>
        <w:spacing w:line="360" w:lineRule="auto"/>
        <w:ind w:firstLine="480" w:firstLineChars="200"/>
        <w:outlineLvl w:val="9"/>
        <w:rPr>
          <w:rFonts w:hAnsi="宋体" w:cs="宋体"/>
          <w:color w:val="auto"/>
          <w:sz w:val="24"/>
          <w:szCs w:val="24"/>
          <w:highlight w:val="none"/>
        </w:rPr>
      </w:pPr>
      <w:bookmarkStart w:id="95" w:name="_Toc1635789177"/>
      <w:r>
        <w:rPr>
          <w:rFonts w:hint="eastAsia" w:hAnsi="宋体" w:cs="宋体"/>
          <w:color w:val="auto"/>
          <w:sz w:val="24"/>
          <w:szCs w:val="24"/>
          <w:highlight w:val="none"/>
        </w:rPr>
        <w:t>13.8 所有资格证明文件复印件须加盖报价人公章。</w:t>
      </w:r>
      <w:bookmarkEnd w:id="95"/>
    </w:p>
    <w:p w14:paraId="7F3A5F47">
      <w:pPr>
        <w:pStyle w:val="23"/>
        <w:spacing w:line="360" w:lineRule="auto"/>
        <w:ind w:firstLine="480" w:firstLineChars="200"/>
        <w:outlineLvl w:val="9"/>
        <w:rPr>
          <w:rFonts w:hAnsi="宋体" w:cs="宋体"/>
          <w:color w:val="auto"/>
          <w:sz w:val="24"/>
          <w:szCs w:val="24"/>
          <w:highlight w:val="none"/>
        </w:rPr>
      </w:pPr>
      <w:bookmarkStart w:id="96" w:name="_Toc2012001783"/>
      <w:r>
        <w:rPr>
          <w:rFonts w:hint="eastAsia" w:hAnsi="宋体" w:cs="宋体"/>
          <w:color w:val="auto"/>
          <w:sz w:val="24"/>
          <w:szCs w:val="24"/>
          <w:highlight w:val="none"/>
        </w:rPr>
        <w:t>13.9报价人应将上述文件按顺序装订成册、打印页码，并编列报价文件目录、资料清单，由于装订不规范或编排顺序混乱而导致报价文件被误读或漏读，该磋商响应可能被视为无效响应或承担不利的评审结果。</w:t>
      </w:r>
      <w:bookmarkEnd w:id="96"/>
    </w:p>
    <w:p w14:paraId="26F72ACD">
      <w:pPr>
        <w:pStyle w:val="23"/>
        <w:spacing w:line="360" w:lineRule="auto"/>
        <w:ind w:firstLine="480" w:firstLineChars="200"/>
        <w:outlineLvl w:val="9"/>
        <w:rPr>
          <w:rFonts w:hAnsi="宋体" w:cs="宋体"/>
          <w:color w:val="auto"/>
          <w:sz w:val="24"/>
          <w:szCs w:val="24"/>
          <w:highlight w:val="none"/>
        </w:rPr>
      </w:pPr>
    </w:p>
    <w:p w14:paraId="3106D5D0">
      <w:pPr>
        <w:pStyle w:val="23"/>
        <w:spacing w:line="360" w:lineRule="auto"/>
        <w:ind w:firstLine="480" w:firstLineChars="200"/>
        <w:outlineLvl w:val="9"/>
        <w:rPr>
          <w:rFonts w:hAnsi="宋体" w:cs="宋体"/>
          <w:color w:val="auto"/>
          <w:sz w:val="24"/>
          <w:szCs w:val="24"/>
          <w:highlight w:val="none"/>
        </w:rPr>
      </w:pPr>
    </w:p>
    <w:p w14:paraId="51F76CEF">
      <w:pPr>
        <w:pStyle w:val="23"/>
        <w:spacing w:line="360" w:lineRule="auto"/>
        <w:ind w:firstLine="643" w:firstLineChars="200"/>
        <w:jc w:val="center"/>
        <w:outlineLvl w:val="1"/>
        <w:rPr>
          <w:rFonts w:hAnsi="宋体" w:cs="宋体"/>
          <w:b/>
          <w:color w:val="auto"/>
          <w:sz w:val="24"/>
          <w:szCs w:val="24"/>
          <w:highlight w:val="none"/>
        </w:rPr>
      </w:pPr>
      <w:bookmarkStart w:id="97" w:name="_Toc16300"/>
      <w:bookmarkStart w:id="98" w:name="_Toc69765014"/>
      <w:bookmarkStart w:id="99" w:name="_Toc7017"/>
      <w:bookmarkStart w:id="100" w:name="_Toc12281"/>
      <w:r>
        <w:rPr>
          <w:rFonts w:hint="eastAsia" w:hAnsi="宋体" w:cs="宋体"/>
          <w:b/>
          <w:color w:val="auto"/>
          <w:sz w:val="32"/>
          <w:szCs w:val="32"/>
          <w:highlight w:val="none"/>
        </w:rPr>
        <w:t>四、报价文件的提交</w:t>
      </w:r>
      <w:bookmarkEnd w:id="97"/>
      <w:bookmarkEnd w:id="98"/>
      <w:bookmarkEnd w:id="99"/>
      <w:bookmarkEnd w:id="100"/>
    </w:p>
    <w:p w14:paraId="075DC951">
      <w:pPr>
        <w:pStyle w:val="23"/>
        <w:spacing w:line="360" w:lineRule="auto"/>
        <w:outlineLvl w:val="9"/>
        <w:rPr>
          <w:rFonts w:hAnsi="宋体" w:cs="宋体"/>
          <w:b/>
          <w:color w:val="auto"/>
          <w:sz w:val="24"/>
          <w:szCs w:val="24"/>
          <w:highlight w:val="none"/>
        </w:rPr>
      </w:pPr>
      <w:bookmarkStart w:id="101" w:name="_Toc30178"/>
      <w:bookmarkStart w:id="102" w:name="_Toc1019380236"/>
      <w:r>
        <w:rPr>
          <w:rFonts w:hint="eastAsia" w:hAnsi="宋体" w:cs="宋体"/>
          <w:b/>
          <w:color w:val="auto"/>
          <w:sz w:val="24"/>
          <w:szCs w:val="24"/>
          <w:highlight w:val="none"/>
        </w:rPr>
        <w:t>14.报价文件的密封、标记和递交</w:t>
      </w:r>
      <w:bookmarkEnd w:id="101"/>
      <w:bookmarkEnd w:id="102"/>
    </w:p>
    <w:p w14:paraId="11C6AF09">
      <w:pPr>
        <w:pStyle w:val="23"/>
        <w:spacing w:line="360" w:lineRule="auto"/>
        <w:ind w:firstLine="480" w:firstLineChars="200"/>
        <w:outlineLvl w:val="9"/>
        <w:rPr>
          <w:rFonts w:hAnsi="宋体" w:cs="宋体"/>
          <w:color w:val="auto"/>
          <w:sz w:val="24"/>
          <w:szCs w:val="24"/>
          <w:highlight w:val="none"/>
        </w:rPr>
      </w:pPr>
      <w:bookmarkStart w:id="103" w:name="_Toc1005930595"/>
      <w:r>
        <w:rPr>
          <w:rFonts w:hint="eastAsia" w:hAnsi="宋体" w:cs="宋体"/>
          <w:color w:val="auto"/>
          <w:sz w:val="24"/>
          <w:szCs w:val="24"/>
          <w:highlight w:val="none"/>
        </w:rPr>
        <w:t>14.1 报价人应将报价文件正本和副本分别用信封密封，并标明采购文件编号、报价人名称、采购项目名称及“正本”或“副本”。报价文件未密封可导致其磋商被拒绝。</w:t>
      </w:r>
      <w:bookmarkEnd w:id="103"/>
    </w:p>
    <w:p w14:paraId="42B77FF8">
      <w:pPr>
        <w:pStyle w:val="23"/>
        <w:spacing w:line="360" w:lineRule="auto"/>
        <w:ind w:firstLine="480" w:firstLineChars="200"/>
        <w:outlineLvl w:val="9"/>
        <w:rPr>
          <w:rFonts w:hAnsi="宋体" w:cs="宋体"/>
          <w:color w:val="auto"/>
          <w:sz w:val="24"/>
          <w:szCs w:val="24"/>
          <w:highlight w:val="none"/>
        </w:rPr>
      </w:pPr>
      <w:bookmarkStart w:id="104" w:name="_Toc278509130"/>
      <w:r>
        <w:rPr>
          <w:rFonts w:hint="eastAsia" w:hAnsi="宋体" w:cs="宋体"/>
          <w:color w:val="auto"/>
          <w:sz w:val="24"/>
          <w:szCs w:val="24"/>
          <w:highlight w:val="none"/>
        </w:rPr>
        <w:t>14.2每一信封密封处应注明“于之前（指磋商邀请中规定的磋商日期及时间）不准启封”的字样，并加盖报价人公章或由磋商代表签字。</w:t>
      </w:r>
      <w:bookmarkEnd w:id="104"/>
      <w:r>
        <w:rPr>
          <w:rFonts w:hint="eastAsia" w:hAnsi="宋体" w:cs="宋体"/>
          <w:color w:val="auto"/>
          <w:sz w:val="24"/>
          <w:szCs w:val="24"/>
          <w:highlight w:val="none"/>
        </w:rPr>
        <w:t xml:space="preserve">     </w:t>
      </w:r>
    </w:p>
    <w:p w14:paraId="24048962">
      <w:pPr>
        <w:pStyle w:val="23"/>
        <w:spacing w:line="360" w:lineRule="auto"/>
        <w:ind w:firstLine="480" w:firstLineChars="200"/>
        <w:outlineLvl w:val="9"/>
        <w:rPr>
          <w:rFonts w:hAnsi="宋体" w:cs="宋体"/>
          <w:color w:val="auto"/>
          <w:sz w:val="24"/>
          <w:szCs w:val="24"/>
          <w:highlight w:val="none"/>
        </w:rPr>
      </w:pPr>
      <w:bookmarkStart w:id="105" w:name="_Toc1990053143"/>
      <w:r>
        <w:rPr>
          <w:rFonts w:hint="eastAsia" w:hAnsi="宋体" w:cs="宋体"/>
          <w:color w:val="auto"/>
          <w:sz w:val="24"/>
          <w:szCs w:val="24"/>
          <w:highlight w:val="none"/>
        </w:rPr>
        <w:t>14.3 如报价文件由邮局或专人送交，报价人应将报价文件按第14.1条至14.2条中的规定进行密封和标记后，按磋商邀请函注明的地址送至接收人。</w:t>
      </w:r>
      <w:bookmarkEnd w:id="105"/>
    </w:p>
    <w:p w14:paraId="52E18009">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14.4 如果未按上述规定进行密封和标记，采购代理机构将不承担由此造成的对报价文件的误投或提前拆封的责任。</w:t>
      </w:r>
    </w:p>
    <w:p w14:paraId="2593F7D3">
      <w:pPr>
        <w:pStyle w:val="23"/>
        <w:spacing w:line="360" w:lineRule="auto"/>
        <w:ind w:firstLine="480" w:firstLineChars="200"/>
        <w:outlineLvl w:val="9"/>
        <w:rPr>
          <w:rFonts w:hAnsi="宋体" w:cs="宋体"/>
          <w:color w:val="auto"/>
          <w:sz w:val="24"/>
          <w:szCs w:val="24"/>
          <w:highlight w:val="none"/>
        </w:rPr>
      </w:pPr>
      <w:bookmarkStart w:id="106" w:name="_Toc409422803"/>
      <w:r>
        <w:rPr>
          <w:rFonts w:hint="eastAsia" w:hAnsi="宋体" w:cs="宋体"/>
          <w:color w:val="auto"/>
          <w:sz w:val="24"/>
          <w:szCs w:val="24"/>
          <w:highlight w:val="none"/>
        </w:rPr>
        <w:t>14.5报价文件应在磋商邀请中规定的截止时间前送达，迟到的报价文件为无效报价文件，将被拒绝。</w:t>
      </w:r>
      <w:bookmarkEnd w:id="106"/>
    </w:p>
    <w:p w14:paraId="686CDBF9">
      <w:pPr>
        <w:pStyle w:val="23"/>
        <w:spacing w:line="360" w:lineRule="auto"/>
        <w:ind w:firstLine="480" w:firstLineChars="200"/>
        <w:outlineLvl w:val="9"/>
        <w:rPr>
          <w:rFonts w:hAnsi="宋体" w:cs="宋体"/>
          <w:color w:val="auto"/>
          <w:sz w:val="24"/>
          <w:szCs w:val="24"/>
          <w:highlight w:val="none"/>
        </w:rPr>
      </w:pPr>
      <w:bookmarkStart w:id="107" w:name="_Toc1587289329"/>
      <w:r>
        <w:rPr>
          <w:rFonts w:hint="eastAsia" w:hAnsi="宋体" w:cs="宋体"/>
          <w:color w:val="auto"/>
          <w:sz w:val="24"/>
          <w:szCs w:val="24"/>
          <w:highlight w:val="none"/>
        </w:rPr>
        <w:t>14.6报价人在磋商响应截止时间前，可以对所提交的采购文件进行修改或者撤回，并书面通知采购代理机构。修改的内容和撤回通知应当按本须知要求签署、盖章、密封，并作为报价文件的组成部分。</w:t>
      </w:r>
      <w:bookmarkEnd w:id="107"/>
    </w:p>
    <w:p w14:paraId="309FE803">
      <w:pPr>
        <w:pStyle w:val="23"/>
        <w:spacing w:line="360" w:lineRule="auto"/>
        <w:ind w:firstLine="480" w:firstLineChars="200"/>
        <w:outlineLvl w:val="9"/>
        <w:rPr>
          <w:rFonts w:hAnsi="宋体" w:cs="宋体"/>
          <w:color w:val="auto"/>
          <w:sz w:val="24"/>
          <w:szCs w:val="24"/>
          <w:highlight w:val="none"/>
        </w:rPr>
      </w:pPr>
      <w:bookmarkStart w:id="108" w:name="_Toc838447565"/>
      <w:r>
        <w:rPr>
          <w:rFonts w:hint="eastAsia" w:hAnsi="宋体" w:cs="宋体"/>
          <w:color w:val="auto"/>
          <w:sz w:val="24"/>
          <w:szCs w:val="24"/>
          <w:highlight w:val="none"/>
        </w:rPr>
        <w:t>14.7报价人在磋商响应截止期后不得修改、撤回报价文件。报价人在报价截止期后修改报价文件的，其磋商响应将被拒绝。</w:t>
      </w:r>
      <w:bookmarkEnd w:id="108"/>
    </w:p>
    <w:p w14:paraId="613DD4D3">
      <w:pPr>
        <w:pStyle w:val="23"/>
        <w:spacing w:line="360" w:lineRule="auto"/>
        <w:ind w:firstLine="480" w:firstLineChars="200"/>
        <w:outlineLvl w:val="9"/>
        <w:rPr>
          <w:rFonts w:hAnsi="宋体" w:cs="宋体"/>
          <w:color w:val="auto"/>
          <w:sz w:val="24"/>
          <w:szCs w:val="24"/>
          <w:highlight w:val="none"/>
        </w:rPr>
      </w:pPr>
      <w:bookmarkStart w:id="109" w:name="_Toc550867316"/>
      <w:r>
        <w:rPr>
          <w:rFonts w:hint="eastAsia" w:hAnsi="宋体" w:cs="宋体"/>
          <w:color w:val="auto"/>
          <w:sz w:val="24"/>
          <w:szCs w:val="24"/>
          <w:highlight w:val="none"/>
        </w:rPr>
        <w:t>14.8提交最后报价的报价人不得少于三家。属于市场竞争不充分的科研项目，以及需要扶持的科技成果转化项目，符合实质性响应要求，提交最后报价的报价人可以为2家。属于政府购买</w:t>
      </w:r>
      <w:r>
        <w:rPr>
          <w:rFonts w:hint="eastAsia" w:hAnsi="宋体" w:cs="宋体"/>
          <w:color w:val="auto"/>
          <w:sz w:val="24"/>
          <w:szCs w:val="24"/>
          <w:highlight w:val="none"/>
        </w:rPr>
        <w:t>服务</w:t>
      </w:r>
      <w:r>
        <w:rPr>
          <w:rFonts w:hint="eastAsia" w:hAnsi="宋体" w:cs="宋体"/>
          <w:color w:val="auto"/>
          <w:sz w:val="24"/>
          <w:szCs w:val="24"/>
          <w:highlight w:val="none"/>
        </w:rPr>
        <w:t>项目的，在采购过程中符合要求的报价人只有2家的，竞争性磋商采购活动可以继续进行，采购过程中符合要求的报价人只有1家的，应当终止采购活动，发布项目终止公告并说明原因，重新开展采购活动。</w:t>
      </w:r>
      <w:bookmarkEnd w:id="109"/>
    </w:p>
    <w:p w14:paraId="409CFBAB">
      <w:pPr>
        <w:pStyle w:val="23"/>
        <w:spacing w:line="360" w:lineRule="auto"/>
        <w:ind w:firstLine="480" w:firstLineChars="200"/>
        <w:outlineLvl w:val="9"/>
        <w:rPr>
          <w:rFonts w:hAnsi="宋体" w:cs="宋体"/>
          <w:color w:val="auto"/>
          <w:sz w:val="24"/>
          <w:szCs w:val="24"/>
          <w:highlight w:val="none"/>
        </w:rPr>
      </w:pPr>
    </w:p>
    <w:p w14:paraId="6B75596F">
      <w:pPr>
        <w:pStyle w:val="23"/>
        <w:spacing w:line="360" w:lineRule="auto"/>
        <w:ind w:firstLine="643" w:firstLineChars="200"/>
        <w:jc w:val="center"/>
        <w:outlineLvl w:val="1"/>
        <w:rPr>
          <w:rFonts w:hAnsi="宋体" w:cs="宋体"/>
          <w:b/>
          <w:color w:val="auto"/>
          <w:sz w:val="24"/>
          <w:szCs w:val="24"/>
          <w:highlight w:val="none"/>
        </w:rPr>
      </w:pPr>
      <w:bookmarkStart w:id="110" w:name="_Toc13097"/>
      <w:bookmarkStart w:id="111" w:name="_Toc25510"/>
      <w:bookmarkStart w:id="112" w:name="_Toc370113679"/>
      <w:bookmarkStart w:id="113" w:name="_Toc26811"/>
      <w:r>
        <w:rPr>
          <w:rFonts w:hint="eastAsia" w:hAnsi="宋体" w:cs="宋体"/>
          <w:b/>
          <w:color w:val="auto"/>
          <w:sz w:val="32"/>
          <w:szCs w:val="32"/>
          <w:highlight w:val="none"/>
        </w:rPr>
        <w:t>五、报价文件的评估和比较</w:t>
      </w:r>
      <w:bookmarkEnd w:id="110"/>
      <w:bookmarkEnd w:id="111"/>
      <w:bookmarkEnd w:id="112"/>
      <w:bookmarkEnd w:id="113"/>
    </w:p>
    <w:p w14:paraId="0F378579">
      <w:pPr>
        <w:pStyle w:val="8"/>
        <w:spacing w:line="360" w:lineRule="auto"/>
        <w:jc w:val="left"/>
        <w:rPr>
          <w:rFonts w:hAnsi="宋体" w:cs="宋体"/>
          <w:b/>
          <w:color w:val="auto"/>
          <w:sz w:val="24"/>
          <w:szCs w:val="24"/>
          <w:highlight w:val="none"/>
        </w:rPr>
      </w:pPr>
      <w:bookmarkStart w:id="114" w:name="_Toc14756"/>
      <w:r>
        <w:rPr>
          <w:rFonts w:hint="eastAsia" w:hAnsi="宋体" w:cs="宋体"/>
          <w:b/>
          <w:color w:val="auto"/>
          <w:sz w:val="24"/>
          <w:szCs w:val="24"/>
          <w:highlight w:val="none"/>
        </w:rPr>
        <w:t>15.磋商时间</w:t>
      </w:r>
      <w:bookmarkEnd w:id="114"/>
    </w:p>
    <w:p w14:paraId="66664A51">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15.1在报价人须知前附表中所规定的时间、地点磋商（如有推迟情形，以推迟后的时间、地点为准）。</w:t>
      </w:r>
    </w:p>
    <w:p w14:paraId="417B2D8E">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15.2磋商由采购代理机构主持，邀请采购人、报价人和有关方面代表参加。报价人一般应派授权代表参加磋商，并办理签到手续。</w:t>
      </w:r>
    </w:p>
    <w:p w14:paraId="78A6DBEF">
      <w:pPr>
        <w:pStyle w:val="8"/>
        <w:spacing w:line="360" w:lineRule="auto"/>
        <w:jc w:val="left"/>
        <w:rPr>
          <w:rFonts w:hAnsi="宋体" w:cs="宋体"/>
          <w:b/>
          <w:color w:val="auto"/>
          <w:sz w:val="24"/>
          <w:szCs w:val="24"/>
          <w:highlight w:val="none"/>
        </w:rPr>
      </w:pPr>
      <w:bookmarkStart w:id="115" w:name="_Toc9468"/>
      <w:r>
        <w:rPr>
          <w:rFonts w:hint="eastAsia" w:hAnsi="宋体" w:cs="宋体"/>
          <w:b/>
          <w:color w:val="auto"/>
          <w:sz w:val="24"/>
          <w:szCs w:val="24"/>
          <w:highlight w:val="none"/>
        </w:rPr>
        <w:t>16.磋商小组</w:t>
      </w:r>
      <w:bookmarkEnd w:id="115"/>
    </w:p>
    <w:p w14:paraId="1372EC5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 采购代理机构将根据项目的特点及相关规定组建磋商小组，磋商小组由技术、经济、法律方面的专家和采购人代表组成。成员为3人及以上单数组成，专家不能少于三分之二。磋商小组将对磋商报价文件进行审查、质疑、评估和比较，进行磋商并做出授予合同的建议。</w:t>
      </w:r>
    </w:p>
    <w:p w14:paraId="61CB3DDB">
      <w:pPr>
        <w:pStyle w:val="8"/>
        <w:spacing w:line="360" w:lineRule="auto"/>
        <w:jc w:val="left"/>
        <w:rPr>
          <w:rFonts w:hAnsi="宋体" w:cs="宋体"/>
          <w:b/>
          <w:color w:val="auto"/>
          <w:sz w:val="24"/>
          <w:szCs w:val="24"/>
          <w:highlight w:val="none"/>
        </w:rPr>
      </w:pPr>
      <w:bookmarkStart w:id="116" w:name="_Toc31081"/>
      <w:r>
        <w:rPr>
          <w:rFonts w:hint="eastAsia" w:hAnsi="宋体" w:cs="宋体"/>
          <w:b/>
          <w:color w:val="auto"/>
          <w:sz w:val="24"/>
          <w:szCs w:val="24"/>
          <w:highlight w:val="none"/>
        </w:rPr>
        <w:t>17.报价文件的初审</w:t>
      </w:r>
      <w:bookmarkEnd w:id="116"/>
    </w:p>
    <w:p w14:paraId="2552251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对所有报价人的评估，都采用相同的程序和标准。评议过程将严格按照采购文件的要求和条件进行。</w:t>
      </w:r>
    </w:p>
    <w:p w14:paraId="073FF64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有关报价文件的审查、澄清、评估和比较以及推荐成交候选人的一切情况都不得透露给任一报价人或与上述磋商工作无关的人员。</w:t>
      </w:r>
    </w:p>
    <w:p w14:paraId="318E77F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报价人任何试图影响磋商小组对报价文件的评审、比较或者推荐候选人的行为，都将导致其磋商响应被拒绝，并被没收磋商保证金。</w:t>
      </w:r>
    </w:p>
    <w:p w14:paraId="4C3F970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17.1磋商小组将对报价文件进行审查，以确定报价文件是否完整、有无计算上的错误、是否提交了磋商保证金、文件是否已正确签署。 </w:t>
      </w:r>
    </w:p>
    <w:p w14:paraId="63A1AFA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17.2 算术错误将按以下方法更正：</w:t>
      </w:r>
    </w:p>
    <w:p w14:paraId="54C903E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（1）报价文件中报价一览表内容与报价文件中明细表内容不一致的，以报价一览表为准。</w:t>
      </w:r>
    </w:p>
    <w:p w14:paraId="423C7F5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02B4942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如果报价人不接受按上述方法对报价文件中的算术错误进行更正，其响应将被拒绝并没收其磋商保证金。</w:t>
      </w:r>
    </w:p>
    <w:p w14:paraId="5DE3B72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17.3资格性检查和符合性检查 </w:t>
      </w:r>
    </w:p>
    <w:p w14:paraId="6B045E4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091F9408">
      <w:pPr>
        <w:spacing w:line="360" w:lineRule="auto"/>
        <w:ind w:left="31" w:leftChars="15"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56EADD8A">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（1）未按规定由报价人的法定代表人或其授权代表签字；或未加盖报价人公章的；或签字人未提供单位有效授权委托书的；</w:t>
      </w:r>
    </w:p>
    <w:p w14:paraId="006F8468">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（2）未按规定提交磋商保证金的；</w:t>
      </w:r>
    </w:p>
    <w:p w14:paraId="18C5E2A6">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（3）磋商响应有效期不满足采购文件要求的；</w:t>
      </w:r>
    </w:p>
    <w:p w14:paraId="5A0C5EAB">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（4）报价文件内容与采购文件内容及要求有重大偏离或保留的；</w:t>
      </w:r>
    </w:p>
    <w:p w14:paraId="43745A49">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（5）报价人提交的是可选择的报价；</w:t>
      </w:r>
    </w:p>
    <w:p w14:paraId="5AEE524B">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（6）报价人未按采购文件要求进行分项报价；</w:t>
      </w:r>
    </w:p>
    <w:p w14:paraId="0CD33665">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（7）报价文件中提供虚假或失实资料的；</w:t>
      </w:r>
    </w:p>
    <w:p w14:paraId="39AA67C4">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（8）不符合采购文件中规定的其它实质性条款。 </w:t>
      </w:r>
    </w:p>
    <w:p w14:paraId="1416EA40">
      <w:pPr>
        <w:spacing w:line="360" w:lineRule="auto"/>
        <w:ind w:left="69" w:leftChars="33"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磋商小组决定报价的响应性只根据报价文件本身的内容，而不寻求其他的外部证据。</w:t>
      </w:r>
    </w:p>
    <w:p w14:paraId="3CE11D85">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17.4报价人提交的报价文件将给予保密，但不予退回。</w:t>
      </w:r>
    </w:p>
    <w:p w14:paraId="3D77A472">
      <w:pPr>
        <w:pStyle w:val="5"/>
        <w:snapToGrid w:val="0"/>
        <w:spacing w:line="360" w:lineRule="auto"/>
        <w:ind w:firstLine="480" w:firstLineChars="200"/>
        <w:rPr>
          <w:rFonts w:cs="宋体"/>
          <w:color w:val="auto"/>
          <w:sz w:val="24"/>
          <w:szCs w:val="24"/>
          <w:highlight w:val="none"/>
        </w:rPr>
      </w:pPr>
      <w:bookmarkStart w:id="117" w:name="_Toc26297"/>
      <w:r>
        <w:rPr>
          <w:rFonts w:hint="eastAsia" w:cs="宋体"/>
          <w:color w:val="auto"/>
          <w:sz w:val="24"/>
          <w:szCs w:val="24"/>
          <w:highlight w:val="none"/>
        </w:rPr>
        <w:t>17.5报价人资格和报价产品均必须满足中华人民共和国相关法律法规及行业的强制性要求，否则将作无效响应处理。</w:t>
      </w:r>
      <w:bookmarkEnd w:id="117"/>
    </w:p>
    <w:p w14:paraId="748BF68D">
      <w:pPr>
        <w:pStyle w:val="5"/>
        <w:snapToGrid w:val="0"/>
        <w:spacing w:line="360" w:lineRule="auto"/>
        <w:ind w:firstLine="0"/>
        <w:rPr>
          <w:rFonts w:cs="宋体"/>
          <w:color w:val="auto"/>
          <w:sz w:val="24"/>
          <w:szCs w:val="24"/>
          <w:highlight w:val="none"/>
        </w:rPr>
      </w:pPr>
      <w:bookmarkStart w:id="118" w:name="_Toc5426"/>
      <w:r>
        <w:rPr>
          <w:rFonts w:hint="eastAsia" w:cs="宋体"/>
          <w:b/>
          <w:color w:val="auto"/>
          <w:sz w:val="24"/>
          <w:szCs w:val="24"/>
          <w:highlight w:val="none"/>
        </w:rPr>
        <w:t>18.磋商相应文件的澄清</w:t>
      </w:r>
      <w:bookmarkEnd w:id="118"/>
    </w:p>
    <w:p w14:paraId="7BD3EBE0">
      <w:pPr>
        <w:pStyle w:val="5"/>
        <w:snapToGrid w:val="0"/>
        <w:spacing w:line="360" w:lineRule="auto"/>
        <w:ind w:firstLine="480" w:firstLineChars="200"/>
        <w:rPr>
          <w:rFonts w:cs="宋体"/>
          <w:color w:val="auto"/>
          <w:sz w:val="24"/>
          <w:szCs w:val="24"/>
          <w:highlight w:val="none"/>
        </w:rPr>
      </w:pPr>
      <w:bookmarkStart w:id="119" w:name="_Toc17405"/>
      <w:r>
        <w:rPr>
          <w:rFonts w:hint="eastAsia" w:cs="宋体"/>
          <w:color w:val="auto"/>
          <w:sz w:val="24"/>
          <w:szCs w:val="24"/>
          <w:highlight w:val="none"/>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bookmarkEnd w:id="119"/>
    </w:p>
    <w:p w14:paraId="00FDB629">
      <w:pPr>
        <w:pStyle w:val="8"/>
        <w:spacing w:line="360" w:lineRule="auto"/>
        <w:jc w:val="left"/>
        <w:rPr>
          <w:rFonts w:hAnsi="宋体" w:cs="宋体"/>
          <w:b/>
          <w:color w:val="auto"/>
          <w:sz w:val="24"/>
          <w:szCs w:val="24"/>
          <w:highlight w:val="none"/>
        </w:rPr>
      </w:pPr>
      <w:bookmarkStart w:id="120" w:name="_Toc28840"/>
      <w:r>
        <w:rPr>
          <w:rFonts w:hint="eastAsia" w:hAnsi="宋体" w:cs="宋体"/>
          <w:b/>
          <w:color w:val="auto"/>
          <w:sz w:val="24"/>
          <w:szCs w:val="24"/>
          <w:highlight w:val="none"/>
        </w:rPr>
        <w:t>19.比较与评价</w:t>
      </w:r>
      <w:bookmarkEnd w:id="120"/>
    </w:p>
    <w:p w14:paraId="562F9D07">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19.1 磋商小组将按报价人须知前附表3所述评审方法与标准，对资格性检查和符合性检查合格的采购文件进行商务和技术评估，综合比较与评价。</w:t>
      </w:r>
    </w:p>
    <w:p w14:paraId="670B1C4A">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6181D7FE">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366426CF">
      <w:pPr>
        <w:pStyle w:val="23"/>
        <w:spacing w:line="360" w:lineRule="auto"/>
        <w:jc w:val="center"/>
        <w:outlineLvl w:val="1"/>
        <w:rPr>
          <w:rFonts w:hAnsi="宋体" w:cs="宋体"/>
          <w:b/>
          <w:color w:val="auto"/>
          <w:sz w:val="24"/>
          <w:szCs w:val="24"/>
          <w:highlight w:val="none"/>
        </w:rPr>
      </w:pPr>
      <w:bookmarkStart w:id="121" w:name="_Toc18543"/>
      <w:bookmarkStart w:id="122" w:name="_Toc32631"/>
      <w:bookmarkStart w:id="123" w:name="_Toc25374"/>
      <w:bookmarkStart w:id="124" w:name="_Toc1320416104"/>
      <w:r>
        <w:rPr>
          <w:rFonts w:hint="eastAsia" w:hAnsi="宋体" w:cs="宋体"/>
          <w:b/>
          <w:color w:val="auto"/>
          <w:sz w:val="32"/>
          <w:szCs w:val="32"/>
          <w:highlight w:val="none"/>
        </w:rPr>
        <w:t>六、成交与签订合同</w:t>
      </w:r>
      <w:bookmarkEnd w:id="121"/>
      <w:bookmarkEnd w:id="122"/>
      <w:bookmarkEnd w:id="123"/>
      <w:bookmarkEnd w:id="124"/>
    </w:p>
    <w:p w14:paraId="4E65E110">
      <w:pPr>
        <w:pStyle w:val="8"/>
        <w:spacing w:line="360" w:lineRule="auto"/>
        <w:jc w:val="left"/>
        <w:rPr>
          <w:rFonts w:hAnsi="宋体" w:cs="宋体"/>
          <w:color w:val="auto"/>
          <w:sz w:val="24"/>
          <w:szCs w:val="24"/>
          <w:highlight w:val="none"/>
        </w:rPr>
      </w:pPr>
      <w:bookmarkStart w:id="125" w:name="_Toc19699"/>
      <w:r>
        <w:rPr>
          <w:rFonts w:hint="eastAsia" w:hAnsi="宋体" w:cs="宋体"/>
          <w:color w:val="auto"/>
          <w:sz w:val="24"/>
          <w:szCs w:val="24"/>
          <w:highlight w:val="none"/>
        </w:rPr>
        <w:t>20.成交准则</w:t>
      </w:r>
      <w:bookmarkEnd w:id="125"/>
    </w:p>
    <w:p w14:paraId="0A354156">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20.1报价人的报价文件符合采购文件要求，按采购文件确定评审方法、标准，经磋商小组评审并推荐成交候选人。 </w:t>
      </w:r>
    </w:p>
    <w:p w14:paraId="640BB8D0">
      <w:pPr>
        <w:pStyle w:val="8"/>
        <w:spacing w:line="360" w:lineRule="auto"/>
        <w:jc w:val="left"/>
        <w:rPr>
          <w:rFonts w:hAnsi="宋体" w:cs="宋体"/>
          <w:b/>
          <w:color w:val="auto"/>
          <w:sz w:val="24"/>
          <w:szCs w:val="24"/>
          <w:highlight w:val="none"/>
        </w:rPr>
      </w:pPr>
      <w:bookmarkStart w:id="126" w:name="_Toc27723"/>
      <w:r>
        <w:rPr>
          <w:rFonts w:hint="eastAsia" w:hAnsi="宋体" w:cs="宋体"/>
          <w:b/>
          <w:color w:val="auto"/>
          <w:sz w:val="24"/>
          <w:szCs w:val="24"/>
          <w:highlight w:val="none"/>
        </w:rPr>
        <w:t>21.成交通知</w:t>
      </w:r>
      <w:bookmarkEnd w:id="126"/>
    </w:p>
    <w:p w14:paraId="6F06827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21.1磋商结束后，磋商结果经采购人确认后，采购代理机构应自成交人确定之日起2个工作日内在厦门招投标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5213BC4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21.2《成交通知书》发出同时应将未成交通知书发送给其他报价人。</w:t>
      </w:r>
    </w:p>
    <w:p w14:paraId="38E1712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21.3《成交通知书》将作为签订合同的依据。采购合同签订后，《成交通知书》成为合同的一部分。</w:t>
      </w:r>
    </w:p>
    <w:p w14:paraId="0711915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21.4《成交通知书》发出后5个工作日内，采购代理机构以原缴交方式向未成交的报价人退还其磋商保证金（含保函）。在合同签订后5个工作日内，以原缴交方式退还成交供应商的磋商保证金。</w:t>
      </w:r>
    </w:p>
    <w:p w14:paraId="1368CBF6">
      <w:pPr>
        <w:pStyle w:val="8"/>
        <w:spacing w:line="360" w:lineRule="auto"/>
        <w:jc w:val="left"/>
        <w:rPr>
          <w:rFonts w:hAnsi="宋体" w:cs="宋体"/>
          <w:b/>
          <w:color w:val="auto"/>
          <w:sz w:val="24"/>
          <w:szCs w:val="24"/>
          <w:highlight w:val="none"/>
        </w:rPr>
      </w:pPr>
      <w:bookmarkStart w:id="127" w:name="_Toc22089"/>
      <w:r>
        <w:rPr>
          <w:rFonts w:hint="eastAsia" w:hAnsi="宋体" w:cs="宋体"/>
          <w:b/>
          <w:color w:val="auto"/>
          <w:sz w:val="24"/>
          <w:szCs w:val="24"/>
          <w:highlight w:val="none"/>
        </w:rPr>
        <w:t>22.签订合同</w:t>
      </w:r>
      <w:bookmarkEnd w:id="127"/>
    </w:p>
    <w:p w14:paraId="54F527F4">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29492176">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22.2采购文件、采购文件的修改文件、成交供应商的报价文件、补充或修改的文件及澄清或承诺文件等，均为双方签订合同的组成部分，并与合同一并作为本采购文件所列采购项目的互补性</w:t>
      </w:r>
      <w:r>
        <w:rPr>
          <w:rFonts w:hint="eastAsia" w:hAnsi="宋体" w:cs="宋体"/>
          <w:color w:val="auto"/>
          <w:sz w:val="24"/>
          <w:szCs w:val="24"/>
          <w:highlight w:val="none"/>
        </w:rPr>
        <w:t>法律文件，与合同具有同等法律效力。</w:t>
      </w:r>
    </w:p>
    <w:p w14:paraId="0E80A321">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22.3采购人在合同履行中，需追加与合同标的相同的工程的，在不改变合同其他条款的前提下，可与供应商协商签订补充合同，但所有补充合同的采购金额不得超过原合同采购金额的10%。</w:t>
      </w:r>
    </w:p>
    <w:p w14:paraId="11DB828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22.4成交供应商因不可抗力或者自身原因不能履行采购</w:t>
      </w:r>
      <w:r>
        <w:rPr>
          <w:rFonts w:hint="eastAsia" w:ascii="宋体" w:hAnsi="宋体" w:cs="宋体"/>
          <w:color w:val="auto"/>
          <w:sz w:val="24"/>
          <w:szCs w:val="24"/>
          <w:highlight w:val="none"/>
        </w:rPr>
        <w:t>合同的，采购人可以与排位在成交供应商之后第一位的成交备选供应商签订采购合同，以此类推。且在此情况下，作为成交供应商之后第一位的成交候选人应同意与采购人按不高于其最终报价签订采购合同。</w:t>
      </w:r>
    </w:p>
    <w:p w14:paraId="0A6E7C95">
      <w:pPr>
        <w:pStyle w:val="8"/>
        <w:spacing w:line="360" w:lineRule="auto"/>
        <w:jc w:val="left"/>
        <w:rPr>
          <w:rFonts w:hAnsi="宋体" w:cs="宋体"/>
          <w:b/>
          <w:color w:val="auto"/>
          <w:sz w:val="24"/>
          <w:szCs w:val="24"/>
          <w:highlight w:val="none"/>
        </w:rPr>
      </w:pPr>
      <w:bookmarkStart w:id="128" w:name="_Toc5170"/>
      <w:r>
        <w:rPr>
          <w:rFonts w:hint="eastAsia" w:hAnsi="宋体" w:cs="宋体"/>
          <w:b/>
          <w:color w:val="auto"/>
          <w:sz w:val="24"/>
          <w:szCs w:val="24"/>
          <w:highlight w:val="none"/>
        </w:rPr>
        <w:t>23.代理服务费</w:t>
      </w:r>
      <w:bookmarkEnd w:id="128"/>
    </w:p>
    <w:p w14:paraId="1BA0E014">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成交供应商应按须知前附表一次性向采购代理机构交纳代理服务费。</w:t>
      </w:r>
    </w:p>
    <w:p w14:paraId="5AB75DAD">
      <w:pPr>
        <w:spacing w:line="360" w:lineRule="auto"/>
        <w:rPr>
          <w:rFonts w:ascii="宋体" w:hAnsi="宋体" w:cs="宋体"/>
          <w:b/>
          <w:bCs/>
          <w:color w:val="auto"/>
          <w:sz w:val="24"/>
          <w:szCs w:val="24"/>
          <w:highlight w:val="none"/>
        </w:rPr>
      </w:pPr>
    </w:p>
    <w:p w14:paraId="470DB718">
      <w:pPr>
        <w:spacing w:line="360" w:lineRule="auto"/>
        <w:rPr>
          <w:rFonts w:ascii="宋体" w:hAnsi="宋体" w:cs="宋体"/>
          <w:b/>
          <w:bCs/>
          <w:color w:val="auto"/>
          <w:sz w:val="24"/>
          <w:szCs w:val="24"/>
          <w:highlight w:val="none"/>
        </w:rPr>
      </w:pPr>
    </w:p>
    <w:p w14:paraId="04A3F2E9">
      <w:pPr>
        <w:spacing w:line="360" w:lineRule="auto"/>
        <w:rPr>
          <w:rFonts w:ascii="宋体" w:hAnsi="宋体" w:cs="宋体"/>
          <w:b/>
          <w:bCs/>
          <w:color w:val="auto"/>
          <w:sz w:val="24"/>
          <w:szCs w:val="24"/>
          <w:highlight w:val="none"/>
        </w:rPr>
      </w:pPr>
    </w:p>
    <w:p w14:paraId="55A16A5E">
      <w:pPr>
        <w:spacing w:line="360" w:lineRule="auto"/>
        <w:rPr>
          <w:rFonts w:ascii="宋体" w:hAnsi="宋体" w:cs="宋体"/>
          <w:b/>
          <w:bCs/>
          <w:color w:val="auto"/>
          <w:sz w:val="24"/>
          <w:szCs w:val="24"/>
          <w:highlight w:val="none"/>
        </w:rPr>
      </w:pPr>
    </w:p>
    <w:p w14:paraId="5553ADD5">
      <w:pPr>
        <w:spacing w:line="360" w:lineRule="auto"/>
        <w:rPr>
          <w:rFonts w:ascii="宋体" w:hAnsi="宋体" w:cs="宋体"/>
          <w:b/>
          <w:bCs/>
          <w:color w:val="auto"/>
          <w:sz w:val="24"/>
          <w:szCs w:val="24"/>
          <w:highlight w:val="none"/>
        </w:rPr>
      </w:pPr>
    </w:p>
    <w:p w14:paraId="329CFE50">
      <w:pPr>
        <w:spacing w:line="360" w:lineRule="auto"/>
        <w:rPr>
          <w:rFonts w:ascii="宋体" w:hAnsi="宋体" w:cs="宋体"/>
          <w:b/>
          <w:bCs/>
          <w:color w:val="auto"/>
          <w:sz w:val="24"/>
          <w:szCs w:val="24"/>
          <w:highlight w:val="none"/>
        </w:rPr>
      </w:pPr>
    </w:p>
    <w:p w14:paraId="71B866D0">
      <w:pPr>
        <w:spacing w:line="360" w:lineRule="auto"/>
        <w:rPr>
          <w:rFonts w:ascii="宋体" w:hAnsi="宋体" w:cs="宋体"/>
          <w:b/>
          <w:bCs/>
          <w:color w:val="auto"/>
          <w:sz w:val="24"/>
          <w:szCs w:val="24"/>
          <w:highlight w:val="none"/>
        </w:rPr>
      </w:pPr>
    </w:p>
    <w:p w14:paraId="2718C107">
      <w:pPr>
        <w:spacing w:line="360" w:lineRule="auto"/>
        <w:rPr>
          <w:rFonts w:ascii="宋体" w:hAnsi="宋体" w:cs="宋体"/>
          <w:b/>
          <w:bCs/>
          <w:color w:val="auto"/>
          <w:sz w:val="24"/>
          <w:szCs w:val="24"/>
          <w:highlight w:val="none"/>
        </w:rPr>
      </w:pPr>
    </w:p>
    <w:p w14:paraId="3A4439E0">
      <w:pPr>
        <w:spacing w:line="360" w:lineRule="auto"/>
        <w:rPr>
          <w:rFonts w:ascii="宋体" w:hAnsi="宋体" w:cs="宋体"/>
          <w:b/>
          <w:bCs/>
          <w:color w:val="auto"/>
          <w:sz w:val="24"/>
          <w:szCs w:val="24"/>
          <w:highlight w:val="none"/>
        </w:rPr>
      </w:pPr>
    </w:p>
    <w:p w14:paraId="4B55BE39">
      <w:pPr>
        <w:spacing w:line="360" w:lineRule="auto"/>
        <w:rPr>
          <w:rFonts w:ascii="宋体" w:hAnsi="宋体" w:cs="宋体"/>
          <w:b/>
          <w:bCs/>
          <w:color w:val="auto"/>
          <w:sz w:val="24"/>
          <w:szCs w:val="24"/>
          <w:highlight w:val="none"/>
        </w:rPr>
      </w:pPr>
    </w:p>
    <w:p w14:paraId="794B8A88">
      <w:pPr>
        <w:spacing w:line="360" w:lineRule="auto"/>
        <w:rPr>
          <w:rFonts w:ascii="宋体" w:hAnsi="宋体" w:cs="宋体"/>
          <w:b/>
          <w:bCs/>
          <w:color w:val="auto"/>
          <w:sz w:val="24"/>
          <w:szCs w:val="24"/>
          <w:highlight w:val="none"/>
        </w:rPr>
      </w:pPr>
    </w:p>
    <w:p w14:paraId="1B478956">
      <w:pPr>
        <w:spacing w:line="360" w:lineRule="auto"/>
        <w:rPr>
          <w:rFonts w:ascii="宋体" w:hAnsi="宋体" w:cs="宋体"/>
          <w:b/>
          <w:bCs/>
          <w:color w:val="auto"/>
          <w:sz w:val="24"/>
          <w:szCs w:val="24"/>
          <w:highlight w:val="none"/>
        </w:rPr>
      </w:pPr>
    </w:p>
    <w:p w14:paraId="75B5B3D0">
      <w:pPr>
        <w:spacing w:line="360" w:lineRule="auto"/>
        <w:jc w:val="center"/>
        <w:outlineLvl w:val="0"/>
        <w:rPr>
          <w:rFonts w:ascii="宋体" w:hAnsi="宋体" w:cs="宋体"/>
          <w:b/>
          <w:bCs/>
          <w:color w:val="auto"/>
          <w:sz w:val="24"/>
          <w:szCs w:val="24"/>
          <w:highlight w:val="none"/>
        </w:rPr>
      </w:pPr>
      <w:bookmarkStart w:id="129" w:name="_Toc673582025"/>
      <w:bookmarkStart w:id="130" w:name="_Toc11005"/>
      <w:bookmarkStart w:id="131" w:name="_Toc8405"/>
      <w:bookmarkStart w:id="132" w:name="_Toc12662"/>
      <w:r>
        <w:rPr>
          <w:rFonts w:hint="eastAsia" w:ascii="宋体" w:hAnsi="宋体" w:cs="宋体"/>
          <w:b/>
          <w:bCs/>
          <w:color w:val="auto"/>
          <w:sz w:val="32"/>
          <w:szCs w:val="32"/>
          <w:highlight w:val="none"/>
        </w:rPr>
        <w:t>第三章  磋商内容及要求</w:t>
      </w:r>
      <w:bookmarkEnd w:id="129"/>
      <w:bookmarkEnd w:id="130"/>
      <w:bookmarkEnd w:id="131"/>
      <w:bookmarkEnd w:id="132"/>
    </w:p>
    <w:p w14:paraId="5766E831">
      <w:pPr>
        <w:spacing w:line="360" w:lineRule="auto"/>
        <w:rPr>
          <w:rFonts w:ascii="宋体" w:hAnsi="宋体" w:cs="宋体"/>
          <w:color w:val="auto"/>
          <w:sz w:val="24"/>
          <w:szCs w:val="24"/>
          <w:highlight w:val="none"/>
        </w:rPr>
      </w:pPr>
    </w:p>
    <w:p w14:paraId="05F7D6B3">
      <w:pPr>
        <w:pStyle w:val="3"/>
        <w:keepNext w:val="0"/>
        <w:keepLines w:val="0"/>
        <w:spacing w:before="0" w:after="0" w:line="360" w:lineRule="auto"/>
        <w:rPr>
          <w:rFonts w:ascii="宋体" w:hAnsi="宋体" w:eastAsia="宋体" w:cs="宋体"/>
          <w:color w:val="auto"/>
          <w:sz w:val="24"/>
          <w:szCs w:val="24"/>
          <w:highlight w:val="none"/>
        </w:rPr>
      </w:pPr>
      <w:bookmarkStart w:id="133" w:name="_Toc700809290"/>
      <w:bookmarkStart w:id="134" w:name="_Toc9564"/>
      <w:bookmarkStart w:id="135" w:name="_Toc29971"/>
      <w:bookmarkStart w:id="136" w:name="_Toc26744"/>
      <w:bookmarkStart w:id="137" w:name="_Toc432356148"/>
      <w:r>
        <w:rPr>
          <w:rFonts w:hint="eastAsia" w:ascii="宋体" w:hAnsi="宋体" w:eastAsia="宋体" w:cs="宋体"/>
          <w:color w:val="auto"/>
          <w:sz w:val="24"/>
          <w:szCs w:val="24"/>
          <w:highlight w:val="none"/>
        </w:rPr>
        <w:t>一、采购项目概述</w:t>
      </w:r>
      <w:bookmarkEnd w:id="133"/>
      <w:bookmarkEnd w:id="134"/>
      <w:bookmarkEnd w:id="135"/>
      <w:bookmarkEnd w:id="136"/>
    </w:p>
    <w:p w14:paraId="3D4DBE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1、本次</w:t>
      </w:r>
      <w:r>
        <w:rPr>
          <w:rFonts w:hint="eastAsia" w:ascii="宋体" w:hAnsi="宋体" w:cs="宋体"/>
          <w:color w:val="auto"/>
          <w:sz w:val="24"/>
          <w:szCs w:val="24"/>
          <w:highlight w:val="none"/>
        </w:rPr>
        <w:t>采购范围为厦禾校区食堂建设及文博楼用电改造工程，详细内容见工程量清单（另附）。</w:t>
      </w:r>
    </w:p>
    <w:p w14:paraId="242FAEC3">
      <w:pPr>
        <w:spacing w:line="360" w:lineRule="auto"/>
        <w:ind w:firstLine="480" w:firstLineChars="200"/>
        <w:rPr>
          <w:rFonts w:ascii="宋体" w:hAnsi="宋体" w:cs="宋体"/>
          <w:color w:val="auto"/>
          <w:sz w:val="24"/>
          <w:szCs w:val="24"/>
          <w:highlight w:val="none"/>
        </w:rPr>
      </w:pPr>
      <w:bookmarkStart w:id="138" w:name="_Toc4127"/>
      <w:r>
        <w:rPr>
          <w:rFonts w:hint="eastAsia" w:ascii="宋体" w:hAnsi="宋体" w:cs="宋体"/>
          <w:color w:val="auto"/>
          <w:sz w:val="24"/>
          <w:szCs w:val="24"/>
          <w:highlight w:val="none"/>
        </w:rPr>
        <w:t>2、本项目禁止转包，未经采购人同意不得分包。</w:t>
      </w:r>
      <w:bookmarkEnd w:id="138"/>
    </w:p>
    <w:p w14:paraId="53F06058">
      <w:pPr>
        <w:spacing w:line="360" w:lineRule="auto"/>
        <w:rPr>
          <w:rFonts w:ascii="宋体" w:hAnsi="宋体" w:cs="宋体"/>
          <w:color w:val="auto"/>
          <w:sz w:val="24"/>
          <w:szCs w:val="24"/>
          <w:highlight w:val="none"/>
        </w:rPr>
      </w:pPr>
    </w:p>
    <w:p w14:paraId="6581B013">
      <w:pPr>
        <w:pStyle w:val="3"/>
        <w:keepNext w:val="0"/>
        <w:keepLines w:val="0"/>
        <w:spacing w:before="0" w:after="0" w:line="360" w:lineRule="auto"/>
        <w:rPr>
          <w:rFonts w:ascii="宋体" w:hAnsi="宋体" w:eastAsia="宋体" w:cs="宋体"/>
          <w:color w:val="auto"/>
          <w:sz w:val="24"/>
          <w:szCs w:val="24"/>
          <w:highlight w:val="none"/>
        </w:rPr>
      </w:pPr>
      <w:bookmarkStart w:id="139" w:name="_Toc2006"/>
      <w:bookmarkStart w:id="140" w:name="_Toc11124"/>
      <w:bookmarkStart w:id="141" w:name="_Toc8091"/>
      <w:bookmarkStart w:id="142" w:name="_Toc688740652"/>
      <w:r>
        <w:rPr>
          <w:rFonts w:hint="eastAsia" w:ascii="宋体" w:hAnsi="宋体" w:eastAsia="宋体" w:cs="宋体"/>
          <w:color w:val="auto"/>
          <w:sz w:val="24"/>
          <w:szCs w:val="24"/>
          <w:highlight w:val="none"/>
        </w:rPr>
        <w:t>二、技术要求</w:t>
      </w:r>
      <w:bookmarkEnd w:id="139"/>
      <w:bookmarkEnd w:id="140"/>
      <w:bookmarkEnd w:id="141"/>
      <w:bookmarkEnd w:id="142"/>
    </w:p>
    <w:p w14:paraId="3C10331B">
      <w:pPr>
        <w:spacing w:line="360" w:lineRule="auto"/>
        <w:ind w:firstLine="464" w:firstLineChars="200"/>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1、本项目</w:t>
      </w:r>
      <w:r>
        <w:rPr>
          <w:rFonts w:hint="eastAsia" w:ascii="宋体" w:hAnsi="宋体" w:cs="宋体"/>
          <w:color w:val="auto"/>
          <w:sz w:val="24"/>
          <w:szCs w:val="24"/>
          <w:highlight w:val="none"/>
        </w:rPr>
        <w:t>工程量清单</w:t>
      </w:r>
      <w:r>
        <w:rPr>
          <w:rFonts w:hint="eastAsia" w:ascii="宋体" w:hAnsi="宋体" w:cs="宋体"/>
          <w:color w:val="auto"/>
          <w:spacing w:val="-4"/>
          <w:sz w:val="24"/>
          <w:szCs w:val="24"/>
          <w:highlight w:val="none"/>
        </w:rPr>
        <w:t>是采购文件不可分割的一部分，若采购文件的内容与</w:t>
      </w:r>
      <w:r>
        <w:rPr>
          <w:rFonts w:hint="eastAsia" w:ascii="宋体" w:hAnsi="宋体" w:cs="宋体"/>
          <w:color w:val="auto"/>
          <w:sz w:val="24"/>
          <w:szCs w:val="24"/>
          <w:highlight w:val="none"/>
        </w:rPr>
        <w:t>工程量清单</w:t>
      </w:r>
      <w:r>
        <w:rPr>
          <w:rFonts w:hint="eastAsia" w:ascii="宋体" w:hAnsi="宋体" w:cs="宋体"/>
          <w:color w:val="auto"/>
          <w:spacing w:val="-4"/>
          <w:sz w:val="24"/>
          <w:szCs w:val="24"/>
          <w:highlight w:val="none"/>
        </w:rPr>
        <w:t>的内容发生冲突，则以采购文件的内容解释为准。采购文件未体现的内容，若</w:t>
      </w:r>
      <w:r>
        <w:rPr>
          <w:rFonts w:hint="eastAsia" w:ascii="宋体" w:hAnsi="宋体" w:cs="宋体"/>
          <w:color w:val="auto"/>
          <w:sz w:val="24"/>
          <w:szCs w:val="24"/>
          <w:highlight w:val="none"/>
        </w:rPr>
        <w:t>工程量清单</w:t>
      </w:r>
      <w:r>
        <w:rPr>
          <w:rFonts w:hint="eastAsia" w:ascii="宋体" w:hAnsi="宋体" w:cs="宋体"/>
          <w:color w:val="auto"/>
          <w:spacing w:val="-4"/>
          <w:sz w:val="24"/>
          <w:szCs w:val="24"/>
          <w:highlight w:val="none"/>
        </w:rPr>
        <w:t>有体现，则以</w:t>
      </w:r>
      <w:r>
        <w:rPr>
          <w:rFonts w:hint="eastAsia" w:ascii="宋体" w:hAnsi="宋体" w:cs="宋体"/>
          <w:color w:val="auto"/>
          <w:sz w:val="24"/>
          <w:szCs w:val="24"/>
          <w:highlight w:val="none"/>
        </w:rPr>
        <w:t>工程量清单</w:t>
      </w:r>
      <w:r>
        <w:rPr>
          <w:rFonts w:hint="eastAsia" w:ascii="宋体" w:hAnsi="宋体" w:cs="宋体"/>
          <w:color w:val="auto"/>
          <w:spacing w:val="-4"/>
          <w:sz w:val="24"/>
          <w:szCs w:val="24"/>
          <w:highlight w:val="none"/>
        </w:rPr>
        <w:t>的内容为准。</w:t>
      </w:r>
    </w:p>
    <w:p w14:paraId="14584BC0">
      <w:pPr>
        <w:spacing w:line="360" w:lineRule="auto"/>
        <w:ind w:firstLine="464" w:firstLineChars="200"/>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2、报价人应提供施工组织方案，成交后进场施工前应向采购人提供详细的施工组织设计方案。</w:t>
      </w:r>
    </w:p>
    <w:p w14:paraId="2F8B830F">
      <w:pPr>
        <w:spacing w:line="360" w:lineRule="auto"/>
        <w:ind w:firstLine="461" w:firstLineChars="199"/>
        <w:rPr>
          <w:rFonts w:ascii="宋体" w:hAnsi="宋体" w:cs="宋体"/>
          <w:color w:val="auto"/>
          <w:sz w:val="24"/>
          <w:szCs w:val="24"/>
          <w:highlight w:val="none"/>
        </w:rPr>
      </w:pPr>
      <w:r>
        <w:rPr>
          <w:rFonts w:hint="eastAsia" w:ascii="宋体" w:hAnsi="宋体" w:cs="宋体"/>
          <w:color w:val="auto"/>
          <w:spacing w:val="-4"/>
          <w:sz w:val="24"/>
          <w:szCs w:val="24"/>
          <w:highlight w:val="none"/>
        </w:rPr>
        <w:t>3、报价人应提供</w:t>
      </w:r>
      <w:r>
        <w:rPr>
          <w:rFonts w:hint="eastAsia" w:ascii="宋体" w:hAnsi="宋体" w:cs="宋体"/>
          <w:color w:val="auto"/>
          <w:sz w:val="24"/>
          <w:szCs w:val="24"/>
          <w:highlight w:val="none"/>
        </w:rPr>
        <w:t>拟投入的主要施工机械设备，按采购人现场实际要求配置。</w:t>
      </w:r>
    </w:p>
    <w:p w14:paraId="48BD6520">
      <w:pPr>
        <w:spacing w:line="360" w:lineRule="auto"/>
        <w:ind w:firstLine="461" w:firstLineChars="199"/>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4、若项目施工地点有多单位在办公，报价人须采取必要的措施，避免影响其他单位正常上班秩序。</w:t>
      </w:r>
    </w:p>
    <w:p w14:paraId="5258E623">
      <w:pPr>
        <w:spacing w:line="360" w:lineRule="auto"/>
        <w:ind w:firstLine="461" w:firstLineChars="199"/>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5、所有材料、设备应经有关质量、安全部门认可后方可使用。材料进场时，必须经过采购单位或监理单位验审后，方可进场使用，否则，采购人有权给成交供应商发出停工令，所造成的损失由成交供应商负责。</w:t>
      </w:r>
    </w:p>
    <w:p w14:paraId="64B3F2D3">
      <w:pPr>
        <w:spacing w:line="360" w:lineRule="auto"/>
        <w:ind w:firstLine="461" w:firstLineChars="199"/>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6、报价人提供的货物及材料必须是正规合格、品质优良的产品，技术规格、安装标准及技术规范等必须符合国家和行业规定标准、规范要求。</w:t>
      </w:r>
    </w:p>
    <w:p w14:paraId="1BE9DD4C">
      <w:pPr>
        <w:spacing w:line="360" w:lineRule="auto"/>
        <w:ind w:firstLine="477" w:firstLineChars="199"/>
        <w:rPr>
          <w:rFonts w:ascii="宋体" w:hAnsi="宋体" w:cs="宋体"/>
          <w:color w:val="auto"/>
          <w:sz w:val="24"/>
          <w:szCs w:val="24"/>
          <w:highlight w:val="none"/>
        </w:rPr>
      </w:pPr>
      <w:r>
        <w:rPr>
          <w:rFonts w:hint="eastAsia" w:ascii="宋体" w:hAnsi="宋体" w:cs="宋体"/>
          <w:color w:val="auto"/>
          <w:sz w:val="24"/>
          <w:szCs w:val="24"/>
          <w:highlight w:val="none"/>
        </w:rPr>
        <w:t>7、现场踏勘：</w:t>
      </w:r>
    </w:p>
    <w:p w14:paraId="464F21FF">
      <w:pPr>
        <w:spacing w:line="360" w:lineRule="auto"/>
        <w:ind w:firstLine="477" w:firstLineChars="199"/>
        <w:rPr>
          <w:rFonts w:ascii="宋体" w:hAnsi="宋体" w:cs="宋体"/>
          <w:color w:val="auto"/>
          <w:sz w:val="24"/>
          <w:szCs w:val="24"/>
          <w:highlight w:val="none"/>
        </w:rPr>
      </w:pPr>
      <w:r>
        <w:rPr>
          <w:rFonts w:hint="eastAsia" w:ascii="宋体" w:hAnsi="宋体" w:cs="宋体"/>
          <w:color w:val="auto"/>
          <w:sz w:val="24"/>
          <w:szCs w:val="24"/>
          <w:highlight w:val="none"/>
        </w:rPr>
        <w:t>7.1本项目不组织统一现场踏勘，供应商可自行对项目现场及周围环境进行</w:t>
      </w:r>
      <w:r>
        <w:rPr>
          <w:rFonts w:hint="eastAsia" w:ascii="宋体" w:hAnsi="宋体" w:cs="宋体"/>
          <w:color w:val="auto"/>
          <w:sz w:val="24"/>
          <w:szCs w:val="24"/>
          <w:highlight w:val="none"/>
        </w:rPr>
        <w:t>踏勘，以便获取有关编制响应文件和签署合同所涉及现场的资料。供应商应自行承担踏勘现场所发生的所有费用。供应商没有对现场进行踏勘的，视同对项目现场已经了解。</w:t>
      </w:r>
      <w:r>
        <w:rPr>
          <w:rFonts w:hint="eastAsia" w:ascii="宋体" w:hAnsi="宋体" w:cs="宋体"/>
          <w:color w:val="auto"/>
          <w:sz w:val="24"/>
          <w:szCs w:val="24"/>
          <w:highlight w:val="none"/>
        </w:rPr>
        <w:t>踏勘联系人及电话</w:t>
      </w:r>
      <w:r>
        <w:rPr>
          <w:rFonts w:hint="eastAsia" w:ascii="宋体" w:hAnsi="宋体" w:cs="宋体"/>
          <w:color w:val="auto"/>
          <w:sz w:val="24"/>
          <w:szCs w:val="24"/>
          <w:highlight w:val="none"/>
          <w:u w:val="single"/>
        </w:rPr>
        <w:t>：郭老师，0592-2127283</w:t>
      </w:r>
      <w:r>
        <w:rPr>
          <w:rFonts w:hint="eastAsia" w:ascii="宋体" w:hAnsi="宋体" w:cs="宋体"/>
          <w:color w:val="auto"/>
          <w:sz w:val="24"/>
          <w:szCs w:val="24"/>
          <w:highlight w:val="none"/>
        </w:rPr>
        <w:t>。</w:t>
      </w:r>
    </w:p>
    <w:p w14:paraId="72F3B7C5">
      <w:pPr>
        <w:spacing w:line="360" w:lineRule="auto"/>
        <w:ind w:firstLine="477" w:firstLineChars="199"/>
        <w:rPr>
          <w:rFonts w:ascii="宋体" w:hAnsi="宋体" w:cs="宋体"/>
          <w:color w:val="auto"/>
          <w:sz w:val="24"/>
          <w:szCs w:val="24"/>
          <w:highlight w:val="none"/>
        </w:rPr>
      </w:pPr>
      <w:r>
        <w:rPr>
          <w:rFonts w:hint="eastAsia" w:ascii="宋体" w:hAnsi="宋体" w:cs="宋体"/>
          <w:color w:val="auto"/>
          <w:sz w:val="24"/>
          <w:szCs w:val="24"/>
          <w:highlight w:val="none"/>
        </w:rPr>
        <w:t>7.2供应商及其人员经过采购人允许，可以踏勘为目的进入项目</w:t>
      </w:r>
      <w:r>
        <w:rPr>
          <w:rFonts w:hint="eastAsia" w:ascii="宋体" w:hAnsi="宋体" w:cs="宋体"/>
          <w:color w:val="auto"/>
          <w:sz w:val="24"/>
          <w:szCs w:val="24"/>
          <w:highlight w:val="none"/>
        </w:rPr>
        <w:t>现场，但供应商及其人员不得因此使采购人及其人员承担有关的责任和蒙受损失。供应商并应对由此次踏勘现场而造成的任何损失、损害和引起的费用和开支承担责任。</w:t>
      </w:r>
    </w:p>
    <w:p w14:paraId="1919C5A8">
      <w:pPr>
        <w:spacing w:line="360" w:lineRule="auto"/>
        <w:ind w:firstLine="477" w:firstLineChars="199"/>
        <w:rPr>
          <w:rFonts w:ascii="宋体" w:hAnsi="宋体" w:cs="宋体"/>
          <w:color w:val="auto"/>
          <w:sz w:val="24"/>
          <w:szCs w:val="24"/>
          <w:highlight w:val="none"/>
        </w:rPr>
      </w:pPr>
      <w:r>
        <w:rPr>
          <w:rFonts w:hint="eastAsia" w:ascii="宋体" w:hAnsi="宋体" w:cs="宋体"/>
          <w:color w:val="auto"/>
          <w:sz w:val="24"/>
          <w:szCs w:val="24"/>
          <w:highlight w:val="none"/>
        </w:rPr>
        <w:t>7.3采购人向供应商提供的有关现场的资料和数据，是采购人现有的能被供应商利用的资料。采购人对供应商做出的理解、推论和结论均不负责任。</w:t>
      </w:r>
    </w:p>
    <w:p w14:paraId="71A4463C">
      <w:pPr>
        <w:spacing w:line="360" w:lineRule="auto"/>
        <w:ind w:firstLine="477" w:firstLineChars="199"/>
        <w:rPr>
          <w:rFonts w:ascii="宋体" w:hAnsi="宋体" w:cs="宋体"/>
          <w:b/>
          <w:color w:val="auto"/>
          <w:sz w:val="24"/>
          <w:szCs w:val="24"/>
          <w:highlight w:val="none"/>
        </w:rPr>
      </w:pPr>
      <w:bookmarkStart w:id="143" w:name="_Toc26592"/>
      <w:r>
        <w:rPr>
          <w:rFonts w:hint="eastAsia" w:ascii="宋体" w:hAnsi="宋体" w:cs="宋体"/>
          <w:color w:val="auto"/>
          <w:sz w:val="24"/>
          <w:szCs w:val="24"/>
          <w:highlight w:val="none"/>
        </w:rPr>
        <w:t>8、</w:t>
      </w:r>
      <w:r>
        <w:rPr>
          <w:rFonts w:hint="eastAsia" w:ascii="宋体" w:hAnsi="宋体" w:cs="宋体"/>
          <w:color w:val="auto"/>
          <w:sz w:val="24"/>
          <w:szCs w:val="24"/>
          <w:highlight w:val="none"/>
        </w:rPr>
        <w:t>项目管理班子配备分项要求</w:t>
      </w:r>
      <w:r>
        <w:rPr>
          <w:rFonts w:hint="eastAsia" w:ascii="宋体" w:hAnsi="宋体" w:cs="宋体"/>
          <w:b/>
          <w:color w:val="auto"/>
          <w:sz w:val="24"/>
          <w:szCs w:val="24"/>
          <w:highlight w:val="none"/>
        </w:rPr>
        <w:t>：</w:t>
      </w:r>
      <w:bookmarkEnd w:id="143"/>
    </w:p>
    <w:tbl>
      <w:tblPr>
        <w:tblStyle w:val="17"/>
        <w:tblW w:w="9198" w:type="dxa"/>
        <w:jc w:val="center"/>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03"/>
        <w:gridCol w:w="7895"/>
      </w:tblGrid>
      <w:tr w14:paraId="2B706039">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607" w:hRule="atLeast"/>
          <w:jc w:val="center"/>
        </w:trPr>
        <w:tc>
          <w:tcPr>
            <w:tcW w:w="9198" w:type="dxa"/>
            <w:gridSpan w:val="2"/>
            <w:tcBorders>
              <w:top w:val="thinThickSmallGap" w:color="auto" w:sz="12" w:space="0"/>
              <w:left w:val="thinThickSmallGap" w:color="auto" w:sz="12" w:space="0"/>
              <w:bottom w:val="single" w:color="auto" w:sz="6" w:space="0"/>
              <w:right w:val="thickThinSmallGap" w:color="auto" w:sz="12" w:space="0"/>
            </w:tcBorders>
            <w:vAlign w:val="center"/>
          </w:tcPr>
          <w:p w14:paraId="0DFE835A">
            <w:pPr>
              <w:spacing w:line="360" w:lineRule="exact"/>
              <w:jc w:val="center"/>
              <w:rPr>
                <w:rFonts w:hAnsi="宋体" w:cs="宋体"/>
                <w:b/>
                <w:color w:val="auto"/>
                <w:highlight w:val="none"/>
              </w:rPr>
            </w:pPr>
            <w:r>
              <w:rPr>
                <w:rFonts w:hint="eastAsia" w:ascii="宋体" w:hAnsi="宋体" w:eastAsia="宋体" w:cs="宋体"/>
                <w:b/>
                <w:bCs/>
                <w:color w:val="auto"/>
                <w:sz w:val="24"/>
                <w:szCs w:val="24"/>
                <w:highlight w:val="none"/>
              </w:rPr>
              <w:t>项目管理班子人员要求</w:t>
            </w:r>
          </w:p>
        </w:tc>
      </w:tr>
      <w:tr w14:paraId="0E5C485E">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2152" w:hRule="atLeast"/>
          <w:jc w:val="center"/>
        </w:trPr>
        <w:tc>
          <w:tcPr>
            <w:tcW w:w="1303" w:type="dxa"/>
            <w:tcBorders>
              <w:top w:val="single" w:color="auto" w:sz="6" w:space="0"/>
              <w:left w:val="thinThickSmallGap" w:color="auto" w:sz="12" w:space="0"/>
              <w:bottom w:val="single" w:color="auto" w:sz="6" w:space="0"/>
              <w:right w:val="single" w:color="auto" w:sz="6" w:space="0"/>
            </w:tcBorders>
            <w:vAlign w:val="center"/>
          </w:tcPr>
          <w:p w14:paraId="7D39E48D">
            <w:pPr>
              <w:spacing w:line="360" w:lineRule="exact"/>
              <w:jc w:val="center"/>
              <w:rPr>
                <w:rFonts w:hAnsi="宋体" w:cs="宋体"/>
                <w:color w:val="auto"/>
                <w:highlight w:val="none"/>
              </w:rPr>
            </w:pPr>
            <w:r>
              <w:rPr>
                <w:rFonts w:hint="eastAsia" w:ascii="宋体" w:hAnsi="宋体" w:eastAsia="宋体" w:cs="宋体"/>
                <w:b w:val="0"/>
                <w:bCs/>
                <w:color w:val="auto"/>
                <w:spacing w:val="-4"/>
                <w:sz w:val="24"/>
                <w:szCs w:val="24"/>
                <w:highlight w:val="none"/>
              </w:rPr>
              <w:t>项目负责人（项目经理）</w:t>
            </w:r>
          </w:p>
        </w:tc>
        <w:tc>
          <w:tcPr>
            <w:tcW w:w="7895" w:type="dxa"/>
            <w:tcBorders>
              <w:top w:val="single" w:color="auto" w:sz="6" w:space="0"/>
              <w:left w:val="single" w:color="auto" w:sz="6" w:space="0"/>
              <w:bottom w:val="single" w:color="auto" w:sz="6" w:space="0"/>
              <w:right w:val="thickThinSmallGap" w:color="auto" w:sz="12" w:space="0"/>
            </w:tcBorders>
            <w:vAlign w:val="center"/>
          </w:tcPr>
          <w:p w14:paraId="654D6303">
            <w:pPr>
              <w:spacing w:line="360" w:lineRule="auto"/>
              <w:rPr>
                <w:rFonts w:hint="eastAsia" w:ascii="宋体" w:hAnsi="宋体" w:cs="宋体"/>
                <w:b w:val="0"/>
                <w:bCs/>
                <w:color w:val="auto"/>
                <w:spacing w:val="-4"/>
                <w:sz w:val="24"/>
                <w:szCs w:val="24"/>
                <w:highlight w:val="none"/>
              </w:rPr>
            </w:pPr>
            <w:r>
              <w:rPr>
                <w:rFonts w:hint="eastAsia" w:ascii="宋体" w:hAnsi="宋体" w:cs="宋体"/>
                <w:b w:val="0"/>
                <w:bCs/>
                <w:color w:val="auto"/>
                <w:spacing w:val="-4"/>
                <w:sz w:val="24"/>
                <w:szCs w:val="24"/>
                <w:highlight w:val="none"/>
              </w:rPr>
              <w:t>1.拟派项目经理应具有</w:t>
            </w:r>
            <w:r>
              <w:rPr>
                <w:rFonts w:hint="eastAsia" w:ascii="宋体" w:hAnsi="宋体" w:cs="宋体"/>
                <w:b w:val="0"/>
                <w:bCs/>
                <w:color w:val="auto"/>
                <w:spacing w:val="-4"/>
                <w:sz w:val="24"/>
                <w:szCs w:val="24"/>
                <w:highlight w:val="none"/>
                <w:u w:val="single"/>
              </w:rPr>
              <w:t xml:space="preserve"> 建筑工程 </w:t>
            </w:r>
            <w:r>
              <w:rPr>
                <w:rFonts w:hint="eastAsia" w:ascii="宋体" w:hAnsi="宋体" w:cs="宋体"/>
                <w:b w:val="0"/>
                <w:bCs/>
                <w:color w:val="auto"/>
                <w:spacing w:val="-4"/>
                <w:sz w:val="24"/>
                <w:szCs w:val="24"/>
                <w:highlight w:val="none"/>
              </w:rPr>
              <w:t>专业</w:t>
            </w:r>
            <w:r>
              <w:rPr>
                <w:rFonts w:hint="eastAsia" w:ascii="宋体" w:hAnsi="宋体" w:cs="宋体"/>
                <w:b w:val="0"/>
                <w:bCs/>
                <w:color w:val="auto"/>
                <w:spacing w:val="-4"/>
                <w:sz w:val="24"/>
                <w:szCs w:val="24"/>
                <w:highlight w:val="none"/>
                <w:u w:val="single"/>
              </w:rPr>
              <w:t xml:space="preserve"> 贰 </w:t>
            </w:r>
            <w:r>
              <w:rPr>
                <w:rFonts w:hint="eastAsia" w:ascii="宋体" w:hAnsi="宋体" w:cs="宋体"/>
                <w:b w:val="0"/>
                <w:bCs/>
                <w:color w:val="auto"/>
                <w:spacing w:val="-4"/>
                <w:sz w:val="24"/>
                <w:szCs w:val="24"/>
                <w:highlight w:val="none"/>
              </w:rPr>
              <w:t>级及以上注册执业建造师证书，且通过年审有效，目前无在建项目也没有处于被停接任务，并已取得项目负责人安全生产考核合格证书（B证）。</w:t>
            </w:r>
          </w:p>
          <w:p w14:paraId="36223830">
            <w:pPr>
              <w:spacing w:line="360" w:lineRule="auto"/>
              <w:rPr>
                <w:rFonts w:hAnsi="宋体" w:cs="宋体"/>
                <w:color w:val="auto"/>
                <w:spacing w:val="-4"/>
                <w:highlight w:val="none"/>
              </w:rPr>
            </w:pPr>
            <w:r>
              <w:rPr>
                <w:rFonts w:hint="eastAsia" w:ascii="宋体" w:hAnsi="宋体" w:cs="宋体"/>
                <w:b w:val="0"/>
                <w:bCs/>
                <w:color w:val="auto"/>
                <w:spacing w:val="-4"/>
                <w:sz w:val="24"/>
                <w:szCs w:val="24"/>
                <w:highlight w:val="none"/>
              </w:rPr>
              <w:t>2.建造师资质证书上标明的工作单位必须与磋商响应供应商名称一致，不一致的应有合法变更手续并提供有关证明资料。</w:t>
            </w:r>
          </w:p>
        </w:tc>
      </w:tr>
      <w:tr w14:paraId="475DD0CB">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303" w:type="dxa"/>
            <w:tcBorders>
              <w:top w:val="single" w:color="auto" w:sz="6" w:space="0"/>
              <w:left w:val="thinThickSmallGap" w:color="auto" w:sz="12" w:space="0"/>
              <w:bottom w:val="single" w:color="auto" w:sz="6" w:space="0"/>
              <w:right w:val="single" w:color="auto" w:sz="6" w:space="0"/>
            </w:tcBorders>
            <w:vAlign w:val="center"/>
          </w:tcPr>
          <w:p w14:paraId="4B0AC4CB">
            <w:pPr>
              <w:spacing w:line="360" w:lineRule="exact"/>
              <w:jc w:val="center"/>
              <w:rPr>
                <w:rFonts w:hint="eastAsia" w:ascii="宋体" w:hAnsi="宋体" w:eastAsia="宋体" w:cs="宋体"/>
                <w:b w:val="0"/>
                <w:bCs/>
                <w:color w:val="auto"/>
                <w:spacing w:val="-4"/>
                <w:sz w:val="24"/>
                <w:szCs w:val="24"/>
                <w:highlight w:val="none"/>
              </w:rPr>
            </w:pPr>
            <w:r>
              <w:rPr>
                <w:rFonts w:hint="eastAsia" w:ascii="宋体" w:hAnsi="宋体" w:eastAsia="宋体" w:cs="宋体"/>
                <w:b w:val="0"/>
                <w:bCs/>
                <w:color w:val="auto"/>
                <w:spacing w:val="-4"/>
                <w:sz w:val="24"/>
                <w:szCs w:val="24"/>
                <w:highlight w:val="none"/>
              </w:rPr>
              <w:t>项目技术</w:t>
            </w:r>
          </w:p>
          <w:p w14:paraId="7F3B284A">
            <w:pPr>
              <w:spacing w:line="360" w:lineRule="exact"/>
              <w:jc w:val="center"/>
              <w:rPr>
                <w:rFonts w:hAnsi="宋体" w:cs="宋体"/>
                <w:color w:val="auto"/>
                <w:highlight w:val="none"/>
              </w:rPr>
            </w:pPr>
            <w:r>
              <w:rPr>
                <w:rFonts w:hint="eastAsia" w:ascii="宋体" w:hAnsi="宋体" w:eastAsia="宋体" w:cs="宋体"/>
                <w:b w:val="0"/>
                <w:bCs/>
                <w:color w:val="auto"/>
                <w:spacing w:val="-4"/>
                <w:sz w:val="24"/>
                <w:szCs w:val="24"/>
                <w:highlight w:val="none"/>
              </w:rPr>
              <w:t>负责人</w:t>
            </w:r>
          </w:p>
        </w:tc>
        <w:tc>
          <w:tcPr>
            <w:tcW w:w="7895" w:type="dxa"/>
            <w:tcBorders>
              <w:top w:val="single" w:color="auto" w:sz="6" w:space="0"/>
              <w:left w:val="single" w:color="auto" w:sz="6" w:space="0"/>
              <w:bottom w:val="single" w:color="auto" w:sz="6" w:space="0"/>
              <w:right w:val="thickThinSmallGap" w:color="auto" w:sz="12" w:space="0"/>
            </w:tcBorders>
            <w:vAlign w:val="center"/>
          </w:tcPr>
          <w:p w14:paraId="2D96095C">
            <w:pPr>
              <w:pStyle w:val="14"/>
              <w:spacing w:line="360" w:lineRule="auto"/>
              <w:ind w:firstLine="482"/>
              <w:rPr>
                <w:color w:val="auto"/>
                <w:highlight w:val="none"/>
              </w:rPr>
            </w:pPr>
            <w:r>
              <w:rPr>
                <w:rFonts w:hint="eastAsia" w:ascii="宋体" w:hAnsi="宋体" w:cs="宋体"/>
                <w:color w:val="auto"/>
                <w:highlight w:val="none"/>
              </w:rPr>
              <w:t>项目技术负责</w:t>
            </w:r>
            <w:r>
              <w:rPr>
                <w:rFonts w:hint="eastAsia" w:ascii="宋体" w:hAnsi="宋体" w:cs="宋体"/>
                <w:b w:val="0"/>
                <w:bCs w:val="0"/>
                <w:color w:val="auto"/>
                <w:highlight w:val="none"/>
              </w:rPr>
              <w:t>人</w:t>
            </w:r>
            <w:r>
              <w:rPr>
                <w:rFonts w:hint="eastAsia" w:ascii="宋体" w:hAnsi="宋体" w:cs="宋体"/>
                <w:b w:val="0"/>
                <w:bCs w:val="0"/>
                <w:color w:val="auto"/>
                <w:highlight w:val="none"/>
                <w:u w:val="single"/>
              </w:rPr>
              <w:t xml:space="preserve"> </w:t>
            </w:r>
            <w:r>
              <w:rPr>
                <w:rStyle w:val="19"/>
                <w:rFonts w:hint="eastAsia" w:ascii="宋体" w:hAnsi="宋体" w:cs="宋体"/>
                <w:b w:val="0"/>
                <w:bCs w:val="0"/>
                <w:color w:val="auto"/>
                <w:highlight w:val="none"/>
                <w:u w:val="single"/>
              </w:rPr>
              <w:t xml:space="preserve">1 </w:t>
            </w:r>
            <w:r>
              <w:rPr>
                <w:rFonts w:hint="eastAsia" w:ascii="宋体" w:hAnsi="宋体" w:cs="宋体"/>
                <w:b w:val="0"/>
                <w:bCs w:val="0"/>
                <w:color w:val="auto"/>
                <w:highlight w:val="none"/>
              </w:rPr>
              <w:t>人，职称：</w:t>
            </w:r>
            <w:r>
              <w:rPr>
                <w:rStyle w:val="19"/>
                <w:rFonts w:hint="eastAsia" w:ascii="宋体" w:hAnsi="宋体" w:cs="宋体"/>
                <w:b w:val="0"/>
                <w:bCs w:val="0"/>
                <w:color w:val="auto"/>
                <w:highlight w:val="none"/>
                <w:u w:val="single" w:color="000000"/>
              </w:rPr>
              <w:t>持有工程系列中级及以上专业</w:t>
            </w:r>
            <w:r>
              <w:rPr>
                <w:rFonts w:hint="eastAsia" w:ascii="宋体" w:hAnsi="宋体" w:cs="宋体"/>
                <w:b w:val="0"/>
                <w:bCs w:val="0"/>
                <w:color w:val="auto"/>
                <w:highlight w:val="none"/>
              </w:rPr>
              <w:t>技术职务资格证书(职称证书) ，专业：</w:t>
            </w:r>
            <w:r>
              <w:rPr>
                <w:rFonts w:hint="eastAsia" w:ascii="宋体" w:hAnsi="宋体" w:cs="宋体"/>
                <w:b w:val="0"/>
                <w:bCs w:val="0"/>
                <w:color w:val="auto"/>
                <w:highlight w:val="none"/>
                <w:u w:val="single"/>
              </w:rPr>
              <w:t xml:space="preserve"> </w:t>
            </w:r>
            <w:r>
              <w:rPr>
                <w:rStyle w:val="19"/>
                <w:rFonts w:hint="eastAsia" w:ascii="宋体" w:hAnsi="宋体" w:cs="宋体"/>
                <w:b w:val="0"/>
                <w:bCs w:val="0"/>
                <w:color w:val="auto"/>
                <w:highlight w:val="none"/>
                <w:u w:val="single"/>
                <w:shd w:val="clear" w:color="auto" w:fill="FFFFFF"/>
              </w:rPr>
              <w:t>建筑工程等相关专业</w:t>
            </w:r>
            <w:r>
              <w:rPr>
                <w:rFonts w:hint="eastAsia" w:ascii="宋体" w:hAnsi="宋体" w:cs="宋体"/>
                <w:b w:val="0"/>
                <w:bCs w:val="0"/>
                <w:color w:val="auto"/>
                <w:highlight w:val="none"/>
              </w:rPr>
              <w:t>。拟派出项目技术负责人须附上其（职称证书、毕业证书（如需））等能够证明其资格符合磋商文件要求的相关证明材料复印件并加盖供应商单位公</w:t>
            </w:r>
            <w:r>
              <w:rPr>
                <w:rFonts w:hint="eastAsia" w:ascii="宋体" w:hAnsi="宋体" w:cs="宋体"/>
                <w:color w:val="auto"/>
                <w:highlight w:val="none"/>
              </w:rPr>
              <w:t>章。专业以有权部门颁发的职称证书上标注的为准，若职称证书上无专业的，以毕业证书上的专业为准。拟派出项目技术负责人必须为独立供应商或联合体牵头人的本企业在岗人员，以建设主管部门颁发的注册执业证书复印件或社保证明为准，社保证明应为磋商时间截止前六个月（磋商响应文件递交截止当月不计）内任意一个月的社保缴纳证明材料扫描件。</w:t>
            </w:r>
          </w:p>
        </w:tc>
      </w:tr>
      <w:tr w14:paraId="30490C07">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183" w:hRule="atLeast"/>
          <w:jc w:val="center"/>
        </w:trPr>
        <w:tc>
          <w:tcPr>
            <w:tcW w:w="1303" w:type="dxa"/>
            <w:tcBorders>
              <w:top w:val="single" w:color="auto" w:sz="6" w:space="0"/>
              <w:left w:val="thinThickSmallGap" w:color="auto" w:sz="12" w:space="0"/>
              <w:bottom w:val="thickThinSmallGap" w:color="auto" w:sz="12" w:space="0"/>
              <w:right w:val="single" w:color="auto" w:sz="6" w:space="0"/>
            </w:tcBorders>
            <w:vAlign w:val="center"/>
          </w:tcPr>
          <w:p w14:paraId="15A78DEC">
            <w:pPr>
              <w:spacing w:line="360" w:lineRule="exact"/>
              <w:jc w:val="center"/>
              <w:rPr>
                <w:rFonts w:hAnsi="宋体" w:cs="宋体"/>
                <w:color w:val="auto"/>
                <w:highlight w:val="none"/>
              </w:rPr>
            </w:pPr>
            <w:r>
              <w:rPr>
                <w:rFonts w:hint="eastAsia" w:ascii="宋体" w:hAnsi="宋体" w:eastAsia="宋体" w:cs="宋体"/>
                <w:bCs/>
                <w:color w:val="auto"/>
                <w:spacing w:val="-4"/>
                <w:sz w:val="24"/>
                <w:szCs w:val="24"/>
                <w:highlight w:val="none"/>
              </w:rPr>
              <w:t>其它要求及说明</w:t>
            </w:r>
          </w:p>
        </w:tc>
        <w:tc>
          <w:tcPr>
            <w:tcW w:w="7895" w:type="dxa"/>
            <w:tcBorders>
              <w:top w:val="single" w:color="auto" w:sz="6" w:space="0"/>
              <w:left w:val="single" w:color="auto" w:sz="6" w:space="0"/>
              <w:right w:val="thickThinSmallGap" w:color="auto" w:sz="12" w:space="0"/>
            </w:tcBorders>
            <w:vAlign w:val="center"/>
          </w:tcPr>
          <w:p w14:paraId="4D6658D1">
            <w:pPr>
              <w:pStyle w:val="14"/>
              <w:spacing w:line="360" w:lineRule="auto"/>
              <w:ind w:firstLine="0"/>
              <w:rPr>
                <w:rFonts w:hint="eastAsia" w:ascii="宋体" w:hAnsi="宋体" w:eastAsia="宋体" w:cs="宋体"/>
                <w:color w:val="auto"/>
                <w:highlight w:val="none"/>
              </w:rPr>
            </w:pPr>
            <w:r>
              <w:rPr>
                <w:rFonts w:hint="eastAsia" w:ascii="宋体" w:hAnsi="宋体" w:eastAsia="宋体" w:cs="宋体"/>
                <w:color w:val="auto"/>
                <w:highlight w:val="none"/>
              </w:rPr>
              <w:t>1.项目管理人员没有处于被行政主管部门停标（或停止从业）状态。</w:t>
            </w:r>
          </w:p>
          <w:p w14:paraId="25260845">
            <w:pPr>
              <w:pStyle w:val="14"/>
              <w:spacing w:line="360" w:lineRule="auto"/>
              <w:ind w:firstLine="0"/>
              <w:rPr>
                <w:rFonts w:hint="eastAsia" w:ascii="宋体" w:hAnsi="宋体" w:eastAsia="宋体" w:cs="宋体"/>
                <w:color w:val="auto"/>
                <w:highlight w:val="none"/>
              </w:rPr>
            </w:pPr>
            <w:r>
              <w:rPr>
                <w:rFonts w:hint="eastAsia" w:ascii="宋体" w:hAnsi="宋体" w:eastAsia="宋体" w:cs="宋体"/>
                <w:color w:val="auto"/>
                <w:highlight w:val="none"/>
              </w:rPr>
              <w:t>2.提交的有关证书(暂不含注册建造师证书)均须在有效期内，若证书不在有效期内的，将视为不满足要求。</w:t>
            </w:r>
          </w:p>
          <w:p w14:paraId="017EEB33">
            <w:pPr>
              <w:pStyle w:val="14"/>
              <w:spacing w:line="360" w:lineRule="auto"/>
              <w:ind w:firstLine="0"/>
              <w:rPr>
                <w:color w:val="auto"/>
                <w:highlight w:val="none"/>
              </w:rPr>
            </w:pPr>
            <w:r>
              <w:rPr>
                <w:rFonts w:hint="eastAsia" w:ascii="宋体" w:hAnsi="宋体" w:eastAsia="宋体" w:cs="宋体"/>
                <w:color w:val="auto"/>
                <w:highlight w:val="none"/>
              </w:rPr>
              <w:t>3.供应商须为本项目配备所需的相关人员。</w:t>
            </w:r>
          </w:p>
        </w:tc>
      </w:tr>
    </w:tbl>
    <w:p w14:paraId="781D8825">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注：（1）报价人应当对填报的项目班子其他人员的资料真实性负责，项目班子人员的有关证书原件备查。项目管理班子所有人员均要求为本单位的在职职工（是指与本单位签订了劳动合同，并为其办理了社会保险的人）；</w:t>
      </w:r>
    </w:p>
    <w:p w14:paraId="349580A3">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（2）联合体参与磋商的，项目负责人必须由牵头人派出，其他人员可以由联合体各成员派出；</w:t>
      </w:r>
    </w:p>
    <w:p w14:paraId="44F9D0D6">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（3）拟派的管理人员，同一人员最多可担任两个岗位，即最多可再兼任一个岗位。项目负责人与技术负责人可以相互兼任，报价人须提供项目负责人无在建项目承诺函，格式自拟。</w:t>
      </w:r>
    </w:p>
    <w:p w14:paraId="0FF7FF1E">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（4）所有证书（暂不含注册建造师证书）均须在有效期内，过期的证书为无效证书。</w:t>
      </w:r>
    </w:p>
    <w:p w14:paraId="5FACA58A">
      <w:pPr>
        <w:spacing w:line="360" w:lineRule="auto"/>
        <w:ind w:firstLine="422"/>
        <w:rPr>
          <w:rFonts w:ascii="宋体" w:hAnsi="宋体" w:cs="宋体"/>
          <w:color w:val="auto"/>
          <w:sz w:val="24"/>
          <w:szCs w:val="24"/>
          <w:highlight w:val="none"/>
        </w:rPr>
      </w:pPr>
    </w:p>
    <w:p w14:paraId="42CA4BD4">
      <w:pPr>
        <w:pStyle w:val="3"/>
        <w:keepNext w:val="0"/>
        <w:keepLines w:val="0"/>
        <w:spacing w:before="0" w:after="0" w:line="360" w:lineRule="auto"/>
        <w:rPr>
          <w:rFonts w:ascii="宋体" w:hAnsi="宋体" w:eastAsia="宋体" w:cs="宋体"/>
          <w:color w:val="auto"/>
          <w:sz w:val="24"/>
          <w:szCs w:val="24"/>
          <w:highlight w:val="none"/>
        </w:rPr>
      </w:pPr>
      <w:bookmarkStart w:id="144" w:name="_Toc24668"/>
      <w:bookmarkStart w:id="145" w:name="_Toc14355"/>
      <w:bookmarkStart w:id="146" w:name="_Toc31061"/>
      <w:bookmarkStart w:id="147" w:name="_Toc946407761"/>
      <w:r>
        <w:rPr>
          <w:rFonts w:hint="eastAsia" w:ascii="宋体" w:hAnsi="宋体" w:eastAsia="宋体" w:cs="宋体"/>
          <w:color w:val="auto"/>
          <w:sz w:val="24"/>
          <w:szCs w:val="24"/>
          <w:highlight w:val="none"/>
        </w:rPr>
        <w:t>三、商务要求</w:t>
      </w:r>
      <w:bookmarkEnd w:id="144"/>
      <w:bookmarkEnd w:id="145"/>
      <w:bookmarkEnd w:id="146"/>
      <w:bookmarkEnd w:id="147"/>
    </w:p>
    <w:p w14:paraId="2A2D85B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rPr>
        <w:t>报价人应提供其依法纳税情况、社保缴纳情况、财务状况资料、资信证明文件，以及在参加政府采购活动前三年内经营活动没有重大违法记录的声明。</w:t>
      </w:r>
    </w:p>
    <w:p w14:paraId="20155ECF">
      <w:pPr>
        <w:spacing w:line="360" w:lineRule="auto"/>
        <w:ind w:firstLine="480" w:firstLineChars="200"/>
        <w:rPr>
          <w:rFonts w:ascii="宋体" w:hAnsi="宋体" w:cs="宋体"/>
          <w:color w:val="auto"/>
          <w:sz w:val="24"/>
          <w:szCs w:val="24"/>
          <w:highlight w:val="none"/>
        </w:rPr>
      </w:pPr>
      <w:bookmarkStart w:id="148" w:name="_Toc5398"/>
      <w:r>
        <w:rPr>
          <w:rFonts w:hint="eastAsia" w:ascii="宋体" w:hAnsi="宋体" w:cs="宋体"/>
          <w:color w:val="auto"/>
          <w:sz w:val="24"/>
          <w:szCs w:val="24"/>
          <w:highlight w:val="none"/>
        </w:rPr>
        <w:t>2、报价人应提供企业履约能力基本情况的说明。</w:t>
      </w:r>
      <w:bookmarkEnd w:id="148"/>
    </w:p>
    <w:p w14:paraId="78E5035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3、报价人应具有类似项目施工经验，报价文件中应提供相应的项目业绩资料。</w:t>
      </w:r>
    </w:p>
    <w:p w14:paraId="744BB89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4、报价人可提供获得的</w:t>
      </w:r>
      <w:r>
        <w:rPr>
          <w:rFonts w:hint="eastAsia" w:ascii="宋体" w:hAnsi="宋体" w:cs="宋体"/>
          <w:bCs/>
          <w:color w:val="auto"/>
          <w:sz w:val="24"/>
          <w:szCs w:val="24"/>
          <w:highlight w:val="none"/>
        </w:rPr>
        <w:t>国家部委、省、市行政主管部门评奖的项目证明材料</w:t>
      </w:r>
      <w:r>
        <w:rPr>
          <w:rFonts w:hint="eastAsia" w:ascii="宋体" w:hAnsi="宋体" w:cs="宋体"/>
          <w:color w:val="auto"/>
          <w:sz w:val="24"/>
          <w:szCs w:val="24"/>
          <w:highlight w:val="none"/>
        </w:rPr>
        <w:t>。</w:t>
      </w:r>
    </w:p>
    <w:p w14:paraId="459E779F">
      <w:pPr>
        <w:spacing w:line="360" w:lineRule="auto"/>
        <w:ind w:firstLine="482" w:firstLineChars="200"/>
        <w:rPr>
          <w:rFonts w:ascii="宋体" w:hAnsi="宋体" w:cs="宋体"/>
          <w:b/>
          <w:bCs/>
          <w:color w:val="auto"/>
          <w:sz w:val="24"/>
          <w:szCs w:val="24"/>
          <w:highlight w:val="none"/>
        </w:rPr>
      </w:pPr>
      <w:bookmarkStart w:id="149" w:name="_Toc17787"/>
      <w:r>
        <w:rPr>
          <w:rFonts w:hint="eastAsia" w:ascii="宋体" w:hAnsi="宋体" w:cs="宋体"/>
          <w:b/>
          <w:bCs/>
          <w:color w:val="auto"/>
          <w:sz w:val="24"/>
          <w:szCs w:val="24"/>
          <w:highlight w:val="none"/>
        </w:rPr>
        <w:t>以上证明文件均应加盖报价人公章</w:t>
      </w:r>
      <w:bookmarkEnd w:id="149"/>
    </w:p>
    <w:p w14:paraId="79BC0411">
      <w:pPr>
        <w:spacing w:line="360" w:lineRule="auto"/>
        <w:rPr>
          <w:rFonts w:ascii="宋体" w:hAnsi="宋体" w:cs="宋体"/>
          <w:color w:val="auto"/>
          <w:sz w:val="24"/>
          <w:szCs w:val="24"/>
          <w:highlight w:val="none"/>
        </w:rPr>
      </w:pPr>
    </w:p>
    <w:p w14:paraId="45B6FD33">
      <w:pPr>
        <w:pStyle w:val="3"/>
        <w:keepNext w:val="0"/>
        <w:keepLines w:val="0"/>
        <w:spacing w:before="0" w:after="0" w:line="360" w:lineRule="auto"/>
        <w:rPr>
          <w:rFonts w:ascii="宋体" w:hAnsi="宋体" w:eastAsia="宋体" w:cs="宋体"/>
          <w:color w:val="auto"/>
          <w:sz w:val="24"/>
          <w:szCs w:val="24"/>
          <w:highlight w:val="none"/>
        </w:rPr>
      </w:pPr>
      <w:bookmarkStart w:id="150" w:name="_Toc20991"/>
      <w:bookmarkStart w:id="151" w:name="_Toc672100360"/>
      <w:bookmarkStart w:id="152" w:name="_Toc29669"/>
      <w:bookmarkStart w:id="153" w:name="_Toc26547"/>
      <w:r>
        <w:rPr>
          <w:rFonts w:hint="eastAsia" w:ascii="宋体" w:hAnsi="宋体" w:eastAsia="宋体" w:cs="宋体"/>
          <w:color w:val="auto"/>
          <w:sz w:val="24"/>
          <w:szCs w:val="24"/>
          <w:highlight w:val="none"/>
        </w:rPr>
        <w:t>四、报价要求</w:t>
      </w:r>
      <w:bookmarkEnd w:id="150"/>
      <w:bookmarkEnd w:id="151"/>
      <w:bookmarkEnd w:id="152"/>
      <w:bookmarkEnd w:id="153"/>
    </w:p>
    <w:p w14:paraId="2BB4E0D1">
      <w:pPr>
        <w:spacing w:line="360" w:lineRule="auto"/>
        <w:ind w:firstLine="466" w:firstLineChars="200"/>
        <w:rPr>
          <w:rFonts w:ascii="宋体" w:hAnsi="宋体" w:cs="宋体"/>
          <w:b/>
          <w:color w:val="auto"/>
          <w:spacing w:val="4"/>
          <w:sz w:val="24"/>
          <w:szCs w:val="24"/>
          <w:highlight w:val="none"/>
        </w:rPr>
      </w:pPr>
      <w:r>
        <w:rPr>
          <w:rFonts w:hint="eastAsia" w:ascii="宋体" w:hAnsi="宋体" w:cs="宋体"/>
          <w:b/>
          <w:color w:val="auto"/>
          <w:spacing w:val="-4"/>
          <w:sz w:val="24"/>
          <w:szCs w:val="24"/>
          <w:highlight w:val="none"/>
        </w:rPr>
        <w:t>*1、</w:t>
      </w:r>
      <w:r>
        <w:rPr>
          <w:rFonts w:hint="eastAsia" w:ascii="宋体" w:hAnsi="宋体" w:cs="宋体"/>
          <w:b/>
          <w:color w:val="auto"/>
          <w:sz w:val="24"/>
          <w:szCs w:val="24"/>
          <w:highlight w:val="none"/>
        </w:rPr>
        <w:t>本</w:t>
      </w:r>
      <w:r>
        <w:rPr>
          <w:rFonts w:hint="eastAsia" w:ascii="宋体" w:hAnsi="宋体" w:cs="宋体"/>
          <w:b/>
          <w:color w:val="auto"/>
          <w:spacing w:val="4"/>
          <w:sz w:val="24"/>
          <w:szCs w:val="24"/>
          <w:highlight w:val="none"/>
        </w:rPr>
        <w:t>采购项目的采购预算（控制价）为人民币</w:t>
      </w:r>
      <w:r>
        <w:rPr>
          <w:rFonts w:hint="eastAsia" w:ascii="宋体" w:hAnsi="宋体" w:cs="宋体"/>
          <w:b/>
          <w:color w:val="auto"/>
          <w:spacing w:val="4"/>
          <w:sz w:val="24"/>
          <w:szCs w:val="24"/>
          <w:highlight w:val="none"/>
          <w:u w:val="single"/>
        </w:rPr>
        <w:t>175</w:t>
      </w:r>
      <w:r>
        <w:rPr>
          <w:rFonts w:hint="eastAsia" w:ascii="宋体" w:hAnsi="宋体" w:cs="宋体"/>
          <w:b/>
          <w:color w:val="auto"/>
          <w:spacing w:val="4"/>
          <w:sz w:val="24"/>
          <w:szCs w:val="24"/>
          <w:highlight w:val="none"/>
        </w:rPr>
        <w:t>万元，采购预算（控制价）为总报价的最高限价，总报价超过采购预算的属无效报价。</w:t>
      </w:r>
    </w:p>
    <w:p w14:paraId="3931F6DF">
      <w:pPr>
        <w:spacing w:line="360" w:lineRule="auto"/>
        <w:ind w:firstLine="480" w:firstLineChars="200"/>
        <w:rPr>
          <w:rFonts w:ascii="宋体" w:hAnsi="宋体" w:cs="宋体"/>
          <w:color w:val="auto"/>
          <w:sz w:val="24"/>
          <w:szCs w:val="24"/>
          <w:highlight w:val="none"/>
        </w:rPr>
      </w:pPr>
      <w:bookmarkStart w:id="154" w:name="_Toc30468"/>
      <w:r>
        <w:rPr>
          <w:rFonts w:hint="eastAsia" w:ascii="宋体" w:hAnsi="宋体" w:cs="宋体"/>
          <w:color w:val="auto"/>
          <w:sz w:val="24"/>
          <w:szCs w:val="24"/>
          <w:highlight w:val="none"/>
        </w:rPr>
        <w:t>2、磋商报价以人民币为货币单位，应分报出单价、小计和总价。</w:t>
      </w:r>
      <w:bookmarkEnd w:id="154"/>
    </w:p>
    <w:p w14:paraId="088CAA3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pacing w:val="-4"/>
          <w:sz w:val="24"/>
          <w:szCs w:val="24"/>
          <w:highlight w:val="none"/>
        </w:rPr>
        <w:t>本项目为交钥匙工程。磋商报价为完成工程项目施工并经验收合格交付使用过程中所有可能发生的一切费用，包含但不限于</w:t>
      </w:r>
      <w:r>
        <w:rPr>
          <w:rFonts w:hint="eastAsia" w:ascii="宋体" w:hAnsi="宋体" w:cs="宋体"/>
          <w:color w:val="auto"/>
          <w:spacing w:val="-4"/>
          <w:sz w:val="24"/>
          <w:szCs w:val="24"/>
          <w:highlight w:val="none"/>
        </w:rPr>
        <w:t>工程主辅材料费、机械设备费用、人工费、检验校核、税金、验收费用、保修服务、可能少报漏报的细目及采购文件的特别规定等一切费用。</w:t>
      </w:r>
      <w:r>
        <w:rPr>
          <w:rFonts w:hint="eastAsia" w:ascii="宋体" w:hAnsi="宋体" w:cs="宋体"/>
          <w:color w:val="auto"/>
          <w:sz w:val="24"/>
          <w:szCs w:val="24"/>
          <w:highlight w:val="none"/>
        </w:rPr>
        <w:t>上述费用报价人应纳入磋商报价，否则将视为报价人已经知悉并免费提供。</w:t>
      </w:r>
    </w:p>
    <w:p w14:paraId="7288AE18">
      <w:pPr>
        <w:pStyle w:val="9"/>
        <w:spacing w:after="0" w:line="360" w:lineRule="auto"/>
        <w:ind w:left="0" w:leftChars="0" w:firstLine="464" w:firstLineChars="200"/>
        <w:rPr>
          <w:rFonts w:ascii="宋体" w:hAnsi="宋体" w:cs="宋体"/>
          <w:color w:val="auto"/>
          <w:sz w:val="24"/>
          <w:highlight w:val="none"/>
        </w:rPr>
      </w:pPr>
      <w:r>
        <w:rPr>
          <w:rFonts w:hint="eastAsia" w:ascii="宋体" w:hAnsi="宋体" w:cs="宋体"/>
          <w:color w:val="auto"/>
          <w:spacing w:val="-4"/>
          <w:sz w:val="24"/>
          <w:highlight w:val="none"/>
        </w:rPr>
        <w:t>4、磋商</w:t>
      </w:r>
      <w:r>
        <w:rPr>
          <w:rFonts w:hint="eastAsia" w:ascii="宋体" w:hAnsi="宋体" w:cs="宋体"/>
          <w:color w:val="auto"/>
          <w:sz w:val="24"/>
          <w:highlight w:val="none"/>
        </w:rPr>
        <w:t>报价必须根据本工程特点，套用厦门市现行的预算定额及费率进行预算编制，并按《工程量清单综合单价报价表》所列项目进行报价，报价时必须写明所报项目的单价和合价，表中合计价即为该项目的总报价。</w:t>
      </w:r>
    </w:p>
    <w:p w14:paraId="062DD9FD">
      <w:pPr>
        <w:pStyle w:val="9"/>
        <w:spacing w:after="0" w:line="360" w:lineRule="auto"/>
        <w:ind w:left="0" w:leftChars="0" w:firstLine="480" w:firstLineChars="200"/>
        <w:rPr>
          <w:rFonts w:ascii="宋体" w:hAnsi="宋体" w:cs="宋体"/>
          <w:color w:val="auto"/>
          <w:sz w:val="24"/>
          <w:highlight w:val="none"/>
        </w:rPr>
      </w:pPr>
      <w:r>
        <w:rPr>
          <w:rFonts w:hint="eastAsia" w:ascii="宋体" w:hAnsi="宋体" w:cs="宋体"/>
          <w:color w:val="auto"/>
          <w:sz w:val="24"/>
          <w:highlight w:val="none"/>
        </w:rPr>
        <w:t>报价人所报单价在成交后合同实施过程中不因市场或政策价格的调整而增减，报价人对《工程量清单综合单价报价表》所列子项均应报价，且工程量不能更改（除非采购人有另外特别要求）。</w:t>
      </w:r>
    </w:p>
    <w:p w14:paraId="121906D8">
      <w:pPr>
        <w:spacing w:line="360" w:lineRule="auto"/>
        <w:ind w:firstLine="480" w:firstLineChars="200"/>
        <w:rPr>
          <w:rFonts w:ascii="宋体" w:hAnsi="宋体" w:cs="宋体"/>
          <w:b/>
          <w:color w:val="auto"/>
          <w:sz w:val="24"/>
          <w:szCs w:val="24"/>
          <w:highlight w:val="none"/>
        </w:rPr>
      </w:pPr>
      <w:bookmarkStart w:id="155" w:name="_Toc32053"/>
      <w:r>
        <w:rPr>
          <w:rFonts w:hint="eastAsia" w:ascii="宋体" w:hAnsi="宋体" w:cs="宋体"/>
          <w:color w:val="auto"/>
          <w:sz w:val="24"/>
          <w:szCs w:val="24"/>
          <w:highlight w:val="none"/>
        </w:rPr>
        <w:t>5、报价其它说明</w:t>
      </w:r>
      <w:bookmarkEnd w:id="155"/>
    </w:p>
    <w:p w14:paraId="2CC90CD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报价人应按采购人提供的工程量中列出的工程项目和工程量，填报单价和合价。报价人未填单价或未填合价或漏报的工程项目，视为该项目的费用已包括在其它有价款的综合单价或合价内，在实施中，采购人将不予另外支付该未填或漏报的价款。</w:t>
      </w:r>
    </w:p>
    <w:p w14:paraId="089EC40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除非合同中另有规定，报价人在报价中所报综合单价和合价，以及工程量报价表中的磋商总报价，均包括完成该工程项目的直接费、间接费、利润、税金、政策性文件规定费用、大型机械进退场费、风险费等所有费用。</w:t>
      </w:r>
    </w:p>
    <w:p w14:paraId="76822B8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5.3本项目所涉及到的成品保护、卫生保洁等一律由中标单位负责，投标报价时均应考虑此费用</w:t>
      </w:r>
    </w:p>
    <w:p w14:paraId="75B2478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本工程实行风险包干制，报价人报价至少须考虑并承担下列风险：①因工程量清单有错、漏，导致工程预算不准确；②因市场变化、政策性调整导致人工、机械和材料价格变化的；③因天气、地形、地质等自然条件的变化，采取的临时措施。</w:t>
      </w:r>
    </w:p>
    <w:p w14:paraId="6CD3C67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本项目采用固定价格方式签订合同，凡出现风险包干范围内的内容时合同价不予调整，但出现非承包人原因造成的设计变更或现场签证，且变更程序和签证手续符合相关规定的，经厦门市财政审核中心确认后可相应调整合同价格。另外，采购人有权根据实际情况增加或减少施工量，采购人提出变更的子项按相应单价和实际施工量进行总价调整。</w:t>
      </w:r>
    </w:p>
    <w:p w14:paraId="228CC35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成交单价的确认：磋商成交后，在成交供应商首次报价文件中的工程量清单报价表的基础上，参照其最后报价与首次报价（总价）的下浮比例，调整其最终成交的各子项的综合单价，作为补充资料在合同签订时提交，在项目竣工结算时作为套取单价的依据。</w:t>
      </w:r>
    </w:p>
    <w:p w14:paraId="4A3BC6C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9、本工程的工程类别：具体类别按单位工程的实际指标套用相应的类别标准。</w:t>
      </w:r>
    </w:p>
    <w:p w14:paraId="49F5CB4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工程的费率取费标准按照其工程类别，以《福建省建筑安装工程费用定额》(2017版）、《厦门市建设局关于调整厦门市安全文明施工取费标准的通知》（厦建筑【2016】7号）、厦门市建设局关于调整福建省建筑安装工程费用定额（2017版）有关内容的通知（厦建筑【2017】49号）中规定的标准，有最新标准的按国家最新规定标准执行。税金、税率均统一按市区标准（9%）计取。工程结算时，税务部门实际收取的税率标准与所计取的标准不一致的，按实调整。</w:t>
      </w:r>
    </w:p>
    <w:p w14:paraId="7C63955F">
      <w:pPr>
        <w:pStyle w:val="2"/>
        <w:rPr>
          <w:rFonts w:ascii="宋体" w:hAnsi="宋体" w:cs="宋体"/>
          <w:color w:val="auto"/>
          <w:sz w:val="24"/>
          <w:szCs w:val="24"/>
          <w:highlight w:val="none"/>
        </w:rPr>
      </w:pPr>
    </w:p>
    <w:p w14:paraId="1E4710E3">
      <w:pPr>
        <w:pStyle w:val="3"/>
        <w:keepNext w:val="0"/>
        <w:keepLines w:val="0"/>
        <w:numPr>
          <w:ilvl w:val="0"/>
          <w:numId w:val="1"/>
        </w:numPr>
        <w:spacing w:before="0" w:after="0" w:line="360" w:lineRule="auto"/>
        <w:rPr>
          <w:rFonts w:ascii="宋体" w:hAnsi="宋体" w:eastAsia="宋体" w:cs="宋体"/>
          <w:color w:val="auto"/>
          <w:sz w:val="24"/>
          <w:szCs w:val="24"/>
          <w:highlight w:val="none"/>
        </w:rPr>
      </w:pPr>
      <w:bookmarkStart w:id="156" w:name="_Toc464"/>
      <w:bookmarkStart w:id="157" w:name="_Toc701334438"/>
      <w:bookmarkStart w:id="158" w:name="_Toc29167"/>
      <w:r>
        <w:rPr>
          <w:rFonts w:hint="eastAsia" w:ascii="宋体" w:hAnsi="宋体" w:eastAsia="宋体" w:cs="宋体"/>
          <w:color w:val="auto"/>
          <w:sz w:val="24"/>
          <w:szCs w:val="24"/>
          <w:highlight w:val="none"/>
        </w:rPr>
        <w:t>付款条件</w:t>
      </w:r>
      <w:bookmarkEnd w:id="156"/>
      <w:bookmarkEnd w:id="157"/>
      <w:bookmarkEnd w:id="158"/>
    </w:p>
    <w:p w14:paraId="66BA8502">
      <w:pPr>
        <w:pStyle w:val="2"/>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由成交供应商按财政局有关规定与采购人另行合同约定。</w:t>
      </w:r>
    </w:p>
    <w:p w14:paraId="53F079B9">
      <w:pPr>
        <w:spacing w:line="360" w:lineRule="auto"/>
        <w:ind w:firstLine="233" w:firstLineChars="100"/>
        <w:rPr>
          <w:rFonts w:ascii="宋体" w:hAnsi="宋体" w:cs="宋体"/>
          <w:b/>
          <w:color w:val="auto"/>
          <w:spacing w:val="-4"/>
          <w:sz w:val="24"/>
          <w:szCs w:val="24"/>
          <w:highlight w:val="none"/>
        </w:rPr>
      </w:pPr>
    </w:p>
    <w:p w14:paraId="63BC6197">
      <w:pPr>
        <w:pStyle w:val="3"/>
        <w:keepNext w:val="0"/>
        <w:keepLines w:val="0"/>
        <w:spacing w:before="0" w:after="0" w:line="360" w:lineRule="auto"/>
        <w:rPr>
          <w:rFonts w:ascii="宋体" w:hAnsi="宋体" w:eastAsia="宋体" w:cs="宋体"/>
          <w:color w:val="auto"/>
          <w:sz w:val="24"/>
          <w:szCs w:val="24"/>
          <w:highlight w:val="none"/>
        </w:rPr>
      </w:pPr>
      <w:bookmarkStart w:id="159" w:name="_Toc264151268"/>
      <w:bookmarkStart w:id="160" w:name="_Toc19477"/>
      <w:bookmarkStart w:id="161" w:name="_Toc24529"/>
      <w:bookmarkStart w:id="162" w:name="_Toc31792"/>
      <w:r>
        <w:rPr>
          <w:rFonts w:hint="eastAsia" w:ascii="宋体" w:hAnsi="宋体" w:eastAsia="宋体" w:cs="宋体"/>
          <w:color w:val="auto"/>
          <w:sz w:val="24"/>
          <w:szCs w:val="24"/>
          <w:highlight w:val="none"/>
        </w:rPr>
        <w:t>六、施工要求</w:t>
      </w:r>
      <w:bookmarkEnd w:id="159"/>
      <w:bookmarkEnd w:id="160"/>
      <w:bookmarkEnd w:id="161"/>
      <w:bookmarkEnd w:id="162"/>
    </w:p>
    <w:p w14:paraId="27FC895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1、成交供应商须能提供良好的技术支持和快速的应急响应和处理能力。</w:t>
      </w:r>
    </w:p>
    <w:p w14:paraId="685C57F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成交供应商必须严格执行采购人所提供的施工工艺规范及相关规定（如施工设计图要求），成交供应商自行承担与成交项目有关的安全责任。施工过程中，若出现重大安全事故，依据相关法律法规的规定成交供应商需暂停施工，由此对工期造成延误，成交供应商应承担相关的违约责任。</w:t>
      </w:r>
    </w:p>
    <w:p w14:paraId="005A0B68">
      <w:pPr>
        <w:spacing w:line="360" w:lineRule="auto"/>
        <w:ind w:firstLine="480" w:firstLineChars="200"/>
        <w:rPr>
          <w:rFonts w:ascii="宋体" w:hAnsi="宋体" w:cs="宋体"/>
          <w:color w:val="auto"/>
          <w:sz w:val="24"/>
          <w:szCs w:val="24"/>
          <w:highlight w:val="none"/>
        </w:rPr>
      </w:pPr>
      <w:bookmarkStart w:id="163" w:name="_Toc14218"/>
      <w:r>
        <w:rPr>
          <w:rFonts w:hint="eastAsia" w:ascii="宋体" w:hAnsi="宋体" w:cs="宋体"/>
          <w:color w:val="auto"/>
          <w:sz w:val="24"/>
          <w:szCs w:val="24"/>
          <w:highlight w:val="none"/>
        </w:rPr>
        <w:t>3、成交供应商不得以任何形式将工程全部或部分转包给第三方。</w:t>
      </w:r>
      <w:bookmarkEnd w:id="163"/>
    </w:p>
    <w:p w14:paraId="2C749C9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4、成交供应商如需采购人提供水电接口的，则须在接口处装表计量，装表费及水电等所有费用均由成交供应商承担。</w:t>
      </w:r>
    </w:p>
    <w:p w14:paraId="27C6BAD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5、本工程施工现场按照【厦门市建设与管理局关于引发《提升厦门市建筑施工安全文明标准化水平若干措施》的通知】规定，应设置施工现场围档。</w:t>
      </w:r>
    </w:p>
    <w:p w14:paraId="6F8DEA6D">
      <w:pPr>
        <w:pStyle w:val="2"/>
        <w:rPr>
          <w:color w:val="auto"/>
          <w:highlight w:val="none"/>
        </w:rPr>
      </w:pPr>
    </w:p>
    <w:p w14:paraId="7559A432">
      <w:pPr>
        <w:pStyle w:val="3"/>
        <w:keepNext w:val="0"/>
        <w:keepLines w:val="0"/>
        <w:spacing w:before="0" w:after="0" w:line="360" w:lineRule="auto"/>
        <w:rPr>
          <w:rFonts w:ascii="宋体" w:hAnsi="宋体" w:eastAsia="宋体" w:cs="宋体"/>
          <w:color w:val="auto"/>
          <w:sz w:val="24"/>
          <w:szCs w:val="24"/>
          <w:highlight w:val="none"/>
        </w:rPr>
      </w:pPr>
      <w:bookmarkStart w:id="164" w:name="_Toc2713"/>
      <w:bookmarkStart w:id="165" w:name="_Toc10199"/>
      <w:bookmarkStart w:id="166" w:name="_Toc785763472"/>
      <w:bookmarkStart w:id="167" w:name="_Toc14241"/>
      <w:r>
        <w:rPr>
          <w:rFonts w:hint="eastAsia" w:ascii="宋体" w:hAnsi="宋体" w:eastAsia="宋体" w:cs="宋体"/>
          <w:color w:val="auto"/>
          <w:sz w:val="24"/>
          <w:szCs w:val="24"/>
          <w:highlight w:val="none"/>
        </w:rPr>
        <w:t>七、验收条件</w:t>
      </w:r>
      <w:bookmarkEnd w:id="164"/>
      <w:bookmarkEnd w:id="165"/>
      <w:bookmarkEnd w:id="166"/>
      <w:bookmarkEnd w:id="167"/>
    </w:p>
    <w:p w14:paraId="23EBE86A">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1、工程验收时，成交供应商应派有经验和有能力的技术人员及施工人员配合。</w:t>
      </w:r>
    </w:p>
    <w:p w14:paraId="2FAF0F20">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2、工程验收时由采购人组织相关职能部门进行，验收合格后成交供应商可向采购人办理移交手续。</w:t>
      </w:r>
    </w:p>
    <w:p w14:paraId="103C2197">
      <w:pPr>
        <w:spacing w:line="360" w:lineRule="auto"/>
        <w:rPr>
          <w:rFonts w:ascii="宋体" w:hAnsi="宋体" w:cs="宋体"/>
          <w:color w:val="auto"/>
          <w:sz w:val="24"/>
          <w:szCs w:val="24"/>
          <w:highlight w:val="none"/>
        </w:rPr>
      </w:pPr>
    </w:p>
    <w:p w14:paraId="28026A52">
      <w:pPr>
        <w:pStyle w:val="3"/>
        <w:keepNext w:val="0"/>
        <w:keepLines w:val="0"/>
        <w:spacing w:before="0" w:after="0" w:line="360" w:lineRule="auto"/>
        <w:rPr>
          <w:rFonts w:ascii="宋体" w:hAnsi="宋体" w:eastAsia="宋体" w:cs="宋体"/>
          <w:color w:val="auto"/>
          <w:sz w:val="24"/>
          <w:szCs w:val="24"/>
          <w:highlight w:val="none"/>
        </w:rPr>
      </w:pPr>
      <w:bookmarkStart w:id="168" w:name="_Toc13760"/>
      <w:bookmarkStart w:id="169" w:name="_Toc26534"/>
      <w:bookmarkStart w:id="170" w:name="_Toc20454"/>
      <w:bookmarkStart w:id="171" w:name="_Toc597148611"/>
      <w:r>
        <w:rPr>
          <w:rFonts w:hint="eastAsia" w:ascii="宋体" w:hAnsi="宋体" w:eastAsia="宋体" w:cs="宋体"/>
          <w:color w:val="auto"/>
          <w:sz w:val="24"/>
          <w:szCs w:val="24"/>
          <w:highlight w:val="none"/>
        </w:rPr>
        <w:t>八、工期要求</w:t>
      </w:r>
      <w:bookmarkEnd w:id="168"/>
      <w:bookmarkEnd w:id="169"/>
      <w:bookmarkEnd w:id="170"/>
      <w:bookmarkEnd w:id="171"/>
    </w:p>
    <w:p w14:paraId="3DA7164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1、本工程建设工期为：合同签订后</w:t>
      </w:r>
      <w:r>
        <w:rPr>
          <w:rFonts w:hint="eastAsia" w:ascii="宋体" w:hAnsi="宋体" w:cs="宋体"/>
          <w:color w:val="auto"/>
          <w:sz w:val="24"/>
          <w:szCs w:val="24"/>
          <w:highlight w:val="none"/>
          <w:u w:val="single"/>
          <w:lang w:val="en-US" w:eastAsia="zh-CN"/>
        </w:rPr>
        <w:t>30</w:t>
      </w:r>
      <w:r>
        <w:rPr>
          <w:rFonts w:hint="eastAsia" w:ascii="宋体" w:hAnsi="宋体" w:cs="宋体"/>
          <w:color w:val="auto"/>
          <w:sz w:val="24"/>
          <w:szCs w:val="24"/>
          <w:highlight w:val="none"/>
          <w:u w:val="single"/>
        </w:rPr>
        <w:t>个日历日</w:t>
      </w:r>
      <w:r>
        <w:rPr>
          <w:rFonts w:hint="eastAsia" w:ascii="宋体" w:hAnsi="宋体" w:cs="宋体"/>
          <w:color w:val="auto"/>
          <w:sz w:val="24"/>
          <w:szCs w:val="24"/>
          <w:highlight w:val="none"/>
        </w:rPr>
        <w:t>，报价人可以根据自身施工实力，提出更短工期。具体进场时间，以采购人的通知为准。</w:t>
      </w:r>
    </w:p>
    <w:p w14:paraId="7645233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2、如果成交供应商由于自身原因，造成不能如期竣工时，应赔偿由于延期交付给采购人带来的损失。</w:t>
      </w:r>
    </w:p>
    <w:p w14:paraId="2F98CDC0">
      <w:pPr>
        <w:spacing w:line="360" w:lineRule="auto"/>
        <w:ind w:right="-178" w:rightChars="-85" w:firstLine="480" w:firstLineChars="200"/>
        <w:rPr>
          <w:rFonts w:ascii="宋体" w:hAnsi="宋体" w:cs="宋体"/>
          <w:color w:val="auto"/>
          <w:sz w:val="24"/>
          <w:szCs w:val="24"/>
          <w:highlight w:val="none"/>
        </w:rPr>
      </w:pPr>
    </w:p>
    <w:p w14:paraId="7CEEC08B">
      <w:pPr>
        <w:pStyle w:val="3"/>
        <w:keepNext w:val="0"/>
        <w:keepLines w:val="0"/>
        <w:spacing w:before="0" w:after="0" w:line="360" w:lineRule="auto"/>
        <w:rPr>
          <w:rFonts w:ascii="宋体" w:hAnsi="宋体" w:eastAsia="宋体" w:cs="宋体"/>
          <w:color w:val="auto"/>
          <w:sz w:val="24"/>
          <w:szCs w:val="24"/>
          <w:highlight w:val="none"/>
        </w:rPr>
      </w:pPr>
      <w:bookmarkStart w:id="172" w:name="_Toc30175"/>
      <w:bookmarkStart w:id="173" w:name="_Toc18499"/>
      <w:bookmarkStart w:id="174" w:name="_Toc23977"/>
      <w:bookmarkStart w:id="175" w:name="_Toc1138319257"/>
      <w:r>
        <w:rPr>
          <w:rFonts w:hint="eastAsia" w:ascii="宋体" w:hAnsi="宋体" w:eastAsia="宋体" w:cs="宋体"/>
          <w:color w:val="auto"/>
          <w:sz w:val="24"/>
          <w:szCs w:val="24"/>
          <w:highlight w:val="none"/>
        </w:rPr>
        <w:t>九、质量要求</w:t>
      </w:r>
      <w:bookmarkEnd w:id="172"/>
      <w:bookmarkEnd w:id="173"/>
      <w:bookmarkEnd w:id="174"/>
      <w:bookmarkEnd w:id="175"/>
    </w:p>
    <w:p w14:paraId="202B1645">
      <w:pPr>
        <w:pStyle w:val="8"/>
        <w:tabs>
          <w:tab w:val="left" w:pos="525"/>
        </w:tabs>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w:t>
      </w:r>
      <w:r>
        <w:rPr>
          <w:rFonts w:hint="eastAsia" w:hAnsi="宋体" w:cs="宋体"/>
          <w:color w:val="auto"/>
          <w:sz w:val="24"/>
          <w:szCs w:val="24"/>
          <w:highlight w:val="none"/>
        </w:rPr>
        <w:t>本工程质量标准必须达到国家现行的验评标准中规定的</w:t>
      </w:r>
      <w:r>
        <w:rPr>
          <w:rFonts w:hint="eastAsia" w:hAnsi="宋体" w:cs="宋体"/>
          <w:color w:val="auto"/>
          <w:sz w:val="24"/>
          <w:szCs w:val="24"/>
          <w:highlight w:val="none"/>
          <w:u w:val="single"/>
        </w:rPr>
        <w:t xml:space="preserve"> 合格 </w:t>
      </w:r>
      <w:r>
        <w:rPr>
          <w:rFonts w:hint="eastAsia" w:hAnsi="宋体" w:cs="宋体"/>
          <w:color w:val="auto"/>
          <w:sz w:val="24"/>
          <w:szCs w:val="24"/>
          <w:highlight w:val="none"/>
        </w:rPr>
        <w:t>等级。</w:t>
      </w:r>
    </w:p>
    <w:p w14:paraId="0CEB2D0C">
      <w:pPr>
        <w:pStyle w:val="8"/>
        <w:tabs>
          <w:tab w:val="left" w:pos="525"/>
        </w:tabs>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2、因成交供应商原因工程质量达不到规定的质量等级，成交供应商必须按合同约定承担违约金并承担建设单位由此产生的其他损失，并在采购人或监理方要求的时间内无条件返修，质量验收合格后方交付使用。</w:t>
      </w:r>
    </w:p>
    <w:p w14:paraId="71E48B08">
      <w:pPr>
        <w:pStyle w:val="8"/>
        <w:tabs>
          <w:tab w:val="left" w:pos="525"/>
        </w:tabs>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3、成交供应商应遵守工程建设安全生产有关管理规定，严格按安全标准组织施工，并随时接受行业安全检查人员依法实施的监督检查，采取必要的安全防护措施，消除事故隐患。由于成交供应商安全措施不力造成事故的责任和因此发生的费用，由成交供应商承担。</w:t>
      </w:r>
    </w:p>
    <w:p w14:paraId="39BC394B">
      <w:pPr>
        <w:pStyle w:val="8"/>
        <w:tabs>
          <w:tab w:val="left" w:pos="525"/>
        </w:tabs>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4、成交供应商应提供良好的服务，在施工的各个阶段应事先安排好各项具体工作及采购人需要配合的工作。</w:t>
      </w:r>
    </w:p>
    <w:p w14:paraId="0D7813F6">
      <w:pPr>
        <w:spacing w:line="360" w:lineRule="auto"/>
        <w:rPr>
          <w:rFonts w:ascii="宋体" w:hAnsi="宋体" w:cs="宋体"/>
          <w:color w:val="auto"/>
          <w:sz w:val="24"/>
          <w:szCs w:val="24"/>
          <w:highlight w:val="none"/>
        </w:rPr>
      </w:pPr>
    </w:p>
    <w:p w14:paraId="1B78B0CA">
      <w:pPr>
        <w:pStyle w:val="3"/>
        <w:keepNext w:val="0"/>
        <w:keepLines w:val="0"/>
        <w:spacing w:before="0" w:after="0" w:line="360" w:lineRule="auto"/>
        <w:rPr>
          <w:rFonts w:ascii="宋体" w:hAnsi="宋体" w:eastAsia="宋体" w:cs="宋体"/>
          <w:color w:val="auto"/>
          <w:sz w:val="24"/>
          <w:szCs w:val="24"/>
          <w:highlight w:val="none"/>
        </w:rPr>
      </w:pPr>
      <w:bookmarkStart w:id="176" w:name="_Toc432356155"/>
      <w:bookmarkStart w:id="177" w:name="_Toc20298"/>
      <w:bookmarkStart w:id="178" w:name="_Toc1925299962"/>
      <w:bookmarkStart w:id="179" w:name="_Toc25247"/>
      <w:bookmarkStart w:id="180" w:name="_Toc4126"/>
      <w:r>
        <w:rPr>
          <w:rFonts w:hint="eastAsia" w:ascii="宋体" w:hAnsi="宋体" w:eastAsia="宋体" w:cs="宋体"/>
          <w:color w:val="auto"/>
          <w:sz w:val="24"/>
          <w:szCs w:val="24"/>
          <w:highlight w:val="none"/>
        </w:rPr>
        <w:t>十、</w:t>
      </w:r>
      <w:bookmarkEnd w:id="176"/>
      <w:r>
        <w:rPr>
          <w:rFonts w:hint="eastAsia" w:ascii="宋体" w:hAnsi="宋体" w:eastAsia="宋体" w:cs="宋体"/>
          <w:color w:val="auto"/>
          <w:sz w:val="24"/>
          <w:szCs w:val="24"/>
          <w:highlight w:val="none"/>
        </w:rPr>
        <w:t>工程维保服务要求</w:t>
      </w:r>
      <w:bookmarkEnd w:id="177"/>
      <w:bookmarkEnd w:id="178"/>
      <w:bookmarkEnd w:id="179"/>
      <w:bookmarkEnd w:id="180"/>
    </w:p>
    <w:p w14:paraId="152B736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1、报价人应在报价文件中提供详细具体的工程维保服务承诺条款及保证。</w:t>
      </w:r>
    </w:p>
    <w:p w14:paraId="7C3EB0A1">
      <w:pPr>
        <w:spacing w:line="360" w:lineRule="auto"/>
        <w:ind w:firstLine="480" w:firstLineChars="200"/>
        <w:rPr>
          <w:rFonts w:ascii="宋体" w:hAnsi="宋体" w:cs="宋体"/>
          <w:b/>
          <w:color w:val="auto"/>
          <w:sz w:val="24"/>
          <w:szCs w:val="24"/>
          <w:highlight w:val="none"/>
        </w:rPr>
      </w:pPr>
      <w:r>
        <w:rPr>
          <w:rFonts w:hint="eastAsia" w:ascii="宋体" w:hAnsi="宋体" w:cs="宋体"/>
          <w:bCs/>
          <w:color w:val="auto"/>
          <w:sz w:val="24"/>
          <w:szCs w:val="24"/>
          <w:highlight w:val="none"/>
        </w:rPr>
        <w:t>2、本项目</w:t>
      </w:r>
      <w:r>
        <w:rPr>
          <w:rFonts w:hint="eastAsia" w:ascii="宋体" w:hAnsi="宋体" w:cs="宋体"/>
          <w:bCs/>
          <w:color w:val="auto"/>
          <w:sz w:val="24"/>
          <w:szCs w:val="24"/>
          <w:highlight w:val="none"/>
          <w:lang w:eastAsia="zh-CN"/>
        </w:rPr>
        <w:t>整体</w:t>
      </w:r>
      <w:r>
        <w:rPr>
          <w:rFonts w:hint="eastAsia" w:ascii="宋体" w:hAnsi="宋体" w:cs="宋体"/>
          <w:bCs/>
          <w:color w:val="auto"/>
          <w:sz w:val="24"/>
          <w:szCs w:val="24"/>
          <w:highlight w:val="none"/>
        </w:rPr>
        <w:t>保修期</w:t>
      </w:r>
      <w:r>
        <w:rPr>
          <w:rFonts w:hint="eastAsia" w:ascii="宋体" w:hAnsi="宋体"/>
          <w:color w:val="auto"/>
          <w:sz w:val="24"/>
          <w:highlight w:val="none"/>
          <w:lang w:eastAsia="zh-CN"/>
        </w:rPr>
        <w:t>叁</w:t>
      </w:r>
      <w:r>
        <w:rPr>
          <w:rFonts w:hint="eastAsia" w:ascii="宋体" w:hAnsi="宋体" w:cs="宋体"/>
          <w:bCs/>
          <w:color w:val="auto"/>
          <w:sz w:val="24"/>
          <w:szCs w:val="24"/>
          <w:highlight w:val="none"/>
        </w:rPr>
        <w:t>年，</w:t>
      </w:r>
      <w:r>
        <w:rPr>
          <w:rFonts w:hint="eastAsia" w:ascii="宋体" w:hAnsi="宋体" w:cs="宋体"/>
          <w:bCs/>
          <w:color w:val="auto"/>
          <w:sz w:val="24"/>
          <w:szCs w:val="24"/>
          <w:highlight w:val="none"/>
          <w:lang w:eastAsia="zh-CN"/>
        </w:rPr>
        <w:t>涉及防水工程保修期五年，</w:t>
      </w:r>
      <w:r>
        <w:rPr>
          <w:rFonts w:hint="eastAsia" w:ascii="宋体" w:hAnsi="宋体" w:cs="宋体"/>
          <w:bCs/>
          <w:color w:val="auto"/>
          <w:sz w:val="24"/>
          <w:szCs w:val="24"/>
          <w:highlight w:val="none"/>
        </w:rPr>
        <w:t>保修期从工程竣工验收合格并交付使用之日开始计算，</w:t>
      </w:r>
      <w:r>
        <w:rPr>
          <w:rFonts w:hint="eastAsia" w:ascii="宋体" w:hAnsi="宋体" w:cs="宋体"/>
          <w:bCs/>
          <w:color w:val="auto"/>
          <w:sz w:val="24"/>
          <w:szCs w:val="24"/>
          <w:highlight w:val="none"/>
        </w:rPr>
        <w:t>保修期内出现质量问题，由</w:t>
      </w:r>
      <w:r>
        <w:rPr>
          <w:rFonts w:hint="eastAsia" w:ascii="宋体" w:hAnsi="宋体" w:cs="宋体"/>
          <w:color w:val="auto"/>
          <w:sz w:val="24"/>
          <w:szCs w:val="24"/>
          <w:highlight w:val="none"/>
        </w:rPr>
        <w:t>成交供应商</w:t>
      </w:r>
      <w:r>
        <w:rPr>
          <w:rFonts w:hint="eastAsia" w:ascii="宋体" w:hAnsi="宋体" w:cs="宋体"/>
          <w:bCs/>
          <w:color w:val="auto"/>
          <w:sz w:val="24"/>
          <w:szCs w:val="24"/>
          <w:highlight w:val="none"/>
        </w:rPr>
        <w:t>负责维修并承担修理费用。</w:t>
      </w:r>
    </w:p>
    <w:p w14:paraId="0B8FC1A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3、保修期内，除不可抗力外，所有施工项目任何维护或维修费用均由</w:t>
      </w:r>
      <w:r>
        <w:rPr>
          <w:rFonts w:hint="eastAsia" w:ascii="宋体" w:hAnsi="宋体" w:cs="宋体"/>
          <w:color w:val="auto"/>
          <w:sz w:val="24"/>
          <w:szCs w:val="24"/>
          <w:highlight w:val="none"/>
        </w:rPr>
        <w:t>成交供应商</w:t>
      </w:r>
      <w:r>
        <w:rPr>
          <w:rFonts w:hint="eastAsia" w:ascii="宋体" w:hAnsi="宋体" w:cs="宋体"/>
          <w:color w:val="auto"/>
          <w:sz w:val="24"/>
          <w:szCs w:val="24"/>
          <w:highlight w:val="none"/>
        </w:rPr>
        <w:t>承担，非人为原因而出现的任何问题，由</w:t>
      </w:r>
      <w:r>
        <w:rPr>
          <w:rFonts w:hint="eastAsia" w:ascii="宋体" w:hAnsi="宋体" w:cs="宋体"/>
          <w:color w:val="auto"/>
          <w:sz w:val="24"/>
          <w:szCs w:val="24"/>
          <w:highlight w:val="none"/>
        </w:rPr>
        <w:t>成交供应商</w:t>
      </w:r>
      <w:r>
        <w:rPr>
          <w:rFonts w:hint="eastAsia" w:ascii="宋体" w:hAnsi="宋体" w:cs="宋体"/>
          <w:color w:val="auto"/>
          <w:sz w:val="24"/>
          <w:szCs w:val="24"/>
          <w:highlight w:val="none"/>
        </w:rPr>
        <w:t>负责包修、包换，并承担修理、调换产生的相关费用，并在接到采购人通知后2小时响应并及时到场处理。</w:t>
      </w:r>
    </w:p>
    <w:p w14:paraId="062A547B">
      <w:pPr>
        <w:spacing w:line="360" w:lineRule="auto"/>
        <w:rPr>
          <w:rFonts w:ascii="宋体" w:hAnsi="宋体" w:cs="宋体"/>
          <w:color w:val="auto"/>
          <w:sz w:val="24"/>
          <w:szCs w:val="24"/>
          <w:highlight w:val="none"/>
        </w:rPr>
      </w:pPr>
    </w:p>
    <w:p w14:paraId="00AF70B2">
      <w:pPr>
        <w:pStyle w:val="3"/>
        <w:keepNext w:val="0"/>
        <w:keepLines w:val="0"/>
        <w:spacing w:before="0" w:after="0" w:line="360" w:lineRule="auto"/>
        <w:rPr>
          <w:rFonts w:ascii="宋体" w:hAnsi="宋体" w:eastAsia="宋体" w:cs="宋体"/>
          <w:color w:val="auto"/>
          <w:sz w:val="24"/>
          <w:szCs w:val="24"/>
          <w:highlight w:val="none"/>
        </w:rPr>
      </w:pPr>
      <w:bookmarkStart w:id="181" w:name="_Toc5363"/>
      <w:bookmarkStart w:id="182" w:name="_Toc20240"/>
      <w:bookmarkStart w:id="183" w:name="_Toc1849"/>
      <w:bookmarkStart w:id="184" w:name="_Toc2072806352"/>
      <w:r>
        <w:rPr>
          <w:rFonts w:hint="eastAsia" w:ascii="宋体" w:hAnsi="宋体" w:eastAsia="宋体" w:cs="宋体"/>
          <w:color w:val="auto"/>
          <w:sz w:val="24"/>
          <w:szCs w:val="24"/>
          <w:highlight w:val="none"/>
        </w:rPr>
        <w:t>十一、资格证明文件</w:t>
      </w:r>
      <w:bookmarkEnd w:id="181"/>
      <w:bookmarkEnd w:id="182"/>
      <w:bookmarkEnd w:id="183"/>
      <w:bookmarkEnd w:id="184"/>
    </w:p>
    <w:p w14:paraId="527CE184">
      <w:pPr>
        <w:snapToGrid w:val="0"/>
        <w:spacing w:line="360" w:lineRule="auto"/>
        <w:ind w:firstLine="472" w:firstLineChars="196"/>
        <w:rPr>
          <w:color w:val="auto"/>
          <w:highlight w:val="none"/>
        </w:rPr>
      </w:pPr>
      <w:r>
        <w:rPr>
          <w:rFonts w:hint="eastAsia" w:ascii="宋体" w:hAnsi="宋体" w:cs="宋体"/>
          <w:b/>
          <w:color w:val="auto"/>
          <w:sz w:val="24"/>
          <w:szCs w:val="24"/>
          <w:highlight w:val="none"/>
        </w:rPr>
        <w:t>*1、报价人应提供工商营业执照（副本）（加盖公章）的复印件，提供税务登记证及组织机构代码证复印件。报价人已提供加载有统一社会信用代码营业执照的，视为已提供税务登记证和组织机构代码证。</w:t>
      </w:r>
    </w:p>
    <w:p w14:paraId="03ED5F5D">
      <w:pPr>
        <w:spacing w:line="360" w:lineRule="auto"/>
        <w:ind w:firstLine="422"/>
        <w:rPr>
          <w:rFonts w:ascii="宋体" w:hAnsi="宋体" w:cs="宋体"/>
          <w:b/>
          <w:color w:val="auto"/>
          <w:sz w:val="24"/>
          <w:szCs w:val="24"/>
          <w:highlight w:val="none"/>
        </w:rPr>
      </w:pPr>
      <w:r>
        <w:rPr>
          <w:rFonts w:hint="eastAsia" w:ascii="宋体" w:hAnsi="宋体" w:cs="宋体"/>
          <w:b/>
          <w:color w:val="auto"/>
          <w:sz w:val="24"/>
          <w:szCs w:val="24"/>
          <w:highlight w:val="none"/>
        </w:rPr>
        <w:t>*2、报价人全权代表若不是单位负责人，应提供单位授权书原件，并提供被授权代表身份证复印件。</w:t>
      </w:r>
    </w:p>
    <w:p w14:paraId="3D81C232">
      <w:pPr>
        <w:tabs>
          <w:tab w:val="left" w:pos="5130"/>
        </w:tabs>
        <w:spacing w:line="360" w:lineRule="auto"/>
        <w:ind w:firstLine="482" w:firstLineChars="200"/>
        <w:jc w:val="center"/>
        <w:outlineLvl w:val="9"/>
        <w:rPr>
          <w:rFonts w:hint="eastAsia" w:ascii="宋体" w:hAnsi="宋体" w:cs="宋体"/>
          <w:b/>
          <w:bCs/>
          <w:color w:val="auto"/>
          <w:sz w:val="24"/>
          <w:szCs w:val="24"/>
          <w:highlight w:val="none"/>
          <w:lang w:eastAsia="zh-CN"/>
        </w:rPr>
      </w:pPr>
      <w:bookmarkStart w:id="185" w:name="_Toc20842"/>
      <w:r>
        <w:rPr>
          <w:rFonts w:hint="eastAsia" w:ascii="宋体" w:hAnsi="宋体" w:cs="宋体"/>
          <w:b/>
          <w:bCs/>
          <w:color w:val="auto"/>
          <w:sz w:val="24"/>
          <w:szCs w:val="24"/>
          <w:highlight w:val="none"/>
        </w:rPr>
        <w:t>*3、</w:t>
      </w:r>
      <w:r>
        <w:rPr>
          <w:rFonts w:hint="eastAsia" w:ascii="宋体" w:hAnsi="宋体" w:cs="宋体"/>
          <w:b/>
          <w:bCs/>
          <w:color w:val="auto"/>
          <w:sz w:val="24"/>
          <w:szCs w:val="24"/>
          <w:highlight w:val="none"/>
        </w:rPr>
        <w:t>报价人应提供建筑工程施工总承包贰级以上（含贰级）资质或建筑装修装饰工程专业承包贰级以上（含贰级）资质证明文件（加盖公章）的复</w:t>
      </w:r>
      <w:r>
        <w:rPr>
          <w:rFonts w:hint="eastAsia" w:ascii="宋体" w:hAnsi="宋体" w:cs="宋体"/>
          <w:b/>
          <w:bCs/>
          <w:color w:val="auto"/>
          <w:sz w:val="24"/>
          <w:szCs w:val="24"/>
          <w:highlight w:val="none"/>
        </w:rPr>
        <w:t>印件</w:t>
      </w:r>
      <w:bookmarkEnd w:id="137"/>
      <w:bookmarkEnd w:id="185"/>
      <w:r>
        <w:rPr>
          <w:rFonts w:hint="eastAsia" w:ascii="宋体" w:hAnsi="宋体" w:cs="宋体"/>
          <w:b/>
          <w:bCs/>
          <w:color w:val="auto"/>
          <w:sz w:val="24"/>
          <w:szCs w:val="24"/>
          <w:highlight w:val="none"/>
          <w:lang w:eastAsia="zh-CN"/>
        </w:rPr>
        <w:t>。</w:t>
      </w:r>
      <w:bookmarkStart w:id="186" w:name="_Toc8931"/>
      <w:bookmarkStart w:id="187" w:name="_Toc4992"/>
      <w:bookmarkStart w:id="188" w:name="_Toc21617"/>
      <w:bookmarkStart w:id="189" w:name="_Toc268599010"/>
    </w:p>
    <w:p w14:paraId="75B8550B">
      <w:pPr>
        <w:pStyle w:val="2"/>
        <w:rPr>
          <w:rFonts w:hint="eastAsia" w:ascii="宋体" w:hAnsi="宋体" w:cs="宋体"/>
          <w:b/>
          <w:bCs/>
          <w:color w:val="auto"/>
          <w:sz w:val="24"/>
          <w:szCs w:val="24"/>
          <w:highlight w:val="none"/>
          <w:lang w:eastAsia="zh-CN"/>
        </w:rPr>
      </w:pPr>
    </w:p>
    <w:p w14:paraId="4FD504D8">
      <w:pPr>
        <w:pStyle w:val="2"/>
        <w:rPr>
          <w:rFonts w:hint="eastAsia" w:ascii="宋体" w:hAnsi="宋体" w:cs="宋体"/>
          <w:b/>
          <w:bCs/>
          <w:color w:val="auto"/>
          <w:sz w:val="24"/>
          <w:szCs w:val="24"/>
          <w:highlight w:val="none"/>
          <w:lang w:eastAsia="zh-CN"/>
        </w:rPr>
      </w:pPr>
    </w:p>
    <w:p w14:paraId="52BC4F7D">
      <w:pPr>
        <w:tabs>
          <w:tab w:val="left" w:pos="5130"/>
        </w:tabs>
        <w:spacing w:line="360" w:lineRule="auto"/>
        <w:ind w:firstLine="482" w:firstLineChars="200"/>
        <w:jc w:val="center"/>
        <w:outlineLvl w:val="9"/>
        <w:rPr>
          <w:rFonts w:hint="eastAsia" w:ascii="宋体" w:hAnsi="宋体" w:cs="宋体"/>
          <w:b/>
          <w:bCs/>
          <w:color w:val="auto"/>
          <w:sz w:val="24"/>
          <w:szCs w:val="24"/>
          <w:highlight w:val="none"/>
          <w:lang w:eastAsia="zh-CN"/>
        </w:rPr>
      </w:pPr>
    </w:p>
    <w:p w14:paraId="612CDAE5">
      <w:pPr>
        <w:tabs>
          <w:tab w:val="left" w:pos="5130"/>
        </w:tabs>
        <w:spacing w:line="360" w:lineRule="auto"/>
        <w:ind w:firstLine="643" w:firstLineChars="200"/>
        <w:jc w:val="center"/>
        <w:outlineLvl w:val="0"/>
        <w:rPr>
          <w:rFonts w:ascii="宋体" w:hAnsi="宋体" w:cs="宋体"/>
          <w:b/>
          <w:color w:val="auto"/>
          <w:sz w:val="24"/>
          <w:szCs w:val="24"/>
          <w:highlight w:val="none"/>
        </w:rPr>
      </w:pPr>
      <w:bookmarkStart w:id="190" w:name="_Toc533431948"/>
      <w:r>
        <w:rPr>
          <w:rFonts w:hint="eastAsia" w:ascii="宋体" w:hAnsi="宋体" w:cs="宋体"/>
          <w:b/>
          <w:bCs/>
          <w:color w:val="auto"/>
          <w:sz w:val="32"/>
          <w:szCs w:val="32"/>
          <w:highlight w:val="none"/>
        </w:rPr>
        <w:t xml:space="preserve">第四章   </w:t>
      </w:r>
      <w:r>
        <w:rPr>
          <w:rFonts w:hint="eastAsia" w:ascii="宋体" w:hAnsi="宋体" w:cs="宋体"/>
          <w:b/>
          <w:color w:val="auto"/>
          <w:sz w:val="32"/>
          <w:szCs w:val="32"/>
          <w:highlight w:val="none"/>
        </w:rPr>
        <w:t>采购合同（参考文本）</w:t>
      </w:r>
      <w:bookmarkEnd w:id="186"/>
      <w:bookmarkEnd w:id="187"/>
      <w:bookmarkEnd w:id="188"/>
      <w:bookmarkEnd w:id="190"/>
    </w:p>
    <w:tbl>
      <w:tblPr>
        <w:tblStyle w:val="17"/>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6E0A2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79" w:type="dxa"/>
            <w:tcBorders>
              <w:top w:val="single" w:color="auto" w:sz="4" w:space="0"/>
              <w:left w:val="single" w:color="auto" w:sz="4" w:space="0"/>
              <w:bottom w:val="single" w:color="auto" w:sz="4" w:space="0"/>
              <w:right w:val="single" w:color="auto" w:sz="4" w:space="0"/>
            </w:tcBorders>
            <w:noWrap/>
          </w:tcPr>
          <w:p w14:paraId="5FB8879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注释： </w:t>
            </w:r>
          </w:p>
          <w:p w14:paraId="19F344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本格式条款仅作为双方签订合同的参考，为阐明各方的权利和义务，经协商可增加新的条款、修改相关条款， 但不得与采购文件、报价文件的实质性内容相背离。</w:t>
            </w:r>
          </w:p>
        </w:tc>
      </w:tr>
    </w:tbl>
    <w:p w14:paraId="57B40D25">
      <w:pPr>
        <w:autoSpaceDE w:val="0"/>
        <w:autoSpaceDN w:val="0"/>
        <w:adjustRightInd w:val="0"/>
        <w:spacing w:line="360" w:lineRule="auto"/>
        <w:jc w:val="center"/>
        <w:rPr>
          <w:rFonts w:ascii="宋体" w:hAnsi="宋体" w:cs="宋体"/>
          <w:color w:val="auto"/>
          <w:sz w:val="24"/>
          <w:szCs w:val="24"/>
          <w:highlight w:val="none"/>
        </w:rPr>
      </w:pPr>
    </w:p>
    <w:p w14:paraId="02490152">
      <w:pPr>
        <w:autoSpaceDE w:val="0"/>
        <w:autoSpaceDN w:val="0"/>
        <w:adjustRightInd w:val="0"/>
        <w:spacing w:line="360" w:lineRule="auto"/>
        <w:jc w:val="center"/>
        <w:rPr>
          <w:rFonts w:ascii="宋体" w:hAnsi="宋体" w:cs="宋体"/>
          <w:b/>
          <w:bCs/>
          <w:color w:val="auto"/>
          <w:spacing w:val="20"/>
          <w:sz w:val="24"/>
          <w:szCs w:val="24"/>
          <w:highlight w:val="none"/>
          <w:lang w:val="zh-CN"/>
        </w:rPr>
      </w:pPr>
      <w:bookmarkStart w:id="191" w:name="_Toc7599"/>
      <w:r>
        <w:rPr>
          <w:rFonts w:hint="eastAsia" w:ascii="宋体" w:hAnsi="宋体" w:cs="宋体"/>
          <w:b/>
          <w:bCs/>
          <w:color w:val="auto"/>
          <w:spacing w:val="20"/>
          <w:sz w:val="24"/>
          <w:szCs w:val="24"/>
          <w:highlight w:val="none"/>
          <w:lang w:val="zh-CN"/>
        </w:rPr>
        <w:t>建设工程施工合同</w:t>
      </w:r>
      <w:r>
        <w:rPr>
          <w:rFonts w:hint="eastAsia" w:ascii="宋体" w:hAnsi="宋体" w:cs="宋体"/>
          <w:b/>
          <w:bCs/>
          <w:color w:val="auto"/>
          <w:spacing w:val="60"/>
          <w:sz w:val="24"/>
          <w:szCs w:val="24"/>
          <w:highlight w:val="none"/>
          <w:lang w:val="zh-CN"/>
        </w:rPr>
        <w:t>示范文本</w:t>
      </w:r>
      <w:bookmarkEnd w:id="191"/>
    </w:p>
    <w:p w14:paraId="66A48D4A">
      <w:pPr>
        <w:autoSpaceDE w:val="0"/>
        <w:autoSpaceDN w:val="0"/>
        <w:adjustRightInd w:val="0"/>
        <w:spacing w:line="360" w:lineRule="auto"/>
        <w:jc w:val="center"/>
        <w:rPr>
          <w:rFonts w:ascii="宋体" w:hAnsi="宋体" w:cs="宋体"/>
          <w:b/>
          <w:bCs/>
          <w:color w:val="auto"/>
          <w:spacing w:val="60"/>
          <w:sz w:val="24"/>
          <w:szCs w:val="24"/>
          <w:highlight w:val="none"/>
          <w:lang w:val="zh-CN"/>
        </w:rPr>
      </w:pPr>
      <w:r>
        <w:rPr>
          <w:rFonts w:hint="eastAsia" w:ascii="宋体" w:hAnsi="宋体" w:cs="宋体"/>
          <w:b/>
          <w:bCs/>
          <w:color w:val="auto"/>
          <w:spacing w:val="60"/>
          <w:sz w:val="24"/>
          <w:szCs w:val="24"/>
          <w:highlight w:val="none"/>
          <w:lang w:val="zh-CN"/>
        </w:rPr>
        <w:t>（2011版）</w:t>
      </w:r>
    </w:p>
    <w:p w14:paraId="5C4BF802">
      <w:pPr>
        <w:autoSpaceDE w:val="0"/>
        <w:autoSpaceDN w:val="0"/>
        <w:adjustRightInd w:val="0"/>
        <w:spacing w:line="360" w:lineRule="auto"/>
        <w:rPr>
          <w:rFonts w:ascii="宋体" w:hAnsi="宋体" w:cs="宋体"/>
          <w:b/>
          <w:bCs/>
          <w:color w:val="auto"/>
          <w:spacing w:val="60"/>
          <w:sz w:val="24"/>
          <w:szCs w:val="24"/>
          <w:highlight w:val="none"/>
          <w:lang w:val="zh-CN"/>
        </w:rPr>
      </w:pPr>
    </w:p>
    <w:p w14:paraId="4A00C47A">
      <w:pPr>
        <w:autoSpaceDE w:val="0"/>
        <w:autoSpaceDN w:val="0"/>
        <w:adjustRightInd w:val="0"/>
        <w:spacing w:line="360" w:lineRule="auto"/>
        <w:rPr>
          <w:rFonts w:ascii="宋体" w:hAnsi="宋体" w:cs="宋体"/>
          <w:color w:val="auto"/>
          <w:sz w:val="24"/>
          <w:szCs w:val="24"/>
          <w:highlight w:val="none"/>
          <w:lang w:val="zh-CN"/>
        </w:rPr>
      </w:pPr>
    </w:p>
    <w:p w14:paraId="0DBED005">
      <w:pPr>
        <w:autoSpaceDE w:val="0"/>
        <w:autoSpaceDN w:val="0"/>
        <w:adjustRightInd w:val="0"/>
        <w:spacing w:line="360" w:lineRule="auto"/>
        <w:rPr>
          <w:rFonts w:ascii="宋体" w:hAnsi="宋体" w:cs="宋体"/>
          <w:color w:val="auto"/>
          <w:sz w:val="24"/>
          <w:szCs w:val="24"/>
          <w:highlight w:val="none"/>
          <w:lang w:val="zh-CN"/>
        </w:rPr>
      </w:pPr>
    </w:p>
    <w:p w14:paraId="35840AEC">
      <w:pPr>
        <w:autoSpaceDE w:val="0"/>
        <w:autoSpaceDN w:val="0"/>
        <w:adjustRightInd w:val="0"/>
        <w:spacing w:line="360" w:lineRule="auto"/>
        <w:rPr>
          <w:rFonts w:ascii="宋体" w:hAnsi="宋体" w:cs="宋体"/>
          <w:color w:val="auto"/>
          <w:sz w:val="24"/>
          <w:szCs w:val="24"/>
          <w:highlight w:val="none"/>
          <w:lang w:val="zh-CN"/>
        </w:rPr>
      </w:pPr>
    </w:p>
    <w:p w14:paraId="79E9492E">
      <w:pPr>
        <w:autoSpaceDE w:val="0"/>
        <w:autoSpaceDN w:val="0"/>
        <w:adjustRightInd w:val="0"/>
        <w:spacing w:line="360" w:lineRule="auto"/>
        <w:rPr>
          <w:rFonts w:ascii="宋体" w:hAnsi="宋体" w:cs="宋体"/>
          <w:color w:val="auto"/>
          <w:sz w:val="24"/>
          <w:szCs w:val="24"/>
          <w:highlight w:val="none"/>
          <w:lang w:val="zh-CN"/>
        </w:rPr>
      </w:pPr>
    </w:p>
    <w:p w14:paraId="3BA105CF">
      <w:pPr>
        <w:autoSpaceDE w:val="0"/>
        <w:autoSpaceDN w:val="0"/>
        <w:adjustRightInd w:val="0"/>
        <w:spacing w:line="360" w:lineRule="auto"/>
        <w:rPr>
          <w:rFonts w:ascii="宋体" w:hAnsi="宋体" w:cs="宋体"/>
          <w:color w:val="auto"/>
          <w:sz w:val="24"/>
          <w:szCs w:val="24"/>
          <w:highlight w:val="none"/>
          <w:lang w:val="zh-CN"/>
        </w:rPr>
      </w:pPr>
    </w:p>
    <w:p w14:paraId="6D80CC78">
      <w:pPr>
        <w:autoSpaceDE w:val="0"/>
        <w:autoSpaceDN w:val="0"/>
        <w:adjustRightInd w:val="0"/>
        <w:spacing w:line="360" w:lineRule="auto"/>
        <w:rPr>
          <w:rFonts w:ascii="宋体" w:hAnsi="宋体" w:cs="宋体"/>
          <w:color w:val="auto"/>
          <w:sz w:val="24"/>
          <w:szCs w:val="24"/>
          <w:highlight w:val="none"/>
          <w:lang w:val="zh-CN"/>
        </w:rPr>
      </w:pPr>
    </w:p>
    <w:p w14:paraId="786453B6">
      <w:pPr>
        <w:autoSpaceDE w:val="0"/>
        <w:autoSpaceDN w:val="0"/>
        <w:adjustRightInd w:val="0"/>
        <w:spacing w:line="360" w:lineRule="auto"/>
        <w:rPr>
          <w:rFonts w:ascii="宋体" w:hAnsi="宋体" w:cs="宋体"/>
          <w:color w:val="auto"/>
          <w:sz w:val="24"/>
          <w:szCs w:val="24"/>
          <w:highlight w:val="none"/>
          <w:lang w:val="zh-CN"/>
        </w:rPr>
      </w:pPr>
    </w:p>
    <w:p w14:paraId="4B79311C">
      <w:pPr>
        <w:autoSpaceDE w:val="0"/>
        <w:autoSpaceDN w:val="0"/>
        <w:adjustRightInd w:val="0"/>
        <w:spacing w:line="360" w:lineRule="auto"/>
        <w:rPr>
          <w:rFonts w:ascii="宋体" w:hAnsi="宋体" w:cs="宋体"/>
          <w:color w:val="auto"/>
          <w:sz w:val="24"/>
          <w:szCs w:val="24"/>
          <w:highlight w:val="none"/>
          <w:lang w:val="zh-CN"/>
        </w:rPr>
      </w:pPr>
    </w:p>
    <w:p w14:paraId="7487770D">
      <w:pPr>
        <w:autoSpaceDE w:val="0"/>
        <w:autoSpaceDN w:val="0"/>
        <w:adjustRightInd w:val="0"/>
        <w:spacing w:line="360" w:lineRule="auto"/>
        <w:rPr>
          <w:rFonts w:ascii="宋体" w:hAnsi="宋体" w:cs="宋体"/>
          <w:color w:val="auto"/>
          <w:sz w:val="24"/>
          <w:szCs w:val="24"/>
          <w:highlight w:val="none"/>
          <w:lang w:val="zh-CN"/>
        </w:rPr>
      </w:pPr>
    </w:p>
    <w:p w14:paraId="55D7EC81">
      <w:pPr>
        <w:autoSpaceDE w:val="0"/>
        <w:autoSpaceDN w:val="0"/>
        <w:adjustRightInd w:val="0"/>
        <w:spacing w:line="360" w:lineRule="auto"/>
        <w:rPr>
          <w:rFonts w:ascii="宋体" w:hAnsi="宋体" w:cs="宋体"/>
          <w:color w:val="auto"/>
          <w:sz w:val="24"/>
          <w:szCs w:val="24"/>
          <w:highlight w:val="none"/>
          <w:lang w:val="zh-CN"/>
        </w:rPr>
      </w:pPr>
    </w:p>
    <w:p w14:paraId="32FADA71">
      <w:pPr>
        <w:autoSpaceDE w:val="0"/>
        <w:autoSpaceDN w:val="0"/>
        <w:adjustRightInd w:val="0"/>
        <w:spacing w:line="360" w:lineRule="auto"/>
        <w:rPr>
          <w:rFonts w:ascii="宋体" w:hAnsi="宋体" w:cs="宋体"/>
          <w:color w:val="auto"/>
          <w:sz w:val="24"/>
          <w:szCs w:val="24"/>
          <w:highlight w:val="none"/>
          <w:lang w:val="zh-CN"/>
        </w:rPr>
      </w:pPr>
    </w:p>
    <w:p w14:paraId="30AB3AA6">
      <w:pPr>
        <w:autoSpaceDE w:val="0"/>
        <w:autoSpaceDN w:val="0"/>
        <w:adjustRightInd w:val="0"/>
        <w:spacing w:line="360" w:lineRule="auto"/>
        <w:jc w:val="center"/>
        <w:rPr>
          <w:rFonts w:ascii="宋体" w:hAnsi="宋体" w:cs="宋体"/>
          <w:b/>
          <w:bCs/>
          <w:color w:val="auto"/>
          <w:sz w:val="24"/>
          <w:szCs w:val="24"/>
          <w:highlight w:val="none"/>
          <w:lang w:val="zh-CN"/>
        </w:rPr>
      </w:pPr>
      <w:r>
        <w:rPr>
          <w:rFonts w:hint="eastAsia" w:ascii="宋体" w:hAnsi="宋体" w:cs="宋体"/>
          <w:b/>
          <w:bCs/>
          <w:color w:val="auto"/>
          <w:sz w:val="24"/>
          <w:szCs w:val="24"/>
          <w:highlight w:val="none"/>
          <w:lang w:val="zh-CN"/>
        </w:rPr>
        <w:br w:type="page"/>
      </w:r>
      <w:r>
        <w:rPr>
          <w:rFonts w:hint="eastAsia" w:ascii="宋体" w:hAnsi="宋体" w:cs="宋体"/>
          <w:b/>
          <w:bCs/>
          <w:color w:val="auto"/>
          <w:sz w:val="32"/>
          <w:szCs w:val="32"/>
          <w:highlight w:val="none"/>
          <w:lang w:val="zh-CN"/>
        </w:rPr>
        <w:t>使 用 说 明</w:t>
      </w:r>
    </w:p>
    <w:p w14:paraId="2827E466">
      <w:pPr>
        <w:autoSpaceDE w:val="0"/>
        <w:autoSpaceDN w:val="0"/>
        <w:adjustRightInd w:val="0"/>
        <w:spacing w:line="360" w:lineRule="auto"/>
        <w:ind w:firstLine="730"/>
        <w:jc w:val="center"/>
        <w:rPr>
          <w:rFonts w:ascii="宋体" w:hAnsi="宋体" w:cs="宋体"/>
          <w:b/>
          <w:bCs/>
          <w:color w:val="auto"/>
          <w:sz w:val="24"/>
          <w:szCs w:val="24"/>
          <w:highlight w:val="none"/>
          <w:lang w:val="zh-CN"/>
        </w:rPr>
      </w:pPr>
    </w:p>
    <w:p w14:paraId="08120F56">
      <w:pPr>
        <w:autoSpaceDE w:val="0"/>
        <w:autoSpaceDN w:val="0"/>
        <w:adjustRightInd w:val="0"/>
        <w:spacing w:line="360" w:lineRule="auto"/>
        <w:ind w:firstLine="566"/>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一、本合同文本是厦门市建设与管理局、厦门市工商行政管理局共同制定，旨在为建设工程施工承发包双方提供方便、灵活、实用、规范的示范性文本。</w:t>
      </w:r>
    </w:p>
    <w:p w14:paraId="4B9F4EC4">
      <w:pPr>
        <w:autoSpaceDE w:val="0"/>
        <w:autoSpaceDN w:val="0"/>
        <w:adjustRightInd w:val="0"/>
        <w:spacing w:line="360" w:lineRule="auto"/>
        <w:ind w:firstLine="566"/>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二、本合同文本主体内容由协议书、通用条款和专用条款三部分成。其中协议书部分由承发包双方协商签订；通用条款部分是根据国家和地方的法律、法规、管理规定及建筑市场惯例制订，无须另行约定的内容；专用条款部分属承发包双方根据工程实际及双方意愿，予以专门约定的内客。</w:t>
      </w:r>
    </w:p>
    <w:p w14:paraId="27A54CA9">
      <w:pPr>
        <w:autoSpaceDE w:val="0"/>
        <w:autoSpaceDN w:val="0"/>
        <w:adjustRightInd w:val="0"/>
        <w:spacing w:line="360" w:lineRule="auto"/>
        <w:ind w:firstLine="566"/>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三、本合同文本的通用条款与专用条款为对应关联关系，可相互解释、互为说明。专用条款内约定的合同内容，从专用条款；专用条款无专门约定的，从通用条款。</w:t>
      </w:r>
    </w:p>
    <w:p w14:paraId="74A4DBD5">
      <w:pPr>
        <w:autoSpaceDE w:val="0"/>
        <w:autoSpaceDN w:val="0"/>
        <w:adjustRightInd w:val="0"/>
        <w:spacing w:line="360" w:lineRule="auto"/>
        <w:ind w:firstLine="566"/>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四、本合同文本未列事项，合同双方可根据工程实际及双方意愿，另行签订补充条款或补充协议，作为本合同附件。</w:t>
      </w:r>
    </w:p>
    <w:p w14:paraId="61B5BE6A">
      <w:pPr>
        <w:autoSpaceDE w:val="0"/>
        <w:autoSpaceDN w:val="0"/>
        <w:adjustRightInd w:val="0"/>
        <w:spacing w:line="360" w:lineRule="auto"/>
        <w:ind w:firstLine="566"/>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五、建设工程施工承发包双方签订合同，可使用本合同文本，或参照文本内容另行制定。</w:t>
      </w:r>
    </w:p>
    <w:p w14:paraId="741C2E89">
      <w:pPr>
        <w:autoSpaceDE w:val="0"/>
        <w:autoSpaceDN w:val="0"/>
        <w:adjustRightInd w:val="0"/>
        <w:spacing w:line="360" w:lineRule="auto"/>
        <w:ind w:firstLine="566"/>
        <w:rPr>
          <w:rFonts w:ascii="宋体" w:hAnsi="宋体" w:cs="宋体"/>
          <w:color w:val="auto"/>
          <w:sz w:val="24"/>
          <w:szCs w:val="24"/>
          <w:highlight w:val="none"/>
          <w:lang w:val="zh-CN"/>
        </w:rPr>
      </w:pPr>
    </w:p>
    <w:p w14:paraId="6F9E21A2">
      <w:pPr>
        <w:autoSpaceDE w:val="0"/>
        <w:autoSpaceDN w:val="0"/>
        <w:adjustRightInd w:val="0"/>
        <w:spacing w:line="360" w:lineRule="auto"/>
        <w:ind w:firstLine="566"/>
        <w:rPr>
          <w:rFonts w:ascii="宋体" w:hAnsi="宋体" w:cs="宋体"/>
          <w:color w:val="auto"/>
          <w:sz w:val="24"/>
          <w:szCs w:val="24"/>
          <w:highlight w:val="none"/>
          <w:lang w:val="zh-CN"/>
        </w:rPr>
      </w:pPr>
    </w:p>
    <w:p w14:paraId="2C273D6A">
      <w:pPr>
        <w:autoSpaceDE w:val="0"/>
        <w:autoSpaceDN w:val="0"/>
        <w:adjustRightInd w:val="0"/>
        <w:spacing w:line="360" w:lineRule="auto"/>
        <w:ind w:firstLine="566"/>
        <w:rPr>
          <w:rFonts w:ascii="宋体" w:hAnsi="宋体" w:cs="宋体"/>
          <w:color w:val="auto"/>
          <w:sz w:val="24"/>
          <w:szCs w:val="24"/>
          <w:highlight w:val="none"/>
          <w:lang w:val="zh-CN"/>
        </w:rPr>
      </w:pPr>
    </w:p>
    <w:p w14:paraId="5CFE89E2">
      <w:pPr>
        <w:autoSpaceDE w:val="0"/>
        <w:autoSpaceDN w:val="0"/>
        <w:adjustRightInd w:val="0"/>
        <w:spacing w:line="360" w:lineRule="auto"/>
        <w:ind w:firstLine="566"/>
        <w:rPr>
          <w:rFonts w:ascii="宋体" w:hAnsi="宋体" w:cs="宋体"/>
          <w:color w:val="auto"/>
          <w:sz w:val="24"/>
          <w:szCs w:val="24"/>
          <w:highlight w:val="none"/>
          <w:lang w:val="zh-CN"/>
        </w:rPr>
      </w:pPr>
    </w:p>
    <w:p w14:paraId="39E388C1">
      <w:pPr>
        <w:autoSpaceDE w:val="0"/>
        <w:autoSpaceDN w:val="0"/>
        <w:adjustRightInd w:val="0"/>
        <w:spacing w:line="360" w:lineRule="auto"/>
        <w:ind w:firstLine="566"/>
        <w:rPr>
          <w:rFonts w:ascii="宋体" w:hAnsi="宋体" w:cs="宋体"/>
          <w:color w:val="auto"/>
          <w:sz w:val="24"/>
          <w:szCs w:val="24"/>
          <w:highlight w:val="none"/>
          <w:lang w:val="zh-CN"/>
        </w:rPr>
      </w:pPr>
    </w:p>
    <w:p w14:paraId="04B75097">
      <w:pPr>
        <w:autoSpaceDE w:val="0"/>
        <w:autoSpaceDN w:val="0"/>
        <w:adjustRightInd w:val="0"/>
        <w:spacing w:line="360" w:lineRule="auto"/>
        <w:ind w:firstLine="566"/>
        <w:rPr>
          <w:rFonts w:ascii="宋体" w:hAnsi="宋体" w:cs="宋体"/>
          <w:color w:val="auto"/>
          <w:sz w:val="24"/>
          <w:szCs w:val="24"/>
          <w:highlight w:val="none"/>
          <w:lang w:val="zh-CN"/>
        </w:rPr>
      </w:pPr>
    </w:p>
    <w:p w14:paraId="070CD434">
      <w:pPr>
        <w:autoSpaceDE w:val="0"/>
        <w:autoSpaceDN w:val="0"/>
        <w:adjustRightInd w:val="0"/>
        <w:spacing w:line="360" w:lineRule="auto"/>
        <w:ind w:firstLine="566"/>
        <w:rPr>
          <w:rFonts w:ascii="宋体" w:hAnsi="宋体" w:cs="宋体"/>
          <w:color w:val="auto"/>
          <w:sz w:val="24"/>
          <w:szCs w:val="24"/>
          <w:highlight w:val="none"/>
          <w:lang w:val="zh-CN"/>
        </w:rPr>
      </w:pPr>
    </w:p>
    <w:p w14:paraId="3EFE91EF">
      <w:pPr>
        <w:autoSpaceDE w:val="0"/>
        <w:autoSpaceDN w:val="0"/>
        <w:adjustRightInd w:val="0"/>
        <w:spacing w:line="360" w:lineRule="auto"/>
        <w:ind w:firstLine="566"/>
        <w:rPr>
          <w:rFonts w:ascii="宋体" w:hAnsi="宋体" w:cs="宋体"/>
          <w:color w:val="auto"/>
          <w:sz w:val="24"/>
          <w:szCs w:val="24"/>
          <w:highlight w:val="none"/>
          <w:lang w:val="zh-CN"/>
        </w:rPr>
      </w:pPr>
    </w:p>
    <w:p w14:paraId="0F0C9E9D">
      <w:pPr>
        <w:autoSpaceDE w:val="0"/>
        <w:autoSpaceDN w:val="0"/>
        <w:adjustRightInd w:val="0"/>
        <w:spacing w:line="360" w:lineRule="auto"/>
        <w:ind w:firstLine="566"/>
        <w:rPr>
          <w:rFonts w:ascii="宋体" w:hAnsi="宋体" w:cs="宋体"/>
          <w:color w:val="auto"/>
          <w:sz w:val="24"/>
          <w:szCs w:val="24"/>
          <w:highlight w:val="none"/>
          <w:lang w:val="zh-CN"/>
        </w:rPr>
      </w:pPr>
    </w:p>
    <w:p w14:paraId="326C18C7">
      <w:pPr>
        <w:autoSpaceDE w:val="0"/>
        <w:autoSpaceDN w:val="0"/>
        <w:adjustRightInd w:val="0"/>
        <w:spacing w:line="360" w:lineRule="auto"/>
        <w:rPr>
          <w:rFonts w:ascii="宋体" w:hAnsi="宋体" w:cs="宋体"/>
          <w:color w:val="auto"/>
          <w:sz w:val="24"/>
          <w:szCs w:val="24"/>
          <w:highlight w:val="none"/>
          <w:lang w:val="zh-CN"/>
        </w:rPr>
      </w:pPr>
    </w:p>
    <w:p w14:paraId="026FED16">
      <w:pPr>
        <w:autoSpaceDE w:val="0"/>
        <w:autoSpaceDN w:val="0"/>
        <w:adjustRightInd w:val="0"/>
        <w:spacing w:line="360" w:lineRule="auto"/>
        <w:ind w:firstLine="730"/>
        <w:jc w:val="center"/>
        <w:rPr>
          <w:rFonts w:ascii="宋体" w:hAnsi="宋体" w:cs="宋体"/>
          <w:b/>
          <w:bCs/>
          <w:color w:val="auto"/>
          <w:sz w:val="32"/>
          <w:szCs w:val="32"/>
          <w:highlight w:val="none"/>
          <w:lang w:val="zh-CN"/>
        </w:rPr>
      </w:pPr>
    </w:p>
    <w:p w14:paraId="0C339F81">
      <w:pPr>
        <w:autoSpaceDE w:val="0"/>
        <w:autoSpaceDN w:val="0"/>
        <w:adjustRightInd w:val="0"/>
        <w:spacing w:line="360" w:lineRule="auto"/>
        <w:ind w:firstLine="730"/>
        <w:jc w:val="center"/>
        <w:rPr>
          <w:rFonts w:ascii="宋体" w:hAnsi="宋体" w:cs="宋体"/>
          <w:b/>
          <w:bCs/>
          <w:color w:val="auto"/>
          <w:sz w:val="32"/>
          <w:szCs w:val="32"/>
          <w:highlight w:val="none"/>
          <w:lang w:val="zh-CN"/>
        </w:rPr>
      </w:pPr>
    </w:p>
    <w:p w14:paraId="77ADC1B8">
      <w:pPr>
        <w:autoSpaceDE w:val="0"/>
        <w:autoSpaceDN w:val="0"/>
        <w:adjustRightInd w:val="0"/>
        <w:spacing w:line="360" w:lineRule="auto"/>
        <w:ind w:firstLine="730"/>
        <w:jc w:val="center"/>
        <w:rPr>
          <w:rFonts w:ascii="宋体" w:hAnsi="宋体" w:cs="宋体"/>
          <w:b/>
          <w:bCs/>
          <w:color w:val="auto"/>
          <w:sz w:val="32"/>
          <w:szCs w:val="32"/>
          <w:highlight w:val="none"/>
          <w:lang w:val="zh-CN"/>
        </w:rPr>
      </w:pPr>
    </w:p>
    <w:p w14:paraId="2064FEDF">
      <w:pPr>
        <w:autoSpaceDE w:val="0"/>
        <w:autoSpaceDN w:val="0"/>
        <w:adjustRightInd w:val="0"/>
        <w:spacing w:line="360" w:lineRule="auto"/>
        <w:ind w:firstLine="730"/>
        <w:jc w:val="center"/>
        <w:rPr>
          <w:rFonts w:ascii="宋体" w:hAnsi="宋体" w:cs="宋体"/>
          <w:b/>
          <w:bCs/>
          <w:color w:val="auto"/>
          <w:sz w:val="24"/>
          <w:szCs w:val="24"/>
          <w:highlight w:val="none"/>
          <w:lang w:val="zh-CN"/>
        </w:rPr>
      </w:pPr>
      <w:bookmarkStart w:id="192" w:name="_Toc13949"/>
      <w:r>
        <w:rPr>
          <w:rFonts w:hint="eastAsia" w:ascii="宋体" w:hAnsi="宋体" w:cs="宋体"/>
          <w:b/>
          <w:bCs/>
          <w:color w:val="auto"/>
          <w:sz w:val="32"/>
          <w:szCs w:val="32"/>
          <w:highlight w:val="none"/>
          <w:lang w:val="zh-CN"/>
        </w:rPr>
        <w:t>第一部分  协  议  书</w:t>
      </w:r>
      <w:bookmarkEnd w:id="192"/>
    </w:p>
    <w:p w14:paraId="6FF3102D">
      <w:pPr>
        <w:autoSpaceDE w:val="0"/>
        <w:autoSpaceDN w:val="0"/>
        <w:adjustRightInd w:val="0"/>
        <w:spacing w:line="360" w:lineRule="auto"/>
        <w:ind w:firstLine="485"/>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发包人（采购人）：_________________________________________</w:t>
      </w:r>
    </w:p>
    <w:p w14:paraId="221D63A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承包人（成交供应商）:_____________________________________</w:t>
      </w:r>
    </w:p>
    <w:p w14:paraId="24EB3612">
      <w:pPr>
        <w:autoSpaceDE w:val="0"/>
        <w:autoSpaceDN w:val="0"/>
        <w:adjustRightInd w:val="0"/>
        <w:spacing w:line="360" w:lineRule="auto"/>
        <w:ind w:firstLine="485"/>
        <w:rPr>
          <w:rFonts w:ascii="宋体" w:hAnsi="宋体" w:cs="宋体"/>
          <w:color w:val="auto"/>
          <w:sz w:val="24"/>
          <w:szCs w:val="24"/>
          <w:highlight w:val="none"/>
        </w:rPr>
      </w:pPr>
      <w:r>
        <w:rPr>
          <w:rFonts w:hint="eastAsia" w:ascii="宋体" w:hAnsi="宋体" w:cs="宋体"/>
          <w:color w:val="auto"/>
          <w:sz w:val="24"/>
          <w:szCs w:val="24"/>
          <w:highlight w:val="none"/>
        </w:rPr>
        <w:t xml:space="preserve">   根据发包人委托</w:t>
      </w:r>
      <w:r>
        <w:rPr>
          <w:rFonts w:hint="eastAsia" w:ascii="宋体" w:hAnsi="宋体" w:cs="宋体"/>
          <w:color w:val="auto"/>
          <w:sz w:val="24"/>
          <w:szCs w:val="24"/>
          <w:highlight w:val="none"/>
          <w:u w:val="single"/>
        </w:rPr>
        <w:t>（采购代理机构）</w:t>
      </w:r>
      <w:r>
        <w:rPr>
          <w:rFonts w:hint="eastAsia" w:ascii="宋体" w:hAnsi="宋体" w:cs="宋体"/>
          <w:color w:val="auto"/>
          <w:sz w:val="24"/>
          <w:szCs w:val="24"/>
          <w:highlight w:val="none"/>
        </w:rPr>
        <w:t>对进行采购（项目编号：）的采购结果，承包人为成交供应商，现依照采购文件、</w:t>
      </w:r>
      <w:r>
        <w:rPr>
          <w:rFonts w:hint="eastAsia" w:ascii="宋体" w:hAnsi="宋体" w:cs="宋体"/>
          <w:color w:val="auto"/>
          <w:sz w:val="24"/>
          <w:szCs w:val="24"/>
          <w:highlight w:val="none"/>
          <w:u w:val="single"/>
        </w:rPr>
        <w:t>（成交供应商）</w:t>
      </w:r>
      <w:r>
        <w:rPr>
          <w:rFonts w:hint="eastAsia" w:ascii="宋体" w:hAnsi="宋体" w:cs="宋体"/>
          <w:color w:val="auto"/>
          <w:sz w:val="24"/>
          <w:szCs w:val="24"/>
          <w:highlight w:val="none"/>
        </w:rPr>
        <w:t>报价文件及有关法律、法规、规章规定的内容，双方达成如下协议：</w:t>
      </w:r>
    </w:p>
    <w:p w14:paraId="108A63F7">
      <w:pPr>
        <w:autoSpaceDE w:val="0"/>
        <w:autoSpaceDN w:val="0"/>
        <w:adjustRightInd w:val="0"/>
        <w:spacing w:line="360" w:lineRule="auto"/>
        <w:ind w:firstLine="485"/>
        <w:rPr>
          <w:rFonts w:ascii="宋体" w:hAnsi="宋体" w:cs="宋体"/>
          <w:color w:val="auto"/>
          <w:sz w:val="24"/>
          <w:szCs w:val="24"/>
          <w:highlight w:val="none"/>
          <w:lang w:val="zh-CN"/>
        </w:rPr>
      </w:pPr>
      <w:bookmarkStart w:id="193" w:name="_Toc3064"/>
      <w:r>
        <w:rPr>
          <w:rFonts w:hint="eastAsia" w:ascii="宋体" w:hAnsi="宋体" w:cs="宋体"/>
          <w:color w:val="auto"/>
          <w:sz w:val="24"/>
          <w:szCs w:val="24"/>
          <w:highlight w:val="none"/>
          <w:lang w:val="zh-CN"/>
        </w:rPr>
        <w:t>一、工程概况</w:t>
      </w:r>
      <w:bookmarkEnd w:id="193"/>
    </w:p>
    <w:p w14:paraId="0FDE53B5">
      <w:pPr>
        <w:autoSpaceDE w:val="0"/>
        <w:autoSpaceDN w:val="0"/>
        <w:adjustRightInd w:val="0"/>
        <w:spacing w:line="360" w:lineRule="auto"/>
        <w:ind w:firstLine="485"/>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工程项目名称：___________________________________________________</w:t>
      </w:r>
    </w:p>
    <w:p w14:paraId="38A94C73">
      <w:pPr>
        <w:autoSpaceDE w:val="0"/>
        <w:autoSpaceDN w:val="0"/>
        <w:adjustRightInd w:val="0"/>
        <w:spacing w:line="360" w:lineRule="auto"/>
        <w:ind w:firstLine="485"/>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工程项目编号：_</w:t>
      </w:r>
      <w:r>
        <w:rPr>
          <w:rFonts w:hint="eastAsia" w:ascii="宋体" w:hAnsi="宋体" w:cs="宋体"/>
          <w:color w:val="auto"/>
          <w:sz w:val="24"/>
          <w:szCs w:val="24"/>
          <w:highlight w:val="none"/>
          <w:u w:val="single"/>
          <w:lang w:val="zh-CN"/>
        </w:rPr>
        <w:t xml:space="preserve">___                               </w:t>
      </w:r>
    </w:p>
    <w:p w14:paraId="3427DCD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工程地点：_________________________              </w:t>
      </w:r>
    </w:p>
    <w:p w14:paraId="54CDDB3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工程内容：_________________________________________</w:t>
      </w:r>
    </w:p>
    <w:p w14:paraId="757271F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群体工程应附承包人承揽工程项目一览表（附件1）</w:t>
      </w:r>
    </w:p>
    <w:p w14:paraId="02CF482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工程立项批准文号：_________________________________</w:t>
      </w:r>
    </w:p>
    <w:p w14:paraId="660BDC6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资金来源：___________________________________________</w:t>
      </w:r>
    </w:p>
    <w:p w14:paraId="01956D6D">
      <w:pPr>
        <w:autoSpaceDE w:val="0"/>
        <w:autoSpaceDN w:val="0"/>
        <w:adjustRightInd w:val="0"/>
        <w:spacing w:line="360" w:lineRule="auto"/>
        <w:ind w:firstLine="485"/>
        <w:rPr>
          <w:rFonts w:ascii="宋体" w:hAnsi="宋体" w:cs="宋体"/>
          <w:color w:val="auto"/>
          <w:sz w:val="24"/>
          <w:szCs w:val="24"/>
          <w:highlight w:val="none"/>
          <w:lang w:val="zh-CN"/>
        </w:rPr>
      </w:pPr>
      <w:bookmarkStart w:id="194" w:name="_Toc6661"/>
      <w:r>
        <w:rPr>
          <w:rFonts w:hint="eastAsia" w:ascii="宋体" w:hAnsi="宋体" w:cs="宋体"/>
          <w:color w:val="auto"/>
          <w:sz w:val="24"/>
          <w:szCs w:val="24"/>
          <w:highlight w:val="none"/>
          <w:lang w:val="zh-CN"/>
        </w:rPr>
        <w:t>二、工程承包范围</w:t>
      </w:r>
      <w:bookmarkEnd w:id="194"/>
    </w:p>
    <w:p w14:paraId="4350E03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承包范围：________________________________________    </w:t>
      </w:r>
    </w:p>
    <w:p w14:paraId="21B2E746">
      <w:pPr>
        <w:autoSpaceDE w:val="0"/>
        <w:autoSpaceDN w:val="0"/>
        <w:adjustRightInd w:val="0"/>
        <w:spacing w:line="360" w:lineRule="auto"/>
        <w:ind w:firstLine="485"/>
        <w:rPr>
          <w:rFonts w:ascii="宋体" w:hAnsi="宋体" w:cs="宋体"/>
          <w:color w:val="auto"/>
          <w:sz w:val="24"/>
          <w:szCs w:val="24"/>
          <w:highlight w:val="none"/>
          <w:lang w:val="zh-CN"/>
        </w:rPr>
      </w:pPr>
      <w:bookmarkStart w:id="195" w:name="_Toc14801"/>
      <w:r>
        <w:rPr>
          <w:rFonts w:hint="eastAsia" w:ascii="宋体" w:hAnsi="宋体" w:cs="宋体"/>
          <w:color w:val="auto"/>
          <w:sz w:val="24"/>
          <w:szCs w:val="24"/>
          <w:highlight w:val="none"/>
          <w:lang w:val="zh-CN"/>
        </w:rPr>
        <w:t>三、合同工期</w:t>
      </w:r>
      <w:bookmarkEnd w:id="195"/>
    </w:p>
    <w:p w14:paraId="369FD40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工程总合同工期：日历天；</w:t>
      </w:r>
    </w:p>
    <w:p w14:paraId="40D68E5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开工日期按下列第项确定：</w:t>
      </w:r>
    </w:p>
    <w:p w14:paraId="3C99CF4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1、合同签订后天，即年月日；</w:t>
      </w:r>
    </w:p>
    <w:p w14:paraId="520A516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2、施工许可证批准后天，即年月日；</w:t>
      </w:r>
    </w:p>
    <w:p w14:paraId="74ED90E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3总监理工程师签署开工令后天，即年月日。</w:t>
      </w:r>
    </w:p>
    <w:p w14:paraId="36EAF62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竣工日期：年月日。</w:t>
      </w:r>
    </w:p>
    <w:p w14:paraId="451B12A4">
      <w:pPr>
        <w:autoSpaceDE w:val="0"/>
        <w:autoSpaceDN w:val="0"/>
        <w:adjustRightInd w:val="0"/>
        <w:spacing w:line="360" w:lineRule="auto"/>
        <w:ind w:firstLine="485"/>
        <w:rPr>
          <w:rFonts w:ascii="宋体" w:hAnsi="宋体" w:cs="宋体"/>
          <w:color w:val="auto"/>
          <w:sz w:val="24"/>
          <w:szCs w:val="24"/>
          <w:highlight w:val="none"/>
          <w:lang w:val="zh-CN"/>
        </w:rPr>
      </w:pPr>
      <w:bookmarkStart w:id="196" w:name="_Toc23619"/>
      <w:r>
        <w:rPr>
          <w:rFonts w:hint="eastAsia" w:ascii="宋体" w:hAnsi="宋体" w:cs="宋体"/>
          <w:color w:val="auto"/>
          <w:sz w:val="24"/>
          <w:szCs w:val="24"/>
          <w:highlight w:val="none"/>
          <w:lang w:val="zh-CN"/>
        </w:rPr>
        <w:t>四、质量标准</w:t>
      </w:r>
      <w:bookmarkEnd w:id="196"/>
    </w:p>
    <w:p w14:paraId="06309CA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工程质量标准：________________________________________</w:t>
      </w:r>
    </w:p>
    <w:p w14:paraId="3F7DFA8A">
      <w:pPr>
        <w:autoSpaceDE w:val="0"/>
        <w:autoSpaceDN w:val="0"/>
        <w:adjustRightInd w:val="0"/>
        <w:spacing w:line="360" w:lineRule="auto"/>
        <w:ind w:firstLine="487"/>
        <w:rPr>
          <w:rFonts w:ascii="宋体" w:hAnsi="宋体" w:cs="宋体"/>
          <w:b/>
          <w:bCs/>
          <w:color w:val="auto"/>
          <w:sz w:val="24"/>
          <w:szCs w:val="24"/>
          <w:highlight w:val="none"/>
          <w:lang w:val="zh-CN"/>
        </w:rPr>
      </w:pPr>
      <w:bookmarkStart w:id="197" w:name="_Toc4193"/>
      <w:r>
        <w:rPr>
          <w:rFonts w:hint="eastAsia" w:ascii="宋体" w:hAnsi="宋体" w:cs="宋体"/>
          <w:b/>
          <w:bCs/>
          <w:color w:val="auto"/>
          <w:sz w:val="24"/>
          <w:szCs w:val="24"/>
          <w:highlight w:val="none"/>
          <w:lang w:val="zh-CN"/>
        </w:rPr>
        <w:t>五、合同价款</w:t>
      </w:r>
      <w:bookmarkEnd w:id="197"/>
    </w:p>
    <w:p w14:paraId="768943C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金额（大写）：___________________________________元（人民币）</w:t>
      </w:r>
    </w:p>
    <w:p w14:paraId="3A02620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￥：___________________________________元（人民币）</w:t>
      </w:r>
    </w:p>
    <w:p w14:paraId="09BF52E1">
      <w:pPr>
        <w:autoSpaceDE w:val="0"/>
        <w:autoSpaceDN w:val="0"/>
        <w:adjustRightInd w:val="0"/>
        <w:spacing w:line="360" w:lineRule="auto"/>
        <w:ind w:firstLine="485"/>
        <w:rPr>
          <w:rFonts w:ascii="宋体" w:hAnsi="宋体" w:cs="宋体"/>
          <w:color w:val="auto"/>
          <w:sz w:val="24"/>
          <w:szCs w:val="24"/>
          <w:highlight w:val="none"/>
          <w:lang w:val="zh-CN"/>
        </w:rPr>
      </w:pPr>
      <w:bookmarkStart w:id="198" w:name="_Toc32470"/>
      <w:r>
        <w:rPr>
          <w:rFonts w:hint="eastAsia" w:ascii="宋体" w:hAnsi="宋体" w:cs="宋体"/>
          <w:color w:val="auto"/>
          <w:sz w:val="24"/>
          <w:szCs w:val="24"/>
          <w:highlight w:val="none"/>
          <w:lang w:val="zh-CN"/>
        </w:rPr>
        <w:t>六、组成合同的文件</w:t>
      </w:r>
      <w:bookmarkEnd w:id="198"/>
    </w:p>
    <w:p w14:paraId="514E129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组成本合同的文件包括：</w:t>
      </w:r>
    </w:p>
    <w:p w14:paraId="5F06D03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（1）本合同协议书</w:t>
      </w:r>
    </w:p>
    <w:p w14:paraId="368B51E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（2）本合同专用条款</w:t>
      </w:r>
    </w:p>
    <w:p w14:paraId="512B547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（3）本合同通用条款</w:t>
      </w:r>
    </w:p>
    <w:p w14:paraId="4B0BF39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（4）成交通知书</w:t>
      </w:r>
    </w:p>
    <w:p w14:paraId="483FBA4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（5）采购文件及其附件、报价文件及其附件</w:t>
      </w:r>
    </w:p>
    <w:p w14:paraId="47121BC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（6）工程量清单</w:t>
      </w:r>
    </w:p>
    <w:p w14:paraId="1B4DE5E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（7）工程报价书或预算书</w:t>
      </w:r>
    </w:p>
    <w:p w14:paraId="1D2F24B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（8）图纸</w:t>
      </w:r>
    </w:p>
    <w:p w14:paraId="521B6EA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（9）标准、规范及有关技术文件</w:t>
      </w:r>
    </w:p>
    <w:p w14:paraId="0293C6D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双方有关工程的洽商、变更等书面协议或文件视为本合同的组成部分。</w:t>
      </w:r>
    </w:p>
    <w:p w14:paraId="607D97C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七、本协议书中有关词语含义与本合同第二部分《通用条款》中分别赋予它们的定义相同。</w:t>
      </w:r>
    </w:p>
    <w:p w14:paraId="1E946D9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八、承包人向发包人承诺按照合同约定进行施工、竣工并在质量保修期内承担工程质量保修责任。</w:t>
      </w:r>
    </w:p>
    <w:p w14:paraId="7511EA8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九、发包人向承包人承诺按照合同约定的期限和方式支付合同价款及其他应当支付的款项。</w:t>
      </w:r>
    </w:p>
    <w:p w14:paraId="52DEEABA">
      <w:pPr>
        <w:autoSpaceDE w:val="0"/>
        <w:autoSpaceDN w:val="0"/>
        <w:adjustRightInd w:val="0"/>
        <w:spacing w:line="360" w:lineRule="auto"/>
        <w:ind w:firstLine="485"/>
        <w:rPr>
          <w:rFonts w:ascii="宋体" w:hAnsi="宋体" w:cs="宋体"/>
          <w:color w:val="auto"/>
          <w:sz w:val="24"/>
          <w:szCs w:val="24"/>
          <w:highlight w:val="none"/>
          <w:lang w:val="zh-CN"/>
        </w:rPr>
      </w:pPr>
      <w:bookmarkStart w:id="199" w:name="_Toc15226"/>
      <w:r>
        <w:rPr>
          <w:rFonts w:hint="eastAsia" w:ascii="宋体" w:hAnsi="宋体" w:cs="宋体"/>
          <w:color w:val="auto"/>
          <w:sz w:val="24"/>
          <w:szCs w:val="24"/>
          <w:highlight w:val="none"/>
          <w:lang w:val="zh-CN"/>
        </w:rPr>
        <w:t>十、合同生效</w:t>
      </w:r>
      <w:bookmarkEnd w:id="199"/>
    </w:p>
    <w:p w14:paraId="5852F06D">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本合同经后生效。</w:t>
      </w:r>
    </w:p>
    <w:p w14:paraId="26C7026D">
      <w:pPr>
        <w:autoSpaceDE w:val="0"/>
        <w:autoSpaceDN w:val="0"/>
        <w:adjustRightInd w:val="0"/>
        <w:spacing w:line="360" w:lineRule="auto"/>
        <w:ind w:firstLine="4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合同订立时间：年月日</w:t>
      </w:r>
    </w:p>
    <w:p w14:paraId="5BDF30FE">
      <w:pPr>
        <w:autoSpaceDE w:val="0"/>
        <w:autoSpaceDN w:val="0"/>
        <w:adjustRightInd w:val="0"/>
        <w:spacing w:line="360" w:lineRule="auto"/>
        <w:ind w:firstLine="4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合同订立地点：</w:t>
      </w:r>
    </w:p>
    <w:p w14:paraId="4225C45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  包  人：（盖单位章）                承  包  人：（盖单位章）</w:t>
      </w:r>
    </w:p>
    <w:p w14:paraId="34BF59D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住      所：                           住      所：</w:t>
      </w:r>
    </w:p>
    <w:p w14:paraId="4E4A160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                           法定代表人：</w:t>
      </w:r>
    </w:p>
    <w:p w14:paraId="4DF5799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委托代理人：                           委托代理人：</w:t>
      </w:r>
    </w:p>
    <w:p w14:paraId="77DB8BF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电      话：                           电      话：</w:t>
      </w:r>
    </w:p>
    <w:p w14:paraId="6215513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传      真：                           传      真：</w:t>
      </w:r>
    </w:p>
    <w:p w14:paraId="5CF92BD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开户银行：                             开户银行：</w:t>
      </w:r>
    </w:p>
    <w:p w14:paraId="2CB2DA4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账      号：                           账      号：</w:t>
      </w:r>
    </w:p>
    <w:p w14:paraId="6371CCA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邮政编码：                             邮政编码：</w:t>
      </w:r>
    </w:p>
    <w:p w14:paraId="2208D6F8">
      <w:pPr>
        <w:autoSpaceDE w:val="0"/>
        <w:autoSpaceDN w:val="0"/>
        <w:adjustRightInd w:val="0"/>
        <w:spacing w:line="360" w:lineRule="auto"/>
        <w:jc w:val="center"/>
        <w:rPr>
          <w:rFonts w:ascii="宋体" w:hAnsi="宋体" w:cs="宋体"/>
          <w:b/>
          <w:bCs/>
          <w:color w:val="auto"/>
          <w:sz w:val="24"/>
          <w:szCs w:val="24"/>
          <w:highlight w:val="none"/>
          <w:lang w:val="zh-CN"/>
        </w:rPr>
      </w:pPr>
      <w:bookmarkStart w:id="200" w:name="_Toc13366"/>
      <w:r>
        <w:rPr>
          <w:rFonts w:hint="eastAsia" w:ascii="宋体" w:hAnsi="宋体" w:cs="宋体"/>
          <w:b/>
          <w:bCs/>
          <w:color w:val="auto"/>
          <w:sz w:val="32"/>
          <w:szCs w:val="32"/>
          <w:highlight w:val="none"/>
          <w:lang w:val="zh-CN"/>
        </w:rPr>
        <w:t>第二部分  通用条款</w:t>
      </w:r>
      <w:bookmarkEnd w:id="200"/>
    </w:p>
    <w:p w14:paraId="6F5C440C">
      <w:pPr>
        <w:autoSpaceDE w:val="0"/>
        <w:autoSpaceDN w:val="0"/>
        <w:adjustRightInd w:val="0"/>
        <w:spacing w:line="360" w:lineRule="auto"/>
        <w:ind w:firstLine="485"/>
        <w:rPr>
          <w:rFonts w:ascii="宋体" w:hAnsi="宋体" w:cs="宋体"/>
          <w:color w:val="auto"/>
          <w:sz w:val="24"/>
          <w:szCs w:val="24"/>
          <w:highlight w:val="none"/>
          <w:lang w:val="zh-CN"/>
        </w:rPr>
      </w:pPr>
      <w:bookmarkStart w:id="201" w:name="_Toc10740"/>
      <w:r>
        <w:rPr>
          <w:rFonts w:hint="eastAsia" w:ascii="宋体" w:hAnsi="宋体" w:cs="宋体"/>
          <w:color w:val="auto"/>
          <w:sz w:val="24"/>
          <w:szCs w:val="24"/>
          <w:highlight w:val="none"/>
          <w:lang w:val="zh-CN"/>
        </w:rPr>
        <w:t>一、词语定义及合同文件</w:t>
      </w:r>
      <w:bookmarkEnd w:id="201"/>
    </w:p>
    <w:p w14:paraId="782D44D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1.词语定义</w:t>
      </w:r>
    </w:p>
    <w:p w14:paraId="5C857DB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下列词语除专用条款另有约定外，应具有本条所赋予的定义。</w:t>
      </w:r>
    </w:p>
    <w:p w14:paraId="5BCA65F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  通用条款；是根据法律、行政法规规定及建设工程施工的需要订立，通用于建设工程施工的条款。</w:t>
      </w:r>
    </w:p>
    <w:p w14:paraId="6C5FCF2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  专用条款：是发包人与承包人根据法律、行政法规规定，结合具体工程实际，经协商达成一致意见的条款，是对通用条款的具体化、补充或修改。</w:t>
      </w:r>
    </w:p>
    <w:p w14:paraId="3C4E7A4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  发包人：指在协议书中约定，具有工程发包主体资格和支付工程价款义务的当事人以及取得该当事人资格的合法继承人。</w:t>
      </w:r>
    </w:p>
    <w:p w14:paraId="5186BD3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1.4  工程师：指发包人指定的履行本合同的己方代表，或发包人委托的监理单位派出的总监理工程师。其具体身份和职权由发包人、承包人在专用条款中约定。</w:t>
      </w:r>
    </w:p>
    <w:p w14:paraId="6A87A0C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1.5  承包人：指在协议书中约定，被发包人接受的具有工程施工承包主体资格的当事人以及取得该当事人资格的合法继承人。</w:t>
      </w:r>
    </w:p>
    <w:p w14:paraId="3B6C217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  承包人代表：指承包人在专用条款中指定的负责施工管理和合同履行的代表。</w:t>
      </w:r>
    </w:p>
    <w:p w14:paraId="4B487B4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  设计单位：指发包人委托的负责本工程设计并取得相应工程设计资质等级证书的单位。</w:t>
      </w:r>
    </w:p>
    <w:p w14:paraId="39D3C9C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1.8  监理单位：指发包人委托的负责本工程监理并取得相应工程监理资质等级证书的单位。</w:t>
      </w:r>
    </w:p>
    <w:p w14:paraId="0AE0A95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  工程造价管理部门：指国务院有关部门、县级以上人民政府建设行政主管部门或其委托的工程造价管理机构。</w:t>
      </w:r>
    </w:p>
    <w:p w14:paraId="5315E84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1.10 工程：指发包人、承包人在协议书中约定的承包范围内的工程。</w:t>
      </w:r>
    </w:p>
    <w:p w14:paraId="376C173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1.11  合同价款：指发包人、承包人在协议书中约定，发包人用以支付承包人按照合同约定完成承包范围内全部工程并承担质量保修责任的款项。</w:t>
      </w:r>
    </w:p>
    <w:p w14:paraId="5C4DD85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1.12 追加合同价款：指在合同履行中发生需要增加合同价款的情况，经发包人确认后按计算合同价款的方法增加的合同价款。</w:t>
      </w:r>
    </w:p>
    <w:p w14:paraId="55B1C47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1.13  费用：指不包含在合同价款之内的应当由发包人或承包人承担的经费支出。</w:t>
      </w:r>
    </w:p>
    <w:p w14:paraId="4908BD1D">
      <w:pPr>
        <w:autoSpaceDE w:val="0"/>
        <w:autoSpaceDN w:val="0"/>
        <w:adjustRightInd w:val="0"/>
        <w:spacing w:line="360" w:lineRule="auto"/>
        <w:ind w:firstLine="485"/>
        <w:rPr>
          <w:rFonts w:ascii="宋体" w:hAnsi="宋体" w:cs="宋体"/>
          <w:i/>
          <w:iCs/>
          <w:color w:val="auto"/>
          <w:sz w:val="24"/>
          <w:szCs w:val="24"/>
          <w:highlight w:val="none"/>
          <w:lang w:val="zh-CN"/>
        </w:rPr>
      </w:pPr>
      <w:r>
        <w:rPr>
          <w:rFonts w:hint="eastAsia" w:ascii="宋体" w:hAnsi="宋体" w:cs="宋体"/>
          <w:color w:val="auto"/>
          <w:sz w:val="24"/>
          <w:szCs w:val="24"/>
          <w:highlight w:val="none"/>
          <w:lang w:val="zh-CN"/>
        </w:rPr>
        <w:t xml:space="preserve">1.14接收证书：指发包人在工程或分项工程通过竣工验收后，签发给承包人的工程接收凭证。 </w:t>
      </w:r>
    </w:p>
    <w:p w14:paraId="7CCA609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1.15  保修期：指承包人在工程或分部工程竣工后，对所建工程在一定时限内出现的质量问题承担免费维修责任的期限。该期限自工程或分部工程经竣工验收合格之日或实际交付之日起，至法定的期限或质量保修书（合同）约定的期限止。</w:t>
      </w:r>
    </w:p>
    <w:p w14:paraId="434FFC6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1.16  保修担保：为担保承包人履行在保修期内工程质量问题的免费保修责任，承包人自己或第三人向发包人提供的担保。承包人、发包人或第三人可以在专用条款中约定担保方式。</w:t>
      </w:r>
    </w:p>
    <w:p w14:paraId="2426567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1.17 保修金：指工程竣工验收后发包人按一定比例自工程价款中提留，用于担保承包人保修期内工程质量问题的维修款项，是保修担保的一种方式。</w:t>
      </w:r>
    </w:p>
    <w:p w14:paraId="763221A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1.18  工期：指发包人承包人在协议书中约定，按总日历天数（包括法定节假日）计算的完成承包范围内工程并验收合格的承包天数。</w:t>
      </w:r>
    </w:p>
    <w:p w14:paraId="1EA7290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1.19  开工日期：指发包人承包人在协议书中约定，承包人开始施工的绝对或相对的日期。</w:t>
      </w:r>
    </w:p>
    <w:p w14:paraId="51F33F4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1.20  竣工日期：指发包人承包人在协议书中约定，承包人完成承包范围内工程的绝对或相对的日期。</w:t>
      </w:r>
    </w:p>
    <w:p w14:paraId="3FAC357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1.21  图纸：指由发包人提供或由承包人提供并经发包人批准，满足承包人施工需要的所有图纸（包括配套说明和有关资料）。</w:t>
      </w:r>
    </w:p>
    <w:p w14:paraId="02FE7E5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1.22  施工场地：指由发包人提供的用于工程施工的场所以及发包人在图纸中具体指定的供施工使用的任何其他场所。</w:t>
      </w:r>
    </w:p>
    <w:p w14:paraId="2A1FADB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1.23  书面形式：指合同书、纸质信件和数据电文（包括传真、电子邮件）等可以有形地表现所载内容的形式。</w:t>
      </w:r>
    </w:p>
    <w:p w14:paraId="585A706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1.24  违约责任：指合同一方不履行合同义务或履行合同义务不符合约定所应承担的责任。</w:t>
      </w:r>
    </w:p>
    <w:p w14:paraId="4B9A6F9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1.25  索赔：指合同履行过程中，对于非己方过失，而是因对方原因造成实际损失，向对方提出经济补偿和（或）工期顺延的要求。</w:t>
      </w:r>
    </w:p>
    <w:p w14:paraId="7ED3EF4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1.26  不可抗力：指合同履行中发生的不能预见、不能避免且不能克服的客观情况。</w:t>
      </w:r>
    </w:p>
    <w:p w14:paraId="3308BFB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1.27  小时或天：本合同中规定按小时计算时间的，从事件有效开始时计算（不扣除休息时间）；规定按天计算时间的，开始当天不计入，从次日开始计算。时限的最后一天是休息日或者其他法定节假日的，以节假日的次日为时限的最后一天，但竣工日期除外。时限的最后一天的截止时间为当日</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时。</w:t>
      </w:r>
    </w:p>
    <w:p w14:paraId="02328E5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2.合同文件及解释顺序</w:t>
      </w:r>
    </w:p>
    <w:p w14:paraId="503C705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2.1  合同文件应能相互解释，互为说明。除专用条款另有约定外，组成本合同的文件及优先解释顺序如下：</w:t>
      </w:r>
    </w:p>
    <w:p w14:paraId="290C50E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（1）本合同协议书</w:t>
      </w:r>
    </w:p>
    <w:p w14:paraId="6A77545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（2）本合同专用条款</w:t>
      </w:r>
    </w:p>
    <w:p w14:paraId="4E5BE49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（3）本合同通用条款</w:t>
      </w:r>
    </w:p>
    <w:p w14:paraId="45A91BB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（4）成交通知书</w:t>
      </w:r>
    </w:p>
    <w:p w14:paraId="28B0923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（5）采购文件及其附件、报价文件及其附件</w:t>
      </w:r>
    </w:p>
    <w:p w14:paraId="46C8147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（6）工程量清单</w:t>
      </w:r>
    </w:p>
    <w:p w14:paraId="7F40683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（7）工程报价书或预算书</w:t>
      </w:r>
    </w:p>
    <w:p w14:paraId="251C2D8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（8）图纸</w:t>
      </w:r>
    </w:p>
    <w:p w14:paraId="48DC70C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（9）标准、规范及有关技术文件</w:t>
      </w:r>
    </w:p>
    <w:p w14:paraId="3D584C7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合同履行中，发包人、承包人有关工程的洽商、变更等书面协议或文件视为本合同的组成部分。</w:t>
      </w:r>
    </w:p>
    <w:p w14:paraId="38E3AA4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2.2  当合同文件内容界定不清或不相一致时，在不影响工程正常进行的情况下，由发包人、承包人协商解决。双方也可以提请负责监理的工程师做出解释。双方协商不成或不同意负责监理的工程师的解释时，按本通用条款</w:t>
      </w:r>
      <w:r>
        <w:rPr>
          <w:rFonts w:hint="eastAsia" w:ascii="宋体" w:hAnsi="宋体" w:cs="宋体"/>
          <w:b/>
          <w:bCs/>
          <w:color w:val="auto"/>
          <w:sz w:val="24"/>
          <w:szCs w:val="24"/>
          <w:highlight w:val="none"/>
          <w:lang w:val="zh-CN"/>
        </w:rPr>
        <w:t>37</w:t>
      </w:r>
      <w:r>
        <w:rPr>
          <w:rFonts w:hint="eastAsia" w:ascii="宋体" w:hAnsi="宋体" w:cs="宋体"/>
          <w:color w:val="auto"/>
          <w:sz w:val="24"/>
          <w:szCs w:val="24"/>
          <w:highlight w:val="none"/>
          <w:lang w:val="zh-CN"/>
        </w:rPr>
        <w:t>条关于争议的约定处理。</w:t>
      </w:r>
    </w:p>
    <w:p w14:paraId="2F1CF14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3.语言文字和适用法律、标准及规范</w:t>
      </w:r>
    </w:p>
    <w:p w14:paraId="4872A20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  语言文字</w:t>
      </w:r>
    </w:p>
    <w:p w14:paraId="4360458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本合同文件使用汉语语言文字书写、解释和说明。如专用条款约定使用两种以上（含两种）语言文字时，汉语应为解释和说明本合同的标准语言文字。</w:t>
      </w:r>
    </w:p>
    <w:p w14:paraId="0F51E4D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3.2适用法律和法规</w:t>
      </w:r>
    </w:p>
    <w:p w14:paraId="3539BD3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本合同文件适用中华人民共和国的法律和行政法规。需要明示的法律、行政法规，由双方在专用条款中约定。</w:t>
      </w:r>
    </w:p>
    <w:p w14:paraId="5A11FDA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3.3适用标准、规范</w:t>
      </w:r>
    </w:p>
    <w:p w14:paraId="2D8A195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属强制性标准的，发包人、承包人必须遵守。</w:t>
      </w:r>
    </w:p>
    <w:p w14:paraId="3E24E3F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913857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本条所发生的购买、翻译标准、规范或制定施工工艺的费用，由发包人承担。</w:t>
      </w:r>
    </w:p>
    <w:p w14:paraId="4702EC2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4.图纸</w:t>
      </w:r>
    </w:p>
    <w:p w14:paraId="56187C8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EEEC25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4.2  承包人未经发包人同意，不得将本工程图纸转给第三方。本合同终止后，除承包人存档需要的图纸外，应将全部图纸退还给发包人。</w:t>
      </w:r>
    </w:p>
    <w:p w14:paraId="6D0E681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4.3  承包人应在施工现场保留一套完整图纸，供工程师及有关人员进行工程检查时使用。</w:t>
      </w:r>
    </w:p>
    <w:p w14:paraId="6057B956">
      <w:pPr>
        <w:autoSpaceDE w:val="0"/>
        <w:autoSpaceDN w:val="0"/>
        <w:adjustRightInd w:val="0"/>
        <w:spacing w:line="360" w:lineRule="auto"/>
        <w:ind w:firstLine="485"/>
        <w:rPr>
          <w:rFonts w:ascii="宋体" w:hAnsi="宋体" w:cs="宋体"/>
          <w:color w:val="auto"/>
          <w:sz w:val="24"/>
          <w:szCs w:val="24"/>
          <w:highlight w:val="none"/>
          <w:lang w:val="zh-CN"/>
        </w:rPr>
      </w:pPr>
      <w:bookmarkStart w:id="202" w:name="_Toc9495"/>
      <w:r>
        <w:rPr>
          <w:rFonts w:hint="eastAsia" w:ascii="宋体" w:hAnsi="宋体" w:cs="宋体"/>
          <w:color w:val="auto"/>
          <w:sz w:val="24"/>
          <w:szCs w:val="24"/>
          <w:highlight w:val="none"/>
          <w:lang w:val="zh-CN"/>
        </w:rPr>
        <w:t>二、双方一般权利和义务</w:t>
      </w:r>
      <w:bookmarkEnd w:id="202"/>
    </w:p>
    <w:p w14:paraId="41C0A19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5.工程师</w:t>
      </w:r>
    </w:p>
    <w:p w14:paraId="531D542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5.1  发包人派驻施工场地履行合同的代表，在本合同中称工程师。其姓名、职务、职权范围由发包人在专用条款内写明。</w:t>
      </w:r>
    </w:p>
    <w:p w14:paraId="341509A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5.2  实行工程监理的，监理单位的名称、监理内容及委托的监理权限等，由发包人、承包人在专用条款中写明或发包人另行以书面形式通知承包人。</w:t>
      </w:r>
    </w:p>
    <w:p w14:paraId="0F222A9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5.3  监理单位委派的总监理工程师在本合同中也称工程师，其姓名、职务、职权范围由发包人、承包人在专用条款内写明或发包人另行以书面形式通知承包人。</w:t>
      </w:r>
    </w:p>
    <w:p w14:paraId="1683D3D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5.4  合同履行中，发生影响发包人、承包人双方权利或义务的事件时，负责监理的工程师应依据合同在其职权范围内客观公正地进行处理。一方对此处理有异议时，按本通用条款第</w:t>
      </w:r>
      <w:r>
        <w:rPr>
          <w:rFonts w:hint="eastAsia" w:ascii="宋体" w:hAnsi="宋体" w:cs="宋体"/>
          <w:b/>
          <w:bCs/>
          <w:color w:val="auto"/>
          <w:sz w:val="24"/>
          <w:szCs w:val="24"/>
          <w:highlight w:val="none"/>
          <w:lang w:val="zh-CN"/>
        </w:rPr>
        <w:t>37</w:t>
      </w:r>
      <w:r>
        <w:rPr>
          <w:rFonts w:hint="eastAsia" w:ascii="宋体" w:hAnsi="宋体" w:cs="宋体"/>
          <w:color w:val="auto"/>
          <w:sz w:val="24"/>
          <w:szCs w:val="24"/>
          <w:highlight w:val="none"/>
          <w:lang w:val="zh-CN"/>
        </w:rPr>
        <w:t>条关于争议的约定处理。</w:t>
      </w:r>
    </w:p>
    <w:p w14:paraId="5275586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5.5  除合同内有明确约定或经发包人同意外，负责监理的工程师无权解除本合同约定的承包人的任何权利与义务。</w:t>
      </w:r>
    </w:p>
    <w:p w14:paraId="67CAE9C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5.6  不实行工程监理的，本合同中工程师专指发包人派驻施工场地履行合同的代表，其具体职权由发包人在专用条款内写明。</w:t>
      </w:r>
    </w:p>
    <w:p w14:paraId="06DCEDF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6.工程师的委派和指令</w:t>
      </w:r>
    </w:p>
    <w:p w14:paraId="1234F5D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98E359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8F122F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除工程师或工程师代表外，发包人派驻工地的其他人员均无权向承包人发出任何指令。</w:t>
      </w:r>
    </w:p>
    <w:p w14:paraId="6D89792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6.2  工程师的指令、通知由其本人签字后，以书面形式交给承包人代表、承包人代表在回执上签署姓名和收到时间后生效。确有必要时，工程师可发出口头指令，并在</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小时内给予书面确认。承包人对工程师的指令应予执行。工程师不能及时给予书面确认的，承包人应于工程师发出口头指令后</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天内提出书面确认要求。工程师在承包人提出确认要求后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小时内不予答复的，视为口头指令已被确认。</w:t>
      </w:r>
    </w:p>
    <w:p w14:paraId="0D0C454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承包人认为工程师指令不合理，应在收到指令后</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小时内向工程师提出修改指令的书面报告，工程师在收到承包人报告后</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内做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9EAEFC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本款规定同样适用于由工程师代表发出的指令、通知。</w:t>
      </w:r>
    </w:p>
    <w:p w14:paraId="58BFD9F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6.3  工程师应按合同约定，及时向承包人提供所需指令、通知，并履行约定的其他义务。由于工程师未能按合同约定履行义务造成工期延误，发包人应承担延误造成的追加合同价款，并赔偿承包人有关损失，顺延延误的工期。</w:t>
      </w:r>
    </w:p>
    <w:p w14:paraId="0EB603F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6.4  如需更换工程师，发包人应提前</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天以书面形式通知承包人，后任继续行使合同文件约定的前任的职权，履行前任的义务。</w:t>
      </w:r>
    </w:p>
    <w:p w14:paraId="7951C16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7.承包人代表</w:t>
      </w:r>
    </w:p>
    <w:p w14:paraId="6D2CB0D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7.1  承包人代表的姓名、职务在专用条款内写明。</w:t>
      </w:r>
    </w:p>
    <w:p w14:paraId="30FEC46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7.2  承包人依据合同发出的通知，以书面形式由承包人代表签字后送交工程师，工程师在回执上签署姓名和收到时间后生效。</w:t>
      </w:r>
    </w:p>
    <w:p w14:paraId="1BF0046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7.3  承包人代表按发包人认可的施工组织设计（施工方案）和工程师依据合同发出的指令组织施工。在情况紧急且无法与工程师联系时，承包人代表应当采取保证人员生命和工程、财产安全的紧急措施，并在采取措施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小时内向工程师送交报告。责任在发包人或第三方的，发包人承担由此发生的追加合同价款，相应顺延工期；责任在承包人的，由承包人承担费用，不顺延工期。</w:t>
      </w:r>
    </w:p>
    <w:p w14:paraId="05032AD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7.4  承包人如需更换承包人代表，应提前</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天以书面形式通知发包人，并征得发包人同意。后任继续行使合同文件约定的前任的职权，履行前任的义务。</w:t>
      </w:r>
    </w:p>
    <w:p w14:paraId="63E8940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7.5  发包人可以与承包人协商，建议更换其认为不称职的承包人代表。</w:t>
      </w:r>
    </w:p>
    <w:p w14:paraId="4F5DB36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8.发包人工作</w:t>
      </w:r>
    </w:p>
    <w:p w14:paraId="391EE26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8.1  发包人按专用条款约定的内容和时间完成以下工作：</w:t>
      </w:r>
    </w:p>
    <w:p w14:paraId="6858828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（1）办理土地征用、拆迁补偿、平整施工场地等工作，使施工场地具备施工条件，在开工后继续负责解决以上事项遗留问题；</w:t>
      </w:r>
    </w:p>
    <w:p w14:paraId="6199D5E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（2）将施工所需水、电、电讯线路从施工场地外部接至专用条款约定地点，保证施工期间的需要；</w:t>
      </w:r>
    </w:p>
    <w:p w14:paraId="13BC13B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（3）开通施工：场地与城乡公共道路的通道，以及专用条款约定的施工场地内的主要道路，满足施工运输的需要，保证施工期间的畅通；</w:t>
      </w:r>
    </w:p>
    <w:p w14:paraId="395ABDF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（4）向承包人提供施工场地的工程地质和地下管线资料，对资料的真实准确性负责；</w:t>
      </w:r>
    </w:p>
    <w:p w14:paraId="5428A49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（5）办理施工许可证及其他施工所需证件、批件和临时用地、停水、停电、中断道路交通、爆破作业等的申请批准手续（证明承包人自身资质的证件除外）；</w:t>
      </w:r>
    </w:p>
    <w:p w14:paraId="742E7BB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（6）确定水准点与坐标控制点，以书面形式交给承包人，进行现场交验；</w:t>
      </w:r>
    </w:p>
    <w:p w14:paraId="1B062D7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（7）组织承包人和设计单位进行图纸会审和设计交底；</w:t>
      </w:r>
    </w:p>
    <w:p w14:paraId="7EA759E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（8）协调处理施工场地周围地下管线和邻近建筑物、构筑物（包括文物保护建筑）、古树名木的保护工作，承担有关费用；</w:t>
      </w:r>
    </w:p>
    <w:p w14:paraId="3B7F74E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（9）发包人应做的其他工作，双方在专用条款内约定。</w:t>
      </w:r>
    </w:p>
    <w:p w14:paraId="4CE5783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8.2  发包人如将前款部分工作委托承包人办理，双方应在专用条款内约定，相关费用由发包人承担。</w:t>
      </w:r>
    </w:p>
    <w:p w14:paraId="06F230E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8.3  发包人未能履行</w:t>
      </w:r>
      <w:r>
        <w:rPr>
          <w:rFonts w:hint="eastAsia" w:ascii="宋体" w:hAnsi="宋体" w:cs="宋体"/>
          <w:b/>
          <w:bCs/>
          <w:color w:val="auto"/>
          <w:sz w:val="24"/>
          <w:szCs w:val="24"/>
          <w:highlight w:val="none"/>
          <w:lang w:val="zh-CN"/>
        </w:rPr>
        <w:t>8.1</w:t>
      </w:r>
      <w:r>
        <w:rPr>
          <w:rFonts w:hint="eastAsia" w:ascii="宋体" w:hAnsi="宋体" w:cs="宋体"/>
          <w:color w:val="auto"/>
          <w:sz w:val="24"/>
          <w:szCs w:val="24"/>
          <w:highlight w:val="none"/>
          <w:lang w:val="zh-CN"/>
        </w:rPr>
        <w:t>款各项义务，导致工期延误或给承包人造成损失的，发包人赔偿承包人有关损失，顺延延误的工期。</w:t>
      </w:r>
    </w:p>
    <w:p w14:paraId="07E308C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9.承包人工作</w:t>
      </w:r>
    </w:p>
    <w:p w14:paraId="00F592E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9.1  承包人按专用条款约定的内容和时间完成以下工作：</w:t>
      </w:r>
    </w:p>
    <w:p w14:paraId="2CE93CA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（1）根据发包人委托，在其设计资质等级和业务允许的范围内，完成施工图设计或与工程配套的设计，经工程师确认后使用，发包人承担由此发生的费用；</w:t>
      </w:r>
    </w:p>
    <w:p w14:paraId="5E79C80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（2）向工程师提供年、季、月度工程进度计划及相应进度统计报表；</w:t>
      </w:r>
    </w:p>
    <w:p w14:paraId="1269AF3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（3）根据工程需要，提供和维修非夜间施工使用的照明、围栏设施，并负责安全保卫；</w:t>
      </w:r>
    </w:p>
    <w:p w14:paraId="3462DE6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（4）按专用条款约定的数量和要求，向发包人提供施工场地办公和生活的房屋及设施，发包人承担由此发生的费用；</w:t>
      </w:r>
    </w:p>
    <w:p w14:paraId="5412F2C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（5）遵守政府有关主管部门对施工场地交通、施工噪音以及环境保护和安全生产等的管理规定，按规定办理有关手续，并以书页面形式通知发包人，发包人承担由此发生的费用，因承包人责任造成的罚款除外。</w:t>
      </w:r>
    </w:p>
    <w:p w14:paraId="1A35DC7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已竣工工程未交付发包人之前，承包人按专用条款约定负责已完工程的保护工作。保护期间发生损坏，由承包人负责修复，并承担相应费用；发包人要求承包人采取特殊措施保护的工程部位和相应的追加合同价款，双方在专用条款内约定；</w:t>
      </w:r>
    </w:p>
    <w:p w14:paraId="616DA17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（7）按专用条款约定做好施工场地地下管线和邻近建筑物、构筑物（包括文物保护建筑）、古树名木的保护工作；</w:t>
      </w:r>
    </w:p>
    <w:p w14:paraId="55CDD89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（8）保证施工场地清洁符合环境卫生管理的有关规定，交工前清理现场达到专用条款约定的要求，承担因自身原因违反有关规定造成的损失和罚款；</w:t>
      </w:r>
    </w:p>
    <w:p w14:paraId="201ED59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（9）承包人应做的其他工作，双方在专用条款内约定。</w:t>
      </w:r>
    </w:p>
    <w:p w14:paraId="3481DA5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9.2  承包人未能履行前款各项义务，造成发包人损失的，承包人赔偿发包人有关损失。</w:t>
      </w:r>
    </w:p>
    <w:p w14:paraId="687F0584">
      <w:pPr>
        <w:autoSpaceDE w:val="0"/>
        <w:autoSpaceDN w:val="0"/>
        <w:adjustRightInd w:val="0"/>
        <w:spacing w:line="360" w:lineRule="auto"/>
        <w:ind w:firstLine="485"/>
        <w:rPr>
          <w:rFonts w:ascii="宋体" w:hAnsi="宋体" w:cs="宋体"/>
          <w:color w:val="auto"/>
          <w:sz w:val="24"/>
          <w:szCs w:val="24"/>
          <w:highlight w:val="none"/>
          <w:lang w:val="zh-CN"/>
        </w:rPr>
      </w:pPr>
      <w:bookmarkStart w:id="203" w:name="_Toc27146"/>
      <w:r>
        <w:rPr>
          <w:rFonts w:hint="eastAsia" w:ascii="宋体" w:hAnsi="宋体" w:cs="宋体"/>
          <w:color w:val="auto"/>
          <w:sz w:val="24"/>
          <w:szCs w:val="24"/>
          <w:highlight w:val="none"/>
          <w:lang w:val="zh-CN"/>
        </w:rPr>
        <w:t>三、施工组织设计和工期</w:t>
      </w:r>
      <w:bookmarkEnd w:id="203"/>
    </w:p>
    <w:p w14:paraId="25AA07D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10.进度计划</w:t>
      </w:r>
    </w:p>
    <w:p w14:paraId="52FFBE4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10.1  承包人应按专用条款约定的日期，将施工组织设计和工程进度计划提交工程师。工程师按专用条款约定的时间予以确认或提出修改意见。逾期不确认也不提出书面意见的，视为同意。</w:t>
      </w:r>
    </w:p>
    <w:p w14:paraId="7208622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10.2  群体工程中单位工程分期进行施工的，承包人应按照发包人提供图纸及有关资料的时间，按单位工程编制进度计划，其具体内容双方在专用条款中约定。</w:t>
      </w:r>
    </w:p>
    <w:p w14:paraId="6C0C4F9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10.3  承包人必须按工程师确认的进度计划组织施工，接受工程师对进度的检查、监督。工程实际进度与经确认的进度计划不符时，承包人应按工程师的要求提出改进措施，经工程师确认后执行。因承包人原因导致实际进度与进度计划不符，承包人无权就改进措施提出追加合同价款。</w:t>
      </w:r>
    </w:p>
    <w:p w14:paraId="637A931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11.开工及延期开工</w:t>
      </w:r>
    </w:p>
    <w:p w14:paraId="1158629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11.1 工程开工前，发包人应当按照国家有关规定向工程所在地县级以上人民政府建设行政主管部门申请领取施工许可证。</w:t>
      </w:r>
    </w:p>
    <w:p w14:paraId="2B7060B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11.2 承包人应当按照协议书约定的开工日期开工。承包人不能按时开工，应当不迟于协议书约定的开工日期前7天，以书面形式向工程师提出延期开工的理由和要求。工程师应当在接到延期开工申请后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小时内以书面形式答复承包人。工程师在接到延期开工申请后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小时内不答复，视为同意承包人要求，工期相应顺延。工程师不同意延期要求或承包人未在规定时间内提出延期开工要求，工期不予顺延。</w:t>
      </w:r>
    </w:p>
    <w:p w14:paraId="21D0657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11.3  因发包人原因不能按照协议书约定的开工日期开工，工程师应以书面形式通知承包人，推迟开工日期。发包人赔偿承包人因延期开工造成的损失，并相应顺延工期。</w:t>
      </w:r>
    </w:p>
    <w:p w14:paraId="23D8665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12.暂停施工</w:t>
      </w:r>
    </w:p>
    <w:p w14:paraId="0AFD9BC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工程师认为确有必要暂停施工时，应当以书面形式要求承包人暂停施工，并在提出要求后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小时内提出书面处理意见。承包人应当按工程师要求停止施工，并妥善保护已完工程。</w:t>
      </w:r>
    </w:p>
    <w:p w14:paraId="384EFCB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承包人实施工程师做出的处理意见后，可以书面形式提出复工要求，工程师应当在</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小时内给予答复。工程师未能在规定时间内提出处理意见，或收到承包人复工要求后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969DAB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13.工期延误</w:t>
      </w:r>
    </w:p>
    <w:p w14:paraId="778723C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13.1 因以下原因造成工期延误，经工程师确认，工期相应顺延；</w:t>
      </w:r>
    </w:p>
    <w:p w14:paraId="20B0709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（1）发包人未能按专用条款的约定提供图纸、施工许可证等开工条件；</w:t>
      </w:r>
    </w:p>
    <w:p w14:paraId="0BD5E9F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（2）发包人未能按约定日期支付工程预付款、进度款，致使施工不能正常进行；</w:t>
      </w:r>
    </w:p>
    <w:p w14:paraId="04AF471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（3）发包人派出的工程师或在施工现场的发包人雇用的其他承包人所造成或引起的施工不能正常进行或停工；</w:t>
      </w:r>
    </w:p>
    <w:p w14:paraId="172505F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（4）工程师未按合同约定提供所需指令、批准等，致使施工不能正常进行；</w:t>
      </w:r>
    </w:p>
    <w:p w14:paraId="68B7F8F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（5）设计变更和工程量增加；</w:t>
      </w:r>
    </w:p>
    <w:p w14:paraId="1015F33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（6）一周内非承包人原因停水、停电、停气造成停工累计。超过</w:t>
      </w:r>
      <w:r>
        <w:rPr>
          <w:rFonts w:hint="eastAsia" w:ascii="宋体" w:hAnsi="宋体" w:cs="宋体"/>
          <w:b/>
          <w:bCs/>
          <w:color w:val="auto"/>
          <w:sz w:val="24"/>
          <w:szCs w:val="24"/>
          <w:highlight w:val="none"/>
          <w:lang w:val="zh-CN"/>
        </w:rPr>
        <w:t>8</w:t>
      </w:r>
      <w:r>
        <w:rPr>
          <w:rFonts w:hint="eastAsia" w:ascii="宋体" w:hAnsi="宋体" w:cs="宋体"/>
          <w:color w:val="auto"/>
          <w:sz w:val="24"/>
          <w:szCs w:val="24"/>
          <w:highlight w:val="none"/>
          <w:lang w:val="zh-CN"/>
        </w:rPr>
        <w:t>小时；</w:t>
      </w:r>
    </w:p>
    <w:p w14:paraId="55D3962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（7）不可抗力；</w:t>
      </w:r>
    </w:p>
    <w:p w14:paraId="56D90B7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（8）专用条款中约定或工程师同意工期顺延的其他情况。</w:t>
      </w:r>
    </w:p>
    <w:p w14:paraId="357D8D8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13.2承包人在前款情况发生后</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天内，就延误的工期以书面形式向工程师提出报告。工程师在收到报告后</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天内予以确认。逾期不予确认也不提出修改意见，视为同意顺延工期。</w:t>
      </w:r>
    </w:p>
    <w:p w14:paraId="4954A2C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13.3承包人对工程师关于顺延工期的回复有异议的，应当在收到工程师回复后14天内提出。有关异议双方可以在工程竣工验收后协商或按本通用条款第</w:t>
      </w:r>
      <w:r>
        <w:rPr>
          <w:rFonts w:hint="eastAsia" w:ascii="宋体" w:hAnsi="宋体" w:cs="宋体"/>
          <w:b/>
          <w:bCs/>
          <w:color w:val="auto"/>
          <w:sz w:val="24"/>
          <w:szCs w:val="24"/>
          <w:highlight w:val="none"/>
          <w:lang w:val="zh-CN"/>
        </w:rPr>
        <w:t>37</w:t>
      </w:r>
      <w:r>
        <w:rPr>
          <w:rFonts w:hint="eastAsia" w:ascii="宋体" w:hAnsi="宋体" w:cs="宋体"/>
          <w:color w:val="auto"/>
          <w:sz w:val="24"/>
          <w:szCs w:val="24"/>
          <w:highlight w:val="none"/>
          <w:lang w:val="zh-CN"/>
        </w:rPr>
        <w:t>条关于争议的约定处理。</w:t>
      </w:r>
    </w:p>
    <w:p w14:paraId="1155D18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14.工程竣工</w:t>
      </w:r>
    </w:p>
    <w:p w14:paraId="0A67838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14.1  承包人必须按照协议书约定的竣工日期或工程师同意顺延的工期竣工。</w:t>
      </w:r>
    </w:p>
    <w:p w14:paraId="3E39810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14.2  因承包人原因不能按照协议书约定的竣工日期或工程师同意顺延的工期竣工的，承包人承担违约责任。</w:t>
      </w:r>
    </w:p>
    <w:p w14:paraId="285212A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14.3  施工中发包人如需提前竣工，双方协商一致后应签订提前竣工协议，作为合同文件组成部分。提前竣工协议应包括承包人为保证工程质量和安全采取的措施、发包人为提前竣工提供的条件似及提前竣工所带的追加合同价款等内容。</w:t>
      </w:r>
    </w:p>
    <w:p w14:paraId="449D1B4E">
      <w:pPr>
        <w:autoSpaceDE w:val="0"/>
        <w:autoSpaceDN w:val="0"/>
        <w:adjustRightInd w:val="0"/>
        <w:spacing w:line="360" w:lineRule="auto"/>
        <w:ind w:firstLine="485"/>
        <w:rPr>
          <w:rFonts w:ascii="宋体" w:hAnsi="宋体" w:cs="宋体"/>
          <w:color w:val="auto"/>
          <w:sz w:val="24"/>
          <w:szCs w:val="24"/>
          <w:highlight w:val="none"/>
          <w:lang w:val="zh-CN"/>
        </w:rPr>
      </w:pPr>
      <w:bookmarkStart w:id="204" w:name="_Toc21964"/>
      <w:r>
        <w:rPr>
          <w:rFonts w:hint="eastAsia" w:ascii="宋体" w:hAnsi="宋体" w:cs="宋体"/>
          <w:color w:val="auto"/>
          <w:sz w:val="24"/>
          <w:szCs w:val="24"/>
          <w:highlight w:val="none"/>
          <w:lang w:val="zh-CN"/>
        </w:rPr>
        <w:t>四、质量与检验</w:t>
      </w:r>
      <w:bookmarkEnd w:id="204"/>
    </w:p>
    <w:p w14:paraId="5F4DD32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15.工程质量</w:t>
      </w:r>
    </w:p>
    <w:p w14:paraId="5A0196B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15.1  工程施工应达到协议书约定的质量标准。质量标准和评定以国家或行业的质量检验评定标准为依据。工程质量因承包人原因未达到约定的质量标准，承包人承担违约责任。</w:t>
      </w:r>
    </w:p>
    <w:p w14:paraId="781D9F5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15.2工程质量约定超过合格等级以上的，合同价款中应当计取优良工程费用或约定优良工程奖励金。</w:t>
      </w:r>
    </w:p>
    <w:p w14:paraId="22B559C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15.3 双方对工程质量有争议，由双方同意的工程质量检测机构鉴定，所需费用及因此造成的损失，由责任方承担。双方均有责任，由双方根据其责任分别承担。</w:t>
      </w:r>
    </w:p>
    <w:p w14:paraId="4F02D54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16.检查和返工</w:t>
      </w:r>
    </w:p>
    <w:p w14:paraId="341F498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16.1  承包人应认真按照标准、规范和设计图纸的要求以及工程师依据合同发出的指令施工，随时接受工程师的检查检验，并为检查检验提供便利条件。</w:t>
      </w:r>
    </w:p>
    <w:p w14:paraId="0E625E7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16.2  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494872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16.3  工程师的检查检验不应影响施工正常进行。如影响施工正常进行，检查检验不合格时，影响正常施工的费用由承包人承担。除此之外影响正常施工的费用由发包人承担，并相应顺延工期。</w:t>
      </w:r>
    </w:p>
    <w:p w14:paraId="46CC83C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16.4  因工程师指令失误或其他非承包人原因发生的追加合同价款，由发包人承担。</w:t>
      </w:r>
    </w:p>
    <w:p w14:paraId="3F1AC01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17.隐蔽工程和中间验收</w:t>
      </w:r>
    </w:p>
    <w:p w14:paraId="69F727F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17.1  工程具备隐蔽条件或达到专用条款约定的中间验收部分，承包人进行自检，并在隐蔽或中间验收前</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A1FF04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17.2工程师不能按时进行验收，应在验收前</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小时以书面形式向承包人提出延期要求，延期不能超过</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小时。工程师未能按以上时间提出延期要求，不进行验收，承包人可自行组织验收，工程师应承认验收记录。</w:t>
      </w:r>
    </w:p>
    <w:p w14:paraId="5ABF7C6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17.3经工程师验收，工程质量符合标准、规范和设计图纸等要求，验收</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小时后，工程师不在验收记录上签字，视为工程师已经认可验收记录，承包人可进行隐蔽或继续施工。</w:t>
      </w:r>
    </w:p>
    <w:p w14:paraId="7934C94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18.重新检验</w:t>
      </w:r>
    </w:p>
    <w:p w14:paraId="44A0079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4BAA7EE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19.工程试车</w:t>
      </w:r>
    </w:p>
    <w:p w14:paraId="56E9D79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19.1  双方约定需要试车的，试车内容应与承包人承包的安装范围相一致。</w:t>
      </w:r>
    </w:p>
    <w:p w14:paraId="5973B11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19.2  设备安装工程具备单机无负荷试车条件，承包人组织试车，并在试车前</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小时以书面形式通知工程师。通知包括试车内容、时间、地点。承包人准备试车记录，发包人根据承包人要求为试车提供必要条件。试车合格，工程师在试车记录上签字。</w:t>
      </w:r>
    </w:p>
    <w:p w14:paraId="4C5FD02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19.3  工程师不能按时参加试车，须在开始试车前</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小时内以书面形式向承包人提出延期要求，延期不能超过</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小时。工程师未能按时提出延期要求，不参加试车，应承认试车记录。</w:t>
      </w:r>
    </w:p>
    <w:p w14:paraId="49597FC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19.4  设备安装工程具备无负荷联动试车条件，发包人组织试车，并在试车前</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小时以书面形式通知承包人。通知包括试车内容、时间、地点和对承包人的要求。承包人按要求做好准备工作。试车合格，双方在试车记录上签字。</w:t>
      </w:r>
    </w:p>
    <w:p w14:paraId="51B1418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19.5  双方责任</w:t>
      </w:r>
    </w:p>
    <w:p w14:paraId="0CB3E8E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（1）由于设计原因试车达不到验收要求，发包人应要求设计单位修改设计。承包人按修改后的设计方案重新安装。发包人承担修改设计、拆除及重新安装的全部费用和追加合向价款，工期相应顺延。</w:t>
      </w:r>
    </w:p>
    <w:p w14:paraId="3788E82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发包人承担上述各项追加合同价款，工期相应顺延；</w:t>
      </w:r>
    </w:p>
    <w:p w14:paraId="26D26FE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（3）由于承包人施工原因试车达不到验收要求，承包人按工程师要求重新安装和试车，并承担重新安装和试车的费用，工期不予顺延。</w:t>
      </w:r>
    </w:p>
    <w:p w14:paraId="5C8609E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（4）试车费用除已包括在合同价款之内或专用条款另有约定外，均由发包人承担。</w:t>
      </w:r>
    </w:p>
    <w:p w14:paraId="2B15B4A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（5）工程师在试车合格后不在试车记录上签字，试车结束</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小时后，视为工程师已经认可试车，记录，承包人可继续施工或办理竣工手续。</w:t>
      </w:r>
    </w:p>
    <w:p w14:paraId="7C36550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19.6  投料试车应在工程竣工验收后由发包人负责。如发包人要求在工程竣工验收前进行或需要承包人配合时，应征得承包人同意，另行签订补充协议。</w:t>
      </w:r>
    </w:p>
    <w:p w14:paraId="33CFA235">
      <w:pPr>
        <w:autoSpaceDE w:val="0"/>
        <w:autoSpaceDN w:val="0"/>
        <w:adjustRightInd w:val="0"/>
        <w:spacing w:line="360" w:lineRule="auto"/>
        <w:ind w:firstLine="485"/>
        <w:rPr>
          <w:rFonts w:ascii="宋体" w:hAnsi="宋体" w:cs="宋体"/>
          <w:color w:val="auto"/>
          <w:sz w:val="24"/>
          <w:szCs w:val="24"/>
          <w:highlight w:val="none"/>
          <w:lang w:val="zh-CN"/>
        </w:rPr>
      </w:pPr>
      <w:bookmarkStart w:id="205" w:name="_Toc2463"/>
      <w:r>
        <w:rPr>
          <w:rFonts w:hint="eastAsia" w:ascii="宋体" w:hAnsi="宋体" w:cs="宋体"/>
          <w:color w:val="auto"/>
          <w:sz w:val="24"/>
          <w:szCs w:val="24"/>
          <w:highlight w:val="none"/>
          <w:lang w:val="zh-CN"/>
        </w:rPr>
        <w:t>五、安全施工</w:t>
      </w:r>
      <w:bookmarkEnd w:id="205"/>
    </w:p>
    <w:p w14:paraId="5D341C0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20.安全施工与检查</w:t>
      </w:r>
    </w:p>
    <w:p w14:paraId="593ED8D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20.1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4A755FE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20.2  发包人应对己方在施工场地的工作人员进行安全教育，并对他们的安全负责。发包人不得要求承包人违反安全管理的规定进行施工。因发包人原因导致的安全事故，由发包人承担相应责任及发生的费用。</w:t>
      </w:r>
    </w:p>
    <w:p w14:paraId="2314272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21.安全防护</w:t>
      </w:r>
    </w:p>
    <w:p w14:paraId="57A63C6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21.1  承包人在动力设备、输电线路、地下管道、密封防震车间、易燃易爆地段以及临街交通要道附近施工时，事前应向工程师提出安全防护措施，经工程师认可后实施，防护措施费用由发包人承担。</w:t>
      </w:r>
    </w:p>
    <w:p w14:paraId="64E0492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21.2  实施爆破作业，在放射、毒害性环境中施工（含储存、运输、使用）及使用毒害性、腐蚀性物品施工时，承包人应在施工前</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天以书面形式通知工程师，并提出相应的安全防护措施，经工程师认可后实施，安全防护措施费用由发包人承担。</w:t>
      </w:r>
    </w:p>
    <w:p w14:paraId="0716D2B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22.事故处理</w:t>
      </w:r>
    </w:p>
    <w:p w14:paraId="32D3DC8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发生重大伤亡及其他安全事故，承包人应按有关规定立即上报有关部门并通知工程师，同时按政府有关部门要求处理，由事故责任方承担发生的费用。</w:t>
      </w:r>
    </w:p>
    <w:p w14:paraId="1016F32A">
      <w:pPr>
        <w:autoSpaceDE w:val="0"/>
        <w:autoSpaceDN w:val="0"/>
        <w:adjustRightInd w:val="0"/>
        <w:spacing w:line="360" w:lineRule="auto"/>
        <w:ind w:firstLine="485"/>
        <w:rPr>
          <w:rFonts w:ascii="宋体" w:hAnsi="宋体" w:cs="宋体"/>
          <w:color w:val="auto"/>
          <w:sz w:val="24"/>
          <w:szCs w:val="24"/>
          <w:highlight w:val="none"/>
          <w:lang w:val="zh-CN"/>
        </w:rPr>
      </w:pPr>
      <w:bookmarkStart w:id="206" w:name="_Toc21515"/>
      <w:r>
        <w:rPr>
          <w:rFonts w:hint="eastAsia" w:ascii="宋体" w:hAnsi="宋体" w:cs="宋体"/>
          <w:color w:val="auto"/>
          <w:sz w:val="24"/>
          <w:szCs w:val="24"/>
          <w:highlight w:val="none"/>
          <w:lang w:val="zh-CN"/>
        </w:rPr>
        <w:t>六、合同价款与支付</w:t>
      </w:r>
      <w:bookmarkEnd w:id="206"/>
    </w:p>
    <w:p w14:paraId="16EB18E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23.合同价款与调整</w:t>
      </w:r>
    </w:p>
    <w:p w14:paraId="4C9C3D6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23.1合同采用固定总价的，双方在专用条款内约定承包人应承担的风险内容和范围，以及风险内容和范围以外的合同价款调整方法。风险内容和范围在专用条款内未作约定的，按钢材价格变动幅度在±5%的风险幅度以内，其他主要材料价格变动控制在±10%的风险幅度以内，施工机械使用费价格变动控制在±10%的风险幅度以内；人工费不纳入风险承包范围，按施工期人工预算单价计算。</w:t>
      </w:r>
    </w:p>
    <w:p w14:paraId="4BA6215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23.2合同采用固定单价计价的，工程价款按实际工程量结算。双方在专用条款内约定固定单价包含的风险内容和幅度的计算方法，以及风险内容以外的单价调整方法。风险内容和范围在专用条款内未作约定，风险内容和范围按工程量清单内的单个项目工程量变动幅度未超过±30%，并导致合同总价变动幅度未超过±1%的风险幅度以内确定；钢材价格变动幅度在±5%的风险幅度以内确定，其他主要材料价格变动幅度在±10%的风险幅度以内确定，施工机械使用费价格变动幅度在±10%的风险幅度以内确定；人工费不纳入风险承包范围，按施工期人工预算单价计算。</w:t>
      </w:r>
    </w:p>
    <w:p w14:paraId="653D34A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23.3合同采用可调价格计价的，双方在专用条款内未作约定的，按工程造价管理部门发布的人工、材料、机械台班价格以及其他计价依据进行计价。</w:t>
      </w:r>
    </w:p>
    <w:p w14:paraId="6E7F24F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23.4超合同工程量的，双方在专用条款约定计价方法，未作约定的，按工程造价管理部门发布的人工、材料、机械台班价格以及其他计价依据进行计价。</w:t>
      </w:r>
    </w:p>
    <w:p w14:paraId="222157C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24.工程预付款</w:t>
      </w:r>
    </w:p>
    <w:p w14:paraId="55FB2EF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实行工程预付款的，双方应当在专用条款内约定发包人向承包人预付工程款的时间和数额，开工后按约定的时间和比例逐次扣回。预付时间应不迟于约定的开工日期前</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天。发包人不按约定预付，承包人在约定预付时间的</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天后，可向发包人发出要求预付的通知。发包人收到通知后仍不能按要求预付，承包人可在发出通知后的第</w:t>
      </w:r>
      <w:r>
        <w:rPr>
          <w:rFonts w:hint="eastAsia" w:ascii="宋体" w:hAnsi="宋体" w:cs="宋体"/>
          <w:b/>
          <w:bCs/>
          <w:color w:val="auto"/>
          <w:sz w:val="24"/>
          <w:szCs w:val="24"/>
          <w:highlight w:val="none"/>
          <w:lang w:val="zh-CN"/>
        </w:rPr>
        <w:t>8</w:t>
      </w:r>
      <w:r>
        <w:rPr>
          <w:rFonts w:hint="eastAsia" w:ascii="宋体" w:hAnsi="宋体" w:cs="宋体"/>
          <w:color w:val="auto"/>
          <w:sz w:val="24"/>
          <w:szCs w:val="24"/>
          <w:highlight w:val="none"/>
          <w:lang w:val="zh-CN"/>
        </w:rPr>
        <w:t>天停止施工。发包人应从约定应付之日起向承包人支付应付款的同期银行贷款利息，并承担违约责任。</w:t>
      </w:r>
    </w:p>
    <w:p w14:paraId="54F8CC4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25.工程量确认</w:t>
      </w:r>
    </w:p>
    <w:p w14:paraId="4C88201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25.1  承包人应按专用条款约定的时间，向工程师提交已完工程量的报告。工程师应在接到报告后的</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天内，按设计图纸核实已完工程量（以下称计量），并在计量前</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小时通知承包人。承包人应当为计量提供便利条件并派人参加。承包人收到通知后不参加计量，计量结果有效，作为工程价款支付的依据。</w:t>
      </w:r>
    </w:p>
    <w:p w14:paraId="6F26A4E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25.2  工程师收到承包人报告后</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天内未进行计量，从第</w:t>
      </w:r>
      <w:r>
        <w:rPr>
          <w:rFonts w:hint="eastAsia" w:ascii="宋体" w:hAnsi="宋体" w:cs="宋体"/>
          <w:b/>
          <w:bCs/>
          <w:color w:val="auto"/>
          <w:sz w:val="24"/>
          <w:szCs w:val="24"/>
          <w:highlight w:val="none"/>
          <w:lang w:val="zh-CN"/>
        </w:rPr>
        <w:t>8</w:t>
      </w:r>
      <w:r>
        <w:rPr>
          <w:rFonts w:hint="eastAsia" w:ascii="宋体" w:hAnsi="宋体" w:cs="宋体"/>
          <w:color w:val="auto"/>
          <w:sz w:val="24"/>
          <w:szCs w:val="24"/>
          <w:highlight w:val="none"/>
          <w:lang w:val="zh-CN"/>
        </w:rPr>
        <w:t>天起，承包人报告中开列的工程量即视为被确认，作为工程价款支付的依据。工程师不按约定时间通知承包人，致使承包人未能参加计量，计量结果无效。</w:t>
      </w:r>
    </w:p>
    <w:p w14:paraId="10CFFAF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25.3  对承包人超出设计图纸范围和因承包人原因造成返工的程量，工程师不予计量。</w:t>
      </w:r>
    </w:p>
    <w:p w14:paraId="2DEDEB2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26.工程款（进度款）支付</w:t>
      </w:r>
    </w:p>
    <w:p w14:paraId="460BC8A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26.1 在确认计量结果后7天内，发包人应向承包人支付工程款（进度款）。按约定时间发包人应扣回的预付款，与工程款（进度款）同期结算。</w:t>
      </w:r>
    </w:p>
    <w:p w14:paraId="12FE88E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26.2 本通用条款第</w:t>
      </w:r>
      <w:r>
        <w:rPr>
          <w:rFonts w:hint="eastAsia" w:ascii="宋体" w:hAnsi="宋体" w:cs="宋体"/>
          <w:b/>
          <w:bCs/>
          <w:color w:val="auto"/>
          <w:sz w:val="24"/>
          <w:szCs w:val="24"/>
          <w:highlight w:val="none"/>
          <w:lang w:val="zh-CN"/>
        </w:rPr>
        <w:t>23</w:t>
      </w:r>
      <w:r>
        <w:rPr>
          <w:rFonts w:hint="eastAsia" w:ascii="宋体" w:hAnsi="宋体" w:cs="宋体"/>
          <w:color w:val="auto"/>
          <w:sz w:val="24"/>
          <w:szCs w:val="24"/>
          <w:highlight w:val="none"/>
          <w:lang w:val="zh-CN"/>
        </w:rPr>
        <w:t>条确定调整的合同价款，第</w:t>
      </w:r>
      <w:r>
        <w:rPr>
          <w:rFonts w:hint="eastAsia" w:ascii="宋体" w:hAnsi="宋体" w:cs="宋体"/>
          <w:b/>
          <w:bCs/>
          <w:color w:val="auto"/>
          <w:sz w:val="24"/>
          <w:szCs w:val="24"/>
          <w:highlight w:val="none"/>
          <w:lang w:val="zh-CN"/>
        </w:rPr>
        <w:t>31</w:t>
      </w:r>
      <w:r>
        <w:rPr>
          <w:rFonts w:hint="eastAsia" w:ascii="宋体" w:hAnsi="宋体" w:cs="宋体"/>
          <w:color w:val="auto"/>
          <w:sz w:val="24"/>
          <w:szCs w:val="24"/>
          <w:highlight w:val="none"/>
          <w:lang w:val="zh-CN"/>
        </w:rPr>
        <w:t>条工程变更调整的合同价款及其他条款中约定的追加合同价款，与工程款（进度款）同期调整支付。</w:t>
      </w:r>
    </w:p>
    <w:p w14:paraId="214C613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26.3  发包人支付工程款（进度款）时，按专用条款中约定的比例支付。</w:t>
      </w:r>
    </w:p>
    <w:p w14:paraId="286CC2E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26.4  发包人超过约定的支付时间不支付工程款（进度款），承包人可向发包人发出要求付款的通知。发包人收到承包人通知后仍不能按要求付款，可与承包人协商签订延期付款协议，经承包人同意后可延期支付。协议应明确延期支付的时间，并从计量结果确认后的第</w:t>
      </w:r>
      <w:r>
        <w:rPr>
          <w:rFonts w:hint="eastAsia" w:ascii="宋体" w:hAnsi="宋体" w:cs="宋体"/>
          <w:b/>
          <w:bCs/>
          <w:color w:val="auto"/>
          <w:sz w:val="24"/>
          <w:szCs w:val="24"/>
          <w:highlight w:val="none"/>
          <w:lang w:val="zh-CN"/>
        </w:rPr>
        <w:t>8</w:t>
      </w:r>
      <w:r>
        <w:rPr>
          <w:rFonts w:hint="eastAsia" w:ascii="宋体" w:hAnsi="宋体" w:cs="宋体"/>
          <w:color w:val="auto"/>
          <w:sz w:val="24"/>
          <w:szCs w:val="24"/>
          <w:highlight w:val="none"/>
          <w:lang w:val="zh-CN"/>
        </w:rPr>
        <w:t>天起计算应付款的同期银行贷款利息。</w:t>
      </w:r>
    </w:p>
    <w:p w14:paraId="5D1C520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26.5 工程采用固定总价的，双方可以约定按工程进度节点支付工程价款。</w:t>
      </w:r>
    </w:p>
    <w:p w14:paraId="65732BE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26.6  发包人不按合同约定支付工程款（进度款），双方又未达成延期付款协议，导致施工无法进行，承包人可停止施工。发包人应承担违约责任。</w:t>
      </w:r>
    </w:p>
    <w:p w14:paraId="748DCCEB">
      <w:pPr>
        <w:autoSpaceDE w:val="0"/>
        <w:autoSpaceDN w:val="0"/>
        <w:adjustRightInd w:val="0"/>
        <w:spacing w:line="360" w:lineRule="auto"/>
        <w:ind w:firstLine="485"/>
        <w:rPr>
          <w:rFonts w:ascii="宋体" w:hAnsi="宋体" w:cs="宋体"/>
          <w:color w:val="auto"/>
          <w:sz w:val="24"/>
          <w:szCs w:val="24"/>
          <w:highlight w:val="none"/>
          <w:lang w:val="zh-CN"/>
        </w:rPr>
      </w:pPr>
      <w:bookmarkStart w:id="207" w:name="_Toc8586"/>
      <w:r>
        <w:rPr>
          <w:rFonts w:hint="eastAsia" w:ascii="宋体" w:hAnsi="宋体" w:cs="宋体"/>
          <w:color w:val="auto"/>
          <w:sz w:val="24"/>
          <w:szCs w:val="24"/>
          <w:highlight w:val="none"/>
          <w:lang w:val="zh-CN"/>
        </w:rPr>
        <w:t>七、材料设备供应</w:t>
      </w:r>
      <w:bookmarkEnd w:id="207"/>
    </w:p>
    <w:p w14:paraId="598E476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27.发包人供应材料设备</w:t>
      </w:r>
    </w:p>
    <w:p w14:paraId="799E310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27.1  发包人供应材料设备的，双方应当按专用条款约定，制定发包人供应材料设备一览表，写明所供材料设备的品种、规格、型号、数量、单价、质量等级、提供时间和地点。</w:t>
      </w:r>
    </w:p>
    <w:p w14:paraId="30FEC3B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27.2  发包人按一览表所定的内容提供材料设备，并向承包人提供产品合格证明，对其质量负责。发包人在所供材料设备到货前</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小时，以书面形式通知承包人，由承包人派人与发包人共同清点。</w:t>
      </w:r>
    </w:p>
    <w:p w14:paraId="00FA48C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27.3  发包人供应的材料设备，承包人派人参加清点后由承包人妥善保管，发包人支付相应保管费用。因承包人原因发生丢失损坏，由承包人负责赔偿。</w:t>
      </w:r>
    </w:p>
    <w:p w14:paraId="0178649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发包人未通知承包人清点，承包人不负责材料设备的保管，丢失损坏由发包人负责。</w:t>
      </w:r>
    </w:p>
    <w:p w14:paraId="2974DA0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27.4  发包人供应的材料设备与一览表不符时，发包人承担相关责任。发包人应承担责任的具体内容，双方根据下列情况在专用条款内约定：</w:t>
      </w:r>
    </w:p>
    <w:p w14:paraId="7F397CC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（1）材料设备单价与一览表不符，由发包人承担所有价差；</w:t>
      </w:r>
    </w:p>
    <w:p w14:paraId="796EC81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（2）材料设备的品种、规格、型号、质量等级与一览表不符，承包人可拒绝接收保管，由发包人运出施工场地并重新采购；</w:t>
      </w:r>
    </w:p>
    <w:p w14:paraId="122F936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（3）发包人供应的材料规格、型号与一览表不符，经发包人同意，承包人可代为调剂串换，由发包人承担相应费用；</w:t>
      </w:r>
    </w:p>
    <w:p w14:paraId="44971E8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（4）到货地点与一览表不符，由发包人负责运至一览表指定地点；</w:t>
      </w:r>
    </w:p>
    <w:p w14:paraId="1D4E551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（5）供应数量少于一览表约定的数量时，由发包人补齐，多于一览表约定数量时，发包人负责将多出部分运出施工场地；</w:t>
      </w:r>
    </w:p>
    <w:p w14:paraId="1019E42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（6）到货时间早于一览表约定的时间，由发包人承担因此发生的保管费用；到货时间迟于一览表约定的供应时间，造成承包人损失和（或）延误工期的，由发包人赔偿承包人损失和（或）相应顺延工期。</w:t>
      </w:r>
    </w:p>
    <w:p w14:paraId="3EA86D3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27.5  发包人供应的材料设备使用前，由承包人负责检验或试验，不合格的不得使用，检验或试验费用由发包人承担。</w:t>
      </w:r>
    </w:p>
    <w:p w14:paraId="1E734A8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27.6  发包人供应材料设备的结算方法，双方在专用条款内约定。</w:t>
      </w:r>
    </w:p>
    <w:p w14:paraId="79D0FF8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28.承包人采购材料设备</w:t>
      </w:r>
    </w:p>
    <w:p w14:paraId="534A2E7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28.1  承包人负责采购材料设备的，应按照专用条款约定及设计和有关标准要求采购，并提供产品合格证明，对材料设备质量负责。承包人在材料设备到货前</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小时通知工程师清点。</w:t>
      </w:r>
    </w:p>
    <w:p w14:paraId="6C7EA49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28.2  承包人采购的材料设备与设计或标准要求不符时，承包人应按工程师要求的时间运出施工场地，重新采购符合要求的产品，承担由此发生的费用，由此延误的工期不予顺延。</w:t>
      </w:r>
    </w:p>
    <w:p w14:paraId="6777BE2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28.3  承包人采购的材料设备在使用前，应按工程师的要求进行检验或试验，不合格的不得使用，检验或试验费用由承包人承担。</w:t>
      </w:r>
    </w:p>
    <w:p w14:paraId="65EED90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28.4  工程师发现承包人采购并使用不符合设计或标准要求的材料设备时，应要求由承包人负责修复、拆除或重新采购，并承担发生的费用，由此延误的工期不予顺延。</w:t>
      </w:r>
    </w:p>
    <w:p w14:paraId="75DAC8B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28.5  承包人需要使用代用材料的，应经工程师认可。由此增减的合同价款，双方以书面形式议定。</w:t>
      </w:r>
    </w:p>
    <w:p w14:paraId="1BAB4AD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28.6  由承包人采购的材料设备，发包人不得指定生产厂或供应商。</w:t>
      </w:r>
    </w:p>
    <w:p w14:paraId="0E617479">
      <w:pPr>
        <w:autoSpaceDE w:val="0"/>
        <w:autoSpaceDN w:val="0"/>
        <w:adjustRightInd w:val="0"/>
        <w:spacing w:line="360" w:lineRule="auto"/>
        <w:ind w:firstLine="485"/>
        <w:rPr>
          <w:rFonts w:ascii="宋体" w:hAnsi="宋体" w:cs="宋体"/>
          <w:color w:val="auto"/>
          <w:sz w:val="24"/>
          <w:szCs w:val="24"/>
          <w:highlight w:val="none"/>
          <w:lang w:val="zh-CN"/>
        </w:rPr>
      </w:pPr>
      <w:bookmarkStart w:id="208" w:name="_Toc22393"/>
      <w:r>
        <w:rPr>
          <w:rFonts w:hint="eastAsia" w:ascii="宋体" w:hAnsi="宋体" w:cs="宋体"/>
          <w:color w:val="auto"/>
          <w:sz w:val="24"/>
          <w:szCs w:val="24"/>
          <w:highlight w:val="none"/>
          <w:lang w:val="zh-CN"/>
        </w:rPr>
        <w:t>八、工程变更</w:t>
      </w:r>
      <w:bookmarkEnd w:id="208"/>
    </w:p>
    <w:p w14:paraId="6AB52E0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29.工程设计变更</w:t>
      </w:r>
    </w:p>
    <w:p w14:paraId="7D3ED93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29.1  施工中发包人需对原工程设计进行变更，应提前</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BB9891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（1）更改工程有关部分的标高、基线、位置和尺寸；</w:t>
      </w:r>
    </w:p>
    <w:p w14:paraId="6CFC683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（2）增减合同中约定的工程量；</w:t>
      </w:r>
    </w:p>
    <w:p w14:paraId="4AA7EA8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（3）改变有关工程的施工时间和顺序；</w:t>
      </w:r>
    </w:p>
    <w:p w14:paraId="308CC5D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（4）其他有关工程变更需要的附加工作。</w:t>
      </w:r>
    </w:p>
    <w:p w14:paraId="63246A3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因变更导致合同价款的增减及造成的承包人损失，由发包人承担，延误的工期相应顺延。</w:t>
      </w:r>
    </w:p>
    <w:p w14:paraId="3E90DEF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29.2  施工中承包人不得对原工程设计进行变更。因承包人擅自变更设计发生的费用和由此导致发包人直接损失的，由承包人承担，延误的工期不予顺延。</w:t>
      </w:r>
    </w:p>
    <w:p w14:paraId="40D5719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29.3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14:paraId="4F8975B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工程师同意采用承包人合理化建议，所发生的费用和获得的收益，发包人、承包人另行约定分担或分享。</w:t>
      </w:r>
    </w:p>
    <w:p w14:paraId="23EC119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30.其他变更</w:t>
      </w:r>
    </w:p>
    <w:p w14:paraId="74CA8BB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合同履行中发包人要求变更工程质量标准及发生其他实质性变更，由双方协商解决。</w:t>
      </w:r>
    </w:p>
    <w:p w14:paraId="61897BF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31.确定变更价款</w:t>
      </w:r>
    </w:p>
    <w:p w14:paraId="5B8F3B9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31.1  承包人在工程变更确定后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天内，提出变更工程价款的报告，经工程师确认后调整合同价款。变更合同价款除适用于本通用条款第</w:t>
      </w:r>
      <w:r>
        <w:rPr>
          <w:rFonts w:hint="eastAsia" w:ascii="宋体" w:hAnsi="宋体" w:cs="宋体"/>
          <w:b/>
          <w:bCs/>
          <w:color w:val="auto"/>
          <w:sz w:val="24"/>
          <w:szCs w:val="24"/>
          <w:highlight w:val="none"/>
          <w:lang w:val="zh-CN"/>
        </w:rPr>
        <w:t>23.2</w:t>
      </w:r>
      <w:r>
        <w:rPr>
          <w:rFonts w:hint="eastAsia" w:ascii="宋体" w:hAnsi="宋体" w:cs="宋体"/>
          <w:color w:val="auto"/>
          <w:sz w:val="24"/>
          <w:szCs w:val="24"/>
          <w:highlight w:val="none"/>
          <w:lang w:val="zh-CN"/>
        </w:rPr>
        <w:t>款、</w:t>
      </w:r>
      <w:r>
        <w:rPr>
          <w:rFonts w:hint="eastAsia" w:ascii="宋体" w:hAnsi="宋体" w:cs="宋体"/>
          <w:b/>
          <w:bCs/>
          <w:color w:val="auto"/>
          <w:sz w:val="24"/>
          <w:szCs w:val="24"/>
          <w:highlight w:val="none"/>
          <w:lang w:val="zh-CN"/>
        </w:rPr>
        <w:t>23</w:t>
      </w:r>
      <w:r>
        <w:rPr>
          <w:rFonts w:hint="eastAsia" w:ascii="宋体" w:hAnsi="宋体" w:cs="宋体"/>
          <w:color w:val="auto"/>
          <w:sz w:val="24"/>
          <w:szCs w:val="24"/>
          <w:highlight w:val="none"/>
          <w:lang w:val="zh-CN"/>
        </w:rPr>
        <w:t>.</w:t>
      </w:r>
      <w:r>
        <w:rPr>
          <w:rFonts w:hint="eastAsia" w:ascii="宋体" w:hAnsi="宋体" w:cs="宋体"/>
          <w:b/>
          <w:bCs/>
          <w:color w:val="auto"/>
          <w:sz w:val="24"/>
          <w:szCs w:val="24"/>
          <w:highlight w:val="none"/>
          <w:lang w:val="zh-CN"/>
        </w:rPr>
        <w:t>3</w:t>
      </w:r>
      <w:r>
        <w:rPr>
          <w:rFonts w:hint="eastAsia" w:ascii="宋体" w:hAnsi="宋体" w:cs="宋体"/>
          <w:color w:val="auto"/>
          <w:sz w:val="24"/>
          <w:szCs w:val="24"/>
          <w:highlight w:val="none"/>
          <w:lang w:val="zh-CN"/>
        </w:rPr>
        <w:t>款之外，按下列方法进行：</w:t>
      </w:r>
    </w:p>
    <w:p w14:paraId="1D03731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（1）合同中已有适用于变更工程的价格，按合同已有的价格变更合同价款；</w:t>
      </w:r>
    </w:p>
    <w:p w14:paraId="4E6D443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（2）合同中只有类似于变更工程的价格，可以参照类似价格变更合同价款；</w:t>
      </w:r>
    </w:p>
    <w:p w14:paraId="53C74C3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（3）合同中没有适用或类似于变更工程的价格，由承包人提出适当的变更价格，经工程师确认后执行。</w:t>
      </w:r>
    </w:p>
    <w:p w14:paraId="4D7B862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31.2  承包人在双方确定变更后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天内不向工程师提出变更工程价款报告时，视为该项变更不涉及合同价款的变更。</w:t>
      </w:r>
    </w:p>
    <w:p w14:paraId="07F5F8A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31.3  工程师应在收到变更工程价款报告之日起</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天内予以确认，工程师无正当理由不确认时，自变更工程价款报告送达之日起</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天后视为变更工程价款报告已被确认。</w:t>
      </w:r>
    </w:p>
    <w:p w14:paraId="5A58C02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31.4  工程师不同意承包人提出的变更价款，按本通用条款第</w:t>
      </w:r>
      <w:r>
        <w:rPr>
          <w:rFonts w:hint="eastAsia" w:ascii="宋体" w:hAnsi="宋体" w:cs="宋体"/>
          <w:b/>
          <w:bCs/>
          <w:color w:val="auto"/>
          <w:sz w:val="24"/>
          <w:szCs w:val="24"/>
          <w:highlight w:val="none"/>
          <w:lang w:val="zh-CN"/>
        </w:rPr>
        <w:t>37</w:t>
      </w:r>
      <w:r>
        <w:rPr>
          <w:rFonts w:hint="eastAsia" w:ascii="宋体" w:hAnsi="宋体" w:cs="宋体"/>
          <w:color w:val="auto"/>
          <w:sz w:val="24"/>
          <w:szCs w:val="24"/>
          <w:highlight w:val="none"/>
          <w:lang w:val="zh-CN"/>
        </w:rPr>
        <w:t>条关于争议的约定处理。</w:t>
      </w:r>
    </w:p>
    <w:p w14:paraId="6052E0E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31.5  工程师确认增加的工程变更价款作为追加合同价款，与工程款同期支付。</w:t>
      </w:r>
    </w:p>
    <w:p w14:paraId="4E2C1EE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31.6  因承包人原因导致的工程变更，承包人无权要求追加合同价款。</w:t>
      </w:r>
    </w:p>
    <w:p w14:paraId="47B11A41">
      <w:pPr>
        <w:autoSpaceDE w:val="0"/>
        <w:autoSpaceDN w:val="0"/>
        <w:adjustRightInd w:val="0"/>
        <w:spacing w:line="360" w:lineRule="auto"/>
        <w:ind w:firstLine="485"/>
        <w:rPr>
          <w:rFonts w:ascii="宋体" w:hAnsi="宋体" w:cs="宋体"/>
          <w:color w:val="auto"/>
          <w:sz w:val="24"/>
          <w:szCs w:val="24"/>
          <w:highlight w:val="none"/>
          <w:lang w:val="zh-CN"/>
        </w:rPr>
      </w:pPr>
      <w:bookmarkStart w:id="209" w:name="_Toc11352"/>
      <w:r>
        <w:rPr>
          <w:rFonts w:hint="eastAsia" w:ascii="宋体" w:hAnsi="宋体" w:cs="宋体"/>
          <w:color w:val="auto"/>
          <w:sz w:val="24"/>
          <w:szCs w:val="24"/>
          <w:highlight w:val="none"/>
          <w:lang w:val="zh-CN"/>
        </w:rPr>
        <w:t>九、竣工验收与结算</w:t>
      </w:r>
      <w:bookmarkEnd w:id="209"/>
    </w:p>
    <w:p w14:paraId="607C92D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32.竣工验收</w:t>
      </w:r>
    </w:p>
    <w:p w14:paraId="3CED81B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32.1  工程具备竣工验收条件，承包人按国家工程竣工验收有关规定，向发包人提交竣工验收报告及应由承包人提供的竣工验收资料。双方约定由承包人提供竣工图的，应当在专用条款内约定提供的日期和份数。</w:t>
      </w:r>
    </w:p>
    <w:p w14:paraId="177C5A4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32.2  发包人收到承包人提交的竣工验收报告及竣工验收资料后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天内组织有关单位验收，并在验收后</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天内给予认可或提出修改意见。承包人按要求修改，并承担由自身原因造成修改的费用。</w:t>
      </w:r>
    </w:p>
    <w:p w14:paraId="1E03A38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32.3  发包人收到承包人送交的竣工验收报告及竣工验收资料后28天内不组织验收，或验收后</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天内不提出修改意见，视为竣工验收报告已被认可。</w:t>
      </w:r>
    </w:p>
    <w:p w14:paraId="2A3C138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32.4  工程竣工验收通过，工程师应签发竣工验收通过记录文件和工程接收证书。承包人送交竣工验收报告的日期为实际竣工日期。工程按发包人要求修改通过竣工验收的，实际竣工日期为承包人修改后提请发包人验收的日期。发包人应当在收到承包人修改报告后7天内进行确认或提出再次修改意见，逾期视为确认修改合格。</w:t>
      </w:r>
    </w:p>
    <w:p w14:paraId="4BB9F0C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32.5发包人迟延组织验收或验收后迟延出具修改意见的，迟延时间不计入承包人合同工期。</w:t>
      </w:r>
    </w:p>
    <w:p w14:paraId="58F300C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32.6发包人收到承包人竣工验收报告后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天内不组织验收，从第</w:t>
      </w:r>
      <w:r>
        <w:rPr>
          <w:rFonts w:hint="eastAsia" w:ascii="宋体" w:hAnsi="宋体" w:cs="宋体"/>
          <w:b/>
          <w:bCs/>
          <w:color w:val="auto"/>
          <w:sz w:val="24"/>
          <w:szCs w:val="24"/>
          <w:highlight w:val="none"/>
          <w:lang w:val="zh-CN"/>
        </w:rPr>
        <w:t>29</w:t>
      </w:r>
      <w:r>
        <w:rPr>
          <w:rFonts w:hint="eastAsia" w:ascii="宋体" w:hAnsi="宋体" w:cs="宋体"/>
          <w:color w:val="auto"/>
          <w:sz w:val="24"/>
          <w:szCs w:val="24"/>
          <w:highlight w:val="none"/>
          <w:lang w:val="zh-CN"/>
        </w:rPr>
        <w:t>天起承担工程保管及一切意外责任。</w:t>
      </w:r>
    </w:p>
    <w:p w14:paraId="088743B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32.7中间交工工程的范围和竣工时间，双方在专用条款内约定。其验收程序按本通用条款</w:t>
      </w:r>
      <w:r>
        <w:rPr>
          <w:rFonts w:hint="eastAsia" w:ascii="宋体" w:hAnsi="宋体" w:cs="宋体"/>
          <w:b/>
          <w:bCs/>
          <w:color w:val="auto"/>
          <w:sz w:val="24"/>
          <w:szCs w:val="24"/>
          <w:highlight w:val="none"/>
          <w:lang w:val="zh-CN"/>
        </w:rPr>
        <w:t>32.1</w:t>
      </w:r>
      <w:r>
        <w:rPr>
          <w:rFonts w:hint="eastAsia" w:ascii="宋体" w:hAnsi="宋体" w:cs="宋体"/>
          <w:color w:val="auto"/>
          <w:sz w:val="24"/>
          <w:szCs w:val="24"/>
          <w:highlight w:val="none"/>
          <w:lang w:val="zh-CN"/>
        </w:rPr>
        <w:t>款至</w:t>
      </w:r>
      <w:r>
        <w:rPr>
          <w:rFonts w:hint="eastAsia" w:ascii="宋体" w:hAnsi="宋体" w:cs="宋体"/>
          <w:b/>
          <w:bCs/>
          <w:color w:val="auto"/>
          <w:sz w:val="24"/>
          <w:szCs w:val="24"/>
          <w:highlight w:val="none"/>
          <w:lang w:val="zh-CN"/>
        </w:rPr>
        <w:t>32.4</w:t>
      </w:r>
      <w:r>
        <w:rPr>
          <w:rFonts w:hint="eastAsia" w:ascii="宋体" w:hAnsi="宋体" w:cs="宋体"/>
          <w:color w:val="auto"/>
          <w:sz w:val="24"/>
          <w:szCs w:val="24"/>
          <w:highlight w:val="none"/>
          <w:lang w:val="zh-CN"/>
        </w:rPr>
        <w:t>款办理。</w:t>
      </w:r>
    </w:p>
    <w:p w14:paraId="4D3E9EC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32.8因特殊原因，发包人要求部分单位工程或工程部位率先竣工的，双方另行签订率先竣工协议，明确双方责任和工程价款的支付方法。</w:t>
      </w:r>
    </w:p>
    <w:p w14:paraId="2C333F3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32.9工程未经竣工验收或竣工验收未通过的，发包人不得使用。发包人强行使用时，发生的质量问题及其他问题由发包人承担责任。</w:t>
      </w:r>
    </w:p>
    <w:p w14:paraId="3A2CCC0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33竣工结算</w:t>
      </w:r>
    </w:p>
    <w:p w14:paraId="30FD4FB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33.1工程竣工验收通过并办理交付后，双方应按照协议书约定的合同价款及专用条款约定的合同价款调整内容进行结算。发包人收到承包人递交的竣工结算报告及结算资料后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进行核实，对承包人递交的竣工结算报告予以确认或者提出修改意见以及需要承包人补充的结算资料；发包人提出修改意见或要求承包人补充结算资料的，应当一次性提出。发包人再次提出的修改意见超出原一次性提出范围之外的修改意见的部分，承包人拒绝的，该部分修改意见无效。（本款修改意见待定）</w:t>
      </w:r>
    </w:p>
    <w:p w14:paraId="21D5F0C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33.2发包人收到承包人递交的竣工结算报告及结算资料后，在</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天内没有确认或者没有一次性提出修改意见以及没有一次性提出需要补充结算资料要求的，应当视为确认承包人递交的竣工结算报告。</w:t>
      </w:r>
    </w:p>
    <w:p w14:paraId="2A92D81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33.3承包人对发包人一次性提出的修改意见没有异议的，重新编制竣工结算报告递交发包人确认，发包人应当予以确认；承包人对发包人一次性提出的修改意见有异议的，双方应当协商解决，协商不成的，按本通用条款第37条关于争议的约定处理。</w:t>
      </w:r>
    </w:p>
    <w:p w14:paraId="3DD616C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33.4发包人在竣工结算报告确认后</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内支付工程结算价款和工程结算价款自工程交付使用之日起算的同期银行贷款利息，发包人无正当理由不支付工程竣工结算价款，自收到承包人递交的竣工结算报告及结算资料后70天起按双倍同期银行贷款利率支付拖欠工程价款的利息。</w:t>
      </w:r>
    </w:p>
    <w:p w14:paraId="64B2067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34.质量保修</w:t>
      </w:r>
    </w:p>
    <w:p w14:paraId="0E8548F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34.1承包人应按法律、行政法规及国家关于工程质量保修的有关规定，在工程竣工验收之前，与发包人签订质量保修合同，并对交付发包人使用的工程，在质量保修期内承担质量保修责任。质量保修合同作为本合同的附件。</w:t>
      </w:r>
    </w:p>
    <w:p w14:paraId="0E8C55D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34.2采用保修金保修担保的，发包人与承包人应当在专用条款或质量保修合同中约定保修金担保的范围及保修金的返还期限。采用其他保修担保方式的，发包人无需从工程款中提留保修金。</w:t>
      </w:r>
    </w:p>
    <w:p w14:paraId="25C95059">
      <w:pPr>
        <w:autoSpaceDE w:val="0"/>
        <w:autoSpaceDN w:val="0"/>
        <w:adjustRightInd w:val="0"/>
        <w:spacing w:line="360" w:lineRule="auto"/>
        <w:ind w:firstLine="485"/>
        <w:rPr>
          <w:rFonts w:ascii="宋体" w:hAnsi="宋体" w:cs="宋体"/>
          <w:color w:val="auto"/>
          <w:sz w:val="24"/>
          <w:szCs w:val="24"/>
          <w:highlight w:val="none"/>
          <w:lang w:val="zh-CN"/>
        </w:rPr>
      </w:pPr>
      <w:bookmarkStart w:id="210" w:name="_Toc5093"/>
      <w:r>
        <w:rPr>
          <w:rFonts w:hint="eastAsia" w:ascii="宋体" w:hAnsi="宋体" w:cs="宋体"/>
          <w:color w:val="auto"/>
          <w:sz w:val="24"/>
          <w:szCs w:val="24"/>
          <w:highlight w:val="none"/>
          <w:lang w:val="zh-CN"/>
        </w:rPr>
        <w:t>十、违约、索赔和争议</w:t>
      </w:r>
      <w:bookmarkEnd w:id="210"/>
    </w:p>
    <w:p w14:paraId="14F7E1A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35.违约</w:t>
      </w:r>
    </w:p>
    <w:p w14:paraId="246005C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35.1  发包人方面：、</w:t>
      </w:r>
    </w:p>
    <w:p w14:paraId="5658F30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（1）本通用条款第</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条提到的发包人不按时支付工程预付款；</w:t>
      </w:r>
    </w:p>
    <w:p w14:paraId="29A021C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（2）本通用条款第</w:t>
      </w:r>
      <w:r>
        <w:rPr>
          <w:rFonts w:hint="eastAsia" w:ascii="宋体" w:hAnsi="宋体" w:cs="宋体"/>
          <w:b/>
          <w:bCs/>
          <w:color w:val="auto"/>
          <w:sz w:val="24"/>
          <w:szCs w:val="24"/>
          <w:highlight w:val="none"/>
          <w:lang w:val="zh-CN"/>
        </w:rPr>
        <w:t>26.5</w:t>
      </w:r>
      <w:r>
        <w:rPr>
          <w:rFonts w:hint="eastAsia" w:ascii="宋体" w:hAnsi="宋体" w:cs="宋体"/>
          <w:color w:val="auto"/>
          <w:sz w:val="24"/>
          <w:szCs w:val="24"/>
          <w:highlight w:val="none"/>
          <w:lang w:val="zh-CN"/>
        </w:rPr>
        <w:t>款提到的发包人不按合同约定支付工程款，导致施工无法进行；</w:t>
      </w:r>
    </w:p>
    <w:p w14:paraId="7ACABD7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（3）本通用条款第</w:t>
      </w:r>
      <w:r>
        <w:rPr>
          <w:rFonts w:hint="eastAsia" w:ascii="宋体" w:hAnsi="宋体" w:cs="宋体"/>
          <w:b/>
          <w:bCs/>
          <w:color w:val="auto"/>
          <w:sz w:val="24"/>
          <w:szCs w:val="24"/>
          <w:highlight w:val="none"/>
          <w:lang w:val="zh-CN"/>
        </w:rPr>
        <w:t>33.4</w:t>
      </w:r>
      <w:r>
        <w:rPr>
          <w:rFonts w:hint="eastAsia" w:ascii="宋体" w:hAnsi="宋体" w:cs="宋体"/>
          <w:color w:val="auto"/>
          <w:sz w:val="24"/>
          <w:szCs w:val="24"/>
          <w:highlight w:val="none"/>
          <w:lang w:val="zh-CN"/>
        </w:rPr>
        <w:t>款提到的发包人无正当理由不支付工程竣工结算价款；</w:t>
      </w:r>
    </w:p>
    <w:p w14:paraId="7946454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（4）发包人不履行合同义务或不按合同约定履行义务的其他情况。</w:t>
      </w:r>
    </w:p>
    <w:p w14:paraId="0F865D9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本合同履行中发生上述情况，发包人承担违约责任，赔偿因其违约对承包人造成的经济损失，顺延延误的工期。赔偿承包人损失的计算方法或发包人应当支付违约金的数额，由双方在专用条款内约定。</w:t>
      </w:r>
    </w:p>
    <w:p w14:paraId="182B5BC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35.2  承包人方面：</w:t>
      </w:r>
    </w:p>
    <w:p w14:paraId="4E69247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（1）本通用条款第</w:t>
      </w:r>
      <w:r>
        <w:rPr>
          <w:rFonts w:hint="eastAsia" w:ascii="宋体" w:hAnsi="宋体" w:cs="宋体"/>
          <w:b/>
          <w:bCs/>
          <w:color w:val="auto"/>
          <w:sz w:val="24"/>
          <w:szCs w:val="24"/>
          <w:highlight w:val="none"/>
          <w:lang w:val="zh-CN"/>
        </w:rPr>
        <w:t>14.2</w:t>
      </w:r>
      <w:r>
        <w:rPr>
          <w:rFonts w:hint="eastAsia" w:ascii="宋体" w:hAnsi="宋体" w:cs="宋体"/>
          <w:color w:val="auto"/>
          <w:sz w:val="24"/>
          <w:szCs w:val="24"/>
          <w:highlight w:val="none"/>
          <w:lang w:val="zh-CN"/>
        </w:rPr>
        <w:t>款提到的因承包人原因不能按照协议书约定的竣工日期或工程师同意顺延的工期竣工；</w:t>
      </w:r>
    </w:p>
    <w:p w14:paraId="41AB49C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（2）本通用条款第</w:t>
      </w:r>
      <w:r>
        <w:rPr>
          <w:rFonts w:hint="eastAsia" w:ascii="宋体" w:hAnsi="宋体" w:cs="宋体"/>
          <w:b/>
          <w:bCs/>
          <w:color w:val="auto"/>
          <w:sz w:val="24"/>
          <w:szCs w:val="24"/>
          <w:highlight w:val="none"/>
          <w:lang w:val="zh-CN"/>
        </w:rPr>
        <w:t>15.1</w:t>
      </w:r>
      <w:r>
        <w:rPr>
          <w:rFonts w:hint="eastAsia" w:ascii="宋体" w:hAnsi="宋体" w:cs="宋体"/>
          <w:color w:val="auto"/>
          <w:sz w:val="24"/>
          <w:szCs w:val="24"/>
          <w:highlight w:val="none"/>
          <w:lang w:val="zh-CN"/>
        </w:rPr>
        <w:t>款提到的因承包人原因工程质量达不到协议书约定的质量标准；</w:t>
      </w:r>
    </w:p>
    <w:p w14:paraId="4AD7B1A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承包人不履行合同义务或不按合同约定履行义务的其他情况。本合同履行中发生上述情况，承包人承担违约责任，赔偿因其违约对发包人造成的损失。赔偿发包人损失的计算方法或承包人应当支付违约金的数额，由双方在专用条款内约定。</w:t>
      </w:r>
    </w:p>
    <w:p w14:paraId="08AD0B2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35.3  本合同履行中，合同双方的一方发生违约情况，另一方要求违约方仍应继续履行合同时，违约方应在承担上述违约责任后继续履行合同。</w:t>
      </w:r>
    </w:p>
    <w:p w14:paraId="31E0D97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36.索赔</w:t>
      </w:r>
    </w:p>
    <w:p w14:paraId="47B7134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36.1  本合同履行中，合同双方的一方对并非因己方过失，而是应由对方承担责任的情况造成的实际损失，可向对方提出经济补偿和（或）工期顺延的要求。提出索赔应有索赔事件发生时的有效证据。</w:t>
      </w:r>
    </w:p>
    <w:p w14:paraId="494CFE7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36.2  发包人未能按合同约定履行义务或发生错误以及应由发包人承担责任的其他情况，造成工期延误和（或）承包人不能及时得到合同价款及承包人的其他经济损失，承包人可按下列程序以书面形式向发包人索赔：</w:t>
      </w:r>
    </w:p>
    <w:p w14:paraId="043A396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（1）索赔事件发生后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天内，向工程师发出索赔意向通知；</w:t>
      </w:r>
    </w:p>
    <w:p w14:paraId="66FBE7A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（2）发出索赔意向通知后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天内，向工程师提交延长工期和（或）补偿经济损失的索赔报告及相关资料；</w:t>
      </w:r>
    </w:p>
    <w:p w14:paraId="52AFF1D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（3）工程师在收到承包人送交的索赔报告和相关资料后，于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天内给予答复，或要求承包人进一步补充索赔理由和证据；</w:t>
      </w:r>
    </w:p>
    <w:p w14:paraId="6C9C9E5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（4）工程师在收到承包人送交的赔索报告和相关资料后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天内未予答复或未对承包人作进一步要求，视为该项索赔已经认可；</w:t>
      </w:r>
    </w:p>
    <w:p w14:paraId="7820CDA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（5）当该索赔事件持续进行时，承包人应当阶段性向工程师发出索赔意向，在索赔事件终了后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天内，向工程师送交索赔的相关资料和最终索赔报告。索赔答复程序与（3）、（4）项相同。</w:t>
      </w:r>
    </w:p>
    <w:p w14:paraId="1E87E43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36.3  承包人未能按合同约定履行义务或发生错误，给发包人造成经济损失，发包人可按前款确定的时限，向承包人提出索赔。</w:t>
      </w:r>
    </w:p>
    <w:p w14:paraId="0C49E06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37.争议</w:t>
      </w:r>
    </w:p>
    <w:p w14:paraId="5EDC99F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37.1  发包人、承包人在履行合同时发生争议，可以和解或者邀请第三方调解。当事人不愿和解、调解或者和解、调解不成的，可选择向双方在专用条款内约定的仲裁机构申请仲裁，或另行选择其他方式解决。</w:t>
      </w:r>
    </w:p>
    <w:p w14:paraId="1F78EE1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37.2  合同履行时发生争议，除出现下列情况的，双方都应继续履行合同，保持施工连续，并保护好已完工程：</w:t>
      </w:r>
    </w:p>
    <w:p w14:paraId="13C591D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（1）单方违约导致合同确己无法履行，双方协议停止施工；</w:t>
      </w:r>
    </w:p>
    <w:p w14:paraId="71AD932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（2）调解要求停止施工，且为双方接受；</w:t>
      </w:r>
    </w:p>
    <w:p w14:paraId="4A56787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（3）仲裁机构要求停止施工；</w:t>
      </w:r>
    </w:p>
    <w:p w14:paraId="1F7BBDF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（4）法院要求停止施工。</w:t>
      </w:r>
    </w:p>
    <w:p w14:paraId="409EB249">
      <w:pPr>
        <w:autoSpaceDE w:val="0"/>
        <w:autoSpaceDN w:val="0"/>
        <w:adjustRightInd w:val="0"/>
        <w:spacing w:line="360" w:lineRule="auto"/>
        <w:ind w:firstLine="485"/>
        <w:rPr>
          <w:rFonts w:ascii="宋体" w:hAnsi="宋体" w:cs="宋体"/>
          <w:color w:val="auto"/>
          <w:sz w:val="24"/>
          <w:szCs w:val="24"/>
          <w:highlight w:val="none"/>
          <w:lang w:val="zh-CN"/>
        </w:rPr>
      </w:pPr>
      <w:bookmarkStart w:id="211" w:name="_Toc3121"/>
      <w:r>
        <w:rPr>
          <w:rFonts w:hint="eastAsia" w:ascii="宋体" w:hAnsi="宋体" w:cs="宋体"/>
          <w:color w:val="auto"/>
          <w:sz w:val="24"/>
          <w:szCs w:val="24"/>
          <w:highlight w:val="none"/>
          <w:lang w:val="zh-CN"/>
        </w:rPr>
        <w:t>十一、其他</w:t>
      </w:r>
      <w:bookmarkEnd w:id="211"/>
    </w:p>
    <w:p w14:paraId="0E45AA5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38.工程分包</w:t>
      </w:r>
    </w:p>
    <w:p w14:paraId="185591D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38.1  承包人按专用条款的约定，分包所承包的部分工程，并与分包单位签订分包合同。未经发包人同意，承包人不得将承包工程的任何部分分包。</w:t>
      </w:r>
    </w:p>
    <w:p w14:paraId="7EE2F7A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38.2  承包人不得将其承包的全部工程转包给他人，或将其承包的全部工程肢解后，以分包的名义分别转包给他人。</w:t>
      </w:r>
    </w:p>
    <w:p w14:paraId="637D97F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38.3  工程按约定分包后，并不解除承包人任何责任与义务。承包人应在分包场地派驻相应管理人员，保证本合同的履行。分包单位的任何违约行为或因疏忽导致工程损害，以及给发包人造成的其他损失，均由承包人承担责任（由此发生的承包人的损失，由其按分包合同自行解决）。</w:t>
      </w:r>
    </w:p>
    <w:p w14:paraId="3EEFB7E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38.4  分包工程价款由承包人与分包单位结算。发包人未经承包人同意不得以任何形式向分包单位支付各种工程款项。</w:t>
      </w:r>
    </w:p>
    <w:p w14:paraId="08580C2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38.5发包人同意分包的工程，其责、权、利应当在专用条款或分包合同中约定。</w:t>
      </w:r>
    </w:p>
    <w:p w14:paraId="1BF7485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39.不可抗力</w:t>
      </w:r>
    </w:p>
    <w:p w14:paraId="7991770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39.1  不可抗力包括因战争、动乱、空中飞行物体坠落或其他非发包人、承包人责任造成的爆炸、火灾、公共卫生突发事件，以及专用条款约定的风、雨、雪、洪、震等自然灾害。</w:t>
      </w:r>
    </w:p>
    <w:p w14:paraId="273457B1">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39.2  不可抗力事件发生后，承包人应立即通知工程师，并在力所能及的条件下迅速采取措施，尽力减少损失。发包人应协助承包人采取措施。工程师认为应当暂停施工的，承包人应暂停施工。不可抗力事件结束后，承包人应及时向工程师通报受害情况、损失程度及预计清理和修复的费用。不可抗力事件持续发生，承包人应每隔</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天向工程师报告一次受害情况。不可抗力事件结束后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天内，承包人向工程师提交清理和修复费用的正式报告及相关资料。</w:t>
      </w:r>
    </w:p>
    <w:p w14:paraId="6B8377B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39.3  因不可抗力事件导致的费用及延误的工期，由双方按以下方法分别承担：</w:t>
      </w:r>
    </w:p>
    <w:p w14:paraId="71DD268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（1）工程本身的损害、因工程损害导致第三方人员伤亡和财产损失，以及运至施工场地用于施工的材料和待安装的设备的损害，出发包人承担；</w:t>
      </w:r>
    </w:p>
    <w:p w14:paraId="263EA4D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（2）发包人、承包人单位的人员伤亡，由合同双方各自负责，并承担相应费用；</w:t>
      </w:r>
    </w:p>
    <w:p w14:paraId="67D4819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（3）承包人机械设备损坏及停工损失，由承包人承担；</w:t>
      </w:r>
    </w:p>
    <w:p w14:paraId="5759303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（4）停工期间，承包人应工程师要求留在施工场地的必要的管理人员及保卫人员的费用，出发包人承担；</w:t>
      </w:r>
    </w:p>
    <w:p w14:paraId="06785315">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（5）工程所需清理、修复费用，由发包人承担；</w:t>
      </w:r>
    </w:p>
    <w:p w14:paraId="4EAC5B8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（6）延误的工期相应顺延。</w:t>
      </w:r>
    </w:p>
    <w:p w14:paraId="7DA871C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39.4  因合同双方的一方迟延履行合同后发生不可抗力的，不能免除迟延履行方的相应责任。  </w:t>
      </w:r>
    </w:p>
    <w:p w14:paraId="001CD38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40.保险</w:t>
      </w:r>
    </w:p>
    <w:p w14:paraId="176E675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40.1  工程开工前，发包人为建设工程和施工场地内的己方人员及第三方人员生命财产办理保险，支付保险费用。</w:t>
      </w:r>
    </w:p>
    <w:p w14:paraId="6CEE36C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40.2  运至施工场地内用于工程的材料和待安装设备，由发包人办理保险，并文付保险费用。</w:t>
      </w:r>
    </w:p>
    <w:p w14:paraId="4080B34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40.3  发包人可以将有关保险事项委托承包人办理，费用由发包人承担。</w:t>
      </w:r>
    </w:p>
    <w:p w14:paraId="772A31F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40.4  承包人必须为从事危险作业的职工办理意外伤害保险，并为施工场地内已方人员生命财产和施工机械设备办理保险，支付保险费用。</w:t>
      </w:r>
    </w:p>
    <w:p w14:paraId="2A5C8B0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40.5  保险事故发生时，发包人、承包人有责任尽力采取必要的措施，防止或者减少损失。</w:t>
      </w:r>
    </w:p>
    <w:p w14:paraId="5581C0A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40.6  具体投保内容和相关责任，发包人、承包人在专用条款中约定。</w:t>
      </w:r>
    </w:p>
    <w:p w14:paraId="53057F0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41.担保</w:t>
      </w:r>
    </w:p>
    <w:p w14:paraId="2A562B3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41.1  为保证本合同的全面履行，合同双方应各自向对方提供以下担保文件：</w:t>
      </w:r>
    </w:p>
    <w:p w14:paraId="710B351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（1）发包人向承包人提供己方有支付能力的资信证明或与其支付能力相当的第三方出具的履约担保。</w:t>
      </w:r>
    </w:p>
    <w:p w14:paraId="71B365E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（2）承包人向发包人提供已方有赔偿能力的资信证明或与其赔偿能力相当的第三方出具的履约担保。</w:t>
      </w:r>
    </w:p>
    <w:p w14:paraId="1465949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41.2  合同双方的一方违约后，另一方向对方索赔，而对方无法部分或全部履行赔偿责任的，可要求为对方提供担保的第三方承担相应责任。</w:t>
      </w:r>
    </w:p>
    <w:p w14:paraId="2F987A7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41.3  提供担保的内容、方式和相关责任，发包人、承包人除在专用条款中约定外，被担保方与担保方还应签订担保合同，作为本合同附件。</w:t>
      </w:r>
    </w:p>
    <w:p w14:paraId="10D7029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42.专利技术及特殊工艺</w:t>
      </w:r>
    </w:p>
    <w:p w14:paraId="1AC506A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42.1  发包人要求使用专利技术或特殊工艺，应负责办理相应的申报手续，承担申报、试验、使用等费用；承包人提出使用专利技术或特殊工艺，应取得工程师认可，承包人负责办理申报手续并承担有关费用。</w:t>
      </w:r>
    </w:p>
    <w:p w14:paraId="624611F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42.2  擅自使用专利技术侵犯他人专利权的，责任方依法承担相应责任。</w:t>
      </w:r>
    </w:p>
    <w:p w14:paraId="1C26B79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43.文物和地下障碍物</w:t>
      </w:r>
    </w:p>
    <w:p w14:paraId="17ABCE1A">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43.1  工程施工中发现古墓、古建筑遗址等文物及化石或其他有考古、地质研究等价值的物品时，承包人应立即保护好现场，并于</w:t>
      </w:r>
      <w:r>
        <w:rPr>
          <w:rFonts w:hint="eastAsia" w:ascii="宋体" w:hAnsi="宋体" w:cs="宋体"/>
          <w:b/>
          <w:bCs/>
          <w:color w:val="auto"/>
          <w:sz w:val="24"/>
          <w:szCs w:val="24"/>
          <w:highlight w:val="none"/>
          <w:lang w:val="zh-CN"/>
        </w:rPr>
        <w:t>4</w:t>
      </w:r>
      <w:r>
        <w:rPr>
          <w:rFonts w:hint="eastAsia" w:ascii="宋体" w:hAnsi="宋体" w:cs="宋体"/>
          <w:color w:val="auto"/>
          <w:sz w:val="24"/>
          <w:szCs w:val="24"/>
          <w:highlight w:val="none"/>
          <w:lang w:val="zh-CN"/>
        </w:rPr>
        <w:t>小时内以书面形式通知工程师。工程师应在收到书面通知后</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小时内，报告当地文物管理部门。发包人、承包人应按文物管理部门的要求，对现场采取妥善保护措施。发包人承担由此发生的费用，顺延延误的工期。</w:t>
      </w:r>
    </w:p>
    <w:p w14:paraId="37898D4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上述情况出现后隐瞒不报，责任方依法承担相应责任。</w:t>
      </w:r>
    </w:p>
    <w:p w14:paraId="6A21A8C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43.2  工程施工中发现影响施工的地下障碍物时，承包人应于</w:t>
      </w:r>
      <w:r>
        <w:rPr>
          <w:rFonts w:hint="eastAsia" w:ascii="宋体" w:hAnsi="宋体" w:cs="宋体"/>
          <w:b/>
          <w:bCs/>
          <w:color w:val="auto"/>
          <w:sz w:val="24"/>
          <w:szCs w:val="24"/>
          <w:highlight w:val="none"/>
          <w:lang w:val="zh-CN"/>
        </w:rPr>
        <w:t>8</w:t>
      </w:r>
      <w:r>
        <w:rPr>
          <w:rFonts w:hint="eastAsia" w:ascii="宋体" w:hAnsi="宋体" w:cs="宋体"/>
          <w:color w:val="auto"/>
          <w:sz w:val="24"/>
          <w:szCs w:val="24"/>
          <w:highlight w:val="none"/>
          <w:lang w:val="zh-CN"/>
        </w:rPr>
        <w:t>小时内以书面形式通知工程师，同时提出处置方案。工程师收到处置方案后</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小时内予以认可或提出修正方案。发包人承担由此发生的费用，顺延延误的工期。</w:t>
      </w:r>
    </w:p>
    <w:p w14:paraId="65CBEE1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所发现的地下障碍物有归属单位时，发包人应报请有关部门协同处置。</w:t>
      </w:r>
    </w:p>
    <w:p w14:paraId="3B55BC8F">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44.合同解除</w:t>
      </w:r>
    </w:p>
    <w:p w14:paraId="48D50FA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44.1  本合同经发包人、承包人协商一致，可以解除。</w:t>
      </w:r>
    </w:p>
    <w:p w14:paraId="21BD9F6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44.2  发生本通用条款第</w:t>
      </w:r>
      <w:r>
        <w:rPr>
          <w:rFonts w:hint="eastAsia" w:ascii="宋体" w:hAnsi="宋体" w:cs="宋体"/>
          <w:b/>
          <w:bCs/>
          <w:color w:val="auto"/>
          <w:sz w:val="24"/>
          <w:szCs w:val="24"/>
          <w:highlight w:val="none"/>
          <w:lang w:val="zh-CN"/>
        </w:rPr>
        <w:t>26.5</w:t>
      </w:r>
      <w:r>
        <w:rPr>
          <w:rFonts w:hint="eastAsia" w:ascii="宋体" w:hAnsi="宋体" w:cs="宋体"/>
          <w:color w:val="auto"/>
          <w:sz w:val="24"/>
          <w:szCs w:val="24"/>
          <w:highlight w:val="none"/>
          <w:lang w:val="zh-CN"/>
        </w:rPr>
        <w:t>款情况，停止施工超过</w:t>
      </w:r>
      <w:r>
        <w:rPr>
          <w:rFonts w:hint="eastAsia" w:ascii="宋体" w:hAnsi="宋体" w:cs="宋体"/>
          <w:b/>
          <w:bCs/>
          <w:color w:val="auto"/>
          <w:sz w:val="24"/>
          <w:szCs w:val="24"/>
          <w:highlight w:val="none"/>
          <w:lang w:val="zh-CN"/>
        </w:rPr>
        <w:t>56</w:t>
      </w:r>
      <w:r>
        <w:rPr>
          <w:rFonts w:hint="eastAsia" w:ascii="宋体" w:hAnsi="宋体" w:cs="宋体"/>
          <w:color w:val="auto"/>
          <w:sz w:val="24"/>
          <w:szCs w:val="24"/>
          <w:highlight w:val="none"/>
          <w:lang w:val="zh-CN"/>
        </w:rPr>
        <w:t>天，发包人仍不支付工程款（进度款），承包人有权解除合同。</w:t>
      </w:r>
    </w:p>
    <w:p w14:paraId="7539EA3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44.3  发生本通用条款第</w:t>
      </w:r>
      <w:r>
        <w:rPr>
          <w:rFonts w:hint="eastAsia" w:ascii="宋体" w:hAnsi="宋体" w:cs="宋体"/>
          <w:b/>
          <w:bCs/>
          <w:color w:val="auto"/>
          <w:sz w:val="24"/>
          <w:szCs w:val="24"/>
          <w:highlight w:val="none"/>
          <w:lang w:val="zh-CN"/>
        </w:rPr>
        <w:t>39.2</w:t>
      </w:r>
      <w:r>
        <w:rPr>
          <w:rFonts w:hint="eastAsia" w:ascii="宋体" w:hAnsi="宋体" w:cs="宋体"/>
          <w:color w:val="auto"/>
          <w:sz w:val="24"/>
          <w:szCs w:val="24"/>
          <w:highlight w:val="none"/>
          <w:lang w:val="zh-CN"/>
        </w:rPr>
        <w:t>款禁止的情况，承包人将其承包的全部工程转包给他人或肢解以后以分包的名义分别转包给他人，发包人有权解除合同。</w:t>
      </w:r>
    </w:p>
    <w:p w14:paraId="6BF1D8ED">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44.4  有下列情形之一的，发包人、承包人可以解除合同：</w:t>
      </w:r>
    </w:p>
    <w:p w14:paraId="150D230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（1）因不可抗力致使合同无法履行；</w:t>
      </w:r>
    </w:p>
    <w:p w14:paraId="28427F58">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（2）因一方违约（包括因发包人原因造成工程停建或缓建）致使合同无法履行。</w:t>
      </w:r>
    </w:p>
    <w:p w14:paraId="548A4C02">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44.5  一方依据</w:t>
      </w:r>
      <w:r>
        <w:rPr>
          <w:rFonts w:hint="eastAsia" w:ascii="宋体" w:hAnsi="宋体" w:cs="宋体"/>
          <w:b/>
          <w:bCs/>
          <w:color w:val="auto"/>
          <w:sz w:val="24"/>
          <w:szCs w:val="24"/>
          <w:highlight w:val="none"/>
          <w:lang w:val="zh-CN"/>
        </w:rPr>
        <w:t>45.2</w:t>
      </w:r>
      <w:r>
        <w:rPr>
          <w:rFonts w:hint="eastAsia" w:ascii="宋体" w:hAnsi="宋体" w:cs="宋体"/>
          <w:color w:val="auto"/>
          <w:sz w:val="24"/>
          <w:szCs w:val="24"/>
          <w:highlight w:val="none"/>
          <w:lang w:val="zh-CN"/>
        </w:rPr>
        <w:t>、</w:t>
      </w:r>
      <w:r>
        <w:rPr>
          <w:rFonts w:hint="eastAsia" w:ascii="宋体" w:hAnsi="宋体" w:cs="宋体"/>
          <w:b/>
          <w:bCs/>
          <w:color w:val="auto"/>
          <w:sz w:val="24"/>
          <w:szCs w:val="24"/>
          <w:highlight w:val="none"/>
          <w:lang w:val="zh-CN"/>
        </w:rPr>
        <w:t>45.3</w:t>
      </w:r>
      <w:r>
        <w:rPr>
          <w:rFonts w:hint="eastAsia" w:ascii="宋体" w:hAnsi="宋体" w:cs="宋体"/>
          <w:color w:val="auto"/>
          <w:sz w:val="24"/>
          <w:szCs w:val="24"/>
          <w:highlight w:val="none"/>
          <w:lang w:val="zh-CN"/>
        </w:rPr>
        <w:t>、</w:t>
      </w:r>
      <w:r>
        <w:rPr>
          <w:rFonts w:hint="eastAsia" w:ascii="宋体" w:hAnsi="宋体" w:cs="宋体"/>
          <w:b/>
          <w:bCs/>
          <w:color w:val="auto"/>
          <w:sz w:val="24"/>
          <w:szCs w:val="24"/>
          <w:highlight w:val="none"/>
          <w:lang w:val="zh-CN"/>
        </w:rPr>
        <w:t>45.4条</w:t>
      </w:r>
      <w:r>
        <w:rPr>
          <w:rFonts w:hint="eastAsia" w:ascii="宋体" w:hAnsi="宋体" w:cs="宋体"/>
          <w:color w:val="auto"/>
          <w:sz w:val="24"/>
          <w:szCs w:val="24"/>
          <w:highlight w:val="none"/>
          <w:lang w:val="zh-CN"/>
        </w:rPr>
        <w:t>约定要求解除合同的，应以书面形式向对方发出解除合同的通知，并在发出通知前7天告知对方，通知到达对方时合同解除。对解除合同有争议的，按本通用条款第</w:t>
      </w:r>
      <w:r>
        <w:rPr>
          <w:rFonts w:hint="eastAsia" w:ascii="宋体" w:hAnsi="宋体" w:cs="宋体"/>
          <w:b/>
          <w:bCs/>
          <w:color w:val="auto"/>
          <w:sz w:val="24"/>
          <w:szCs w:val="24"/>
          <w:highlight w:val="none"/>
          <w:lang w:val="zh-CN"/>
        </w:rPr>
        <w:t>37</w:t>
      </w:r>
      <w:r>
        <w:rPr>
          <w:rFonts w:hint="eastAsia" w:ascii="宋体" w:hAnsi="宋体" w:cs="宋体"/>
          <w:color w:val="auto"/>
          <w:sz w:val="24"/>
          <w:szCs w:val="24"/>
          <w:highlight w:val="none"/>
          <w:lang w:val="zh-CN"/>
        </w:rPr>
        <w:t>条关于争议的约定处理。</w:t>
      </w:r>
    </w:p>
    <w:p w14:paraId="527334FE">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44.6  合同解除后，发包人、承包人应当就已完工程进行中间验收，承包人应当参加发包人组织的中间验收并移交工程的有关资料。通过中间验收后，发包人应按合同约定支付已完工程价款，同时，承包人应按发包人要求将机械设备和人员撤出施工场地，发包人应为承包人撤出提供必要条件。</w:t>
      </w:r>
    </w:p>
    <w:p w14:paraId="117A396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44.7  合同解除后，发包人、承包人暂时无法确认已完工程价款的，双方可以协商委托有相应资质的造价咨询企业进行结算。承包人应当在委托有资质的造价咨询企业进行结算后 10天内退场。</w:t>
      </w:r>
    </w:p>
    <w:p w14:paraId="77C6EEA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44.8  依据45.1、45.2、45.3、45.4条解除合同的，任何一方可以在解除合同后及时向本合同工程所在地的建设行政主管部门申请就已完工程量或工程价款的清结、退场、工程款支付、费用等事宜进行调解；如双方选择争议解决方式为仲裁的，也可就上述全部或部分问题先行向双方选定的仲裁机构提出仲裁申请。</w:t>
      </w:r>
    </w:p>
    <w:p w14:paraId="5B8ABDC3">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44.9  合同解除后，不影响双方在合同中约定的结算和清理条款的效力。</w:t>
      </w:r>
    </w:p>
    <w:p w14:paraId="46A967E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45.合同生效与终止</w:t>
      </w:r>
    </w:p>
    <w:p w14:paraId="4EEBC54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45.1  双方在协议书中约定合同生效方式。</w:t>
      </w:r>
    </w:p>
    <w:p w14:paraId="2D444757">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45.2  发包人、承包人履行合同全部义务后，本合同即告终止。</w:t>
      </w:r>
    </w:p>
    <w:p w14:paraId="502168B4">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45.3  合同的权利义务终止后，发包人、承包人应当遵循诚实信用原则，履行通知、协助、保密等义务。</w:t>
      </w:r>
    </w:p>
    <w:p w14:paraId="2DA5B0AC">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46.合同份数</w:t>
      </w:r>
    </w:p>
    <w:p w14:paraId="1332C7B0">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46.1  本合同正本两份，具有同等效力，由发包人、承包人分别保存一份。</w:t>
      </w:r>
    </w:p>
    <w:p w14:paraId="6C308BD9">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46.2  本合同副本份数，由双方根据需要在专用条款内约定。</w:t>
      </w:r>
    </w:p>
    <w:p w14:paraId="2B4B3F86">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47.补充条款</w:t>
      </w:r>
    </w:p>
    <w:p w14:paraId="4F932B1B">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双方根据有关法律、行政法规规定，结合工程实际，经协商一致后，可对本通用条款内容具体化、补充或修改。对通用条款内容所作的具体化、补充或修改，由双方在专用条款约定。</w:t>
      </w:r>
    </w:p>
    <w:p w14:paraId="18CDA849">
      <w:pPr>
        <w:autoSpaceDE w:val="0"/>
        <w:autoSpaceDN w:val="0"/>
        <w:adjustRightInd w:val="0"/>
        <w:spacing w:line="360" w:lineRule="auto"/>
        <w:ind w:firstLine="480"/>
        <w:rPr>
          <w:rFonts w:ascii="宋体" w:hAnsi="宋体" w:cs="宋体"/>
          <w:color w:val="auto"/>
          <w:sz w:val="24"/>
          <w:szCs w:val="24"/>
          <w:highlight w:val="none"/>
          <w:lang w:val="zh-CN"/>
        </w:rPr>
      </w:pPr>
    </w:p>
    <w:p w14:paraId="65DC28E8">
      <w:pPr>
        <w:autoSpaceDE w:val="0"/>
        <w:autoSpaceDN w:val="0"/>
        <w:adjustRightInd w:val="0"/>
        <w:spacing w:line="360" w:lineRule="auto"/>
        <w:ind w:firstLine="420"/>
        <w:jc w:val="center"/>
        <w:rPr>
          <w:rFonts w:ascii="宋体" w:hAnsi="宋体" w:cs="宋体"/>
          <w:b/>
          <w:bCs/>
          <w:color w:val="auto"/>
          <w:sz w:val="24"/>
          <w:szCs w:val="24"/>
          <w:highlight w:val="none"/>
          <w:lang w:val="zh-CN"/>
        </w:rPr>
      </w:pPr>
      <w:r>
        <w:rPr>
          <w:rFonts w:hint="eastAsia" w:ascii="宋体" w:hAnsi="宋体" w:cs="宋体"/>
          <w:b/>
          <w:bCs/>
          <w:color w:val="auto"/>
          <w:sz w:val="32"/>
          <w:szCs w:val="32"/>
          <w:highlight w:val="none"/>
          <w:lang w:val="zh-CN"/>
        </w:rPr>
        <w:t>合同专用条款</w:t>
      </w:r>
    </w:p>
    <w:p w14:paraId="3E6B57E6">
      <w:pPr>
        <w:autoSpaceDE w:val="0"/>
        <w:autoSpaceDN w:val="0"/>
        <w:adjustRightInd w:val="0"/>
        <w:spacing w:line="360" w:lineRule="auto"/>
        <w:ind w:firstLine="480"/>
        <w:jc w:val="center"/>
        <w:rPr>
          <w:rFonts w:ascii="宋体" w:hAnsi="宋体" w:cs="宋体"/>
          <w:color w:val="auto"/>
          <w:sz w:val="24"/>
          <w:szCs w:val="24"/>
          <w:highlight w:val="none"/>
          <w:lang w:val="zh-CN"/>
        </w:rPr>
      </w:pPr>
    </w:p>
    <w:p w14:paraId="1F80BCAD">
      <w:pPr>
        <w:autoSpaceDE w:val="0"/>
        <w:autoSpaceDN w:val="0"/>
        <w:adjustRightInd w:val="0"/>
        <w:spacing w:line="360" w:lineRule="auto"/>
        <w:rPr>
          <w:rFonts w:ascii="宋体" w:hAnsi="宋体" w:cs="宋体"/>
          <w:color w:val="auto"/>
          <w:sz w:val="24"/>
          <w:szCs w:val="24"/>
          <w:highlight w:val="none"/>
          <w:lang w:val="zh-CN"/>
        </w:rPr>
      </w:pPr>
      <w:bookmarkStart w:id="212" w:name="_Toc12835"/>
      <w:r>
        <w:rPr>
          <w:rFonts w:hint="eastAsia" w:ascii="宋体" w:hAnsi="宋体" w:cs="宋体"/>
          <w:color w:val="auto"/>
          <w:sz w:val="24"/>
          <w:szCs w:val="24"/>
          <w:highlight w:val="none"/>
          <w:lang w:val="zh-CN"/>
        </w:rPr>
        <w:t>一、词语定义及含合同文件</w:t>
      </w:r>
      <w:bookmarkEnd w:id="212"/>
    </w:p>
    <w:p w14:paraId="4B4D0CD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2．合同文件及解释顺序</w:t>
      </w:r>
    </w:p>
    <w:p w14:paraId="110DD9F5">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合同文件组成及解释顺序：_______________________________________</w:t>
      </w:r>
    </w:p>
    <w:p w14:paraId="38DA7B09">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3．语言文字和适用法律、标准及规范</w:t>
      </w:r>
      <w:r>
        <w:rPr>
          <w:rFonts w:hint="eastAsia" w:ascii="宋体" w:hAnsi="宋体" w:cs="宋体"/>
          <w:color w:val="auto"/>
          <w:sz w:val="24"/>
          <w:szCs w:val="24"/>
          <w:highlight w:val="none"/>
          <w:lang w:val="zh-CN"/>
        </w:rPr>
        <w:br w:type="textWrapping"/>
      </w:r>
      <w:r>
        <w:rPr>
          <w:rFonts w:hint="eastAsia" w:ascii="宋体" w:hAnsi="宋体" w:cs="宋体"/>
          <w:color w:val="auto"/>
          <w:sz w:val="24"/>
          <w:szCs w:val="24"/>
          <w:highlight w:val="none"/>
          <w:lang w:val="zh-CN"/>
        </w:rPr>
        <w:t>3.1   本合同除使用汉语外，还使用_______________________语言文字。</w:t>
      </w:r>
    </w:p>
    <w:p w14:paraId="51623B18">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   适用法律和法规</w:t>
      </w:r>
    </w:p>
    <w:p w14:paraId="7182C186">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需要明示的法律、行政法规：___________________________________</w:t>
      </w:r>
    </w:p>
    <w:p w14:paraId="62D8878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  适用标准、规范</w:t>
      </w:r>
    </w:p>
    <w:p w14:paraId="47D2753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适用标准、规范名称：_____________________________</w:t>
      </w:r>
    </w:p>
    <w:p w14:paraId="2F7DE37C">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发包人提供标准、规范的时间：________________________________________</w:t>
      </w:r>
    </w:p>
    <w:p w14:paraId="6C4A20F7">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国内没有相应标准、规范时的约定：___________________________________</w:t>
      </w:r>
    </w:p>
    <w:p w14:paraId="4D12068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4．图纸</w:t>
      </w:r>
    </w:p>
    <w:p w14:paraId="2167CD7E">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   发包人向承包人提供图纸日期和套数：______________________________发包人对图纸保密要求：_______________________________________________</w:t>
      </w:r>
    </w:p>
    <w:p w14:paraId="676546BD">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使用国外图纸的要求及费用承担：______________________________</w:t>
      </w:r>
    </w:p>
    <w:p w14:paraId="3621CDFF">
      <w:pPr>
        <w:autoSpaceDE w:val="0"/>
        <w:autoSpaceDN w:val="0"/>
        <w:adjustRightInd w:val="0"/>
        <w:spacing w:line="360" w:lineRule="auto"/>
        <w:rPr>
          <w:rFonts w:ascii="宋体" w:hAnsi="宋体" w:cs="宋体"/>
          <w:color w:val="auto"/>
          <w:sz w:val="24"/>
          <w:szCs w:val="24"/>
          <w:highlight w:val="none"/>
          <w:lang w:val="zh-CN"/>
        </w:rPr>
      </w:pPr>
      <w:bookmarkStart w:id="213" w:name="_Toc187"/>
      <w:r>
        <w:rPr>
          <w:rFonts w:hint="eastAsia" w:ascii="宋体" w:hAnsi="宋体" w:cs="宋体"/>
          <w:color w:val="auto"/>
          <w:sz w:val="24"/>
          <w:szCs w:val="24"/>
          <w:highlight w:val="none"/>
          <w:lang w:val="zh-CN"/>
        </w:rPr>
        <w:t>二、双方一般权利和义务</w:t>
      </w:r>
      <w:bookmarkEnd w:id="213"/>
    </w:p>
    <w:p w14:paraId="5ED30AE4">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4．工程师</w:t>
      </w:r>
    </w:p>
    <w:p w14:paraId="746BE5BC">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5.1  发包人派驻的工程师</w:t>
      </w:r>
    </w:p>
    <w:p w14:paraId="5C33AD8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姓名：____________________职务：_____________________</w:t>
      </w:r>
    </w:p>
    <w:p w14:paraId="4CFF7963">
      <w:pPr>
        <w:autoSpaceDE w:val="0"/>
        <w:autoSpaceDN w:val="0"/>
        <w:adjustRightInd w:val="0"/>
        <w:spacing w:line="360" w:lineRule="auto"/>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该工程师的职权范围包括：</w:t>
      </w:r>
    </w:p>
    <w:p w14:paraId="4E31F48A">
      <w:pPr>
        <w:autoSpaceDE w:val="0"/>
        <w:autoSpaceDN w:val="0"/>
        <w:adjustRightInd w:val="0"/>
        <w:spacing w:line="360" w:lineRule="auto"/>
        <w:rPr>
          <w:rFonts w:ascii="宋体" w:hAnsi="宋体" w:cs="宋体"/>
          <w:color w:val="auto"/>
          <w:sz w:val="24"/>
          <w:szCs w:val="24"/>
          <w:highlight w:val="none"/>
          <w:u w:val="single"/>
          <w:lang w:val="zh-CN"/>
        </w:rPr>
      </w:pPr>
    </w:p>
    <w:p w14:paraId="2027C553">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5.3  监理单位委派的工程师</w:t>
      </w:r>
    </w:p>
    <w:p w14:paraId="7864B525">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姓名：____________________职务：_____________________</w:t>
      </w:r>
    </w:p>
    <w:p w14:paraId="02B1030B">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发包人委托的职权：___________________________________</w:t>
      </w:r>
    </w:p>
    <w:p w14:paraId="4C227B4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需要取得发包人批准才能行使的职权：___________________________________</w:t>
      </w:r>
    </w:p>
    <w:p w14:paraId="151FFCDC">
      <w:pPr>
        <w:tabs>
          <w:tab w:val="left" w:pos="0"/>
        </w:tabs>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5.6</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 xml:space="preserve">  不实行监理的，工程师的职权：____________________________________</w:t>
      </w:r>
    </w:p>
    <w:p w14:paraId="72E51AED">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7．承包人代表</w:t>
      </w:r>
    </w:p>
    <w:p w14:paraId="31FAA942">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姓名：____________________职务：_____________________</w:t>
      </w:r>
    </w:p>
    <w:p w14:paraId="0B4288E0">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承包人代表的职权范围包括：____________________________________________</w:t>
      </w:r>
    </w:p>
    <w:p w14:paraId="2D9C0C65">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8．发包人工作</w:t>
      </w:r>
    </w:p>
    <w:p w14:paraId="7A0FE960">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（此处删除）</w:t>
      </w:r>
    </w:p>
    <w:p w14:paraId="323D5614">
      <w:pPr>
        <w:tabs>
          <w:tab w:val="left" w:pos="0"/>
        </w:tabs>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8.1</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 xml:space="preserve">  发包人应按约定的时间和要求完成以下工作：</w:t>
      </w:r>
    </w:p>
    <w:p w14:paraId="703293E7">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（1）施工场地具备施工条件的要求及完成的时间：_________________________</w:t>
      </w:r>
    </w:p>
    <w:p w14:paraId="4EF7E877">
      <w:pPr>
        <w:numPr>
          <w:ilvl w:val="0"/>
          <w:numId w:val="2"/>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将施工所需的水、电、电讯线路接至施工场地的时间、地点和供应要求：__________________</w:t>
      </w:r>
    </w:p>
    <w:p w14:paraId="470BB78F">
      <w:pPr>
        <w:numPr>
          <w:ilvl w:val="0"/>
          <w:numId w:val="3"/>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施工场地与公共道路的通道开通时间和要求：____________________________</w:t>
      </w:r>
    </w:p>
    <w:p w14:paraId="3E5BA05F">
      <w:pPr>
        <w:numPr>
          <w:ilvl w:val="0"/>
          <w:numId w:val="4"/>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工程地质和地下管线资料的提供时间：_________________________</w:t>
      </w:r>
    </w:p>
    <w:p w14:paraId="2375A5C5">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（5）由发包人办理的施工所需证件、批件的名称和完成时间：__________________</w:t>
      </w:r>
    </w:p>
    <w:p w14:paraId="036C1EC7">
      <w:pPr>
        <w:numPr>
          <w:ilvl w:val="0"/>
          <w:numId w:val="5"/>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水准点与坐标控制点交验要求：____________________________</w:t>
      </w:r>
    </w:p>
    <w:p w14:paraId="2CD36D1D">
      <w:pPr>
        <w:numPr>
          <w:ilvl w:val="0"/>
          <w:numId w:val="6"/>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图纸会审和设计交底时间：_____________________________</w:t>
      </w:r>
    </w:p>
    <w:p w14:paraId="7FF06FF3">
      <w:pPr>
        <w:numPr>
          <w:ilvl w:val="0"/>
          <w:numId w:val="7"/>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协调处理施工场地周围地下管线和邻近建筑物、构筑物（含文物保护建筑）、古树的保护工作：__________________________________</w:t>
      </w:r>
    </w:p>
    <w:p w14:paraId="16C081F9">
      <w:pPr>
        <w:numPr>
          <w:ilvl w:val="0"/>
          <w:numId w:val="8"/>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双方约定发包人应做的其他工作：______________________________</w:t>
      </w:r>
    </w:p>
    <w:p w14:paraId="364BE32B">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8.2  发包人委托承包人办理的工作：_______________________________</w:t>
      </w:r>
    </w:p>
    <w:p w14:paraId="5D95635B">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9．承包人工作</w:t>
      </w:r>
    </w:p>
    <w:p w14:paraId="5A9E3D78">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9.1　承包人应按约定时间和要求完成以下工作：</w:t>
      </w:r>
    </w:p>
    <w:p w14:paraId="1CBA06F6">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需由设计资质等级和业务范围允许的承包人完成的设计文件提交时间：______________________</w:t>
      </w:r>
    </w:p>
    <w:p w14:paraId="4838027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（2）应提供计划、报表的名称及完成时间：_______________________________</w:t>
      </w:r>
    </w:p>
    <w:p w14:paraId="481DE13E">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（3）承担施工安全保卫工作及非夜间施工照明的责任和要求：_____________</w:t>
      </w:r>
    </w:p>
    <w:p w14:paraId="6F92230B">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（4）向发包人提供的办公和生活房屋及设施的要求：_____________________（5）需承包人办理的有关施工场地交通、环卫和施工噪音管理等手续：_____________                         </w:t>
      </w:r>
    </w:p>
    <w:p w14:paraId="264086AE">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（6）已完成工程成品保护的特殊要求及费用承担：____________________</w:t>
      </w:r>
    </w:p>
    <w:p w14:paraId="20464F48">
      <w:pPr>
        <w:numPr>
          <w:ilvl w:val="0"/>
          <w:numId w:val="9"/>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施工场地的周围地下管线和邻近建筑物、构筑物（含文物、保护建筑）、古树名木的保护要求及费用承担：_______________________________</w:t>
      </w:r>
    </w:p>
    <w:p w14:paraId="61A3EF87">
      <w:pPr>
        <w:numPr>
          <w:ilvl w:val="0"/>
          <w:numId w:val="10"/>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施工场地的清洁卫生的要求：_____________________________</w:t>
      </w:r>
    </w:p>
    <w:p w14:paraId="75895DED">
      <w:pPr>
        <w:numPr>
          <w:ilvl w:val="0"/>
          <w:numId w:val="11"/>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双方约定承包人应做的其他工作：______________________________</w:t>
      </w:r>
    </w:p>
    <w:p w14:paraId="583287DA">
      <w:pPr>
        <w:autoSpaceDE w:val="0"/>
        <w:autoSpaceDN w:val="0"/>
        <w:adjustRightInd w:val="0"/>
        <w:spacing w:line="360" w:lineRule="auto"/>
        <w:rPr>
          <w:rFonts w:ascii="宋体" w:hAnsi="宋体" w:cs="宋体"/>
          <w:color w:val="auto"/>
          <w:sz w:val="24"/>
          <w:szCs w:val="24"/>
          <w:highlight w:val="none"/>
          <w:lang w:val="zh-CN"/>
        </w:rPr>
      </w:pPr>
      <w:bookmarkStart w:id="214" w:name="_Toc19675"/>
      <w:r>
        <w:rPr>
          <w:rFonts w:hint="eastAsia" w:ascii="宋体" w:hAnsi="宋体" w:cs="宋体"/>
          <w:color w:val="auto"/>
          <w:sz w:val="24"/>
          <w:szCs w:val="24"/>
          <w:highlight w:val="none"/>
          <w:lang w:val="zh-CN"/>
        </w:rPr>
        <w:t>三、施工组织设计和工期</w:t>
      </w:r>
      <w:bookmarkEnd w:id="214"/>
    </w:p>
    <w:p w14:paraId="4960F6D2">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10．进度计划</w:t>
      </w:r>
    </w:p>
    <w:p w14:paraId="0386A3A3">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10.1   承包人提供施工组织设计（施工方案）和进度计划的时间：_______________________________</w:t>
      </w:r>
    </w:p>
    <w:p w14:paraId="47487224">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工程师确认的时间____________________________________________________</w:t>
      </w:r>
    </w:p>
    <w:p w14:paraId="6B97B014">
      <w:pPr>
        <w:tabs>
          <w:tab w:val="left" w:pos="780"/>
        </w:tabs>
        <w:autoSpaceDE w:val="0"/>
        <w:autoSpaceDN w:val="0"/>
        <w:adjustRightInd w:val="0"/>
        <w:spacing w:line="360" w:lineRule="auto"/>
        <w:ind w:left="780" w:hanging="7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10.2</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群体工程中有关进度计划的要求：____________________________</w:t>
      </w:r>
    </w:p>
    <w:p w14:paraId="135C1CD6">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13．工期延误</w:t>
      </w:r>
    </w:p>
    <w:p w14:paraId="25D1C19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13.1   双方约定工期顺延的其他情况：_________________________四、质量与验收</w:t>
      </w:r>
    </w:p>
    <w:p w14:paraId="0EF9D89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17．隐蔽工程和中间验收</w:t>
      </w:r>
    </w:p>
    <w:p w14:paraId="049EDF63">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17.1   双方约定中间验收部位：______________________________</w:t>
      </w:r>
    </w:p>
    <w:p w14:paraId="4D2FCD6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19．工程试车</w:t>
      </w:r>
    </w:p>
    <w:p w14:paraId="05338CEE">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19.5   试车费用的承担：___________________________________五、安全施工</w:t>
      </w:r>
    </w:p>
    <w:p w14:paraId="1A392645">
      <w:pPr>
        <w:autoSpaceDE w:val="0"/>
        <w:autoSpaceDN w:val="0"/>
        <w:adjustRightInd w:val="0"/>
        <w:spacing w:line="360" w:lineRule="auto"/>
        <w:rPr>
          <w:rFonts w:ascii="宋体" w:hAnsi="宋体" w:cs="宋体"/>
          <w:color w:val="auto"/>
          <w:sz w:val="24"/>
          <w:szCs w:val="24"/>
          <w:highlight w:val="none"/>
          <w:lang w:val="zh-CN"/>
        </w:rPr>
      </w:pPr>
      <w:bookmarkStart w:id="215" w:name="_Toc5421"/>
      <w:r>
        <w:rPr>
          <w:rFonts w:hint="eastAsia" w:ascii="宋体" w:hAnsi="宋体" w:cs="宋体"/>
          <w:color w:val="auto"/>
          <w:sz w:val="24"/>
          <w:szCs w:val="24"/>
          <w:highlight w:val="none"/>
          <w:lang w:val="zh-CN"/>
        </w:rPr>
        <w:t>六、合同价款与支付</w:t>
      </w:r>
      <w:bookmarkEnd w:id="215"/>
    </w:p>
    <w:p w14:paraId="7D23E1C7">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23．合同价款与调整</w:t>
      </w:r>
    </w:p>
    <w:p w14:paraId="750E4C8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23.2   本合同价款采用___________________________________计价方式确定。</w:t>
      </w:r>
    </w:p>
    <w:p w14:paraId="66406747">
      <w:pPr>
        <w:autoSpaceDE w:val="0"/>
        <w:autoSpaceDN w:val="0"/>
        <w:adjustRightInd w:val="0"/>
        <w:spacing w:line="360" w:lineRule="auto"/>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（1）采用固定总价计价方式的，合同价款中包括的风险内容、风险范围以及风险费用的计算方法按通用条款第23.1条执行或双方另行约定为：_____________</w:t>
      </w:r>
    </w:p>
    <w:p w14:paraId="4B379EB3">
      <w:pPr>
        <w:autoSpaceDE w:val="0"/>
        <w:autoSpaceDN w:val="0"/>
        <w:adjustRightInd w:val="0"/>
        <w:spacing w:line="360" w:lineRule="auto"/>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________________________________________________________________</w:t>
      </w:r>
    </w:p>
    <w:p w14:paraId="5BD9AF25">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风险范围以外合同价款调整方法：________________________________</w:t>
      </w:r>
    </w:p>
    <w:p w14:paraId="6E6F37A6">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（2）采用固定单价计价方式的，合同单价的计算方法按通用条款第23.2条执行或双方另行约定如下：____________________（3）采用其他计价方式的，合同价款的调整方法：___________________</w:t>
      </w:r>
    </w:p>
    <w:p w14:paraId="17A53EB2">
      <w:pPr>
        <w:tabs>
          <w:tab w:val="left" w:pos="780"/>
        </w:tabs>
        <w:autoSpaceDE w:val="0"/>
        <w:autoSpaceDN w:val="0"/>
        <w:adjustRightInd w:val="0"/>
        <w:spacing w:line="360" w:lineRule="auto"/>
        <w:ind w:left="780" w:hanging="7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23.3</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双方约定合同价款的其他调整因素：_____________________</w:t>
      </w:r>
    </w:p>
    <w:p w14:paraId="4D83C27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24．工程预付款</w:t>
      </w:r>
    </w:p>
    <w:p w14:paraId="2A144A20">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发包人向承包人预付工程款的时间、金额或占合同价款总额的比例：___________________</w:t>
      </w:r>
    </w:p>
    <w:p w14:paraId="1C43E17E">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扣回工程预付款的时间、比例：____________________________________</w:t>
      </w:r>
    </w:p>
    <w:p w14:paraId="2C719052">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25．工程量确认</w:t>
      </w:r>
    </w:p>
    <w:p w14:paraId="2AB879C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25.1   承包人向工程师提交已完成工程量报告的时间：__________________</w:t>
      </w:r>
    </w:p>
    <w:p w14:paraId="0FCCBB30">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26．工程款（进度款）支付</w:t>
      </w:r>
    </w:p>
    <w:p w14:paraId="4C23E9F3">
      <w:pPr>
        <w:autoSpaceDE w:val="0"/>
        <w:autoSpaceDN w:val="0"/>
        <w:adjustRightInd w:val="0"/>
        <w:spacing w:line="360" w:lineRule="auto"/>
        <w:jc w:val="left"/>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26 .5双方约定按工程进度节点支付工程价款的，具体约定如下：</w:t>
      </w:r>
    </w:p>
    <w:p w14:paraId="737B9A4D">
      <w:pPr>
        <w:autoSpaceDE w:val="0"/>
        <w:autoSpaceDN w:val="0"/>
        <w:adjustRightInd w:val="0"/>
        <w:spacing w:line="360" w:lineRule="auto"/>
        <w:jc w:val="left"/>
        <w:rPr>
          <w:rFonts w:ascii="宋体" w:hAnsi="宋体" w:cs="宋体"/>
          <w:color w:val="auto"/>
          <w:sz w:val="24"/>
          <w:szCs w:val="24"/>
          <w:highlight w:val="none"/>
          <w:u w:val="single"/>
          <w:lang w:val="zh-CN"/>
        </w:rPr>
      </w:pPr>
    </w:p>
    <w:p w14:paraId="40B3C9B3">
      <w:pPr>
        <w:autoSpaceDE w:val="0"/>
        <w:autoSpaceDN w:val="0"/>
        <w:adjustRightInd w:val="0"/>
        <w:spacing w:line="360" w:lineRule="auto"/>
        <w:rPr>
          <w:rFonts w:ascii="宋体" w:hAnsi="宋体" w:cs="宋体"/>
          <w:color w:val="auto"/>
          <w:sz w:val="24"/>
          <w:szCs w:val="24"/>
          <w:highlight w:val="none"/>
          <w:lang w:val="zh-CN"/>
        </w:rPr>
      </w:pPr>
      <w:bookmarkStart w:id="216" w:name="_Toc30933"/>
      <w:r>
        <w:rPr>
          <w:rFonts w:hint="eastAsia" w:ascii="宋体" w:hAnsi="宋体" w:cs="宋体"/>
          <w:color w:val="auto"/>
          <w:sz w:val="24"/>
          <w:szCs w:val="24"/>
          <w:highlight w:val="none"/>
          <w:lang w:val="zh-CN"/>
        </w:rPr>
        <w:t>七 、材料设备供应</w:t>
      </w:r>
      <w:bookmarkEnd w:id="216"/>
    </w:p>
    <w:p w14:paraId="594BDA7C">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27．发包人供应材料设备</w:t>
      </w:r>
    </w:p>
    <w:p w14:paraId="260EB66D">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27.4   发包人供应的材料设备与一览表不符时，双方约定发包人承担责任如下：</w:t>
      </w:r>
    </w:p>
    <w:p w14:paraId="2A3B34A3">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（1）材料设备单价与一览表不符：____________________________</w:t>
      </w:r>
    </w:p>
    <w:p w14:paraId="64301000">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（2）材料设备的品种、规格、型号、质量等级与一览表不符：_____________（3）承包人可代为调剂串换的材料：_________________________</w:t>
      </w:r>
    </w:p>
    <w:p w14:paraId="657F7C43">
      <w:pPr>
        <w:numPr>
          <w:ilvl w:val="0"/>
          <w:numId w:val="12"/>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到货地点与一览表不符：_________________________________</w:t>
      </w:r>
    </w:p>
    <w:p w14:paraId="02CE6CC1">
      <w:pPr>
        <w:numPr>
          <w:ilvl w:val="0"/>
          <w:numId w:val="13"/>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供应数量与一览表不符：________________________________</w:t>
      </w:r>
    </w:p>
    <w:p w14:paraId="240BC0F6">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（6）到货时间与一览表不符：__________________________________________</w:t>
      </w:r>
    </w:p>
    <w:p w14:paraId="301A4092">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0C633FFC">
      <w:pPr>
        <w:tabs>
          <w:tab w:val="left" w:pos="780"/>
        </w:tabs>
        <w:autoSpaceDE w:val="0"/>
        <w:autoSpaceDN w:val="0"/>
        <w:adjustRightInd w:val="0"/>
        <w:spacing w:line="360" w:lineRule="auto"/>
        <w:ind w:left="780" w:hanging="7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27.6</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发包人供应材料设备的结算方法：_________________________________</w:t>
      </w:r>
    </w:p>
    <w:p w14:paraId="0A44F328">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466B1DD0">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28．承包人采购材料设备</w:t>
      </w:r>
    </w:p>
    <w:p w14:paraId="571195C3">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28.1   承包人采购材料设备的约定：_____________________________________</w:t>
      </w:r>
    </w:p>
    <w:p w14:paraId="067F4C7A">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w:t>
      </w:r>
    </w:p>
    <w:p w14:paraId="12242374">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八、工程变更</w:t>
      </w:r>
    </w:p>
    <w:p w14:paraId="3F397B48">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九、竣工验收与结算</w:t>
      </w:r>
    </w:p>
    <w:p w14:paraId="16815123">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32．竣工验收</w:t>
      </w:r>
    </w:p>
    <w:p w14:paraId="49D89A9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32.1   承包人提供竣工图的约定：_____________________________________</w:t>
      </w:r>
    </w:p>
    <w:p w14:paraId="74563A18">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102B8AF9">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32.6   中间交工工程的范围和竣工时间_________________________________</w:t>
      </w:r>
    </w:p>
    <w:p w14:paraId="11F994E0">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2C5A469C">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34质量保修</w:t>
      </w:r>
    </w:p>
    <w:p w14:paraId="01F80F8A">
      <w:pPr>
        <w:tabs>
          <w:tab w:val="left" w:pos="840"/>
        </w:tabs>
        <w:autoSpaceDE w:val="0"/>
        <w:autoSpaceDN w:val="0"/>
        <w:adjustRightInd w:val="0"/>
        <w:spacing w:line="360" w:lineRule="auto"/>
        <w:ind w:left="840" w:hanging="840"/>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34．1</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发包人与承包人约定的质量保修担保方式为：</w:t>
      </w:r>
    </w:p>
    <w:p w14:paraId="24F83577">
      <w:pPr>
        <w:autoSpaceDE w:val="0"/>
        <w:autoSpaceDN w:val="0"/>
        <w:adjustRightInd w:val="0"/>
        <w:spacing w:line="360" w:lineRule="auto"/>
        <w:rPr>
          <w:rFonts w:ascii="宋体" w:hAnsi="宋体" w:cs="宋体"/>
          <w:color w:val="auto"/>
          <w:sz w:val="24"/>
          <w:szCs w:val="24"/>
          <w:highlight w:val="none"/>
          <w:u w:val="single"/>
          <w:lang w:val="zh-CN"/>
        </w:rPr>
      </w:pPr>
    </w:p>
    <w:p w14:paraId="2E27FC02">
      <w:pPr>
        <w:autoSpaceDE w:val="0"/>
        <w:autoSpaceDN w:val="0"/>
        <w:adjustRightInd w:val="0"/>
        <w:spacing w:line="360" w:lineRule="auto"/>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34．2  采用保修金保修担保的，发包人与承包人约定的保修金担保范围及保修金返还期限为：</w:t>
      </w:r>
    </w:p>
    <w:p w14:paraId="7182AE73">
      <w:pPr>
        <w:autoSpaceDE w:val="0"/>
        <w:autoSpaceDN w:val="0"/>
        <w:adjustRightInd w:val="0"/>
        <w:spacing w:line="360" w:lineRule="auto"/>
        <w:rPr>
          <w:rFonts w:ascii="宋体" w:hAnsi="宋体" w:cs="宋体"/>
          <w:color w:val="auto"/>
          <w:sz w:val="24"/>
          <w:szCs w:val="24"/>
          <w:highlight w:val="none"/>
          <w:u w:val="single"/>
          <w:lang w:val="zh-CN"/>
        </w:rPr>
      </w:pPr>
    </w:p>
    <w:p w14:paraId="5CCB2DA0">
      <w:pPr>
        <w:autoSpaceDE w:val="0"/>
        <w:autoSpaceDN w:val="0"/>
        <w:adjustRightInd w:val="0"/>
        <w:spacing w:line="360" w:lineRule="auto"/>
        <w:rPr>
          <w:rFonts w:ascii="宋体" w:hAnsi="宋体" w:cs="宋体"/>
          <w:color w:val="auto"/>
          <w:sz w:val="24"/>
          <w:szCs w:val="24"/>
          <w:highlight w:val="none"/>
          <w:u w:val="single"/>
          <w:lang w:val="zh-CN"/>
        </w:rPr>
      </w:pPr>
    </w:p>
    <w:p w14:paraId="7C7EA710">
      <w:pPr>
        <w:autoSpaceDE w:val="0"/>
        <w:autoSpaceDN w:val="0"/>
        <w:adjustRightInd w:val="0"/>
        <w:spacing w:line="360" w:lineRule="auto"/>
        <w:rPr>
          <w:rFonts w:ascii="宋体" w:hAnsi="宋体" w:cs="宋体"/>
          <w:color w:val="auto"/>
          <w:sz w:val="24"/>
          <w:szCs w:val="24"/>
          <w:highlight w:val="none"/>
          <w:lang w:val="zh-CN"/>
        </w:rPr>
      </w:pPr>
      <w:bookmarkStart w:id="217" w:name="_Toc4085"/>
      <w:r>
        <w:rPr>
          <w:rFonts w:hint="eastAsia" w:ascii="宋体" w:hAnsi="宋体" w:cs="宋体"/>
          <w:color w:val="auto"/>
          <w:sz w:val="24"/>
          <w:szCs w:val="24"/>
          <w:highlight w:val="none"/>
          <w:lang w:val="zh-CN"/>
        </w:rPr>
        <w:t>十、违约、索赔和争议</w:t>
      </w:r>
      <w:bookmarkEnd w:id="217"/>
    </w:p>
    <w:p w14:paraId="4FD8F588">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  违约</w:t>
      </w:r>
    </w:p>
    <w:p w14:paraId="2733E10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35.1   本合同中关于发包人违约的具体责任如下：________________________</w:t>
      </w:r>
    </w:p>
    <w:p w14:paraId="28527E4B">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5D910C65">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本合同通用条款第24条约定发包人违约应承担的违约责任：_________________</w:t>
      </w:r>
    </w:p>
    <w:p w14:paraId="4EFBEC0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673B10B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本合同通用条款第26.5条约定发包人违约应承担的违约责任：________________</w:t>
      </w:r>
    </w:p>
    <w:p w14:paraId="4FBED4A7">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2AB6955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本合同通用条款第33.4条约定发包人违约应承担的违约责任：________________</w:t>
      </w:r>
    </w:p>
    <w:p w14:paraId="6D7F00E5">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5FE6546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双方约定的发包人其他违约责任：_______________________________________</w:t>
      </w:r>
    </w:p>
    <w:p w14:paraId="2053E30A">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0D5F418E">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35.2    本合同中关于承包人违约的具体责任如下：</w:t>
      </w:r>
    </w:p>
    <w:p w14:paraId="2F89148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本合同通用条款第14.2条约定承包人违约应承担的违约责任：________________</w:t>
      </w:r>
    </w:p>
    <w:p w14:paraId="28FE683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6857ACFE">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本合同通用条款第15.1条约定承包人违约应承担的违约责任：________________</w:t>
      </w:r>
    </w:p>
    <w:p w14:paraId="24DE2B24">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3B883C1E">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双方约定的承包人其他违约责任：_______________________________________</w:t>
      </w:r>
    </w:p>
    <w:p w14:paraId="5767AB99">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0F680558">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594F1389">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37． 争议</w:t>
      </w:r>
    </w:p>
    <w:p w14:paraId="59A3C36C">
      <w:pPr>
        <w:autoSpaceDE w:val="0"/>
        <w:autoSpaceDN w:val="0"/>
        <w:adjustRightInd w:val="0"/>
        <w:spacing w:line="360" w:lineRule="auto"/>
        <w:ind w:firstLine="4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因本合同引起的或与本合同有关的任何争议，由双方当事人协商解决或邀请第三方调解。协商或调解不成的，按下列第_____种方式解决：</w:t>
      </w:r>
    </w:p>
    <w:p w14:paraId="54E9074F">
      <w:pPr>
        <w:tabs>
          <w:tab w:val="left" w:pos="1200"/>
        </w:tabs>
        <w:autoSpaceDE w:val="0"/>
        <w:autoSpaceDN w:val="0"/>
        <w:adjustRightInd w:val="0"/>
        <w:spacing w:line="360" w:lineRule="auto"/>
        <w:ind w:left="1200" w:hanging="72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向厦门仲裁委员会申请仲裁；</w:t>
      </w:r>
    </w:p>
    <w:p w14:paraId="015CE7F8">
      <w:pPr>
        <w:tabs>
          <w:tab w:val="left" w:pos="1200"/>
        </w:tabs>
        <w:autoSpaceDE w:val="0"/>
        <w:autoSpaceDN w:val="0"/>
        <w:adjustRightInd w:val="0"/>
        <w:spacing w:line="360" w:lineRule="auto"/>
        <w:ind w:left="1200" w:hanging="72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向人民法院起诉；</w:t>
      </w:r>
    </w:p>
    <w:p w14:paraId="38581CDB">
      <w:pPr>
        <w:autoSpaceDE w:val="0"/>
        <w:autoSpaceDN w:val="0"/>
        <w:adjustRightInd w:val="0"/>
        <w:spacing w:line="360" w:lineRule="auto"/>
        <w:ind w:left="4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若双方当事人未进行选择，则视为选定第（1）种方式解决纠纷。</w:t>
      </w:r>
    </w:p>
    <w:p w14:paraId="5CF2671C">
      <w:pPr>
        <w:autoSpaceDE w:val="0"/>
        <w:autoSpaceDN w:val="0"/>
        <w:adjustRightInd w:val="0"/>
        <w:spacing w:line="360" w:lineRule="auto"/>
        <w:rPr>
          <w:rFonts w:ascii="宋体" w:hAnsi="宋体" w:cs="宋体"/>
          <w:color w:val="auto"/>
          <w:sz w:val="24"/>
          <w:szCs w:val="24"/>
          <w:highlight w:val="none"/>
          <w:lang w:val="zh-CN"/>
        </w:rPr>
      </w:pPr>
    </w:p>
    <w:p w14:paraId="32DF8F6A">
      <w:pPr>
        <w:autoSpaceDE w:val="0"/>
        <w:autoSpaceDN w:val="0"/>
        <w:adjustRightInd w:val="0"/>
        <w:spacing w:line="360" w:lineRule="auto"/>
        <w:rPr>
          <w:rFonts w:ascii="宋体" w:hAnsi="宋体" w:cs="宋体"/>
          <w:color w:val="auto"/>
          <w:sz w:val="24"/>
          <w:szCs w:val="24"/>
          <w:highlight w:val="none"/>
          <w:lang w:val="zh-CN"/>
        </w:rPr>
      </w:pPr>
      <w:bookmarkStart w:id="218" w:name="_Toc23677"/>
      <w:r>
        <w:rPr>
          <w:rFonts w:hint="eastAsia" w:ascii="宋体" w:hAnsi="宋体" w:cs="宋体"/>
          <w:color w:val="auto"/>
          <w:sz w:val="24"/>
          <w:szCs w:val="24"/>
          <w:highlight w:val="none"/>
          <w:lang w:val="zh-CN"/>
        </w:rPr>
        <w:t>十一、其他</w:t>
      </w:r>
      <w:bookmarkEnd w:id="218"/>
    </w:p>
    <w:p w14:paraId="7FBBF526">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38．工程分包</w:t>
      </w:r>
    </w:p>
    <w:p w14:paraId="44252297">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38.1   本工程发包人同意承包人的工程：_________________________________</w:t>
      </w:r>
    </w:p>
    <w:p w14:paraId="401F62F3">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7B164C5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29230241">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分包施工单位为：_____________________________________________________</w:t>
      </w:r>
    </w:p>
    <w:p w14:paraId="4F34AB0D">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4EB2F104">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42F4FD2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39．不可抗拒力</w:t>
      </w:r>
    </w:p>
    <w:p w14:paraId="74E9A3A6">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39.1   双方关于不可抗拒力的约定：_____________________________________</w:t>
      </w:r>
    </w:p>
    <w:p w14:paraId="434B7A7D">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630F7B9B">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7230A9CF">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40．保险</w:t>
      </w:r>
    </w:p>
    <w:p w14:paraId="4BBA0613">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40.6   本工程双方约定投保内容如下：</w:t>
      </w:r>
    </w:p>
    <w:p w14:paraId="7A39DA7B">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（1）发包人投保内容：_________________________________________________</w:t>
      </w:r>
    </w:p>
    <w:p w14:paraId="219B118B">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53A490E5">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发包人委托承包人办理的保险事项：______________________________________</w:t>
      </w:r>
    </w:p>
    <w:p w14:paraId="60B2AF79">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（2）承包人投保内容：_________________________________________________</w:t>
      </w:r>
    </w:p>
    <w:p w14:paraId="2DEFDC7E">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4F95A8F8">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089C28F4">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41．担保</w:t>
      </w:r>
    </w:p>
    <w:p w14:paraId="1DD04304">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41.3   本工程双方约定担保事项如下：</w:t>
      </w:r>
    </w:p>
    <w:p w14:paraId="6C83AA37">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（1）发包人向承包人提供已方的履约担保，担保方式为：_____________________</w:t>
      </w:r>
    </w:p>
    <w:p w14:paraId="5B4394B8">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（2）承包人向发包人提供已方的履约担保，担保方式为：_____________________</w:t>
      </w:r>
    </w:p>
    <w:p w14:paraId="2EBF54A8">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（3）双方约定的其他担保事项：________________________________________</w:t>
      </w:r>
    </w:p>
    <w:p w14:paraId="41B31725">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46．合同份数</w:t>
      </w:r>
    </w:p>
    <w:p w14:paraId="6384974E">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46.1   双方约定合同副本份数：_________________________________________</w:t>
      </w:r>
    </w:p>
    <w:p w14:paraId="4649820A">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0E338A6B">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7EBB03FA">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47．补充条款_________________________________________________________</w:t>
      </w:r>
    </w:p>
    <w:p w14:paraId="67CD4050">
      <w:pPr>
        <w:pBdr>
          <w:bottom w:val="single" w:color="auto" w:sz="12" w:space="1"/>
        </w:pBd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14:paraId="174E7181">
      <w:pPr>
        <w:autoSpaceDE w:val="0"/>
        <w:autoSpaceDN w:val="0"/>
        <w:adjustRightInd w:val="0"/>
        <w:spacing w:line="360" w:lineRule="auto"/>
        <w:ind w:firstLine="485"/>
        <w:rPr>
          <w:rFonts w:ascii="宋体" w:hAnsi="宋体" w:cs="宋体"/>
          <w:color w:val="auto"/>
          <w:sz w:val="24"/>
          <w:szCs w:val="24"/>
          <w:highlight w:val="none"/>
          <w:lang w:val="zh-CN"/>
        </w:rPr>
      </w:pPr>
    </w:p>
    <w:p w14:paraId="0774274C">
      <w:pPr>
        <w:autoSpaceDE w:val="0"/>
        <w:autoSpaceDN w:val="0"/>
        <w:adjustRightInd w:val="0"/>
        <w:spacing w:line="360" w:lineRule="auto"/>
        <w:jc w:val="left"/>
        <w:rPr>
          <w:rFonts w:ascii="宋体" w:hAnsi="宋体" w:cs="宋体"/>
          <w:color w:val="auto"/>
          <w:kern w:val="0"/>
          <w:sz w:val="24"/>
          <w:szCs w:val="24"/>
          <w:highlight w:val="none"/>
          <w:lang w:val="zh-CN"/>
        </w:rPr>
      </w:pPr>
    </w:p>
    <w:p w14:paraId="45B7DF4C">
      <w:pPr>
        <w:spacing w:line="360" w:lineRule="auto"/>
        <w:jc w:val="center"/>
        <w:rPr>
          <w:rFonts w:ascii="宋体" w:hAnsi="宋体" w:cs="宋体"/>
          <w:color w:val="auto"/>
          <w:sz w:val="24"/>
          <w:szCs w:val="24"/>
          <w:highlight w:val="none"/>
        </w:rPr>
      </w:pPr>
    </w:p>
    <w:p w14:paraId="3F084898">
      <w:pPr>
        <w:spacing w:line="360" w:lineRule="auto"/>
        <w:jc w:val="center"/>
        <w:rPr>
          <w:rFonts w:ascii="宋体" w:hAnsi="宋体" w:cs="宋体"/>
          <w:color w:val="auto"/>
          <w:sz w:val="24"/>
          <w:szCs w:val="24"/>
          <w:highlight w:val="none"/>
        </w:rPr>
      </w:pPr>
    </w:p>
    <w:p w14:paraId="5E947719">
      <w:pPr>
        <w:spacing w:line="360" w:lineRule="auto"/>
        <w:jc w:val="center"/>
        <w:rPr>
          <w:rFonts w:ascii="宋体" w:hAnsi="宋体" w:cs="宋体"/>
          <w:color w:val="auto"/>
          <w:sz w:val="24"/>
          <w:szCs w:val="24"/>
          <w:highlight w:val="none"/>
        </w:rPr>
      </w:pPr>
    </w:p>
    <w:bookmarkEnd w:id="189"/>
    <w:p w14:paraId="089102DD">
      <w:pPr>
        <w:spacing w:line="360" w:lineRule="auto"/>
        <w:jc w:val="right"/>
        <w:rPr>
          <w:rFonts w:ascii="宋体" w:hAnsi="宋体" w:cs="宋体"/>
          <w:color w:val="auto"/>
          <w:sz w:val="24"/>
          <w:szCs w:val="24"/>
          <w:highlight w:val="none"/>
        </w:rPr>
      </w:pPr>
      <w:bookmarkStart w:id="219" w:name="_Toc268599011"/>
    </w:p>
    <w:p w14:paraId="68B23DD1">
      <w:pPr>
        <w:spacing w:line="360" w:lineRule="auto"/>
        <w:jc w:val="center"/>
        <w:rPr>
          <w:rFonts w:ascii="宋体" w:hAnsi="宋体" w:cs="宋体"/>
          <w:b/>
          <w:bCs/>
          <w:color w:val="auto"/>
          <w:sz w:val="32"/>
          <w:szCs w:val="32"/>
          <w:highlight w:val="none"/>
        </w:rPr>
      </w:pPr>
    </w:p>
    <w:p w14:paraId="484E8D9C">
      <w:pPr>
        <w:spacing w:line="360" w:lineRule="auto"/>
        <w:jc w:val="center"/>
        <w:rPr>
          <w:rFonts w:ascii="宋体" w:hAnsi="宋体" w:cs="宋体"/>
          <w:b/>
          <w:bCs/>
          <w:color w:val="auto"/>
          <w:sz w:val="32"/>
          <w:szCs w:val="32"/>
          <w:highlight w:val="none"/>
        </w:rPr>
      </w:pPr>
    </w:p>
    <w:p w14:paraId="57D2DFAF">
      <w:pPr>
        <w:spacing w:line="360" w:lineRule="auto"/>
        <w:jc w:val="center"/>
        <w:rPr>
          <w:rFonts w:ascii="宋体" w:hAnsi="宋体" w:cs="宋体"/>
          <w:b/>
          <w:bCs/>
          <w:color w:val="auto"/>
          <w:sz w:val="32"/>
          <w:szCs w:val="32"/>
          <w:highlight w:val="none"/>
        </w:rPr>
      </w:pPr>
    </w:p>
    <w:p w14:paraId="328568C9">
      <w:pPr>
        <w:spacing w:line="360" w:lineRule="auto"/>
        <w:jc w:val="center"/>
        <w:rPr>
          <w:rFonts w:ascii="宋体" w:hAnsi="宋体" w:cs="宋体"/>
          <w:b/>
          <w:bCs/>
          <w:color w:val="auto"/>
          <w:sz w:val="32"/>
          <w:szCs w:val="32"/>
          <w:highlight w:val="none"/>
        </w:rPr>
      </w:pPr>
    </w:p>
    <w:p w14:paraId="298C563F">
      <w:pPr>
        <w:spacing w:line="360" w:lineRule="auto"/>
        <w:jc w:val="center"/>
        <w:rPr>
          <w:rFonts w:ascii="宋体" w:hAnsi="宋体" w:cs="宋体"/>
          <w:b/>
          <w:bCs/>
          <w:color w:val="auto"/>
          <w:sz w:val="32"/>
          <w:szCs w:val="32"/>
          <w:highlight w:val="none"/>
        </w:rPr>
      </w:pPr>
    </w:p>
    <w:p w14:paraId="7E48232E">
      <w:pPr>
        <w:spacing w:line="360" w:lineRule="auto"/>
        <w:jc w:val="center"/>
        <w:rPr>
          <w:rFonts w:ascii="宋体" w:hAnsi="宋体" w:cs="宋体"/>
          <w:b/>
          <w:bCs/>
          <w:color w:val="auto"/>
          <w:sz w:val="32"/>
          <w:szCs w:val="32"/>
          <w:highlight w:val="none"/>
        </w:rPr>
      </w:pPr>
    </w:p>
    <w:p w14:paraId="2BB28A0F">
      <w:pPr>
        <w:spacing w:line="360" w:lineRule="auto"/>
        <w:jc w:val="center"/>
        <w:rPr>
          <w:rFonts w:ascii="宋体" w:hAnsi="宋体" w:cs="宋体"/>
          <w:b/>
          <w:bCs/>
          <w:color w:val="auto"/>
          <w:sz w:val="32"/>
          <w:szCs w:val="32"/>
          <w:highlight w:val="none"/>
        </w:rPr>
      </w:pPr>
    </w:p>
    <w:p w14:paraId="75A966C4">
      <w:pPr>
        <w:spacing w:line="360" w:lineRule="auto"/>
        <w:jc w:val="center"/>
        <w:outlineLvl w:val="0"/>
        <w:rPr>
          <w:rFonts w:ascii="宋体" w:hAnsi="宋体" w:cs="宋体"/>
          <w:b/>
          <w:bCs/>
          <w:color w:val="auto"/>
          <w:sz w:val="24"/>
          <w:szCs w:val="24"/>
          <w:highlight w:val="none"/>
        </w:rPr>
      </w:pPr>
      <w:bookmarkStart w:id="220" w:name="_Toc30880"/>
      <w:bookmarkStart w:id="221" w:name="_Toc1540046746"/>
      <w:bookmarkStart w:id="222" w:name="_Toc4603"/>
      <w:r>
        <w:rPr>
          <w:rFonts w:hint="eastAsia" w:ascii="宋体" w:hAnsi="宋体" w:cs="宋体"/>
          <w:b/>
          <w:bCs/>
          <w:color w:val="auto"/>
          <w:sz w:val="32"/>
          <w:szCs w:val="32"/>
          <w:highlight w:val="none"/>
        </w:rPr>
        <w:t>第五章　报价文件格式</w:t>
      </w:r>
      <w:bookmarkEnd w:id="219"/>
      <w:bookmarkEnd w:id="220"/>
      <w:bookmarkEnd w:id="221"/>
      <w:bookmarkEnd w:id="222"/>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14C67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tcPr>
          <w:p w14:paraId="5D5FF79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注释： </w:t>
            </w:r>
          </w:p>
          <w:p w14:paraId="31F03881">
            <w:pPr>
              <w:spacing w:line="360" w:lineRule="auto"/>
              <w:ind w:left="492" w:right="132" w:firstLine="480"/>
              <w:rPr>
                <w:rFonts w:ascii="宋体" w:hAnsi="宋体" w:cs="宋体"/>
                <w:color w:val="auto"/>
                <w:sz w:val="24"/>
                <w:szCs w:val="24"/>
                <w:highlight w:val="none"/>
              </w:rPr>
            </w:pPr>
            <w:r>
              <w:rPr>
                <w:rFonts w:hint="eastAsia" w:ascii="宋体" w:hAnsi="宋体" w:cs="宋体"/>
                <w:color w:val="auto"/>
                <w:sz w:val="24"/>
                <w:szCs w:val="24"/>
                <w:highlight w:val="none"/>
              </w:rPr>
              <w:t>《报价文件格式》是报价人的部分报价文件格式和签订合同时所需文件的格式。报价人应参照这些格式文件制作报价文件。</w:t>
            </w:r>
          </w:p>
        </w:tc>
      </w:tr>
    </w:tbl>
    <w:p w14:paraId="06236A67">
      <w:pPr>
        <w:spacing w:line="360" w:lineRule="auto"/>
        <w:rPr>
          <w:rFonts w:ascii="宋体" w:hAnsi="宋体"/>
          <w:b/>
          <w:color w:val="auto"/>
          <w:sz w:val="36"/>
          <w:highlight w:val="none"/>
        </w:rPr>
      </w:pPr>
    </w:p>
    <w:p w14:paraId="2178FD94">
      <w:pPr>
        <w:spacing w:line="360" w:lineRule="auto"/>
        <w:jc w:val="center"/>
        <w:rPr>
          <w:rFonts w:ascii="宋体" w:hAnsi="宋体"/>
          <w:b/>
          <w:color w:val="auto"/>
          <w:sz w:val="72"/>
          <w:highlight w:val="none"/>
        </w:rPr>
      </w:pPr>
    </w:p>
    <w:p w14:paraId="2FBC1EE3">
      <w:pPr>
        <w:spacing w:line="360" w:lineRule="auto"/>
        <w:jc w:val="center"/>
        <w:rPr>
          <w:rFonts w:ascii="宋体" w:hAnsi="宋体"/>
          <w:b/>
          <w:color w:val="auto"/>
          <w:sz w:val="72"/>
          <w:highlight w:val="none"/>
        </w:rPr>
      </w:pPr>
    </w:p>
    <w:p w14:paraId="2F07FDA6">
      <w:pPr>
        <w:spacing w:line="360" w:lineRule="auto"/>
        <w:jc w:val="center"/>
        <w:rPr>
          <w:rFonts w:ascii="宋体" w:hAnsi="宋体"/>
          <w:b/>
          <w:color w:val="auto"/>
          <w:sz w:val="72"/>
          <w:highlight w:val="none"/>
        </w:rPr>
      </w:pPr>
    </w:p>
    <w:p w14:paraId="05DB7114">
      <w:pPr>
        <w:spacing w:line="360" w:lineRule="auto"/>
        <w:jc w:val="center"/>
        <w:rPr>
          <w:rFonts w:ascii="宋体" w:hAnsi="宋体"/>
          <w:b/>
          <w:color w:val="auto"/>
          <w:sz w:val="72"/>
          <w:highlight w:val="none"/>
        </w:rPr>
      </w:pPr>
    </w:p>
    <w:p w14:paraId="7D2378A0">
      <w:pPr>
        <w:spacing w:line="360" w:lineRule="auto"/>
        <w:jc w:val="center"/>
        <w:rPr>
          <w:rFonts w:ascii="宋体" w:hAnsi="宋体"/>
          <w:b/>
          <w:color w:val="auto"/>
          <w:sz w:val="72"/>
          <w:highlight w:val="none"/>
        </w:rPr>
      </w:pPr>
    </w:p>
    <w:p w14:paraId="1F998BB9">
      <w:pPr>
        <w:spacing w:line="360" w:lineRule="auto"/>
        <w:jc w:val="center"/>
        <w:rPr>
          <w:rFonts w:ascii="宋体" w:hAnsi="宋体"/>
          <w:b/>
          <w:color w:val="auto"/>
          <w:sz w:val="72"/>
          <w:highlight w:val="none"/>
        </w:rPr>
      </w:pPr>
    </w:p>
    <w:p w14:paraId="5A5A5335">
      <w:pPr>
        <w:spacing w:line="360" w:lineRule="auto"/>
        <w:jc w:val="center"/>
        <w:rPr>
          <w:rFonts w:ascii="宋体" w:hAnsi="宋体"/>
          <w:b/>
          <w:color w:val="auto"/>
          <w:sz w:val="72"/>
          <w:highlight w:val="none"/>
        </w:rPr>
      </w:pPr>
    </w:p>
    <w:p w14:paraId="6B7F4993">
      <w:pPr>
        <w:spacing w:line="360" w:lineRule="auto"/>
        <w:jc w:val="center"/>
        <w:rPr>
          <w:rFonts w:ascii="宋体" w:hAnsi="宋体"/>
          <w:b/>
          <w:color w:val="auto"/>
          <w:sz w:val="72"/>
          <w:highlight w:val="none"/>
        </w:rPr>
      </w:pPr>
    </w:p>
    <w:p w14:paraId="124FC215">
      <w:pPr>
        <w:spacing w:line="360" w:lineRule="auto"/>
        <w:jc w:val="center"/>
        <w:rPr>
          <w:rFonts w:ascii="宋体" w:hAnsi="宋体"/>
          <w:b/>
          <w:color w:val="auto"/>
          <w:sz w:val="72"/>
          <w:highlight w:val="none"/>
        </w:rPr>
      </w:pPr>
      <w:bookmarkStart w:id="223" w:name="_Toc14519"/>
    </w:p>
    <w:p w14:paraId="4C22170D">
      <w:pPr>
        <w:spacing w:line="360" w:lineRule="auto"/>
        <w:jc w:val="center"/>
        <w:rPr>
          <w:rFonts w:ascii="宋体" w:hAnsi="宋体"/>
          <w:b/>
          <w:color w:val="auto"/>
          <w:sz w:val="72"/>
          <w:highlight w:val="none"/>
        </w:rPr>
      </w:pPr>
      <w:r>
        <w:rPr>
          <w:rFonts w:hint="eastAsia" w:ascii="宋体" w:hAnsi="宋体"/>
          <w:b/>
          <w:color w:val="auto"/>
          <w:sz w:val="72"/>
          <w:highlight w:val="none"/>
        </w:rPr>
        <w:t>采购项目</w:t>
      </w:r>
      <w:bookmarkEnd w:id="223"/>
    </w:p>
    <w:p w14:paraId="002A5AE6">
      <w:pPr>
        <w:spacing w:line="360" w:lineRule="auto"/>
        <w:jc w:val="center"/>
        <w:rPr>
          <w:rFonts w:ascii="宋体" w:hAnsi="宋体"/>
          <w:b/>
          <w:color w:val="auto"/>
          <w:sz w:val="72"/>
          <w:highlight w:val="none"/>
        </w:rPr>
      </w:pPr>
      <w:r>
        <w:rPr>
          <w:rFonts w:hint="eastAsia" w:ascii="宋体" w:hAnsi="宋体"/>
          <w:b/>
          <w:color w:val="auto"/>
          <w:sz w:val="72"/>
          <w:highlight w:val="none"/>
        </w:rPr>
        <w:t>报价文件</w:t>
      </w:r>
    </w:p>
    <w:p w14:paraId="05EF6906">
      <w:pPr>
        <w:spacing w:line="360" w:lineRule="auto"/>
        <w:rPr>
          <w:rFonts w:ascii="宋体" w:hAnsi="宋体"/>
          <w:b/>
          <w:color w:val="auto"/>
          <w:sz w:val="36"/>
          <w:highlight w:val="none"/>
        </w:rPr>
      </w:pPr>
    </w:p>
    <w:p w14:paraId="0FB3E005">
      <w:pPr>
        <w:spacing w:line="360" w:lineRule="auto"/>
        <w:jc w:val="center"/>
        <w:rPr>
          <w:rFonts w:ascii="宋体" w:hAnsi="宋体"/>
          <w:b/>
          <w:color w:val="auto"/>
          <w:sz w:val="36"/>
          <w:highlight w:val="none"/>
        </w:rPr>
      </w:pPr>
    </w:p>
    <w:p w14:paraId="03D021D9">
      <w:pPr>
        <w:spacing w:line="360" w:lineRule="auto"/>
        <w:ind w:firstLine="1084" w:firstLineChars="300"/>
        <w:rPr>
          <w:rFonts w:ascii="宋体" w:hAnsi="宋体"/>
          <w:b/>
          <w:color w:val="auto"/>
          <w:sz w:val="36"/>
          <w:highlight w:val="none"/>
        </w:rPr>
      </w:pPr>
      <w:r>
        <w:rPr>
          <w:rFonts w:hint="eastAsia" w:ascii="宋体" w:hAnsi="宋体"/>
          <w:b/>
          <w:color w:val="auto"/>
          <w:sz w:val="36"/>
          <w:highlight w:val="none"/>
        </w:rPr>
        <w:t>项 目 名 称：</w:t>
      </w:r>
    </w:p>
    <w:p w14:paraId="33E4B6B3">
      <w:pPr>
        <w:spacing w:line="360" w:lineRule="auto"/>
        <w:ind w:firstLine="1247" w:firstLineChars="345"/>
        <w:rPr>
          <w:rFonts w:ascii="宋体" w:hAnsi="宋体"/>
          <w:b/>
          <w:color w:val="auto"/>
          <w:sz w:val="36"/>
          <w:highlight w:val="none"/>
        </w:rPr>
      </w:pPr>
      <w:r>
        <w:rPr>
          <w:rFonts w:hint="eastAsia" w:ascii="宋体" w:hAnsi="宋体"/>
          <w:b/>
          <w:color w:val="auto"/>
          <w:sz w:val="36"/>
          <w:highlight w:val="none"/>
        </w:rPr>
        <w:t>项 目 编 号：</w:t>
      </w:r>
    </w:p>
    <w:p w14:paraId="5D8EB03B">
      <w:pPr>
        <w:spacing w:line="360" w:lineRule="auto"/>
        <w:rPr>
          <w:rFonts w:ascii="宋体" w:hAnsi="宋体"/>
          <w:b/>
          <w:color w:val="auto"/>
          <w:sz w:val="36"/>
          <w:highlight w:val="none"/>
        </w:rPr>
      </w:pPr>
    </w:p>
    <w:p w14:paraId="05212F82">
      <w:pPr>
        <w:spacing w:line="360" w:lineRule="auto"/>
        <w:rPr>
          <w:rFonts w:ascii="宋体" w:hAnsi="宋体"/>
          <w:b/>
          <w:color w:val="auto"/>
          <w:sz w:val="36"/>
          <w:highlight w:val="none"/>
        </w:rPr>
      </w:pPr>
    </w:p>
    <w:p w14:paraId="6D7CBE65">
      <w:pPr>
        <w:spacing w:line="360" w:lineRule="auto"/>
        <w:ind w:firstLine="708" w:firstLineChars="196"/>
        <w:rPr>
          <w:rFonts w:ascii="宋体" w:hAnsi="宋体"/>
          <w:b/>
          <w:color w:val="auto"/>
          <w:sz w:val="36"/>
          <w:highlight w:val="none"/>
          <w:u w:val="single"/>
        </w:rPr>
      </w:pPr>
      <w:r>
        <w:rPr>
          <w:rFonts w:hint="eastAsia" w:ascii="宋体" w:hAnsi="宋体"/>
          <w:b/>
          <w:color w:val="auto"/>
          <w:sz w:val="36"/>
          <w:highlight w:val="none"/>
        </w:rPr>
        <w:t xml:space="preserve">   报价人名称 ：</w:t>
      </w:r>
    </w:p>
    <w:p w14:paraId="2B35308B">
      <w:pPr>
        <w:spacing w:line="360" w:lineRule="auto"/>
        <w:rPr>
          <w:rFonts w:ascii="宋体" w:hAnsi="宋体"/>
          <w:b/>
          <w:color w:val="auto"/>
          <w:sz w:val="36"/>
          <w:highlight w:val="none"/>
        </w:rPr>
      </w:pPr>
      <w:r>
        <w:rPr>
          <w:rFonts w:hint="eastAsia" w:ascii="宋体" w:hAnsi="宋体"/>
          <w:b/>
          <w:color w:val="auto"/>
          <w:sz w:val="36"/>
          <w:highlight w:val="none"/>
        </w:rPr>
        <w:t xml:space="preserve">       日      期 ：</w:t>
      </w:r>
    </w:p>
    <w:p w14:paraId="175D1FC1">
      <w:pPr>
        <w:spacing w:line="360" w:lineRule="auto"/>
        <w:rPr>
          <w:rFonts w:ascii="宋体" w:hAnsi="宋体"/>
          <w:b/>
          <w:color w:val="auto"/>
          <w:sz w:val="36"/>
          <w:highlight w:val="none"/>
        </w:rPr>
      </w:pPr>
    </w:p>
    <w:p w14:paraId="18DFAFE8">
      <w:pPr>
        <w:spacing w:line="360" w:lineRule="auto"/>
        <w:rPr>
          <w:rFonts w:ascii="宋体" w:hAnsi="宋体"/>
          <w:color w:val="auto"/>
          <w:sz w:val="24"/>
          <w:highlight w:val="none"/>
        </w:rPr>
      </w:pPr>
    </w:p>
    <w:p w14:paraId="23746CDF">
      <w:pPr>
        <w:pStyle w:val="5"/>
        <w:snapToGrid w:val="0"/>
        <w:spacing w:line="360" w:lineRule="auto"/>
        <w:ind w:firstLine="883" w:firstLineChars="275"/>
        <w:jc w:val="center"/>
        <w:rPr>
          <w:rFonts w:cs="宋体"/>
          <w:b/>
          <w:bCs/>
          <w:color w:val="auto"/>
          <w:sz w:val="32"/>
          <w:szCs w:val="32"/>
          <w:highlight w:val="none"/>
        </w:rPr>
      </w:pPr>
    </w:p>
    <w:p w14:paraId="2749F4D7">
      <w:pPr>
        <w:pStyle w:val="5"/>
        <w:snapToGrid w:val="0"/>
        <w:spacing w:line="360" w:lineRule="auto"/>
        <w:ind w:firstLine="883" w:firstLineChars="275"/>
        <w:jc w:val="center"/>
        <w:rPr>
          <w:rFonts w:cs="宋体"/>
          <w:b/>
          <w:bCs/>
          <w:color w:val="auto"/>
          <w:sz w:val="32"/>
          <w:szCs w:val="32"/>
          <w:highlight w:val="none"/>
        </w:rPr>
      </w:pPr>
    </w:p>
    <w:p w14:paraId="220C48C1">
      <w:pPr>
        <w:pStyle w:val="5"/>
        <w:snapToGrid w:val="0"/>
        <w:spacing w:line="360" w:lineRule="auto"/>
        <w:ind w:firstLine="883" w:firstLineChars="275"/>
        <w:jc w:val="center"/>
        <w:rPr>
          <w:rFonts w:cs="宋体"/>
          <w:b/>
          <w:bCs/>
          <w:color w:val="auto"/>
          <w:sz w:val="32"/>
          <w:szCs w:val="32"/>
          <w:highlight w:val="none"/>
        </w:rPr>
      </w:pPr>
    </w:p>
    <w:p w14:paraId="5E3C1614">
      <w:pPr>
        <w:pStyle w:val="5"/>
        <w:snapToGrid w:val="0"/>
        <w:spacing w:line="360" w:lineRule="auto"/>
        <w:ind w:firstLine="883" w:firstLineChars="275"/>
        <w:jc w:val="center"/>
        <w:rPr>
          <w:rFonts w:cs="宋体"/>
          <w:b/>
          <w:bCs/>
          <w:color w:val="auto"/>
          <w:sz w:val="32"/>
          <w:szCs w:val="32"/>
          <w:highlight w:val="none"/>
        </w:rPr>
      </w:pPr>
    </w:p>
    <w:p w14:paraId="251C3859">
      <w:pPr>
        <w:pStyle w:val="5"/>
        <w:snapToGrid w:val="0"/>
        <w:spacing w:line="360" w:lineRule="auto"/>
        <w:ind w:firstLine="883" w:firstLineChars="275"/>
        <w:jc w:val="center"/>
        <w:rPr>
          <w:rFonts w:cs="宋体"/>
          <w:b/>
          <w:bCs/>
          <w:color w:val="auto"/>
          <w:sz w:val="32"/>
          <w:szCs w:val="32"/>
          <w:highlight w:val="none"/>
        </w:rPr>
      </w:pPr>
    </w:p>
    <w:p w14:paraId="6A6A2610">
      <w:pPr>
        <w:pStyle w:val="5"/>
        <w:snapToGrid w:val="0"/>
        <w:spacing w:line="360" w:lineRule="auto"/>
        <w:ind w:firstLine="883" w:firstLineChars="275"/>
        <w:jc w:val="center"/>
        <w:rPr>
          <w:rFonts w:cs="宋体"/>
          <w:b/>
          <w:bCs/>
          <w:color w:val="auto"/>
          <w:sz w:val="24"/>
          <w:szCs w:val="24"/>
          <w:highlight w:val="none"/>
        </w:rPr>
      </w:pPr>
      <w:r>
        <w:rPr>
          <w:rFonts w:hint="eastAsia" w:cs="宋体"/>
          <w:b/>
          <w:bCs/>
          <w:color w:val="auto"/>
          <w:sz w:val="32"/>
          <w:szCs w:val="32"/>
          <w:highlight w:val="none"/>
        </w:rPr>
        <w:t>目    录</w:t>
      </w:r>
    </w:p>
    <w:p w14:paraId="592224F7">
      <w:pPr>
        <w:spacing w:line="360" w:lineRule="auto"/>
        <w:rPr>
          <w:rFonts w:ascii="宋体" w:hAnsi="宋体" w:cs="宋体"/>
          <w:color w:val="auto"/>
          <w:sz w:val="24"/>
          <w:szCs w:val="24"/>
          <w:highlight w:val="none"/>
        </w:rPr>
      </w:pPr>
    </w:p>
    <w:p w14:paraId="5755131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 磋商响应声明函</w:t>
      </w:r>
    </w:p>
    <w:p w14:paraId="2D400FD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 报价一览表</w:t>
      </w:r>
    </w:p>
    <w:p w14:paraId="2510107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 工程量清单报价表</w:t>
      </w:r>
    </w:p>
    <w:p w14:paraId="179B092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 工程说明一览表</w:t>
      </w:r>
    </w:p>
    <w:p w14:paraId="0B99607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5. 项目管理机构配备情况 </w:t>
      </w:r>
    </w:p>
    <w:p w14:paraId="04052E7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 技术规格和商务偏离表</w:t>
      </w:r>
    </w:p>
    <w:p w14:paraId="04D3CE2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7. 报价人的资格证明文件</w:t>
      </w:r>
    </w:p>
    <w:p w14:paraId="3AAD009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关于资格的声明函</w:t>
      </w:r>
    </w:p>
    <w:p w14:paraId="51E6642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报价人的资格声明</w:t>
      </w:r>
    </w:p>
    <w:p w14:paraId="4488CD18">
      <w:pPr>
        <w:spacing w:line="360" w:lineRule="auto"/>
        <w:ind w:left="479" w:leftChars="228"/>
        <w:rPr>
          <w:rFonts w:ascii="宋体" w:hAnsi="宋体" w:cs="宋体"/>
          <w:color w:val="auto"/>
          <w:sz w:val="24"/>
          <w:szCs w:val="24"/>
          <w:highlight w:val="none"/>
        </w:rPr>
      </w:pPr>
      <w:r>
        <w:rPr>
          <w:rFonts w:hint="eastAsia" w:ascii="宋体" w:hAnsi="宋体" w:cs="宋体"/>
          <w:color w:val="auto"/>
          <w:sz w:val="24"/>
          <w:szCs w:val="24"/>
          <w:highlight w:val="none"/>
        </w:rPr>
        <w:t>单位授权书</w:t>
      </w:r>
    </w:p>
    <w:p w14:paraId="32004FC8">
      <w:pPr>
        <w:spacing w:line="360" w:lineRule="auto"/>
        <w:ind w:left="479" w:leftChars="228"/>
        <w:rPr>
          <w:rFonts w:ascii="宋体" w:hAnsi="宋体" w:cs="宋体"/>
          <w:color w:val="auto"/>
          <w:sz w:val="24"/>
          <w:szCs w:val="24"/>
          <w:highlight w:val="none"/>
        </w:rPr>
      </w:pPr>
      <w:r>
        <w:rPr>
          <w:rFonts w:hint="eastAsia" w:ascii="宋体" w:hAnsi="宋体" w:cs="宋体"/>
          <w:color w:val="auto"/>
          <w:sz w:val="24"/>
          <w:szCs w:val="24"/>
          <w:highlight w:val="none"/>
        </w:rPr>
        <w:t>单位营业执照、税务登记证（或统一信用代码）</w:t>
      </w:r>
    </w:p>
    <w:p w14:paraId="05E2FDC1">
      <w:pPr>
        <w:spacing w:line="360" w:lineRule="auto"/>
        <w:ind w:firstLine="120" w:firstLineChars="50"/>
        <w:rPr>
          <w:rFonts w:ascii="宋体" w:hAnsi="宋体" w:cs="宋体"/>
          <w:color w:val="auto"/>
          <w:sz w:val="24"/>
          <w:szCs w:val="24"/>
          <w:highlight w:val="none"/>
        </w:rPr>
      </w:pPr>
      <w:bookmarkStart w:id="224" w:name="_Toc11744"/>
      <w:r>
        <w:rPr>
          <w:rFonts w:hint="eastAsia" w:ascii="宋体" w:hAnsi="宋体" w:cs="宋体"/>
          <w:color w:val="auto"/>
          <w:sz w:val="24"/>
          <w:szCs w:val="24"/>
          <w:highlight w:val="none"/>
        </w:rPr>
        <w:t>8. 代理服务费承诺书</w:t>
      </w:r>
      <w:bookmarkEnd w:id="224"/>
    </w:p>
    <w:p w14:paraId="675A07F4">
      <w:pPr>
        <w:spacing w:line="360" w:lineRule="auto"/>
        <w:ind w:firstLine="2183" w:firstLineChars="906"/>
        <w:rPr>
          <w:rFonts w:ascii="宋体" w:hAnsi="宋体" w:cs="宋体"/>
          <w:b/>
          <w:color w:val="auto"/>
          <w:sz w:val="24"/>
          <w:szCs w:val="24"/>
          <w:highlight w:val="none"/>
        </w:rPr>
      </w:pPr>
    </w:p>
    <w:p w14:paraId="172D1FFE">
      <w:pPr>
        <w:spacing w:line="360" w:lineRule="auto"/>
        <w:ind w:firstLine="2183" w:firstLineChars="906"/>
        <w:rPr>
          <w:rFonts w:ascii="宋体" w:hAnsi="宋体" w:cs="宋体"/>
          <w:b/>
          <w:color w:val="auto"/>
          <w:sz w:val="24"/>
          <w:szCs w:val="24"/>
          <w:highlight w:val="none"/>
        </w:rPr>
      </w:pPr>
    </w:p>
    <w:p w14:paraId="425BFAB2">
      <w:pPr>
        <w:spacing w:line="360" w:lineRule="auto"/>
        <w:ind w:firstLine="2183" w:firstLineChars="906"/>
        <w:rPr>
          <w:rFonts w:ascii="宋体" w:hAnsi="宋体" w:cs="宋体"/>
          <w:b/>
          <w:color w:val="auto"/>
          <w:sz w:val="24"/>
          <w:szCs w:val="24"/>
          <w:highlight w:val="none"/>
        </w:rPr>
      </w:pPr>
    </w:p>
    <w:p w14:paraId="313CE619">
      <w:pPr>
        <w:spacing w:line="360" w:lineRule="auto"/>
        <w:ind w:firstLine="2183" w:firstLineChars="906"/>
        <w:rPr>
          <w:rFonts w:ascii="宋体" w:hAnsi="宋体" w:cs="宋体"/>
          <w:b/>
          <w:color w:val="auto"/>
          <w:sz w:val="24"/>
          <w:szCs w:val="24"/>
          <w:highlight w:val="none"/>
        </w:rPr>
      </w:pPr>
    </w:p>
    <w:p w14:paraId="16135958">
      <w:pPr>
        <w:spacing w:line="360" w:lineRule="auto"/>
        <w:ind w:firstLine="2183" w:firstLineChars="906"/>
        <w:rPr>
          <w:rFonts w:ascii="宋体" w:hAnsi="宋体" w:cs="宋体"/>
          <w:b/>
          <w:color w:val="auto"/>
          <w:sz w:val="24"/>
          <w:szCs w:val="24"/>
          <w:highlight w:val="none"/>
        </w:rPr>
      </w:pPr>
    </w:p>
    <w:p w14:paraId="44EBAB8B">
      <w:pPr>
        <w:spacing w:line="360" w:lineRule="auto"/>
        <w:ind w:firstLine="2183" w:firstLineChars="906"/>
        <w:rPr>
          <w:rFonts w:ascii="宋体" w:hAnsi="宋体" w:cs="宋体"/>
          <w:b/>
          <w:color w:val="auto"/>
          <w:sz w:val="24"/>
          <w:szCs w:val="24"/>
          <w:highlight w:val="none"/>
        </w:rPr>
      </w:pPr>
    </w:p>
    <w:p w14:paraId="199F5EF2">
      <w:pPr>
        <w:spacing w:line="360" w:lineRule="auto"/>
        <w:rPr>
          <w:rFonts w:ascii="宋体" w:hAnsi="宋体" w:cs="宋体"/>
          <w:b/>
          <w:color w:val="auto"/>
          <w:sz w:val="24"/>
          <w:szCs w:val="24"/>
          <w:highlight w:val="none"/>
        </w:rPr>
      </w:pPr>
    </w:p>
    <w:p w14:paraId="3158ABF3">
      <w:pPr>
        <w:spacing w:line="360" w:lineRule="auto"/>
        <w:ind w:firstLine="2183" w:firstLineChars="906"/>
        <w:rPr>
          <w:rFonts w:ascii="宋体" w:hAnsi="宋体" w:cs="宋体"/>
          <w:b/>
          <w:color w:val="auto"/>
          <w:sz w:val="24"/>
          <w:szCs w:val="24"/>
          <w:highlight w:val="none"/>
        </w:rPr>
      </w:pPr>
    </w:p>
    <w:p w14:paraId="07134762">
      <w:pPr>
        <w:spacing w:line="360" w:lineRule="auto"/>
        <w:ind w:firstLine="2183" w:firstLineChars="906"/>
        <w:rPr>
          <w:rFonts w:ascii="宋体" w:hAnsi="宋体" w:cs="宋体"/>
          <w:b/>
          <w:color w:val="auto"/>
          <w:sz w:val="24"/>
          <w:szCs w:val="24"/>
          <w:highlight w:val="none"/>
        </w:rPr>
      </w:pPr>
    </w:p>
    <w:p w14:paraId="326E8043">
      <w:pPr>
        <w:spacing w:line="360" w:lineRule="auto"/>
        <w:jc w:val="center"/>
        <w:rPr>
          <w:rFonts w:ascii="宋体" w:hAnsi="宋体" w:cs="宋体"/>
          <w:b/>
          <w:color w:val="auto"/>
          <w:sz w:val="24"/>
          <w:szCs w:val="24"/>
          <w:highlight w:val="none"/>
        </w:rPr>
      </w:pPr>
    </w:p>
    <w:p w14:paraId="5A9F7E4F">
      <w:pPr>
        <w:spacing w:line="360" w:lineRule="auto"/>
        <w:jc w:val="center"/>
        <w:rPr>
          <w:rFonts w:ascii="宋体" w:hAnsi="宋体" w:cs="宋体"/>
          <w:b/>
          <w:color w:val="auto"/>
          <w:sz w:val="32"/>
          <w:szCs w:val="32"/>
          <w:highlight w:val="none"/>
        </w:rPr>
      </w:pPr>
    </w:p>
    <w:p w14:paraId="7EB5E6FD">
      <w:pPr>
        <w:spacing w:line="360" w:lineRule="auto"/>
        <w:jc w:val="center"/>
        <w:rPr>
          <w:rFonts w:ascii="宋体" w:hAnsi="宋体" w:cs="宋体"/>
          <w:b/>
          <w:color w:val="auto"/>
          <w:sz w:val="32"/>
          <w:szCs w:val="32"/>
          <w:highlight w:val="none"/>
        </w:rPr>
      </w:pPr>
    </w:p>
    <w:p w14:paraId="5B1DF7CA">
      <w:pPr>
        <w:spacing w:line="360" w:lineRule="auto"/>
        <w:jc w:val="center"/>
        <w:rPr>
          <w:rFonts w:ascii="宋体" w:hAnsi="宋体" w:cs="宋体"/>
          <w:b/>
          <w:color w:val="auto"/>
          <w:sz w:val="32"/>
          <w:szCs w:val="32"/>
          <w:highlight w:val="none"/>
        </w:rPr>
      </w:pPr>
    </w:p>
    <w:p w14:paraId="26639740">
      <w:pPr>
        <w:spacing w:line="360" w:lineRule="auto"/>
        <w:jc w:val="center"/>
        <w:rPr>
          <w:rFonts w:ascii="宋体" w:hAnsi="宋体" w:cs="宋体"/>
          <w:b/>
          <w:color w:val="auto"/>
          <w:sz w:val="32"/>
          <w:szCs w:val="32"/>
          <w:highlight w:val="none"/>
        </w:rPr>
      </w:pPr>
    </w:p>
    <w:p w14:paraId="3ADF08F3">
      <w:pPr>
        <w:spacing w:line="360" w:lineRule="auto"/>
        <w:jc w:val="center"/>
        <w:rPr>
          <w:rFonts w:ascii="宋体" w:hAnsi="宋体" w:cs="宋体"/>
          <w:b/>
          <w:color w:val="auto"/>
          <w:sz w:val="24"/>
          <w:szCs w:val="24"/>
          <w:highlight w:val="none"/>
        </w:rPr>
      </w:pPr>
      <w:r>
        <w:rPr>
          <w:rFonts w:hint="eastAsia" w:ascii="宋体" w:hAnsi="宋体" w:cs="宋体"/>
          <w:b/>
          <w:color w:val="auto"/>
          <w:sz w:val="32"/>
          <w:szCs w:val="32"/>
          <w:highlight w:val="none"/>
        </w:rPr>
        <w:t>磋商响应声明函</w:t>
      </w:r>
    </w:p>
    <w:p w14:paraId="48C5249A">
      <w:pPr>
        <w:spacing w:line="360" w:lineRule="auto"/>
        <w:rPr>
          <w:rFonts w:ascii="宋体" w:hAnsi="宋体" w:cs="宋体"/>
          <w:color w:val="auto"/>
          <w:sz w:val="24"/>
          <w:szCs w:val="24"/>
          <w:highlight w:val="none"/>
        </w:rPr>
      </w:pPr>
    </w:p>
    <w:p w14:paraId="014BD7E8">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厦门万翔招标有限公司：</w:t>
      </w:r>
    </w:p>
    <w:p w14:paraId="28E00BC9">
      <w:pPr>
        <w:pStyle w:val="6"/>
        <w:spacing w:after="0" w:line="360" w:lineRule="auto"/>
        <w:ind w:firstLine="578"/>
        <w:rPr>
          <w:rFonts w:ascii="宋体" w:hAnsi="宋体" w:cs="宋体"/>
          <w:bCs/>
          <w:color w:val="auto"/>
          <w:sz w:val="24"/>
          <w:highlight w:val="none"/>
        </w:rPr>
      </w:pPr>
      <w:r>
        <w:rPr>
          <w:rFonts w:hint="eastAsia" w:ascii="宋体" w:hAnsi="宋体" w:cs="宋体"/>
          <w:bCs/>
          <w:color w:val="auto"/>
          <w:sz w:val="24"/>
          <w:highlight w:val="none"/>
        </w:rPr>
        <w:t>根据贵方为</w:t>
      </w:r>
      <w:r>
        <w:rPr>
          <w:rFonts w:hint="eastAsia" w:ascii="宋体" w:hAnsi="宋体" w:cs="宋体"/>
          <w:bCs/>
          <w:color w:val="auto"/>
          <w:sz w:val="24"/>
          <w:highlight w:val="none"/>
          <w:u w:val="single"/>
        </w:rPr>
        <w:t>　　　　　　　　　</w:t>
      </w:r>
      <w:r>
        <w:rPr>
          <w:rFonts w:hint="eastAsia" w:ascii="宋体" w:hAnsi="宋体" w:cs="宋体"/>
          <w:bCs/>
          <w:color w:val="auto"/>
          <w:sz w:val="24"/>
          <w:highlight w:val="none"/>
        </w:rPr>
        <w:t>项目采购文件的磋商邀请，本签字代表</w:t>
      </w:r>
      <w:r>
        <w:rPr>
          <w:rFonts w:hint="eastAsia" w:ascii="宋体" w:hAnsi="宋体" w:cs="宋体"/>
          <w:bCs/>
          <w:color w:val="auto"/>
          <w:sz w:val="24"/>
          <w:highlight w:val="none"/>
          <w:u w:val="single"/>
        </w:rPr>
        <w:t>　　　　　（全名、职务）</w:t>
      </w:r>
      <w:r>
        <w:rPr>
          <w:rFonts w:hint="eastAsia" w:ascii="宋体" w:hAnsi="宋体" w:cs="宋体"/>
          <w:bCs/>
          <w:color w:val="auto"/>
          <w:sz w:val="24"/>
          <w:highlight w:val="none"/>
        </w:rPr>
        <w:t>经正式授权并代表报价人</w:t>
      </w:r>
      <w:r>
        <w:rPr>
          <w:rFonts w:hint="eastAsia" w:ascii="宋体" w:hAnsi="宋体" w:cs="宋体"/>
          <w:bCs/>
          <w:color w:val="auto"/>
          <w:sz w:val="24"/>
          <w:highlight w:val="none"/>
          <w:u w:val="single"/>
        </w:rPr>
        <w:t>　　　　　　　　　　（全称、地址）</w:t>
      </w:r>
      <w:r>
        <w:rPr>
          <w:rFonts w:hint="eastAsia" w:ascii="宋体" w:hAnsi="宋体" w:cs="宋体"/>
          <w:bCs/>
          <w:color w:val="auto"/>
          <w:sz w:val="24"/>
          <w:highlight w:val="none"/>
        </w:rPr>
        <w:t>提交下述文件正本一份和副本</w:t>
      </w:r>
      <w:r>
        <w:rPr>
          <w:rFonts w:hint="eastAsia" w:ascii="宋体" w:hAnsi="宋体" w:cs="宋体"/>
          <w:bCs/>
          <w:color w:val="auto"/>
          <w:sz w:val="24"/>
          <w:highlight w:val="none"/>
          <w:u w:val="single"/>
        </w:rPr>
        <w:t>四</w:t>
      </w:r>
      <w:r>
        <w:rPr>
          <w:rFonts w:hint="eastAsia" w:ascii="宋体" w:hAnsi="宋体" w:cs="宋体"/>
          <w:bCs/>
          <w:color w:val="auto"/>
          <w:sz w:val="24"/>
          <w:highlight w:val="none"/>
        </w:rPr>
        <w:t>份。</w:t>
      </w:r>
    </w:p>
    <w:p w14:paraId="6B6E5012">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1.报价一览表</w:t>
      </w:r>
    </w:p>
    <w:p w14:paraId="47AD8C32">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2.</w:t>
      </w:r>
      <w:r>
        <w:rPr>
          <w:rFonts w:hint="eastAsia" w:ascii="宋体" w:hAnsi="宋体" w:cs="宋体"/>
          <w:color w:val="auto"/>
          <w:sz w:val="24"/>
          <w:szCs w:val="24"/>
          <w:highlight w:val="none"/>
        </w:rPr>
        <w:t xml:space="preserve"> 工程量清单报价表</w:t>
      </w:r>
    </w:p>
    <w:p w14:paraId="49D008CC">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3.工程说明一览表</w:t>
      </w:r>
    </w:p>
    <w:p w14:paraId="357378D3">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4.</w:t>
      </w:r>
      <w:r>
        <w:rPr>
          <w:rFonts w:hint="eastAsia" w:ascii="宋体" w:hAnsi="宋体" w:cs="宋体"/>
          <w:color w:val="auto"/>
          <w:sz w:val="24"/>
          <w:szCs w:val="24"/>
          <w:highlight w:val="none"/>
        </w:rPr>
        <w:t>项目管理机构配备情况</w:t>
      </w:r>
    </w:p>
    <w:p w14:paraId="2C3F7936">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5.技术规格和商务偏离表</w:t>
      </w:r>
    </w:p>
    <w:p w14:paraId="364BF615">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6.报价人资格证明文件</w:t>
      </w:r>
    </w:p>
    <w:p w14:paraId="47C3DCB0">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7.</w:t>
      </w:r>
      <w:r>
        <w:rPr>
          <w:rFonts w:hint="eastAsia" w:ascii="宋体" w:hAnsi="宋体" w:cs="宋体"/>
          <w:color w:val="auto"/>
          <w:sz w:val="24"/>
          <w:szCs w:val="24"/>
          <w:highlight w:val="none"/>
        </w:rPr>
        <w:t>代理服务费承诺书</w:t>
      </w:r>
    </w:p>
    <w:p w14:paraId="7030671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8.以 方式提供的金额为人民币元的磋商保证金。</w:t>
      </w:r>
    </w:p>
    <w:p w14:paraId="23EBF7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据此函，签字代表宣布同意如下：</w:t>
      </w:r>
    </w:p>
    <w:p w14:paraId="4147CE8D">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w:t>
      </w:r>
      <w:r>
        <w:rPr>
          <w:rFonts w:hint="eastAsia" w:ascii="宋体" w:hAnsi="宋体" w:cs="宋体"/>
          <w:color w:val="auto"/>
          <w:sz w:val="24"/>
          <w:szCs w:val="24"/>
          <w:highlight w:val="none"/>
        </w:rPr>
        <w:t>所附详细报价表中规定的应提供和交付的工程报价总价为人民币 ，即 （中文表述）。</w:t>
      </w:r>
    </w:p>
    <w:p w14:paraId="0DE886F5">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（2）报价人已详细审查全部采购文件，包括修改文件（如有的话）以及全部参考资料和有关附件，将自行承担因对全部采购文件理解不正确或误解而产生的相应后果。</w:t>
      </w:r>
    </w:p>
    <w:p w14:paraId="548EFAD7">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（3）报价人将按采购文件的规定履行合同责任和义务;在被确定为</w:t>
      </w:r>
      <w:r>
        <w:rPr>
          <w:rFonts w:hint="eastAsia" w:ascii="宋体" w:hAnsi="宋体" w:cs="宋体"/>
          <w:color w:val="auto"/>
          <w:sz w:val="24"/>
          <w:szCs w:val="24"/>
          <w:highlight w:val="none"/>
        </w:rPr>
        <w:t>成交供应商</w:t>
      </w:r>
      <w:r>
        <w:rPr>
          <w:rFonts w:hint="eastAsia" w:ascii="宋体" w:hAnsi="宋体" w:cs="宋体"/>
          <w:bCs/>
          <w:color w:val="auto"/>
          <w:sz w:val="24"/>
          <w:szCs w:val="24"/>
          <w:highlight w:val="none"/>
        </w:rPr>
        <w:t>后即向贵司缴纳代理服务费，并以贵司发出的成交通知书上规定的时间内签订采购合同。</w:t>
      </w:r>
    </w:p>
    <w:p w14:paraId="7FE7F69F">
      <w:pPr>
        <w:spacing w:line="360" w:lineRule="auto"/>
        <w:ind w:firstLine="480" w:firstLineChars="200"/>
        <w:rPr>
          <w:rFonts w:ascii="宋体" w:hAnsi="宋体" w:cs="宋体"/>
          <w:bCs/>
          <w:color w:val="auto"/>
          <w:sz w:val="24"/>
          <w:szCs w:val="24"/>
          <w:highlight w:val="none"/>
        </w:rPr>
      </w:pPr>
      <w:bookmarkStart w:id="225" w:name="_Toc5445"/>
      <w:r>
        <w:rPr>
          <w:rFonts w:hint="eastAsia" w:ascii="宋体" w:hAnsi="宋体" w:cs="宋体"/>
          <w:bCs/>
          <w:color w:val="auto"/>
          <w:sz w:val="24"/>
          <w:szCs w:val="24"/>
          <w:highlight w:val="none"/>
        </w:rPr>
        <w:t>（4）</w:t>
      </w:r>
      <w:r>
        <w:rPr>
          <w:rFonts w:hint="eastAsia" w:ascii="宋体" w:hAnsi="宋体" w:cs="宋体"/>
          <w:color w:val="auto"/>
          <w:sz w:val="24"/>
          <w:szCs w:val="24"/>
          <w:highlight w:val="none"/>
        </w:rPr>
        <w:t>报价人将按采购文件的规定履行合同责任和义务。</w:t>
      </w:r>
      <w:bookmarkEnd w:id="225"/>
    </w:p>
    <w:p w14:paraId="6379F30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（5）本报价文件报价有效期：在采购文件报价人须知前附表所规定的期限内保持有效。</w:t>
      </w:r>
    </w:p>
    <w:p w14:paraId="610057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（6）如果发生采购文件第二章报价人须知第12条所述情况，则同意采购代理机构不予退还磋商保证金。</w:t>
      </w:r>
    </w:p>
    <w:p w14:paraId="2A4014E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（7）报价人同意按照采购单位要求提供与其磋商响应有关的一切数据或资料，完全理解贵方不一定要接受最低的报价或收到的任何磋商响应。</w:t>
      </w:r>
    </w:p>
    <w:p w14:paraId="731BF25F">
      <w:pPr>
        <w:spacing w:line="360" w:lineRule="auto"/>
        <w:ind w:firstLine="600" w:firstLineChars="250"/>
        <w:rPr>
          <w:rFonts w:ascii="宋体" w:hAnsi="宋体" w:cs="宋体"/>
          <w:bCs/>
          <w:color w:val="auto"/>
          <w:sz w:val="24"/>
          <w:szCs w:val="24"/>
          <w:highlight w:val="none"/>
        </w:rPr>
      </w:pPr>
      <w:bookmarkStart w:id="226" w:name="_Toc5352"/>
      <w:r>
        <w:rPr>
          <w:rFonts w:hint="eastAsia" w:ascii="宋体" w:hAnsi="宋体" w:cs="宋体"/>
          <w:color w:val="auto"/>
          <w:sz w:val="24"/>
          <w:szCs w:val="24"/>
          <w:highlight w:val="none"/>
        </w:rPr>
        <w:t>9. 与本磋商响应有关的一切正式往来通讯请寄：</w:t>
      </w:r>
      <w:bookmarkEnd w:id="226"/>
    </w:p>
    <w:p w14:paraId="604EE4EB">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地址：</w:t>
      </w:r>
      <w:r>
        <w:rPr>
          <w:rFonts w:hint="eastAsia" w:ascii="宋体" w:hAnsi="宋体" w:cs="宋体"/>
          <w:bCs/>
          <w:color w:val="auto"/>
          <w:sz w:val="24"/>
          <w:szCs w:val="24"/>
          <w:highlight w:val="none"/>
          <w:u w:val="single"/>
        </w:rPr>
        <w:t>　　　　　　　</w:t>
      </w:r>
      <w:r>
        <w:rPr>
          <w:rFonts w:hint="eastAsia" w:ascii="宋体" w:hAnsi="宋体" w:cs="宋体"/>
          <w:bCs/>
          <w:color w:val="auto"/>
          <w:sz w:val="24"/>
          <w:szCs w:val="24"/>
          <w:highlight w:val="none"/>
        </w:rPr>
        <w:t>邮编：</w:t>
      </w:r>
      <w:r>
        <w:rPr>
          <w:rFonts w:hint="eastAsia" w:ascii="宋体" w:hAnsi="宋体" w:cs="宋体"/>
          <w:bCs/>
          <w:color w:val="auto"/>
          <w:sz w:val="24"/>
          <w:szCs w:val="24"/>
          <w:highlight w:val="none"/>
          <w:u w:val="single"/>
        </w:rPr>
        <w:t>　　　　　　</w:t>
      </w:r>
    </w:p>
    <w:p w14:paraId="2AA00C3E">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电话：</w:t>
      </w:r>
      <w:r>
        <w:rPr>
          <w:rFonts w:hint="eastAsia" w:ascii="宋体" w:hAnsi="宋体" w:cs="宋体"/>
          <w:bCs/>
          <w:color w:val="auto"/>
          <w:sz w:val="24"/>
          <w:szCs w:val="24"/>
          <w:highlight w:val="none"/>
          <w:u w:val="single"/>
        </w:rPr>
        <w:t>　　　　　　　</w:t>
      </w:r>
      <w:r>
        <w:rPr>
          <w:rFonts w:hint="eastAsia" w:ascii="宋体" w:hAnsi="宋体" w:cs="宋体"/>
          <w:bCs/>
          <w:color w:val="auto"/>
          <w:sz w:val="24"/>
          <w:szCs w:val="24"/>
          <w:highlight w:val="none"/>
        </w:rPr>
        <w:t>传真：</w:t>
      </w:r>
      <w:r>
        <w:rPr>
          <w:rFonts w:hint="eastAsia" w:ascii="宋体" w:hAnsi="宋体" w:cs="宋体"/>
          <w:bCs/>
          <w:color w:val="auto"/>
          <w:sz w:val="24"/>
          <w:szCs w:val="24"/>
          <w:highlight w:val="none"/>
          <w:u w:val="single"/>
        </w:rPr>
        <w:t>　　　　　　</w:t>
      </w:r>
    </w:p>
    <w:p w14:paraId="107377B7">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电子信箱：</w:t>
      </w:r>
      <w:r>
        <w:rPr>
          <w:rFonts w:hint="eastAsia" w:ascii="宋体" w:hAnsi="宋体" w:cs="宋体"/>
          <w:bCs/>
          <w:color w:val="auto"/>
          <w:sz w:val="24"/>
          <w:szCs w:val="24"/>
          <w:highlight w:val="none"/>
          <w:u w:val="single"/>
        </w:rPr>
        <w:t>　　　　　　　　　　　　　　</w:t>
      </w:r>
    </w:p>
    <w:p w14:paraId="4642A4BB">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报价人代表签字：</w:t>
      </w:r>
      <w:r>
        <w:rPr>
          <w:rFonts w:hint="eastAsia" w:ascii="宋体" w:hAnsi="宋体" w:cs="宋体"/>
          <w:bCs/>
          <w:color w:val="auto"/>
          <w:sz w:val="24"/>
          <w:szCs w:val="24"/>
          <w:highlight w:val="none"/>
          <w:u w:val="single"/>
        </w:rPr>
        <w:t>　　　　　　　　　　　　</w:t>
      </w:r>
    </w:p>
    <w:p w14:paraId="57F44AB9">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报价人名称（全称并加盖公章）：</w:t>
      </w:r>
      <w:r>
        <w:rPr>
          <w:rFonts w:hint="eastAsia" w:ascii="宋体" w:hAnsi="宋体" w:cs="宋体"/>
          <w:bCs/>
          <w:color w:val="auto"/>
          <w:sz w:val="24"/>
          <w:szCs w:val="24"/>
          <w:highlight w:val="none"/>
          <w:u w:val="single"/>
        </w:rPr>
        <w:t>　　　　　　　　　　　　　</w:t>
      </w:r>
    </w:p>
    <w:p w14:paraId="05AF22B8">
      <w:pPr>
        <w:spacing w:line="360" w:lineRule="auto"/>
        <w:ind w:firstLine="3720" w:firstLineChars="1550"/>
        <w:rPr>
          <w:rFonts w:ascii="宋体" w:hAnsi="宋体" w:cs="宋体"/>
          <w:bCs/>
          <w:color w:val="auto"/>
          <w:sz w:val="24"/>
          <w:szCs w:val="24"/>
          <w:highlight w:val="none"/>
          <w:u w:val="single"/>
        </w:rPr>
      </w:pPr>
      <w:r>
        <w:rPr>
          <w:rFonts w:hint="eastAsia" w:ascii="宋体" w:hAnsi="宋体" w:cs="宋体"/>
          <w:bCs/>
          <w:color w:val="auto"/>
          <w:sz w:val="24"/>
          <w:szCs w:val="24"/>
          <w:highlight w:val="none"/>
        </w:rPr>
        <w:t>日      期：</w:t>
      </w:r>
      <w:r>
        <w:rPr>
          <w:rFonts w:hint="eastAsia" w:ascii="宋体" w:hAnsi="宋体" w:cs="宋体"/>
          <w:bCs/>
          <w:color w:val="auto"/>
          <w:sz w:val="24"/>
          <w:szCs w:val="24"/>
          <w:highlight w:val="none"/>
          <w:u w:val="single"/>
        </w:rPr>
        <w:t>　　年　　月　　日</w:t>
      </w:r>
    </w:p>
    <w:p w14:paraId="58F8C99B">
      <w:pPr>
        <w:spacing w:line="360" w:lineRule="auto"/>
        <w:rPr>
          <w:rFonts w:ascii="宋体" w:hAnsi="宋体" w:cs="宋体"/>
          <w:bCs/>
          <w:color w:val="auto"/>
          <w:sz w:val="24"/>
          <w:szCs w:val="24"/>
          <w:highlight w:val="none"/>
          <w:u w:val="single"/>
        </w:rPr>
      </w:pPr>
    </w:p>
    <w:p w14:paraId="56A1D457">
      <w:pPr>
        <w:spacing w:line="360" w:lineRule="auto"/>
        <w:rPr>
          <w:rFonts w:ascii="宋体" w:hAnsi="宋体" w:cs="宋体"/>
          <w:bCs/>
          <w:color w:val="auto"/>
          <w:sz w:val="24"/>
          <w:szCs w:val="24"/>
          <w:highlight w:val="none"/>
          <w:u w:val="single"/>
        </w:rPr>
      </w:pPr>
    </w:p>
    <w:p w14:paraId="3169E948">
      <w:pPr>
        <w:spacing w:line="360" w:lineRule="auto"/>
        <w:rPr>
          <w:rFonts w:ascii="宋体" w:hAnsi="宋体" w:cs="宋体"/>
          <w:b/>
          <w:color w:val="auto"/>
          <w:sz w:val="24"/>
          <w:szCs w:val="24"/>
          <w:highlight w:val="none"/>
        </w:rPr>
      </w:pPr>
    </w:p>
    <w:p w14:paraId="171CC66F">
      <w:pPr>
        <w:spacing w:line="360" w:lineRule="auto"/>
        <w:rPr>
          <w:rFonts w:ascii="宋体" w:hAnsi="宋体" w:cs="宋体"/>
          <w:b/>
          <w:color w:val="auto"/>
          <w:sz w:val="24"/>
          <w:szCs w:val="24"/>
          <w:highlight w:val="none"/>
        </w:rPr>
      </w:pPr>
    </w:p>
    <w:p w14:paraId="4EFC839C">
      <w:pPr>
        <w:spacing w:line="360" w:lineRule="auto"/>
        <w:rPr>
          <w:rFonts w:ascii="宋体" w:hAnsi="宋体" w:cs="宋体"/>
          <w:b/>
          <w:color w:val="auto"/>
          <w:sz w:val="24"/>
          <w:szCs w:val="24"/>
          <w:highlight w:val="none"/>
        </w:rPr>
      </w:pPr>
    </w:p>
    <w:p w14:paraId="25D4B2A3">
      <w:pPr>
        <w:spacing w:line="360" w:lineRule="auto"/>
        <w:rPr>
          <w:rFonts w:ascii="宋体" w:hAnsi="宋体" w:cs="宋体"/>
          <w:b/>
          <w:color w:val="auto"/>
          <w:sz w:val="24"/>
          <w:szCs w:val="24"/>
          <w:highlight w:val="none"/>
        </w:rPr>
      </w:pPr>
    </w:p>
    <w:p w14:paraId="68F13F43">
      <w:pPr>
        <w:spacing w:line="360" w:lineRule="auto"/>
        <w:rPr>
          <w:rFonts w:ascii="宋体" w:hAnsi="宋体" w:cs="宋体"/>
          <w:b/>
          <w:color w:val="auto"/>
          <w:sz w:val="24"/>
          <w:szCs w:val="24"/>
          <w:highlight w:val="none"/>
        </w:rPr>
      </w:pPr>
    </w:p>
    <w:p w14:paraId="340FDF27">
      <w:pPr>
        <w:pStyle w:val="23"/>
        <w:spacing w:line="360" w:lineRule="auto"/>
        <w:jc w:val="left"/>
        <w:outlineLvl w:val="9"/>
        <w:rPr>
          <w:rFonts w:hAnsi="宋体" w:cs="宋体"/>
          <w:color w:val="auto"/>
          <w:sz w:val="24"/>
          <w:szCs w:val="24"/>
          <w:highlight w:val="none"/>
        </w:rPr>
        <w:sectPr>
          <w:pgSz w:w="11906" w:h="16838"/>
          <w:pgMar w:top="1440" w:right="1797" w:bottom="1440" w:left="1797" w:header="851" w:footer="992" w:gutter="0"/>
          <w:cols w:space="720" w:num="1"/>
          <w:docGrid w:linePitch="312" w:charSpace="0"/>
        </w:sectPr>
      </w:pPr>
    </w:p>
    <w:p w14:paraId="774AED01">
      <w:pPr>
        <w:pStyle w:val="23"/>
        <w:spacing w:line="360" w:lineRule="auto"/>
        <w:jc w:val="center"/>
        <w:outlineLvl w:val="9"/>
        <w:rPr>
          <w:rFonts w:hAnsi="宋体" w:cs="宋体"/>
          <w:b/>
          <w:color w:val="auto"/>
          <w:sz w:val="24"/>
          <w:szCs w:val="24"/>
          <w:highlight w:val="none"/>
        </w:rPr>
      </w:pPr>
      <w:bookmarkStart w:id="227" w:name="_Toc5438"/>
      <w:bookmarkStart w:id="228" w:name="_Toc2006073716"/>
      <w:r>
        <w:rPr>
          <w:rFonts w:hint="eastAsia" w:hAnsi="宋体" w:cs="宋体"/>
          <w:b/>
          <w:color w:val="auto"/>
          <w:sz w:val="32"/>
          <w:szCs w:val="32"/>
          <w:highlight w:val="none"/>
        </w:rPr>
        <w:t>报价一览表</w:t>
      </w:r>
      <w:bookmarkEnd w:id="227"/>
      <w:bookmarkEnd w:id="228"/>
    </w:p>
    <w:p w14:paraId="715C914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报价人（全称并加盖公章）：                采购项目编号∶                  货币单位：</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889"/>
        <w:gridCol w:w="993"/>
        <w:gridCol w:w="1559"/>
        <w:gridCol w:w="1701"/>
        <w:gridCol w:w="1701"/>
        <w:gridCol w:w="1701"/>
        <w:gridCol w:w="1984"/>
      </w:tblGrid>
      <w:tr w14:paraId="6178D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4568E55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合同包</w:t>
            </w:r>
          </w:p>
        </w:tc>
        <w:tc>
          <w:tcPr>
            <w:tcW w:w="2889" w:type="dxa"/>
            <w:tcBorders>
              <w:top w:val="single" w:color="auto" w:sz="4" w:space="0"/>
              <w:left w:val="single" w:color="auto" w:sz="4" w:space="0"/>
              <w:bottom w:val="single" w:color="auto" w:sz="4" w:space="0"/>
              <w:right w:val="single" w:color="auto" w:sz="4" w:space="0"/>
            </w:tcBorders>
            <w:noWrap/>
            <w:vAlign w:val="center"/>
          </w:tcPr>
          <w:p w14:paraId="1A79903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工程名称</w:t>
            </w:r>
          </w:p>
        </w:tc>
        <w:tc>
          <w:tcPr>
            <w:tcW w:w="993" w:type="dxa"/>
            <w:tcBorders>
              <w:top w:val="single" w:color="auto" w:sz="4" w:space="0"/>
              <w:left w:val="single" w:color="auto" w:sz="4" w:space="0"/>
              <w:bottom w:val="single" w:color="auto" w:sz="4" w:space="0"/>
              <w:right w:val="single" w:color="auto" w:sz="4" w:space="0"/>
            </w:tcBorders>
            <w:noWrap/>
            <w:vAlign w:val="center"/>
          </w:tcPr>
          <w:p w14:paraId="2A3A5FB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数量</w:t>
            </w:r>
          </w:p>
        </w:tc>
        <w:tc>
          <w:tcPr>
            <w:tcW w:w="1559" w:type="dxa"/>
            <w:tcBorders>
              <w:top w:val="single" w:color="auto" w:sz="4" w:space="0"/>
              <w:left w:val="single" w:color="auto" w:sz="4" w:space="0"/>
              <w:bottom w:val="single" w:color="auto" w:sz="4" w:space="0"/>
              <w:right w:val="single" w:color="auto" w:sz="4" w:space="0"/>
            </w:tcBorders>
            <w:noWrap/>
            <w:vAlign w:val="center"/>
          </w:tcPr>
          <w:p w14:paraId="0A80E56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工程报价</w:t>
            </w:r>
          </w:p>
        </w:tc>
        <w:tc>
          <w:tcPr>
            <w:tcW w:w="1701" w:type="dxa"/>
            <w:tcBorders>
              <w:top w:val="single" w:color="auto" w:sz="4" w:space="0"/>
              <w:left w:val="single" w:color="auto" w:sz="4" w:space="0"/>
              <w:bottom w:val="single" w:color="auto" w:sz="4" w:space="0"/>
              <w:right w:val="single" w:color="auto" w:sz="4" w:space="0"/>
            </w:tcBorders>
            <w:noWrap/>
            <w:vAlign w:val="center"/>
          </w:tcPr>
          <w:p w14:paraId="7C2ACA7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施工工期</w:t>
            </w:r>
          </w:p>
        </w:tc>
        <w:tc>
          <w:tcPr>
            <w:tcW w:w="1701" w:type="dxa"/>
            <w:tcBorders>
              <w:top w:val="single" w:color="auto" w:sz="4" w:space="0"/>
              <w:left w:val="single" w:color="auto" w:sz="4" w:space="0"/>
              <w:bottom w:val="single" w:color="auto" w:sz="4" w:space="0"/>
              <w:right w:val="single" w:color="auto" w:sz="4" w:space="0"/>
            </w:tcBorders>
            <w:noWrap/>
            <w:vAlign w:val="center"/>
          </w:tcPr>
          <w:p w14:paraId="5FBF692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磋商保证金</w:t>
            </w:r>
          </w:p>
        </w:tc>
        <w:tc>
          <w:tcPr>
            <w:tcW w:w="1701" w:type="dxa"/>
            <w:tcBorders>
              <w:top w:val="single" w:color="auto" w:sz="4" w:space="0"/>
              <w:left w:val="single" w:color="auto" w:sz="4" w:space="0"/>
              <w:bottom w:val="single" w:color="auto" w:sz="4" w:space="0"/>
              <w:right w:val="single" w:color="auto" w:sz="4" w:space="0"/>
            </w:tcBorders>
            <w:noWrap/>
          </w:tcPr>
          <w:p w14:paraId="705FA9CA">
            <w:pPr>
              <w:spacing w:line="360" w:lineRule="auto"/>
              <w:jc w:val="center"/>
              <w:rPr>
                <w:rFonts w:ascii="宋体" w:hAnsi="宋体" w:cs="宋体"/>
                <w:color w:val="auto"/>
                <w:sz w:val="24"/>
                <w:szCs w:val="24"/>
                <w:highlight w:val="none"/>
              </w:rPr>
            </w:pPr>
          </w:p>
          <w:p w14:paraId="2BE8442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质量等级</w:t>
            </w:r>
          </w:p>
        </w:tc>
        <w:tc>
          <w:tcPr>
            <w:tcW w:w="1984" w:type="dxa"/>
            <w:tcBorders>
              <w:top w:val="single" w:color="auto" w:sz="4" w:space="0"/>
              <w:left w:val="single" w:color="auto" w:sz="4" w:space="0"/>
              <w:bottom w:val="single" w:color="auto" w:sz="4" w:space="0"/>
              <w:right w:val="single" w:color="auto" w:sz="4" w:space="0"/>
            </w:tcBorders>
            <w:noWrap/>
            <w:vAlign w:val="center"/>
          </w:tcPr>
          <w:p w14:paraId="1B00210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14:paraId="29345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2558DD7D">
            <w:pPr>
              <w:spacing w:line="360" w:lineRule="auto"/>
              <w:rPr>
                <w:rFonts w:ascii="宋体" w:hAnsi="宋体" w:cs="宋体"/>
                <w:color w:val="auto"/>
                <w:sz w:val="24"/>
                <w:szCs w:val="24"/>
                <w:highlight w:val="none"/>
              </w:rPr>
            </w:pPr>
          </w:p>
        </w:tc>
        <w:tc>
          <w:tcPr>
            <w:tcW w:w="2889" w:type="dxa"/>
            <w:tcBorders>
              <w:top w:val="single" w:color="auto" w:sz="4" w:space="0"/>
              <w:left w:val="single" w:color="auto" w:sz="4" w:space="0"/>
              <w:bottom w:val="single" w:color="auto" w:sz="4" w:space="0"/>
              <w:right w:val="single" w:color="auto" w:sz="4" w:space="0"/>
            </w:tcBorders>
            <w:noWrap/>
            <w:vAlign w:val="center"/>
          </w:tcPr>
          <w:p w14:paraId="6E9A5D21">
            <w:pPr>
              <w:spacing w:line="360" w:lineRule="auto"/>
              <w:rPr>
                <w:rFonts w:ascii="宋体" w:hAnsi="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1C06ECC8">
            <w:pPr>
              <w:spacing w:line="360" w:lineRule="auto"/>
              <w:rPr>
                <w:rFonts w:ascii="宋体" w:hAnsi="宋体" w:cs="宋体"/>
                <w:color w:val="auto"/>
                <w:sz w:val="24"/>
                <w:szCs w:val="24"/>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4CE18F58">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58ABBA6B">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0104D5AE">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tcPr>
          <w:p w14:paraId="03C61DFD">
            <w:pPr>
              <w:spacing w:line="360" w:lineRule="auto"/>
              <w:rPr>
                <w:rFonts w:ascii="宋体" w:hAnsi="宋体" w:cs="宋体"/>
                <w:color w:val="auto"/>
                <w:sz w:val="24"/>
                <w:szCs w:val="24"/>
                <w:highlight w:val="none"/>
              </w:rPr>
            </w:pPr>
          </w:p>
        </w:tc>
        <w:tc>
          <w:tcPr>
            <w:tcW w:w="1984" w:type="dxa"/>
            <w:tcBorders>
              <w:top w:val="single" w:color="auto" w:sz="4" w:space="0"/>
              <w:left w:val="single" w:color="auto" w:sz="4" w:space="0"/>
              <w:bottom w:val="single" w:color="auto" w:sz="4" w:space="0"/>
              <w:right w:val="single" w:color="auto" w:sz="4" w:space="0"/>
            </w:tcBorders>
            <w:noWrap/>
            <w:vAlign w:val="center"/>
          </w:tcPr>
          <w:p w14:paraId="557DD6B1">
            <w:pPr>
              <w:spacing w:line="360" w:lineRule="auto"/>
              <w:rPr>
                <w:rFonts w:ascii="宋体" w:hAnsi="宋体" w:cs="宋体"/>
                <w:color w:val="auto"/>
                <w:sz w:val="24"/>
                <w:szCs w:val="24"/>
                <w:highlight w:val="none"/>
              </w:rPr>
            </w:pPr>
          </w:p>
        </w:tc>
      </w:tr>
      <w:tr w14:paraId="19398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455CEC36">
            <w:pPr>
              <w:spacing w:line="360" w:lineRule="auto"/>
              <w:rPr>
                <w:rFonts w:ascii="宋体" w:hAnsi="宋体" w:cs="宋体"/>
                <w:color w:val="auto"/>
                <w:sz w:val="24"/>
                <w:szCs w:val="24"/>
                <w:highlight w:val="none"/>
              </w:rPr>
            </w:pPr>
          </w:p>
        </w:tc>
        <w:tc>
          <w:tcPr>
            <w:tcW w:w="2889" w:type="dxa"/>
            <w:tcBorders>
              <w:top w:val="single" w:color="auto" w:sz="4" w:space="0"/>
              <w:left w:val="single" w:color="auto" w:sz="4" w:space="0"/>
              <w:bottom w:val="single" w:color="auto" w:sz="4" w:space="0"/>
              <w:right w:val="single" w:color="auto" w:sz="4" w:space="0"/>
            </w:tcBorders>
            <w:noWrap/>
            <w:vAlign w:val="center"/>
          </w:tcPr>
          <w:p w14:paraId="163A4466">
            <w:pPr>
              <w:spacing w:line="360" w:lineRule="auto"/>
              <w:rPr>
                <w:rFonts w:ascii="宋体" w:hAnsi="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33402D9F">
            <w:pPr>
              <w:spacing w:line="360" w:lineRule="auto"/>
              <w:rPr>
                <w:rFonts w:ascii="宋体" w:hAnsi="宋体" w:cs="宋体"/>
                <w:color w:val="auto"/>
                <w:sz w:val="24"/>
                <w:szCs w:val="24"/>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1129DD2C">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620C78AA">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26F445A7">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tcPr>
          <w:p w14:paraId="408711ED">
            <w:pPr>
              <w:spacing w:line="360" w:lineRule="auto"/>
              <w:rPr>
                <w:rFonts w:ascii="宋体" w:hAnsi="宋体" w:cs="宋体"/>
                <w:color w:val="auto"/>
                <w:sz w:val="24"/>
                <w:szCs w:val="24"/>
                <w:highlight w:val="none"/>
              </w:rPr>
            </w:pPr>
          </w:p>
        </w:tc>
        <w:tc>
          <w:tcPr>
            <w:tcW w:w="1984" w:type="dxa"/>
            <w:tcBorders>
              <w:top w:val="single" w:color="auto" w:sz="4" w:space="0"/>
              <w:left w:val="single" w:color="auto" w:sz="4" w:space="0"/>
              <w:bottom w:val="single" w:color="auto" w:sz="4" w:space="0"/>
              <w:right w:val="single" w:color="auto" w:sz="4" w:space="0"/>
            </w:tcBorders>
            <w:noWrap/>
            <w:vAlign w:val="center"/>
          </w:tcPr>
          <w:p w14:paraId="086435E3">
            <w:pPr>
              <w:spacing w:line="360" w:lineRule="auto"/>
              <w:rPr>
                <w:rFonts w:ascii="宋体" w:hAnsi="宋体" w:cs="宋体"/>
                <w:color w:val="auto"/>
                <w:sz w:val="24"/>
                <w:szCs w:val="24"/>
                <w:highlight w:val="none"/>
              </w:rPr>
            </w:pPr>
          </w:p>
        </w:tc>
      </w:tr>
      <w:tr w14:paraId="5A69B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4077" w:type="dxa"/>
            <w:gridSpan w:val="2"/>
            <w:tcBorders>
              <w:top w:val="single" w:color="auto" w:sz="4" w:space="0"/>
              <w:left w:val="single" w:color="auto" w:sz="4" w:space="0"/>
              <w:bottom w:val="single" w:color="auto" w:sz="4" w:space="0"/>
              <w:right w:val="single" w:color="auto" w:sz="4" w:space="0"/>
            </w:tcBorders>
            <w:noWrap/>
            <w:vAlign w:val="center"/>
          </w:tcPr>
          <w:p w14:paraId="5585FDD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总价</w:t>
            </w:r>
          </w:p>
        </w:tc>
        <w:tc>
          <w:tcPr>
            <w:tcW w:w="9639" w:type="dxa"/>
            <w:gridSpan w:val="6"/>
            <w:tcBorders>
              <w:top w:val="single" w:color="auto" w:sz="4" w:space="0"/>
              <w:left w:val="single" w:color="auto" w:sz="4" w:space="0"/>
              <w:bottom w:val="single" w:color="auto" w:sz="4" w:space="0"/>
              <w:right w:val="single" w:color="auto" w:sz="4" w:space="0"/>
            </w:tcBorders>
            <w:noWrap/>
          </w:tcPr>
          <w:p w14:paraId="72E94328">
            <w:pPr>
              <w:spacing w:line="360" w:lineRule="auto"/>
              <w:rPr>
                <w:rFonts w:ascii="宋体" w:hAnsi="宋体" w:cs="宋体"/>
                <w:color w:val="auto"/>
                <w:sz w:val="24"/>
                <w:szCs w:val="24"/>
                <w:highlight w:val="none"/>
              </w:rPr>
            </w:pPr>
          </w:p>
        </w:tc>
      </w:tr>
      <w:tr w14:paraId="6545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4077" w:type="dxa"/>
            <w:gridSpan w:val="2"/>
            <w:tcBorders>
              <w:top w:val="single" w:color="auto" w:sz="4" w:space="0"/>
              <w:left w:val="single" w:color="auto" w:sz="4" w:space="0"/>
              <w:bottom w:val="single" w:color="auto" w:sz="4" w:space="0"/>
              <w:right w:val="single" w:color="auto" w:sz="4" w:space="0"/>
            </w:tcBorders>
            <w:noWrap/>
            <w:vAlign w:val="center"/>
          </w:tcPr>
          <w:p w14:paraId="3E75A8B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施工范围</w:t>
            </w:r>
          </w:p>
        </w:tc>
        <w:tc>
          <w:tcPr>
            <w:tcW w:w="9639" w:type="dxa"/>
            <w:gridSpan w:val="6"/>
            <w:tcBorders>
              <w:top w:val="single" w:color="auto" w:sz="4" w:space="0"/>
              <w:left w:val="single" w:color="auto" w:sz="4" w:space="0"/>
              <w:bottom w:val="single" w:color="auto" w:sz="4" w:space="0"/>
              <w:right w:val="single" w:color="auto" w:sz="4" w:space="0"/>
            </w:tcBorders>
            <w:noWrap/>
          </w:tcPr>
          <w:p w14:paraId="14D3CEC8">
            <w:pPr>
              <w:spacing w:line="360" w:lineRule="auto"/>
              <w:rPr>
                <w:rFonts w:ascii="宋体" w:hAnsi="宋体" w:cs="宋体"/>
                <w:color w:val="auto"/>
                <w:sz w:val="24"/>
                <w:szCs w:val="24"/>
                <w:highlight w:val="none"/>
              </w:rPr>
            </w:pPr>
          </w:p>
        </w:tc>
      </w:tr>
      <w:tr w14:paraId="4A00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4077" w:type="dxa"/>
            <w:gridSpan w:val="2"/>
            <w:tcBorders>
              <w:top w:val="single" w:color="auto" w:sz="4" w:space="0"/>
              <w:left w:val="single" w:color="auto" w:sz="4" w:space="0"/>
              <w:bottom w:val="single" w:color="auto" w:sz="4" w:space="0"/>
              <w:right w:val="single" w:color="auto" w:sz="4" w:space="0"/>
            </w:tcBorders>
            <w:noWrap/>
            <w:vAlign w:val="center"/>
          </w:tcPr>
          <w:p w14:paraId="4DA9F14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9639" w:type="dxa"/>
            <w:gridSpan w:val="6"/>
            <w:tcBorders>
              <w:top w:val="single" w:color="auto" w:sz="4" w:space="0"/>
              <w:left w:val="single" w:color="auto" w:sz="4" w:space="0"/>
              <w:bottom w:val="single" w:color="auto" w:sz="4" w:space="0"/>
              <w:right w:val="single" w:color="auto" w:sz="4" w:space="0"/>
            </w:tcBorders>
            <w:noWrap/>
          </w:tcPr>
          <w:p w14:paraId="697BC540">
            <w:pPr>
              <w:spacing w:line="360" w:lineRule="auto"/>
              <w:rPr>
                <w:rFonts w:ascii="宋体" w:hAnsi="宋体" w:cs="宋体"/>
                <w:color w:val="auto"/>
                <w:sz w:val="24"/>
                <w:szCs w:val="24"/>
                <w:highlight w:val="none"/>
              </w:rPr>
            </w:pPr>
          </w:p>
        </w:tc>
      </w:tr>
      <w:tr w14:paraId="76115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4077" w:type="dxa"/>
            <w:gridSpan w:val="2"/>
            <w:tcBorders>
              <w:top w:val="single" w:color="auto" w:sz="4" w:space="0"/>
              <w:left w:val="single" w:color="auto" w:sz="4" w:space="0"/>
              <w:bottom w:val="single" w:color="auto" w:sz="4" w:space="0"/>
              <w:right w:val="single" w:color="auto" w:sz="4" w:space="0"/>
            </w:tcBorders>
            <w:noWrap/>
            <w:vAlign w:val="center"/>
          </w:tcPr>
          <w:p w14:paraId="0C1CC8D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执业证书信息</w:t>
            </w:r>
          </w:p>
        </w:tc>
        <w:tc>
          <w:tcPr>
            <w:tcW w:w="9639" w:type="dxa"/>
            <w:gridSpan w:val="6"/>
            <w:tcBorders>
              <w:top w:val="single" w:color="auto" w:sz="4" w:space="0"/>
              <w:left w:val="single" w:color="auto" w:sz="4" w:space="0"/>
              <w:bottom w:val="single" w:color="auto" w:sz="4" w:space="0"/>
              <w:right w:val="single" w:color="auto" w:sz="4" w:space="0"/>
            </w:tcBorders>
            <w:noWrap/>
          </w:tcPr>
          <w:p w14:paraId="5F23035A">
            <w:pPr>
              <w:spacing w:line="360" w:lineRule="auto"/>
              <w:rPr>
                <w:rFonts w:ascii="宋体" w:hAnsi="宋体" w:cs="宋体"/>
                <w:color w:val="auto"/>
                <w:sz w:val="24"/>
                <w:szCs w:val="24"/>
                <w:highlight w:val="none"/>
              </w:rPr>
            </w:pPr>
          </w:p>
        </w:tc>
      </w:tr>
    </w:tbl>
    <w:p w14:paraId="61FC2890">
      <w:pPr>
        <w:tabs>
          <w:tab w:val="left" w:pos="1300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注：1.此表正本与报价文件正本和磋商保证金凭证复印件一同装在一单独的信封内密封。</w:t>
      </w:r>
    </w:p>
    <w:p w14:paraId="2C7DD034">
      <w:pPr>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 xml:space="preserve">2.详细报价清单应另纸详列，且标明所报各种工程的数量和金额。       </w:t>
      </w:r>
    </w:p>
    <w:p w14:paraId="48484298">
      <w:pPr>
        <w:spacing w:line="360" w:lineRule="auto"/>
        <w:ind w:firstLine="465"/>
        <w:rPr>
          <w:rFonts w:ascii="宋体" w:hAnsi="宋体" w:cs="宋体"/>
          <w:color w:val="auto"/>
          <w:sz w:val="24"/>
          <w:szCs w:val="24"/>
          <w:highlight w:val="none"/>
          <w:u w:val="single"/>
        </w:rPr>
      </w:pPr>
      <w:r>
        <w:rPr>
          <w:rFonts w:hint="eastAsia" w:ascii="宋体" w:hAnsi="宋体" w:cs="宋体"/>
          <w:color w:val="auto"/>
          <w:sz w:val="24"/>
          <w:szCs w:val="24"/>
          <w:highlight w:val="none"/>
        </w:rPr>
        <w:t>3.当一个合同包有多个品目号时，报价人应计算出该合同包的合计价。    报价人代表签字</w:t>
      </w:r>
      <w:r>
        <w:rPr>
          <w:rFonts w:hint="eastAsia" w:ascii="宋体" w:hAnsi="宋体" w:cs="宋体"/>
          <w:color w:val="auto"/>
          <w:sz w:val="24"/>
          <w:szCs w:val="24"/>
          <w:highlight w:val="none"/>
          <w:u w:val="single"/>
        </w:rPr>
        <w:t xml:space="preserve">：               </w:t>
      </w:r>
    </w:p>
    <w:p w14:paraId="03F18876">
      <w:pPr>
        <w:spacing w:line="360" w:lineRule="auto"/>
        <w:ind w:firstLine="465"/>
        <w:rPr>
          <w:rFonts w:ascii="宋体" w:hAnsi="宋体" w:cs="宋体"/>
          <w:color w:val="auto"/>
          <w:sz w:val="24"/>
          <w:szCs w:val="24"/>
          <w:highlight w:val="none"/>
          <w:u w:val="single"/>
        </w:rPr>
      </w:pPr>
    </w:p>
    <w:p w14:paraId="4B601DA6">
      <w:pPr>
        <w:spacing w:line="360" w:lineRule="auto"/>
        <w:rPr>
          <w:rFonts w:ascii="宋体" w:hAnsi="宋体" w:cs="宋体"/>
          <w:color w:val="auto"/>
          <w:sz w:val="24"/>
          <w:szCs w:val="24"/>
          <w:highlight w:val="none"/>
          <w:u w:val="single"/>
        </w:rPr>
      </w:pPr>
    </w:p>
    <w:p w14:paraId="7768D898">
      <w:pPr>
        <w:spacing w:line="360" w:lineRule="auto"/>
        <w:rPr>
          <w:rFonts w:ascii="宋体" w:hAnsi="宋体" w:cs="宋体"/>
          <w:color w:val="auto"/>
          <w:sz w:val="24"/>
          <w:szCs w:val="24"/>
          <w:highlight w:val="none"/>
        </w:rPr>
      </w:pPr>
      <w:bookmarkStart w:id="229" w:name="_Toc29807"/>
      <w:r>
        <w:rPr>
          <w:rFonts w:hint="eastAsia" w:ascii="宋体" w:hAnsi="宋体" w:cs="宋体"/>
          <w:color w:val="auto"/>
          <w:sz w:val="32"/>
          <w:szCs w:val="32"/>
          <w:highlight w:val="none"/>
        </w:rPr>
        <w:t>工程量清单报价表</w:t>
      </w:r>
      <w:bookmarkEnd w:id="229"/>
    </w:p>
    <w:p w14:paraId="3BA77CE6">
      <w:pPr>
        <w:spacing w:line="360" w:lineRule="auto"/>
        <w:rPr>
          <w:rFonts w:ascii="宋体" w:hAnsi="宋体" w:cs="宋体"/>
          <w:color w:val="auto"/>
          <w:sz w:val="24"/>
          <w:szCs w:val="24"/>
          <w:highlight w:val="none"/>
        </w:rPr>
      </w:pPr>
    </w:p>
    <w:p w14:paraId="5672F126">
      <w:pPr>
        <w:spacing w:line="360" w:lineRule="auto"/>
        <w:ind w:firstLine="424" w:firstLineChars="177"/>
        <w:rPr>
          <w:rFonts w:ascii="宋体" w:hAnsi="宋体" w:cs="宋体"/>
          <w:color w:val="auto"/>
          <w:sz w:val="24"/>
          <w:szCs w:val="24"/>
          <w:highlight w:val="none"/>
          <w:lang w:val="zh-CN"/>
        </w:rPr>
      </w:pPr>
      <w:r>
        <w:rPr>
          <w:rFonts w:hint="eastAsia" w:ascii="宋体" w:hAnsi="宋体" w:cs="宋体"/>
          <w:color w:val="auto"/>
          <w:sz w:val="24"/>
          <w:szCs w:val="24"/>
          <w:highlight w:val="none"/>
        </w:rPr>
        <w:t>具体格式与内容由报价人根据工程量清单自行编制。</w:t>
      </w:r>
    </w:p>
    <w:p w14:paraId="0EA4A4DB">
      <w:pPr>
        <w:spacing w:line="360" w:lineRule="auto"/>
        <w:jc w:val="center"/>
        <w:rPr>
          <w:rFonts w:ascii="宋体" w:hAnsi="宋体" w:cs="宋体"/>
          <w:b/>
          <w:color w:val="auto"/>
          <w:sz w:val="24"/>
          <w:szCs w:val="24"/>
          <w:highlight w:val="none"/>
        </w:rPr>
      </w:pPr>
    </w:p>
    <w:p w14:paraId="41AB9579">
      <w:pPr>
        <w:spacing w:line="360" w:lineRule="auto"/>
        <w:ind w:left="69"/>
        <w:jc w:val="center"/>
        <w:rPr>
          <w:rFonts w:ascii="宋体" w:hAnsi="宋体" w:cs="宋体"/>
          <w:color w:val="auto"/>
          <w:sz w:val="24"/>
          <w:szCs w:val="24"/>
          <w:highlight w:val="none"/>
        </w:rPr>
      </w:pPr>
    </w:p>
    <w:p w14:paraId="5769A54D">
      <w:pPr>
        <w:spacing w:line="360" w:lineRule="auto"/>
        <w:ind w:left="69"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（包括</w:t>
      </w:r>
      <w:r>
        <w:rPr>
          <w:rFonts w:hint="eastAsia" w:ascii="宋体" w:hAnsi="宋体" w:cs="宋体"/>
          <w:b/>
          <w:color w:val="auto"/>
          <w:sz w:val="24"/>
          <w:szCs w:val="24"/>
          <w:highlight w:val="none"/>
        </w:rPr>
        <w:t>报价说明、总报价、造价汇总表、分部分项工程量清单计价表、措施项目清单计价表、其他项目清单计价表、零星工作项目计价表、分部分项工程量清单综合单价分析表、措施项目费分析表、材料价格表等及报价需要的其他材料；</w:t>
      </w:r>
      <w:r>
        <w:rPr>
          <w:rFonts w:hint="eastAsia" w:ascii="宋体" w:hAnsi="宋体" w:cs="宋体"/>
          <w:b/>
          <w:color w:val="auto"/>
          <w:sz w:val="24"/>
          <w:szCs w:val="24"/>
          <w:highlight w:val="none"/>
        </w:rPr>
        <w:t>）</w:t>
      </w:r>
    </w:p>
    <w:p w14:paraId="494852BB">
      <w:pPr>
        <w:spacing w:line="360" w:lineRule="auto"/>
        <w:ind w:left="69" w:firstLine="482" w:firstLineChars="200"/>
        <w:rPr>
          <w:rFonts w:ascii="宋体" w:hAnsi="宋体" w:cs="宋体"/>
          <w:b/>
          <w:color w:val="auto"/>
          <w:sz w:val="24"/>
          <w:szCs w:val="24"/>
          <w:highlight w:val="none"/>
        </w:rPr>
      </w:pPr>
    </w:p>
    <w:p w14:paraId="5AB3CAE9">
      <w:pPr>
        <w:spacing w:line="360" w:lineRule="auto"/>
        <w:ind w:left="69" w:firstLine="482" w:firstLineChars="200"/>
        <w:rPr>
          <w:rFonts w:ascii="宋体" w:hAnsi="宋体" w:cs="宋体"/>
          <w:b/>
          <w:color w:val="auto"/>
          <w:sz w:val="24"/>
          <w:szCs w:val="24"/>
          <w:highlight w:val="none"/>
        </w:rPr>
      </w:pPr>
    </w:p>
    <w:p w14:paraId="35C3BE93">
      <w:pPr>
        <w:spacing w:line="360" w:lineRule="auto"/>
        <w:ind w:left="69" w:firstLine="482" w:firstLineChars="200"/>
        <w:rPr>
          <w:rFonts w:ascii="宋体" w:hAnsi="宋体" w:cs="宋体"/>
          <w:b/>
          <w:color w:val="auto"/>
          <w:sz w:val="24"/>
          <w:szCs w:val="24"/>
          <w:highlight w:val="none"/>
        </w:rPr>
      </w:pPr>
    </w:p>
    <w:p w14:paraId="411FF765">
      <w:pPr>
        <w:spacing w:line="360" w:lineRule="auto"/>
        <w:ind w:left="69" w:firstLine="482" w:firstLineChars="200"/>
        <w:rPr>
          <w:rFonts w:ascii="宋体" w:hAnsi="宋体" w:cs="宋体"/>
          <w:b/>
          <w:color w:val="auto"/>
          <w:sz w:val="24"/>
          <w:szCs w:val="24"/>
          <w:highlight w:val="none"/>
        </w:rPr>
      </w:pPr>
    </w:p>
    <w:p w14:paraId="646FFD38">
      <w:pPr>
        <w:spacing w:line="360" w:lineRule="auto"/>
        <w:ind w:left="69" w:firstLine="482" w:firstLineChars="200"/>
        <w:rPr>
          <w:rFonts w:ascii="宋体" w:hAnsi="宋体" w:cs="宋体"/>
          <w:b/>
          <w:color w:val="auto"/>
          <w:sz w:val="24"/>
          <w:szCs w:val="24"/>
          <w:highlight w:val="none"/>
        </w:rPr>
      </w:pPr>
    </w:p>
    <w:p w14:paraId="7EA124C8">
      <w:pPr>
        <w:spacing w:line="360" w:lineRule="auto"/>
        <w:ind w:left="69" w:firstLine="482" w:firstLineChars="200"/>
        <w:rPr>
          <w:rFonts w:ascii="宋体" w:hAnsi="宋体" w:cs="宋体"/>
          <w:b/>
          <w:color w:val="auto"/>
          <w:sz w:val="24"/>
          <w:szCs w:val="24"/>
          <w:highlight w:val="none"/>
        </w:rPr>
      </w:pPr>
    </w:p>
    <w:p w14:paraId="00297C43">
      <w:pPr>
        <w:spacing w:line="360" w:lineRule="auto"/>
        <w:ind w:left="69" w:firstLine="482" w:firstLineChars="200"/>
        <w:rPr>
          <w:rFonts w:ascii="宋体" w:hAnsi="宋体" w:cs="宋体"/>
          <w:b/>
          <w:color w:val="auto"/>
          <w:sz w:val="24"/>
          <w:szCs w:val="24"/>
          <w:highlight w:val="none"/>
        </w:rPr>
      </w:pPr>
    </w:p>
    <w:p w14:paraId="70860B05">
      <w:pPr>
        <w:spacing w:line="360" w:lineRule="auto"/>
        <w:ind w:left="69" w:firstLine="482" w:firstLineChars="200"/>
        <w:rPr>
          <w:rFonts w:ascii="宋体" w:hAnsi="宋体" w:cs="宋体"/>
          <w:b/>
          <w:color w:val="auto"/>
          <w:sz w:val="24"/>
          <w:szCs w:val="24"/>
          <w:highlight w:val="none"/>
        </w:rPr>
      </w:pPr>
    </w:p>
    <w:p w14:paraId="656FD8F6">
      <w:pPr>
        <w:spacing w:line="360" w:lineRule="auto"/>
        <w:rPr>
          <w:rFonts w:ascii="宋体" w:hAnsi="宋体" w:cs="宋体"/>
          <w:b/>
          <w:color w:val="auto"/>
          <w:sz w:val="24"/>
          <w:szCs w:val="24"/>
          <w:highlight w:val="none"/>
        </w:rPr>
      </w:pPr>
    </w:p>
    <w:p w14:paraId="11901C06">
      <w:pPr>
        <w:spacing w:line="360" w:lineRule="auto"/>
        <w:rPr>
          <w:rFonts w:ascii="宋体" w:hAnsi="宋体" w:cs="宋体"/>
          <w:color w:val="auto"/>
          <w:sz w:val="24"/>
          <w:szCs w:val="24"/>
          <w:highlight w:val="none"/>
        </w:rPr>
        <w:sectPr>
          <w:footerReference r:id="rId5" w:type="default"/>
          <w:pgSz w:w="16838" w:h="11906" w:orient="landscape"/>
          <w:pgMar w:top="1797" w:right="1440" w:bottom="1797" w:left="1440" w:header="851" w:footer="992" w:gutter="0"/>
          <w:cols w:space="720" w:num="1"/>
          <w:docGrid w:linePitch="312" w:charSpace="0"/>
        </w:sectPr>
      </w:pPr>
    </w:p>
    <w:p w14:paraId="78E7C8DD">
      <w:pPr>
        <w:pStyle w:val="4"/>
        <w:spacing w:line="360" w:lineRule="auto"/>
        <w:ind w:left="447" w:hanging="447" w:hangingChars="139"/>
        <w:jc w:val="center"/>
        <w:rPr>
          <w:rFonts w:ascii="宋体" w:hAnsi="宋体" w:cs="宋体"/>
          <w:b/>
          <w:color w:val="auto"/>
          <w:sz w:val="24"/>
          <w:szCs w:val="24"/>
          <w:highlight w:val="none"/>
        </w:rPr>
      </w:pPr>
      <w:r>
        <w:rPr>
          <w:rFonts w:hint="eastAsia" w:ascii="宋体" w:hAnsi="宋体" w:cs="宋体"/>
          <w:b/>
          <w:color w:val="auto"/>
          <w:sz w:val="32"/>
          <w:szCs w:val="32"/>
          <w:highlight w:val="none"/>
        </w:rPr>
        <w:t>项目管理机构配备情况</w:t>
      </w:r>
    </w:p>
    <w:p w14:paraId="3D972E7E">
      <w:pPr>
        <w:pStyle w:val="4"/>
        <w:spacing w:line="360" w:lineRule="auto"/>
        <w:ind w:left="0" w:firstLine="0"/>
        <w:rPr>
          <w:rFonts w:ascii="宋体" w:hAnsi="宋体" w:cs="宋体"/>
          <w:color w:val="auto"/>
          <w:sz w:val="24"/>
          <w:szCs w:val="24"/>
          <w:highlight w:val="none"/>
        </w:rPr>
      </w:pPr>
      <w:r>
        <w:rPr>
          <w:rFonts w:hint="eastAsia" w:ascii="宋体" w:hAnsi="宋体" w:cs="宋体"/>
          <w:b/>
          <w:color w:val="auto"/>
          <w:sz w:val="24"/>
          <w:szCs w:val="24"/>
          <w:highlight w:val="none"/>
        </w:rPr>
        <w:t>包括</w:t>
      </w:r>
      <w:r>
        <w:rPr>
          <w:rFonts w:hint="eastAsia" w:ascii="宋体" w:hAnsi="宋体" w:cs="宋体"/>
          <w:b/>
          <w:color w:val="auto"/>
          <w:sz w:val="24"/>
          <w:szCs w:val="24"/>
          <w:highlight w:val="none"/>
        </w:rPr>
        <w:t>项目经理及项目班子的人员配备，项目班子技术人员配备齐全，能够满足工程的需要（附相关证件的复印件）；且成交后，项目管理人员未经采购人同意不得替换</w:t>
      </w:r>
    </w:p>
    <w:p w14:paraId="4E117799">
      <w:pPr>
        <w:pStyle w:val="4"/>
        <w:spacing w:line="360" w:lineRule="auto"/>
        <w:ind w:left="419" w:hanging="419" w:hangingChars="174"/>
        <w:rPr>
          <w:rFonts w:ascii="宋体" w:hAnsi="宋体" w:cs="宋体"/>
          <w:b/>
          <w:color w:val="auto"/>
          <w:sz w:val="24"/>
          <w:szCs w:val="24"/>
          <w:highlight w:val="none"/>
        </w:rPr>
      </w:pPr>
    </w:p>
    <w:p w14:paraId="76C8DE93">
      <w:pPr>
        <w:spacing w:line="360" w:lineRule="auto"/>
        <w:rPr>
          <w:rFonts w:ascii="宋体" w:hAnsi="宋体" w:cs="宋体"/>
          <w:b/>
          <w:color w:val="auto"/>
          <w:sz w:val="24"/>
          <w:szCs w:val="24"/>
          <w:highlight w:val="none"/>
        </w:rPr>
      </w:pPr>
    </w:p>
    <w:p w14:paraId="6D1154F6">
      <w:pPr>
        <w:spacing w:line="360" w:lineRule="auto"/>
        <w:jc w:val="center"/>
        <w:rPr>
          <w:rFonts w:ascii="宋体" w:hAnsi="宋体" w:cs="宋体"/>
          <w:b/>
          <w:color w:val="auto"/>
          <w:sz w:val="24"/>
          <w:szCs w:val="24"/>
          <w:highlight w:val="none"/>
        </w:rPr>
      </w:pPr>
    </w:p>
    <w:p w14:paraId="44331DF9">
      <w:pPr>
        <w:spacing w:line="360" w:lineRule="auto"/>
        <w:rPr>
          <w:rFonts w:ascii="宋体" w:hAnsi="宋体" w:cs="宋体"/>
          <w:b/>
          <w:color w:val="auto"/>
          <w:sz w:val="24"/>
          <w:szCs w:val="24"/>
          <w:highlight w:val="none"/>
        </w:rPr>
      </w:pPr>
    </w:p>
    <w:p w14:paraId="7F1732A1">
      <w:pPr>
        <w:spacing w:line="360" w:lineRule="auto"/>
        <w:ind w:right="480" w:firstLine="3960" w:firstLineChars="1650"/>
        <w:rPr>
          <w:rFonts w:ascii="宋体" w:hAnsi="宋体" w:cs="宋体"/>
          <w:b/>
          <w:color w:val="auto"/>
          <w:sz w:val="24"/>
          <w:szCs w:val="24"/>
          <w:highlight w:val="none"/>
        </w:rPr>
        <w:sectPr>
          <w:headerReference r:id="rId8" w:type="first"/>
          <w:footerReference r:id="rId11" w:type="first"/>
          <w:headerReference r:id="rId6" w:type="default"/>
          <w:footerReference r:id="rId9" w:type="default"/>
          <w:headerReference r:id="rId7" w:type="even"/>
          <w:footerReference r:id="rId10" w:type="even"/>
          <w:pgSz w:w="11906" w:h="16838"/>
          <w:pgMar w:top="1440" w:right="1797" w:bottom="1440" w:left="1797" w:header="851" w:footer="992" w:gutter="0"/>
          <w:cols w:space="720" w:num="1"/>
          <w:docGrid w:linePitch="312" w:charSpace="0"/>
        </w:sectPr>
      </w:pPr>
      <w:r>
        <w:rPr>
          <w:rFonts w:hint="eastAsia" w:ascii="宋体" w:hAnsi="宋体" w:cs="宋体"/>
          <w:color w:val="auto"/>
          <w:sz w:val="24"/>
          <w:szCs w:val="24"/>
          <w:highlight w:val="none"/>
        </w:rPr>
        <w:t>报价人代表签字：</w:t>
      </w:r>
    </w:p>
    <w:p w14:paraId="18E2CFBE">
      <w:pPr>
        <w:spacing w:line="360" w:lineRule="auto"/>
        <w:jc w:val="center"/>
        <w:rPr>
          <w:rFonts w:ascii="宋体" w:hAnsi="宋体" w:cs="宋体"/>
          <w:b/>
          <w:color w:val="auto"/>
          <w:sz w:val="24"/>
          <w:szCs w:val="24"/>
          <w:highlight w:val="none"/>
        </w:rPr>
      </w:pPr>
      <w:r>
        <w:rPr>
          <w:rFonts w:hint="eastAsia" w:ascii="宋体" w:hAnsi="宋体" w:cs="宋体"/>
          <w:b/>
          <w:color w:val="auto"/>
          <w:sz w:val="32"/>
          <w:szCs w:val="32"/>
          <w:highlight w:val="none"/>
        </w:rPr>
        <w:t>技术规格和商务偏离表</w:t>
      </w:r>
    </w:p>
    <w:p w14:paraId="592071ED">
      <w:pPr>
        <w:spacing w:line="360" w:lineRule="auto"/>
        <w:rPr>
          <w:rFonts w:ascii="宋体" w:hAnsi="宋体" w:cs="宋体"/>
          <w:bCs/>
          <w:color w:val="auto"/>
          <w:sz w:val="24"/>
          <w:szCs w:val="24"/>
          <w:highlight w:val="none"/>
          <w:u w:val="single"/>
        </w:rPr>
      </w:pPr>
      <w:r>
        <w:rPr>
          <w:rFonts w:hint="eastAsia" w:ascii="宋体" w:hAnsi="宋体" w:cs="宋体"/>
          <w:bCs/>
          <w:color w:val="auto"/>
          <w:sz w:val="24"/>
          <w:szCs w:val="24"/>
          <w:highlight w:val="none"/>
        </w:rPr>
        <w:t>报价人名称（全称并加盖公章）：项目编号：</w:t>
      </w:r>
    </w:p>
    <w:tbl>
      <w:tblPr>
        <w:tblStyle w:val="17"/>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1374"/>
        <w:gridCol w:w="1800"/>
        <w:gridCol w:w="2340"/>
        <w:gridCol w:w="2880"/>
        <w:gridCol w:w="1528"/>
        <w:gridCol w:w="3692"/>
      </w:tblGrid>
      <w:tr w14:paraId="0D731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ign w:val="center"/>
          </w:tcPr>
          <w:p w14:paraId="20B2116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ign w:val="center"/>
          </w:tcPr>
          <w:p w14:paraId="13E87BB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磋商响应</w:t>
            </w:r>
          </w:p>
        </w:tc>
      </w:tr>
      <w:tr w14:paraId="6C3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66" w:type="dxa"/>
            <w:tcBorders>
              <w:top w:val="single" w:color="auto" w:sz="4" w:space="0"/>
              <w:left w:val="single" w:color="auto" w:sz="4" w:space="0"/>
              <w:bottom w:val="single" w:color="auto" w:sz="4" w:space="0"/>
              <w:right w:val="single" w:color="auto" w:sz="4" w:space="0"/>
            </w:tcBorders>
            <w:noWrap/>
            <w:vAlign w:val="center"/>
          </w:tcPr>
          <w:p w14:paraId="2E09676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合同包/品目号</w:t>
            </w:r>
          </w:p>
        </w:tc>
        <w:tc>
          <w:tcPr>
            <w:tcW w:w="1374" w:type="dxa"/>
            <w:tcBorders>
              <w:top w:val="single" w:color="auto" w:sz="4" w:space="0"/>
              <w:left w:val="single" w:color="auto" w:sz="4" w:space="0"/>
              <w:bottom w:val="single" w:color="auto" w:sz="4" w:space="0"/>
              <w:right w:val="single" w:color="auto" w:sz="4" w:space="0"/>
            </w:tcBorders>
            <w:noWrap/>
            <w:vAlign w:val="center"/>
          </w:tcPr>
          <w:p w14:paraId="68F5C04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1800" w:type="dxa"/>
            <w:tcBorders>
              <w:top w:val="single" w:color="auto" w:sz="4" w:space="0"/>
              <w:left w:val="single" w:color="auto" w:sz="4" w:space="0"/>
              <w:bottom w:val="single" w:color="auto" w:sz="4" w:space="0"/>
              <w:right w:val="single" w:color="auto" w:sz="4" w:space="0"/>
            </w:tcBorders>
            <w:noWrap/>
            <w:vAlign w:val="center"/>
          </w:tcPr>
          <w:p w14:paraId="27F65C6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规格条目号</w:t>
            </w:r>
          </w:p>
        </w:tc>
        <w:tc>
          <w:tcPr>
            <w:tcW w:w="2340" w:type="dxa"/>
            <w:tcBorders>
              <w:top w:val="single" w:color="auto" w:sz="4" w:space="0"/>
              <w:left w:val="single" w:color="auto" w:sz="4" w:space="0"/>
              <w:bottom w:val="single" w:color="auto" w:sz="4" w:space="0"/>
              <w:right w:val="single" w:color="auto" w:sz="4" w:space="0"/>
            </w:tcBorders>
            <w:noWrap/>
            <w:vAlign w:val="center"/>
          </w:tcPr>
          <w:p w14:paraId="66C7E5E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采购文件要求</w:t>
            </w:r>
          </w:p>
        </w:tc>
        <w:tc>
          <w:tcPr>
            <w:tcW w:w="2880" w:type="dxa"/>
            <w:tcBorders>
              <w:top w:val="single" w:color="auto" w:sz="4" w:space="0"/>
              <w:left w:val="single" w:color="auto" w:sz="4" w:space="0"/>
              <w:bottom w:val="single" w:color="auto" w:sz="4" w:space="0"/>
              <w:right w:val="single" w:color="auto" w:sz="4" w:space="0"/>
            </w:tcBorders>
            <w:noWrap/>
            <w:vAlign w:val="center"/>
          </w:tcPr>
          <w:p w14:paraId="4A624BE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磋商响应情况</w:t>
            </w:r>
          </w:p>
        </w:tc>
        <w:tc>
          <w:tcPr>
            <w:tcW w:w="1528" w:type="dxa"/>
            <w:tcBorders>
              <w:top w:val="single" w:color="auto" w:sz="4" w:space="0"/>
              <w:left w:val="single" w:color="auto" w:sz="4" w:space="0"/>
              <w:bottom w:val="single" w:color="auto" w:sz="4" w:space="0"/>
              <w:right w:val="single" w:color="auto" w:sz="4" w:space="0"/>
            </w:tcBorders>
            <w:noWrap/>
            <w:vAlign w:val="center"/>
          </w:tcPr>
          <w:p w14:paraId="7CFE6E8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磋商响应对应的页码</w:t>
            </w:r>
          </w:p>
        </w:tc>
        <w:tc>
          <w:tcPr>
            <w:tcW w:w="3692" w:type="dxa"/>
            <w:tcBorders>
              <w:top w:val="single" w:color="auto" w:sz="4" w:space="0"/>
              <w:left w:val="single" w:color="auto" w:sz="4" w:space="0"/>
              <w:bottom w:val="single" w:color="auto" w:sz="4" w:space="0"/>
              <w:right w:val="single" w:color="auto" w:sz="4" w:space="0"/>
            </w:tcBorders>
            <w:noWrap/>
            <w:vAlign w:val="center"/>
          </w:tcPr>
          <w:p w14:paraId="6200C4C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偏离说明</w:t>
            </w:r>
          </w:p>
        </w:tc>
      </w:tr>
      <w:tr w14:paraId="5F5D6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66" w:type="dxa"/>
            <w:tcBorders>
              <w:top w:val="single" w:color="auto" w:sz="4" w:space="0"/>
              <w:left w:val="single" w:color="auto" w:sz="4" w:space="0"/>
              <w:bottom w:val="single" w:color="auto" w:sz="4" w:space="0"/>
              <w:right w:val="single" w:color="auto" w:sz="4" w:space="0"/>
            </w:tcBorders>
            <w:noWrap/>
          </w:tcPr>
          <w:p w14:paraId="53D69A01">
            <w:pPr>
              <w:spacing w:line="360" w:lineRule="auto"/>
              <w:rPr>
                <w:rFonts w:ascii="宋体" w:hAnsi="宋体" w:cs="宋体"/>
                <w:color w:val="auto"/>
                <w:sz w:val="24"/>
                <w:szCs w:val="24"/>
                <w:highlight w:val="none"/>
              </w:rPr>
            </w:pPr>
          </w:p>
        </w:tc>
        <w:tc>
          <w:tcPr>
            <w:tcW w:w="1374" w:type="dxa"/>
            <w:tcBorders>
              <w:top w:val="single" w:color="auto" w:sz="4" w:space="0"/>
              <w:left w:val="single" w:color="auto" w:sz="4" w:space="0"/>
              <w:bottom w:val="single" w:color="auto" w:sz="4" w:space="0"/>
              <w:right w:val="single" w:color="auto" w:sz="4" w:space="0"/>
            </w:tcBorders>
            <w:noWrap/>
          </w:tcPr>
          <w:p w14:paraId="7295AAB8">
            <w:pPr>
              <w:spacing w:line="360" w:lineRule="auto"/>
              <w:rPr>
                <w:rFonts w:ascii="宋体" w:hAnsi="宋体" w:cs="宋体"/>
                <w:color w:val="auto"/>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tcPr>
          <w:p w14:paraId="1DA17828">
            <w:pPr>
              <w:spacing w:line="360" w:lineRule="auto"/>
              <w:rPr>
                <w:rFonts w:ascii="宋体" w:hAnsi="宋体" w:cs="宋体"/>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tcPr>
          <w:p w14:paraId="4C274C49">
            <w:pPr>
              <w:spacing w:line="360" w:lineRule="auto"/>
              <w:rPr>
                <w:rFonts w:ascii="宋体" w:hAnsi="宋体" w:cs="宋体"/>
                <w:color w:val="auto"/>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tcPr>
          <w:p w14:paraId="3D615C25">
            <w:pPr>
              <w:spacing w:line="360" w:lineRule="auto"/>
              <w:rPr>
                <w:rFonts w:ascii="宋体" w:hAnsi="宋体" w:cs="宋体"/>
                <w:color w:val="auto"/>
                <w:sz w:val="24"/>
                <w:szCs w:val="24"/>
                <w:highlight w:val="none"/>
              </w:rPr>
            </w:pPr>
          </w:p>
        </w:tc>
        <w:tc>
          <w:tcPr>
            <w:tcW w:w="1528" w:type="dxa"/>
            <w:tcBorders>
              <w:top w:val="single" w:color="auto" w:sz="4" w:space="0"/>
              <w:left w:val="single" w:color="auto" w:sz="4" w:space="0"/>
              <w:bottom w:val="single" w:color="auto" w:sz="4" w:space="0"/>
              <w:right w:val="single" w:color="auto" w:sz="4" w:space="0"/>
            </w:tcBorders>
            <w:noWrap/>
          </w:tcPr>
          <w:p w14:paraId="51CBDBD3">
            <w:pPr>
              <w:spacing w:line="360" w:lineRule="auto"/>
              <w:rPr>
                <w:rFonts w:ascii="宋体" w:hAnsi="宋体" w:cs="宋体"/>
                <w:color w:val="auto"/>
                <w:sz w:val="24"/>
                <w:szCs w:val="24"/>
                <w:highlight w:val="none"/>
              </w:rPr>
            </w:pPr>
          </w:p>
        </w:tc>
        <w:tc>
          <w:tcPr>
            <w:tcW w:w="3692" w:type="dxa"/>
            <w:tcBorders>
              <w:top w:val="single" w:color="auto" w:sz="4" w:space="0"/>
              <w:left w:val="single" w:color="auto" w:sz="4" w:space="0"/>
              <w:bottom w:val="single" w:color="auto" w:sz="4" w:space="0"/>
              <w:right w:val="single" w:color="auto" w:sz="4" w:space="0"/>
            </w:tcBorders>
            <w:noWrap/>
          </w:tcPr>
          <w:p w14:paraId="485549A9">
            <w:pPr>
              <w:spacing w:line="360" w:lineRule="auto"/>
              <w:rPr>
                <w:rFonts w:ascii="宋体" w:hAnsi="宋体" w:cs="宋体"/>
                <w:color w:val="auto"/>
                <w:sz w:val="24"/>
                <w:szCs w:val="24"/>
                <w:highlight w:val="none"/>
              </w:rPr>
            </w:pPr>
          </w:p>
        </w:tc>
      </w:tr>
      <w:tr w14:paraId="64817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66" w:type="dxa"/>
            <w:tcBorders>
              <w:top w:val="single" w:color="auto" w:sz="4" w:space="0"/>
              <w:left w:val="single" w:color="auto" w:sz="4" w:space="0"/>
              <w:bottom w:val="single" w:color="auto" w:sz="4" w:space="0"/>
              <w:right w:val="single" w:color="auto" w:sz="4" w:space="0"/>
            </w:tcBorders>
            <w:noWrap/>
          </w:tcPr>
          <w:p w14:paraId="70393A99">
            <w:pPr>
              <w:spacing w:line="360" w:lineRule="auto"/>
              <w:rPr>
                <w:rFonts w:ascii="宋体" w:hAnsi="宋体" w:cs="宋体"/>
                <w:color w:val="auto"/>
                <w:sz w:val="24"/>
                <w:szCs w:val="24"/>
                <w:highlight w:val="none"/>
              </w:rPr>
            </w:pPr>
          </w:p>
        </w:tc>
        <w:tc>
          <w:tcPr>
            <w:tcW w:w="1374" w:type="dxa"/>
            <w:tcBorders>
              <w:top w:val="single" w:color="auto" w:sz="4" w:space="0"/>
              <w:left w:val="single" w:color="auto" w:sz="4" w:space="0"/>
              <w:bottom w:val="single" w:color="auto" w:sz="4" w:space="0"/>
              <w:right w:val="single" w:color="auto" w:sz="4" w:space="0"/>
            </w:tcBorders>
            <w:noWrap/>
          </w:tcPr>
          <w:p w14:paraId="4209D63F">
            <w:pPr>
              <w:spacing w:line="360" w:lineRule="auto"/>
              <w:rPr>
                <w:rFonts w:ascii="宋体" w:hAnsi="宋体" w:cs="宋体"/>
                <w:color w:val="auto"/>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tcPr>
          <w:p w14:paraId="3B734D98">
            <w:pPr>
              <w:spacing w:line="360" w:lineRule="auto"/>
              <w:rPr>
                <w:rFonts w:ascii="宋体" w:hAnsi="宋体" w:cs="宋体"/>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tcPr>
          <w:p w14:paraId="5DB031AA">
            <w:pPr>
              <w:spacing w:line="360" w:lineRule="auto"/>
              <w:rPr>
                <w:rFonts w:ascii="宋体" w:hAnsi="宋体" w:cs="宋体"/>
                <w:color w:val="auto"/>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tcPr>
          <w:p w14:paraId="41AB94FE">
            <w:pPr>
              <w:spacing w:line="360" w:lineRule="auto"/>
              <w:rPr>
                <w:rFonts w:ascii="宋体" w:hAnsi="宋体" w:cs="宋体"/>
                <w:color w:val="auto"/>
                <w:sz w:val="24"/>
                <w:szCs w:val="24"/>
                <w:highlight w:val="none"/>
              </w:rPr>
            </w:pPr>
          </w:p>
        </w:tc>
        <w:tc>
          <w:tcPr>
            <w:tcW w:w="1528" w:type="dxa"/>
            <w:tcBorders>
              <w:top w:val="single" w:color="auto" w:sz="4" w:space="0"/>
              <w:left w:val="single" w:color="auto" w:sz="4" w:space="0"/>
              <w:bottom w:val="single" w:color="auto" w:sz="4" w:space="0"/>
              <w:right w:val="single" w:color="auto" w:sz="4" w:space="0"/>
            </w:tcBorders>
            <w:noWrap/>
          </w:tcPr>
          <w:p w14:paraId="5EA827D1">
            <w:pPr>
              <w:spacing w:line="360" w:lineRule="auto"/>
              <w:rPr>
                <w:rFonts w:ascii="宋体" w:hAnsi="宋体" w:cs="宋体"/>
                <w:color w:val="auto"/>
                <w:sz w:val="24"/>
                <w:szCs w:val="24"/>
                <w:highlight w:val="none"/>
              </w:rPr>
            </w:pPr>
          </w:p>
        </w:tc>
        <w:tc>
          <w:tcPr>
            <w:tcW w:w="3692" w:type="dxa"/>
            <w:tcBorders>
              <w:top w:val="single" w:color="auto" w:sz="4" w:space="0"/>
              <w:left w:val="single" w:color="auto" w:sz="4" w:space="0"/>
              <w:bottom w:val="single" w:color="auto" w:sz="4" w:space="0"/>
              <w:right w:val="single" w:color="auto" w:sz="4" w:space="0"/>
            </w:tcBorders>
            <w:noWrap/>
          </w:tcPr>
          <w:p w14:paraId="5195CA5B">
            <w:pPr>
              <w:spacing w:line="360" w:lineRule="auto"/>
              <w:rPr>
                <w:rFonts w:ascii="宋体" w:hAnsi="宋体" w:cs="宋体"/>
                <w:color w:val="auto"/>
                <w:sz w:val="24"/>
                <w:szCs w:val="24"/>
                <w:highlight w:val="none"/>
              </w:rPr>
            </w:pPr>
          </w:p>
        </w:tc>
      </w:tr>
      <w:tr w14:paraId="42F04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66" w:type="dxa"/>
            <w:tcBorders>
              <w:top w:val="single" w:color="auto" w:sz="4" w:space="0"/>
              <w:left w:val="single" w:color="auto" w:sz="4" w:space="0"/>
              <w:bottom w:val="single" w:color="auto" w:sz="4" w:space="0"/>
              <w:right w:val="single" w:color="auto" w:sz="4" w:space="0"/>
            </w:tcBorders>
            <w:noWrap/>
          </w:tcPr>
          <w:p w14:paraId="35ECDB14">
            <w:pPr>
              <w:spacing w:line="360" w:lineRule="auto"/>
              <w:rPr>
                <w:rFonts w:ascii="宋体" w:hAnsi="宋体" w:cs="宋体"/>
                <w:color w:val="auto"/>
                <w:sz w:val="24"/>
                <w:szCs w:val="24"/>
                <w:highlight w:val="none"/>
              </w:rPr>
            </w:pPr>
          </w:p>
        </w:tc>
        <w:tc>
          <w:tcPr>
            <w:tcW w:w="1374" w:type="dxa"/>
            <w:tcBorders>
              <w:top w:val="single" w:color="auto" w:sz="4" w:space="0"/>
              <w:left w:val="single" w:color="auto" w:sz="4" w:space="0"/>
              <w:bottom w:val="single" w:color="auto" w:sz="4" w:space="0"/>
              <w:right w:val="single" w:color="auto" w:sz="4" w:space="0"/>
            </w:tcBorders>
            <w:noWrap/>
          </w:tcPr>
          <w:p w14:paraId="50225863">
            <w:pPr>
              <w:spacing w:line="360" w:lineRule="auto"/>
              <w:rPr>
                <w:rFonts w:ascii="宋体" w:hAnsi="宋体" w:cs="宋体"/>
                <w:color w:val="auto"/>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noWrap/>
          </w:tcPr>
          <w:p w14:paraId="2D7A838F">
            <w:pPr>
              <w:spacing w:line="360" w:lineRule="auto"/>
              <w:rPr>
                <w:rFonts w:ascii="宋体" w:hAnsi="宋体" w:cs="宋体"/>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noWrap/>
          </w:tcPr>
          <w:p w14:paraId="256B7DE1">
            <w:pPr>
              <w:spacing w:line="360" w:lineRule="auto"/>
              <w:rPr>
                <w:rFonts w:ascii="宋体" w:hAnsi="宋体" w:cs="宋体"/>
                <w:color w:val="auto"/>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noWrap/>
          </w:tcPr>
          <w:p w14:paraId="34678318">
            <w:pPr>
              <w:spacing w:line="360" w:lineRule="auto"/>
              <w:rPr>
                <w:rFonts w:ascii="宋体" w:hAnsi="宋体" w:cs="宋体"/>
                <w:color w:val="auto"/>
                <w:sz w:val="24"/>
                <w:szCs w:val="24"/>
                <w:highlight w:val="none"/>
              </w:rPr>
            </w:pPr>
          </w:p>
        </w:tc>
        <w:tc>
          <w:tcPr>
            <w:tcW w:w="1528" w:type="dxa"/>
            <w:tcBorders>
              <w:top w:val="single" w:color="auto" w:sz="4" w:space="0"/>
              <w:left w:val="single" w:color="auto" w:sz="4" w:space="0"/>
              <w:bottom w:val="single" w:color="auto" w:sz="4" w:space="0"/>
              <w:right w:val="single" w:color="auto" w:sz="4" w:space="0"/>
            </w:tcBorders>
            <w:noWrap/>
          </w:tcPr>
          <w:p w14:paraId="0F01DA5D">
            <w:pPr>
              <w:spacing w:line="360" w:lineRule="auto"/>
              <w:rPr>
                <w:rFonts w:ascii="宋体" w:hAnsi="宋体" w:cs="宋体"/>
                <w:color w:val="auto"/>
                <w:sz w:val="24"/>
                <w:szCs w:val="24"/>
                <w:highlight w:val="none"/>
              </w:rPr>
            </w:pPr>
          </w:p>
        </w:tc>
        <w:tc>
          <w:tcPr>
            <w:tcW w:w="3692" w:type="dxa"/>
            <w:tcBorders>
              <w:top w:val="single" w:color="auto" w:sz="4" w:space="0"/>
              <w:left w:val="single" w:color="auto" w:sz="4" w:space="0"/>
              <w:bottom w:val="single" w:color="auto" w:sz="4" w:space="0"/>
              <w:right w:val="single" w:color="auto" w:sz="4" w:space="0"/>
            </w:tcBorders>
            <w:noWrap/>
          </w:tcPr>
          <w:p w14:paraId="7AE02B6B">
            <w:pPr>
              <w:spacing w:line="360" w:lineRule="auto"/>
              <w:rPr>
                <w:rFonts w:ascii="宋体" w:hAnsi="宋体" w:cs="宋体"/>
                <w:color w:val="auto"/>
                <w:sz w:val="24"/>
                <w:szCs w:val="24"/>
                <w:highlight w:val="none"/>
              </w:rPr>
            </w:pPr>
          </w:p>
        </w:tc>
      </w:tr>
    </w:tbl>
    <w:p w14:paraId="4FD67F5D">
      <w:pPr>
        <w:spacing w:line="360" w:lineRule="auto"/>
        <w:ind w:right="-216" w:rightChars="-103"/>
        <w:rPr>
          <w:rFonts w:ascii="宋体" w:hAnsi="宋体" w:cs="宋体"/>
          <w:bCs/>
          <w:color w:val="auto"/>
          <w:sz w:val="24"/>
          <w:szCs w:val="24"/>
          <w:highlight w:val="none"/>
        </w:rPr>
      </w:pPr>
      <w:r>
        <w:rPr>
          <w:rFonts w:hint="eastAsia" w:ascii="宋体" w:hAnsi="宋体" w:cs="宋体"/>
          <w:bCs/>
          <w:color w:val="auto"/>
          <w:sz w:val="24"/>
          <w:szCs w:val="24"/>
          <w:highlight w:val="none"/>
        </w:rPr>
        <w:t>注：1.采购单位应将本工程项目采购所需的技术、质量、商务、服务、价格要求逐条列明。报价人根据采购要求逐条说明磋商响应情况。</w:t>
      </w:r>
    </w:p>
    <w:p w14:paraId="1F55B88F">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2.</w:t>
      </w:r>
      <w:r>
        <w:rPr>
          <w:rFonts w:hint="eastAsia" w:ascii="宋体" w:hAnsi="宋体" w:cs="宋体"/>
          <w:color w:val="auto"/>
          <w:sz w:val="24"/>
          <w:szCs w:val="24"/>
          <w:highlight w:val="none"/>
        </w:rPr>
        <w:t xml:space="preserve"> 报价</w:t>
      </w:r>
      <w:r>
        <w:rPr>
          <w:rFonts w:hint="eastAsia" w:ascii="宋体" w:hAnsi="宋体" w:cs="宋体"/>
          <w:color w:val="auto"/>
          <w:kern w:val="0"/>
          <w:sz w:val="24"/>
          <w:szCs w:val="24"/>
          <w:highlight w:val="none"/>
        </w:rPr>
        <w:t>人应对采购文件中的“*”号条款进行逐条响应，否则评审专家对其报价做出不利评审，报价人必须自行承担责任</w:t>
      </w:r>
      <w:r>
        <w:rPr>
          <w:rFonts w:hint="eastAsia" w:ascii="宋体" w:hAnsi="宋体" w:cs="宋体"/>
          <w:bCs/>
          <w:color w:val="auto"/>
          <w:sz w:val="24"/>
          <w:szCs w:val="24"/>
          <w:highlight w:val="none"/>
        </w:rPr>
        <w:t>。报价人存在弄虚作假行为的，将依法承担相应的法律责任。</w:t>
      </w:r>
    </w:p>
    <w:p w14:paraId="3F7D452E">
      <w:pPr>
        <w:spacing w:line="360" w:lineRule="auto"/>
        <w:jc w:val="center"/>
        <w:rPr>
          <w:rFonts w:ascii="宋体" w:hAnsi="宋体" w:cs="宋体"/>
          <w:bCs/>
          <w:color w:val="auto"/>
          <w:sz w:val="24"/>
          <w:szCs w:val="24"/>
          <w:highlight w:val="none"/>
        </w:rPr>
      </w:pPr>
    </w:p>
    <w:p w14:paraId="25A45A1D">
      <w:pPr>
        <w:spacing w:line="360" w:lineRule="auto"/>
        <w:rPr>
          <w:rFonts w:ascii="宋体" w:hAnsi="宋体" w:cs="宋体"/>
          <w:color w:val="auto"/>
          <w:sz w:val="24"/>
          <w:szCs w:val="24"/>
          <w:highlight w:val="none"/>
        </w:rPr>
      </w:pPr>
      <w:r>
        <w:rPr>
          <w:rFonts w:hint="eastAsia" w:ascii="宋体" w:hAnsi="宋体" w:cs="宋体"/>
          <w:bCs/>
          <w:color w:val="auto"/>
          <w:sz w:val="24"/>
          <w:szCs w:val="24"/>
          <w:highlight w:val="none"/>
        </w:rPr>
        <w:t xml:space="preserve"> 报价人代表签字：</w:t>
      </w:r>
    </w:p>
    <w:p w14:paraId="053B2C1F">
      <w:pPr>
        <w:spacing w:line="360" w:lineRule="auto"/>
        <w:ind w:right="-122" w:rightChars="-58"/>
        <w:rPr>
          <w:rFonts w:ascii="宋体" w:hAnsi="宋体" w:cs="宋体"/>
          <w:color w:val="auto"/>
          <w:sz w:val="24"/>
          <w:szCs w:val="24"/>
          <w:highlight w:val="none"/>
        </w:rPr>
        <w:sectPr>
          <w:footerReference r:id="rId12" w:type="default"/>
          <w:pgSz w:w="16838" w:h="11906" w:orient="landscape"/>
          <w:pgMar w:top="1797" w:right="1440" w:bottom="1797" w:left="1440" w:header="851" w:footer="992" w:gutter="0"/>
          <w:cols w:space="720" w:num="1"/>
          <w:docGrid w:linePitch="312" w:charSpace="0"/>
        </w:sectPr>
      </w:pPr>
    </w:p>
    <w:p w14:paraId="314176E6">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报价人的资格证明文件</w:t>
      </w:r>
    </w:p>
    <w:p w14:paraId="5170C93D">
      <w:pPr>
        <w:spacing w:line="360" w:lineRule="auto"/>
        <w:jc w:val="center"/>
        <w:rPr>
          <w:rFonts w:ascii="宋体" w:hAnsi="宋体" w:cs="宋体"/>
          <w:b/>
          <w:color w:val="auto"/>
          <w:sz w:val="24"/>
          <w:szCs w:val="24"/>
          <w:highlight w:val="none"/>
        </w:rPr>
      </w:pPr>
      <w:r>
        <w:rPr>
          <w:rFonts w:hint="eastAsia" w:ascii="宋体" w:hAnsi="宋体" w:cs="宋体"/>
          <w:b/>
          <w:color w:val="auto"/>
          <w:sz w:val="32"/>
          <w:szCs w:val="32"/>
          <w:highlight w:val="none"/>
        </w:rPr>
        <w:t>关于资格的声明函</w:t>
      </w:r>
    </w:p>
    <w:p w14:paraId="62CB18D2">
      <w:pPr>
        <w:spacing w:line="360" w:lineRule="auto"/>
        <w:rPr>
          <w:rFonts w:ascii="宋体" w:hAnsi="宋体" w:cs="宋体"/>
          <w:bCs/>
          <w:color w:val="auto"/>
          <w:sz w:val="24"/>
          <w:szCs w:val="24"/>
          <w:highlight w:val="none"/>
        </w:rPr>
      </w:pPr>
    </w:p>
    <w:p w14:paraId="262A5EF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关于贵方年月日第 （项目编号）磋商邀请，本签字人愿意参加磋商，提供采购文件“采购工程及要求”中规定的（合同包/品目号）（工程名称），并证明提交的下列文件和说明是准确的和真实的。</w:t>
      </w:r>
    </w:p>
    <w:p w14:paraId="2FE27101">
      <w:pPr>
        <w:spacing w:line="360" w:lineRule="auto"/>
        <w:ind w:firstLine="480" w:firstLineChars="200"/>
        <w:rPr>
          <w:rFonts w:ascii="宋体" w:hAnsi="宋体" w:cs="宋体"/>
          <w:color w:val="auto"/>
          <w:sz w:val="24"/>
          <w:szCs w:val="24"/>
          <w:highlight w:val="none"/>
        </w:rPr>
      </w:pPr>
    </w:p>
    <w:p w14:paraId="34FE01D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1．本签字人确认资格文件中的说明以及报价文件中所有提交的文件和材料是真实的、准确的。</w:t>
      </w:r>
    </w:p>
    <w:p w14:paraId="62BA5CC8">
      <w:pPr>
        <w:spacing w:line="360" w:lineRule="auto"/>
        <w:ind w:firstLine="480" w:firstLineChars="200"/>
        <w:rPr>
          <w:rFonts w:ascii="宋体" w:hAnsi="宋体" w:cs="宋体"/>
          <w:color w:val="auto"/>
          <w:sz w:val="24"/>
          <w:szCs w:val="24"/>
          <w:highlight w:val="none"/>
        </w:rPr>
      </w:pPr>
      <w:bookmarkStart w:id="230" w:name="_Toc23663"/>
      <w:r>
        <w:rPr>
          <w:rFonts w:hint="eastAsia" w:ascii="宋体" w:hAnsi="宋体" w:cs="宋体"/>
          <w:color w:val="auto"/>
          <w:sz w:val="24"/>
          <w:szCs w:val="24"/>
          <w:highlight w:val="none"/>
        </w:rPr>
        <w:t>2．我方的资格声明正本一份，副本</w:t>
      </w:r>
      <w:r>
        <w:rPr>
          <w:rFonts w:hint="eastAsia" w:ascii="宋体" w:hAnsi="宋体" w:cs="宋体"/>
          <w:color w:val="auto"/>
          <w:sz w:val="24"/>
          <w:szCs w:val="24"/>
          <w:highlight w:val="none"/>
          <w:u w:val="single"/>
        </w:rPr>
        <w:t>四</w:t>
      </w:r>
      <w:r>
        <w:rPr>
          <w:rFonts w:hint="eastAsia" w:ascii="宋体" w:hAnsi="宋体" w:cs="宋体"/>
          <w:color w:val="auto"/>
          <w:sz w:val="24"/>
          <w:szCs w:val="24"/>
          <w:highlight w:val="none"/>
        </w:rPr>
        <w:t>份，随报价文件一同递交。</w:t>
      </w:r>
      <w:bookmarkEnd w:id="230"/>
    </w:p>
    <w:p w14:paraId="31345857">
      <w:pPr>
        <w:spacing w:line="360" w:lineRule="auto"/>
        <w:ind w:firstLine="480" w:firstLineChars="200"/>
        <w:rPr>
          <w:rFonts w:ascii="宋体" w:hAnsi="宋体" w:cs="宋体"/>
          <w:color w:val="auto"/>
          <w:sz w:val="24"/>
          <w:szCs w:val="24"/>
          <w:highlight w:val="none"/>
        </w:rPr>
      </w:pPr>
    </w:p>
    <w:p w14:paraId="4A4F2623">
      <w:pPr>
        <w:spacing w:line="360" w:lineRule="auto"/>
        <w:rPr>
          <w:rFonts w:ascii="宋体" w:hAnsi="宋体" w:cs="宋体"/>
          <w:color w:val="auto"/>
          <w:sz w:val="24"/>
          <w:szCs w:val="24"/>
          <w:highlight w:val="none"/>
        </w:rPr>
      </w:pPr>
    </w:p>
    <w:p w14:paraId="5E266E04">
      <w:pPr>
        <w:spacing w:line="360" w:lineRule="auto"/>
        <w:rPr>
          <w:rFonts w:ascii="宋体" w:hAnsi="宋体" w:cs="宋体"/>
          <w:color w:val="auto"/>
          <w:sz w:val="24"/>
          <w:szCs w:val="24"/>
          <w:highlight w:val="none"/>
        </w:rPr>
      </w:pPr>
    </w:p>
    <w:p w14:paraId="0F848AE0">
      <w:pPr>
        <w:spacing w:line="360" w:lineRule="auto"/>
        <w:rPr>
          <w:rFonts w:ascii="宋体" w:hAnsi="宋体" w:cs="宋体"/>
          <w:color w:val="auto"/>
          <w:sz w:val="24"/>
          <w:szCs w:val="24"/>
          <w:highlight w:val="none"/>
        </w:rPr>
      </w:pPr>
    </w:p>
    <w:p w14:paraId="12E3699A">
      <w:pPr>
        <w:spacing w:line="360" w:lineRule="auto"/>
        <w:rPr>
          <w:rFonts w:ascii="宋体" w:hAnsi="宋体" w:cs="宋体"/>
          <w:color w:val="auto"/>
          <w:sz w:val="24"/>
          <w:szCs w:val="24"/>
          <w:highlight w:val="none"/>
        </w:rPr>
      </w:pPr>
    </w:p>
    <w:p w14:paraId="61881819">
      <w:pPr>
        <w:spacing w:line="360" w:lineRule="auto"/>
        <w:rPr>
          <w:rFonts w:ascii="宋体" w:hAnsi="宋体" w:cs="宋体"/>
          <w:color w:val="auto"/>
          <w:sz w:val="24"/>
          <w:szCs w:val="24"/>
          <w:highlight w:val="none"/>
        </w:rPr>
      </w:pPr>
    </w:p>
    <w:p w14:paraId="32195A0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报价人（全称并加盖公章）：</w:t>
      </w:r>
    </w:p>
    <w:p w14:paraId="765BCB0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地     址：</w:t>
      </w:r>
    </w:p>
    <w:p w14:paraId="6CF02EF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邮     编：</w:t>
      </w:r>
    </w:p>
    <w:p w14:paraId="5EFFB67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 话/传 真： 电子信箱：</w:t>
      </w:r>
    </w:p>
    <w:p w14:paraId="2C1B1673">
      <w:pPr>
        <w:spacing w:line="360" w:lineRule="auto"/>
        <w:rPr>
          <w:rFonts w:ascii="宋体" w:hAnsi="宋体" w:cs="宋体"/>
          <w:b/>
          <w:bCs/>
          <w:color w:val="auto"/>
          <w:sz w:val="24"/>
          <w:szCs w:val="24"/>
          <w:highlight w:val="none"/>
          <w:u w:val="single"/>
        </w:rPr>
      </w:pPr>
      <w:r>
        <w:rPr>
          <w:rFonts w:hint="eastAsia" w:ascii="宋体" w:hAnsi="宋体" w:cs="宋体"/>
          <w:color w:val="auto"/>
          <w:sz w:val="24"/>
          <w:szCs w:val="24"/>
          <w:highlight w:val="none"/>
        </w:rPr>
        <w:t xml:space="preserve">报价人代表签字： </w:t>
      </w:r>
    </w:p>
    <w:p w14:paraId="7155A039">
      <w:pPr>
        <w:spacing w:line="360" w:lineRule="auto"/>
        <w:jc w:val="center"/>
        <w:rPr>
          <w:rFonts w:ascii="宋体" w:hAnsi="宋体" w:cs="宋体"/>
          <w:bCs/>
          <w:color w:val="auto"/>
          <w:sz w:val="24"/>
          <w:szCs w:val="24"/>
          <w:highlight w:val="none"/>
        </w:rPr>
      </w:pPr>
    </w:p>
    <w:p w14:paraId="165A0B73">
      <w:pPr>
        <w:spacing w:line="360" w:lineRule="auto"/>
        <w:jc w:val="center"/>
        <w:rPr>
          <w:rFonts w:ascii="宋体" w:hAnsi="宋体" w:cs="宋体"/>
          <w:bCs/>
          <w:color w:val="auto"/>
          <w:sz w:val="24"/>
          <w:szCs w:val="24"/>
          <w:highlight w:val="none"/>
        </w:rPr>
      </w:pPr>
    </w:p>
    <w:p w14:paraId="2A2D4AE5">
      <w:pPr>
        <w:spacing w:line="360" w:lineRule="auto"/>
        <w:jc w:val="center"/>
        <w:rPr>
          <w:rFonts w:ascii="宋体" w:hAnsi="宋体" w:cs="宋体"/>
          <w:bCs/>
          <w:color w:val="auto"/>
          <w:sz w:val="24"/>
          <w:szCs w:val="24"/>
          <w:highlight w:val="none"/>
        </w:rPr>
      </w:pPr>
    </w:p>
    <w:p w14:paraId="049BC5F9">
      <w:pPr>
        <w:spacing w:line="360" w:lineRule="auto"/>
        <w:jc w:val="center"/>
        <w:rPr>
          <w:rFonts w:ascii="宋体" w:hAnsi="宋体" w:cs="宋体"/>
          <w:bCs/>
          <w:color w:val="auto"/>
          <w:sz w:val="24"/>
          <w:szCs w:val="24"/>
          <w:highlight w:val="none"/>
        </w:rPr>
      </w:pPr>
    </w:p>
    <w:p w14:paraId="26FFD2D9">
      <w:pPr>
        <w:spacing w:line="360" w:lineRule="auto"/>
        <w:jc w:val="center"/>
        <w:rPr>
          <w:rFonts w:ascii="宋体" w:hAnsi="宋体" w:cs="宋体"/>
          <w:bCs/>
          <w:color w:val="auto"/>
          <w:sz w:val="24"/>
          <w:szCs w:val="24"/>
          <w:highlight w:val="none"/>
        </w:rPr>
      </w:pPr>
    </w:p>
    <w:p w14:paraId="6178725B">
      <w:pPr>
        <w:spacing w:line="360" w:lineRule="auto"/>
        <w:jc w:val="center"/>
        <w:rPr>
          <w:rFonts w:ascii="宋体" w:hAnsi="宋体" w:cs="宋体"/>
          <w:bCs/>
          <w:color w:val="auto"/>
          <w:sz w:val="24"/>
          <w:szCs w:val="24"/>
          <w:highlight w:val="none"/>
        </w:rPr>
      </w:pPr>
    </w:p>
    <w:p w14:paraId="2E1ABDD4">
      <w:pPr>
        <w:spacing w:line="360" w:lineRule="auto"/>
        <w:jc w:val="center"/>
        <w:rPr>
          <w:rFonts w:ascii="宋体" w:hAnsi="宋体" w:cs="宋体"/>
          <w:bCs/>
          <w:color w:val="auto"/>
          <w:sz w:val="24"/>
          <w:szCs w:val="24"/>
          <w:highlight w:val="none"/>
        </w:rPr>
      </w:pPr>
    </w:p>
    <w:p w14:paraId="57461965">
      <w:pPr>
        <w:pStyle w:val="2"/>
        <w:rPr>
          <w:color w:val="auto"/>
          <w:highlight w:val="none"/>
        </w:rPr>
      </w:pPr>
    </w:p>
    <w:p w14:paraId="454FA3FB">
      <w:pPr>
        <w:spacing w:line="360" w:lineRule="auto"/>
        <w:jc w:val="center"/>
        <w:rPr>
          <w:rFonts w:ascii="宋体" w:hAnsi="宋体" w:cs="宋体"/>
          <w:b/>
          <w:color w:val="auto"/>
          <w:sz w:val="24"/>
          <w:szCs w:val="24"/>
          <w:highlight w:val="none"/>
        </w:rPr>
      </w:pPr>
      <w:bookmarkStart w:id="231" w:name="_Toc24867"/>
      <w:r>
        <w:rPr>
          <w:rFonts w:hint="eastAsia" w:ascii="宋体" w:hAnsi="宋体" w:cs="宋体"/>
          <w:b/>
          <w:color w:val="auto"/>
          <w:sz w:val="32"/>
          <w:szCs w:val="32"/>
          <w:highlight w:val="none"/>
        </w:rPr>
        <w:t>报价人的资格声明</w:t>
      </w:r>
      <w:bookmarkEnd w:id="231"/>
    </w:p>
    <w:p w14:paraId="01EB5DE5">
      <w:pPr>
        <w:spacing w:line="360" w:lineRule="auto"/>
        <w:jc w:val="center"/>
        <w:rPr>
          <w:rFonts w:ascii="宋体" w:hAnsi="宋体" w:cs="宋体"/>
          <w:color w:val="auto"/>
          <w:sz w:val="24"/>
          <w:szCs w:val="24"/>
          <w:highlight w:val="none"/>
        </w:rPr>
      </w:pPr>
    </w:p>
    <w:p w14:paraId="7F40F5B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1.报价人概况：                                   </w:t>
      </w:r>
    </w:p>
    <w:p w14:paraId="059FCDE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Ａ．报价人名称：</w:t>
      </w:r>
    </w:p>
    <w:p w14:paraId="44202D4D">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Ｂ．注册地址：</w:t>
      </w:r>
    </w:p>
    <w:p w14:paraId="1B2699A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传真：电话：  邮编：</w:t>
      </w:r>
    </w:p>
    <w:p w14:paraId="485331CA">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Ｃ．成立或注册日期：</w:t>
      </w:r>
    </w:p>
    <w:p w14:paraId="443B9B8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Ｄ．法定代表人：（姓名、职务）</w:t>
      </w:r>
    </w:p>
    <w:p w14:paraId="7FBE1B78">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实收资本：</w:t>
      </w:r>
    </w:p>
    <w:p w14:paraId="6B3C07D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其中 国家资本： 法人资本：</w:t>
      </w:r>
    </w:p>
    <w:p w14:paraId="4E28D2E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个人资本： 外商资本：</w:t>
      </w:r>
    </w:p>
    <w:p w14:paraId="23B3665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Ｅ．最近资产负债表（到 年月 日为止）。</w:t>
      </w:r>
    </w:p>
    <w:p w14:paraId="305EA363">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(1）固定资产合计：</w:t>
      </w:r>
    </w:p>
    <w:p w14:paraId="3C6ABC7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(2）流动资产合计：</w:t>
      </w:r>
    </w:p>
    <w:p w14:paraId="1ADC9BD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(3）长期负债合计：</w:t>
      </w:r>
    </w:p>
    <w:p w14:paraId="5E78143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(4）流动负债合计：</w:t>
      </w:r>
    </w:p>
    <w:p w14:paraId="418138D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Ｆ．最近损益表（到年月日为止）。</w:t>
      </w:r>
    </w:p>
    <w:p w14:paraId="6F3BC246">
      <w:pPr>
        <w:spacing w:line="360" w:lineRule="auto"/>
        <w:ind w:firstLine="840" w:firstLineChars="350"/>
        <w:rPr>
          <w:rFonts w:ascii="宋体" w:hAnsi="宋体" w:cs="宋体"/>
          <w:color w:val="auto"/>
          <w:sz w:val="24"/>
          <w:szCs w:val="24"/>
          <w:highlight w:val="none"/>
          <w:u w:val="single"/>
        </w:rPr>
      </w:pPr>
      <w:r>
        <w:rPr>
          <w:rFonts w:hint="eastAsia" w:ascii="宋体" w:hAnsi="宋体" w:cs="宋体"/>
          <w:color w:val="auto"/>
          <w:sz w:val="24"/>
          <w:szCs w:val="24"/>
          <w:highlight w:val="none"/>
        </w:rPr>
        <w:t>（1）本年（期）利润总额累计：</w:t>
      </w:r>
    </w:p>
    <w:p w14:paraId="0D73907C">
      <w:pPr>
        <w:spacing w:line="360" w:lineRule="auto"/>
        <w:ind w:firstLine="840" w:firstLineChars="350"/>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（2）本年（期）净利润累计： </w:t>
      </w:r>
    </w:p>
    <w:p w14:paraId="29E8C409">
      <w:pPr>
        <w:spacing w:line="360" w:lineRule="auto"/>
        <w:ind w:firstLine="840" w:firstLineChars="350"/>
        <w:rPr>
          <w:rFonts w:ascii="宋体" w:hAnsi="宋体" w:cs="宋体"/>
          <w:color w:val="auto"/>
          <w:sz w:val="24"/>
          <w:szCs w:val="24"/>
          <w:highlight w:val="none"/>
        </w:rPr>
      </w:pPr>
    </w:p>
    <w:p w14:paraId="2FD0237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2.我方在此声明，我方具备并满足下列各项条款的规定。本声明如有虚假或不实之处，我方将失去合格报价人资格且我方的报价保证金将不予退还。</w:t>
      </w:r>
    </w:p>
    <w:p w14:paraId="71D3865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（1）具有独立承担民事责任的能力； </w:t>
      </w:r>
    </w:p>
    <w:p w14:paraId="752E524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（2）具有良好的商业信誉和健全的财务会计制度； </w:t>
      </w:r>
    </w:p>
    <w:p w14:paraId="2811A3E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（3）具有履行合同所必需的设备和专业技术能力； </w:t>
      </w:r>
    </w:p>
    <w:p w14:paraId="7E0809A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（4）有依法缴纳税收和社会保障资金的良好记录； </w:t>
      </w:r>
    </w:p>
    <w:p w14:paraId="344CC41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（5）近三年内，在经营活动中没有重大违法记录。</w:t>
      </w:r>
    </w:p>
    <w:p w14:paraId="7C1ABE8D">
      <w:pPr>
        <w:spacing w:line="360" w:lineRule="auto"/>
        <w:ind w:firstLine="480" w:firstLineChars="200"/>
        <w:rPr>
          <w:rFonts w:ascii="宋体" w:hAnsi="宋体" w:cs="宋体"/>
          <w:color w:val="auto"/>
          <w:sz w:val="24"/>
          <w:szCs w:val="24"/>
          <w:highlight w:val="none"/>
        </w:rPr>
      </w:pPr>
    </w:p>
    <w:p w14:paraId="6FA349C0">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3.最近三年报价工程在国内主要用户的名称和地址：</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270D0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365D62B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tcPr>
          <w:p w14:paraId="73A6CFD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项目名称、规格</w:t>
            </w:r>
          </w:p>
        </w:tc>
        <w:tc>
          <w:tcPr>
            <w:tcW w:w="1045" w:type="dxa"/>
            <w:tcBorders>
              <w:top w:val="single" w:color="auto" w:sz="4" w:space="0"/>
              <w:left w:val="single" w:color="auto" w:sz="4" w:space="0"/>
              <w:bottom w:val="single" w:color="auto" w:sz="4" w:space="0"/>
              <w:right w:val="single" w:color="auto" w:sz="4" w:space="0"/>
            </w:tcBorders>
            <w:noWrap/>
          </w:tcPr>
          <w:p w14:paraId="50A4FBB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tcPr>
          <w:p w14:paraId="2C6E8AA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竣工日期</w:t>
            </w:r>
          </w:p>
        </w:tc>
        <w:tc>
          <w:tcPr>
            <w:tcW w:w="1404" w:type="dxa"/>
            <w:tcBorders>
              <w:top w:val="single" w:color="auto" w:sz="4" w:space="0"/>
              <w:left w:val="single" w:color="auto" w:sz="4" w:space="0"/>
              <w:bottom w:val="single" w:color="auto" w:sz="4" w:space="0"/>
              <w:right w:val="single" w:color="auto" w:sz="4" w:space="0"/>
            </w:tcBorders>
            <w:noWrap/>
          </w:tcPr>
          <w:p w14:paraId="4E637E3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运行状况</w:t>
            </w:r>
          </w:p>
        </w:tc>
      </w:tr>
      <w:tr w14:paraId="4BA08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42B0A86C">
            <w:pPr>
              <w:spacing w:line="360" w:lineRule="auto"/>
              <w:rPr>
                <w:rFonts w:ascii="宋体" w:hAnsi="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tcPr>
          <w:p w14:paraId="411BF4A7">
            <w:pPr>
              <w:spacing w:line="360" w:lineRule="auto"/>
              <w:rPr>
                <w:rFonts w:ascii="宋体" w:hAnsi="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tcPr>
          <w:p w14:paraId="3CCB36E3">
            <w:pPr>
              <w:spacing w:line="360" w:lineRule="auto"/>
              <w:rPr>
                <w:rFonts w:ascii="宋体" w:hAnsi="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tcPr>
          <w:p w14:paraId="017C1B4C">
            <w:pPr>
              <w:spacing w:line="360" w:lineRule="auto"/>
              <w:rPr>
                <w:rFonts w:ascii="宋体" w:hAnsi="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tcPr>
          <w:p w14:paraId="19F19995">
            <w:pPr>
              <w:spacing w:line="360" w:lineRule="auto"/>
              <w:rPr>
                <w:rFonts w:ascii="宋体" w:hAnsi="宋体" w:cs="宋体"/>
                <w:color w:val="auto"/>
                <w:sz w:val="24"/>
                <w:szCs w:val="24"/>
                <w:highlight w:val="none"/>
              </w:rPr>
            </w:pPr>
          </w:p>
        </w:tc>
      </w:tr>
      <w:tr w14:paraId="0080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7DF6845F">
            <w:pPr>
              <w:spacing w:line="360" w:lineRule="auto"/>
              <w:rPr>
                <w:rFonts w:ascii="宋体" w:hAnsi="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tcPr>
          <w:p w14:paraId="3300FDD1">
            <w:pPr>
              <w:spacing w:line="360" w:lineRule="auto"/>
              <w:rPr>
                <w:rFonts w:ascii="宋体" w:hAnsi="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tcPr>
          <w:p w14:paraId="7164D2D3">
            <w:pPr>
              <w:spacing w:line="360" w:lineRule="auto"/>
              <w:rPr>
                <w:rFonts w:ascii="宋体" w:hAnsi="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tcPr>
          <w:p w14:paraId="0159F873">
            <w:pPr>
              <w:spacing w:line="360" w:lineRule="auto"/>
              <w:rPr>
                <w:rFonts w:ascii="宋体" w:hAnsi="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tcPr>
          <w:p w14:paraId="2F22204B">
            <w:pPr>
              <w:spacing w:line="360" w:lineRule="auto"/>
              <w:rPr>
                <w:rFonts w:ascii="宋体" w:hAnsi="宋体" w:cs="宋体"/>
                <w:color w:val="auto"/>
                <w:sz w:val="24"/>
                <w:szCs w:val="24"/>
                <w:highlight w:val="none"/>
              </w:rPr>
            </w:pPr>
          </w:p>
        </w:tc>
      </w:tr>
      <w:tr w14:paraId="38790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5AB82D46">
            <w:pPr>
              <w:spacing w:line="360" w:lineRule="auto"/>
              <w:rPr>
                <w:rFonts w:ascii="宋体" w:hAnsi="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tcPr>
          <w:p w14:paraId="2BBC3F6F">
            <w:pPr>
              <w:spacing w:line="360" w:lineRule="auto"/>
              <w:rPr>
                <w:rFonts w:ascii="宋体" w:hAnsi="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tcPr>
          <w:p w14:paraId="1DD0FAC6">
            <w:pPr>
              <w:spacing w:line="360" w:lineRule="auto"/>
              <w:rPr>
                <w:rFonts w:ascii="宋体" w:hAnsi="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tcPr>
          <w:p w14:paraId="5504CC40">
            <w:pPr>
              <w:spacing w:line="360" w:lineRule="auto"/>
              <w:rPr>
                <w:rFonts w:ascii="宋体" w:hAnsi="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tcPr>
          <w:p w14:paraId="603E1B57">
            <w:pPr>
              <w:spacing w:line="360" w:lineRule="auto"/>
              <w:rPr>
                <w:rFonts w:ascii="宋体" w:hAnsi="宋体" w:cs="宋体"/>
                <w:color w:val="auto"/>
                <w:sz w:val="24"/>
                <w:szCs w:val="24"/>
                <w:highlight w:val="none"/>
              </w:rPr>
            </w:pPr>
          </w:p>
        </w:tc>
      </w:tr>
      <w:tr w14:paraId="1B1C6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09C09137">
            <w:pPr>
              <w:spacing w:line="360" w:lineRule="auto"/>
              <w:rPr>
                <w:rFonts w:ascii="宋体" w:hAnsi="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tcPr>
          <w:p w14:paraId="47FAA05E">
            <w:pPr>
              <w:spacing w:line="360" w:lineRule="auto"/>
              <w:rPr>
                <w:rFonts w:ascii="宋体" w:hAnsi="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tcPr>
          <w:p w14:paraId="5424DC31">
            <w:pPr>
              <w:spacing w:line="360" w:lineRule="auto"/>
              <w:rPr>
                <w:rFonts w:ascii="宋体" w:hAnsi="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tcPr>
          <w:p w14:paraId="3C0AFDC3">
            <w:pPr>
              <w:spacing w:line="360" w:lineRule="auto"/>
              <w:rPr>
                <w:rFonts w:ascii="宋体" w:hAnsi="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tcPr>
          <w:p w14:paraId="56BB3CDD">
            <w:pPr>
              <w:spacing w:line="360" w:lineRule="auto"/>
              <w:rPr>
                <w:rFonts w:ascii="宋体" w:hAnsi="宋体" w:cs="宋体"/>
                <w:color w:val="auto"/>
                <w:sz w:val="24"/>
                <w:szCs w:val="24"/>
                <w:highlight w:val="none"/>
              </w:rPr>
            </w:pPr>
          </w:p>
        </w:tc>
      </w:tr>
    </w:tbl>
    <w:p w14:paraId="15EBFB5C">
      <w:pPr>
        <w:spacing w:line="360" w:lineRule="auto"/>
        <w:rPr>
          <w:rFonts w:ascii="宋体" w:hAnsi="宋体" w:cs="宋体"/>
          <w:bCs/>
          <w:color w:val="auto"/>
          <w:sz w:val="24"/>
          <w:szCs w:val="24"/>
          <w:highlight w:val="none"/>
        </w:rPr>
      </w:pPr>
    </w:p>
    <w:p w14:paraId="6A28818B">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4.单位营业执照、税务登记证见附件</w:t>
      </w:r>
    </w:p>
    <w:p w14:paraId="2558F6E2">
      <w:pPr>
        <w:spacing w:line="360" w:lineRule="auto"/>
        <w:rPr>
          <w:rFonts w:ascii="宋体" w:hAnsi="宋体" w:cs="宋体"/>
          <w:bCs/>
          <w:color w:val="auto"/>
          <w:sz w:val="24"/>
          <w:szCs w:val="24"/>
          <w:highlight w:val="none"/>
        </w:rPr>
      </w:pPr>
      <w:r>
        <w:rPr>
          <w:rFonts w:hint="eastAsia" w:ascii="宋体" w:hAnsi="宋体" w:cs="宋体"/>
          <w:color w:val="auto"/>
          <w:sz w:val="24"/>
          <w:szCs w:val="24"/>
          <w:highlight w:val="none"/>
        </w:rPr>
        <w:t>（营业执照有加载统一社会信用代码的，无需提供税务登记证、组织机构代码证。）</w:t>
      </w:r>
    </w:p>
    <w:p w14:paraId="01010CA4">
      <w:pPr>
        <w:spacing w:line="360" w:lineRule="auto"/>
        <w:rPr>
          <w:rFonts w:ascii="宋体" w:hAnsi="宋体" w:cs="宋体"/>
          <w:bCs/>
          <w:color w:val="auto"/>
          <w:sz w:val="24"/>
          <w:szCs w:val="24"/>
          <w:highlight w:val="none"/>
        </w:rPr>
      </w:pPr>
    </w:p>
    <w:p w14:paraId="78731AF6">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就我方全部所知，兹证明上述声明是真实、正确的，并已提供了全部现有资料和数据，我方同意根据贵方要求出示文件予以证实。</w:t>
      </w:r>
    </w:p>
    <w:p w14:paraId="53FF5FB6">
      <w:pPr>
        <w:spacing w:line="360" w:lineRule="auto"/>
        <w:rPr>
          <w:rFonts w:ascii="宋体" w:hAnsi="宋体" w:cs="宋体"/>
          <w:bCs/>
          <w:color w:val="auto"/>
          <w:sz w:val="24"/>
          <w:szCs w:val="24"/>
          <w:highlight w:val="none"/>
        </w:rPr>
      </w:pPr>
    </w:p>
    <w:p w14:paraId="258ECFB0">
      <w:pPr>
        <w:spacing w:line="360" w:lineRule="auto"/>
        <w:rPr>
          <w:rFonts w:ascii="宋体" w:hAnsi="宋体" w:cs="宋体"/>
          <w:b/>
          <w:bCs/>
          <w:color w:val="auto"/>
          <w:sz w:val="24"/>
          <w:szCs w:val="24"/>
          <w:highlight w:val="none"/>
        </w:rPr>
      </w:pPr>
    </w:p>
    <w:p w14:paraId="720C0A61">
      <w:pPr>
        <w:spacing w:line="360" w:lineRule="auto"/>
        <w:ind w:firstLine="120" w:firstLineChars="50"/>
        <w:rPr>
          <w:rFonts w:ascii="宋体" w:hAnsi="宋体" w:cs="宋体"/>
          <w:b/>
          <w:bCs/>
          <w:color w:val="auto"/>
          <w:sz w:val="24"/>
          <w:szCs w:val="24"/>
          <w:highlight w:val="none"/>
        </w:rPr>
      </w:pPr>
      <w:r>
        <w:rPr>
          <w:rFonts w:hint="eastAsia" w:ascii="宋体" w:hAnsi="宋体" w:cs="宋体"/>
          <w:bCs/>
          <w:color w:val="auto"/>
          <w:sz w:val="24"/>
          <w:szCs w:val="24"/>
          <w:highlight w:val="none"/>
        </w:rPr>
        <w:t>报价人（全称并加盖公章）：</w:t>
      </w:r>
    </w:p>
    <w:p w14:paraId="7E9E7B0A">
      <w:pPr>
        <w:spacing w:line="360" w:lineRule="auto"/>
        <w:rPr>
          <w:rFonts w:ascii="宋体" w:hAnsi="宋体" w:cs="宋体"/>
          <w:bCs/>
          <w:color w:val="auto"/>
          <w:sz w:val="24"/>
          <w:szCs w:val="24"/>
          <w:highlight w:val="none"/>
          <w:u w:val="single"/>
        </w:rPr>
      </w:pPr>
      <w:r>
        <w:rPr>
          <w:rFonts w:hint="eastAsia" w:ascii="宋体" w:hAnsi="宋体" w:cs="宋体"/>
          <w:bCs/>
          <w:color w:val="auto"/>
          <w:sz w:val="24"/>
          <w:szCs w:val="24"/>
          <w:highlight w:val="none"/>
        </w:rPr>
        <w:t xml:space="preserve"> 报价人代表签字：</w:t>
      </w:r>
    </w:p>
    <w:p w14:paraId="06D67A2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日      期：年月  日</w:t>
      </w:r>
    </w:p>
    <w:p w14:paraId="0493C8F3">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传      真：</w:t>
      </w:r>
    </w:p>
    <w:p w14:paraId="15681D7A">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电      话：</w:t>
      </w:r>
    </w:p>
    <w:p w14:paraId="18867922">
      <w:pPr>
        <w:spacing w:line="360" w:lineRule="auto"/>
        <w:rPr>
          <w:rFonts w:ascii="宋体" w:hAnsi="宋体" w:cs="宋体"/>
          <w:color w:val="auto"/>
          <w:sz w:val="24"/>
          <w:szCs w:val="24"/>
          <w:highlight w:val="none"/>
        </w:rPr>
      </w:pPr>
    </w:p>
    <w:p w14:paraId="00B3BB1F">
      <w:pPr>
        <w:spacing w:line="360" w:lineRule="auto"/>
        <w:rPr>
          <w:rFonts w:ascii="宋体" w:hAnsi="宋体" w:cs="宋体"/>
          <w:b/>
          <w:bCs/>
          <w:color w:val="auto"/>
          <w:sz w:val="24"/>
          <w:szCs w:val="24"/>
          <w:highlight w:val="none"/>
        </w:rPr>
      </w:pPr>
    </w:p>
    <w:p w14:paraId="3885496C">
      <w:pPr>
        <w:spacing w:line="360" w:lineRule="auto"/>
        <w:rPr>
          <w:rFonts w:ascii="宋体" w:hAnsi="宋体" w:cs="宋体"/>
          <w:b/>
          <w:bCs/>
          <w:color w:val="auto"/>
          <w:sz w:val="24"/>
          <w:szCs w:val="24"/>
          <w:highlight w:val="none"/>
        </w:rPr>
      </w:pPr>
    </w:p>
    <w:p w14:paraId="5CEC5F9C">
      <w:pPr>
        <w:spacing w:line="360" w:lineRule="auto"/>
        <w:rPr>
          <w:rFonts w:ascii="宋体" w:hAnsi="宋体" w:cs="宋体"/>
          <w:b/>
          <w:bCs/>
          <w:color w:val="auto"/>
          <w:sz w:val="24"/>
          <w:szCs w:val="24"/>
          <w:highlight w:val="none"/>
        </w:rPr>
      </w:pPr>
    </w:p>
    <w:p w14:paraId="3630E901">
      <w:pPr>
        <w:spacing w:line="360" w:lineRule="auto"/>
        <w:rPr>
          <w:rFonts w:ascii="宋体" w:hAnsi="宋体" w:cs="宋体"/>
          <w:b/>
          <w:bCs/>
          <w:color w:val="auto"/>
          <w:sz w:val="24"/>
          <w:szCs w:val="24"/>
          <w:highlight w:val="none"/>
        </w:rPr>
      </w:pPr>
    </w:p>
    <w:p w14:paraId="431DAEBF">
      <w:pPr>
        <w:spacing w:line="360" w:lineRule="auto"/>
        <w:rPr>
          <w:rFonts w:ascii="宋体" w:hAnsi="宋体" w:cs="宋体"/>
          <w:b/>
          <w:bCs/>
          <w:color w:val="auto"/>
          <w:sz w:val="24"/>
          <w:szCs w:val="24"/>
          <w:highlight w:val="none"/>
        </w:rPr>
      </w:pPr>
    </w:p>
    <w:p w14:paraId="46A11FA8">
      <w:pPr>
        <w:spacing w:line="360" w:lineRule="auto"/>
        <w:rPr>
          <w:rFonts w:ascii="宋体" w:hAnsi="宋体" w:cs="宋体"/>
          <w:b/>
          <w:bCs/>
          <w:color w:val="auto"/>
          <w:sz w:val="24"/>
          <w:szCs w:val="24"/>
          <w:highlight w:val="none"/>
        </w:rPr>
      </w:pPr>
    </w:p>
    <w:p w14:paraId="1079783D">
      <w:pPr>
        <w:spacing w:line="360" w:lineRule="auto"/>
        <w:rPr>
          <w:rFonts w:ascii="宋体" w:hAnsi="宋体" w:cs="宋体"/>
          <w:b/>
          <w:bCs/>
          <w:color w:val="auto"/>
          <w:sz w:val="24"/>
          <w:szCs w:val="24"/>
          <w:highlight w:val="none"/>
        </w:rPr>
      </w:pPr>
    </w:p>
    <w:p w14:paraId="09FDA377">
      <w:pPr>
        <w:spacing w:line="360" w:lineRule="auto"/>
        <w:rPr>
          <w:rFonts w:ascii="宋体" w:hAnsi="宋体" w:cs="宋体"/>
          <w:b/>
          <w:bCs/>
          <w:color w:val="auto"/>
          <w:sz w:val="24"/>
          <w:szCs w:val="24"/>
          <w:highlight w:val="none"/>
        </w:rPr>
      </w:pPr>
    </w:p>
    <w:p w14:paraId="18F04DE4">
      <w:pPr>
        <w:spacing w:line="360" w:lineRule="auto"/>
        <w:jc w:val="center"/>
        <w:rPr>
          <w:rFonts w:ascii="宋体" w:hAnsi="宋体" w:cs="宋体"/>
          <w:b/>
          <w:bCs/>
          <w:color w:val="auto"/>
          <w:sz w:val="32"/>
          <w:szCs w:val="32"/>
          <w:highlight w:val="none"/>
        </w:rPr>
      </w:pPr>
    </w:p>
    <w:p w14:paraId="272FE59F">
      <w:pPr>
        <w:spacing w:line="360" w:lineRule="auto"/>
        <w:jc w:val="center"/>
        <w:rPr>
          <w:rFonts w:ascii="宋体" w:hAnsi="宋体" w:cs="宋体"/>
          <w:b/>
          <w:bCs/>
          <w:color w:val="auto"/>
          <w:sz w:val="32"/>
          <w:szCs w:val="32"/>
          <w:highlight w:val="none"/>
        </w:rPr>
      </w:pPr>
    </w:p>
    <w:p w14:paraId="16832C7F">
      <w:pPr>
        <w:spacing w:line="360" w:lineRule="auto"/>
        <w:jc w:val="center"/>
        <w:rPr>
          <w:rFonts w:ascii="宋体" w:hAnsi="宋体" w:cs="宋体"/>
          <w:b/>
          <w:bCs/>
          <w:color w:val="auto"/>
          <w:sz w:val="24"/>
          <w:szCs w:val="24"/>
          <w:highlight w:val="none"/>
        </w:rPr>
      </w:pPr>
      <w:r>
        <w:rPr>
          <w:rFonts w:hint="eastAsia" w:ascii="宋体" w:hAnsi="宋体" w:cs="宋体"/>
          <w:b/>
          <w:bCs/>
          <w:color w:val="auto"/>
          <w:sz w:val="32"/>
          <w:szCs w:val="32"/>
          <w:highlight w:val="none"/>
        </w:rPr>
        <w:t>单位授权书</w:t>
      </w:r>
    </w:p>
    <w:p w14:paraId="6CFD6AC8">
      <w:pPr>
        <w:spacing w:line="360" w:lineRule="auto"/>
        <w:jc w:val="center"/>
        <w:rPr>
          <w:rFonts w:ascii="宋体" w:hAnsi="宋体" w:cs="宋体"/>
          <w:bCs/>
          <w:color w:val="auto"/>
          <w:sz w:val="24"/>
          <w:szCs w:val="24"/>
          <w:highlight w:val="none"/>
        </w:rPr>
      </w:pPr>
    </w:p>
    <w:p w14:paraId="01DF5CA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p w14:paraId="2884D01D">
      <w:pPr>
        <w:pStyle w:val="8"/>
        <w:snapToGrid w:val="0"/>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u w:val="single"/>
        </w:rPr>
        <w:t xml:space="preserve">（报价人全称）        </w:t>
      </w:r>
      <w:r>
        <w:rPr>
          <w:rFonts w:hint="eastAsia" w:hAnsi="宋体" w:cs="宋体"/>
          <w:color w:val="auto"/>
          <w:sz w:val="24"/>
          <w:szCs w:val="24"/>
          <w:highlight w:val="none"/>
        </w:rPr>
        <w:t xml:space="preserve"> 授权</w:t>
      </w:r>
      <w:r>
        <w:rPr>
          <w:rFonts w:hint="eastAsia" w:hAnsi="宋体" w:cs="宋体"/>
          <w:color w:val="auto"/>
          <w:sz w:val="24"/>
          <w:szCs w:val="24"/>
          <w:highlight w:val="none"/>
          <w:u w:val="single"/>
        </w:rPr>
        <w:t xml:space="preserve">  （报价人代表姓名）</w:t>
      </w:r>
      <w:r>
        <w:rPr>
          <w:rFonts w:hint="eastAsia" w:hAnsi="宋体" w:cs="宋体"/>
          <w:color w:val="auto"/>
          <w:sz w:val="24"/>
          <w:szCs w:val="24"/>
          <w:highlight w:val="none"/>
        </w:rPr>
        <w:t>为报价人代表，代表本公司参加贵司组织的项目（项目编号）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3EB50186">
      <w:pPr>
        <w:pStyle w:val="8"/>
        <w:snapToGrid w:val="0"/>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本授权书自出具之日起生效。</w:t>
      </w:r>
    </w:p>
    <w:p w14:paraId="698E610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报价人代表：  性别：身份证号：</w:t>
      </w:r>
    </w:p>
    <w:p w14:paraId="597B562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单位：  部门：    职务：</w:t>
      </w:r>
    </w:p>
    <w:p w14:paraId="7DAD67EE">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详细通讯地址：邮政编码： 电话：</w:t>
      </w:r>
    </w:p>
    <w:p w14:paraId="222A135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电子信箱：</w:t>
      </w:r>
    </w:p>
    <w:p w14:paraId="7BE26D8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附：被授权人身份证件</w:t>
      </w:r>
    </w:p>
    <w:p w14:paraId="2B5D53DB">
      <w:pPr>
        <w:spacing w:line="360" w:lineRule="auto"/>
        <w:ind w:firstLine="4080" w:firstLineChars="1700"/>
        <w:rPr>
          <w:rFonts w:ascii="宋体" w:hAnsi="宋体" w:cs="宋体"/>
          <w:color w:val="auto"/>
          <w:sz w:val="24"/>
          <w:szCs w:val="24"/>
          <w:highlight w:val="none"/>
        </w:rPr>
      </w:pPr>
      <w:r>
        <w:rPr>
          <w:rFonts w:hint="eastAsia" w:ascii="宋体" w:hAnsi="宋体" w:cs="宋体"/>
          <w:color w:val="auto"/>
          <w:sz w:val="24"/>
          <w:szCs w:val="24"/>
          <w:highlight w:val="none"/>
        </w:rPr>
        <w:t>授权方</w:t>
      </w:r>
    </w:p>
    <w:p w14:paraId="43A99FB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报价人（全称并加盖公章）：</w:t>
      </w:r>
    </w:p>
    <w:p w14:paraId="4859222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日     期：</w:t>
      </w:r>
    </w:p>
    <w:p w14:paraId="634BBEBD">
      <w:pPr>
        <w:spacing w:line="360" w:lineRule="auto"/>
        <w:ind w:firstLine="4080" w:firstLineChars="1700"/>
        <w:rPr>
          <w:rFonts w:ascii="宋体" w:hAnsi="宋体" w:cs="宋体"/>
          <w:color w:val="auto"/>
          <w:sz w:val="24"/>
          <w:szCs w:val="24"/>
          <w:highlight w:val="none"/>
        </w:rPr>
      </w:pPr>
      <w:r>
        <w:rPr>
          <w:rFonts w:hint="eastAsia" w:ascii="宋体" w:hAnsi="宋体" w:cs="宋体"/>
          <w:color w:val="auto"/>
          <w:sz w:val="24"/>
          <w:szCs w:val="24"/>
          <w:highlight w:val="none"/>
        </w:rPr>
        <w:t>接受授权方</w:t>
      </w:r>
    </w:p>
    <w:p w14:paraId="1D2DDCC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报价人代表签字：</w:t>
      </w:r>
    </w:p>
    <w:p w14:paraId="4796C6A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日     期：</w:t>
      </w:r>
    </w:p>
    <w:p w14:paraId="4681703D">
      <w:pPr>
        <w:pStyle w:val="23"/>
        <w:spacing w:line="360" w:lineRule="auto"/>
        <w:jc w:val="center"/>
        <w:outlineLvl w:val="9"/>
        <w:rPr>
          <w:rFonts w:hAnsi="宋体" w:cs="宋体"/>
          <w:b/>
          <w:color w:val="auto"/>
          <w:sz w:val="32"/>
          <w:szCs w:val="32"/>
          <w:highlight w:val="none"/>
        </w:rPr>
      </w:pPr>
    </w:p>
    <w:p w14:paraId="62B18719">
      <w:pPr>
        <w:pStyle w:val="23"/>
        <w:spacing w:line="360" w:lineRule="auto"/>
        <w:jc w:val="center"/>
        <w:outlineLvl w:val="9"/>
        <w:rPr>
          <w:rFonts w:hAnsi="宋体" w:cs="宋体"/>
          <w:b/>
          <w:color w:val="auto"/>
          <w:sz w:val="32"/>
          <w:szCs w:val="32"/>
          <w:highlight w:val="none"/>
        </w:rPr>
      </w:pPr>
    </w:p>
    <w:p w14:paraId="5C20F43D">
      <w:pPr>
        <w:pStyle w:val="23"/>
        <w:spacing w:line="360" w:lineRule="auto"/>
        <w:jc w:val="center"/>
        <w:outlineLvl w:val="9"/>
        <w:rPr>
          <w:rFonts w:hAnsi="宋体" w:cs="宋体"/>
          <w:b/>
          <w:color w:val="auto"/>
          <w:sz w:val="32"/>
          <w:szCs w:val="32"/>
          <w:highlight w:val="none"/>
        </w:rPr>
      </w:pPr>
    </w:p>
    <w:p w14:paraId="4F0D237B">
      <w:pPr>
        <w:pStyle w:val="23"/>
        <w:spacing w:line="360" w:lineRule="auto"/>
        <w:jc w:val="center"/>
        <w:outlineLvl w:val="9"/>
        <w:rPr>
          <w:rFonts w:hAnsi="宋体" w:cs="宋体"/>
          <w:b/>
          <w:color w:val="auto"/>
          <w:sz w:val="32"/>
          <w:szCs w:val="32"/>
          <w:highlight w:val="none"/>
        </w:rPr>
      </w:pPr>
    </w:p>
    <w:p w14:paraId="6EE3F8CB">
      <w:pPr>
        <w:pStyle w:val="23"/>
        <w:spacing w:line="360" w:lineRule="auto"/>
        <w:jc w:val="center"/>
        <w:outlineLvl w:val="9"/>
        <w:rPr>
          <w:rFonts w:hAnsi="宋体" w:cs="宋体"/>
          <w:b/>
          <w:color w:val="auto"/>
          <w:sz w:val="32"/>
          <w:szCs w:val="32"/>
          <w:highlight w:val="none"/>
        </w:rPr>
      </w:pPr>
    </w:p>
    <w:p w14:paraId="0AE72A75">
      <w:pPr>
        <w:pStyle w:val="23"/>
        <w:spacing w:line="360" w:lineRule="auto"/>
        <w:jc w:val="center"/>
        <w:outlineLvl w:val="9"/>
        <w:rPr>
          <w:rFonts w:hAnsi="宋体" w:cs="宋体"/>
          <w:color w:val="auto"/>
          <w:sz w:val="24"/>
          <w:szCs w:val="24"/>
          <w:highlight w:val="none"/>
        </w:rPr>
      </w:pPr>
      <w:bookmarkStart w:id="232" w:name="_Toc1013684296"/>
      <w:bookmarkStart w:id="233" w:name="_Toc29856"/>
      <w:r>
        <w:rPr>
          <w:rFonts w:hint="eastAsia" w:hAnsi="宋体" w:cs="宋体"/>
          <w:b/>
          <w:color w:val="auto"/>
          <w:sz w:val="32"/>
          <w:szCs w:val="32"/>
          <w:highlight w:val="none"/>
        </w:rPr>
        <w:t>单位营业执照、税务登记证</w:t>
      </w:r>
      <w:bookmarkEnd w:id="232"/>
      <w:bookmarkEnd w:id="233"/>
    </w:p>
    <w:p w14:paraId="7504C648">
      <w:pPr>
        <w:spacing w:line="360" w:lineRule="auto"/>
        <w:rPr>
          <w:rFonts w:ascii="宋体" w:hAnsi="宋体" w:cs="宋体"/>
          <w:color w:val="auto"/>
          <w:sz w:val="24"/>
          <w:szCs w:val="24"/>
          <w:highlight w:val="none"/>
        </w:rPr>
      </w:pPr>
    </w:p>
    <w:p w14:paraId="376E830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p w14:paraId="45E2EB0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现附上由（签发机关名称）签发的我方单位营业执照副本复印件，该营业执照，真实有效。</w:t>
      </w:r>
    </w:p>
    <w:p w14:paraId="444528D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现附上由（签发机关名称）签发的我方税务登记证副本复印件，该证件真实有效。</w:t>
      </w:r>
    </w:p>
    <w:p w14:paraId="75AF08DB">
      <w:pPr>
        <w:spacing w:line="360" w:lineRule="auto"/>
        <w:rPr>
          <w:rFonts w:ascii="宋体" w:hAnsi="宋体" w:cs="宋体"/>
          <w:color w:val="auto"/>
          <w:sz w:val="24"/>
          <w:szCs w:val="24"/>
          <w:highlight w:val="none"/>
        </w:rPr>
      </w:pPr>
    </w:p>
    <w:p w14:paraId="453330B0">
      <w:pPr>
        <w:pStyle w:val="6"/>
        <w:spacing w:after="0"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注：单位营业执照、税务登记证提供复印件，由企业加盖公章并注明复印件与原件一致。或提供含统一社会信用代码证照。</w:t>
      </w:r>
    </w:p>
    <w:p w14:paraId="262A13DC">
      <w:pPr>
        <w:spacing w:line="360" w:lineRule="auto"/>
        <w:rPr>
          <w:rFonts w:ascii="宋体" w:hAnsi="宋体" w:cs="宋体"/>
          <w:color w:val="auto"/>
          <w:sz w:val="24"/>
          <w:szCs w:val="24"/>
          <w:highlight w:val="none"/>
        </w:rPr>
      </w:pPr>
    </w:p>
    <w:p w14:paraId="01B31A98">
      <w:pPr>
        <w:spacing w:line="360" w:lineRule="auto"/>
        <w:rPr>
          <w:rFonts w:ascii="宋体" w:hAnsi="宋体" w:cs="宋体"/>
          <w:color w:val="auto"/>
          <w:sz w:val="24"/>
          <w:szCs w:val="24"/>
          <w:highlight w:val="none"/>
        </w:rPr>
      </w:pPr>
    </w:p>
    <w:p w14:paraId="027D383B">
      <w:pPr>
        <w:spacing w:line="360" w:lineRule="auto"/>
        <w:rPr>
          <w:rFonts w:ascii="宋体" w:hAnsi="宋体" w:cs="宋体"/>
          <w:color w:val="auto"/>
          <w:sz w:val="24"/>
          <w:szCs w:val="24"/>
          <w:highlight w:val="none"/>
        </w:rPr>
      </w:pPr>
    </w:p>
    <w:p w14:paraId="0EFEB0A4">
      <w:pPr>
        <w:spacing w:line="360" w:lineRule="auto"/>
        <w:rPr>
          <w:rFonts w:ascii="宋体" w:hAnsi="宋体" w:cs="宋体"/>
          <w:color w:val="auto"/>
          <w:sz w:val="24"/>
          <w:szCs w:val="24"/>
          <w:highlight w:val="none"/>
        </w:rPr>
      </w:pPr>
    </w:p>
    <w:p w14:paraId="20E3396F">
      <w:pPr>
        <w:spacing w:line="360" w:lineRule="auto"/>
        <w:rPr>
          <w:rFonts w:ascii="宋体" w:hAnsi="宋体" w:cs="宋体"/>
          <w:color w:val="auto"/>
          <w:sz w:val="24"/>
          <w:szCs w:val="24"/>
          <w:highlight w:val="none"/>
        </w:rPr>
      </w:pPr>
    </w:p>
    <w:p w14:paraId="511BD278">
      <w:pPr>
        <w:spacing w:line="360" w:lineRule="auto"/>
        <w:rPr>
          <w:rFonts w:ascii="宋体" w:hAnsi="宋体" w:cs="宋体"/>
          <w:color w:val="auto"/>
          <w:sz w:val="24"/>
          <w:szCs w:val="24"/>
          <w:highlight w:val="none"/>
        </w:rPr>
      </w:pPr>
    </w:p>
    <w:p w14:paraId="21C3E071">
      <w:pPr>
        <w:spacing w:line="360" w:lineRule="auto"/>
        <w:rPr>
          <w:rFonts w:ascii="宋体" w:hAnsi="宋体" w:cs="宋体"/>
          <w:color w:val="auto"/>
          <w:sz w:val="24"/>
          <w:szCs w:val="24"/>
          <w:highlight w:val="none"/>
        </w:rPr>
      </w:pPr>
    </w:p>
    <w:p w14:paraId="1630F688">
      <w:pPr>
        <w:spacing w:line="360" w:lineRule="auto"/>
        <w:rPr>
          <w:rFonts w:ascii="宋体" w:hAnsi="宋体" w:cs="宋体"/>
          <w:color w:val="auto"/>
          <w:sz w:val="24"/>
          <w:szCs w:val="24"/>
          <w:highlight w:val="none"/>
        </w:rPr>
      </w:pPr>
    </w:p>
    <w:p w14:paraId="445A600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报价人（全称并加盖公章）：</w:t>
      </w:r>
    </w:p>
    <w:p w14:paraId="76144CE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报价人代表签字：</w:t>
      </w:r>
    </w:p>
    <w:p w14:paraId="05B3F4E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日      期：</w:t>
      </w:r>
    </w:p>
    <w:p w14:paraId="38F21534">
      <w:pPr>
        <w:spacing w:line="360" w:lineRule="auto"/>
        <w:rPr>
          <w:rFonts w:ascii="宋体" w:hAnsi="宋体" w:cs="宋体"/>
          <w:color w:val="auto"/>
          <w:sz w:val="24"/>
          <w:szCs w:val="24"/>
          <w:highlight w:val="none"/>
        </w:rPr>
      </w:pPr>
    </w:p>
    <w:p w14:paraId="1514AC48">
      <w:pPr>
        <w:spacing w:line="360" w:lineRule="auto"/>
        <w:rPr>
          <w:rFonts w:ascii="宋体" w:hAnsi="宋体" w:cs="宋体"/>
          <w:color w:val="auto"/>
          <w:sz w:val="24"/>
          <w:szCs w:val="24"/>
          <w:highlight w:val="none"/>
        </w:rPr>
      </w:pPr>
    </w:p>
    <w:p w14:paraId="03AD876C">
      <w:pPr>
        <w:spacing w:line="360" w:lineRule="auto"/>
        <w:jc w:val="center"/>
        <w:rPr>
          <w:rFonts w:ascii="宋体" w:hAnsi="宋体" w:cs="宋体"/>
          <w:b/>
          <w:bCs/>
          <w:color w:val="auto"/>
          <w:sz w:val="24"/>
          <w:szCs w:val="24"/>
          <w:highlight w:val="none"/>
        </w:rPr>
      </w:pPr>
    </w:p>
    <w:p w14:paraId="4C6C1113">
      <w:pPr>
        <w:spacing w:line="360" w:lineRule="auto"/>
        <w:jc w:val="center"/>
        <w:rPr>
          <w:rFonts w:ascii="宋体" w:hAnsi="宋体" w:cs="宋体"/>
          <w:b/>
          <w:bCs/>
          <w:color w:val="auto"/>
          <w:sz w:val="24"/>
          <w:szCs w:val="24"/>
          <w:highlight w:val="none"/>
        </w:rPr>
      </w:pPr>
    </w:p>
    <w:p w14:paraId="415E4F8F">
      <w:pPr>
        <w:spacing w:line="360" w:lineRule="auto"/>
        <w:jc w:val="center"/>
        <w:rPr>
          <w:rFonts w:ascii="宋体" w:hAnsi="宋体" w:cs="宋体"/>
          <w:b/>
          <w:bCs/>
          <w:color w:val="auto"/>
          <w:sz w:val="24"/>
          <w:szCs w:val="24"/>
          <w:highlight w:val="none"/>
        </w:rPr>
      </w:pPr>
    </w:p>
    <w:p w14:paraId="23516F22">
      <w:pPr>
        <w:tabs>
          <w:tab w:val="left" w:pos="2100"/>
          <w:tab w:val="center" w:pos="4201"/>
        </w:tabs>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p>
    <w:p w14:paraId="69C423D0">
      <w:pPr>
        <w:tabs>
          <w:tab w:val="left" w:pos="2100"/>
          <w:tab w:val="center" w:pos="4201"/>
        </w:tabs>
        <w:spacing w:line="360" w:lineRule="auto"/>
        <w:jc w:val="left"/>
        <w:rPr>
          <w:rFonts w:ascii="宋体" w:hAnsi="宋体" w:cs="宋体"/>
          <w:color w:val="auto"/>
          <w:sz w:val="24"/>
          <w:szCs w:val="24"/>
          <w:highlight w:val="none"/>
        </w:rPr>
      </w:pPr>
    </w:p>
    <w:p w14:paraId="1B4112AD">
      <w:pPr>
        <w:tabs>
          <w:tab w:val="left" w:pos="2100"/>
          <w:tab w:val="center" w:pos="4201"/>
        </w:tabs>
        <w:spacing w:line="360" w:lineRule="auto"/>
        <w:jc w:val="left"/>
        <w:rPr>
          <w:rFonts w:ascii="宋体" w:hAnsi="宋体" w:cs="宋体"/>
          <w:color w:val="auto"/>
          <w:sz w:val="24"/>
          <w:szCs w:val="24"/>
          <w:highlight w:val="none"/>
        </w:rPr>
      </w:pPr>
    </w:p>
    <w:p w14:paraId="5BD8B43C">
      <w:pPr>
        <w:spacing w:line="360" w:lineRule="auto"/>
        <w:jc w:val="center"/>
        <w:rPr>
          <w:rFonts w:ascii="宋体" w:hAnsi="宋体" w:cs="宋体"/>
          <w:color w:val="auto"/>
          <w:sz w:val="24"/>
          <w:szCs w:val="24"/>
          <w:highlight w:val="none"/>
        </w:rPr>
      </w:pPr>
      <w:r>
        <w:rPr>
          <w:rFonts w:hint="eastAsia" w:ascii="宋体" w:hAnsi="宋体" w:cs="宋体"/>
          <w:b/>
          <w:bCs/>
          <w:color w:val="auto"/>
          <w:sz w:val="32"/>
          <w:szCs w:val="32"/>
          <w:highlight w:val="none"/>
        </w:rPr>
        <w:t>代理服务费承诺书</w:t>
      </w:r>
    </w:p>
    <w:p w14:paraId="422B05BA">
      <w:pPr>
        <w:pStyle w:val="23"/>
        <w:spacing w:line="360" w:lineRule="auto"/>
        <w:jc w:val="center"/>
        <w:outlineLvl w:val="9"/>
        <w:rPr>
          <w:rFonts w:hAnsi="宋体" w:cs="宋体"/>
          <w:color w:val="auto"/>
          <w:sz w:val="24"/>
          <w:szCs w:val="24"/>
          <w:highlight w:val="none"/>
        </w:rPr>
      </w:pPr>
      <w:r>
        <w:rPr>
          <w:rFonts w:hint="eastAsia" w:hAnsi="宋体" w:cs="宋体"/>
          <w:color w:val="auto"/>
          <w:sz w:val="24"/>
          <w:szCs w:val="24"/>
          <w:highlight w:val="none"/>
        </w:rPr>
        <w:cr/>
      </w:r>
    </w:p>
    <w:p w14:paraId="1C5854A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致：厦门万翔招标有限公司</w:t>
      </w:r>
    </w:p>
    <w:p w14:paraId="2E47DC5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我司在贵司组织的</w:t>
      </w:r>
      <w:r>
        <w:rPr>
          <w:rFonts w:hint="eastAsia" w:ascii="宋体" w:hAnsi="宋体" w:cs="宋体"/>
          <w:color w:val="auto"/>
          <w:sz w:val="24"/>
          <w:szCs w:val="24"/>
          <w:highlight w:val="none"/>
          <w:u w:val="single"/>
        </w:rPr>
        <w:t xml:space="preserve">         采购磋商</w:t>
      </w:r>
      <w:r>
        <w:rPr>
          <w:rFonts w:hint="eastAsia" w:ascii="宋体" w:hAnsi="宋体" w:cs="宋体"/>
          <w:color w:val="auto"/>
          <w:sz w:val="24"/>
          <w:szCs w:val="24"/>
          <w:highlight w:val="none"/>
        </w:rPr>
        <w:t>项目中报价（项目编号：），如获成交，我们保证按采购文件的规定，以支票、汇票、电汇、现金或经贵公司认可的其他付款方式向贵司缴交代理服务费。</w:t>
      </w:r>
    </w:p>
    <w:p w14:paraId="2F448FD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司一旦成交，承诺凭成交通知书原件按采购文件的规定签订合同，并最迟应于合同签订前缴交代理服务费，否则，我司同意贵司在厦门招投标网上对我司“不按规定缴交代理服务费的行为”进行公示。若自公示之日起3个工作日内，我司仍未缴交代理服务费的，我司同意按每日1%计取违约金。</w:t>
      </w:r>
    </w:p>
    <w:p w14:paraId="6D267D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特此承诺！</w:t>
      </w:r>
    </w:p>
    <w:p w14:paraId="1BBF783D">
      <w:pPr>
        <w:spacing w:line="360" w:lineRule="auto"/>
        <w:rPr>
          <w:rFonts w:ascii="宋体" w:hAnsi="宋体" w:cs="宋体"/>
          <w:color w:val="auto"/>
          <w:sz w:val="24"/>
          <w:szCs w:val="24"/>
          <w:highlight w:val="none"/>
        </w:rPr>
      </w:pPr>
    </w:p>
    <w:p w14:paraId="1842288B">
      <w:pPr>
        <w:spacing w:line="360" w:lineRule="auto"/>
        <w:rPr>
          <w:rFonts w:ascii="宋体" w:hAnsi="宋体" w:cs="宋体"/>
          <w:color w:val="auto"/>
          <w:sz w:val="24"/>
          <w:szCs w:val="24"/>
          <w:highlight w:val="none"/>
        </w:rPr>
      </w:pPr>
    </w:p>
    <w:p w14:paraId="567B0269">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报价人（全称并加盖公章）： </w:t>
      </w:r>
    </w:p>
    <w:p w14:paraId="38E1050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报价人代表签字：</w:t>
      </w:r>
    </w:p>
    <w:p w14:paraId="308812E5">
      <w:pPr>
        <w:spacing w:line="360" w:lineRule="auto"/>
        <w:ind w:firstLine="3360" w:firstLineChars="1400"/>
        <w:rPr>
          <w:rFonts w:ascii="宋体" w:hAnsi="宋体" w:cs="宋体"/>
          <w:color w:val="auto"/>
          <w:sz w:val="24"/>
          <w:szCs w:val="24"/>
          <w:highlight w:val="none"/>
          <w:u w:val="single"/>
        </w:rPr>
      </w:pPr>
      <w:r>
        <w:rPr>
          <w:rFonts w:hint="eastAsia" w:ascii="宋体" w:hAnsi="宋体" w:cs="宋体"/>
          <w:color w:val="auto"/>
          <w:sz w:val="24"/>
          <w:szCs w:val="24"/>
          <w:highlight w:val="none"/>
        </w:rPr>
        <w:t>邮 编：电 话：</w:t>
      </w:r>
    </w:p>
    <w:p w14:paraId="55B9B57D">
      <w:pPr>
        <w:spacing w:line="360" w:lineRule="auto"/>
        <w:ind w:firstLine="4320" w:firstLineChars="1800"/>
        <w:rPr>
          <w:rFonts w:ascii="宋体" w:hAnsi="宋体" w:cs="宋体"/>
          <w:color w:val="auto"/>
          <w:sz w:val="24"/>
          <w:szCs w:val="24"/>
          <w:highlight w:val="none"/>
        </w:rPr>
      </w:pPr>
      <w:r>
        <w:rPr>
          <w:rFonts w:hint="eastAsia" w:ascii="宋体" w:hAnsi="宋体" w:cs="宋体"/>
          <w:color w:val="auto"/>
          <w:sz w:val="24"/>
          <w:szCs w:val="24"/>
          <w:highlight w:val="none"/>
        </w:rPr>
        <w:t>传 真：           日 期：</w:t>
      </w:r>
    </w:p>
    <w:p w14:paraId="3C4193AD">
      <w:pPr>
        <w:spacing w:line="360" w:lineRule="auto"/>
        <w:rPr>
          <w:rFonts w:ascii="宋体" w:hAnsi="宋体" w:cs="宋体"/>
          <w:color w:val="auto"/>
          <w:sz w:val="24"/>
          <w:szCs w:val="24"/>
          <w:highlight w:val="none"/>
        </w:rPr>
      </w:pPr>
    </w:p>
    <w:p w14:paraId="70C0DE7D">
      <w:pPr>
        <w:spacing w:line="360" w:lineRule="auto"/>
        <w:rPr>
          <w:rFonts w:ascii="宋体" w:hAnsi="宋体" w:cs="宋体"/>
          <w:b/>
          <w:color w:val="auto"/>
          <w:sz w:val="24"/>
          <w:szCs w:val="24"/>
          <w:highlight w:val="none"/>
        </w:rPr>
      </w:pPr>
    </w:p>
    <w:p w14:paraId="12CF5942">
      <w:pPr>
        <w:spacing w:line="360" w:lineRule="auto"/>
        <w:rPr>
          <w:rFonts w:ascii="宋体" w:hAnsi="宋体" w:cs="宋体"/>
          <w:color w:val="auto"/>
          <w:sz w:val="24"/>
          <w:szCs w:val="24"/>
          <w:highlight w:val="none"/>
        </w:rPr>
        <w:sectPr>
          <w:footerReference r:id="rId13" w:type="default"/>
          <w:pgSz w:w="11906" w:h="16838"/>
          <w:pgMar w:top="1440" w:right="1800" w:bottom="1440" w:left="1800" w:header="851" w:footer="992" w:gutter="0"/>
          <w:cols w:space="720" w:num="1"/>
          <w:docGrid w:type="lines" w:linePitch="312" w:charSpace="0"/>
        </w:sectPr>
      </w:pPr>
    </w:p>
    <w:p w14:paraId="42EBE0A2">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附：廉洁承诺书</w:t>
      </w:r>
    </w:p>
    <w:p w14:paraId="32C8169D">
      <w:pPr>
        <w:widowControl/>
        <w:spacing w:line="360" w:lineRule="auto"/>
        <w:ind w:left="69"/>
        <w:jc w:val="center"/>
        <w:rPr>
          <w:rFonts w:ascii="宋体" w:hAnsi="宋体" w:cs="宋体"/>
          <w:b/>
          <w:color w:val="auto"/>
          <w:sz w:val="24"/>
          <w:szCs w:val="24"/>
          <w:highlight w:val="none"/>
        </w:rPr>
      </w:pPr>
      <w:r>
        <w:rPr>
          <w:rFonts w:hint="eastAsia" w:ascii="宋体" w:hAnsi="宋体" w:cs="宋体"/>
          <w:b/>
          <w:color w:val="auto"/>
          <w:sz w:val="32"/>
          <w:szCs w:val="32"/>
          <w:highlight w:val="none"/>
        </w:rPr>
        <w:t>廉洁承诺书</w:t>
      </w:r>
    </w:p>
    <w:p w14:paraId="794CAF2D">
      <w:pPr>
        <w:widowControl/>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5768B417">
      <w:pPr>
        <w:widowControl/>
        <w:spacing w:line="360" w:lineRule="auto"/>
        <w:ind w:left="69" w:firstLine="482" w:firstLineChars="201"/>
        <w:rPr>
          <w:rFonts w:ascii="宋体" w:hAnsi="宋体" w:cs="宋体"/>
          <w:color w:val="auto"/>
          <w:sz w:val="24"/>
          <w:szCs w:val="24"/>
          <w:highlight w:val="none"/>
        </w:rPr>
      </w:pPr>
      <w:r>
        <w:rPr>
          <w:rFonts w:hint="eastAsia" w:ascii="宋体" w:hAnsi="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79230FE6">
      <w:pPr>
        <w:widowControl/>
        <w:spacing w:line="360" w:lineRule="auto"/>
        <w:ind w:left="69" w:firstLine="482" w:firstLineChars="201"/>
        <w:rPr>
          <w:rFonts w:ascii="宋体" w:hAnsi="宋体" w:cs="宋体"/>
          <w:color w:val="auto"/>
          <w:sz w:val="24"/>
          <w:szCs w:val="24"/>
          <w:highlight w:val="none"/>
        </w:rPr>
      </w:pPr>
      <w:r>
        <w:rPr>
          <w:rFonts w:hint="eastAsia" w:ascii="宋体" w:hAnsi="宋体" w:cs="宋体"/>
          <w:color w:val="auto"/>
          <w:sz w:val="24"/>
          <w:szCs w:val="24"/>
          <w:highlight w:val="none"/>
        </w:rPr>
        <w:t>二、不向厦门万翔招标有限公司的工作人员及其亲属馈赠礼金、礼品</w:t>
      </w:r>
      <w:r>
        <w:rPr>
          <w:rFonts w:hint="eastAsia" w:ascii="宋体" w:hAnsi="宋体" w:cs="宋体"/>
          <w:color w:val="auto"/>
          <w:sz w:val="24"/>
          <w:szCs w:val="24"/>
          <w:highlight w:val="none"/>
        </w:rPr>
        <w:t>（含有价证券）</w:t>
      </w:r>
      <w:r>
        <w:rPr>
          <w:rFonts w:hint="eastAsia" w:ascii="宋体" w:hAnsi="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A206BF3">
      <w:pPr>
        <w:widowControl/>
        <w:spacing w:line="360" w:lineRule="auto"/>
        <w:ind w:left="69" w:firstLine="482" w:firstLineChars="201"/>
        <w:rPr>
          <w:rFonts w:ascii="宋体" w:hAnsi="宋体" w:cs="宋体"/>
          <w:color w:val="auto"/>
          <w:sz w:val="24"/>
          <w:szCs w:val="24"/>
          <w:highlight w:val="none"/>
        </w:rPr>
      </w:pPr>
      <w:r>
        <w:rPr>
          <w:rFonts w:hint="eastAsia" w:ascii="宋体" w:hAnsi="宋体" w:cs="宋体"/>
          <w:color w:val="auto"/>
          <w:sz w:val="24"/>
          <w:szCs w:val="24"/>
          <w:highlight w:val="none"/>
        </w:rPr>
        <w:t>三、不与其他经营者串通报价，不排挤其他经营者的公平竞争，损害其他经营者的合法权益；不在工程建设的预决算编制工作中弄虚作假、高估冒算。</w:t>
      </w:r>
    </w:p>
    <w:p w14:paraId="4B3EDF6F">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四、发现厦门万翔招标有限公司的工作人员有受贿行为或索贿要求、徇私舞弊、滥用职权时，将予以举报</w:t>
      </w:r>
      <w:r>
        <w:rPr>
          <w:rFonts w:hint="eastAsia" w:ascii="宋体" w:hAnsi="宋体" w:cs="宋体"/>
          <w:color w:val="auto"/>
          <w:sz w:val="24"/>
          <w:szCs w:val="24"/>
          <w:highlight w:val="none"/>
        </w:rPr>
        <w:t>并提供证据</w:t>
      </w:r>
      <w:r>
        <w:rPr>
          <w:rFonts w:hint="eastAsia" w:ascii="宋体" w:hAnsi="宋体" w:cs="宋体"/>
          <w:color w:val="auto"/>
          <w:sz w:val="24"/>
          <w:szCs w:val="24"/>
          <w:highlight w:val="none"/>
        </w:rPr>
        <w:t>。</w:t>
      </w:r>
      <w:r>
        <w:rPr>
          <w:rFonts w:hint="eastAsia" w:ascii="宋体" w:hAnsi="宋体" w:cs="宋体"/>
          <w:color w:val="auto"/>
          <w:sz w:val="24"/>
          <w:szCs w:val="24"/>
          <w:highlight w:val="none"/>
        </w:rPr>
        <w:t>举报电话：5705656或5706818；举报邮箱：</w:t>
      </w:r>
      <w:r>
        <w:rPr>
          <w:color w:val="auto"/>
          <w:highlight w:val="none"/>
        </w:rPr>
        <w:fldChar w:fldCharType="begin"/>
      </w:r>
      <w:r>
        <w:rPr>
          <w:color w:val="auto"/>
          <w:highlight w:val="none"/>
        </w:rPr>
        <w:instrText xml:space="preserve"> HYPERLINK "mailto:zpk@iport.com.cn" </w:instrText>
      </w:r>
      <w:r>
        <w:rPr>
          <w:color w:val="auto"/>
          <w:highlight w:val="none"/>
        </w:rPr>
        <w:fldChar w:fldCharType="separate"/>
      </w:r>
      <w:r>
        <w:rPr>
          <w:rStyle w:val="21"/>
          <w:rFonts w:hint="eastAsia" w:ascii="宋体" w:hAnsi="宋体" w:cs="宋体"/>
          <w:color w:val="auto"/>
          <w:sz w:val="24"/>
          <w:szCs w:val="24"/>
          <w:highlight w:val="none"/>
        </w:rPr>
        <w:t>cts@iport.com.cn</w:t>
      </w:r>
      <w:r>
        <w:rPr>
          <w:rStyle w:val="21"/>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；举报信件：厦门市湖里区机场北路476号四楼厦门万翔招标有限公司 ，总经理收。</w:t>
      </w:r>
    </w:p>
    <w:p w14:paraId="1DA8C062">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cs="宋体"/>
          <w:color w:val="auto"/>
          <w:sz w:val="24"/>
          <w:szCs w:val="24"/>
          <w:highlight w:val="none"/>
          <w:u w:val="single"/>
        </w:rPr>
        <w:t xml:space="preserve">  2  </w:t>
      </w:r>
      <w:r>
        <w:rPr>
          <w:rFonts w:hint="eastAsia" w:ascii="宋体" w:hAnsi="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cs="宋体"/>
          <w:color w:val="auto"/>
          <w:sz w:val="24"/>
          <w:szCs w:val="24"/>
          <w:highlight w:val="none"/>
          <w:u w:val="single"/>
        </w:rPr>
        <w:t xml:space="preserve">  5  </w:t>
      </w:r>
      <w:r>
        <w:rPr>
          <w:rFonts w:hint="eastAsia" w:ascii="宋体" w:hAnsi="宋体" w:cs="宋体"/>
          <w:color w:val="auto"/>
          <w:sz w:val="24"/>
          <w:szCs w:val="24"/>
          <w:highlight w:val="none"/>
        </w:rPr>
        <w:t>万元人民币违约金。</w:t>
      </w:r>
    </w:p>
    <w:p w14:paraId="34B585C5">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特此承诺。</w:t>
      </w:r>
    </w:p>
    <w:p w14:paraId="6A4D643C">
      <w:pPr>
        <w:spacing w:line="360" w:lineRule="auto"/>
        <w:ind w:left="69"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报价人名称（盖章）：</w:t>
      </w:r>
    </w:p>
    <w:p w14:paraId="21D0D6D6">
      <w:pPr>
        <w:spacing w:line="360" w:lineRule="auto"/>
        <w:ind w:left="69"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法定代表人</w:t>
      </w:r>
      <w:r>
        <w:rPr>
          <w:rFonts w:hint="eastAsia" w:ascii="宋体" w:hAnsi="宋体" w:cs="宋体"/>
          <w:color w:val="auto"/>
          <w:sz w:val="24"/>
          <w:szCs w:val="24"/>
          <w:highlight w:val="none"/>
        </w:rPr>
        <w:t>（或授权代表）</w:t>
      </w:r>
      <w:r>
        <w:rPr>
          <w:rFonts w:hint="eastAsia" w:ascii="宋体" w:hAnsi="宋体" w:cs="宋体"/>
          <w:color w:val="auto"/>
          <w:sz w:val="24"/>
          <w:szCs w:val="24"/>
          <w:highlight w:val="none"/>
        </w:rPr>
        <w:t>：</w:t>
      </w:r>
    </w:p>
    <w:p w14:paraId="63EECF06">
      <w:pPr>
        <w:spacing w:line="360" w:lineRule="auto"/>
        <w:ind w:left="69"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联系电话：</w:t>
      </w:r>
    </w:p>
    <w:p w14:paraId="6BB2ACA0">
      <w:pPr>
        <w:spacing w:line="360" w:lineRule="auto"/>
        <w:ind w:left="69"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日期：</w:t>
      </w:r>
    </w:p>
    <w:p w14:paraId="618D2AA0">
      <w:pPr>
        <w:spacing w:line="360" w:lineRule="auto"/>
        <w:ind w:left="69" w:firstLine="460" w:firstLineChars="192"/>
        <w:rPr>
          <w:rFonts w:ascii="宋体" w:hAnsi="宋体" w:cs="宋体"/>
          <w:color w:val="auto"/>
          <w:sz w:val="24"/>
          <w:szCs w:val="24"/>
          <w:highlight w:val="none"/>
        </w:rPr>
      </w:pPr>
    </w:p>
    <w:p w14:paraId="2813B431">
      <w:pPr>
        <w:spacing w:line="360" w:lineRule="auto"/>
        <w:ind w:left="69" w:firstLine="460" w:firstLineChars="192"/>
        <w:rPr>
          <w:rFonts w:ascii="宋体" w:hAnsi="宋体" w:cs="宋体"/>
          <w:color w:val="auto"/>
          <w:sz w:val="24"/>
          <w:szCs w:val="24"/>
          <w:highlight w:val="none"/>
        </w:rPr>
      </w:pPr>
    </w:p>
    <w:p w14:paraId="499ACE5D">
      <w:pPr>
        <w:spacing w:line="360" w:lineRule="auto"/>
        <w:ind w:left="69" w:firstLine="460" w:firstLineChars="192"/>
        <w:rPr>
          <w:rFonts w:ascii="宋体" w:hAnsi="宋体" w:cs="宋体"/>
          <w:color w:val="auto"/>
          <w:sz w:val="24"/>
          <w:szCs w:val="24"/>
          <w:highlight w:val="none"/>
        </w:rPr>
      </w:pPr>
    </w:p>
    <w:p w14:paraId="3DDBEF25">
      <w:pPr>
        <w:spacing w:line="360" w:lineRule="auto"/>
        <w:rPr>
          <w:rFonts w:ascii="宋体" w:hAnsi="宋体" w:cs="宋体"/>
          <w:color w:val="auto"/>
          <w:sz w:val="24"/>
          <w:szCs w:val="24"/>
          <w:highlight w:val="none"/>
        </w:rPr>
      </w:pPr>
    </w:p>
    <w:p w14:paraId="7919F1F1">
      <w:pPr>
        <w:spacing w:line="360" w:lineRule="auto"/>
        <w:rPr>
          <w:rFonts w:ascii="宋体" w:hAnsi="宋体" w:cs="宋体"/>
          <w:color w:val="auto"/>
          <w:sz w:val="24"/>
          <w:szCs w:val="24"/>
          <w:highlight w:val="none"/>
        </w:rPr>
      </w:pPr>
    </w:p>
    <w:p w14:paraId="6BC97A55">
      <w:pPr>
        <w:spacing w:line="360" w:lineRule="auto"/>
        <w:rPr>
          <w:rFonts w:ascii="宋体" w:hAnsi="宋体" w:cs="宋体"/>
          <w:color w:val="auto"/>
          <w:sz w:val="24"/>
          <w:szCs w:val="24"/>
          <w:highlight w:val="none"/>
        </w:rPr>
      </w:pPr>
    </w:p>
    <w:p w14:paraId="58FAC620">
      <w:pPr>
        <w:spacing w:line="360" w:lineRule="auto"/>
        <w:rPr>
          <w:rFonts w:ascii="宋体" w:hAnsi="宋体" w:cs="宋体"/>
          <w:color w:val="auto"/>
          <w:sz w:val="24"/>
          <w:szCs w:val="24"/>
          <w:highlight w:val="none"/>
        </w:rPr>
      </w:pPr>
    </w:p>
    <w:p w14:paraId="2AEB66CD">
      <w:pPr>
        <w:spacing w:line="360" w:lineRule="auto"/>
        <w:rPr>
          <w:rFonts w:ascii="宋体" w:hAnsi="宋体" w:cs="宋体"/>
          <w:color w:val="auto"/>
          <w:sz w:val="24"/>
          <w:szCs w:val="24"/>
          <w:highlight w:val="none"/>
        </w:rPr>
      </w:pPr>
    </w:p>
    <w:p w14:paraId="4608D53B">
      <w:pPr>
        <w:spacing w:line="360" w:lineRule="auto"/>
        <w:rPr>
          <w:rFonts w:ascii="宋体" w:hAnsi="宋体" w:cs="宋体"/>
          <w:color w:val="auto"/>
          <w:sz w:val="24"/>
          <w:szCs w:val="24"/>
          <w:highlight w:val="none"/>
        </w:rPr>
      </w:pPr>
    </w:p>
    <w:p w14:paraId="71C2C79B">
      <w:pPr>
        <w:spacing w:line="360" w:lineRule="auto"/>
        <w:rPr>
          <w:rFonts w:ascii="宋体" w:hAnsi="宋体" w:cs="宋体"/>
          <w:color w:val="auto"/>
          <w:sz w:val="24"/>
          <w:szCs w:val="24"/>
          <w:highlight w:val="none"/>
        </w:rPr>
      </w:pPr>
    </w:p>
    <w:p w14:paraId="471B56C3">
      <w:pPr>
        <w:spacing w:line="360" w:lineRule="auto"/>
        <w:rPr>
          <w:rFonts w:ascii="宋体" w:hAnsi="宋体" w:cs="宋体"/>
          <w:color w:val="auto"/>
          <w:sz w:val="24"/>
          <w:szCs w:val="24"/>
          <w:highlight w:val="none"/>
        </w:rPr>
      </w:pPr>
    </w:p>
    <w:p w14:paraId="4533A6BC">
      <w:pPr>
        <w:spacing w:line="360" w:lineRule="auto"/>
        <w:rPr>
          <w:rFonts w:ascii="宋体" w:hAnsi="宋体" w:cs="宋体"/>
          <w:color w:val="auto"/>
          <w:sz w:val="24"/>
          <w:szCs w:val="24"/>
          <w:highlight w:val="none"/>
        </w:rPr>
      </w:pPr>
    </w:p>
    <w:p w14:paraId="20B87AA3">
      <w:pPr>
        <w:spacing w:line="360" w:lineRule="auto"/>
        <w:rPr>
          <w:rFonts w:ascii="宋体" w:hAnsi="宋体" w:cs="宋体"/>
          <w:color w:val="auto"/>
          <w:sz w:val="24"/>
          <w:szCs w:val="24"/>
          <w:highlight w:val="none"/>
        </w:rPr>
      </w:pPr>
    </w:p>
    <w:p w14:paraId="6E66306A">
      <w:pPr>
        <w:spacing w:line="360" w:lineRule="auto"/>
        <w:rPr>
          <w:rFonts w:ascii="宋体" w:hAnsi="宋体" w:cs="宋体"/>
          <w:color w:val="auto"/>
          <w:sz w:val="24"/>
          <w:szCs w:val="24"/>
          <w:highlight w:val="none"/>
        </w:rPr>
      </w:pPr>
    </w:p>
    <w:p w14:paraId="5639E2F2">
      <w:pPr>
        <w:spacing w:line="360" w:lineRule="auto"/>
        <w:rPr>
          <w:rFonts w:ascii="宋体" w:hAnsi="宋体" w:cs="宋体"/>
          <w:color w:val="auto"/>
          <w:sz w:val="24"/>
          <w:szCs w:val="24"/>
          <w:highlight w:val="none"/>
        </w:rPr>
      </w:pPr>
    </w:p>
    <w:p w14:paraId="62E02D93">
      <w:pPr>
        <w:spacing w:line="360" w:lineRule="auto"/>
        <w:rPr>
          <w:rFonts w:ascii="宋体" w:hAnsi="宋体" w:cs="宋体"/>
          <w:color w:val="auto"/>
          <w:sz w:val="24"/>
          <w:szCs w:val="24"/>
          <w:highlight w:val="none"/>
        </w:rPr>
      </w:pPr>
    </w:p>
    <w:p w14:paraId="75744AED">
      <w:pPr>
        <w:spacing w:line="360" w:lineRule="auto"/>
        <w:rPr>
          <w:rFonts w:ascii="宋体" w:hAnsi="宋体" w:cs="宋体"/>
          <w:color w:val="auto"/>
          <w:sz w:val="24"/>
          <w:szCs w:val="24"/>
          <w:highlight w:val="none"/>
        </w:rPr>
      </w:pPr>
    </w:p>
    <w:p w14:paraId="0541B09D">
      <w:pPr>
        <w:spacing w:line="360" w:lineRule="auto"/>
        <w:rPr>
          <w:rFonts w:ascii="宋体" w:hAnsi="宋体" w:cs="宋体"/>
          <w:color w:val="auto"/>
          <w:sz w:val="24"/>
          <w:szCs w:val="24"/>
          <w:highlight w:val="none"/>
        </w:rPr>
      </w:pPr>
    </w:p>
    <w:p w14:paraId="3351F31B">
      <w:pPr>
        <w:spacing w:line="360" w:lineRule="auto"/>
        <w:rPr>
          <w:rFonts w:ascii="宋体" w:hAnsi="宋体" w:cs="宋体"/>
          <w:color w:val="auto"/>
          <w:sz w:val="24"/>
          <w:szCs w:val="24"/>
          <w:highlight w:val="none"/>
        </w:rPr>
      </w:pPr>
    </w:p>
    <w:p w14:paraId="31C08932">
      <w:pPr>
        <w:spacing w:line="360" w:lineRule="auto"/>
        <w:rPr>
          <w:rFonts w:ascii="宋体" w:hAnsi="宋体" w:cs="宋体"/>
          <w:color w:val="auto"/>
          <w:sz w:val="24"/>
          <w:szCs w:val="24"/>
          <w:highlight w:val="none"/>
        </w:rPr>
      </w:pPr>
    </w:p>
    <w:p w14:paraId="53020492">
      <w:pPr>
        <w:spacing w:line="360" w:lineRule="auto"/>
        <w:rPr>
          <w:rFonts w:ascii="宋体" w:hAnsi="宋体" w:cs="宋体"/>
          <w:color w:val="auto"/>
          <w:sz w:val="24"/>
          <w:szCs w:val="24"/>
          <w:highlight w:val="none"/>
        </w:rPr>
      </w:pPr>
    </w:p>
    <w:p w14:paraId="2853D46B">
      <w:pPr>
        <w:spacing w:line="360" w:lineRule="auto"/>
        <w:rPr>
          <w:rFonts w:ascii="宋体" w:hAnsi="宋体" w:cs="宋体"/>
          <w:color w:val="auto"/>
          <w:sz w:val="24"/>
          <w:szCs w:val="24"/>
          <w:highlight w:val="none"/>
        </w:rPr>
      </w:pPr>
    </w:p>
    <w:p w14:paraId="21B10F8F">
      <w:pPr>
        <w:spacing w:line="360" w:lineRule="auto"/>
        <w:rPr>
          <w:rFonts w:ascii="宋体" w:hAnsi="宋体" w:cs="宋体"/>
          <w:color w:val="auto"/>
          <w:sz w:val="24"/>
          <w:szCs w:val="24"/>
          <w:highlight w:val="none"/>
        </w:rPr>
      </w:pPr>
    </w:p>
    <w:p w14:paraId="3EB54461">
      <w:pPr>
        <w:spacing w:line="360" w:lineRule="auto"/>
        <w:rPr>
          <w:rFonts w:ascii="宋体" w:hAnsi="宋体" w:cs="宋体"/>
          <w:color w:val="auto"/>
          <w:sz w:val="24"/>
          <w:szCs w:val="24"/>
          <w:highlight w:val="none"/>
        </w:rPr>
      </w:pPr>
    </w:p>
    <w:p w14:paraId="255B3148">
      <w:pPr>
        <w:spacing w:line="360" w:lineRule="auto"/>
        <w:ind w:left="69"/>
        <w:jc w:val="center"/>
        <w:rPr>
          <w:rFonts w:ascii="宋体" w:hAnsi="宋体" w:cs="宋体"/>
          <w:b/>
          <w:bCs/>
          <w:color w:val="auto"/>
          <w:sz w:val="24"/>
          <w:szCs w:val="24"/>
          <w:highlight w:val="none"/>
        </w:rPr>
      </w:pPr>
      <w:r>
        <w:rPr>
          <w:rFonts w:hint="eastAsia" w:ascii="宋体" w:hAnsi="宋体" w:cs="宋体"/>
          <w:b/>
          <w:bCs/>
          <w:color w:val="auto"/>
          <w:sz w:val="32"/>
          <w:szCs w:val="32"/>
          <w:highlight w:val="none"/>
        </w:rPr>
        <w:t>退还磋商保证金申请表</w:t>
      </w:r>
    </w:p>
    <w:tbl>
      <w:tblPr>
        <w:tblStyle w:val="1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816"/>
      </w:tblGrid>
      <w:tr w14:paraId="3A59B4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54B42558">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报价人名称</w:t>
            </w:r>
          </w:p>
        </w:tc>
        <w:tc>
          <w:tcPr>
            <w:tcW w:w="4816" w:type="dxa"/>
            <w:noWrap/>
          </w:tcPr>
          <w:p w14:paraId="6B989F23">
            <w:pPr>
              <w:keepNext/>
              <w:keepLines/>
              <w:spacing w:line="360" w:lineRule="auto"/>
              <w:ind w:left="69"/>
              <w:rPr>
                <w:rFonts w:ascii="宋体" w:hAnsi="宋体" w:cs="宋体"/>
                <w:color w:val="auto"/>
                <w:sz w:val="24"/>
                <w:szCs w:val="24"/>
                <w:highlight w:val="none"/>
              </w:rPr>
            </w:pPr>
          </w:p>
        </w:tc>
      </w:tr>
      <w:tr w14:paraId="3E7BB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4D45C923">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组织机构代码证</w:t>
            </w:r>
          </w:p>
        </w:tc>
        <w:tc>
          <w:tcPr>
            <w:tcW w:w="4816" w:type="dxa"/>
            <w:noWrap/>
          </w:tcPr>
          <w:p w14:paraId="6B0BD91D">
            <w:pPr>
              <w:keepNext/>
              <w:keepLines/>
              <w:spacing w:line="360" w:lineRule="auto"/>
              <w:ind w:left="69"/>
              <w:rPr>
                <w:rFonts w:ascii="宋体" w:hAnsi="宋体" w:cs="宋体"/>
                <w:color w:val="auto"/>
                <w:sz w:val="24"/>
                <w:szCs w:val="24"/>
                <w:highlight w:val="none"/>
              </w:rPr>
            </w:pPr>
          </w:p>
        </w:tc>
      </w:tr>
      <w:tr w14:paraId="35682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20773CD3">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项目编号</w:t>
            </w:r>
          </w:p>
        </w:tc>
        <w:tc>
          <w:tcPr>
            <w:tcW w:w="4816" w:type="dxa"/>
            <w:noWrap/>
          </w:tcPr>
          <w:p w14:paraId="41D5F261">
            <w:pPr>
              <w:keepNext/>
              <w:keepLines/>
              <w:spacing w:line="360" w:lineRule="auto"/>
              <w:ind w:left="69"/>
              <w:rPr>
                <w:rFonts w:ascii="宋体" w:hAnsi="宋体" w:cs="宋体"/>
                <w:color w:val="auto"/>
                <w:sz w:val="24"/>
                <w:szCs w:val="24"/>
                <w:highlight w:val="none"/>
              </w:rPr>
            </w:pPr>
          </w:p>
        </w:tc>
      </w:tr>
      <w:tr w14:paraId="632D6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08B26BA4">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4816" w:type="dxa"/>
            <w:noWrap/>
          </w:tcPr>
          <w:p w14:paraId="6BCB4E53">
            <w:pPr>
              <w:keepNext/>
              <w:keepLines/>
              <w:spacing w:line="360" w:lineRule="auto"/>
              <w:ind w:left="69"/>
              <w:rPr>
                <w:rFonts w:ascii="宋体" w:hAnsi="宋体" w:cs="宋体"/>
                <w:color w:val="auto"/>
                <w:sz w:val="24"/>
                <w:szCs w:val="24"/>
                <w:highlight w:val="none"/>
              </w:rPr>
            </w:pPr>
          </w:p>
        </w:tc>
      </w:tr>
      <w:tr w14:paraId="778F5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6B94A8BA">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磋商保证金金额</w:t>
            </w:r>
          </w:p>
        </w:tc>
        <w:tc>
          <w:tcPr>
            <w:tcW w:w="4816" w:type="dxa"/>
            <w:noWrap/>
          </w:tcPr>
          <w:p w14:paraId="45123503">
            <w:pPr>
              <w:keepNext/>
              <w:keepLines/>
              <w:spacing w:line="360" w:lineRule="auto"/>
              <w:ind w:left="69"/>
              <w:rPr>
                <w:rFonts w:ascii="宋体" w:hAnsi="宋体" w:cs="宋体"/>
                <w:color w:val="auto"/>
                <w:sz w:val="24"/>
                <w:szCs w:val="24"/>
                <w:highlight w:val="none"/>
              </w:rPr>
            </w:pPr>
          </w:p>
        </w:tc>
      </w:tr>
      <w:tr w14:paraId="46693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3C4566CF">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收款单位名称</w:t>
            </w:r>
          </w:p>
        </w:tc>
        <w:tc>
          <w:tcPr>
            <w:tcW w:w="4816" w:type="dxa"/>
            <w:noWrap/>
          </w:tcPr>
          <w:p w14:paraId="6EE767DE">
            <w:pPr>
              <w:keepNext/>
              <w:keepLines/>
              <w:spacing w:line="360" w:lineRule="auto"/>
              <w:ind w:left="69"/>
              <w:rPr>
                <w:rFonts w:ascii="宋体" w:hAnsi="宋体" w:cs="宋体"/>
                <w:color w:val="auto"/>
                <w:sz w:val="24"/>
                <w:szCs w:val="24"/>
                <w:highlight w:val="none"/>
              </w:rPr>
            </w:pPr>
          </w:p>
        </w:tc>
      </w:tr>
      <w:tr w14:paraId="55CB28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7FF30FA3">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开户银行（需填写完整）</w:t>
            </w:r>
          </w:p>
        </w:tc>
        <w:tc>
          <w:tcPr>
            <w:tcW w:w="4816" w:type="dxa"/>
            <w:noWrap/>
          </w:tcPr>
          <w:p w14:paraId="275B7289">
            <w:pPr>
              <w:keepNext/>
              <w:keepLines/>
              <w:spacing w:line="360" w:lineRule="auto"/>
              <w:ind w:left="69"/>
              <w:rPr>
                <w:rFonts w:ascii="宋体" w:hAnsi="宋体" w:cs="宋体"/>
                <w:color w:val="auto"/>
                <w:sz w:val="24"/>
                <w:szCs w:val="24"/>
                <w:highlight w:val="none"/>
              </w:rPr>
            </w:pPr>
          </w:p>
        </w:tc>
      </w:tr>
      <w:tr w14:paraId="52260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4929CC76">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开户行账号（原来转磋商保证金账号）</w:t>
            </w:r>
          </w:p>
        </w:tc>
        <w:tc>
          <w:tcPr>
            <w:tcW w:w="4816" w:type="dxa"/>
            <w:noWrap/>
          </w:tcPr>
          <w:p w14:paraId="63DC0175">
            <w:pPr>
              <w:keepNext/>
              <w:keepLines/>
              <w:spacing w:line="360" w:lineRule="auto"/>
              <w:ind w:left="69"/>
              <w:rPr>
                <w:rFonts w:ascii="宋体" w:hAnsi="宋体" w:cs="宋体"/>
                <w:color w:val="auto"/>
                <w:sz w:val="24"/>
                <w:szCs w:val="24"/>
                <w:highlight w:val="none"/>
              </w:rPr>
            </w:pPr>
          </w:p>
        </w:tc>
      </w:tr>
      <w:tr w14:paraId="48B8A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10033F46">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4816" w:type="dxa"/>
            <w:noWrap/>
          </w:tcPr>
          <w:p w14:paraId="756A59F6">
            <w:pPr>
              <w:keepNext/>
              <w:keepLines/>
              <w:spacing w:line="360" w:lineRule="auto"/>
              <w:ind w:left="69"/>
              <w:rPr>
                <w:rFonts w:ascii="宋体" w:hAnsi="宋体" w:cs="宋体"/>
                <w:color w:val="auto"/>
                <w:sz w:val="24"/>
                <w:szCs w:val="24"/>
                <w:highlight w:val="none"/>
              </w:rPr>
            </w:pPr>
          </w:p>
        </w:tc>
      </w:tr>
      <w:tr w14:paraId="0E962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6CE2B45C">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联系电话</w:t>
            </w:r>
          </w:p>
        </w:tc>
        <w:tc>
          <w:tcPr>
            <w:tcW w:w="4816" w:type="dxa"/>
            <w:noWrap/>
          </w:tcPr>
          <w:p w14:paraId="15E368CF">
            <w:pPr>
              <w:keepNext/>
              <w:keepLines/>
              <w:spacing w:line="360" w:lineRule="auto"/>
              <w:ind w:left="69"/>
              <w:rPr>
                <w:rFonts w:ascii="宋体" w:hAnsi="宋体" w:cs="宋体"/>
                <w:color w:val="auto"/>
                <w:sz w:val="24"/>
                <w:szCs w:val="24"/>
                <w:highlight w:val="none"/>
              </w:rPr>
            </w:pPr>
          </w:p>
        </w:tc>
      </w:tr>
    </w:tbl>
    <w:p w14:paraId="5266FAEF">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备注：成交供应商在接到厦门万翔招标有限公司发出的成交结果通知书后，需尽快缴交完代理服务费并签订合同，再将合同复印件传真至厦门万翔招标有限公司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3BD71618">
      <w:pPr>
        <w:spacing w:line="360" w:lineRule="auto"/>
        <w:ind w:left="69"/>
        <w:rPr>
          <w:rFonts w:ascii="宋体" w:hAnsi="宋体" w:cs="宋体"/>
          <w:color w:val="auto"/>
          <w:sz w:val="24"/>
          <w:szCs w:val="24"/>
          <w:highlight w:val="none"/>
        </w:rPr>
      </w:pPr>
    </w:p>
    <w:p w14:paraId="06E64E4F">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 xml:space="preserve">                              （报价人名称，加盖公章）</w:t>
      </w:r>
    </w:p>
    <w:p w14:paraId="5B768F82">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133A97F6">
      <w:pPr>
        <w:spacing w:line="360" w:lineRule="auto"/>
        <w:rPr>
          <w:rFonts w:ascii="宋体" w:hAnsi="宋体" w:cs="宋体"/>
          <w:b/>
          <w:color w:val="auto"/>
          <w:sz w:val="24"/>
          <w:szCs w:val="24"/>
          <w:highlight w:val="none"/>
        </w:rPr>
      </w:pPr>
    </w:p>
    <w:p w14:paraId="652893E5">
      <w:pPr>
        <w:spacing w:line="360" w:lineRule="auto"/>
        <w:rPr>
          <w:rFonts w:ascii="宋体" w:hAnsi="宋体" w:cs="宋体"/>
          <w:color w:val="auto"/>
          <w:sz w:val="24"/>
          <w:szCs w:val="24"/>
          <w:highlight w:val="none"/>
        </w:rPr>
        <w:sectPr>
          <w:footerReference r:id="rId14" w:type="default"/>
          <w:pgSz w:w="11906" w:h="16838"/>
          <w:pgMar w:top="1440" w:right="1800" w:bottom="1440" w:left="1800" w:header="851" w:footer="992" w:gutter="0"/>
          <w:cols w:space="720" w:num="1"/>
          <w:docGrid w:type="lines" w:linePitch="312" w:charSpace="0"/>
        </w:sectPr>
      </w:pPr>
    </w:p>
    <w:p w14:paraId="6F9B4D9D">
      <w:pPr>
        <w:spacing w:line="360" w:lineRule="auto"/>
        <w:ind w:firstLine="3200" w:firstLineChars="1000"/>
        <w:rPr>
          <w:rFonts w:ascii="宋体" w:hAnsi="宋体" w:cs="宋体"/>
          <w:color w:val="auto"/>
          <w:sz w:val="24"/>
          <w:szCs w:val="24"/>
          <w:highlight w:val="none"/>
        </w:rPr>
      </w:pPr>
      <w:r>
        <w:rPr>
          <w:rFonts w:hint="eastAsia" w:ascii="宋体" w:hAnsi="宋体" w:cs="宋体"/>
          <w:color w:val="auto"/>
          <w:sz w:val="32"/>
          <w:szCs w:val="32"/>
          <w:highlight w:val="none"/>
        </w:rPr>
        <w:t>质疑函要求</w:t>
      </w:r>
    </w:p>
    <w:p w14:paraId="1EF48495">
      <w:pPr>
        <w:spacing w:line="360" w:lineRule="auto"/>
        <w:ind w:firstLine="480" w:firstLineChars="200"/>
        <w:rPr>
          <w:rFonts w:ascii="宋体" w:hAnsi="宋体" w:cs="宋体"/>
          <w:color w:val="auto"/>
          <w:sz w:val="24"/>
          <w:szCs w:val="24"/>
          <w:highlight w:val="none"/>
        </w:rPr>
      </w:pPr>
    </w:p>
    <w:p w14:paraId="4A50EA18">
      <w:pPr>
        <w:pStyle w:val="14"/>
        <w:spacing w:line="360" w:lineRule="auto"/>
        <w:rPr>
          <w:rFonts w:ascii="宋体" w:hAnsi="宋体" w:cs="宋体"/>
          <w:color w:val="auto"/>
          <w:highlight w:val="none"/>
        </w:rPr>
      </w:pPr>
      <w:r>
        <w:rPr>
          <w:rFonts w:hint="eastAsia" w:ascii="宋体" w:hAnsi="宋体" w:cs="宋体"/>
          <w:color w:val="auto"/>
          <w:highlight w:val="none"/>
        </w:rPr>
        <w:t>供应商提出质疑应当提交质疑函和必要的证明材料。质疑函应当包括下列内容：</w:t>
      </w:r>
    </w:p>
    <w:p w14:paraId="1267EA5E">
      <w:pPr>
        <w:pStyle w:val="14"/>
        <w:spacing w:line="360" w:lineRule="auto"/>
        <w:rPr>
          <w:rFonts w:ascii="宋体" w:hAnsi="宋体" w:cs="宋体"/>
          <w:color w:val="auto"/>
          <w:highlight w:val="none"/>
        </w:rPr>
      </w:pPr>
      <w:r>
        <w:rPr>
          <w:rFonts w:hint="eastAsia" w:ascii="宋体" w:hAnsi="宋体" w:cs="宋体"/>
          <w:color w:val="auto"/>
          <w:highlight w:val="none"/>
        </w:rPr>
        <w:t>（一）供应商的姓名或者名称、地址、邮编、联系人及联系电话;</w:t>
      </w:r>
    </w:p>
    <w:p w14:paraId="160E6054">
      <w:pPr>
        <w:pStyle w:val="14"/>
        <w:spacing w:line="360" w:lineRule="auto"/>
        <w:rPr>
          <w:rFonts w:ascii="宋体" w:hAnsi="宋体" w:cs="宋体"/>
          <w:color w:val="auto"/>
          <w:highlight w:val="none"/>
        </w:rPr>
      </w:pPr>
      <w:r>
        <w:rPr>
          <w:rFonts w:hint="eastAsia" w:ascii="宋体" w:hAnsi="宋体" w:cs="宋体"/>
          <w:color w:val="auto"/>
          <w:highlight w:val="none"/>
        </w:rPr>
        <w:t>（二）质疑项目的名称、编号;</w:t>
      </w:r>
    </w:p>
    <w:p w14:paraId="6C93D505">
      <w:pPr>
        <w:pStyle w:val="14"/>
        <w:spacing w:line="360" w:lineRule="auto"/>
        <w:rPr>
          <w:rFonts w:ascii="宋体" w:hAnsi="宋体" w:cs="宋体"/>
          <w:color w:val="auto"/>
          <w:highlight w:val="none"/>
        </w:rPr>
      </w:pPr>
      <w:r>
        <w:rPr>
          <w:rFonts w:hint="eastAsia" w:ascii="宋体" w:hAnsi="宋体" w:cs="宋体"/>
          <w:color w:val="auto"/>
          <w:highlight w:val="none"/>
        </w:rPr>
        <w:t>（三）具体、明确的质疑事项和与质疑事项相关的请求;</w:t>
      </w:r>
    </w:p>
    <w:p w14:paraId="6C8CBFFE">
      <w:pPr>
        <w:pStyle w:val="14"/>
        <w:spacing w:line="360" w:lineRule="auto"/>
        <w:rPr>
          <w:rFonts w:ascii="宋体" w:hAnsi="宋体" w:cs="宋体"/>
          <w:color w:val="auto"/>
          <w:highlight w:val="none"/>
        </w:rPr>
      </w:pPr>
      <w:r>
        <w:rPr>
          <w:rFonts w:hint="eastAsia" w:ascii="宋体" w:hAnsi="宋体" w:cs="宋体"/>
          <w:color w:val="auto"/>
          <w:highlight w:val="none"/>
        </w:rPr>
        <w:t>（四）事实依据;</w:t>
      </w:r>
    </w:p>
    <w:p w14:paraId="3DD41910">
      <w:pPr>
        <w:pStyle w:val="14"/>
        <w:spacing w:line="360" w:lineRule="auto"/>
        <w:rPr>
          <w:rFonts w:ascii="宋体" w:hAnsi="宋体" w:cs="宋体"/>
          <w:color w:val="auto"/>
          <w:highlight w:val="none"/>
        </w:rPr>
      </w:pPr>
      <w:r>
        <w:rPr>
          <w:rFonts w:hint="eastAsia" w:ascii="宋体" w:hAnsi="宋体" w:cs="宋体"/>
          <w:color w:val="auto"/>
          <w:highlight w:val="none"/>
        </w:rPr>
        <w:t>（五）必要的法律依据;</w:t>
      </w:r>
    </w:p>
    <w:p w14:paraId="02729C21">
      <w:pPr>
        <w:pStyle w:val="14"/>
        <w:spacing w:line="360" w:lineRule="auto"/>
        <w:rPr>
          <w:rFonts w:ascii="宋体" w:hAnsi="宋体" w:cs="宋体"/>
          <w:color w:val="auto"/>
          <w:highlight w:val="none"/>
        </w:rPr>
      </w:pPr>
      <w:r>
        <w:rPr>
          <w:rFonts w:hint="eastAsia" w:ascii="宋体" w:hAnsi="宋体" w:cs="宋体"/>
          <w:color w:val="auto"/>
          <w:highlight w:val="none"/>
        </w:rPr>
        <w:t>（六）提出质疑的日期。</w:t>
      </w:r>
    </w:p>
    <w:p w14:paraId="6DAB5E60">
      <w:pPr>
        <w:pStyle w:val="14"/>
        <w:spacing w:line="360" w:lineRule="auto"/>
        <w:rPr>
          <w:rFonts w:ascii="宋体" w:hAnsi="宋体" w:cs="宋体"/>
          <w:color w:val="auto"/>
          <w:highlight w:val="none"/>
        </w:rPr>
      </w:pPr>
      <w:r>
        <w:rPr>
          <w:rFonts w:hint="eastAsia" w:ascii="宋体" w:hAnsi="宋体" w:cs="宋体"/>
          <w:color w:val="auto"/>
          <w:highlight w:val="none"/>
        </w:rPr>
        <w:t>供应商为自然人的，应当由本人签字;供应商为法人或者其他组织的，应当由法定代表人、主要负责人，或者其授权代表签字或者盖章，并加盖公章。</w:t>
      </w:r>
      <w:r>
        <w:rPr>
          <w:rFonts w:hint="eastAsia" w:ascii="宋体" w:hAnsi="宋体" w:cs="宋体"/>
          <w:color w:val="auto"/>
          <w:highlight w:val="none"/>
        </w:rPr>
        <w:br w:type="textWrapping"/>
      </w:r>
    </w:p>
    <w:p w14:paraId="79D5927A">
      <w:pPr>
        <w:pStyle w:val="14"/>
        <w:spacing w:line="360" w:lineRule="auto"/>
        <w:rPr>
          <w:rFonts w:ascii="宋体" w:hAnsi="宋体" w:cs="宋体"/>
          <w:color w:val="auto"/>
          <w:highlight w:val="none"/>
        </w:rPr>
      </w:pPr>
    </w:p>
    <w:p w14:paraId="75519EBF">
      <w:pPr>
        <w:pStyle w:val="14"/>
        <w:spacing w:line="360" w:lineRule="auto"/>
        <w:rPr>
          <w:rFonts w:ascii="宋体" w:hAnsi="宋体" w:cs="宋体"/>
          <w:color w:val="auto"/>
          <w:highlight w:val="none"/>
        </w:rPr>
      </w:pPr>
    </w:p>
    <w:p w14:paraId="31E7953A">
      <w:pPr>
        <w:pStyle w:val="14"/>
        <w:spacing w:line="360" w:lineRule="auto"/>
        <w:ind w:firstLine="4800" w:firstLineChars="1500"/>
        <w:rPr>
          <w:rFonts w:ascii="宋体" w:hAnsi="宋体" w:cs="宋体"/>
          <w:color w:val="auto"/>
          <w:sz w:val="32"/>
          <w:szCs w:val="32"/>
          <w:highlight w:val="none"/>
        </w:rPr>
      </w:pPr>
    </w:p>
    <w:p w14:paraId="25EE1AD7">
      <w:pPr>
        <w:pStyle w:val="14"/>
        <w:spacing w:line="360" w:lineRule="auto"/>
        <w:ind w:firstLine="4800" w:firstLineChars="1500"/>
        <w:rPr>
          <w:rFonts w:ascii="宋体" w:hAnsi="宋体" w:cs="宋体"/>
          <w:color w:val="auto"/>
          <w:sz w:val="32"/>
          <w:szCs w:val="32"/>
          <w:highlight w:val="none"/>
        </w:rPr>
      </w:pPr>
    </w:p>
    <w:p w14:paraId="5672C58F">
      <w:pPr>
        <w:pStyle w:val="14"/>
        <w:spacing w:line="360" w:lineRule="auto"/>
        <w:ind w:firstLine="4800" w:firstLineChars="1500"/>
        <w:rPr>
          <w:rFonts w:ascii="宋体" w:hAnsi="宋体" w:cs="宋体"/>
          <w:color w:val="auto"/>
          <w:sz w:val="32"/>
          <w:szCs w:val="32"/>
          <w:highlight w:val="none"/>
        </w:rPr>
      </w:pPr>
    </w:p>
    <w:p w14:paraId="6A3F6CD9">
      <w:pPr>
        <w:pStyle w:val="14"/>
        <w:spacing w:line="360" w:lineRule="auto"/>
        <w:ind w:firstLine="4800" w:firstLineChars="1500"/>
        <w:rPr>
          <w:rFonts w:ascii="宋体" w:hAnsi="宋体" w:cs="宋体"/>
          <w:color w:val="auto"/>
          <w:sz w:val="32"/>
          <w:szCs w:val="32"/>
          <w:highlight w:val="none"/>
        </w:rPr>
      </w:pPr>
    </w:p>
    <w:p w14:paraId="01298A86">
      <w:pPr>
        <w:pStyle w:val="14"/>
        <w:spacing w:line="360" w:lineRule="auto"/>
        <w:ind w:firstLine="4800" w:firstLineChars="1500"/>
        <w:rPr>
          <w:rFonts w:ascii="宋体" w:hAnsi="宋体" w:cs="宋体"/>
          <w:color w:val="auto"/>
          <w:sz w:val="32"/>
          <w:szCs w:val="32"/>
          <w:highlight w:val="none"/>
        </w:rPr>
      </w:pPr>
    </w:p>
    <w:p w14:paraId="276540E5">
      <w:pPr>
        <w:pStyle w:val="14"/>
        <w:spacing w:line="360" w:lineRule="auto"/>
        <w:ind w:firstLine="4800" w:firstLineChars="1500"/>
        <w:rPr>
          <w:rFonts w:ascii="宋体" w:hAnsi="宋体" w:cs="宋体"/>
          <w:color w:val="auto"/>
          <w:sz w:val="32"/>
          <w:szCs w:val="32"/>
          <w:highlight w:val="none"/>
        </w:rPr>
      </w:pPr>
    </w:p>
    <w:p w14:paraId="404D4395">
      <w:pPr>
        <w:pStyle w:val="14"/>
        <w:spacing w:line="360" w:lineRule="auto"/>
        <w:ind w:firstLine="4800" w:firstLineChars="1500"/>
        <w:rPr>
          <w:rFonts w:ascii="宋体" w:hAnsi="宋体" w:cs="宋体"/>
          <w:color w:val="auto"/>
          <w:sz w:val="32"/>
          <w:szCs w:val="32"/>
          <w:highlight w:val="none"/>
        </w:rPr>
      </w:pPr>
    </w:p>
    <w:p w14:paraId="10A9FEE4">
      <w:pPr>
        <w:pStyle w:val="14"/>
        <w:spacing w:line="360" w:lineRule="auto"/>
        <w:ind w:firstLine="4800" w:firstLineChars="1500"/>
        <w:rPr>
          <w:rFonts w:ascii="宋体" w:hAnsi="宋体" w:cs="宋体"/>
          <w:color w:val="auto"/>
          <w:sz w:val="32"/>
          <w:szCs w:val="32"/>
          <w:highlight w:val="none"/>
        </w:rPr>
      </w:pPr>
    </w:p>
    <w:p w14:paraId="2D554432">
      <w:pPr>
        <w:pStyle w:val="14"/>
        <w:spacing w:line="360" w:lineRule="auto"/>
        <w:ind w:firstLine="4800" w:firstLineChars="1500"/>
        <w:rPr>
          <w:rFonts w:ascii="宋体" w:hAnsi="宋体" w:cs="宋体"/>
          <w:color w:val="auto"/>
          <w:sz w:val="32"/>
          <w:szCs w:val="32"/>
          <w:highlight w:val="none"/>
        </w:rPr>
      </w:pPr>
    </w:p>
    <w:p w14:paraId="4541AA2F">
      <w:pPr>
        <w:pStyle w:val="14"/>
        <w:spacing w:line="360" w:lineRule="auto"/>
        <w:ind w:firstLine="4800" w:firstLineChars="1500"/>
        <w:rPr>
          <w:rFonts w:ascii="宋体" w:hAnsi="宋体" w:cs="宋体"/>
          <w:color w:val="auto"/>
          <w:sz w:val="32"/>
          <w:szCs w:val="32"/>
          <w:highlight w:val="none"/>
        </w:rPr>
      </w:pPr>
    </w:p>
    <w:p w14:paraId="66271836">
      <w:pPr>
        <w:pStyle w:val="14"/>
        <w:spacing w:line="360" w:lineRule="auto"/>
        <w:ind w:firstLine="4800" w:firstLineChars="1500"/>
        <w:rPr>
          <w:rFonts w:ascii="宋体" w:hAnsi="宋体" w:cs="宋体"/>
          <w:color w:val="auto"/>
          <w:sz w:val="32"/>
          <w:szCs w:val="32"/>
          <w:highlight w:val="none"/>
        </w:rPr>
      </w:pPr>
    </w:p>
    <w:p w14:paraId="230CFC11">
      <w:pPr>
        <w:pStyle w:val="14"/>
        <w:spacing w:line="360" w:lineRule="auto"/>
        <w:ind w:firstLine="3200" w:firstLineChars="1000"/>
        <w:rPr>
          <w:rFonts w:ascii="宋体" w:hAnsi="宋体" w:cs="宋体"/>
          <w:color w:val="auto"/>
          <w:highlight w:val="none"/>
        </w:rPr>
      </w:pPr>
      <w:r>
        <w:rPr>
          <w:rFonts w:hint="eastAsia" w:ascii="宋体" w:hAnsi="宋体" w:cs="宋体"/>
          <w:color w:val="auto"/>
          <w:sz w:val="32"/>
          <w:szCs w:val="32"/>
          <w:highlight w:val="none"/>
        </w:rPr>
        <w:t>评分响应要求</w:t>
      </w:r>
    </w:p>
    <w:tbl>
      <w:tblPr>
        <w:tblStyle w:val="17"/>
        <w:tblW w:w="8768" w:type="dxa"/>
        <w:tblInd w:w="0" w:type="dxa"/>
        <w:tblLayout w:type="fixed"/>
        <w:tblCellMar>
          <w:top w:w="0" w:type="dxa"/>
          <w:left w:w="108" w:type="dxa"/>
          <w:bottom w:w="0" w:type="dxa"/>
          <w:right w:w="108" w:type="dxa"/>
        </w:tblCellMar>
      </w:tblPr>
      <w:tblGrid>
        <w:gridCol w:w="883"/>
        <w:gridCol w:w="4122"/>
        <w:gridCol w:w="750"/>
        <w:gridCol w:w="2200"/>
        <w:gridCol w:w="813"/>
      </w:tblGrid>
      <w:tr w14:paraId="40BBAA5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07C7E4A3">
            <w:pPr>
              <w:spacing w:line="360" w:lineRule="auto"/>
              <w:jc w:val="center"/>
              <w:rPr>
                <w:rFonts w:ascii="宋体" w:hAnsi="宋体" w:cs="宋体"/>
                <w:b/>
                <w:bCs/>
                <w:color w:val="auto"/>
                <w:sz w:val="24"/>
                <w:szCs w:val="24"/>
                <w:highlight w:val="none"/>
              </w:rPr>
            </w:pPr>
            <w:r>
              <w:rPr>
                <w:rFonts w:hint="eastAsia" w:ascii="宋体" w:hAnsi="宋体" w:cs="宋体"/>
                <w:b/>
                <w:color w:val="auto"/>
                <w:sz w:val="24"/>
                <w:szCs w:val="24"/>
                <w:highlight w:val="none"/>
              </w:rPr>
              <w:t>序号</w:t>
            </w:r>
          </w:p>
        </w:tc>
        <w:tc>
          <w:tcPr>
            <w:tcW w:w="4122" w:type="dxa"/>
            <w:tcBorders>
              <w:top w:val="single" w:color="auto" w:sz="4" w:space="0"/>
              <w:left w:val="single" w:color="auto" w:sz="4" w:space="0"/>
              <w:bottom w:val="single" w:color="auto" w:sz="4" w:space="0"/>
              <w:right w:val="single" w:color="auto" w:sz="4" w:space="0"/>
            </w:tcBorders>
            <w:noWrap/>
            <w:vAlign w:val="center"/>
          </w:tcPr>
          <w:p w14:paraId="7D423526">
            <w:pPr>
              <w:spacing w:line="360" w:lineRule="auto"/>
              <w:jc w:val="center"/>
              <w:rPr>
                <w:rFonts w:ascii="宋体" w:hAnsi="宋体" w:cs="宋体"/>
                <w:b/>
                <w:bCs/>
                <w:color w:val="auto"/>
                <w:sz w:val="24"/>
                <w:szCs w:val="24"/>
                <w:highlight w:val="none"/>
              </w:rPr>
            </w:pPr>
            <w:r>
              <w:rPr>
                <w:rFonts w:hint="eastAsia" w:ascii="宋体" w:hAnsi="宋体" w:cs="宋体"/>
                <w:b/>
                <w:color w:val="auto"/>
                <w:sz w:val="24"/>
                <w:szCs w:val="24"/>
                <w:highlight w:val="none"/>
              </w:rPr>
              <w:t>评分界定</w:t>
            </w:r>
          </w:p>
        </w:tc>
        <w:tc>
          <w:tcPr>
            <w:tcW w:w="750" w:type="dxa"/>
            <w:tcBorders>
              <w:top w:val="single" w:color="auto" w:sz="4" w:space="0"/>
              <w:left w:val="single" w:color="auto" w:sz="4" w:space="0"/>
              <w:bottom w:val="single" w:color="auto" w:sz="4" w:space="0"/>
              <w:right w:val="single" w:color="auto" w:sz="4" w:space="0"/>
            </w:tcBorders>
            <w:noWrap/>
            <w:vAlign w:val="center"/>
          </w:tcPr>
          <w:p w14:paraId="54EDA7E6">
            <w:pPr>
              <w:spacing w:line="360" w:lineRule="auto"/>
              <w:rPr>
                <w:rFonts w:ascii="宋体" w:hAnsi="宋体" w:cs="宋体"/>
                <w:b/>
                <w:bCs/>
                <w:color w:val="auto"/>
                <w:sz w:val="24"/>
                <w:szCs w:val="24"/>
                <w:highlight w:val="none"/>
              </w:rPr>
            </w:pPr>
            <w:r>
              <w:rPr>
                <w:rFonts w:hint="eastAsia" w:ascii="宋体" w:hAnsi="宋体" w:cs="宋体"/>
                <w:b/>
                <w:color w:val="auto"/>
                <w:sz w:val="24"/>
                <w:szCs w:val="24"/>
                <w:highlight w:val="none"/>
              </w:rPr>
              <w:t>满分分值</w:t>
            </w:r>
          </w:p>
        </w:tc>
        <w:tc>
          <w:tcPr>
            <w:tcW w:w="2200" w:type="dxa"/>
            <w:tcBorders>
              <w:top w:val="single" w:color="auto" w:sz="4" w:space="0"/>
              <w:left w:val="single" w:color="auto" w:sz="4" w:space="0"/>
              <w:bottom w:val="single" w:color="auto" w:sz="4" w:space="0"/>
              <w:right w:val="single" w:color="auto" w:sz="4" w:space="0"/>
            </w:tcBorders>
            <w:noWrap/>
            <w:vAlign w:val="center"/>
          </w:tcPr>
          <w:p w14:paraId="2CD4A555">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响应内容</w:t>
            </w:r>
          </w:p>
        </w:tc>
        <w:tc>
          <w:tcPr>
            <w:tcW w:w="813" w:type="dxa"/>
            <w:tcBorders>
              <w:top w:val="single" w:color="auto" w:sz="4" w:space="0"/>
              <w:left w:val="single" w:color="auto" w:sz="4" w:space="0"/>
              <w:bottom w:val="single" w:color="auto" w:sz="4" w:space="0"/>
              <w:right w:val="single" w:color="auto" w:sz="4" w:space="0"/>
            </w:tcBorders>
            <w:noWrap/>
            <w:vAlign w:val="center"/>
          </w:tcPr>
          <w:p w14:paraId="3483EF15">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页码</w:t>
            </w:r>
          </w:p>
        </w:tc>
      </w:tr>
      <w:tr w14:paraId="0AAF4A0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9A063C4">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w:t>
            </w:r>
          </w:p>
        </w:tc>
        <w:tc>
          <w:tcPr>
            <w:tcW w:w="4122" w:type="dxa"/>
            <w:tcBorders>
              <w:top w:val="single" w:color="auto" w:sz="4" w:space="0"/>
              <w:left w:val="single" w:color="auto" w:sz="4" w:space="0"/>
              <w:bottom w:val="single" w:color="auto" w:sz="4" w:space="0"/>
              <w:right w:val="single" w:color="auto" w:sz="4" w:space="0"/>
            </w:tcBorders>
            <w:noWrap/>
          </w:tcPr>
          <w:p w14:paraId="571E0F25">
            <w:pPr>
              <w:spacing w:line="360" w:lineRule="auto"/>
              <w:rPr>
                <w:rFonts w:ascii="宋体" w:hAnsi="宋体" w:cs="宋体"/>
                <w:bCs/>
                <w:color w:val="auto"/>
                <w:sz w:val="24"/>
                <w:szCs w:val="24"/>
                <w:highlight w:val="none"/>
              </w:rPr>
            </w:pPr>
          </w:p>
        </w:tc>
        <w:tc>
          <w:tcPr>
            <w:tcW w:w="750" w:type="dxa"/>
            <w:tcBorders>
              <w:top w:val="single" w:color="auto" w:sz="4" w:space="0"/>
              <w:left w:val="single" w:color="auto" w:sz="4" w:space="0"/>
              <w:bottom w:val="single" w:color="auto" w:sz="4" w:space="0"/>
              <w:right w:val="single" w:color="auto" w:sz="4" w:space="0"/>
            </w:tcBorders>
            <w:noWrap/>
            <w:vAlign w:val="center"/>
          </w:tcPr>
          <w:p w14:paraId="37F8B96C">
            <w:pPr>
              <w:spacing w:line="360" w:lineRule="auto"/>
              <w:jc w:val="center"/>
              <w:rPr>
                <w:rFonts w:ascii="宋体" w:hAnsi="宋体" w:cs="宋体"/>
                <w:bCs/>
                <w:color w:val="auto"/>
                <w:sz w:val="24"/>
                <w:szCs w:val="24"/>
                <w:highlight w:val="none"/>
              </w:rPr>
            </w:pPr>
          </w:p>
        </w:tc>
        <w:tc>
          <w:tcPr>
            <w:tcW w:w="2200" w:type="dxa"/>
            <w:tcBorders>
              <w:top w:val="single" w:color="auto" w:sz="4" w:space="0"/>
              <w:left w:val="single" w:color="auto" w:sz="4" w:space="0"/>
              <w:bottom w:val="single" w:color="auto" w:sz="4" w:space="0"/>
              <w:right w:val="single" w:color="auto" w:sz="4" w:space="0"/>
            </w:tcBorders>
            <w:noWrap/>
            <w:vAlign w:val="center"/>
          </w:tcPr>
          <w:p w14:paraId="26F876FC">
            <w:pPr>
              <w:spacing w:line="360" w:lineRule="auto"/>
              <w:jc w:val="center"/>
              <w:rPr>
                <w:rFonts w:ascii="宋体" w:hAnsi="宋体" w:cs="宋体"/>
                <w:bCs/>
                <w:color w:val="auto"/>
                <w:sz w:val="24"/>
                <w:szCs w:val="24"/>
                <w:highlight w:val="none"/>
              </w:rPr>
            </w:pPr>
          </w:p>
        </w:tc>
        <w:tc>
          <w:tcPr>
            <w:tcW w:w="813" w:type="dxa"/>
            <w:tcBorders>
              <w:top w:val="single" w:color="auto" w:sz="4" w:space="0"/>
              <w:left w:val="single" w:color="auto" w:sz="4" w:space="0"/>
              <w:bottom w:val="single" w:color="auto" w:sz="4" w:space="0"/>
              <w:right w:val="single" w:color="auto" w:sz="4" w:space="0"/>
            </w:tcBorders>
            <w:noWrap/>
            <w:vAlign w:val="center"/>
          </w:tcPr>
          <w:p w14:paraId="6D7A611B">
            <w:pPr>
              <w:spacing w:line="360" w:lineRule="auto"/>
              <w:jc w:val="center"/>
              <w:rPr>
                <w:rFonts w:ascii="宋体" w:hAnsi="宋体" w:cs="宋体"/>
                <w:bCs/>
                <w:color w:val="auto"/>
                <w:sz w:val="24"/>
                <w:szCs w:val="24"/>
                <w:highlight w:val="none"/>
              </w:rPr>
            </w:pPr>
          </w:p>
        </w:tc>
      </w:tr>
      <w:tr w14:paraId="60A6E17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C7B348A">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1-2</w:t>
            </w:r>
          </w:p>
        </w:tc>
        <w:tc>
          <w:tcPr>
            <w:tcW w:w="4122" w:type="dxa"/>
            <w:tcBorders>
              <w:top w:val="single" w:color="auto" w:sz="4" w:space="0"/>
              <w:left w:val="single" w:color="auto" w:sz="4" w:space="0"/>
              <w:bottom w:val="single" w:color="auto" w:sz="4" w:space="0"/>
              <w:right w:val="single" w:color="auto" w:sz="4" w:space="0"/>
            </w:tcBorders>
            <w:noWrap/>
          </w:tcPr>
          <w:p w14:paraId="6308C36C">
            <w:pPr>
              <w:spacing w:line="360" w:lineRule="auto"/>
              <w:rPr>
                <w:rFonts w:ascii="宋体" w:hAnsi="宋体" w:cs="宋体"/>
                <w:bCs/>
                <w:color w:val="auto"/>
                <w:sz w:val="24"/>
                <w:szCs w:val="24"/>
                <w:highlight w:val="none"/>
              </w:rPr>
            </w:pPr>
          </w:p>
        </w:tc>
        <w:tc>
          <w:tcPr>
            <w:tcW w:w="750" w:type="dxa"/>
            <w:tcBorders>
              <w:top w:val="single" w:color="auto" w:sz="4" w:space="0"/>
              <w:left w:val="single" w:color="auto" w:sz="4" w:space="0"/>
              <w:bottom w:val="single" w:color="auto" w:sz="4" w:space="0"/>
              <w:right w:val="single" w:color="auto" w:sz="4" w:space="0"/>
            </w:tcBorders>
            <w:noWrap/>
            <w:vAlign w:val="center"/>
          </w:tcPr>
          <w:p w14:paraId="3F206C22">
            <w:pPr>
              <w:spacing w:line="360" w:lineRule="auto"/>
              <w:jc w:val="center"/>
              <w:rPr>
                <w:rFonts w:ascii="宋体" w:hAnsi="宋体" w:cs="宋体"/>
                <w:bCs/>
                <w:color w:val="auto"/>
                <w:sz w:val="24"/>
                <w:szCs w:val="24"/>
                <w:highlight w:val="none"/>
              </w:rPr>
            </w:pPr>
          </w:p>
        </w:tc>
        <w:tc>
          <w:tcPr>
            <w:tcW w:w="2200" w:type="dxa"/>
            <w:tcBorders>
              <w:top w:val="single" w:color="auto" w:sz="4" w:space="0"/>
              <w:left w:val="single" w:color="auto" w:sz="4" w:space="0"/>
              <w:bottom w:val="single" w:color="auto" w:sz="4" w:space="0"/>
              <w:right w:val="single" w:color="auto" w:sz="4" w:space="0"/>
            </w:tcBorders>
            <w:noWrap/>
            <w:vAlign w:val="center"/>
          </w:tcPr>
          <w:p w14:paraId="67E555C0">
            <w:pPr>
              <w:spacing w:line="360" w:lineRule="auto"/>
              <w:jc w:val="center"/>
              <w:rPr>
                <w:rFonts w:ascii="宋体" w:hAnsi="宋体" w:cs="宋体"/>
                <w:bCs/>
                <w:color w:val="auto"/>
                <w:sz w:val="24"/>
                <w:szCs w:val="24"/>
                <w:highlight w:val="none"/>
              </w:rPr>
            </w:pPr>
          </w:p>
        </w:tc>
        <w:tc>
          <w:tcPr>
            <w:tcW w:w="813" w:type="dxa"/>
            <w:tcBorders>
              <w:top w:val="single" w:color="auto" w:sz="4" w:space="0"/>
              <w:left w:val="single" w:color="auto" w:sz="4" w:space="0"/>
              <w:bottom w:val="single" w:color="auto" w:sz="4" w:space="0"/>
              <w:right w:val="single" w:color="auto" w:sz="4" w:space="0"/>
            </w:tcBorders>
            <w:noWrap/>
            <w:vAlign w:val="center"/>
          </w:tcPr>
          <w:p w14:paraId="68BFCDF5">
            <w:pPr>
              <w:spacing w:line="360" w:lineRule="auto"/>
              <w:jc w:val="center"/>
              <w:rPr>
                <w:rFonts w:ascii="宋体" w:hAnsi="宋体" w:cs="宋体"/>
                <w:bCs/>
                <w:color w:val="auto"/>
                <w:sz w:val="24"/>
                <w:szCs w:val="24"/>
                <w:highlight w:val="none"/>
              </w:rPr>
            </w:pPr>
          </w:p>
        </w:tc>
      </w:tr>
      <w:tr w14:paraId="7C2856A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3149B16F">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1-3</w:t>
            </w:r>
          </w:p>
        </w:tc>
        <w:tc>
          <w:tcPr>
            <w:tcW w:w="4122" w:type="dxa"/>
            <w:tcBorders>
              <w:top w:val="single" w:color="auto" w:sz="4" w:space="0"/>
              <w:left w:val="single" w:color="auto" w:sz="4" w:space="0"/>
              <w:bottom w:val="single" w:color="auto" w:sz="4" w:space="0"/>
              <w:right w:val="single" w:color="auto" w:sz="4" w:space="0"/>
            </w:tcBorders>
            <w:noWrap/>
          </w:tcPr>
          <w:p w14:paraId="69F1D607">
            <w:pPr>
              <w:spacing w:line="360" w:lineRule="auto"/>
              <w:rPr>
                <w:rFonts w:ascii="宋体" w:hAnsi="宋体" w:cs="宋体"/>
                <w:bCs/>
                <w:color w:val="auto"/>
                <w:sz w:val="24"/>
                <w:szCs w:val="24"/>
                <w:highlight w:val="none"/>
              </w:rPr>
            </w:pPr>
          </w:p>
        </w:tc>
        <w:tc>
          <w:tcPr>
            <w:tcW w:w="750" w:type="dxa"/>
            <w:tcBorders>
              <w:top w:val="single" w:color="auto" w:sz="4" w:space="0"/>
              <w:left w:val="single" w:color="auto" w:sz="4" w:space="0"/>
              <w:bottom w:val="single" w:color="auto" w:sz="4" w:space="0"/>
              <w:right w:val="single" w:color="auto" w:sz="4" w:space="0"/>
            </w:tcBorders>
            <w:noWrap/>
            <w:vAlign w:val="center"/>
          </w:tcPr>
          <w:p w14:paraId="3DDE047F">
            <w:pPr>
              <w:spacing w:line="360" w:lineRule="auto"/>
              <w:jc w:val="center"/>
              <w:rPr>
                <w:rFonts w:ascii="宋体" w:hAnsi="宋体" w:cs="宋体"/>
                <w:bCs/>
                <w:color w:val="auto"/>
                <w:sz w:val="24"/>
                <w:szCs w:val="24"/>
                <w:highlight w:val="none"/>
              </w:rPr>
            </w:pPr>
          </w:p>
        </w:tc>
        <w:tc>
          <w:tcPr>
            <w:tcW w:w="2200" w:type="dxa"/>
            <w:tcBorders>
              <w:top w:val="single" w:color="auto" w:sz="4" w:space="0"/>
              <w:left w:val="single" w:color="auto" w:sz="4" w:space="0"/>
              <w:bottom w:val="single" w:color="auto" w:sz="4" w:space="0"/>
              <w:right w:val="single" w:color="auto" w:sz="4" w:space="0"/>
            </w:tcBorders>
            <w:noWrap/>
            <w:vAlign w:val="center"/>
          </w:tcPr>
          <w:p w14:paraId="5B8B2A14">
            <w:pPr>
              <w:spacing w:line="360" w:lineRule="auto"/>
              <w:jc w:val="center"/>
              <w:rPr>
                <w:rFonts w:ascii="宋体" w:hAnsi="宋体" w:cs="宋体"/>
                <w:bCs/>
                <w:color w:val="auto"/>
                <w:sz w:val="24"/>
                <w:szCs w:val="24"/>
                <w:highlight w:val="none"/>
              </w:rPr>
            </w:pPr>
          </w:p>
        </w:tc>
        <w:tc>
          <w:tcPr>
            <w:tcW w:w="813" w:type="dxa"/>
            <w:tcBorders>
              <w:top w:val="single" w:color="auto" w:sz="4" w:space="0"/>
              <w:left w:val="single" w:color="auto" w:sz="4" w:space="0"/>
              <w:bottom w:val="single" w:color="auto" w:sz="4" w:space="0"/>
              <w:right w:val="single" w:color="auto" w:sz="4" w:space="0"/>
            </w:tcBorders>
            <w:noWrap/>
            <w:vAlign w:val="center"/>
          </w:tcPr>
          <w:p w14:paraId="195333CE">
            <w:pPr>
              <w:spacing w:line="360" w:lineRule="auto"/>
              <w:jc w:val="center"/>
              <w:rPr>
                <w:rFonts w:ascii="宋体" w:hAnsi="宋体" w:cs="宋体"/>
                <w:bCs/>
                <w:color w:val="auto"/>
                <w:sz w:val="24"/>
                <w:szCs w:val="24"/>
                <w:highlight w:val="none"/>
              </w:rPr>
            </w:pPr>
          </w:p>
        </w:tc>
      </w:tr>
      <w:tr w14:paraId="6159D58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7694CA4">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1-4</w:t>
            </w:r>
          </w:p>
        </w:tc>
        <w:tc>
          <w:tcPr>
            <w:tcW w:w="4122" w:type="dxa"/>
            <w:tcBorders>
              <w:top w:val="single" w:color="auto" w:sz="4" w:space="0"/>
              <w:left w:val="single" w:color="auto" w:sz="4" w:space="0"/>
              <w:bottom w:val="single" w:color="auto" w:sz="4" w:space="0"/>
              <w:right w:val="single" w:color="auto" w:sz="4" w:space="0"/>
            </w:tcBorders>
            <w:noWrap/>
          </w:tcPr>
          <w:p w14:paraId="31B7A225">
            <w:pPr>
              <w:tabs>
                <w:tab w:val="left" w:pos="-1080"/>
                <w:tab w:val="left" w:pos="180"/>
                <w:tab w:val="left" w:pos="1080"/>
              </w:tabs>
              <w:spacing w:line="360" w:lineRule="auto"/>
              <w:rPr>
                <w:rFonts w:ascii="宋体" w:hAnsi="宋体" w:cs="宋体"/>
                <w:bCs/>
                <w:color w:val="auto"/>
                <w:sz w:val="24"/>
                <w:szCs w:val="24"/>
                <w:highlight w:val="none"/>
              </w:rPr>
            </w:pPr>
          </w:p>
        </w:tc>
        <w:tc>
          <w:tcPr>
            <w:tcW w:w="750" w:type="dxa"/>
            <w:tcBorders>
              <w:top w:val="single" w:color="auto" w:sz="4" w:space="0"/>
              <w:left w:val="single" w:color="auto" w:sz="4" w:space="0"/>
              <w:bottom w:val="single" w:color="auto" w:sz="4" w:space="0"/>
              <w:right w:val="single" w:color="auto" w:sz="4" w:space="0"/>
            </w:tcBorders>
            <w:noWrap/>
            <w:vAlign w:val="center"/>
          </w:tcPr>
          <w:p w14:paraId="770A5D56">
            <w:pPr>
              <w:tabs>
                <w:tab w:val="left" w:pos="-1080"/>
                <w:tab w:val="left" w:pos="180"/>
                <w:tab w:val="left" w:pos="1080"/>
              </w:tabs>
              <w:spacing w:line="360" w:lineRule="auto"/>
              <w:jc w:val="center"/>
              <w:rPr>
                <w:rFonts w:ascii="宋体" w:hAnsi="宋体" w:cs="宋体"/>
                <w:bCs/>
                <w:color w:val="auto"/>
                <w:sz w:val="24"/>
                <w:szCs w:val="24"/>
                <w:highlight w:val="none"/>
              </w:rPr>
            </w:pPr>
          </w:p>
        </w:tc>
        <w:tc>
          <w:tcPr>
            <w:tcW w:w="2200" w:type="dxa"/>
            <w:tcBorders>
              <w:top w:val="single" w:color="auto" w:sz="4" w:space="0"/>
              <w:left w:val="single" w:color="auto" w:sz="4" w:space="0"/>
              <w:bottom w:val="single" w:color="auto" w:sz="4" w:space="0"/>
              <w:right w:val="single" w:color="auto" w:sz="4" w:space="0"/>
            </w:tcBorders>
            <w:noWrap/>
            <w:vAlign w:val="center"/>
          </w:tcPr>
          <w:p w14:paraId="04AB237B">
            <w:pPr>
              <w:tabs>
                <w:tab w:val="left" w:pos="-1080"/>
                <w:tab w:val="left" w:pos="180"/>
                <w:tab w:val="left" w:pos="1080"/>
              </w:tabs>
              <w:spacing w:line="360" w:lineRule="auto"/>
              <w:jc w:val="center"/>
              <w:rPr>
                <w:rFonts w:ascii="宋体" w:hAnsi="宋体" w:cs="宋体"/>
                <w:bCs/>
                <w:color w:val="auto"/>
                <w:sz w:val="24"/>
                <w:szCs w:val="24"/>
                <w:highlight w:val="none"/>
              </w:rPr>
            </w:pPr>
          </w:p>
        </w:tc>
        <w:tc>
          <w:tcPr>
            <w:tcW w:w="813" w:type="dxa"/>
            <w:tcBorders>
              <w:top w:val="single" w:color="auto" w:sz="4" w:space="0"/>
              <w:left w:val="single" w:color="auto" w:sz="4" w:space="0"/>
              <w:bottom w:val="single" w:color="auto" w:sz="4" w:space="0"/>
              <w:right w:val="single" w:color="auto" w:sz="4" w:space="0"/>
            </w:tcBorders>
            <w:noWrap/>
            <w:vAlign w:val="center"/>
          </w:tcPr>
          <w:p w14:paraId="09254971">
            <w:pPr>
              <w:tabs>
                <w:tab w:val="left" w:pos="-1080"/>
                <w:tab w:val="left" w:pos="180"/>
                <w:tab w:val="left" w:pos="1080"/>
              </w:tabs>
              <w:spacing w:line="360" w:lineRule="auto"/>
              <w:jc w:val="center"/>
              <w:rPr>
                <w:rFonts w:ascii="宋体" w:hAnsi="宋体" w:cs="宋体"/>
                <w:bCs/>
                <w:color w:val="auto"/>
                <w:sz w:val="24"/>
                <w:szCs w:val="24"/>
                <w:highlight w:val="none"/>
              </w:rPr>
            </w:pPr>
          </w:p>
        </w:tc>
      </w:tr>
      <w:tr w14:paraId="6E5645C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082E3C3F">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1-5</w:t>
            </w:r>
          </w:p>
        </w:tc>
        <w:tc>
          <w:tcPr>
            <w:tcW w:w="4122" w:type="dxa"/>
            <w:tcBorders>
              <w:top w:val="single" w:color="auto" w:sz="4" w:space="0"/>
              <w:left w:val="single" w:color="auto" w:sz="4" w:space="0"/>
              <w:bottom w:val="single" w:color="auto" w:sz="4" w:space="0"/>
              <w:right w:val="single" w:color="auto" w:sz="4" w:space="0"/>
            </w:tcBorders>
            <w:noWrap/>
          </w:tcPr>
          <w:p w14:paraId="407C3BC3">
            <w:pPr>
              <w:tabs>
                <w:tab w:val="left" w:pos="720"/>
              </w:tabs>
              <w:spacing w:line="360" w:lineRule="auto"/>
              <w:ind w:right="18"/>
              <w:rPr>
                <w:rFonts w:ascii="宋体" w:hAnsi="宋体" w:cs="宋体"/>
                <w:bCs/>
                <w:color w:val="auto"/>
                <w:sz w:val="24"/>
                <w:szCs w:val="24"/>
                <w:highlight w:val="none"/>
              </w:rPr>
            </w:pPr>
          </w:p>
        </w:tc>
        <w:tc>
          <w:tcPr>
            <w:tcW w:w="750" w:type="dxa"/>
            <w:tcBorders>
              <w:top w:val="single" w:color="auto" w:sz="4" w:space="0"/>
              <w:left w:val="single" w:color="auto" w:sz="4" w:space="0"/>
              <w:bottom w:val="single" w:color="auto" w:sz="4" w:space="0"/>
              <w:right w:val="single" w:color="auto" w:sz="4" w:space="0"/>
            </w:tcBorders>
            <w:noWrap/>
            <w:vAlign w:val="center"/>
          </w:tcPr>
          <w:p w14:paraId="5536BF83">
            <w:pPr>
              <w:tabs>
                <w:tab w:val="left" w:pos="720"/>
              </w:tabs>
              <w:spacing w:line="360" w:lineRule="auto"/>
              <w:ind w:right="18"/>
              <w:jc w:val="center"/>
              <w:rPr>
                <w:rFonts w:ascii="宋体" w:hAnsi="宋体" w:cs="宋体"/>
                <w:bCs/>
                <w:color w:val="auto"/>
                <w:sz w:val="24"/>
                <w:szCs w:val="24"/>
                <w:highlight w:val="none"/>
              </w:rPr>
            </w:pPr>
          </w:p>
        </w:tc>
        <w:tc>
          <w:tcPr>
            <w:tcW w:w="2200" w:type="dxa"/>
            <w:tcBorders>
              <w:top w:val="single" w:color="auto" w:sz="4" w:space="0"/>
              <w:left w:val="single" w:color="auto" w:sz="4" w:space="0"/>
              <w:bottom w:val="single" w:color="auto" w:sz="4" w:space="0"/>
              <w:right w:val="single" w:color="auto" w:sz="4" w:space="0"/>
            </w:tcBorders>
            <w:noWrap/>
            <w:vAlign w:val="center"/>
          </w:tcPr>
          <w:p w14:paraId="3C2176F9">
            <w:pPr>
              <w:tabs>
                <w:tab w:val="left" w:pos="720"/>
              </w:tabs>
              <w:spacing w:line="360" w:lineRule="auto"/>
              <w:ind w:right="18"/>
              <w:jc w:val="center"/>
              <w:rPr>
                <w:rFonts w:ascii="宋体" w:hAnsi="宋体" w:cs="宋体"/>
                <w:bCs/>
                <w:color w:val="auto"/>
                <w:sz w:val="24"/>
                <w:szCs w:val="24"/>
                <w:highlight w:val="none"/>
              </w:rPr>
            </w:pPr>
          </w:p>
        </w:tc>
        <w:tc>
          <w:tcPr>
            <w:tcW w:w="813" w:type="dxa"/>
            <w:tcBorders>
              <w:top w:val="single" w:color="auto" w:sz="4" w:space="0"/>
              <w:left w:val="single" w:color="auto" w:sz="4" w:space="0"/>
              <w:bottom w:val="single" w:color="auto" w:sz="4" w:space="0"/>
              <w:right w:val="single" w:color="auto" w:sz="4" w:space="0"/>
            </w:tcBorders>
            <w:noWrap/>
            <w:vAlign w:val="center"/>
          </w:tcPr>
          <w:p w14:paraId="3F655B19">
            <w:pPr>
              <w:tabs>
                <w:tab w:val="left" w:pos="720"/>
              </w:tabs>
              <w:spacing w:line="360" w:lineRule="auto"/>
              <w:ind w:right="18"/>
              <w:jc w:val="center"/>
              <w:rPr>
                <w:rFonts w:ascii="宋体" w:hAnsi="宋体" w:cs="宋体"/>
                <w:bCs/>
                <w:color w:val="auto"/>
                <w:sz w:val="24"/>
                <w:szCs w:val="24"/>
                <w:highlight w:val="none"/>
              </w:rPr>
            </w:pPr>
          </w:p>
        </w:tc>
      </w:tr>
    </w:tbl>
    <w:p w14:paraId="35C09DAD">
      <w:pPr>
        <w:widowControl/>
        <w:spacing w:line="360" w:lineRule="auto"/>
        <w:rPr>
          <w:rFonts w:ascii="宋体" w:hAnsi="宋体" w:cs="宋体"/>
          <w:color w:val="auto"/>
          <w:sz w:val="24"/>
          <w:szCs w:val="24"/>
          <w:highlight w:val="none"/>
        </w:rPr>
      </w:pPr>
    </w:p>
    <w:p w14:paraId="5D51F82D">
      <w:pPr>
        <w:spacing w:line="360" w:lineRule="auto"/>
        <w:jc w:val="center"/>
        <w:rPr>
          <w:rFonts w:ascii="宋体" w:hAnsi="宋体" w:cs="宋体"/>
          <w:color w:val="auto"/>
          <w:kern w:val="0"/>
          <w:sz w:val="32"/>
          <w:szCs w:val="32"/>
          <w:highlight w:val="none"/>
        </w:rPr>
      </w:pPr>
    </w:p>
    <w:p w14:paraId="6A7B9CCC">
      <w:pPr>
        <w:spacing w:line="360" w:lineRule="auto"/>
        <w:jc w:val="center"/>
        <w:rPr>
          <w:rFonts w:ascii="宋体" w:hAnsi="宋体" w:cs="宋体"/>
          <w:color w:val="auto"/>
          <w:kern w:val="0"/>
          <w:sz w:val="32"/>
          <w:szCs w:val="32"/>
          <w:highlight w:val="none"/>
        </w:rPr>
      </w:pPr>
    </w:p>
    <w:p w14:paraId="4C7778D3">
      <w:pPr>
        <w:spacing w:line="360" w:lineRule="auto"/>
        <w:jc w:val="center"/>
        <w:rPr>
          <w:rFonts w:ascii="宋体" w:hAnsi="宋体" w:cs="宋体"/>
          <w:color w:val="auto"/>
          <w:kern w:val="0"/>
          <w:sz w:val="32"/>
          <w:szCs w:val="32"/>
          <w:highlight w:val="none"/>
        </w:rPr>
      </w:pPr>
    </w:p>
    <w:p w14:paraId="1D761C8F">
      <w:pPr>
        <w:spacing w:line="360" w:lineRule="auto"/>
        <w:jc w:val="center"/>
        <w:rPr>
          <w:rFonts w:ascii="宋体" w:hAnsi="宋体" w:cs="宋体"/>
          <w:color w:val="auto"/>
          <w:kern w:val="0"/>
          <w:sz w:val="32"/>
          <w:szCs w:val="32"/>
          <w:highlight w:val="none"/>
        </w:rPr>
      </w:pPr>
    </w:p>
    <w:p w14:paraId="623CE039">
      <w:pPr>
        <w:spacing w:line="360" w:lineRule="auto"/>
        <w:jc w:val="center"/>
        <w:rPr>
          <w:rFonts w:ascii="宋体" w:hAnsi="宋体" w:cs="宋体"/>
          <w:color w:val="auto"/>
          <w:kern w:val="0"/>
          <w:sz w:val="32"/>
          <w:szCs w:val="32"/>
          <w:highlight w:val="none"/>
        </w:rPr>
      </w:pPr>
    </w:p>
    <w:p w14:paraId="0EE80F07">
      <w:pPr>
        <w:spacing w:line="360" w:lineRule="auto"/>
        <w:jc w:val="center"/>
        <w:rPr>
          <w:rFonts w:ascii="宋体" w:hAnsi="宋体" w:cs="宋体"/>
          <w:color w:val="auto"/>
          <w:kern w:val="0"/>
          <w:sz w:val="32"/>
          <w:szCs w:val="32"/>
          <w:highlight w:val="none"/>
        </w:rPr>
      </w:pPr>
    </w:p>
    <w:p w14:paraId="37CFBB3E">
      <w:pPr>
        <w:spacing w:line="360" w:lineRule="auto"/>
        <w:jc w:val="center"/>
        <w:rPr>
          <w:rFonts w:ascii="宋体" w:hAnsi="宋体" w:cs="宋体"/>
          <w:color w:val="auto"/>
          <w:kern w:val="0"/>
          <w:sz w:val="32"/>
          <w:szCs w:val="32"/>
          <w:highlight w:val="none"/>
        </w:rPr>
      </w:pPr>
    </w:p>
    <w:p w14:paraId="70302580">
      <w:pPr>
        <w:spacing w:line="360" w:lineRule="auto"/>
        <w:jc w:val="center"/>
        <w:rPr>
          <w:rFonts w:ascii="宋体" w:hAnsi="宋体" w:cs="宋体"/>
          <w:color w:val="auto"/>
          <w:kern w:val="0"/>
          <w:sz w:val="32"/>
          <w:szCs w:val="32"/>
          <w:highlight w:val="none"/>
        </w:rPr>
      </w:pPr>
    </w:p>
    <w:p w14:paraId="3BCC2564">
      <w:pPr>
        <w:spacing w:line="360" w:lineRule="auto"/>
        <w:jc w:val="center"/>
        <w:rPr>
          <w:rFonts w:ascii="宋体" w:hAnsi="宋体" w:cs="宋体"/>
          <w:color w:val="auto"/>
          <w:kern w:val="0"/>
          <w:sz w:val="32"/>
          <w:szCs w:val="32"/>
          <w:highlight w:val="none"/>
        </w:rPr>
      </w:pPr>
    </w:p>
    <w:p w14:paraId="59AB4A43">
      <w:pPr>
        <w:spacing w:line="360" w:lineRule="auto"/>
        <w:jc w:val="center"/>
        <w:rPr>
          <w:rFonts w:ascii="宋体" w:hAnsi="宋体" w:cs="宋体"/>
          <w:color w:val="auto"/>
          <w:kern w:val="0"/>
          <w:sz w:val="32"/>
          <w:szCs w:val="32"/>
          <w:highlight w:val="none"/>
        </w:rPr>
      </w:pPr>
    </w:p>
    <w:p w14:paraId="449D3B6B">
      <w:pPr>
        <w:spacing w:line="360" w:lineRule="auto"/>
        <w:jc w:val="center"/>
        <w:rPr>
          <w:rFonts w:ascii="宋体" w:hAnsi="宋体" w:cs="宋体"/>
          <w:color w:val="auto"/>
          <w:kern w:val="0"/>
          <w:sz w:val="32"/>
          <w:szCs w:val="32"/>
          <w:highlight w:val="none"/>
        </w:rPr>
      </w:pPr>
    </w:p>
    <w:p w14:paraId="25EFBFEB">
      <w:pPr>
        <w:spacing w:line="360" w:lineRule="auto"/>
        <w:jc w:val="center"/>
        <w:rPr>
          <w:rFonts w:ascii="宋体" w:hAnsi="宋体" w:cs="宋体"/>
          <w:color w:val="auto"/>
          <w:kern w:val="0"/>
          <w:sz w:val="32"/>
          <w:szCs w:val="32"/>
          <w:highlight w:val="none"/>
        </w:rPr>
      </w:pPr>
    </w:p>
    <w:p w14:paraId="78D6A058">
      <w:pPr>
        <w:spacing w:line="360" w:lineRule="auto"/>
        <w:jc w:val="center"/>
        <w:rPr>
          <w:rFonts w:ascii="宋体" w:hAnsi="宋体" w:cs="宋体"/>
          <w:color w:val="auto"/>
          <w:kern w:val="0"/>
          <w:sz w:val="32"/>
          <w:szCs w:val="32"/>
          <w:highlight w:val="none"/>
        </w:rPr>
      </w:pPr>
    </w:p>
    <w:p w14:paraId="30332A0C">
      <w:pPr>
        <w:spacing w:line="360" w:lineRule="auto"/>
        <w:jc w:val="center"/>
        <w:rPr>
          <w:rFonts w:ascii="宋体" w:hAnsi="宋体" w:cs="宋体"/>
          <w:color w:val="auto"/>
          <w:kern w:val="0"/>
          <w:sz w:val="32"/>
          <w:szCs w:val="32"/>
          <w:highlight w:val="none"/>
        </w:rPr>
      </w:pPr>
    </w:p>
    <w:p w14:paraId="79AFF570">
      <w:pPr>
        <w:spacing w:line="360" w:lineRule="auto"/>
        <w:rPr>
          <w:rFonts w:ascii="宋体" w:hAnsi="宋体" w:cs="宋体"/>
          <w:color w:val="auto"/>
          <w:kern w:val="0"/>
          <w:sz w:val="32"/>
          <w:szCs w:val="32"/>
          <w:highlight w:val="none"/>
        </w:rPr>
      </w:pPr>
    </w:p>
    <w:p w14:paraId="4F73E155">
      <w:pPr>
        <w:pStyle w:val="26"/>
        <w:spacing w:line="360" w:lineRule="auto"/>
        <w:jc w:val="center"/>
        <w:rPr>
          <w:rFonts w:hint="default" w:ascii="宋体" w:hAnsi="宋体" w:cs="宋体"/>
          <w:color w:val="auto"/>
          <w:sz w:val="24"/>
          <w:szCs w:val="24"/>
          <w:highlight w:val="none"/>
        </w:rPr>
      </w:pPr>
      <w:bookmarkStart w:id="234" w:name="_Toc28496"/>
      <w:r>
        <w:rPr>
          <w:rFonts w:ascii="宋体" w:hAnsi="宋体" w:cs="宋体"/>
          <w:b/>
          <w:color w:val="auto"/>
          <w:sz w:val="24"/>
          <w:szCs w:val="24"/>
          <w:highlight w:val="none"/>
        </w:rPr>
        <w:t>2小型、微型企业产品等价格扣除证明材料（若有）</w:t>
      </w:r>
      <w:bookmarkEnd w:id="234"/>
    </w:p>
    <w:p w14:paraId="558E3A32">
      <w:pPr>
        <w:pStyle w:val="26"/>
        <w:spacing w:line="360" w:lineRule="auto"/>
        <w:jc w:val="center"/>
        <w:rPr>
          <w:rFonts w:hint="default" w:ascii="宋体" w:hAnsi="宋体" w:cs="宋体"/>
          <w:color w:val="auto"/>
          <w:sz w:val="24"/>
          <w:szCs w:val="24"/>
          <w:highlight w:val="none"/>
        </w:rPr>
      </w:pPr>
      <w:bookmarkStart w:id="235" w:name="_Toc3454"/>
      <w:r>
        <w:rPr>
          <w:rFonts w:ascii="宋体" w:hAnsi="宋体" w:cs="宋体"/>
          <w:b/>
          <w:color w:val="auto"/>
          <w:sz w:val="24"/>
          <w:szCs w:val="24"/>
          <w:highlight w:val="none"/>
        </w:rPr>
        <w:t>2-①中小企业声明函（价格扣除适用，若有）</w:t>
      </w:r>
      <w:bookmarkEnd w:id="235"/>
    </w:p>
    <w:p w14:paraId="1AE90737">
      <w:pPr>
        <w:pStyle w:val="26"/>
        <w:spacing w:line="360" w:lineRule="auto"/>
        <w:jc w:val="center"/>
        <w:rPr>
          <w:rFonts w:hint="default" w:ascii="宋体" w:hAnsi="宋体" w:cs="宋体"/>
          <w:color w:val="auto"/>
          <w:sz w:val="24"/>
          <w:szCs w:val="24"/>
          <w:highlight w:val="none"/>
        </w:rPr>
      </w:pPr>
      <w:r>
        <w:rPr>
          <w:rFonts w:ascii="宋体" w:hAnsi="宋体" w:cs="宋体"/>
          <w:b/>
          <w:color w:val="auto"/>
          <w:sz w:val="24"/>
          <w:szCs w:val="24"/>
          <w:highlight w:val="none"/>
        </w:rPr>
        <w:t>中小企业声明函（货物）</w:t>
      </w:r>
    </w:p>
    <w:p w14:paraId="2E3032EC">
      <w:pPr>
        <w:pStyle w:val="26"/>
        <w:spacing w:line="360" w:lineRule="auto"/>
        <w:ind w:firstLine="480"/>
        <w:rPr>
          <w:rFonts w:hint="default" w:ascii="宋体" w:hAnsi="宋体" w:cs="宋体"/>
          <w:color w:val="auto"/>
          <w:sz w:val="24"/>
          <w:szCs w:val="24"/>
          <w:highlight w:val="none"/>
        </w:rPr>
      </w:pPr>
    </w:p>
    <w:p w14:paraId="62FA6B7F">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本公司（联合体）郑重声明，根据《政府采购促进中小企业发展管理办法》（财库﹝2020﹞46 号）的规定，本公司（联合体）参加</w:t>
      </w:r>
      <w:r>
        <w:rPr>
          <w:rFonts w:ascii="宋体" w:hAnsi="宋体" w:cs="宋体"/>
          <w:color w:val="auto"/>
          <w:sz w:val="24"/>
          <w:szCs w:val="24"/>
          <w:highlight w:val="none"/>
          <w:u w:val="single"/>
        </w:rPr>
        <w:t>（单位名称）</w:t>
      </w:r>
      <w:r>
        <w:rPr>
          <w:rFonts w:ascii="宋体" w:hAnsi="宋体" w:cs="宋体"/>
          <w:color w:val="auto"/>
          <w:sz w:val="24"/>
          <w:szCs w:val="24"/>
          <w:highlight w:val="none"/>
        </w:rPr>
        <w:t>的</w:t>
      </w:r>
      <w:r>
        <w:rPr>
          <w:rFonts w:ascii="宋体" w:hAnsi="宋体" w:cs="宋体"/>
          <w:color w:val="auto"/>
          <w:sz w:val="24"/>
          <w:szCs w:val="24"/>
          <w:highlight w:val="none"/>
          <w:u w:val="single"/>
        </w:rPr>
        <w:t>（项目名称）</w:t>
      </w:r>
      <w:r>
        <w:rPr>
          <w:rFonts w:ascii="宋体" w:hAnsi="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43AF5D1D">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1.</w:t>
      </w:r>
      <w:r>
        <w:rPr>
          <w:rFonts w:ascii="宋体" w:hAnsi="宋体" w:cs="宋体"/>
          <w:color w:val="auto"/>
          <w:sz w:val="24"/>
          <w:szCs w:val="24"/>
          <w:highlight w:val="none"/>
          <w:u w:val="single"/>
        </w:rPr>
        <w:t xml:space="preserve"> （标的名称） </w:t>
      </w:r>
      <w:r>
        <w:rPr>
          <w:rFonts w:ascii="宋体" w:hAnsi="宋体" w:cs="宋体"/>
          <w:color w:val="auto"/>
          <w:sz w:val="24"/>
          <w:szCs w:val="24"/>
          <w:highlight w:val="none"/>
        </w:rPr>
        <w:t>，属于</w:t>
      </w:r>
      <w:r>
        <w:rPr>
          <w:rFonts w:ascii="宋体" w:hAnsi="宋体" w:cs="宋体"/>
          <w:color w:val="auto"/>
          <w:sz w:val="24"/>
          <w:szCs w:val="24"/>
          <w:highlight w:val="none"/>
          <w:u w:val="single"/>
        </w:rPr>
        <w:t>（采购文件中明确的所属行业）</w:t>
      </w:r>
      <w:r>
        <w:rPr>
          <w:rFonts w:ascii="宋体" w:hAnsi="宋体" w:cs="宋体"/>
          <w:color w:val="auto"/>
          <w:sz w:val="24"/>
          <w:szCs w:val="24"/>
          <w:highlight w:val="none"/>
        </w:rPr>
        <w:t>行业；制造商为</w:t>
      </w:r>
      <w:r>
        <w:rPr>
          <w:rFonts w:ascii="宋体" w:hAnsi="宋体" w:cs="宋体"/>
          <w:color w:val="auto"/>
          <w:sz w:val="24"/>
          <w:szCs w:val="24"/>
          <w:highlight w:val="none"/>
          <w:u w:val="single"/>
        </w:rPr>
        <w:t>（企业名称）</w:t>
      </w:r>
      <w:r>
        <w:rPr>
          <w:rFonts w:ascii="宋体" w:hAnsi="宋体" w:cs="宋体"/>
          <w:color w:val="auto"/>
          <w:sz w:val="24"/>
          <w:szCs w:val="24"/>
          <w:highlight w:val="none"/>
        </w:rPr>
        <w:t>，从业人员</w:t>
      </w:r>
      <w:r>
        <w:rPr>
          <w:rFonts w:ascii="宋体" w:hAnsi="宋体" w:cs="宋体"/>
          <w:color w:val="auto"/>
          <w:sz w:val="24"/>
          <w:szCs w:val="24"/>
          <w:highlight w:val="none"/>
          <w:u w:val="single"/>
        </w:rPr>
        <w:t>　　　　　</w:t>
      </w:r>
      <w:r>
        <w:rPr>
          <w:rFonts w:ascii="宋体" w:hAnsi="宋体" w:cs="宋体"/>
          <w:color w:val="auto"/>
          <w:sz w:val="24"/>
          <w:szCs w:val="24"/>
          <w:highlight w:val="none"/>
        </w:rPr>
        <w:t>人，营业收入为</w:t>
      </w:r>
      <w:r>
        <w:rPr>
          <w:rFonts w:ascii="宋体" w:hAnsi="宋体" w:cs="宋体"/>
          <w:color w:val="auto"/>
          <w:sz w:val="24"/>
          <w:szCs w:val="24"/>
          <w:highlight w:val="none"/>
          <w:u w:val="single"/>
        </w:rPr>
        <w:t>　　　　　</w:t>
      </w:r>
      <w:r>
        <w:rPr>
          <w:rFonts w:ascii="宋体" w:hAnsi="宋体" w:cs="宋体"/>
          <w:color w:val="auto"/>
          <w:sz w:val="24"/>
          <w:szCs w:val="24"/>
          <w:highlight w:val="none"/>
        </w:rPr>
        <w:t>万元，资产总额为</w:t>
      </w:r>
      <w:r>
        <w:rPr>
          <w:rFonts w:ascii="宋体" w:hAnsi="宋体" w:cs="宋体"/>
          <w:color w:val="auto"/>
          <w:sz w:val="24"/>
          <w:szCs w:val="24"/>
          <w:highlight w:val="none"/>
          <w:u w:val="single"/>
        </w:rPr>
        <w:t>　　　　　</w:t>
      </w:r>
      <w:r>
        <w:rPr>
          <w:rFonts w:ascii="宋体" w:hAnsi="宋体" w:cs="宋体"/>
          <w:color w:val="auto"/>
          <w:sz w:val="24"/>
          <w:szCs w:val="24"/>
          <w:highlight w:val="none"/>
        </w:rPr>
        <w:t>万元</w:t>
      </w:r>
      <w:r>
        <w:rPr>
          <w:rFonts w:ascii="宋体" w:hAnsi="宋体" w:cs="宋体"/>
          <w:color w:val="auto"/>
          <w:sz w:val="24"/>
          <w:szCs w:val="24"/>
          <w:highlight w:val="none"/>
          <w:vertAlign w:val="superscript"/>
        </w:rPr>
        <w:t>1</w:t>
      </w:r>
      <w:r>
        <w:rPr>
          <w:rFonts w:ascii="宋体" w:hAnsi="宋体" w:cs="宋体"/>
          <w:color w:val="auto"/>
          <w:sz w:val="24"/>
          <w:szCs w:val="24"/>
          <w:highlight w:val="none"/>
        </w:rPr>
        <w:t>，属于</w:t>
      </w:r>
      <w:r>
        <w:rPr>
          <w:rFonts w:ascii="宋体" w:hAnsi="宋体" w:cs="宋体"/>
          <w:color w:val="auto"/>
          <w:sz w:val="24"/>
          <w:szCs w:val="24"/>
          <w:highlight w:val="none"/>
          <w:u w:val="single"/>
        </w:rPr>
        <w:t>（中型企业、小型企业、微型企业）</w:t>
      </w:r>
      <w:r>
        <w:rPr>
          <w:rFonts w:ascii="宋体" w:hAnsi="宋体" w:cs="宋体"/>
          <w:color w:val="auto"/>
          <w:sz w:val="24"/>
          <w:szCs w:val="24"/>
          <w:highlight w:val="none"/>
        </w:rPr>
        <w:t>；</w:t>
      </w:r>
    </w:p>
    <w:p w14:paraId="0307068D">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2.</w:t>
      </w:r>
      <w:r>
        <w:rPr>
          <w:rFonts w:ascii="宋体" w:hAnsi="宋体" w:cs="宋体"/>
          <w:color w:val="auto"/>
          <w:sz w:val="24"/>
          <w:szCs w:val="24"/>
          <w:highlight w:val="none"/>
          <w:u w:val="single"/>
        </w:rPr>
        <w:t xml:space="preserve"> （标的名称） </w:t>
      </w:r>
      <w:r>
        <w:rPr>
          <w:rFonts w:ascii="宋体" w:hAnsi="宋体" w:cs="宋体"/>
          <w:color w:val="auto"/>
          <w:sz w:val="24"/>
          <w:szCs w:val="24"/>
          <w:highlight w:val="none"/>
        </w:rPr>
        <w:t>，属于</w:t>
      </w:r>
      <w:r>
        <w:rPr>
          <w:rFonts w:ascii="宋体" w:hAnsi="宋体" w:cs="宋体"/>
          <w:color w:val="auto"/>
          <w:sz w:val="24"/>
          <w:szCs w:val="24"/>
          <w:highlight w:val="none"/>
          <w:u w:val="single"/>
        </w:rPr>
        <w:t>（采购文件中明确的所属行业）</w:t>
      </w:r>
      <w:r>
        <w:rPr>
          <w:rFonts w:ascii="宋体" w:hAnsi="宋体" w:cs="宋体"/>
          <w:color w:val="auto"/>
          <w:sz w:val="24"/>
          <w:szCs w:val="24"/>
          <w:highlight w:val="none"/>
        </w:rPr>
        <w:t>行业；制造商为</w:t>
      </w:r>
      <w:r>
        <w:rPr>
          <w:rFonts w:ascii="宋体" w:hAnsi="宋体" w:cs="宋体"/>
          <w:color w:val="auto"/>
          <w:sz w:val="24"/>
          <w:szCs w:val="24"/>
          <w:highlight w:val="none"/>
          <w:u w:val="single"/>
        </w:rPr>
        <w:t>（企业名称）</w:t>
      </w:r>
      <w:r>
        <w:rPr>
          <w:rFonts w:ascii="宋体" w:hAnsi="宋体" w:cs="宋体"/>
          <w:color w:val="auto"/>
          <w:sz w:val="24"/>
          <w:szCs w:val="24"/>
          <w:highlight w:val="none"/>
        </w:rPr>
        <w:t>，从业人员</w:t>
      </w:r>
      <w:r>
        <w:rPr>
          <w:rFonts w:ascii="宋体" w:hAnsi="宋体" w:cs="宋体"/>
          <w:color w:val="auto"/>
          <w:sz w:val="24"/>
          <w:szCs w:val="24"/>
          <w:highlight w:val="none"/>
          <w:u w:val="single"/>
        </w:rPr>
        <w:t>　　　　　</w:t>
      </w:r>
      <w:r>
        <w:rPr>
          <w:rFonts w:ascii="宋体" w:hAnsi="宋体" w:cs="宋体"/>
          <w:color w:val="auto"/>
          <w:sz w:val="24"/>
          <w:szCs w:val="24"/>
          <w:highlight w:val="none"/>
        </w:rPr>
        <w:t>人，营业收入为</w:t>
      </w:r>
      <w:r>
        <w:rPr>
          <w:rFonts w:ascii="宋体" w:hAnsi="宋体" w:cs="宋体"/>
          <w:color w:val="auto"/>
          <w:sz w:val="24"/>
          <w:szCs w:val="24"/>
          <w:highlight w:val="none"/>
          <w:u w:val="single"/>
        </w:rPr>
        <w:t>　　　　　</w:t>
      </w:r>
      <w:r>
        <w:rPr>
          <w:rFonts w:ascii="宋体" w:hAnsi="宋体" w:cs="宋体"/>
          <w:color w:val="auto"/>
          <w:sz w:val="24"/>
          <w:szCs w:val="24"/>
          <w:highlight w:val="none"/>
        </w:rPr>
        <w:t>万元，资产总额为</w:t>
      </w:r>
      <w:r>
        <w:rPr>
          <w:rFonts w:ascii="宋体" w:hAnsi="宋体" w:cs="宋体"/>
          <w:color w:val="auto"/>
          <w:sz w:val="24"/>
          <w:szCs w:val="24"/>
          <w:highlight w:val="none"/>
          <w:u w:val="single"/>
        </w:rPr>
        <w:t>　　　　　</w:t>
      </w:r>
      <w:r>
        <w:rPr>
          <w:rFonts w:ascii="宋体" w:hAnsi="宋体" w:cs="宋体"/>
          <w:color w:val="auto"/>
          <w:sz w:val="24"/>
          <w:szCs w:val="24"/>
          <w:highlight w:val="none"/>
        </w:rPr>
        <w:t>万元，属于</w:t>
      </w:r>
      <w:r>
        <w:rPr>
          <w:rFonts w:ascii="宋体" w:hAnsi="宋体" w:cs="宋体"/>
          <w:color w:val="auto"/>
          <w:sz w:val="24"/>
          <w:szCs w:val="24"/>
          <w:highlight w:val="none"/>
          <w:u w:val="single"/>
        </w:rPr>
        <w:t>（中型企业、小型企业、微型企业）</w:t>
      </w:r>
      <w:r>
        <w:rPr>
          <w:rFonts w:ascii="宋体" w:hAnsi="宋体" w:cs="宋体"/>
          <w:color w:val="auto"/>
          <w:sz w:val="24"/>
          <w:szCs w:val="24"/>
          <w:highlight w:val="none"/>
        </w:rPr>
        <w:t>；</w:t>
      </w:r>
    </w:p>
    <w:p w14:paraId="71CAC72C">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w:t>
      </w:r>
    </w:p>
    <w:p w14:paraId="384EFFB3">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以上企业，不属于大企业的分支机构，不存在控股股东为大企业的情形，也不存在与大企业的负责人为同一人的情形。</w:t>
      </w:r>
    </w:p>
    <w:p w14:paraId="0B9B04C6">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本企业对上述声明内容的真实性负责。如有虚假，将依法承担相应责任。</w:t>
      </w:r>
    </w:p>
    <w:p w14:paraId="0DA961A8">
      <w:pPr>
        <w:pStyle w:val="26"/>
        <w:spacing w:line="360" w:lineRule="auto"/>
        <w:ind w:firstLine="480"/>
        <w:jc w:val="right"/>
        <w:rPr>
          <w:rFonts w:hint="default" w:ascii="宋体" w:hAnsi="宋体" w:cs="宋体"/>
          <w:color w:val="auto"/>
          <w:sz w:val="24"/>
          <w:szCs w:val="24"/>
          <w:highlight w:val="none"/>
        </w:rPr>
      </w:pPr>
      <w:r>
        <w:rPr>
          <w:rFonts w:ascii="宋体" w:hAnsi="宋体" w:cs="宋体"/>
          <w:color w:val="auto"/>
          <w:sz w:val="24"/>
          <w:szCs w:val="24"/>
          <w:highlight w:val="none"/>
        </w:rPr>
        <w:t>报价人：</w:t>
      </w:r>
      <w:r>
        <w:rPr>
          <w:rFonts w:ascii="宋体" w:hAnsi="宋体" w:cs="宋体"/>
          <w:color w:val="auto"/>
          <w:sz w:val="24"/>
          <w:szCs w:val="24"/>
          <w:highlight w:val="none"/>
          <w:u w:val="single"/>
        </w:rPr>
        <w:t>（全称并加盖单位公章）</w:t>
      </w:r>
    </w:p>
    <w:p w14:paraId="72D75B17">
      <w:pPr>
        <w:pStyle w:val="26"/>
        <w:spacing w:line="360" w:lineRule="auto"/>
        <w:ind w:firstLine="480"/>
        <w:jc w:val="right"/>
        <w:rPr>
          <w:rFonts w:hint="default" w:ascii="宋体" w:hAnsi="宋体" w:cs="宋体"/>
          <w:color w:val="auto"/>
          <w:sz w:val="24"/>
          <w:szCs w:val="24"/>
          <w:highlight w:val="none"/>
        </w:rPr>
      </w:pPr>
      <w:r>
        <w:rPr>
          <w:rFonts w:ascii="宋体" w:hAnsi="宋体" w:cs="宋体"/>
          <w:color w:val="auto"/>
          <w:sz w:val="24"/>
          <w:szCs w:val="24"/>
          <w:highlight w:val="none"/>
        </w:rPr>
        <w:t>日期：</w:t>
      </w:r>
      <w:r>
        <w:rPr>
          <w:rFonts w:ascii="宋体" w:hAnsi="宋体" w:cs="宋体"/>
          <w:color w:val="auto"/>
          <w:sz w:val="24"/>
          <w:szCs w:val="24"/>
          <w:highlight w:val="none"/>
          <w:u w:val="single"/>
        </w:rPr>
        <w:t>　　年　　月　　日</w:t>
      </w:r>
    </w:p>
    <w:p w14:paraId="37FEDE24">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※注意：</w:t>
      </w:r>
    </w:p>
    <w:p w14:paraId="660A604D">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1、从业人员、营业收入、资产总额填报上一年度数据，无上一年度数据的新成立企业可不填报。</w:t>
      </w:r>
    </w:p>
    <w:p w14:paraId="35849F5B">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2、报价人须按采购文件中明确的所属行业填列，多品目项目中须按上表要求逐条填列，否则，其提供的中小企业声明将被判定为无效声明函，由此造成的后果由报价人自行承担（涉及资格的按无效报价处理；涉及价格评审优惠的，不予认定）。</w:t>
      </w:r>
    </w:p>
    <w:p w14:paraId="0B56B784">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3、报价人应当对其出具的《中小企业声明函》真实性负责，报价人出具的《中小企业声明函》内容不实的，属于提供虚假材料谋取中标。在实际操作中，项目属性为货物且报价人希望获得中小企业政策支持的，应从制造商处获得充分、准确的信息。对相关制造商信息了解不充分，或者不能确定相关信息真实、准确的，不建议出具《中小企业声明函》。</w:t>
      </w:r>
      <w:r>
        <w:rPr>
          <w:rFonts w:ascii="宋体" w:hAnsi="宋体" w:cs="宋体"/>
          <w:color w:val="auto"/>
          <w:sz w:val="24"/>
          <w:szCs w:val="24"/>
          <w:highlight w:val="none"/>
        </w:rPr>
        <w:br w:type="textWrapping"/>
      </w:r>
      <w:r>
        <w:rPr>
          <w:rFonts w:ascii="宋体" w:hAnsi="宋体" w:cs="宋体"/>
          <w:color w:val="auto"/>
          <w:sz w:val="24"/>
          <w:szCs w:val="24"/>
          <w:highlight w:val="none"/>
        </w:rPr>
        <w:br w:type="page"/>
      </w:r>
    </w:p>
    <w:p w14:paraId="5CB07787">
      <w:pPr>
        <w:pStyle w:val="26"/>
        <w:spacing w:line="360" w:lineRule="auto"/>
        <w:jc w:val="center"/>
        <w:rPr>
          <w:rFonts w:hint="default" w:ascii="宋体" w:hAnsi="宋体" w:cs="宋体"/>
          <w:color w:val="auto"/>
          <w:sz w:val="24"/>
          <w:szCs w:val="24"/>
          <w:highlight w:val="none"/>
        </w:rPr>
      </w:pPr>
      <w:r>
        <w:rPr>
          <w:rFonts w:ascii="宋体" w:hAnsi="宋体" w:cs="宋体"/>
          <w:b/>
          <w:color w:val="auto"/>
          <w:sz w:val="24"/>
          <w:szCs w:val="24"/>
          <w:highlight w:val="none"/>
        </w:rPr>
        <w:t>中小企业声明函（工程、服务）</w:t>
      </w:r>
    </w:p>
    <w:p w14:paraId="00707CC1">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本公司（联合体）郑重声明，根据《政府采购促进中小企业发展管理办法》（财库﹝2020﹞46 号）的规定，本公司（联合体）参加</w:t>
      </w:r>
      <w:r>
        <w:rPr>
          <w:rFonts w:ascii="宋体" w:hAnsi="宋体" w:cs="宋体"/>
          <w:color w:val="auto"/>
          <w:sz w:val="24"/>
          <w:szCs w:val="24"/>
          <w:highlight w:val="none"/>
          <w:u w:val="single"/>
        </w:rPr>
        <w:t>（单位名称）</w:t>
      </w:r>
      <w:r>
        <w:rPr>
          <w:rFonts w:ascii="宋体" w:hAnsi="宋体" w:cs="宋体"/>
          <w:color w:val="auto"/>
          <w:sz w:val="24"/>
          <w:szCs w:val="24"/>
          <w:highlight w:val="none"/>
        </w:rPr>
        <w:t>的</w:t>
      </w:r>
      <w:r>
        <w:rPr>
          <w:rFonts w:ascii="宋体" w:hAnsi="宋体" w:cs="宋体"/>
          <w:color w:val="auto"/>
          <w:sz w:val="24"/>
          <w:szCs w:val="24"/>
          <w:highlight w:val="none"/>
          <w:u w:val="single"/>
        </w:rPr>
        <w:t>（项目名称）</w:t>
      </w:r>
      <w:r>
        <w:rPr>
          <w:rFonts w:ascii="宋体" w:hAnsi="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4D0181DB">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1.</w:t>
      </w:r>
      <w:r>
        <w:rPr>
          <w:rFonts w:ascii="宋体" w:hAnsi="宋体" w:cs="宋体"/>
          <w:color w:val="auto"/>
          <w:sz w:val="24"/>
          <w:szCs w:val="24"/>
          <w:highlight w:val="none"/>
          <w:u w:val="single"/>
        </w:rPr>
        <w:t>（标的名称）</w:t>
      </w:r>
      <w:r>
        <w:rPr>
          <w:rFonts w:ascii="宋体" w:hAnsi="宋体" w:cs="宋体"/>
          <w:color w:val="auto"/>
          <w:sz w:val="24"/>
          <w:szCs w:val="24"/>
          <w:highlight w:val="none"/>
        </w:rPr>
        <w:t>，属于</w:t>
      </w:r>
      <w:r>
        <w:rPr>
          <w:rFonts w:ascii="宋体" w:hAnsi="宋体" w:cs="宋体"/>
          <w:color w:val="auto"/>
          <w:sz w:val="24"/>
          <w:szCs w:val="24"/>
          <w:highlight w:val="none"/>
          <w:u w:val="single"/>
        </w:rPr>
        <w:t>（采购文件中明确的所属行业）</w:t>
      </w:r>
      <w:r>
        <w:rPr>
          <w:rFonts w:ascii="宋体" w:hAnsi="宋体" w:cs="宋体"/>
          <w:color w:val="auto"/>
          <w:sz w:val="24"/>
          <w:szCs w:val="24"/>
          <w:highlight w:val="none"/>
        </w:rPr>
        <w:t>；承建（承接）企业为</w:t>
      </w:r>
      <w:r>
        <w:rPr>
          <w:rFonts w:ascii="宋体" w:hAnsi="宋体" w:cs="宋体"/>
          <w:color w:val="auto"/>
          <w:sz w:val="24"/>
          <w:szCs w:val="24"/>
          <w:highlight w:val="none"/>
          <w:u w:val="single"/>
        </w:rPr>
        <w:t>（企业名称）</w:t>
      </w:r>
      <w:r>
        <w:rPr>
          <w:rFonts w:ascii="宋体" w:hAnsi="宋体" w:cs="宋体"/>
          <w:color w:val="auto"/>
          <w:sz w:val="24"/>
          <w:szCs w:val="24"/>
          <w:highlight w:val="none"/>
        </w:rPr>
        <w:t>，从业人员</w:t>
      </w:r>
      <w:r>
        <w:rPr>
          <w:rFonts w:ascii="宋体" w:hAnsi="宋体" w:cs="宋体"/>
          <w:color w:val="auto"/>
          <w:sz w:val="24"/>
          <w:szCs w:val="24"/>
          <w:highlight w:val="none"/>
          <w:u w:val="single"/>
        </w:rPr>
        <w:t>　　　　　</w:t>
      </w:r>
      <w:r>
        <w:rPr>
          <w:rFonts w:ascii="宋体" w:hAnsi="宋体" w:cs="宋体"/>
          <w:color w:val="auto"/>
          <w:sz w:val="24"/>
          <w:szCs w:val="24"/>
          <w:highlight w:val="none"/>
        </w:rPr>
        <w:t>人，营业收入为</w:t>
      </w:r>
      <w:r>
        <w:rPr>
          <w:rFonts w:ascii="宋体" w:hAnsi="宋体" w:cs="宋体"/>
          <w:color w:val="auto"/>
          <w:sz w:val="24"/>
          <w:szCs w:val="24"/>
          <w:highlight w:val="none"/>
          <w:u w:val="single"/>
        </w:rPr>
        <w:t>　　　　　</w:t>
      </w:r>
      <w:r>
        <w:rPr>
          <w:rFonts w:ascii="宋体" w:hAnsi="宋体" w:cs="宋体"/>
          <w:color w:val="auto"/>
          <w:sz w:val="24"/>
          <w:szCs w:val="24"/>
          <w:highlight w:val="none"/>
        </w:rPr>
        <w:t>万元，资产总额为</w:t>
      </w:r>
      <w:r>
        <w:rPr>
          <w:rFonts w:ascii="宋体" w:hAnsi="宋体" w:cs="宋体"/>
          <w:color w:val="auto"/>
          <w:sz w:val="24"/>
          <w:szCs w:val="24"/>
          <w:highlight w:val="none"/>
          <w:u w:val="single"/>
        </w:rPr>
        <w:t>　　　　　</w:t>
      </w:r>
      <w:r>
        <w:rPr>
          <w:rFonts w:ascii="宋体" w:hAnsi="宋体" w:cs="宋体"/>
          <w:color w:val="auto"/>
          <w:sz w:val="24"/>
          <w:szCs w:val="24"/>
          <w:highlight w:val="none"/>
        </w:rPr>
        <w:t>万元</w:t>
      </w:r>
      <w:r>
        <w:rPr>
          <w:rFonts w:ascii="宋体" w:hAnsi="宋体" w:cs="宋体"/>
          <w:color w:val="auto"/>
          <w:sz w:val="24"/>
          <w:szCs w:val="24"/>
          <w:highlight w:val="none"/>
          <w:vertAlign w:val="superscript"/>
        </w:rPr>
        <w:t>1</w:t>
      </w:r>
      <w:r>
        <w:rPr>
          <w:rFonts w:ascii="宋体" w:hAnsi="宋体" w:cs="宋体"/>
          <w:color w:val="auto"/>
          <w:sz w:val="24"/>
          <w:szCs w:val="24"/>
          <w:highlight w:val="none"/>
        </w:rPr>
        <w:t>，属于</w:t>
      </w:r>
      <w:r>
        <w:rPr>
          <w:rFonts w:ascii="宋体" w:hAnsi="宋体" w:cs="宋体"/>
          <w:color w:val="auto"/>
          <w:sz w:val="24"/>
          <w:szCs w:val="24"/>
          <w:highlight w:val="none"/>
          <w:u w:val="single"/>
        </w:rPr>
        <w:t>（中型企业、小型企业、微型企业）</w:t>
      </w:r>
      <w:r>
        <w:rPr>
          <w:rFonts w:ascii="宋体" w:hAnsi="宋体" w:cs="宋体"/>
          <w:color w:val="auto"/>
          <w:sz w:val="24"/>
          <w:szCs w:val="24"/>
          <w:highlight w:val="none"/>
        </w:rPr>
        <w:t>；</w:t>
      </w:r>
    </w:p>
    <w:p w14:paraId="62B537F1">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2.</w:t>
      </w:r>
      <w:r>
        <w:rPr>
          <w:rFonts w:ascii="宋体" w:hAnsi="宋体" w:cs="宋体"/>
          <w:color w:val="auto"/>
          <w:sz w:val="24"/>
          <w:szCs w:val="24"/>
          <w:highlight w:val="none"/>
          <w:u w:val="single"/>
        </w:rPr>
        <w:t>（标的名称）</w:t>
      </w:r>
      <w:r>
        <w:rPr>
          <w:rFonts w:ascii="宋体" w:hAnsi="宋体" w:cs="宋体"/>
          <w:color w:val="auto"/>
          <w:sz w:val="24"/>
          <w:szCs w:val="24"/>
          <w:highlight w:val="none"/>
        </w:rPr>
        <w:t>，属于</w:t>
      </w:r>
      <w:r>
        <w:rPr>
          <w:rFonts w:ascii="宋体" w:hAnsi="宋体" w:cs="宋体"/>
          <w:color w:val="auto"/>
          <w:sz w:val="24"/>
          <w:szCs w:val="24"/>
          <w:highlight w:val="none"/>
          <w:u w:val="single"/>
        </w:rPr>
        <w:t>（采购文件中明确的所属行业）</w:t>
      </w:r>
      <w:r>
        <w:rPr>
          <w:rFonts w:ascii="宋体" w:hAnsi="宋体" w:cs="宋体"/>
          <w:color w:val="auto"/>
          <w:sz w:val="24"/>
          <w:szCs w:val="24"/>
          <w:highlight w:val="none"/>
        </w:rPr>
        <w:t>；承建（承接）企业为</w:t>
      </w:r>
      <w:r>
        <w:rPr>
          <w:rFonts w:ascii="宋体" w:hAnsi="宋体" w:cs="宋体"/>
          <w:color w:val="auto"/>
          <w:sz w:val="24"/>
          <w:szCs w:val="24"/>
          <w:highlight w:val="none"/>
          <w:u w:val="single"/>
        </w:rPr>
        <w:t>（企业名称）</w:t>
      </w:r>
      <w:r>
        <w:rPr>
          <w:rFonts w:ascii="宋体" w:hAnsi="宋体" w:cs="宋体"/>
          <w:color w:val="auto"/>
          <w:sz w:val="24"/>
          <w:szCs w:val="24"/>
          <w:highlight w:val="none"/>
        </w:rPr>
        <w:t>，从业人员</w:t>
      </w:r>
      <w:r>
        <w:rPr>
          <w:rFonts w:ascii="宋体" w:hAnsi="宋体" w:cs="宋体"/>
          <w:color w:val="auto"/>
          <w:sz w:val="24"/>
          <w:szCs w:val="24"/>
          <w:highlight w:val="none"/>
          <w:u w:val="single"/>
        </w:rPr>
        <w:t>　　　　　</w:t>
      </w:r>
      <w:r>
        <w:rPr>
          <w:rFonts w:ascii="宋体" w:hAnsi="宋体" w:cs="宋体"/>
          <w:color w:val="auto"/>
          <w:sz w:val="24"/>
          <w:szCs w:val="24"/>
          <w:highlight w:val="none"/>
        </w:rPr>
        <w:t>人，营业收入为</w:t>
      </w:r>
      <w:r>
        <w:rPr>
          <w:rFonts w:ascii="宋体" w:hAnsi="宋体" w:cs="宋体"/>
          <w:color w:val="auto"/>
          <w:sz w:val="24"/>
          <w:szCs w:val="24"/>
          <w:highlight w:val="none"/>
          <w:u w:val="single"/>
        </w:rPr>
        <w:t>　　　　　</w:t>
      </w:r>
      <w:r>
        <w:rPr>
          <w:rFonts w:ascii="宋体" w:hAnsi="宋体" w:cs="宋体"/>
          <w:color w:val="auto"/>
          <w:sz w:val="24"/>
          <w:szCs w:val="24"/>
          <w:highlight w:val="none"/>
        </w:rPr>
        <w:t>万元，资产总额为</w:t>
      </w:r>
      <w:r>
        <w:rPr>
          <w:rFonts w:ascii="宋体" w:hAnsi="宋体" w:cs="宋体"/>
          <w:color w:val="auto"/>
          <w:sz w:val="24"/>
          <w:szCs w:val="24"/>
          <w:highlight w:val="none"/>
          <w:u w:val="single"/>
        </w:rPr>
        <w:t>　　　　　</w:t>
      </w:r>
      <w:r>
        <w:rPr>
          <w:rFonts w:ascii="宋体" w:hAnsi="宋体" w:cs="宋体"/>
          <w:color w:val="auto"/>
          <w:sz w:val="24"/>
          <w:szCs w:val="24"/>
          <w:highlight w:val="none"/>
        </w:rPr>
        <w:t>万元，属于</w:t>
      </w:r>
      <w:r>
        <w:rPr>
          <w:rFonts w:ascii="宋体" w:hAnsi="宋体" w:cs="宋体"/>
          <w:color w:val="auto"/>
          <w:sz w:val="24"/>
          <w:szCs w:val="24"/>
          <w:highlight w:val="none"/>
          <w:u w:val="single"/>
        </w:rPr>
        <w:t>（中型企业、小型企业、微型企业）</w:t>
      </w:r>
      <w:r>
        <w:rPr>
          <w:rFonts w:ascii="宋体" w:hAnsi="宋体" w:cs="宋体"/>
          <w:color w:val="auto"/>
          <w:sz w:val="24"/>
          <w:szCs w:val="24"/>
          <w:highlight w:val="none"/>
        </w:rPr>
        <w:t>；</w:t>
      </w:r>
    </w:p>
    <w:p w14:paraId="005FC654">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w:t>
      </w:r>
    </w:p>
    <w:p w14:paraId="2F59CFD5">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以上企业，不属于大企业的分支机构，不存在控股股东为大企业的情形，也不存在与大企业的负责人为同一人的情形。</w:t>
      </w:r>
    </w:p>
    <w:p w14:paraId="3B533D68">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本企业对上述声明内容的真实性负责。如有虚假，将依法承担相应责任。</w:t>
      </w:r>
    </w:p>
    <w:p w14:paraId="056E5ED2">
      <w:pPr>
        <w:pStyle w:val="26"/>
        <w:spacing w:line="360" w:lineRule="auto"/>
        <w:ind w:firstLine="480"/>
        <w:jc w:val="right"/>
        <w:rPr>
          <w:rFonts w:hint="default" w:ascii="宋体" w:hAnsi="宋体" w:cs="宋体"/>
          <w:color w:val="auto"/>
          <w:sz w:val="24"/>
          <w:szCs w:val="24"/>
          <w:highlight w:val="none"/>
        </w:rPr>
      </w:pPr>
      <w:r>
        <w:rPr>
          <w:rFonts w:ascii="宋体" w:hAnsi="宋体" w:cs="宋体"/>
          <w:color w:val="auto"/>
          <w:sz w:val="24"/>
          <w:szCs w:val="24"/>
          <w:highlight w:val="none"/>
        </w:rPr>
        <w:t>报价人：</w:t>
      </w:r>
      <w:r>
        <w:rPr>
          <w:rFonts w:ascii="宋体" w:hAnsi="宋体" w:cs="宋体"/>
          <w:color w:val="auto"/>
          <w:sz w:val="24"/>
          <w:szCs w:val="24"/>
          <w:highlight w:val="none"/>
          <w:u w:val="single"/>
        </w:rPr>
        <w:t>（全称并加盖单位公章）</w:t>
      </w:r>
    </w:p>
    <w:p w14:paraId="43DC188C">
      <w:pPr>
        <w:pStyle w:val="26"/>
        <w:spacing w:line="360" w:lineRule="auto"/>
        <w:ind w:firstLine="480"/>
        <w:jc w:val="right"/>
        <w:rPr>
          <w:rFonts w:hint="default" w:ascii="宋体" w:hAnsi="宋体" w:cs="宋体"/>
          <w:color w:val="auto"/>
          <w:sz w:val="24"/>
          <w:szCs w:val="24"/>
          <w:highlight w:val="none"/>
        </w:rPr>
      </w:pPr>
      <w:r>
        <w:rPr>
          <w:rFonts w:ascii="宋体" w:hAnsi="宋体" w:cs="宋体"/>
          <w:color w:val="auto"/>
          <w:sz w:val="24"/>
          <w:szCs w:val="24"/>
          <w:highlight w:val="none"/>
        </w:rPr>
        <w:t>日期：</w:t>
      </w:r>
      <w:r>
        <w:rPr>
          <w:rFonts w:ascii="宋体" w:hAnsi="宋体" w:cs="宋体"/>
          <w:color w:val="auto"/>
          <w:sz w:val="24"/>
          <w:szCs w:val="24"/>
          <w:highlight w:val="none"/>
          <w:u w:val="single"/>
        </w:rPr>
        <w:t>　　年　　月　　日</w:t>
      </w:r>
    </w:p>
    <w:p w14:paraId="63DD0DE8">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※注意：</w:t>
      </w:r>
    </w:p>
    <w:p w14:paraId="30DA5C0F">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1、从业人员、营业收入、资产总额填报上一年度数据，无上一年度数据的新成立企业可不填报。</w:t>
      </w:r>
    </w:p>
    <w:p w14:paraId="2E677803">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2、报价人须按采购文件中明确的所属行业填列，多品目项目中须按上表要求逐条填列，否则，其提供的中小企业声明将被判定为无效声明函，由此造成的后果由报价人自行承担（涉及资格的按无效报价处理；涉及价格评审优惠的，不予认定）。</w:t>
      </w:r>
    </w:p>
    <w:p w14:paraId="52D4B985">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3、报价人应当对其出具的《中小企业声明函》真实性负责，报价人出具的《中小企业声明函》内容不实的，属于提供虚假材料谋取中标。在实际操作中，项目属性为货物且报价人希望获得中小企业政策支持的，应从制造商处获得充分、准确的信息。对相关制造商信息了解不充分，或者不能确定相关信息真实、准确的，不建议出具《中小企业声明函》。</w:t>
      </w:r>
    </w:p>
    <w:p w14:paraId="565B3E42">
      <w:pPr>
        <w:pStyle w:val="26"/>
        <w:spacing w:line="360" w:lineRule="auto"/>
        <w:rPr>
          <w:rFonts w:hint="default" w:ascii="宋体" w:hAnsi="宋体" w:cs="宋体"/>
          <w:color w:val="auto"/>
          <w:sz w:val="24"/>
          <w:szCs w:val="24"/>
          <w:highlight w:val="none"/>
        </w:rPr>
      </w:pPr>
      <w:r>
        <w:rPr>
          <w:rFonts w:ascii="宋体" w:hAnsi="宋体" w:cs="宋体"/>
          <w:color w:val="auto"/>
          <w:sz w:val="24"/>
          <w:szCs w:val="24"/>
          <w:highlight w:val="none"/>
        </w:rPr>
        <w:br w:type="textWrapping"/>
      </w:r>
      <w:r>
        <w:rPr>
          <w:rFonts w:ascii="宋体" w:hAnsi="宋体" w:cs="宋体"/>
          <w:color w:val="auto"/>
          <w:sz w:val="24"/>
          <w:szCs w:val="24"/>
          <w:highlight w:val="none"/>
        </w:rPr>
        <w:br w:type="page"/>
      </w:r>
    </w:p>
    <w:p w14:paraId="0A9FDDF7">
      <w:pPr>
        <w:pStyle w:val="26"/>
        <w:spacing w:line="360" w:lineRule="auto"/>
        <w:jc w:val="center"/>
        <w:rPr>
          <w:rFonts w:hint="default" w:ascii="宋体" w:hAnsi="宋体" w:cs="宋体"/>
          <w:color w:val="auto"/>
          <w:sz w:val="24"/>
          <w:szCs w:val="24"/>
          <w:highlight w:val="none"/>
        </w:rPr>
      </w:pPr>
      <w:r>
        <w:rPr>
          <w:rFonts w:ascii="宋体" w:hAnsi="宋体" w:cs="宋体"/>
          <w:b/>
          <w:color w:val="auto"/>
          <w:sz w:val="24"/>
          <w:szCs w:val="24"/>
          <w:highlight w:val="none"/>
        </w:rPr>
        <w:t>2-②小型、微型企业等证明材料（价格扣除适用，若有）</w:t>
      </w:r>
    </w:p>
    <w:p w14:paraId="1B6FBCF5">
      <w:pPr>
        <w:pStyle w:val="26"/>
        <w:spacing w:line="360" w:lineRule="auto"/>
        <w:ind w:firstLine="480"/>
        <w:jc w:val="center"/>
        <w:rPr>
          <w:rFonts w:hint="default" w:ascii="宋体" w:hAnsi="宋体" w:cs="宋体"/>
          <w:color w:val="auto"/>
          <w:sz w:val="24"/>
          <w:szCs w:val="24"/>
          <w:highlight w:val="none"/>
        </w:rPr>
      </w:pPr>
      <w:r>
        <w:rPr>
          <w:rFonts w:ascii="宋体" w:hAnsi="宋体" w:cs="宋体"/>
          <w:color w:val="auto"/>
          <w:sz w:val="24"/>
          <w:szCs w:val="24"/>
          <w:highlight w:val="none"/>
        </w:rPr>
        <w:t>编制说明</w:t>
      </w:r>
    </w:p>
    <w:p w14:paraId="528EE2E3">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1、报价人应按照采购文件要求提供相应证明材料，证明材料应与《中小企业声明函》的内容相一致，否则视为《中小企业声明函》内容不真实。</w:t>
      </w:r>
    </w:p>
    <w:p w14:paraId="3FFB4609">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2、报价人为监狱企业的，根据其提供的由省级以上监狱管理局、戒毒管理局（含新疆生产建设兵团）出具的属于监狱企业的证明文件进行认定，监狱企业视同小型、微型企业。</w:t>
      </w:r>
    </w:p>
    <w:p w14:paraId="19F3DFBB">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3、报价人为残疾人福利性单位的，根据其提供的《残疾人福利性单位声明函》（格式附后）进行认定，残疾人福利性单位视同小型、微型企业。残疾人福利性单位属于小型、微型企业的，不重复享受政策。</w:t>
      </w:r>
    </w:p>
    <w:p w14:paraId="3841D892">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附：</w:t>
      </w:r>
    </w:p>
    <w:p w14:paraId="06B17A1F">
      <w:pPr>
        <w:pStyle w:val="26"/>
        <w:spacing w:line="360" w:lineRule="auto"/>
        <w:jc w:val="center"/>
        <w:rPr>
          <w:rFonts w:hint="default" w:ascii="宋体" w:hAnsi="宋体" w:cs="宋体"/>
          <w:color w:val="auto"/>
          <w:sz w:val="24"/>
          <w:szCs w:val="24"/>
          <w:highlight w:val="none"/>
        </w:rPr>
      </w:pPr>
      <w:r>
        <w:rPr>
          <w:rFonts w:ascii="宋体" w:hAnsi="宋体" w:cs="宋体"/>
          <w:b/>
          <w:color w:val="auto"/>
          <w:sz w:val="24"/>
          <w:szCs w:val="24"/>
          <w:highlight w:val="none"/>
        </w:rPr>
        <w:t>残疾人福利性单位声明函（价格扣除适用，若有）</w:t>
      </w:r>
    </w:p>
    <w:p w14:paraId="5203E00B">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本报价人郑重声明，根据《财政部 民政部 中国残疾人联合会关于促进残疾人就业政府采购政策的通知》（财库[2017]141号）、《政府采购促进中小企业发展管理办法》（财库〔2020〕46号）的规定，本报价人为符合条件的残疾人福利性单位，且本报价人参加贵单位的（填写“项目名称”）项目采购活动：</w:t>
      </w:r>
    </w:p>
    <w:p w14:paraId="4DDECBD0">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 ）提供本报价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582B4BD8">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 ）由本报价人承建的（填写“所投采购包、品目号”）工程</w:t>
      </w:r>
    </w:p>
    <w:p w14:paraId="107A4A6D">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 ）由本报价人承接的（填写“所投采购包、品目号”）服务；</w:t>
      </w:r>
    </w:p>
    <w:p w14:paraId="41C7CE06">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本报价人对上述声明的真实性负责。如有虚假，将依法承担相应责任。</w:t>
      </w:r>
    </w:p>
    <w:p w14:paraId="12F59404">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备注：</w:t>
      </w:r>
    </w:p>
    <w:p w14:paraId="5EB75D9E">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1、请报价人按照实际情况编制填写本声明函，并在相应的（）中打“√”。</w:t>
      </w:r>
    </w:p>
    <w:p w14:paraId="0B63EA63">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2、若《残疾人福利性单位声明函》内容不真实，视为提供虚假材料。</w:t>
      </w:r>
    </w:p>
    <w:p w14:paraId="5ADC4B04">
      <w:pPr>
        <w:pStyle w:val="26"/>
        <w:spacing w:line="360" w:lineRule="auto"/>
        <w:ind w:firstLine="480"/>
        <w:jc w:val="right"/>
        <w:rPr>
          <w:rFonts w:hint="default" w:ascii="宋体" w:hAnsi="宋体" w:cs="宋体"/>
          <w:color w:val="auto"/>
          <w:sz w:val="24"/>
          <w:szCs w:val="24"/>
          <w:highlight w:val="none"/>
        </w:rPr>
      </w:pPr>
      <w:r>
        <w:rPr>
          <w:rFonts w:ascii="宋体" w:hAnsi="宋体" w:cs="宋体"/>
          <w:color w:val="auto"/>
          <w:sz w:val="24"/>
          <w:szCs w:val="24"/>
          <w:highlight w:val="none"/>
        </w:rPr>
        <w:t>报价人：</w:t>
      </w:r>
      <w:r>
        <w:rPr>
          <w:rFonts w:ascii="宋体" w:hAnsi="宋体" w:cs="宋体"/>
          <w:color w:val="auto"/>
          <w:sz w:val="24"/>
          <w:szCs w:val="24"/>
          <w:highlight w:val="none"/>
          <w:u w:val="single"/>
        </w:rPr>
        <w:t>（全称并加盖单位公章）</w:t>
      </w:r>
    </w:p>
    <w:p w14:paraId="2577EA20">
      <w:pPr>
        <w:pStyle w:val="26"/>
        <w:spacing w:line="360" w:lineRule="auto"/>
        <w:ind w:firstLine="480"/>
        <w:jc w:val="right"/>
        <w:rPr>
          <w:rFonts w:hint="default" w:ascii="宋体" w:hAnsi="宋体" w:cs="宋体"/>
          <w:color w:val="auto"/>
          <w:sz w:val="24"/>
          <w:szCs w:val="24"/>
          <w:highlight w:val="none"/>
        </w:rPr>
      </w:pPr>
      <w:r>
        <w:rPr>
          <w:rFonts w:ascii="宋体" w:hAnsi="宋体" w:cs="宋体"/>
          <w:color w:val="auto"/>
          <w:sz w:val="24"/>
          <w:szCs w:val="24"/>
          <w:highlight w:val="none"/>
        </w:rPr>
        <w:t>日期：</w:t>
      </w:r>
      <w:r>
        <w:rPr>
          <w:rFonts w:ascii="宋体" w:hAnsi="宋体" w:cs="宋体"/>
          <w:color w:val="auto"/>
          <w:sz w:val="24"/>
          <w:szCs w:val="24"/>
          <w:highlight w:val="none"/>
          <w:u w:val="single"/>
        </w:rPr>
        <w:t>　　年　　月　　日</w:t>
      </w:r>
    </w:p>
    <w:p w14:paraId="711E1C62">
      <w:pPr>
        <w:pStyle w:val="26"/>
        <w:spacing w:line="360" w:lineRule="auto"/>
        <w:rPr>
          <w:rFonts w:hint="default" w:ascii="宋体" w:hAnsi="宋体" w:cs="宋体"/>
          <w:color w:val="auto"/>
          <w:sz w:val="24"/>
          <w:szCs w:val="24"/>
          <w:highlight w:val="none"/>
        </w:rPr>
      </w:pPr>
      <w:r>
        <w:rPr>
          <w:rFonts w:ascii="宋体" w:hAnsi="宋体" w:cs="宋体"/>
          <w:color w:val="auto"/>
          <w:sz w:val="24"/>
          <w:szCs w:val="24"/>
          <w:highlight w:val="none"/>
        </w:rPr>
        <w:br w:type="textWrapping"/>
      </w:r>
      <w:r>
        <w:rPr>
          <w:rFonts w:ascii="宋体" w:hAnsi="宋体" w:cs="宋体"/>
          <w:color w:val="auto"/>
          <w:sz w:val="24"/>
          <w:szCs w:val="24"/>
          <w:highlight w:val="none"/>
        </w:rPr>
        <w:br w:type="page"/>
      </w:r>
    </w:p>
    <w:p w14:paraId="3DE25814">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附：</w:t>
      </w:r>
    </w:p>
    <w:p w14:paraId="7EC2D2EC">
      <w:pPr>
        <w:pStyle w:val="26"/>
        <w:spacing w:line="360" w:lineRule="auto"/>
        <w:jc w:val="center"/>
        <w:rPr>
          <w:rFonts w:hint="default" w:ascii="宋体" w:hAnsi="宋体" w:cs="宋体"/>
          <w:color w:val="auto"/>
          <w:sz w:val="24"/>
          <w:szCs w:val="24"/>
          <w:highlight w:val="none"/>
        </w:rPr>
      </w:pPr>
      <w:r>
        <w:rPr>
          <w:rFonts w:ascii="宋体" w:hAnsi="宋体" w:cs="宋体"/>
          <w:b/>
          <w:color w:val="auto"/>
          <w:sz w:val="24"/>
          <w:szCs w:val="24"/>
          <w:highlight w:val="none"/>
        </w:rPr>
        <w:t>监狱企业证明材料</w:t>
      </w:r>
    </w:p>
    <w:p w14:paraId="63B33086">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报价人为监狱企业，提供本单位制造的货物（承接的服务），并在报价文件中提供省级以上监狱管理局、戒毒管理局（含新疆生产建设兵团）出具的属于监狱企业的证明文件。</w:t>
      </w:r>
    </w:p>
    <w:p w14:paraId="450444AE">
      <w:pPr>
        <w:pStyle w:val="26"/>
        <w:spacing w:line="360" w:lineRule="auto"/>
        <w:rPr>
          <w:rFonts w:hint="default" w:ascii="宋体" w:hAnsi="宋体" w:cs="宋体"/>
          <w:color w:val="auto"/>
          <w:sz w:val="24"/>
          <w:szCs w:val="24"/>
          <w:highlight w:val="none"/>
        </w:rPr>
      </w:pPr>
      <w:r>
        <w:rPr>
          <w:rFonts w:ascii="宋体" w:hAnsi="宋体" w:cs="宋体"/>
          <w:color w:val="auto"/>
          <w:sz w:val="24"/>
          <w:szCs w:val="24"/>
          <w:highlight w:val="none"/>
        </w:rPr>
        <w:br w:type="textWrapping"/>
      </w:r>
      <w:r>
        <w:rPr>
          <w:rFonts w:ascii="宋体" w:hAnsi="宋体" w:cs="宋体"/>
          <w:color w:val="auto"/>
          <w:sz w:val="24"/>
          <w:szCs w:val="24"/>
          <w:highlight w:val="none"/>
        </w:rPr>
        <w:br w:type="page"/>
      </w:r>
    </w:p>
    <w:p w14:paraId="7E309D71">
      <w:pPr>
        <w:pStyle w:val="26"/>
        <w:spacing w:line="360" w:lineRule="auto"/>
        <w:jc w:val="center"/>
        <w:rPr>
          <w:rFonts w:hint="default" w:ascii="宋体" w:hAnsi="宋体" w:cs="宋体"/>
          <w:color w:val="auto"/>
          <w:sz w:val="24"/>
          <w:szCs w:val="24"/>
          <w:highlight w:val="none"/>
        </w:rPr>
      </w:pPr>
      <w:bookmarkStart w:id="236" w:name="_Toc32534"/>
      <w:r>
        <w:rPr>
          <w:rFonts w:ascii="宋体" w:hAnsi="宋体" w:cs="宋体"/>
          <w:b/>
          <w:color w:val="auto"/>
          <w:sz w:val="24"/>
          <w:szCs w:val="24"/>
          <w:highlight w:val="none"/>
        </w:rPr>
        <w:t>3采购文件规定的其他价格扣除证明材料（若有）</w:t>
      </w:r>
      <w:bookmarkEnd w:id="236"/>
    </w:p>
    <w:p w14:paraId="54A23618">
      <w:pPr>
        <w:pStyle w:val="26"/>
        <w:spacing w:line="360" w:lineRule="auto"/>
        <w:ind w:firstLine="480"/>
        <w:jc w:val="center"/>
        <w:rPr>
          <w:rFonts w:hint="default" w:ascii="宋体" w:hAnsi="宋体" w:cs="宋体"/>
          <w:color w:val="auto"/>
          <w:sz w:val="24"/>
          <w:szCs w:val="24"/>
          <w:highlight w:val="none"/>
        </w:rPr>
      </w:pPr>
      <w:r>
        <w:rPr>
          <w:rFonts w:ascii="宋体" w:hAnsi="宋体" w:cs="宋体"/>
          <w:color w:val="auto"/>
          <w:sz w:val="24"/>
          <w:szCs w:val="24"/>
          <w:highlight w:val="none"/>
        </w:rPr>
        <w:t>编制说明</w:t>
      </w:r>
    </w:p>
    <w:p w14:paraId="508D1EE9">
      <w:pPr>
        <w:pStyle w:val="26"/>
        <w:spacing w:line="360" w:lineRule="auto"/>
        <w:ind w:firstLine="480"/>
        <w:rPr>
          <w:rFonts w:hint="default" w:ascii="宋体" w:hAnsi="宋体" w:cs="宋体"/>
          <w:color w:val="auto"/>
          <w:sz w:val="24"/>
          <w:szCs w:val="24"/>
          <w:highlight w:val="none"/>
        </w:rPr>
      </w:pPr>
      <w:r>
        <w:rPr>
          <w:rFonts w:ascii="宋体" w:hAnsi="宋体" w:cs="宋体"/>
          <w:color w:val="auto"/>
          <w:sz w:val="24"/>
          <w:szCs w:val="24"/>
          <w:highlight w:val="none"/>
        </w:rPr>
        <w:t>若报价人可享受采购文件规定的除“节能（非强制类）、环境标志产品价格扣除”及“小型、微型企业产品等价格扣除”外的其他价格扣除优惠，则报价人应按照采购文件要求提供相应证明材料。</w:t>
      </w:r>
    </w:p>
    <w:p w14:paraId="57F1AA91">
      <w:pPr>
        <w:spacing w:line="360" w:lineRule="auto"/>
        <w:rPr>
          <w:rFonts w:ascii="宋体" w:hAnsi="宋体" w:cs="宋体"/>
          <w:color w:val="auto"/>
          <w:kern w:val="0"/>
          <w:sz w:val="24"/>
          <w:szCs w:val="24"/>
          <w:highlight w:val="none"/>
        </w:rPr>
      </w:pPr>
    </w:p>
    <w:p w14:paraId="2D5838D4">
      <w:pPr>
        <w:spacing w:line="360" w:lineRule="auto"/>
        <w:rPr>
          <w:rFonts w:ascii="宋体" w:hAnsi="宋体" w:cs="宋体"/>
          <w:color w:val="auto"/>
          <w:kern w:val="0"/>
          <w:sz w:val="24"/>
          <w:szCs w:val="24"/>
          <w:highlight w:val="none"/>
        </w:rPr>
      </w:pPr>
    </w:p>
    <w:p w14:paraId="4D6B3CE8">
      <w:pPr>
        <w:spacing w:line="360" w:lineRule="auto"/>
        <w:rPr>
          <w:rFonts w:ascii="宋体" w:hAnsi="宋体" w:cs="宋体"/>
          <w:color w:val="auto"/>
          <w:kern w:val="0"/>
          <w:sz w:val="24"/>
          <w:szCs w:val="24"/>
          <w:highlight w:val="none"/>
        </w:rPr>
      </w:pPr>
    </w:p>
    <w:p w14:paraId="0278B964">
      <w:pPr>
        <w:spacing w:line="360" w:lineRule="auto"/>
        <w:rPr>
          <w:rFonts w:ascii="宋体" w:hAnsi="宋体" w:cs="宋体"/>
          <w:color w:val="auto"/>
          <w:kern w:val="0"/>
          <w:sz w:val="24"/>
          <w:szCs w:val="24"/>
          <w:highlight w:val="none"/>
        </w:rPr>
      </w:pPr>
    </w:p>
    <w:p w14:paraId="6C2EFD35">
      <w:pPr>
        <w:spacing w:line="360" w:lineRule="auto"/>
        <w:rPr>
          <w:rFonts w:ascii="宋体" w:hAnsi="宋体" w:cs="宋体"/>
          <w:color w:val="auto"/>
          <w:kern w:val="0"/>
          <w:sz w:val="24"/>
          <w:szCs w:val="24"/>
          <w:highlight w:val="none"/>
        </w:rPr>
      </w:pPr>
    </w:p>
    <w:p w14:paraId="191E6652">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6CEEB9BA">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04CC1469">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3EA4A9DE">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271D5A26">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715FFA30">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5FC1CBD6">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762FDBB4">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3E1955FA">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01889975">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4D6423A0">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75B6EE46">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3D4172B2">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p>
    <w:p w14:paraId="58FA7572">
      <w:pPr>
        <w:tabs>
          <w:tab w:val="left" w:pos="576"/>
        </w:tabs>
        <w:autoSpaceDE w:val="0"/>
        <w:autoSpaceDN w:val="0"/>
        <w:adjustRightInd w:val="0"/>
        <w:spacing w:line="360" w:lineRule="auto"/>
        <w:jc w:val="left"/>
        <w:rPr>
          <w:rFonts w:ascii="宋体" w:hAnsi="宋体" w:cs="宋体"/>
          <w:color w:val="auto"/>
          <w:sz w:val="36"/>
          <w:szCs w:val="36"/>
          <w:highlight w:val="none"/>
        </w:rPr>
      </w:pPr>
    </w:p>
    <w:p w14:paraId="3EE3A77C">
      <w:pPr>
        <w:tabs>
          <w:tab w:val="left" w:pos="576"/>
        </w:tabs>
        <w:autoSpaceDE w:val="0"/>
        <w:autoSpaceDN w:val="0"/>
        <w:adjustRightInd w:val="0"/>
        <w:spacing w:line="360" w:lineRule="auto"/>
        <w:ind w:firstLine="2520" w:firstLineChars="700"/>
        <w:jc w:val="left"/>
        <w:rPr>
          <w:rFonts w:ascii="宋体" w:hAnsi="宋体" w:cs="宋体"/>
          <w:color w:val="auto"/>
          <w:sz w:val="36"/>
          <w:szCs w:val="36"/>
          <w:highlight w:val="none"/>
        </w:rPr>
      </w:pPr>
      <w:bookmarkStart w:id="237" w:name="_Toc1237"/>
      <w:r>
        <w:rPr>
          <w:rFonts w:hint="eastAsia" w:ascii="宋体" w:hAnsi="宋体" w:cs="宋体"/>
          <w:color w:val="auto"/>
          <w:sz w:val="36"/>
          <w:szCs w:val="36"/>
          <w:highlight w:val="none"/>
        </w:rPr>
        <w:t>联合体协议书（若有）</w:t>
      </w:r>
      <w:bookmarkEnd w:id="237"/>
    </w:p>
    <w:p w14:paraId="41730502">
      <w:pPr>
        <w:autoSpaceDE w:val="0"/>
        <w:autoSpaceDN w:val="0"/>
        <w:adjustRightInd w:val="0"/>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（所有成员单位名称）自愿组成       （联合体名称）联合体，共同参加</w:t>
      </w:r>
      <w:r>
        <w:rPr>
          <w:rFonts w:hint="eastAsia" w:ascii="宋体" w:hAnsi="宋体" w:cs="宋体"/>
          <w:color w:val="auto"/>
          <w:sz w:val="24"/>
          <w:szCs w:val="24"/>
          <w:highlight w:val="none"/>
        </w:rPr>
        <w:tab/>
      </w:r>
      <w:r>
        <w:rPr>
          <w:rFonts w:hint="eastAsia" w:ascii="宋体" w:hAnsi="宋体" w:cs="宋体"/>
          <w:color w:val="auto"/>
          <w:sz w:val="24"/>
          <w:szCs w:val="24"/>
          <w:highlight w:val="none"/>
        </w:rPr>
        <w:t>（项目名称）项目报价。现就联合体报价事宜订立如下协议。</w:t>
      </w:r>
    </w:p>
    <w:p w14:paraId="7048829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rPr>
        <w:t>（某成员单位名称）为</w:t>
      </w:r>
      <w:r>
        <w:rPr>
          <w:rFonts w:hint="eastAsia" w:ascii="宋体" w:hAnsi="宋体" w:cs="宋体"/>
          <w:color w:val="auto"/>
          <w:sz w:val="24"/>
          <w:szCs w:val="24"/>
          <w:highlight w:val="none"/>
          <w:u w:val="single"/>
        </w:rPr>
        <w:t xml:space="preserve">       （联合体名称）</w:t>
      </w:r>
      <w:r>
        <w:rPr>
          <w:rFonts w:hint="eastAsia" w:ascii="宋体" w:hAnsi="宋体" w:cs="宋体"/>
          <w:color w:val="auto"/>
          <w:sz w:val="24"/>
          <w:szCs w:val="24"/>
          <w:highlight w:val="none"/>
        </w:rPr>
        <w:t>联合体牵头人。</w:t>
      </w:r>
    </w:p>
    <w:p w14:paraId="26CE20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2.联合体各成员授权牵头人代表联合体参加报价活动，签署文件，提交和接收相关的资料、信息及指示，进行合同谈判活动，负责合同实施阶段的组织和协调工作，以及处理与本项目有关的一切事宜。</w:t>
      </w:r>
    </w:p>
    <w:p w14:paraId="5EDD6C0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3.联合体牵头人在本项目中签署的一切文件和处理的一切事宜，联合体各成员均予以承认。联合体各成员将严格按照采购文件、报价文件和合同的要求全面履行义务，并向采购人承担连带责任。</w:t>
      </w:r>
    </w:p>
    <w:p w14:paraId="45F6C489">
      <w:pPr>
        <w:spacing w:line="360" w:lineRule="auto"/>
        <w:ind w:firstLine="480" w:firstLineChars="200"/>
        <w:jc w:val="left"/>
        <w:rPr>
          <w:rFonts w:ascii="宋体" w:hAnsi="宋体" w:cs="宋体"/>
          <w:color w:val="auto"/>
          <w:sz w:val="24"/>
          <w:szCs w:val="24"/>
          <w:highlight w:val="none"/>
        </w:rPr>
      </w:pPr>
      <w:bookmarkStart w:id="238" w:name="_Toc26419"/>
      <w:r>
        <w:rPr>
          <w:rFonts w:hint="eastAsia" w:ascii="宋体" w:hAnsi="宋体" w:cs="宋体"/>
          <w:color w:val="auto"/>
          <w:sz w:val="24"/>
          <w:szCs w:val="24"/>
          <w:highlight w:val="none"/>
        </w:rPr>
        <w:t>4. 联合体各成员单位内部的职责分工如下：</w:t>
      </w:r>
      <w:bookmarkEnd w:id="238"/>
    </w:p>
    <w:p w14:paraId="5DC10352">
      <w:pPr>
        <w:spacing w:line="360" w:lineRule="auto"/>
        <w:ind w:left="174" w:leftChars="83" w:firstLine="240" w:firstLineChars="100"/>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(1) </w:t>
      </w:r>
      <w:r>
        <w:rPr>
          <w:rFonts w:hint="eastAsia" w:ascii="宋体" w:hAnsi="宋体" w:cs="宋体"/>
          <w:color w:val="auto"/>
          <w:sz w:val="24"/>
          <w:szCs w:val="24"/>
          <w:highlight w:val="none"/>
          <w:u w:val="single"/>
        </w:rPr>
        <w:t xml:space="preserve">                                                            ;</w:t>
      </w:r>
    </w:p>
    <w:p w14:paraId="364724CA">
      <w:pPr>
        <w:spacing w:line="360" w:lineRule="auto"/>
        <w:ind w:left="174" w:leftChars="83" w:firstLine="240" w:firstLineChars="100"/>
        <w:jc w:val="left"/>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u w:val="single"/>
        </w:rPr>
        <w:t xml:space="preserve">                                                             ;</w:t>
      </w:r>
    </w:p>
    <w:p w14:paraId="7CFD8C78">
      <w:pPr>
        <w:spacing w:line="360" w:lineRule="auto"/>
        <w:ind w:left="174" w:leftChars="83" w:firstLine="240" w:firstLineChars="100"/>
        <w:jc w:val="left"/>
        <w:rPr>
          <w:rFonts w:ascii="宋体" w:hAnsi="宋体" w:cs="宋体"/>
          <w:color w:val="auto"/>
          <w:sz w:val="24"/>
          <w:szCs w:val="24"/>
          <w:highlight w:val="none"/>
        </w:rPr>
      </w:pPr>
      <w:r>
        <w:rPr>
          <w:rFonts w:hint="eastAsia" w:ascii="宋体" w:hAnsi="宋体" w:cs="宋体"/>
          <w:color w:val="auto"/>
          <w:sz w:val="24"/>
          <w:szCs w:val="24"/>
          <w:highlight w:val="none"/>
        </w:rPr>
        <w:t>(3) 。</w:t>
      </w:r>
    </w:p>
    <w:p w14:paraId="7F76814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5.本协议书自所有成员单位法定代表人（单位负责人）或其委托代理人签字，并盖单位章之日起生效，合同履行完毕后自动失效。</w:t>
      </w:r>
    </w:p>
    <w:p w14:paraId="5364FF70">
      <w:pPr>
        <w:spacing w:line="360" w:lineRule="auto"/>
        <w:ind w:firstLine="480" w:firstLineChars="200"/>
        <w:rPr>
          <w:rFonts w:ascii="宋体" w:hAnsi="宋体" w:cs="宋体"/>
          <w:color w:val="auto"/>
          <w:sz w:val="24"/>
          <w:szCs w:val="24"/>
          <w:highlight w:val="none"/>
        </w:rPr>
      </w:pPr>
      <w:bookmarkStart w:id="239" w:name="_Toc7097"/>
      <w:r>
        <w:rPr>
          <w:rFonts w:hint="eastAsia" w:ascii="宋体" w:hAnsi="宋体" w:cs="宋体"/>
          <w:color w:val="auto"/>
          <w:sz w:val="24"/>
          <w:szCs w:val="24"/>
          <w:highlight w:val="none"/>
        </w:rPr>
        <w:t>6.本协议书一式【】份，联合体成员和采购人各执一份。</w:t>
      </w:r>
      <w:bookmarkEnd w:id="239"/>
    </w:p>
    <w:p w14:paraId="018DE74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注：由委托代理人签字的，应附授权委托书。</w:t>
      </w:r>
    </w:p>
    <w:p w14:paraId="7D9050D8">
      <w:pPr>
        <w:spacing w:line="360" w:lineRule="auto"/>
        <w:rPr>
          <w:rFonts w:ascii="宋体" w:hAnsi="宋体" w:cs="宋体"/>
          <w:color w:val="auto"/>
          <w:sz w:val="24"/>
          <w:szCs w:val="24"/>
          <w:highlight w:val="none"/>
        </w:rPr>
      </w:pPr>
      <w:bookmarkStart w:id="240" w:name="_Toc2040"/>
      <w:r>
        <w:rPr>
          <w:rFonts w:hint="eastAsia" w:ascii="宋体" w:hAnsi="宋体" w:cs="宋体"/>
          <w:color w:val="auto"/>
          <w:sz w:val="24"/>
          <w:szCs w:val="24"/>
          <w:highlight w:val="none"/>
        </w:rPr>
        <w:t>联合体牵头人名称：</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rPr>
        <w:t>（盖单位章）</w:t>
      </w:r>
      <w:bookmarkEnd w:id="240"/>
    </w:p>
    <w:p w14:paraId="49B083A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法定代表人（单位负责人）或其委托代理人：</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rPr>
        <w:t>（签字或盖章）</w:t>
      </w:r>
    </w:p>
    <w:p w14:paraId="75C7D48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联合体成员名称：</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rPr>
        <w:t>（盖单位章）</w:t>
      </w:r>
    </w:p>
    <w:p w14:paraId="3DADFDFF">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法定代表人（单位负责人）或其委托代理人：（签字或盖章）</w:t>
      </w:r>
    </w:p>
    <w:p w14:paraId="40B32C12">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 联合体成员名称：</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rPr>
        <w:t>（盖单位章）</w:t>
      </w:r>
    </w:p>
    <w:p w14:paraId="2C9F13F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法定代表人（单位负责人）或其委托代理人：</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rPr>
        <w:t>（签字或盖章）</w:t>
      </w:r>
    </w:p>
    <w:p w14:paraId="0E4A6D58">
      <w:pPr>
        <w:spacing w:line="360" w:lineRule="auto"/>
        <w:rPr>
          <w:color w:val="auto"/>
          <w:sz w:val="24"/>
          <w:szCs w:val="24"/>
          <w:highlight w:val="none"/>
        </w:rPr>
      </w:pP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rPr>
        <w:t>日</w:t>
      </w:r>
    </w:p>
    <w:p w14:paraId="0E72813F">
      <w:pPr>
        <w:spacing w:line="360" w:lineRule="auto"/>
        <w:rPr>
          <w:rFonts w:ascii="宋体" w:hAnsi="宋体" w:cs="宋体"/>
          <w:color w:val="auto"/>
          <w:sz w:val="24"/>
          <w:szCs w:val="24"/>
          <w:highlight w:val="none"/>
        </w:rPr>
      </w:pPr>
    </w:p>
    <w:p w14:paraId="6C3E949C">
      <w:pPr>
        <w:spacing w:line="360" w:lineRule="auto"/>
        <w:rPr>
          <w:rFonts w:ascii="宋体" w:hAnsi="宋体" w:cs="宋体"/>
          <w:color w:val="auto"/>
          <w:sz w:val="24"/>
          <w:szCs w:val="24"/>
          <w:highlight w:val="none"/>
        </w:rPr>
      </w:pPr>
    </w:p>
    <w:p w14:paraId="2A91F438">
      <w:pPr>
        <w:spacing w:line="560" w:lineRule="exact"/>
        <w:jc w:val="center"/>
        <w:rPr>
          <w:rFonts w:hint="eastAsia"/>
          <w:b/>
          <w:bCs/>
          <w:color w:val="auto"/>
          <w:sz w:val="28"/>
          <w:szCs w:val="32"/>
          <w:highlight w:val="none"/>
        </w:rPr>
      </w:pPr>
      <w:bookmarkStart w:id="241" w:name="_Toc4023"/>
    </w:p>
    <w:p w14:paraId="0363EC5F">
      <w:pPr>
        <w:spacing w:line="560" w:lineRule="exact"/>
        <w:jc w:val="center"/>
        <w:rPr>
          <w:rFonts w:hint="eastAsia"/>
          <w:b/>
          <w:bCs/>
          <w:color w:val="auto"/>
          <w:sz w:val="28"/>
          <w:szCs w:val="32"/>
          <w:highlight w:val="none"/>
        </w:rPr>
      </w:pPr>
    </w:p>
    <w:p w14:paraId="01F8B587">
      <w:pPr>
        <w:spacing w:line="560" w:lineRule="exact"/>
        <w:jc w:val="center"/>
        <w:rPr>
          <w:b/>
          <w:bCs/>
          <w:color w:val="auto"/>
          <w:sz w:val="28"/>
          <w:szCs w:val="32"/>
          <w:highlight w:val="none"/>
        </w:rPr>
      </w:pPr>
      <w:r>
        <w:rPr>
          <w:rFonts w:hint="eastAsia"/>
          <w:b/>
          <w:bCs/>
          <w:color w:val="auto"/>
          <w:sz w:val="28"/>
          <w:szCs w:val="32"/>
          <w:highlight w:val="none"/>
        </w:rPr>
        <w:t>附件：福建省政府采购供应商资格承诺函</w:t>
      </w:r>
      <w:bookmarkEnd w:id="241"/>
    </w:p>
    <w:p w14:paraId="5C858CD2">
      <w:pPr>
        <w:spacing w:line="560" w:lineRule="exact"/>
        <w:rPr>
          <w:rFonts w:ascii="仿宋" w:hAnsi="仿宋" w:eastAsia="仿宋" w:cs="仿宋"/>
          <w:color w:val="auto"/>
          <w:sz w:val="32"/>
          <w:szCs w:val="32"/>
          <w:highlight w:val="none"/>
        </w:rPr>
      </w:pPr>
    </w:p>
    <w:p w14:paraId="77B49C78">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致（采购人或政府采购代理机构）:</w:t>
      </w:r>
    </w:p>
    <w:p w14:paraId="439EBD7F">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单位名称（自然人姓名）:</w:t>
      </w:r>
    </w:p>
    <w:p w14:paraId="3B1F77B0">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统一社会信用代码（身份证号码）:</w:t>
      </w:r>
    </w:p>
    <w:p w14:paraId="5E959AE3">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法定代表人（负责人）:</w:t>
      </w:r>
    </w:p>
    <w:p w14:paraId="337A15DE">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联系地址和电话：</w:t>
      </w:r>
    </w:p>
    <w:p w14:paraId="2D7AC6E5">
      <w:pPr>
        <w:spacing w:line="560" w:lineRule="exact"/>
        <w:rPr>
          <w:rFonts w:ascii="宋体" w:hAnsi="宋体" w:cs="宋体"/>
          <w:color w:val="auto"/>
          <w:sz w:val="24"/>
          <w:szCs w:val="24"/>
          <w:highlight w:val="none"/>
        </w:rPr>
      </w:pPr>
    </w:p>
    <w:p w14:paraId="6E3CA7FF">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0A7845B9">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一、我单位（本人）具备采购文件要求以及《中华人民共和国政府采购法》第二十二条规定的条件：</w:t>
      </w:r>
    </w:p>
    <w:p w14:paraId="6E8172A9">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1.具有独立承担民事责任的能力;</w:t>
      </w:r>
    </w:p>
    <w:p w14:paraId="20D56D94">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2.具有良好的商业信誉和健全的财务会计制度;</w:t>
      </w:r>
    </w:p>
    <w:p w14:paraId="1E5346C1">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3.具有履行合同所必需的设备和专业技术能力;</w:t>
      </w:r>
    </w:p>
    <w:p w14:paraId="0D367061">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4.有依法缴纳税收和社会保障资金的良好记录;</w:t>
      </w:r>
    </w:p>
    <w:p w14:paraId="01A7CCD0">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5.参加政府采购活动前三年内，在经营活动中没有重大违法记录；</w:t>
      </w:r>
    </w:p>
    <w:p w14:paraId="20DFF104">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6.法律、行政法规规定的其他条件。</w:t>
      </w:r>
    </w:p>
    <w:p w14:paraId="3095E7A0">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36A964E3">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139F61FA">
      <w:pPr>
        <w:spacing w:line="560" w:lineRule="exact"/>
        <w:ind w:firstLine="2640" w:firstLineChars="1100"/>
        <w:rPr>
          <w:rFonts w:ascii="宋体" w:hAnsi="宋体" w:cs="宋体"/>
          <w:color w:val="auto"/>
          <w:sz w:val="24"/>
          <w:szCs w:val="24"/>
          <w:highlight w:val="none"/>
        </w:rPr>
      </w:pPr>
      <w:r>
        <w:rPr>
          <w:rFonts w:hint="eastAsia" w:ascii="宋体" w:hAnsi="宋体" w:cs="宋体"/>
          <w:color w:val="auto"/>
          <w:sz w:val="24"/>
          <w:szCs w:val="24"/>
          <w:highlight w:val="none"/>
        </w:rPr>
        <w:t>报价人名称（单位公章）:</w:t>
      </w:r>
    </w:p>
    <w:p w14:paraId="3595D5D0">
      <w:pPr>
        <w:spacing w:line="560" w:lineRule="exact"/>
        <w:ind w:firstLine="2640" w:firstLineChars="1100"/>
        <w:rPr>
          <w:rFonts w:ascii="宋体" w:hAnsi="宋体" w:cs="宋体"/>
          <w:color w:val="auto"/>
          <w:sz w:val="24"/>
          <w:szCs w:val="24"/>
          <w:highlight w:val="none"/>
        </w:rPr>
      </w:pPr>
      <w:r>
        <w:rPr>
          <w:rFonts w:hint="eastAsia" w:ascii="宋体" w:hAnsi="宋体" w:cs="宋体"/>
          <w:color w:val="auto"/>
          <w:sz w:val="24"/>
          <w:szCs w:val="24"/>
          <w:highlight w:val="none"/>
        </w:rPr>
        <w:t>年   月   日</w:t>
      </w:r>
    </w:p>
    <w:p w14:paraId="48406C5C">
      <w:pPr>
        <w:spacing w:line="560" w:lineRule="exact"/>
        <w:rPr>
          <w:rFonts w:ascii="仿宋" w:hAnsi="仿宋" w:eastAsia="仿宋" w:cs="仿宋"/>
          <w:color w:val="auto"/>
          <w:sz w:val="32"/>
          <w:szCs w:val="32"/>
          <w:highlight w:val="none"/>
        </w:rPr>
      </w:pPr>
    </w:p>
    <w:p w14:paraId="2B725FCE">
      <w:pPr>
        <w:spacing w:line="560" w:lineRule="exact"/>
        <w:rPr>
          <w:rFonts w:ascii="仿宋" w:hAnsi="仿宋" w:eastAsia="仿宋" w:cs="仿宋"/>
          <w:color w:val="auto"/>
          <w:sz w:val="32"/>
          <w:szCs w:val="32"/>
          <w:highlight w:val="none"/>
        </w:rPr>
      </w:pPr>
    </w:p>
    <w:p w14:paraId="535072E0">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注：</w:t>
      </w:r>
    </w:p>
    <w:p w14:paraId="57312DCF">
      <w:pPr>
        <w:spacing w:line="560" w:lineRule="exact"/>
        <w:rPr>
          <w:rFonts w:ascii="宋体" w:hAnsi="宋体" w:cs="宋体"/>
          <w:color w:val="auto"/>
          <w:sz w:val="24"/>
          <w:szCs w:val="24"/>
          <w:highlight w:val="none"/>
        </w:rPr>
      </w:pPr>
      <w:bookmarkStart w:id="242" w:name="_Toc5432"/>
      <w:r>
        <w:rPr>
          <w:rFonts w:hint="eastAsia" w:ascii="宋体" w:hAnsi="宋体" w:cs="宋体"/>
          <w:color w:val="auto"/>
          <w:sz w:val="24"/>
          <w:szCs w:val="24"/>
          <w:highlight w:val="none"/>
        </w:rPr>
        <w:t>1.我单位（本人）专指参加政府采购活动的供应商（含自然人）；</w:t>
      </w:r>
      <w:bookmarkEnd w:id="242"/>
    </w:p>
    <w:p w14:paraId="654C687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2.资格承诺</w:t>
      </w:r>
      <w:bookmarkStart w:id="243" w:name="_GoBack"/>
      <w:bookmarkEnd w:id="243"/>
      <w:r>
        <w:rPr>
          <w:rFonts w:hint="eastAsia" w:ascii="宋体" w:hAnsi="宋体" w:cs="宋体"/>
          <w:color w:val="auto"/>
          <w:sz w:val="24"/>
          <w:szCs w:val="24"/>
          <w:highlight w:val="none"/>
        </w:rPr>
        <w:t>的报价人应在报价（响应）文件中按此模板提供承诺函，否则，视为未按照采购文件规定提交报价人的资格及资信文件，按资格审查不通过处理。</w:t>
      </w:r>
    </w:p>
    <w:p w14:paraId="4FBFED78">
      <w:pPr>
        <w:rPr>
          <w:color w:val="auto"/>
          <w:highlight w:val="none"/>
        </w:rPr>
      </w:pPr>
    </w:p>
    <w:p w14:paraId="298FC8D9">
      <w:pPr>
        <w:rPr>
          <w:color w:val="auto"/>
          <w:highlight w:val="none"/>
        </w:rPr>
      </w:pPr>
    </w:p>
    <w:sectPr>
      <w:footerReference r:id="rId1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6A706">
    <w:pPr>
      <w:pStyle w:val="10"/>
      <w:jc w:val="center"/>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46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116</w:t>
    </w:r>
    <w:r>
      <w:rPr>
        <w:rFonts w:ascii="宋体" w:hAnsi="宋体"/>
        <w:kern w:val="0"/>
        <w:szCs w:val="21"/>
      </w:rPr>
      <w:fldChar w:fldCharType="end"/>
    </w:r>
    <w:r>
      <w:rPr>
        <w:rFonts w:hint="eastAsia" w:ascii="宋体" w:hAnsi="宋体"/>
        <w:kern w:val="0"/>
        <w:szCs w:val="21"/>
      </w:rPr>
      <w:t xml:space="preserve"> 页</w:t>
    </w:r>
  </w:p>
  <w:p w14:paraId="09B84DF5">
    <w:pPr>
      <w:pStyle w:val="10"/>
      <w:tabs>
        <w:tab w:val="left" w:pos="945"/>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014D8">
    <w:pPr>
      <w:pStyle w:val="1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92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117</w:t>
    </w:r>
    <w:r>
      <w:rPr>
        <w:rFonts w:ascii="宋体" w:hAnsi="宋体"/>
        <w:kern w:val="0"/>
        <w:szCs w:val="21"/>
      </w:rPr>
      <w:fldChar w:fldCharType="end"/>
    </w:r>
    <w:r>
      <w:rPr>
        <w:rFonts w:hint="eastAsia" w:ascii="宋体" w:hAnsi="宋体"/>
        <w:kern w:val="0"/>
        <w:szCs w:val="21"/>
      </w:rPr>
      <w:t xml:space="preserve"> 页</w:t>
    </w:r>
  </w:p>
  <w:p w14:paraId="1BA52A66">
    <w:pPr>
      <w:pStyle w:val="10"/>
      <w:tabs>
        <w:tab w:val="left" w:pos="945"/>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CBC27">
    <w:pPr>
      <w:pStyle w:val="10"/>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F9EB5B1">
                          <w:pPr>
                            <w:pStyle w:val="10"/>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93</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117</w:t>
                          </w:r>
                          <w:r>
                            <w:rPr>
                              <w:rFonts w:ascii="宋体" w:hAnsi="宋体"/>
                              <w:kern w:val="0"/>
                              <w:szCs w:val="21"/>
                            </w:rPr>
                            <w:fldChar w:fldCharType="end"/>
                          </w:r>
                          <w:r>
                            <w:rPr>
                              <w:rFonts w:hint="eastAsia" w:ascii="宋体" w:hAnsi="宋体"/>
                              <w:kern w:val="0"/>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F9EB5B1">
                    <w:pPr>
                      <w:pStyle w:val="10"/>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93</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117</w:t>
                    </w:r>
                    <w:r>
                      <w:rPr>
                        <w:rFonts w:ascii="宋体" w:hAnsi="宋体"/>
                        <w:kern w:val="0"/>
                        <w:szCs w:val="21"/>
                      </w:rPr>
                      <w:fldChar w:fldCharType="end"/>
                    </w:r>
                    <w:r>
                      <w:rPr>
                        <w:rFonts w:hint="eastAsia" w:ascii="宋体" w:hAnsi="宋体"/>
                        <w:kern w:val="0"/>
                        <w:szCs w:val="21"/>
                      </w:rPr>
                      <w:t xml:space="preserve"> 页</w:t>
                    </w:r>
                  </w:p>
                </w:txbxContent>
              </v:textbox>
            </v:shape>
          </w:pict>
        </mc:Fallback>
      </mc:AlternateContent>
    </w:r>
  </w:p>
  <w:p w14:paraId="5F88BFCA">
    <w:pPr>
      <w:pStyle w:val="10"/>
      <w:tabs>
        <w:tab w:val="left" w:pos="94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CD9BF">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92089">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BCFA">
    <w:pPr>
      <w:pStyle w:val="1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94</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117</w:t>
    </w:r>
    <w:r>
      <w:rPr>
        <w:rFonts w:ascii="宋体" w:hAnsi="宋体"/>
        <w:kern w:val="0"/>
        <w:szCs w:val="21"/>
      </w:rPr>
      <w:fldChar w:fldCharType="end"/>
    </w:r>
    <w:r>
      <w:rPr>
        <w:rFonts w:hint="eastAsia" w:ascii="宋体" w:hAnsi="宋体"/>
        <w:kern w:val="0"/>
        <w:szCs w:val="21"/>
      </w:rPr>
      <w:t xml:space="preserve"> 页</w:t>
    </w:r>
  </w:p>
  <w:p w14:paraId="3CC9237B">
    <w:pPr>
      <w:pStyle w:val="10"/>
      <w:tabs>
        <w:tab w:val="left" w:pos="945"/>
      </w:tabs>
    </w:pP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FD5C6">
    <w:pPr>
      <w:pStyle w:val="10"/>
      <w:rPr>
        <w:rFonts w:ascii="宋体" w:hAnsi="宋体"/>
      </w:rPr>
    </w:pPr>
    <w:r>
      <w:rPr>
        <w:rStyle w:val="20"/>
        <w:rFonts w:hint="eastAsia" w:ascii="宋体" w:hAnsi="宋体"/>
      </w:rPr>
      <w:t>第</w:t>
    </w:r>
    <w:r>
      <w:rPr>
        <w:rFonts w:ascii="宋体" w:hAnsi="宋体"/>
      </w:rPr>
      <w:fldChar w:fldCharType="begin"/>
    </w:r>
    <w:r>
      <w:rPr>
        <w:rStyle w:val="20"/>
        <w:rFonts w:ascii="宋体" w:hAnsi="宋体"/>
      </w:rPr>
      <w:instrText xml:space="preserve"> PAGE </w:instrText>
    </w:r>
    <w:r>
      <w:rPr>
        <w:rFonts w:ascii="宋体" w:hAnsi="宋体"/>
      </w:rPr>
      <w:fldChar w:fldCharType="separate"/>
    </w:r>
    <w:r>
      <w:rPr>
        <w:rStyle w:val="20"/>
        <w:rFonts w:ascii="宋体" w:hAnsi="宋体"/>
      </w:rPr>
      <w:t>100</w:t>
    </w:r>
    <w:r>
      <w:rPr>
        <w:rFonts w:ascii="宋体" w:hAnsi="宋体"/>
      </w:rPr>
      <w:fldChar w:fldCharType="end"/>
    </w:r>
    <w:r>
      <w:rPr>
        <w:rStyle w:val="20"/>
        <w:rFonts w:hint="eastAsia" w:ascii="宋体" w:hAnsi="宋体"/>
      </w:rPr>
      <w:t>页，共</w:t>
    </w:r>
    <w:r>
      <w:rPr>
        <w:rFonts w:ascii="宋体" w:hAnsi="宋体"/>
      </w:rPr>
      <w:fldChar w:fldCharType="begin"/>
    </w:r>
    <w:r>
      <w:rPr>
        <w:rStyle w:val="20"/>
        <w:rFonts w:ascii="宋体" w:hAnsi="宋体"/>
      </w:rPr>
      <w:instrText xml:space="preserve"> NUMPAGES </w:instrText>
    </w:r>
    <w:r>
      <w:rPr>
        <w:rFonts w:ascii="宋体" w:hAnsi="宋体"/>
      </w:rPr>
      <w:fldChar w:fldCharType="separate"/>
    </w:r>
    <w:r>
      <w:rPr>
        <w:rStyle w:val="20"/>
        <w:rFonts w:ascii="宋体" w:hAnsi="宋体"/>
      </w:rPr>
      <w:t>117</w:t>
    </w:r>
    <w:r>
      <w:rPr>
        <w:rFonts w:ascii="宋体" w:hAnsi="宋体"/>
      </w:rPr>
      <w:fldChar w:fldCharType="end"/>
    </w:r>
    <w:r>
      <w:rPr>
        <w:rStyle w:val="20"/>
        <w:rFonts w:hint="eastAsia" w:ascii="宋体" w:hAnsi="宋体"/>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0BFF7">
    <w:pPr>
      <w:pStyle w:val="10"/>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103</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117</w:t>
    </w:r>
    <w:r>
      <w:rPr>
        <w:rFonts w:ascii="宋体" w:hAnsi="宋体"/>
        <w:kern w:val="0"/>
        <w:szCs w:val="21"/>
      </w:rPr>
      <w:fldChar w:fldCharType="end"/>
    </w:r>
    <w:r>
      <w:rPr>
        <w:rFonts w:hint="eastAsia" w:ascii="宋体" w:hAnsi="宋体"/>
        <w:kern w:val="0"/>
        <w:szCs w:val="21"/>
      </w:rPr>
      <w:t xml:space="preserve"> 页</w:t>
    </w:r>
  </w:p>
  <w:p w14:paraId="33C82F3C">
    <w:pPr>
      <w:pStyle w:val="1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4DC12">
    <w:pPr>
      <w:pStyle w:val="10"/>
      <w:ind w:firstLine="3600" w:firstLineChars="20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116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117</w:t>
    </w:r>
    <w:r>
      <w:rPr>
        <w:rFonts w:ascii="宋体" w:hAnsi="宋体"/>
        <w:kern w:val="0"/>
        <w:szCs w:val="21"/>
      </w:rPr>
      <w:fldChar w:fldCharType="end"/>
    </w:r>
    <w:r>
      <w:rPr>
        <w:rFonts w:hint="eastAsia" w:ascii="宋体" w:hAnsi="宋体"/>
        <w:kern w:val="0"/>
        <w:szCs w:val="21"/>
      </w:rPr>
      <w:t xml:space="preserve"> 页</w:t>
    </w:r>
  </w:p>
  <w:p w14:paraId="6D92CC84">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F510A">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B601F">
    <w:pPr>
      <w:pStyle w:val="11"/>
      <w:pBdr>
        <w:bottom w:val="none" w:color="auto" w:sz="0" w:space="0"/>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AD403">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1D30F">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A2FC21"/>
    <w:multiLevelType w:val="singleLevel"/>
    <w:tmpl w:val="92A2FC21"/>
    <w:lvl w:ilvl="0" w:tentative="0">
      <w:start w:val="5"/>
      <w:numFmt w:val="chineseCounting"/>
      <w:suff w:val="nothing"/>
      <w:lvlText w:val="%1、"/>
      <w:lvlJc w:val="left"/>
      <w:rPr>
        <w:rFonts w:hint="eastAsia"/>
      </w:rPr>
    </w:lvl>
  </w:abstractNum>
  <w:abstractNum w:abstractNumId="1">
    <w:nsid w:val="9861EACC"/>
    <w:multiLevelType w:val="singleLevel"/>
    <w:tmpl w:val="9861EACC"/>
    <w:lvl w:ilvl="0" w:tentative="0">
      <w:start w:val="7"/>
      <w:numFmt w:val="decimal"/>
      <w:suff w:val="nothing"/>
      <w:lvlText w:val="（%1）"/>
      <w:lvlJc w:val="left"/>
    </w:lvl>
  </w:abstractNum>
  <w:abstractNum w:abstractNumId="2">
    <w:nsid w:val="9E8C0A2F"/>
    <w:multiLevelType w:val="singleLevel"/>
    <w:tmpl w:val="9E8C0A2F"/>
    <w:lvl w:ilvl="0" w:tentative="0">
      <w:start w:val="5"/>
      <w:numFmt w:val="decimal"/>
      <w:suff w:val="nothing"/>
      <w:lvlText w:val="（%1）"/>
      <w:lvlJc w:val="left"/>
    </w:lvl>
  </w:abstractNum>
  <w:abstractNum w:abstractNumId="3">
    <w:nsid w:val="C5FA6A25"/>
    <w:multiLevelType w:val="singleLevel"/>
    <w:tmpl w:val="C5FA6A25"/>
    <w:lvl w:ilvl="0" w:tentative="0">
      <w:start w:val="4"/>
      <w:numFmt w:val="decimal"/>
      <w:suff w:val="nothing"/>
      <w:lvlText w:val="（%1）"/>
      <w:lvlJc w:val="left"/>
    </w:lvl>
  </w:abstractNum>
  <w:abstractNum w:abstractNumId="4">
    <w:nsid w:val="CADE9EE5"/>
    <w:multiLevelType w:val="singleLevel"/>
    <w:tmpl w:val="CADE9EE5"/>
    <w:lvl w:ilvl="0" w:tentative="0">
      <w:start w:val="9"/>
      <w:numFmt w:val="decimal"/>
      <w:suff w:val="nothing"/>
      <w:lvlText w:val="（%1）"/>
      <w:lvlJc w:val="left"/>
    </w:lvl>
  </w:abstractNum>
  <w:abstractNum w:abstractNumId="5">
    <w:nsid w:val="E57F9CEB"/>
    <w:multiLevelType w:val="singleLevel"/>
    <w:tmpl w:val="E57F9CEB"/>
    <w:lvl w:ilvl="0" w:tentative="0">
      <w:start w:val="2"/>
      <w:numFmt w:val="decimal"/>
      <w:suff w:val="nothing"/>
      <w:lvlText w:val="（%1）"/>
      <w:lvlJc w:val="left"/>
    </w:lvl>
  </w:abstractNum>
  <w:abstractNum w:abstractNumId="6">
    <w:nsid w:val="EA5A38C2"/>
    <w:multiLevelType w:val="singleLevel"/>
    <w:tmpl w:val="EA5A38C2"/>
    <w:lvl w:ilvl="0" w:tentative="0">
      <w:start w:val="7"/>
      <w:numFmt w:val="decimal"/>
      <w:suff w:val="nothing"/>
      <w:lvlText w:val="（%1）"/>
      <w:lvlJc w:val="left"/>
    </w:lvl>
  </w:abstractNum>
  <w:abstractNum w:abstractNumId="7">
    <w:nsid w:val="EB40028A"/>
    <w:multiLevelType w:val="singleLevel"/>
    <w:tmpl w:val="EB40028A"/>
    <w:lvl w:ilvl="0" w:tentative="0">
      <w:start w:val="9"/>
      <w:numFmt w:val="decimal"/>
      <w:suff w:val="nothing"/>
      <w:lvlText w:val="（%1）"/>
      <w:lvlJc w:val="left"/>
    </w:lvl>
  </w:abstractNum>
  <w:abstractNum w:abstractNumId="8">
    <w:nsid w:val="0A4545E3"/>
    <w:multiLevelType w:val="singleLevel"/>
    <w:tmpl w:val="0A4545E3"/>
    <w:lvl w:ilvl="0" w:tentative="0">
      <w:start w:val="8"/>
      <w:numFmt w:val="decimal"/>
      <w:suff w:val="nothing"/>
      <w:lvlText w:val="（%1）"/>
      <w:lvlJc w:val="left"/>
    </w:lvl>
  </w:abstractNum>
  <w:abstractNum w:abstractNumId="9">
    <w:nsid w:val="135F638D"/>
    <w:multiLevelType w:val="singleLevel"/>
    <w:tmpl w:val="135F638D"/>
    <w:lvl w:ilvl="0" w:tentative="0">
      <w:start w:val="6"/>
      <w:numFmt w:val="decimal"/>
      <w:suff w:val="nothing"/>
      <w:lvlText w:val="（%1）"/>
      <w:lvlJc w:val="left"/>
    </w:lvl>
  </w:abstractNum>
  <w:abstractNum w:abstractNumId="10">
    <w:nsid w:val="2C14020C"/>
    <w:multiLevelType w:val="singleLevel"/>
    <w:tmpl w:val="2C14020C"/>
    <w:lvl w:ilvl="0" w:tentative="0">
      <w:start w:val="8"/>
      <w:numFmt w:val="decimal"/>
      <w:suff w:val="nothing"/>
      <w:lvlText w:val="（%1）"/>
      <w:lvlJc w:val="left"/>
    </w:lvl>
  </w:abstractNum>
  <w:abstractNum w:abstractNumId="11">
    <w:nsid w:val="56582539"/>
    <w:multiLevelType w:val="singleLevel"/>
    <w:tmpl w:val="56582539"/>
    <w:lvl w:ilvl="0" w:tentative="0">
      <w:start w:val="4"/>
      <w:numFmt w:val="decimal"/>
      <w:suff w:val="nothing"/>
      <w:lvlText w:val="（%1）"/>
      <w:lvlJc w:val="left"/>
    </w:lvl>
  </w:abstractNum>
  <w:abstractNum w:abstractNumId="12">
    <w:nsid w:val="6CC30773"/>
    <w:multiLevelType w:val="singleLevel"/>
    <w:tmpl w:val="6CC30773"/>
    <w:lvl w:ilvl="0" w:tentative="0">
      <w:start w:val="3"/>
      <w:numFmt w:val="decimal"/>
      <w:suff w:val="nothing"/>
      <w:lvlText w:val="（%1）"/>
      <w:lvlJc w:val="left"/>
    </w:lvl>
  </w:abstractNum>
  <w:num w:numId="1">
    <w:abstractNumId w:val="0"/>
  </w:num>
  <w:num w:numId="2">
    <w:abstractNumId w:val="5"/>
  </w:num>
  <w:num w:numId="3">
    <w:abstractNumId w:val="12"/>
  </w:num>
  <w:num w:numId="4">
    <w:abstractNumId w:val="11"/>
  </w:num>
  <w:num w:numId="5">
    <w:abstractNumId w:val="9"/>
  </w:num>
  <w:num w:numId="6">
    <w:abstractNumId w:val="1"/>
  </w:num>
  <w:num w:numId="7">
    <w:abstractNumId w:val="8"/>
  </w:num>
  <w:num w:numId="8">
    <w:abstractNumId w:val="7"/>
  </w:num>
  <w:num w:numId="9">
    <w:abstractNumId w:val="6"/>
  </w:num>
  <w:num w:numId="10">
    <w:abstractNumId w:val="10"/>
  </w:num>
  <w:num w:numId="11">
    <w:abstractNumId w:val="4"/>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161698"/>
    <w:rsid w:val="07746E01"/>
    <w:rsid w:val="07ED2710"/>
    <w:rsid w:val="08931509"/>
    <w:rsid w:val="0A3A5566"/>
    <w:rsid w:val="0BC814CA"/>
    <w:rsid w:val="0CF923B2"/>
    <w:rsid w:val="0D907DC5"/>
    <w:rsid w:val="0E9E6512"/>
    <w:rsid w:val="11457119"/>
    <w:rsid w:val="120668A8"/>
    <w:rsid w:val="12771554"/>
    <w:rsid w:val="12AF0CEE"/>
    <w:rsid w:val="12DE15D3"/>
    <w:rsid w:val="133B4C77"/>
    <w:rsid w:val="145A737F"/>
    <w:rsid w:val="1609105D"/>
    <w:rsid w:val="16565924"/>
    <w:rsid w:val="172A4DE7"/>
    <w:rsid w:val="18147845"/>
    <w:rsid w:val="18EE62E8"/>
    <w:rsid w:val="196D545F"/>
    <w:rsid w:val="19F54FD2"/>
    <w:rsid w:val="1A11228E"/>
    <w:rsid w:val="1A352420"/>
    <w:rsid w:val="1B3C333B"/>
    <w:rsid w:val="1C8A66C6"/>
    <w:rsid w:val="213C0AC6"/>
    <w:rsid w:val="2536704D"/>
    <w:rsid w:val="25826736"/>
    <w:rsid w:val="25C74149"/>
    <w:rsid w:val="285717B4"/>
    <w:rsid w:val="29121B7F"/>
    <w:rsid w:val="2B4E1E06"/>
    <w:rsid w:val="2C5129BE"/>
    <w:rsid w:val="2C931228"/>
    <w:rsid w:val="2E6764C9"/>
    <w:rsid w:val="2F6501D9"/>
    <w:rsid w:val="2F9652B7"/>
    <w:rsid w:val="30055F99"/>
    <w:rsid w:val="319475D5"/>
    <w:rsid w:val="32AB72CC"/>
    <w:rsid w:val="353006C9"/>
    <w:rsid w:val="35492DCC"/>
    <w:rsid w:val="390F1C37"/>
    <w:rsid w:val="3B561D9F"/>
    <w:rsid w:val="3FD37E62"/>
    <w:rsid w:val="3FEF631E"/>
    <w:rsid w:val="40C96B6F"/>
    <w:rsid w:val="4148218A"/>
    <w:rsid w:val="451953E5"/>
    <w:rsid w:val="459B6D2C"/>
    <w:rsid w:val="474043C1"/>
    <w:rsid w:val="483E7E42"/>
    <w:rsid w:val="489D725F"/>
    <w:rsid w:val="497C0C22"/>
    <w:rsid w:val="4AF55130"/>
    <w:rsid w:val="4C485734"/>
    <w:rsid w:val="4C8B713C"/>
    <w:rsid w:val="4CF3569F"/>
    <w:rsid w:val="4F563CC4"/>
    <w:rsid w:val="50964CC0"/>
    <w:rsid w:val="5386687C"/>
    <w:rsid w:val="5609445F"/>
    <w:rsid w:val="56290384"/>
    <w:rsid w:val="57233025"/>
    <w:rsid w:val="573C5F32"/>
    <w:rsid w:val="57CC546B"/>
    <w:rsid w:val="5A851901"/>
    <w:rsid w:val="5D17501F"/>
    <w:rsid w:val="5EAA7B88"/>
    <w:rsid w:val="6031230F"/>
    <w:rsid w:val="61DE2022"/>
    <w:rsid w:val="62A3326C"/>
    <w:rsid w:val="65F8526B"/>
    <w:rsid w:val="671D183F"/>
    <w:rsid w:val="685D0811"/>
    <w:rsid w:val="68752FB5"/>
    <w:rsid w:val="6AE508C6"/>
    <w:rsid w:val="6B913956"/>
    <w:rsid w:val="6BF95CAB"/>
    <w:rsid w:val="6CCE7137"/>
    <w:rsid w:val="6D9143ED"/>
    <w:rsid w:val="6DA32372"/>
    <w:rsid w:val="6E6B1705"/>
    <w:rsid w:val="6E6E472E"/>
    <w:rsid w:val="6F991C7F"/>
    <w:rsid w:val="712E4649"/>
    <w:rsid w:val="72A252EE"/>
    <w:rsid w:val="76361FD5"/>
    <w:rsid w:val="76D57A40"/>
    <w:rsid w:val="781C169F"/>
    <w:rsid w:val="786372CE"/>
    <w:rsid w:val="78E6261E"/>
    <w:rsid w:val="7A2F7467"/>
    <w:rsid w:val="7DCC6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8">
    <w:name w:val="Default Paragraph Font"/>
    <w:semiHidden/>
    <w:uiPriority w:val="0"/>
  </w:style>
  <w:style w:type="table" w:default="1" w:styleId="17">
    <w:name w:val="Normal Table"/>
    <w:semiHidden/>
    <w:uiPriority w:val="0"/>
    <w:tblPr>
      <w:tblCellMar>
        <w:top w:w="0" w:type="dxa"/>
        <w:left w:w="108" w:type="dxa"/>
        <w:bottom w:w="0" w:type="dxa"/>
        <w:right w:w="108" w:type="dxa"/>
      </w:tblCellMar>
    </w:tblPr>
  </w:style>
  <w:style w:type="paragraph" w:customStyle="1" w:styleId="2">
    <w:name w:val="Fließtext"/>
    <w:basedOn w:val="1"/>
    <w:qFormat/>
    <w:uiPriority w:val="99"/>
    <w:pPr>
      <w:overflowPunct w:val="0"/>
      <w:autoSpaceDE w:val="0"/>
      <w:autoSpaceDN w:val="0"/>
      <w:adjustRightInd w:val="0"/>
      <w:textAlignment w:val="baseline"/>
    </w:pPr>
    <w:rPr>
      <w:kern w:val="28"/>
      <w:szCs w:val="20"/>
    </w:rPr>
  </w:style>
  <w:style w:type="paragraph" w:styleId="4">
    <w:name w:val="List 3"/>
    <w:basedOn w:val="1"/>
    <w:unhideWhenUsed/>
    <w:qFormat/>
    <w:uiPriority w:val="0"/>
    <w:pPr>
      <w:ind w:left="1260" w:hanging="420"/>
    </w:pPr>
    <w:rPr>
      <w:rFonts w:ascii="Times New Roman" w:hAnsi="Times New Roman"/>
      <w:szCs w:val="20"/>
    </w:rPr>
  </w:style>
  <w:style w:type="paragraph" w:styleId="5">
    <w:name w:val="Normal Indent"/>
    <w:basedOn w:val="1"/>
    <w:qFormat/>
    <w:uiPriority w:val="0"/>
    <w:pPr>
      <w:ind w:firstLine="420"/>
    </w:pPr>
    <w:rPr>
      <w:rFonts w:ascii="宋体" w:hAnsi="宋体"/>
      <w:kern w:val="0"/>
      <w:sz w:val="20"/>
      <w:szCs w:val="20"/>
    </w:rPr>
  </w:style>
  <w:style w:type="paragraph" w:styleId="6">
    <w:name w:val="Body Text"/>
    <w:basedOn w:val="1"/>
    <w:next w:val="1"/>
    <w:qFormat/>
    <w:uiPriority w:val="0"/>
    <w:pPr>
      <w:spacing w:after="120"/>
    </w:pPr>
    <w:rPr>
      <w:szCs w:val="24"/>
    </w:rPr>
  </w:style>
  <w:style w:type="paragraph" w:styleId="7">
    <w:name w:val="Body Text Indent"/>
    <w:basedOn w:val="1"/>
    <w:next w:val="1"/>
    <w:qFormat/>
    <w:uiPriority w:val="0"/>
    <w:pPr>
      <w:spacing w:after="120"/>
      <w:ind w:left="420" w:leftChars="200"/>
    </w:pPr>
    <w:rPr>
      <w:szCs w:val="24"/>
    </w:rPr>
  </w:style>
  <w:style w:type="paragraph" w:styleId="8">
    <w:name w:val="Plain Text"/>
    <w:basedOn w:val="1"/>
    <w:qFormat/>
    <w:uiPriority w:val="0"/>
    <w:rPr>
      <w:rFonts w:ascii="宋体" w:hAnsi="Courier New"/>
      <w:kern w:val="0"/>
      <w:sz w:val="20"/>
      <w:szCs w:val="20"/>
    </w:rPr>
  </w:style>
  <w:style w:type="paragraph" w:styleId="9">
    <w:name w:val="Body Text Indent 2"/>
    <w:basedOn w:val="1"/>
    <w:qFormat/>
    <w:uiPriority w:val="0"/>
    <w:pPr>
      <w:spacing w:after="120" w:line="480" w:lineRule="auto"/>
      <w:ind w:left="420" w:leftChars="200"/>
    </w:pPr>
    <w:rPr>
      <w:szCs w:val="24"/>
    </w:rPr>
  </w:style>
  <w:style w:type="paragraph" w:styleId="10">
    <w:name w:val="footer"/>
    <w:basedOn w:val="1"/>
    <w:unhideWhenUsed/>
    <w:qFormat/>
    <w:uiPriority w:val="0"/>
    <w:pPr>
      <w:tabs>
        <w:tab w:val="center" w:pos="4153"/>
        <w:tab w:val="right" w:pos="8306"/>
      </w:tabs>
      <w:snapToGrid w:val="0"/>
      <w:jc w:val="left"/>
    </w:pPr>
    <w:rPr>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rPr>
      <w:rFonts w:ascii="Times New Roman" w:hAnsi="Times New Roman"/>
      <w:szCs w:val="24"/>
    </w:rPr>
  </w:style>
  <w:style w:type="paragraph" w:styleId="13">
    <w:name w:val="toc 2"/>
    <w:basedOn w:val="1"/>
    <w:next w:val="1"/>
    <w:qFormat/>
    <w:uiPriority w:val="39"/>
    <w:pPr>
      <w:ind w:left="420" w:leftChars="200"/>
    </w:pPr>
    <w:rPr>
      <w:rFonts w:ascii="Times New Roman" w:hAnsi="Times New Roman"/>
      <w:szCs w:val="20"/>
    </w:rPr>
  </w:style>
  <w:style w:type="paragraph" w:styleId="14">
    <w:name w:val="Normal (Web)"/>
    <w:basedOn w:val="1"/>
    <w:unhideWhenUsed/>
    <w:qFormat/>
    <w:uiPriority w:val="0"/>
    <w:rPr>
      <w:rFonts w:ascii="Times New Roman" w:hAnsi="Times New Roman"/>
      <w:sz w:val="24"/>
      <w:szCs w:val="24"/>
    </w:rPr>
  </w:style>
  <w:style w:type="paragraph" w:styleId="15">
    <w:name w:val="Body Text First Indent"/>
    <w:basedOn w:val="6"/>
    <w:qFormat/>
    <w:uiPriority w:val="0"/>
    <w:pPr>
      <w:ind w:firstLine="420" w:firstLineChars="100"/>
    </w:pPr>
    <w:rPr>
      <w:rFonts w:ascii="Times New Roman" w:hAnsi="Times New Roman"/>
    </w:rPr>
  </w:style>
  <w:style w:type="paragraph" w:styleId="16">
    <w:name w:val="Body Text First Indent 2"/>
    <w:basedOn w:val="7"/>
    <w:next w:val="1"/>
    <w:qFormat/>
    <w:uiPriority w:val="0"/>
    <w:pPr>
      <w:ind w:firstLine="420" w:firstLineChars="200"/>
    </w:pPr>
  </w:style>
  <w:style w:type="character" w:styleId="19">
    <w:name w:val="Strong"/>
    <w:basedOn w:val="18"/>
    <w:qFormat/>
    <w:uiPriority w:val="0"/>
    <w:rPr>
      <w:rFonts w:ascii="Times New Roman" w:hAnsi="Times New Roman" w:eastAsia="宋体" w:cs="Times New Roman"/>
      <w:b/>
      <w:bCs/>
    </w:rPr>
  </w:style>
  <w:style w:type="character" w:styleId="20">
    <w:name w:val="page number"/>
    <w:basedOn w:val="18"/>
    <w:qFormat/>
    <w:uiPriority w:val="0"/>
    <w:rPr>
      <w:rFonts w:ascii="Times New Roman" w:hAnsi="Times New Roman" w:eastAsia="宋体" w:cs="Times New Roman"/>
    </w:rPr>
  </w:style>
  <w:style w:type="character" w:styleId="21">
    <w:name w:val="Hyperlink"/>
    <w:basedOn w:val="18"/>
    <w:unhideWhenUsed/>
    <w:qFormat/>
    <w:uiPriority w:val="99"/>
    <w:rPr>
      <w:rFonts w:ascii="Times New Roman" w:hAnsi="Times New Roman" w:eastAsia="宋体" w:cs="Times New Roman"/>
      <w:color w:val="0000FF"/>
      <w:u w:val="single"/>
    </w:rPr>
  </w:style>
  <w:style w:type="paragraph" w:customStyle="1" w:styleId="22">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3">
    <w:name w:val="样式3"/>
    <w:basedOn w:val="8"/>
    <w:qFormat/>
    <w:uiPriority w:val="0"/>
    <w:pPr>
      <w:spacing w:line="0" w:lineRule="atLeast"/>
      <w:outlineLvl w:val="0"/>
    </w:pPr>
    <w:rPr>
      <w:sz w:val="28"/>
    </w:rPr>
  </w:style>
  <w:style w:type="paragraph" w:customStyle="1" w:styleId="24">
    <w:name w:val="Char Char Char Char Char Char Char"/>
    <w:basedOn w:val="1"/>
    <w:qFormat/>
    <w:uiPriority w:val="0"/>
    <w:rPr>
      <w:rFonts w:ascii="Times New Roman" w:hAnsi="Times New Roman"/>
      <w:szCs w:val="24"/>
    </w:rPr>
  </w:style>
  <w:style w:type="paragraph" w:customStyle="1" w:styleId="25">
    <w:name w:val="表头文本"/>
    <w:basedOn w:val="1"/>
    <w:qFormat/>
    <w:uiPriority w:val="0"/>
    <w:pPr>
      <w:autoSpaceDE w:val="0"/>
      <w:autoSpaceDN w:val="0"/>
      <w:adjustRightInd w:val="0"/>
      <w:jc w:val="center"/>
    </w:pPr>
    <w:rPr>
      <w:rFonts w:ascii="Times New Roman" w:hAnsi="Times New Roman"/>
      <w:b/>
      <w:kern w:val="0"/>
      <w:sz w:val="24"/>
      <w:szCs w:val="20"/>
    </w:rPr>
  </w:style>
  <w:style w:type="paragraph" w:customStyle="1" w:styleId="26">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112</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2025-03-28T06:50:01Z</dcterms:created>
  <dc:creator>user</dc:creator>
  <cp:lastModifiedBy>Richael</cp:lastModifiedBy>
  <dcterms:modified xsi:type="dcterms:W3CDTF">2025-03-28T07:00:56Z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eyJoZGlkIjoiMmQyOGQ4ZWUxYTFmMTAzMjkwNmY0OWZjM2ZiMDFlYjMiLCJ1c2VySWQiOiIxNTIxMzQzMTE2In0=</vt:lpwstr>
  </property>
  <property fmtid="{D5CDD505-2E9C-101B-9397-08002B2CF9AE}" pid="4" name="ICV">
    <vt:lpwstr>CE96E06ECC0342B587EC5CF5864D1005_12</vt:lpwstr>
  </property>
</Properties>
</file>