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C313B">
      <w:pPr>
        <w:spacing w:line="360" w:lineRule="auto"/>
        <w:jc w:val="both"/>
        <w:rPr>
          <w:rFonts w:hint="eastAsia" w:ascii="宋体" w:hAnsi="宋体"/>
          <w:b/>
          <w:color w:val="000000" w:themeColor="text1"/>
          <w:sz w:val="72"/>
          <w:highlight w:val="none"/>
          <w14:textFill>
            <w14:solidFill>
              <w14:schemeClr w14:val="tx1"/>
            </w14:solidFill>
          </w14:textFill>
        </w:rPr>
      </w:pPr>
      <w:bookmarkStart w:id="43" w:name="_GoBack"/>
    </w:p>
    <w:p w14:paraId="12218C2F">
      <w:pPr>
        <w:spacing w:line="360" w:lineRule="auto"/>
        <w:jc w:val="center"/>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lang w:val="en-US" w:eastAsia="zh-CN"/>
          <w14:textFill>
            <w14:solidFill>
              <w14:schemeClr w14:val="tx1"/>
            </w14:solidFill>
          </w14:textFill>
        </w:rPr>
        <w:t xml:space="preserve">     </w:t>
      </w:r>
      <w:r>
        <w:rPr>
          <w:rFonts w:hint="eastAsia" w:ascii="宋体" w:hAnsi="宋体"/>
          <w:b/>
          <w:color w:val="000000" w:themeColor="text1"/>
          <w:sz w:val="72"/>
          <w:highlight w:val="none"/>
          <w14:textFill>
            <w14:solidFill>
              <w14:schemeClr w14:val="tx1"/>
            </w14:solidFill>
          </w14:textFill>
        </w:rPr>
        <w:t xml:space="preserve"> </w:t>
      </w:r>
    </w:p>
    <w:p w14:paraId="7B9A3BF5">
      <w:pPr>
        <w:spacing w:line="360" w:lineRule="auto"/>
        <w:ind w:firstLine="1063" w:firstLineChars="147"/>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招</w:t>
      </w:r>
      <w:r>
        <w:rPr>
          <w:rFonts w:ascii="宋体" w:hAnsi="宋体"/>
          <w:b/>
          <w:color w:val="000000" w:themeColor="text1"/>
          <w:sz w:val="72"/>
          <w:highlight w:val="none"/>
          <w14:textFill>
            <w14:solidFill>
              <w14:schemeClr w14:val="tx1"/>
            </w14:solidFill>
          </w14:textFill>
        </w:rPr>
        <w:t xml:space="preserve">   </w:t>
      </w:r>
      <w:r>
        <w:rPr>
          <w:rFonts w:hint="eastAsia" w:ascii="宋体" w:hAnsi="宋体"/>
          <w:b/>
          <w:color w:val="000000" w:themeColor="text1"/>
          <w:sz w:val="72"/>
          <w:highlight w:val="none"/>
          <w14:textFill>
            <w14:solidFill>
              <w14:schemeClr w14:val="tx1"/>
            </w14:solidFill>
          </w14:textFill>
        </w:rPr>
        <w:t>标</w:t>
      </w:r>
      <w:r>
        <w:rPr>
          <w:rFonts w:ascii="宋体" w:hAnsi="宋体"/>
          <w:b/>
          <w:color w:val="000000" w:themeColor="text1"/>
          <w:sz w:val="72"/>
          <w:highlight w:val="none"/>
          <w14:textFill>
            <w14:solidFill>
              <w14:schemeClr w14:val="tx1"/>
            </w14:solidFill>
          </w14:textFill>
        </w:rPr>
        <w:t xml:space="preserve">   </w:t>
      </w:r>
      <w:r>
        <w:rPr>
          <w:rFonts w:hint="eastAsia" w:ascii="宋体" w:hAnsi="宋体"/>
          <w:b/>
          <w:color w:val="000000" w:themeColor="text1"/>
          <w:sz w:val="72"/>
          <w:highlight w:val="none"/>
          <w14:textFill>
            <w14:solidFill>
              <w14:schemeClr w14:val="tx1"/>
            </w14:solidFill>
          </w14:textFill>
        </w:rPr>
        <w:t>文</w:t>
      </w:r>
      <w:r>
        <w:rPr>
          <w:rFonts w:ascii="宋体" w:hAnsi="宋体"/>
          <w:b/>
          <w:color w:val="000000" w:themeColor="text1"/>
          <w:sz w:val="72"/>
          <w:highlight w:val="none"/>
          <w14:textFill>
            <w14:solidFill>
              <w14:schemeClr w14:val="tx1"/>
            </w14:solidFill>
          </w14:textFill>
        </w:rPr>
        <w:t xml:space="preserve">   </w:t>
      </w:r>
      <w:r>
        <w:rPr>
          <w:rFonts w:hint="eastAsia" w:ascii="宋体" w:hAnsi="宋体"/>
          <w:b/>
          <w:color w:val="000000" w:themeColor="text1"/>
          <w:sz w:val="72"/>
          <w:highlight w:val="none"/>
          <w14:textFill>
            <w14:solidFill>
              <w14:schemeClr w14:val="tx1"/>
            </w14:solidFill>
          </w14:textFill>
        </w:rPr>
        <w:t>件</w:t>
      </w:r>
    </w:p>
    <w:p w14:paraId="750C3589">
      <w:pPr>
        <w:spacing w:line="360" w:lineRule="auto"/>
        <w:ind w:firstLine="1438" w:firstLineChars="398"/>
        <w:rPr>
          <w:rFonts w:ascii="宋体" w:hAnsi="宋体"/>
          <w:b/>
          <w:color w:val="000000" w:themeColor="text1"/>
          <w:sz w:val="36"/>
          <w:highlight w:val="none"/>
          <w14:textFill>
            <w14:solidFill>
              <w14:schemeClr w14:val="tx1"/>
            </w14:solidFill>
          </w14:textFill>
        </w:rPr>
      </w:pPr>
    </w:p>
    <w:p w14:paraId="34326FE9">
      <w:pPr>
        <w:spacing w:line="360" w:lineRule="auto"/>
        <w:ind w:firstLine="1438" w:firstLineChars="398"/>
        <w:rPr>
          <w:rFonts w:ascii="宋体" w:hAnsi="宋体"/>
          <w:b/>
          <w:color w:val="000000" w:themeColor="text1"/>
          <w:sz w:val="36"/>
          <w:highlight w:val="none"/>
          <w14:textFill>
            <w14:solidFill>
              <w14:schemeClr w14:val="tx1"/>
            </w14:solidFill>
          </w14:textFill>
        </w:rPr>
      </w:pPr>
    </w:p>
    <w:p w14:paraId="6CA0C459">
      <w:pPr>
        <w:spacing w:line="360" w:lineRule="auto"/>
        <w:ind w:firstLine="1438" w:firstLineChars="398"/>
        <w:rPr>
          <w:rFonts w:ascii="宋体" w:hAnsi="宋体"/>
          <w:b/>
          <w:color w:val="000000" w:themeColor="text1"/>
          <w:sz w:val="36"/>
          <w:highlight w:val="none"/>
          <w14:textFill>
            <w14:solidFill>
              <w14:schemeClr w14:val="tx1"/>
            </w14:solidFill>
          </w14:textFill>
        </w:rPr>
      </w:pPr>
    </w:p>
    <w:p w14:paraId="419AFD76">
      <w:pPr>
        <w:spacing w:line="360" w:lineRule="auto"/>
        <w:ind w:firstLine="1438" w:firstLineChars="398"/>
        <w:rPr>
          <w:rFonts w:ascii="宋体" w:hAnsi="宋体"/>
          <w:b/>
          <w:color w:val="000000" w:themeColor="text1"/>
          <w:sz w:val="36"/>
          <w:highlight w:val="none"/>
          <w14:textFill>
            <w14:solidFill>
              <w14:schemeClr w14:val="tx1"/>
            </w14:solidFill>
          </w14:textFill>
        </w:rPr>
      </w:pPr>
    </w:p>
    <w:p w14:paraId="40F6DA69">
      <w:pPr>
        <w:spacing w:line="360" w:lineRule="auto"/>
        <w:ind w:firstLine="1438" w:firstLineChars="398"/>
        <w:rPr>
          <w:rFonts w:hint="default" w:ascii="宋体" w:hAnsi="宋体" w:eastAsia="宋体"/>
          <w:b/>
          <w:color w:val="000000" w:themeColor="text1"/>
          <w:sz w:val="36"/>
          <w:highlight w:val="none"/>
          <w:u w:val="none"/>
          <w:lang w:val="en-US" w:eastAsia="zh-CN"/>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招</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标</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编</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号：</w:t>
      </w:r>
      <w:r>
        <w:rPr>
          <w:rFonts w:ascii="宋体" w:hAnsi="宋体"/>
          <w:b/>
          <w:color w:val="000000" w:themeColor="text1"/>
          <w:sz w:val="36"/>
          <w:highlight w:val="none"/>
          <w:u w:val="none"/>
          <w14:textFill>
            <w14:solidFill>
              <w14:schemeClr w14:val="tx1"/>
            </w14:solidFill>
          </w14:textFill>
        </w:rPr>
        <w:t>XM</w:t>
      </w:r>
      <w:r>
        <w:rPr>
          <w:rFonts w:hint="eastAsia" w:ascii="宋体" w:hAnsi="宋体"/>
          <w:b/>
          <w:color w:val="000000" w:themeColor="text1"/>
          <w:sz w:val="36"/>
          <w:highlight w:val="none"/>
          <w:u w:val="none"/>
          <w:lang w:eastAsia="zh-CN"/>
          <w14:textFill>
            <w14:solidFill>
              <w14:schemeClr w14:val="tx1"/>
            </w14:solidFill>
          </w14:textFill>
        </w:rPr>
        <w:t>2025</w:t>
      </w:r>
      <w:r>
        <w:rPr>
          <w:rFonts w:ascii="宋体" w:hAnsi="宋体"/>
          <w:b/>
          <w:color w:val="000000" w:themeColor="text1"/>
          <w:sz w:val="36"/>
          <w:highlight w:val="none"/>
          <w:u w:val="none"/>
          <w14:textFill>
            <w14:solidFill>
              <w14:schemeClr w14:val="tx1"/>
            </w14:solidFill>
          </w14:textFill>
        </w:rPr>
        <w:t>-</w:t>
      </w:r>
      <w:r>
        <w:rPr>
          <w:rFonts w:hint="eastAsia" w:ascii="宋体" w:hAnsi="宋体"/>
          <w:b/>
          <w:color w:val="000000" w:themeColor="text1"/>
          <w:sz w:val="36"/>
          <w:highlight w:val="none"/>
          <w:u w:val="none"/>
          <w:lang w:val="en-US" w:eastAsia="zh-CN"/>
          <w14:textFill>
            <w14:solidFill>
              <w14:schemeClr w14:val="tx1"/>
            </w14:solidFill>
          </w14:textFill>
        </w:rPr>
        <w:t>TZ0099</w:t>
      </w:r>
    </w:p>
    <w:p w14:paraId="3459CA7F">
      <w:pPr>
        <w:spacing w:line="360" w:lineRule="auto"/>
        <w:ind w:left="3948" w:leftChars="684" w:hanging="2512" w:hangingChars="69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目</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名</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称：厦门市96166统一门诊预约</w:t>
      </w:r>
    </w:p>
    <w:p w14:paraId="7F94F15D">
      <w:pPr>
        <w:spacing w:line="360" w:lineRule="auto"/>
        <w:ind w:left="0" w:leftChars="0" w:firstLine="3975" w:firstLineChars="1100"/>
        <w:rPr>
          <w:rFonts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热线服务项目</w:t>
      </w:r>
    </w:p>
    <w:p w14:paraId="0F2B9B21">
      <w:pPr>
        <w:spacing w:line="360" w:lineRule="auto"/>
        <w:ind w:firstLine="1438" w:firstLineChars="398"/>
        <w:rPr>
          <w:rFonts w:ascii="宋体" w:hAnsi="宋体"/>
          <w:b/>
          <w:color w:val="000000" w:themeColor="text1"/>
          <w:sz w:val="36"/>
          <w:highlight w:val="none"/>
          <w14:textFill>
            <w14:solidFill>
              <w14:schemeClr w14:val="tx1"/>
            </w14:solidFill>
          </w14:textFill>
        </w:rPr>
      </w:pPr>
    </w:p>
    <w:p w14:paraId="689CD253">
      <w:pPr>
        <w:spacing w:line="360" w:lineRule="auto"/>
        <w:ind w:firstLine="1438" w:firstLineChars="398"/>
        <w:rPr>
          <w:rFonts w:ascii="宋体" w:hAnsi="宋体"/>
          <w:b/>
          <w:color w:val="000000" w:themeColor="text1"/>
          <w:sz w:val="36"/>
          <w:highlight w:val="none"/>
          <w14:textFill>
            <w14:solidFill>
              <w14:schemeClr w14:val="tx1"/>
            </w14:solidFill>
          </w14:textFill>
        </w:rPr>
      </w:pPr>
    </w:p>
    <w:p w14:paraId="4BE7E7EB">
      <w:pPr>
        <w:spacing w:line="360" w:lineRule="auto"/>
        <w:ind w:firstLine="1438" w:firstLineChars="398"/>
        <w:rPr>
          <w:rFonts w:ascii="宋体" w:hAnsi="宋体"/>
          <w:b/>
          <w:color w:val="000000" w:themeColor="text1"/>
          <w:sz w:val="36"/>
          <w:highlight w:val="none"/>
          <w14:textFill>
            <w14:solidFill>
              <w14:schemeClr w14:val="tx1"/>
            </w14:solidFill>
          </w14:textFill>
        </w:rPr>
      </w:pPr>
    </w:p>
    <w:p w14:paraId="191217F0">
      <w:pPr>
        <w:spacing w:line="360" w:lineRule="auto"/>
        <w:ind w:firstLine="1438" w:firstLineChars="398"/>
        <w:rPr>
          <w:rFonts w:ascii="宋体" w:hAnsi="宋体"/>
          <w:b/>
          <w:color w:val="000000" w:themeColor="text1"/>
          <w:sz w:val="36"/>
          <w:highlight w:val="none"/>
          <w14:textFill>
            <w14:solidFill>
              <w14:schemeClr w14:val="tx1"/>
            </w14:solidFill>
          </w14:textFill>
        </w:rPr>
      </w:pPr>
    </w:p>
    <w:p w14:paraId="6E14E286">
      <w:pPr>
        <w:spacing w:line="360" w:lineRule="auto"/>
        <w:ind w:firstLine="1438" w:firstLineChars="398"/>
        <w:rPr>
          <w:rFonts w:ascii="宋体" w:hAnsi="宋体"/>
          <w:b/>
          <w:color w:val="000000" w:themeColor="text1"/>
          <w:sz w:val="36"/>
          <w:highlight w:val="none"/>
          <w14:textFill>
            <w14:solidFill>
              <w14:schemeClr w14:val="tx1"/>
            </w14:solidFill>
          </w14:textFill>
        </w:rPr>
      </w:pPr>
    </w:p>
    <w:p w14:paraId="5A8C8C97">
      <w:pPr>
        <w:pStyle w:val="14"/>
        <w:spacing w:line="360" w:lineRule="auto"/>
        <w:ind w:firstLine="1438" w:firstLineChars="398"/>
        <w:jc w:val="left"/>
        <w:rPr>
          <w:rFonts w:hAnsi="宋体"/>
          <w:b/>
          <w:color w:val="000000" w:themeColor="text1"/>
          <w:spacing w:val="20"/>
          <w:sz w:val="32"/>
          <w:highlight w:val="none"/>
          <w14:textFill>
            <w14:solidFill>
              <w14:schemeClr w14:val="tx1"/>
            </w14:solidFill>
          </w14:textFill>
        </w:rPr>
      </w:pPr>
    </w:p>
    <w:p w14:paraId="580A968F">
      <w:pPr>
        <w:pStyle w:val="14"/>
        <w:spacing w:line="360" w:lineRule="auto"/>
        <w:ind w:firstLine="1438" w:firstLineChars="398"/>
        <w:jc w:val="left"/>
        <w:rPr>
          <w:rFonts w:hint="eastAsia" w:hAnsi="宋体"/>
          <w:b/>
          <w:color w:val="000000" w:themeColor="text1"/>
          <w:spacing w:val="20"/>
          <w:sz w:val="32"/>
          <w:highlight w:val="none"/>
          <w14:textFill>
            <w14:solidFill>
              <w14:schemeClr w14:val="tx1"/>
            </w14:solidFill>
          </w14:textFill>
        </w:rPr>
      </w:pPr>
      <w:r>
        <w:rPr>
          <w:rFonts w:hint="eastAsia" w:hAnsi="宋体"/>
          <w:b/>
          <w:color w:val="000000" w:themeColor="text1"/>
          <w:spacing w:val="20"/>
          <w:sz w:val="32"/>
          <w:highlight w:val="none"/>
          <w14:textFill>
            <w14:solidFill>
              <w14:schemeClr w14:val="tx1"/>
            </w14:solidFill>
          </w14:textFill>
        </w:rPr>
        <w:t>采购人：厦门市健康医疗大数据中心</w:t>
      </w:r>
    </w:p>
    <w:p w14:paraId="45CCB9BD">
      <w:pPr>
        <w:pStyle w:val="14"/>
        <w:spacing w:line="360" w:lineRule="auto"/>
        <w:ind w:firstLine="2883" w:firstLineChars="798"/>
        <w:jc w:val="left"/>
        <w:rPr>
          <w:rFonts w:hAnsi="宋体"/>
          <w:b/>
          <w:bCs/>
          <w:color w:val="000000" w:themeColor="text1"/>
          <w:sz w:val="32"/>
          <w:highlight w:val="none"/>
          <w:u w:val="single"/>
          <w14:textFill>
            <w14:solidFill>
              <w14:schemeClr w14:val="tx1"/>
            </w14:solidFill>
          </w14:textFill>
        </w:rPr>
      </w:pPr>
      <w:r>
        <w:rPr>
          <w:rFonts w:hint="eastAsia" w:hAnsi="宋体"/>
          <w:b/>
          <w:color w:val="000000" w:themeColor="text1"/>
          <w:spacing w:val="20"/>
          <w:sz w:val="32"/>
          <w:highlight w:val="none"/>
          <w14:textFill>
            <w14:solidFill>
              <w14:schemeClr w14:val="tx1"/>
            </w14:solidFill>
          </w14:textFill>
        </w:rPr>
        <w:t>（厦门市医药研究所）</w:t>
      </w:r>
    </w:p>
    <w:p w14:paraId="42874A95">
      <w:pPr>
        <w:pStyle w:val="14"/>
        <w:spacing w:line="360" w:lineRule="auto"/>
        <w:ind w:firstLine="1438" w:firstLineChars="398"/>
        <w:jc w:val="left"/>
        <w:rPr>
          <w:rFonts w:hint="eastAsia" w:hAnsi="宋体"/>
          <w:b/>
          <w:bCs/>
          <w:color w:val="000000" w:themeColor="text1"/>
          <w:sz w:val="32"/>
          <w:highlight w:val="none"/>
          <w14:textFill>
            <w14:solidFill>
              <w14:schemeClr w14:val="tx1"/>
            </w14:solidFill>
          </w14:textFill>
        </w:rPr>
      </w:pPr>
      <w:r>
        <w:rPr>
          <w:rFonts w:hint="eastAsia" w:hAnsi="宋体"/>
          <w:b/>
          <w:color w:val="000000" w:themeColor="text1"/>
          <w:spacing w:val="20"/>
          <w:sz w:val="32"/>
          <w:highlight w:val="none"/>
          <w14:textFill>
            <w14:solidFill>
              <w14:schemeClr w14:val="tx1"/>
            </w14:solidFill>
          </w14:textFill>
        </w:rPr>
        <w:t>招标代理机构：</w:t>
      </w:r>
      <w:r>
        <w:rPr>
          <w:rFonts w:hint="eastAsia" w:hAnsi="宋体"/>
          <w:b/>
          <w:bCs/>
          <w:color w:val="000000" w:themeColor="text1"/>
          <w:sz w:val="32"/>
          <w:highlight w:val="none"/>
          <w14:textFill>
            <w14:solidFill>
              <w14:schemeClr w14:val="tx1"/>
            </w14:solidFill>
          </w14:textFill>
        </w:rPr>
        <w:t>厦门万翔招标有限公司</w:t>
      </w:r>
      <w:r>
        <w:rPr>
          <w:rFonts w:hint="eastAsia" w:hAnsi="宋体"/>
          <w:b/>
          <w:bCs/>
          <w:color w:val="000000" w:themeColor="text1"/>
          <w:spacing w:val="0"/>
          <w:sz w:val="32"/>
          <w:highlight w:val="none"/>
          <w14:textFill>
            <w14:solidFill>
              <w14:schemeClr w14:val="tx1"/>
            </w14:solidFill>
          </w14:textFill>
        </w:rPr>
        <w:t xml:space="preserve"> </w:t>
      </w:r>
    </w:p>
    <w:p w14:paraId="1AED04C7">
      <w:pPr>
        <w:spacing w:line="360" w:lineRule="auto"/>
        <w:ind w:firstLine="1438" w:firstLineChars="398"/>
        <w:rPr>
          <w:rFonts w:ascii="宋体" w:hAnsi="宋体"/>
          <w:b/>
          <w:color w:val="000000" w:themeColor="text1"/>
          <w:sz w:val="36"/>
          <w:highlight w:val="none"/>
          <w14:textFill>
            <w14:solidFill>
              <w14:schemeClr w14:val="tx1"/>
            </w14:solidFill>
          </w14:textFill>
        </w:rPr>
      </w:pPr>
    </w:p>
    <w:p w14:paraId="3A01D04B">
      <w:pPr>
        <w:pStyle w:val="14"/>
        <w:spacing w:line="360" w:lineRule="auto"/>
        <w:jc w:val="center"/>
        <w:outlineLvl w:val="0"/>
        <w:rPr>
          <w:rFonts w:hAnsi="宋体"/>
          <w:b/>
          <w:color w:val="000000" w:themeColor="text1"/>
          <w:sz w:val="32"/>
          <w:highlight w:val="none"/>
          <w14:textFill>
            <w14:solidFill>
              <w14:schemeClr w14:val="tx1"/>
            </w14:solidFill>
          </w14:textFill>
        </w:rPr>
      </w:pPr>
      <w:r>
        <w:rPr>
          <w:rFonts w:hint="eastAsia" w:hAnsi="宋体"/>
          <w:b/>
          <w:color w:val="000000" w:themeColor="text1"/>
          <w:sz w:val="32"/>
          <w:highlight w:val="none"/>
          <w:lang w:eastAsia="zh-CN"/>
          <w14:textFill>
            <w14:solidFill>
              <w14:schemeClr w14:val="tx1"/>
            </w14:solidFill>
          </w14:textFill>
        </w:rPr>
        <w:t>2025</w:t>
      </w:r>
      <w:r>
        <w:rPr>
          <w:rFonts w:hint="eastAsia" w:hAnsi="宋体"/>
          <w:b/>
          <w:color w:val="000000" w:themeColor="text1"/>
          <w:sz w:val="32"/>
          <w:highlight w:val="none"/>
          <w14:textFill>
            <w14:solidFill>
              <w14:schemeClr w14:val="tx1"/>
            </w14:solidFill>
          </w14:textFill>
        </w:rPr>
        <w:t>年</w:t>
      </w:r>
    </w:p>
    <w:p w14:paraId="48E2B284">
      <w:pPr>
        <w:pStyle w:val="14"/>
        <w:spacing w:line="360" w:lineRule="auto"/>
        <w:jc w:val="center"/>
        <w:outlineLvl w:val="0"/>
        <w:rPr>
          <w:rFonts w:hAnsi="宋体"/>
          <w:b/>
          <w:color w:val="000000" w:themeColor="text1"/>
          <w:sz w:val="32"/>
          <w:highlight w:val="none"/>
          <w14:textFill>
            <w14:solidFill>
              <w14:schemeClr w14:val="tx1"/>
            </w14:solidFill>
          </w14:textFill>
        </w:rPr>
      </w:pPr>
    </w:p>
    <w:p w14:paraId="5F07BCAA">
      <w:pPr>
        <w:pStyle w:val="14"/>
        <w:spacing w:line="360" w:lineRule="auto"/>
        <w:jc w:val="center"/>
        <w:outlineLvl w:val="0"/>
        <w:rPr>
          <w:rFonts w:hint="eastAsia" w:hAnsi="宋体"/>
          <w:b/>
          <w:color w:val="000000" w:themeColor="text1"/>
          <w:sz w:val="32"/>
          <w:highlight w:val="none"/>
          <w14:textFill>
            <w14:solidFill>
              <w14:schemeClr w14:val="tx1"/>
            </w14:solidFill>
          </w14:textFill>
        </w:rPr>
      </w:pPr>
    </w:p>
    <w:p w14:paraId="4F8D19E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关于信用贷款的提示</w:t>
      </w:r>
    </w:p>
    <w:p w14:paraId="42C5D5B2">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287F7F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4F8AA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714D2CFB">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327A3D7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7D8DD157">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24D040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2343DEF3">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17768D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75376A92">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3C742B5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44338506">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6099B9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3049651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联系人：张冬梅 13395990009 ；陈韵 13656021986</w:t>
      </w:r>
    </w:p>
    <w:p w14:paraId="11813C8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20DD1BC6">
      <w:pPr>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4FD46927">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62227AC2">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4CBAFAD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5932571">
      <w:pPr>
        <w:pStyle w:val="14"/>
        <w:spacing w:line="360" w:lineRule="auto"/>
        <w:jc w:val="center"/>
        <w:outlineLvl w:val="0"/>
        <w:rPr>
          <w:rFonts w:hint="eastAsia" w:hAnsi="宋体" w:eastAsia="宋体" w:cs="宋体"/>
          <w:b/>
          <w:bCs/>
          <w:color w:val="000000" w:themeColor="text1"/>
          <w:sz w:val="24"/>
          <w:szCs w:val="24"/>
          <w:highlight w:val="none"/>
          <w14:textFill>
            <w14:solidFill>
              <w14:schemeClr w14:val="tx1"/>
            </w14:solidFill>
          </w14:textFill>
        </w:rPr>
      </w:pPr>
      <w:r>
        <w:rPr>
          <w:rFonts w:hint="eastAsia" w:hAnsi="宋体" w:eastAsia="宋体" w:cs="宋体"/>
          <w:b/>
          <w:bCs/>
          <w:color w:val="000000" w:themeColor="text1"/>
          <w:sz w:val="24"/>
          <w:szCs w:val="24"/>
          <w:highlight w:val="none"/>
          <w14:textFill>
            <w14:solidFill>
              <w14:schemeClr w14:val="tx1"/>
            </w14:solidFill>
          </w14:textFill>
        </w:rPr>
        <w:t xml:space="preserve">  </w:t>
      </w:r>
    </w:p>
    <w:p w14:paraId="59EBE4E3">
      <w:pPr>
        <w:pStyle w:val="14"/>
        <w:spacing w:line="360" w:lineRule="auto"/>
        <w:jc w:val="both"/>
        <w:outlineLvl w:val="0"/>
        <w:rPr>
          <w:rFonts w:hint="eastAsia" w:hAnsi="宋体" w:eastAsia="宋体" w:cs="宋体"/>
          <w:b/>
          <w:bCs/>
          <w:color w:val="000000" w:themeColor="text1"/>
          <w:sz w:val="24"/>
          <w:szCs w:val="24"/>
          <w:highlight w:val="none"/>
          <w14:textFill>
            <w14:solidFill>
              <w14:schemeClr w14:val="tx1"/>
            </w14:solidFill>
          </w14:textFill>
        </w:rPr>
      </w:pPr>
    </w:p>
    <w:p w14:paraId="7DDCF2B6">
      <w:pPr>
        <w:pStyle w:val="14"/>
        <w:spacing w:line="360" w:lineRule="auto"/>
        <w:jc w:val="center"/>
        <w:outlineLvl w:val="0"/>
        <w:rPr>
          <w:rFonts w:hint="eastAsia" w:hAnsi="宋体" w:eastAsia="宋体" w:cs="宋体"/>
          <w:b/>
          <w:bCs/>
          <w:color w:val="000000" w:themeColor="text1"/>
          <w:sz w:val="24"/>
          <w:szCs w:val="24"/>
          <w:highlight w:val="none"/>
          <w14:textFill>
            <w14:solidFill>
              <w14:schemeClr w14:val="tx1"/>
            </w14:solidFill>
          </w14:textFill>
        </w:rPr>
      </w:pPr>
      <w:r>
        <w:rPr>
          <w:rFonts w:hint="eastAsia" w:hAnsi="宋体" w:eastAsia="宋体" w:cs="宋体"/>
          <w:b/>
          <w:bCs/>
          <w:color w:val="000000" w:themeColor="text1"/>
          <w:sz w:val="32"/>
          <w:szCs w:val="32"/>
          <w:highlight w:val="none"/>
          <w14:textFill>
            <w14:solidFill>
              <w14:schemeClr w14:val="tx1"/>
            </w14:solidFill>
          </w14:textFill>
        </w:rPr>
        <w:t>目   录</w:t>
      </w:r>
    </w:p>
    <w:p w14:paraId="69ACBC20">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222FC8">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第一章    投标邀请 ……………………………………………1</w:t>
      </w:r>
    </w:p>
    <w:p w14:paraId="3AEED030">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投标邀请函………………………………………………1-1</w:t>
      </w:r>
    </w:p>
    <w:p w14:paraId="21A93ABD">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第二章   投标人须知  …………………………………………2</w:t>
      </w:r>
    </w:p>
    <w:p w14:paraId="5BDD7C99">
      <w:pPr>
        <w:spacing w:line="360" w:lineRule="auto"/>
        <w:ind w:firstLine="240" w:firstLineChars="1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投标人须知前附表1、2、3、4</w:t>
      </w:r>
      <w:r>
        <w:rPr>
          <w:rFonts w:hint="eastAsia" w:ascii="宋体" w:hAnsi="宋体" w:eastAsia="宋体" w:cs="宋体"/>
          <w:color w:val="000000" w:themeColor="text1"/>
          <w:sz w:val="24"/>
          <w:szCs w:val="24"/>
          <w:highlight w:val="none"/>
          <w14:textFill>
            <w14:solidFill>
              <w14:schemeClr w14:val="tx1"/>
            </w14:solidFill>
          </w14:textFill>
        </w:rPr>
        <w:t>………………………………… 2-1-1</w:t>
      </w:r>
    </w:p>
    <w:p w14:paraId="48CF2926">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 说明 ……………………………………………………… 2-2-1</w:t>
      </w:r>
    </w:p>
    <w:p w14:paraId="0A0BAD3C">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 招标文件 ………………………………………………… 2-2-</w:t>
      </w:r>
      <w:r>
        <w:rPr>
          <w:rFonts w:hint="eastAsia" w:ascii="宋体" w:hAnsi="宋体" w:cs="宋体"/>
          <w:color w:val="000000" w:themeColor="text1"/>
          <w:sz w:val="24"/>
          <w:szCs w:val="24"/>
          <w:highlight w:val="none"/>
          <w:lang w:val="en-US" w:eastAsia="zh-CN"/>
          <w14:textFill>
            <w14:solidFill>
              <w14:schemeClr w14:val="tx1"/>
            </w14:solidFill>
          </w14:textFill>
        </w:rPr>
        <w:t>3</w:t>
      </w:r>
    </w:p>
    <w:p w14:paraId="59357A61">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 投标文件的编写 ………………………………………… 2-2-</w:t>
      </w:r>
      <w:r>
        <w:rPr>
          <w:rFonts w:hint="eastAsia" w:ascii="宋体" w:hAnsi="宋体" w:cs="宋体"/>
          <w:color w:val="000000" w:themeColor="text1"/>
          <w:sz w:val="24"/>
          <w:szCs w:val="24"/>
          <w:highlight w:val="none"/>
          <w:lang w:val="en-US" w:eastAsia="zh-CN"/>
          <w14:textFill>
            <w14:solidFill>
              <w14:schemeClr w14:val="tx1"/>
            </w14:solidFill>
          </w14:textFill>
        </w:rPr>
        <w:t>4</w:t>
      </w:r>
    </w:p>
    <w:p w14:paraId="79B739F9">
      <w:pPr>
        <w:spacing w:line="360" w:lineRule="auto"/>
        <w:ind w:firstLine="240" w:firstLineChars="1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 投标文件的提交 ……………………………………… 2-2-</w:t>
      </w:r>
      <w:r>
        <w:rPr>
          <w:rFonts w:hint="eastAsia" w:ascii="宋体" w:hAnsi="宋体" w:cs="宋体"/>
          <w:color w:val="000000" w:themeColor="text1"/>
          <w:sz w:val="24"/>
          <w:szCs w:val="24"/>
          <w:highlight w:val="none"/>
          <w:lang w:val="en-US" w:eastAsia="zh-CN"/>
          <w14:textFill>
            <w14:solidFill>
              <w14:schemeClr w14:val="tx1"/>
            </w14:solidFill>
          </w14:textFill>
        </w:rPr>
        <w:t>7</w:t>
      </w:r>
    </w:p>
    <w:p w14:paraId="505B963A">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 投标文件的评估和比较 ……………………………… 2-2-</w:t>
      </w:r>
      <w:r>
        <w:rPr>
          <w:rFonts w:hint="eastAsia" w:ascii="宋体" w:hAnsi="宋体" w:cs="宋体"/>
          <w:color w:val="000000" w:themeColor="text1"/>
          <w:sz w:val="24"/>
          <w:szCs w:val="24"/>
          <w:highlight w:val="none"/>
          <w:lang w:val="en-US" w:eastAsia="zh-CN"/>
          <w14:textFill>
            <w14:solidFill>
              <w14:schemeClr w14:val="tx1"/>
            </w14:solidFill>
          </w14:textFill>
        </w:rPr>
        <w:t>8</w:t>
      </w:r>
    </w:p>
    <w:p w14:paraId="282C7BEB">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 定标与签订合同………………………………………… 2-2-1</w:t>
      </w:r>
      <w:r>
        <w:rPr>
          <w:rFonts w:hint="eastAsia" w:ascii="宋体" w:hAnsi="宋体" w:cs="宋体"/>
          <w:color w:val="000000" w:themeColor="text1"/>
          <w:sz w:val="24"/>
          <w:szCs w:val="24"/>
          <w:highlight w:val="none"/>
          <w:lang w:val="en-US" w:eastAsia="zh-CN"/>
          <w14:textFill>
            <w14:solidFill>
              <w14:schemeClr w14:val="tx1"/>
            </w14:solidFill>
          </w14:textFill>
        </w:rPr>
        <w:t>1</w:t>
      </w:r>
    </w:p>
    <w:p w14:paraId="16E9C3F2">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第三章    招标内容及要求  …………………………………3-1</w:t>
      </w:r>
    </w:p>
    <w:p w14:paraId="31558DC7">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第四章    政府</w:t>
      </w:r>
      <w:r>
        <w:rPr>
          <w:rFonts w:hint="eastAsia" w:ascii="宋体" w:hAnsi="宋体" w:eastAsia="宋体" w:cs="宋体"/>
          <w:bCs/>
          <w:color w:val="000000" w:themeColor="text1"/>
          <w:sz w:val="24"/>
          <w:szCs w:val="24"/>
          <w:highlight w:val="none"/>
          <w14:textFill>
            <w14:solidFill>
              <w14:schemeClr w14:val="tx1"/>
            </w14:solidFill>
          </w14:textFill>
        </w:rPr>
        <w:t xml:space="preserve">采购合同 </w:t>
      </w:r>
      <w:r>
        <w:rPr>
          <w:rFonts w:hint="eastAsia" w:ascii="宋体" w:hAnsi="宋体" w:eastAsia="宋体" w:cs="宋体"/>
          <w:color w:val="000000" w:themeColor="text1"/>
          <w:sz w:val="24"/>
          <w:szCs w:val="24"/>
          <w:highlight w:val="none"/>
          <w14:textFill>
            <w14:solidFill>
              <w14:schemeClr w14:val="tx1"/>
            </w14:solidFill>
          </w14:textFill>
        </w:rPr>
        <w:t>……………………………………4-1</w:t>
      </w:r>
    </w:p>
    <w:p w14:paraId="7440F6BD">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第五章    投标文件格式 ……………………………………5-1</w:t>
      </w:r>
    </w:p>
    <w:p w14:paraId="7B6C4BB1">
      <w:pPr>
        <w:pStyle w:val="2"/>
        <w:spacing w:line="360" w:lineRule="auto"/>
        <w:ind w:firstLine="2250" w:firstLineChars="934"/>
        <w:rPr>
          <w:rFonts w:hint="eastAsia" w:ascii="宋体" w:hAnsi="宋体" w:eastAsia="宋体" w:cs="宋体"/>
          <w:b/>
          <w:color w:val="000000" w:themeColor="text1"/>
          <w:sz w:val="24"/>
          <w:szCs w:val="24"/>
          <w:highlight w:val="none"/>
          <w:u w:val="single"/>
          <w14:textFill>
            <w14:solidFill>
              <w14:schemeClr w14:val="tx1"/>
            </w14:solidFill>
          </w14:textFill>
        </w:rPr>
        <w:sectPr>
          <w:footerReference r:id="rId5" w:type="first"/>
          <w:headerReference r:id="rId3" w:type="default"/>
          <w:footerReference r:id="rId4" w:type="default"/>
          <w:pgSz w:w="11906" w:h="16838"/>
          <w:pgMar w:top="1440" w:right="1800" w:bottom="1440" w:left="1800" w:header="851" w:footer="992" w:gutter="0"/>
          <w:cols w:space="720" w:num="1"/>
          <w:docGrid w:type="lines" w:linePitch="312" w:charSpace="0"/>
        </w:sectPr>
      </w:pPr>
    </w:p>
    <w:p w14:paraId="3BA683EB">
      <w:pPr>
        <w:pStyle w:val="47"/>
        <w:spacing w:line="360" w:lineRule="auto"/>
        <w:jc w:val="center"/>
        <w:rPr>
          <w:rFonts w:hint="eastAsia" w:hAnsi="宋体" w:eastAsia="宋体" w:cs="宋体"/>
          <w:b/>
          <w:bCs/>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第一章  投标邀请函</w:t>
      </w:r>
    </w:p>
    <w:p w14:paraId="5ACD41A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受【</w:t>
      </w:r>
      <w:r>
        <w:rPr>
          <w:rFonts w:hint="eastAsia" w:ascii="宋体" w:hAnsi="宋体" w:eastAsia="宋体" w:cs="宋体"/>
          <w:b/>
          <w:color w:val="000000" w:themeColor="text1"/>
          <w:sz w:val="24"/>
          <w:szCs w:val="24"/>
          <w:highlight w:val="none"/>
          <w:u w:val="single"/>
          <w14:textFill>
            <w14:solidFill>
              <w14:schemeClr w14:val="tx1"/>
            </w14:solidFill>
          </w14:textFill>
        </w:rPr>
        <w:t>采购人厦门市健康医疗大数据中心（厦门市医药研究所）】</w:t>
      </w:r>
      <w:r>
        <w:rPr>
          <w:rFonts w:hint="eastAsia" w:ascii="宋体" w:hAnsi="宋体" w:eastAsia="宋体" w:cs="宋体"/>
          <w:color w:val="000000" w:themeColor="text1"/>
          <w:sz w:val="24"/>
          <w:szCs w:val="24"/>
          <w:highlight w:val="none"/>
          <w14:textFill>
            <w14:solidFill>
              <w14:schemeClr w14:val="tx1"/>
            </w14:solidFill>
          </w14:textFill>
        </w:rPr>
        <w:t>委托，</w:t>
      </w: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cs="宋体"/>
          <w:color w:val="000000" w:themeColor="text1"/>
          <w:sz w:val="24"/>
          <w:szCs w:val="24"/>
          <w:highlight w:val="none"/>
          <w14:textFill>
            <w14:solidFill>
              <w14:schemeClr w14:val="tx1"/>
            </w14:solidFill>
          </w14:textFill>
        </w:rPr>
        <w:t>厦门市96166统一门诊预约热线服务项目</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服务进行国内公开招标，现欢迎国内合格的投标人前来投标。</w:t>
      </w:r>
    </w:p>
    <w:p w14:paraId="4FA6D760">
      <w:pPr>
        <w:spacing w:line="360" w:lineRule="auto"/>
        <w:ind w:firstLine="360" w:firstLineChars="1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1、招标编号：</w:t>
      </w:r>
      <w:r>
        <w:rPr>
          <w:rFonts w:hint="eastAsia" w:ascii="宋体" w:hAnsi="宋体" w:eastAsia="宋体" w:cs="宋体"/>
          <w:color w:val="000000" w:themeColor="text1"/>
          <w:sz w:val="24"/>
          <w:szCs w:val="24"/>
          <w:highlight w:val="none"/>
          <w:u w:val="single"/>
          <w14:textFill>
            <w14:solidFill>
              <w14:schemeClr w14:val="tx1"/>
            </w14:solidFill>
          </w14:textFill>
        </w:rPr>
        <w:t>XM</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TZ0099</w:t>
      </w:r>
      <w:r>
        <w:rPr>
          <w:rFonts w:hint="eastAsia" w:ascii="宋体" w:hAnsi="宋体" w:eastAsia="宋体" w:cs="宋体"/>
          <w:color w:val="000000" w:themeColor="text1"/>
          <w:sz w:val="24"/>
          <w:szCs w:val="24"/>
          <w:highlight w:val="none"/>
          <w:u w:val="single"/>
          <w14:textFill>
            <w14:solidFill>
              <w14:schemeClr w14:val="tx1"/>
            </w14:solidFill>
          </w14:textFill>
        </w:rPr>
        <w:t>。</w:t>
      </w:r>
    </w:p>
    <w:p w14:paraId="527F1F88">
      <w:pPr>
        <w:spacing w:line="360" w:lineRule="auto"/>
        <w:ind w:firstLine="318" w:firstLineChars="150"/>
        <w:rPr>
          <w:rFonts w:hint="eastAsia" w:ascii="宋体" w:hAnsi="宋体" w:eastAsia="宋体" w:cs="宋体"/>
          <w:color w:val="000000" w:themeColor="text1"/>
          <w:spacing w:val="-14"/>
          <w:sz w:val="24"/>
          <w:szCs w:val="24"/>
          <w:highlight w:val="none"/>
          <w14:textFill>
            <w14:solidFill>
              <w14:schemeClr w14:val="tx1"/>
            </w14:solidFill>
          </w14:textFill>
        </w:rPr>
      </w:pPr>
      <w:r>
        <w:rPr>
          <w:rFonts w:hint="eastAsia" w:ascii="宋体" w:hAnsi="宋体" w:eastAsia="宋体" w:cs="宋体"/>
          <w:color w:val="000000" w:themeColor="text1"/>
          <w:spacing w:val="-14"/>
          <w:sz w:val="24"/>
          <w:szCs w:val="24"/>
          <w:highlight w:val="none"/>
          <w14:textFill>
            <w14:solidFill>
              <w14:schemeClr w14:val="tx1"/>
            </w14:solidFill>
          </w14:textFill>
        </w:rPr>
        <w:t>2、招标服务名称、数量及主要技术规格：见后</w:t>
      </w:r>
      <w:r>
        <w:rPr>
          <w:rFonts w:hint="eastAsia" w:ascii="宋体" w:hAnsi="宋体" w:eastAsia="宋体" w:cs="宋体"/>
          <w:color w:val="000000" w:themeColor="text1"/>
          <w:sz w:val="24"/>
          <w:szCs w:val="24"/>
          <w:highlight w:val="none"/>
          <w14:textFill>
            <w14:solidFill>
              <w14:schemeClr w14:val="tx1"/>
            </w14:solidFill>
          </w14:textFill>
        </w:rPr>
        <w:t>附招标</w:t>
      </w:r>
      <w:r>
        <w:rPr>
          <w:rFonts w:hint="eastAsia" w:ascii="宋体" w:hAnsi="宋体" w:eastAsia="宋体" w:cs="宋体"/>
          <w:color w:val="000000" w:themeColor="text1"/>
          <w:spacing w:val="-14"/>
          <w:sz w:val="24"/>
          <w:szCs w:val="24"/>
          <w:highlight w:val="none"/>
          <w14:textFill>
            <w14:solidFill>
              <w14:schemeClr w14:val="tx1"/>
            </w14:solidFill>
          </w14:textFill>
        </w:rPr>
        <w:t>服务</w:t>
      </w:r>
      <w:r>
        <w:rPr>
          <w:rFonts w:hint="eastAsia" w:ascii="宋体" w:hAnsi="宋体" w:eastAsia="宋体" w:cs="宋体"/>
          <w:color w:val="000000" w:themeColor="text1"/>
          <w:sz w:val="24"/>
          <w:szCs w:val="24"/>
          <w:highlight w:val="none"/>
          <w14:textFill>
            <w14:solidFill>
              <w14:schemeClr w14:val="tx1"/>
            </w14:solidFill>
          </w14:textFill>
        </w:rPr>
        <w:t>一览表。</w:t>
      </w:r>
    </w:p>
    <w:p w14:paraId="2EC7D2BC">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3、招标文件获取方式：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14:textFill>
            <w14:solidFill>
              <w14:schemeClr w14:val="tx1"/>
            </w14:solidFill>
          </w14:textFill>
        </w:rPr>
        <w:t xml:space="preserve">年 </w:t>
      </w:r>
      <w:r>
        <w:rPr>
          <w:rFonts w:hint="eastAsia" w:ascii="宋体" w:hAnsi="宋体" w:cs="宋体"/>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 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14:textFill>
            <w14:solidFill>
              <w14:schemeClr w14:val="tx1"/>
            </w14:solidFill>
          </w14:textFill>
        </w:rPr>
        <w:t xml:space="preserve">年 </w:t>
      </w: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23</w:t>
      </w:r>
      <w:r>
        <w:rPr>
          <w:rFonts w:hint="eastAsia" w:ascii="宋体" w:hAnsi="宋体" w:eastAsia="宋体" w:cs="宋体"/>
          <w:color w:val="000000" w:themeColor="text1"/>
          <w:sz w:val="24"/>
          <w:szCs w:val="24"/>
          <w:highlight w:val="none"/>
          <w14:textFill>
            <w14:solidFill>
              <w14:schemeClr w14:val="tx1"/>
            </w14:solidFill>
          </w14:textFill>
        </w:rPr>
        <w:t xml:space="preserve"> 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购买招标文件，联系人及电话：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676469C0">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4、招标文件售价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每个合同包</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w:t>
      </w:r>
      <w:r>
        <w:rPr>
          <w:rFonts w:hint="eastAsia" w:hAnsi="宋体" w:eastAsia="宋体" w:cs="宋体"/>
          <w:color w:val="000000" w:themeColor="text1"/>
          <w:sz w:val="24"/>
          <w:szCs w:val="24"/>
          <w:highlight w:val="none"/>
          <w14:textFill>
            <w14:solidFill>
              <w14:schemeClr w14:val="tx1"/>
            </w14:solidFill>
          </w14:textFill>
        </w:rPr>
        <w:t>，售后不退。</w:t>
      </w:r>
    </w:p>
    <w:p w14:paraId="2779760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5、投标截止时间、地点：投标文件应于</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14:textFill>
            <w14:solidFill>
              <w14:schemeClr w14:val="tx1"/>
            </w14:solidFill>
          </w14:textFill>
        </w:rPr>
        <w:t xml:space="preserve">年 </w:t>
      </w: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 xml:space="preserve"> 月 </w:t>
      </w:r>
      <w:r>
        <w:rPr>
          <w:rFonts w:hint="eastAsia" w:ascii="宋体" w:hAnsi="宋体" w:cs="宋体"/>
          <w:color w:val="000000" w:themeColor="text1"/>
          <w:sz w:val="24"/>
          <w:szCs w:val="24"/>
          <w:highlight w:val="none"/>
          <w:lang w:val="en-US" w:eastAsia="zh-CN"/>
          <w14:textFill>
            <w14:solidFill>
              <w14:schemeClr w14:val="tx1"/>
            </w14:solidFill>
          </w14:textFill>
        </w:rPr>
        <w:t>24</w:t>
      </w:r>
      <w:r>
        <w:rPr>
          <w:rFonts w:hint="eastAsia" w:ascii="宋体" w:hAnsi="宋体" w:eastAsia="宋体" w:cs="宋体"/>
          <w:color w:val="000000" w:themeColor="text1"/>
          <w:sz w:val="24"/>
          <w:szCs w:val="24"/>
          <w:highlight w:val="none"/>
          <w14:textFill>
            <w14:solidFill>
              <w14:schemeClr w14:val="tx1"/>
            </w14:solidFill>
          </w14:textFill>
        </w:rPr>
        <w:t xml:space="preserve"> 日上午9：00（北京时间）之前提交到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。逾期收到的或不符合规定的投标文件将被拒绝。</w:t>
      </w:r>
    </w:p>
    <w:p w14:paraId="6BDB946F">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6、开标时间、地点: </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14:textFill>
            <w14:solidFill>
              <w14:schemeClr w14:val="tx1"/>
            </w14:solidFill>
          </w14:textFill>
        </w:rPr>
        <w:t xml:space="preserve">年 </w:t>
      </w: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 xml:space="preserve"> 月 </w:t>
      </w:r>
      <w:r>
        <w:rPr>
          <w:rFonts w:hint="eastAsia" w:ascii="宋体" w:hAnsi="宋体" w:cs="宋体"/>
          <w:color w:val="000000" w:themeColor="text1"/>
          <w:sz w:val="24"/>
          <w:szCs w:val="24"/>
          <w:highlight w:val="none"/>
          <w:lang w:val="en-US" w:eastAsia="zh-CN"/>
          <w14:textFill>
            <w14:solidFill>
              <w14:schemeClr w14:val="tx1"/>
            </w14:solidFill>
          </w14:textFill>
        </w:rPr>
        <w:t>24</w:t>
      </w:r>
      <w:r>
        <w:rPr>
          <w:rFonts w:hint="eastAsia" w:ascii="宋体" w:hAnsi="宋体" w:eastAsia="宋体" w:cs="宋体"/>
          <w:color w:val="000000" w:themeColor="text1"/>
          <w:sz w:val="24"/>
          <w:szCs w:val="24"/>
          <w:highlight w:val="none"/>
          <w14:textFill>
            <w14:solidFill>
              <w14:schemeClr w14:val="tx1"/>
            </w14:solidFill>
          </w14:textFill>
        </w:rPr>
        <w:t xml:space="preserve"> 日上午9：00（北京时间）于</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w:t>
      </w:r>
    </w:p>
    <w:p w14:paraId="2507BBFC">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7、本项目（不接受）联合体投标。</w:t>
      </w:r>
    </w:p>
    <w:p w14:paraId="166A23BA">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8、招标文件如有变更，</w:t>
      </w: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bCs/>
          <w:color w:val="000000" w:themeColor="text1"/>
          <w:sz w:val="24"/>
          <w:szCs w:val="24"/>
          <w:highlight w:val="none"/>
          <w14:textFill>
            <w14:solidFill>
              <w14:schemeClr w14:val="tx1"/>
            </w14:solidFill>
          </w14:textFill>
        </w:rPr>
        <w:t>将通过厦门招投标网（</w:t>
      </w:r>
      <w:r>
        <w:rPr>
          <w:rFonts w:hint="eastAsia" w:ascii="宋体" w:hAnsi="宋体" w:eastAsia="宋体" w:cs="宋体"/>
          <w:color w:val="000000" w:themeColor="text1"/>
          <w:sz w:val="24"/>
          <w:szCs w:val="24"/>
          <w:highlight w:val="none"/>
          <w14:textFill>
            <w14:solidFill>
              <w14:schemeClr w14:val="tx1"/>
            </w14:solidFill>
          </w14:textFill>
        </w:rPr>
        <w:t>www.xmztb.com</w:t>
      </w:r>
      <w:r>
        <w:rPr>
          <w:rFonts w:hint="eastAsia" w:ascii="宋体" w:hAnsi="宋体" w:eastAsia="宋体" w:cs="宋体"/>
          <w:bCs/>
          <w:color w:val="000000" w:themeColor="text1"/>
          <w:sz w:val="24"/>
          <w:szCs w:val="24"/>
          <w:highlight w:val="none"/>
          <w14:textFill>
            <w14:solidFill>
              <w14:schemeClr w14:val="tx1"/>
            </w14:solidFill>
          </w14:textFill>
        </w:rPr>
        <w:t>）等媒体发布通知信息，请投标人关注</w:t>
      </w:r>
      <w:r>
        <w:rPr>
          <w:rFonts w:hint="eastAsia" w:ascii="宋体" w:hAnsi="宋体" w:eastAsia="宋体" w:cs="宋体"/>
          <w:color w:val="000000" w:themeColor="text1"/>
          <w:sz w:val="24"/>
          <w:szCs w:val="24"/>
          <w:highlight w:val="none"/>
          <w14:textFill>
            <w14:solidFill>
              <w14:schemeClr w14:val="tx1"/>
            </w14:solidFill>
          </w14:textFill>
        </w:rPr>
        <w:t>。</w:t>
      </w:r>
    </w:p>
    <w:p w14:paraId="685B1E1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9、友情提醒：本项目仅限网下购买招标文件，投标人必须按招标文件要求递交纸质投标文件。 </w:t>
      </w:r>
    </w:p>
    <w:p w14:paraId="676A3C31">
      <w:pPr>
        <w:spacing w:line="360" w:lineRule="auto"/>
        <w:ind w:firstLine="240" w:firstLineChars="1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10、投标人对本次招标活动事项提出疑问的，请在投标截止时间十五日之前，与招标代理机构联系。来函请加盖单位公章，并提供联系人、联系电话及传真号码。</w:t>
      </w:r>
    </w:p>
    <w:p w14:paraId="182DDC95">
      <w:pPr>
        <w:spacing w:line="360" w:lineRule="auto"/>
        <w:ind w:firstLine="361" w:firstLineChars="1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11、为方便开标唱标，投标人应将开标一览表原件和投标保证金缴交凭证单独密封，并在信封上标明“开标一览表”字样，然后再装入投标文件密封袋中密封。</w:t>
      </w:r>
    </w:p>
    <w:p w14:paraId="3881F3E0">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12、各有关联系方式</w:t>
      </w:r>
    </w:p>
    <w:tbl>
      <w:tblPr>
        <w:tblStyle w:val="23"/>
        <w:tblW w:w="907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42"/>
        <w:gridCol w:w="1409"/>
        <w:gridCol w:w="1178"/>
        <w:gridCol w:w="2784"/>
        <w:gridCol w:w="2961"/>
      </w:tblGrid>
      <w:tr w14:paraId="3A19FA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742" w:type="dxa"/>
            <w:noWrap w:val="0"/>
            <w:vAlign w:val="center"/>
          </w:tcPr>
          <w:p w14:paraId="54A9FC9E">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409" w:type="dxa"/>
            <w:noWrap w:val="0"/>
            <w:vAlign w:val="center"/>
          </w:tcPr>
          <w:p w14:paraId="70E6C479">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178" w:type="dxa"/>
            <w:noWrap w:val="0"/>
            <w:vAlign w:val="center"/>
          </w:tcPr>
          <w:p w14:paraId="6E40D1BA">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784" w:type="dxa"/>
            <w:noWrap w:val="0"/>
            <w:vAlign w:val="center"/>
          </w:tcPr>
          <w:p w14:paraId="1FCB7DA5">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961" w:type="dxa"/>
            <w:noWrap w:val="0"/>
            <w:vAlign w:val="center"/>
          </w:tcPr>
          <w:p w14:paraId="6F9403EF">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35FF5D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42" w:type="dxa"/>
            <w:noWrap w:val="0"/>
            <w:vAlign w:val="center"/>
          </w:tcPr>
          <w:p w14:paraId="2824E1C7">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409" w:type="dxa"/>
            <w:noWrap w:val="0"/>
            <w:vAlign w:val="center"/>
          </w:tcPr>
          <w:p w14:paraId="5910509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178" w:type="dxa"/>
            <w:noWrap w:val="0"/>
            <w:vAlign w:val="center"/>
          </w:tcPr>
          <w:p w14:paraId="3745FECD">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784" w:type="dxa"/>
            <w:noWrap w:val="0"/>
            <w:vAlign w:val="center"/>
          </w:tcPr>
          <w:p w14:paraId="4E122DF0">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负责招标文件的咨询、答疑等工作</w:t>
            </w:r>
          </w:p>
        </w:tc>
        <w:tc>
          <w:tcPr>
            <w:tcW w:w="2961" w:type="dxa"/>
            <w:noWrap w:val="0"/>
            <w:vAlign w:val="center"/>
          </w:tcPr>
          <w:p w14:paraId="66954598">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652E7197">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74BA00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42" w:type="dxa"/>
            <w:noWrap w:val="0"/>
            <w:vAlign w:val="center"/>
          </w:tcPr>
          <w:p w14:paraId="354EBC6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409" w:type="dxa"/>
            <w:noWrap w:val="0"/>
            <w:vAlign w:val="center"/>
          </w:tcPr>
          <w:p w14:paraId="4F3BA47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178" w:type="dxa"/>
            <w:noWrap w:val="0"/>
            <w:vAlign w:val="center"/>
          </w:tcPr>
          <w:p w14:paraId="2BA5E5D5">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784" w:type="dxa"/>
            <w:noWrap w:val="0"/>
            <w:vAlign w:val="center"/>
          </w:tcPr>
          <w:p w14:paraId="17241278">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负责受理招标文件出售（邮寄）</w:t>
            </w:r>
          </w:p>
        </w:tc>
        <w:tc>
          <w:tcPr>
            <w:tcW w:w="2961" w:type="dxa"/>
            <w:noWrap w:val="0"/>
            <w:vAlign w:val="center"/>
          </w:tcPr>
          <w:p w14:paraId="3908C04E">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31834375">
            <w:pPr>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30EB7B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42" w:type="dxa"/>
            <w:noWrap w:val="0"/>
            <w:vAlign w:val="center"/>
          </w:tcPr>
          <w:p w14:paraId="3594E85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409" w:type="dxa"/>
            <w:noWrap w:val="0"/>
            <w:vAlign w:val="center"/>
          </w:tcPr>
          <w:p w14:paraId="6721C91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投标保证金</w:t>
            </w:r>
          </w:p>
        </w:tc>
        <w:tc>
          <w:tcPr>
            <w:tcW w:w="1178" w:type="dxa"/>
            <w:noWrap w:val="0"/>
            <w:vAlign w:val="center"/>
          </w:tcPr>
          <w:p w14:paraId="3679621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784" w:type="dxa"/>
            <w:noWrap w:val="0"/>
            <w:vAlign w:val="center"/>
          </w:tcPr>
          <w:p w14:paraId="45FE1F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投标保证金收、退</w:t>
            </w:r>
          </w:p>
        </w:tc>
        <w:tc>
          <w:tcPr>
            <w:tcW w:w="2961" w:type="dxa"/>
            <w:noWrap w:val="0"/>
            <w:vAlign w:val="center"/>
          </w:tcPr>
          <w:p w14:paraId="1593DD98">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53EC53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42" w:type="dxa"/>
            <w:noWrap w:val="0"/>
            <w:vAlign w:val="center"/>
          </w:tcPr>
          <w:p w14:paraId="082AAC75">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409" w:type="dxa"/>
            <w:noWrap w:val="0"/>
            <w:vAlign w:val="center"/>
          </w:tcPr>
          <w:p w14:paraId="57D95D5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178" w:type="dxa"/>
            <w:noWrap w:val="0"/>
            <w:vAlign w:val="center"/>
          </w:tcPr>
          <w:p w14:paraId="3B2E721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784" w:type="dxa"/>
            <w:noWrap w:val="0"/>
            <w:vAlign w:val="center"/>
          </w:tcPr>
          <w:p w14:paraId="7535DB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文件费、投标保证金到账咨询</w:t>
            </w:r>
          </w:p>
        </w:tc>
        <w:tc>
          <w:tcPr>
            <w:tcW w:w="2961" w:type="dxa"/>
            <w:noWrap w:val="0"/>
            <w:vAlign w:val="center"/>
          </w:tcPr>
          <w:p w14:paraId="097428B2">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6374D8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42" w:type="dxa"/>
            <w:noWrap w:val="0"/>
            <w:vAlign w:val="center"/>
          </w:tcPr>
          <w:p w14:paraId="06788641">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409" w:type="dxa"/>
            <w:noWrap w:val="0"/>
            <w:vAlign w:val="center"/>
          </w:tcPr>
          <w:p w14:paraId="32EDCC6A">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178" w:type="dxa"/>
            <w:noWrap w:val="0"/>
            <w:vAlign w:val="center"/>
          </w:tcPr>
          <w:p w14:paraId="6D1CA60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784" w:type="dxa"/>
            <w:noWrap w:val="0"/>
            <w:vAlign w:val="center"/>
          </w:tcPr>
          <w:p w14:paraId="106788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961" w:type="dxa"/>
            <w:noWrap w:val="0"/>
            <w:vAlign w:val="center"/>
          </w:tcPr>
          <w:p w14:paraId="680C1937">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01E7A8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42" w:type="dxa"/>
            <w:noWrap w:val="0"/>
            <w:vAlign w:val="center"/>
          </w:tcPr>
          <w:p w14:paraId="7E75F6E5">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409" w:type="dxa"/>
            <w:noWrap w:val="0"/>
            <w:vAlign w:val="center"/>
          </w:tcPr>
          <w:p w14:paraId="2947381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178" w:type="dxa"/>
            <w:noWrap w:val="0"/>
            <w:vAlign w:val="center"/>
          </w:tcPr>
          <w:p w14:paraId="3DA697B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784" w:type="dxa"/>
            <w:noWrap w:val="0"/>
            <w:vAlign w:val="center"/>
          </w:tcPr>
          <w:p w14:paraId="7A9091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欢迎投标人对项目采购过程中公告发布、招标文件购买、投标保证金缴交和退还、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收取、中标通知书发放等环节的服务进行监督。我们将竭诚为您提供最优质的服务。</w:t>
            </w:r>
          </w:p>
        </w:tc>
        <w:tc>
          <w:tcPr>
            <w:tcW w:w="2961" w:type="dxa"/>
            <w:noWrap w:val="0"/>
            <w:vAlign w:val="center"/>
          </w:tcPr>
          <w:p w14:paraId="279C7A5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7DAE5B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42" w:type="dxa"/>
            <w:noWrap w:val="0"/>
            <w:vAlign w:val="center"/>
          </w:tcPr>
          <w:p w14:paraId="14D10E3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409" w:type="dxa"/>
            <w:noWrap w:val="0"/>
            <w:vAlign w:val="center"/>
          </w:tcPr>
          <w:p w14:paraId="2ADE599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178" w:type="dxa"/>
            <w:noWrap w:val="0"/>
            <w:vAlign w:val="center"/>
          </w:tcPr>
          <w:p w14:paraId="4ADC5E8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784" w:type="dxa"/>
            <w:noWrap w:val="0"/>
            <w:vAlign w:val="center"/>
          </w:tcPr>
          <w:p w14:paraId="4A7DD2D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961" w:type="dxa"/>
            <w:noWrap w:val="0"/>
            <w:vAlign w:val="center"/>
          </w:tcPr>
          <w:p w14:paraId="5D6D6C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67D444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572785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614239E2">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bl>
    <w:p w14:paraId="7215E05D">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13、投标保证金及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3"/>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97"/>
        <w:gridCol w:w="3653"/>
        <w:gridCol w:w="4189"/>
      </w:tblGrid>
      <w:tr w14:paraId="22F626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70" w:hRule="atLeast"/>
          <w:jc w:val="center"/>
        </w:trPr>
        <w:tc>
          <w:tcPr>
            <w:tcW w:w="1697" w:type="dxa"/>
            <w:noWrap w:val="0"/>
            <w:vAlign w:val="center"/>
          </w:tcPr>
          <w:p w14:paraId="6E7C76D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653" w:type="dxa"/>
            <w:noWrap w:val="0"/>
            <w:vAlign w:val="center"/>
          </w:tcPr>
          <w:p w14:paraId="2F669E2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投标保证金缴交账户</w:t>
            </w:r>
          </w:p>
        </w:tc>
        <w:tc>
          <w:tcPr>
            <w:tcW w:w="4189" w:type="dxa"/>
            <w:noWrap w:val="0"/>
            <w:vAlign w:val="center"/>
          </w:tcPr>
          <w:p w14:paraId="651A528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2601C8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697" w:type="dxa"/>
            <w:noWrap w:val="0"/>
            <w:vAlign w:val="center"/>
          </w:tcPr>
          <w:p w14:paraId="6D163D6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653" w:type="dxa"/>
            <w:noWrap w:val="0"/>
            <w:vAlign w:val="center"/>
          </w:tcPr>
          <w:p w14:paraId="649D663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89" w:type="dxa"/>
            <w:noWrap w:val="0"/>
            <w:vAlign w:val="center"/>
          </w:tcPr>
          <w:p w14:paraId="43EDC1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60237D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97" w:type="dxa"/>
            <w:noWrap w:val="0"/>
            <w:vAlign w:val="center"/>
          </w:tcPr>
          <w:p w14:paraId="509A7C1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653" w:type="dxa"/>
            <w:noWrap w:val="0"/>
            <w:vAlign w:val="center"/>
          </w:tcPr>
          <w:p w14:paraId="3EA1CC6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189" w:type="dxa"/>
            <w:noWrap w:val="0"/>
            <w:vAlign w:val="center"/>
          </w:tcPr>
          <w:p w14:paraId="38824F1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460453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97" w:type="dxa"/>
            <w:noWrap w:val="0"/>
            <w:vAlign w:val="center"/>
          </w:tcPr>
          <w:p w14:paraId="4AE374E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42" w:type="dxa"/>
            <w:gridSpan w:val="2"/>
            <w:noWrap w:val="0"/>
            <w:vAlign w:val="center"/>
          </w:tcPr>
          <w:p w14:paraId="7BC2060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30213EDE">
      <w:pPr>
        <w:spacing w:line="360" w:lineRule="auto"/>
        <w:ind w:firstLine="36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注：投标人须将相关的费用缴交至上表对应的账号，缴错账号而产生的一切后果由投标人自行承担。</w:t>
      </w:r>
    </w:p>
    <w:p w14:paraId="79991C0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53F943A">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14、注意事项：</w:t>
      </w:r>
    </w:p>
    <w:p w14:paraId="5B553F0B">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（1）有意向的潜在投标人发邮件至wxsb@iport.com.cn索取招标文件购买登记表。</w:t>
      </w:r>
    </w:p>
    <w:p w14:paraId="0A6B37DB">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（2）建议采用电汇或网银购买招标文件，请投标人付款时务必注明“招标编号+用途”（比如：XM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w:t>
      </w:r>
      <w:r>
        <w:rPr>
          <w:rFonts w:hint="default" w:ascii="宋体" w:hAnsi="宋体" w:cs="宋体"/>
          <w:color w:val="000000" w:themeColor="text1"/>
          <w:sz w:val="24"/>
          <w:szCs w:val="24"/>
          <w:highlight w:val="none"/>
          <w:lang w:val="en-US" w:eastAsia="zh-CN"/>
          <w14:textFill>
            <w14:solidFill>
              <w14:schemeClr w14:val="tx1"/>
            </w14:solidFill>
          </w14:textFill>
        </w:rPr>
        <w:t>00XX文件费）。</w:t>
      </w:r>
    </w:p>
    <w:p w14:paraId="5F229D84">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投标人填好购买登记表后将加盖公章的文件购买登记表扫描件及文件购买付款凭证发至wxsb@iport.com.cn进行购买登记，收到登记资料后发送招标文件电子版，如需纸质版，招标代理机构可以邮寄，邮费需到付。</w:t>
      </w:r>
    </w:p>
    <w:p w14:paraId="7547FD3A">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（4）文件费及项目中标供应商服务费等发票均以邮件方式发送至购标指定邮箱。</w:t>
      </w:r>
    </w:p>
    <w:p w14:paraId="4514C110">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5B4BD4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招标代理机构：厦门万翔招标有限公司</w:t>
      </w:r>
    </w:p>
    <w:p w14:paraId="7473446A">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地  址：厦门市湖里区机场北路476号四楼 </w:t>
      </w:r>
    </w:p>
    <w:p w14:paraId="6BCB5FF0">
      <w:pPr>
        <w:tabs>
          <w:tab w:val="left" w:pos="2775"/>
        </w:tabs>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 361006</w:t>
      </w:r>
    </w:p>
    <w:p w14:paraId="69BEF4CD">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3865CB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FE557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401EA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28535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E7EB5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6C8E2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A6CB0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C6778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942AF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2D05C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A3217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5D361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60209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ECA98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88500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5B037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AD994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7C93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附：招标服务一览表 </w:t>
      </w:r>
    </w:p>
    <w:p w14:paraId="165A779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招标服务一览表</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8"/>
        <w:gridCol w:w="980"/>
        <w:gridCol w:w="1450"/>
        <w:gridCol w:w="940"/>
        <w:gridCol w:w="1460"/>
        <w:gridCol w:w="1370"/>
        <w:gridCol w:w="1164"/>
      </w:tblGrid>
      <w:tr w14:paraId="0E7F8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748" w:type="dxa"/>
            <w:tcBorders>
              <w:top w:val="single" w:color="auto" w:sz="4" w:space="0"/>
              <w:left w:val="single" w:color="auto" w:sz="4" w:space="0"/>
              <w:bottom w:val="single" w:color="auto" w:sz="4" w:space="0"/>
              <w:right w:val="single" w:color="auto" w:sz="4" w:space="0"/>
            </w:tcBorders>
            <w:noWrap w:val="0"/>
            <w:vAlign w:val="center"/>
          </w:tcPr>
          <w:p w14:paraId="2B5435CD">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合同包</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756E3034">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品目号</w:t>
            </w:r>
          </w:p>
        </w:tc>
        <w:tc>
          <w:tcPr>
            <w:tcW w:w="1450" w:type="dxa"/>
            <w:tcBorders>
              <w:top w:val="single" w:color="auto" w:sz="4" w:space="0"/>
              <w:left w:val="single" w:color="auto" w:sz="4" w:space="0"/>
              <w:bottom w:val="single" w:color="auto" w:sz="4" w:space="0"/>
              <w:right w:val="single" w:color="auto" w:sz="4" w:space="0"/>
            </w:tcBorders>
            <w:noWrap w:val="0"/>
            <w:vAlign w:val="center"/>
          </w:tcPr>
          <w:p w14:paraId="54043DD4">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项目名称</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5ADE75B7">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数量</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04DBE61C">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主要技术规格</w:t>
            </w:r>
          </w:p>
        </w:tc>
        <w:tc>
          <w:tcPr>
            <w:tcW w:w="1370" w:type="dxa"/>
            <w:tcBorders>
              <w:top w:val="single" w:color="auto" w:sz="4" w:space="0"/>
              <w:left w:val="single" w:color="auto" w:sz="4" w:space="0"/>
              <w:bottom w:val="single" w:color="auto" w:sz="4" w:space="0"/>
              <w:right w:val="single" w:color="auto" w:sz="4" w:space="0"/>
            </w:tcBorders>
            <w:noWrap w:val="0"/>
            <w:vAlign w:val="center"/>
          </w:tcPr>
          <w:p w14:paraId="7F86646D">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服务地点</w:t>
            </w:r>
          </w:p>
        </w:tc>
        <w:tc>
          <w:tcPr>
            <w:tcW w:w="1164" w:type="dxa"/>
            <w:tcBorders>
              <w:top w:val="single" w:color="auto" w:sz="4" w:space="0"/>
              <w:left w:val="single" w:color="auto" w:sz="4" w:space="0"/>
              <w:bottom w:val="single" w:color="auto" w:sz="4" w:space="0"/>
              <w:right w:val="single" w:color="auto" w:sz="4" w:space="0"/>
            </w:tcBorders>
            <w:noWrap w:val="0"/>
            <w:vAlign w:val="center"/>
          </w:tcPr>
          <w:p w14:paraId="0715F5FE">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服务时间</w:t>
            </w:r>
          </w:p>
        </w:tc>
      </w:tr>
      <w:tr w14:paraId="7D68B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748" w:type="dxa"/>
            <w:tcBorders>
              <w:top w:val="single" w:color="auto" w:sz="4" w:space="0"/>
              <w:left w:val="single" w:color="auto" w:sz="4" w:space="0"/>
              <w:bottom w:val="single" w:color="auto" w:sz="4" w:space="0"/>
              <w:right w:val="single" w:color="auto" w:sz="4" w:space="0"/>
            </w:tcBorders>
            <w:noWrap w:val="0"/>
            <w:vAlign w:val="center"/>
          </w:tcPr>
          <w:p w14:paraId="5FEA83FB">
            <w:pPr>
              <w:pStyle w:val="9"/>
              <w:tabs>
                <w:tab w:val="left" w:pos="8360"/>
              </w:tabs>
              <w:spacing w:line="360" w:lineRule="auto"/>
              <w:jc w:val="center"/>
              <w:rPr>
                <w:rFonts w:hint="eastAsia" w:ascii="宋体" w:hAnsi="宋体" w:eastAsia="宋体" w:cs="宋体"/>
                <w:b w:val="0"/>
                <w:bCs w:val="0"/>
                <w:shadow w:val="0"/>
                <w:color w:val="000000" w:themeColor="text1"/>
                <w:sz w:val="24"/>
                <w:szCs w:val="24"/>
                <w:highlight w:val="none"/>
                <w:lang w:val="en-US"/>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lang w:eastAsia="zh-CN"/>
                <w14:textFill>
                  <w14:solidFill>
                    <w14:schemeClr w14:val="tx1"/>
                  </w14:solidFill>
                </w14:textFill>
              </w:rPr>
              <w:t>1</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072720D0">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1-1</w:t>
            </w:r>
          </w:p>
        </w:tc>
        <w:tc>
          <w:tcPr>
            <w:tcW w:w="1450" w:type="dxa"/>
            <w:tcBorders>
              <w:top w:val="single" w:color="auto" w:sz="4" w:space="0"/>
              <w:left w:val="single" w:color="auto" w:sz="4" w:space="0"/>
              <w:bottom w:val="single" w:color="auto" w:sz="4" w:space="0"/>
              <w:right w:val="single" w:color="auto" w:sz="4" w:space="0"/>
            </w:tcBorders>
            <w:noWrap w:val="0"/>
            <w:vAlign w:val="center"/>
          </w:tcPr>
          <w:p w14:paraId="6DBD2BA1">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厦门市96166统一门诊预约热线服务项目</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1CF45950">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lang w:val="en-US" w:eastAsia="zh-CN"/>
                <w14:textFill>
                  <w14:solidFill>
                    <w14:schemeClr w14:val="tx1"/>
                  </w14:solidFill>
                </w14:textFill>
              </w:rPr>
              <w:t>1项</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5EE65FBF">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详见招标内容及要求</w:t>
            </w:r>
          </w:p>
        </w:tc>
        <w:tc>
          <w:tcPr>
            <w:tcW w:w="1370" w:type="dxa"/>
            <w:tcBorders>
              <w:top w:val="single" w:color="auto" w:sz="4" w:space="0"/>
              <w:left w:val="single" w:color="auto" w:sz="4" w:space="0"/>
              <w:bottom w:val="single" w:color="auto" w:sz="4" w:space="0"/>
              <w:right w:val="single" w:color="auto" w:sz="4" w:space="0"/>
            </w:tcBorders>
            <w:noWrap w:val="0"/>
            <w:vAlign w:val="center"/>
          </w:tcPr>
          <w:p w14:paraId="631804F7">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采购人指定地点</w:t>
            </w:r>
          </w:p>
        </w:tc>
        <w:tc>
          <w:tcPr>
            <w:tcW w:w="1164" w:type="dxa"/>
            <w:tcBorders>
              <w:top w:val="single" w:color="auto" w:sz="4" w:space="0"/>
              <w:left w:val="single" w:color="auto" w:sz="4" w:space="0"/>
              <w:bottom w:val="single" w:color="auto" w:sz="4" w:space="0"/>
              <w:right w:val="single" w:color="auto" w:sz="4" w:space="0"/>
            </w:tcBorders>
            <w:noWrap w:val="0"/>
            <w:vAlign w:val="center"/>
          </w:tcPr>
          <w:p w14:paraId="0E571686">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详见招标内容及要求</w:t>
            </w:r>
          </w:p>
        </w:tc>
      </w:tr>
      <w:tr w14:paraId="44C76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748" w:type="dxa"/>
            <w:tcBorders>
              <w:top w:val="single" w:color="auto" w:sz="4" w:space="0"/>
              <w:left w:val="single" w:color="auto" w:sz="4" w:space="0"/>
              <w:bottom w:val="single" w:color="auto" w:sz="4" w:space="0"/>
              <w:right w:val="single" w:color="auto" w:sz="4" w:space="0"/>
            </w:tcBorders>
            <w:noWrap w:val="0"/>
            <w:vAlign w:val="center"/>
          </w:tcPr>
          <w:p w14:paraId="116C0529">
            <w:pPr>
              <w:pStyle w:val="9"/>
              <w:tabs>
                <w:tab w:val="left" w:pos="8360"/>
              </w:tabs>
              <w:spacing w:line="360" w:lineRule="auto"/>
              <w:jc w:val="both"/>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服务范围</w:t>
            </w:r>
          </w:p>
        </w:tc>
        <w:tc>
          <w:tcPr>
            <w:tcW w:w="7364" w:type="dxa"/>
            <w:gridSpan w:val="6"/>
            <w:tcBorders>
              <w:top w:val="single" w:color="auto" w:sz="4" w:space="0"/>
              <w:left w:val="single" w:color="auto" w:sz="4" w:space="0"/>
              <w:bottom w:val="single" w:color="auto" w:sz="4" w:space="0"/>
              <w:right w:val="single" w:color="auto" w:sz="4" w:space="0"/>
            </w:tcBorders>
            <w:noWrap w:val="0"/>
            <w:vAlign w:val="center"/>
          </w:tcPr>
          <w:p w14:paraId="5B55A2C7">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详见招标内</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容</w:t>
            </w:r>
            <w:r>
              <w:rPr>
                <w:rFonts w:hint="eastAsia" w:ascii="宋体" w:hAnsi="宋体" w:eastAsia="宋体" w:cs="宋体"/>
                <w:b w:val="0"/>
                <w:bCs w:val="0"/>
                <w:color w:val="000000" w:themeColor="text1"/>
                <w:sz w:val="24"/>
                <w:szCs w:val="24"/>
                <w:highlight w:val="none"/>
                <w14:textFill>
                  <w14:solidFill>
                    <w14:schemeClr w14:val="tx1"/>
                  </w14:solidFill>
                </w14:textFill>
              </w:rPr>
              <w:t>及要求</w:t>
            </w:r>
          </w:p>
        </w:tc>
      </w:tr>
      <w:tr w14:paraId="17CE7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748" w:type="dxa"/>
            <w:tcBorders>
              <w:top w:val="single" w:color="auto" w:sz="4" w:space="0"/>
              <w:left w:val="single" w:color="auto" w:sz="4" w:space="0"/>
              <w:bottom w:val="single" w:color="auto" w:sz="4" w:space="0"/>
              <w:right w:val="single" w:color="auto" w:sz="4" w:space="0"/>
            </w:tcBorders>
            <w:noWrap w:val="0"/>
            <w:vAlign w:val="center"/>
          </w:tcPr>
          <w:p w14:paraId="55D7BB9E">
            <w:pPr>
              <w:pStyle w:val="9"/>
              <w:tabs>
                <w:tab w:val="left" w:pos="8360"/>
              </w:tabs>
              <w:spacing w:line="360" w:lineRule="auto"/>
              <w:jc w:val="both"/>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服务要求</w:t>
            </w:r>
          </w:p>
        </w:tc>
        <w:tc>
          <w:tcPr>
            <w:tcW w:w="7364" w:type="dxa"/>
            <w:gridSpan w:val="6"/>
            <w:tcBorders>
              <w:top w:val="single" w:color="auto" w:sz="4" w:space="0"/>
              <w:left w:val="single" w:color="auto" w:sz="4" w:space="0"/>
              <w:bottom w:val="single" w:color="auto" w:sz="4" w:space="0"/>
              <w:right w:val="single" w:color="auto" w:sz="4" w:space="0"/>
            </w:tcBorders>
            <w:noWrap w:val="0"/>
            <w:vAlign w:val="center"/>
          </w:tcPr>
          <w:p w14:paraId="2961F811">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详见招标内</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容</w:t>
            </w:r>
            <w:r>
              <w:rPr>
                <w:rFonts w:hint="eastAsia" w:ascii="宋体" w:hAnsi="宋体" w:eastAsia="宋体" w:cs="宋体"/>
                <w:b w:val="0"/>
                <w:bCs w:val="0"/>
                <w:color w:val="000000" w:themeColor="text1"/>
                <w:sz w:val="24"/>
                <w:szCs w:val="24"/>
                <w:highlight w:val="none"/>
                <w14:textFill>
                  <w14:solidFill>
                    <w14:schemeClr w14:val="tx1"/>
                  </w14:solidFill>
                </w14:textFill>
              </w:rPr>
              <w:t>及要求</w:t>
            </w:r>
          </w:p>
        </w:tc>
      </w:tr>
      <w:tr w14:paraId="27FE5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748" w:type="dxa"/>
            <w:tcBorders>
              <w:top w:val="single" w:color="auto" w:sz="4" w:space="0"/>
              <w:left w:val="single" w:color="auto" w:sz="4" w:space="0"/>
              <w:bottom w:val="single" w:color="auto" w:sz="4" w:space="0"/>
              <w:right w:val="single" w:color="auto" w:sz="4" w:space="0"/>
            </w:tcBorders>
            <w:noWrap w:val="0"/>
            <w:vAlign w:val="center"/>
          </w:tcPr>
          <w:p w14:paraId="188E1444">
            <w:pPr>
              <w:pStyle w:val="9"/>
              <w:tabs>
                <w:tab w:val="left" w:pos="8360"/>
              </w:tabs>
              <w:spacing w:line="360" w:lineRule="auto"/>
              <w:jc w:val="both"/>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shadow w:val="0"/>
                <w:color w:val="000000" w:themeColor="text1"/>
                <w:sz w:val="24"/>
                <w:szCs w:val="24"/>
                <w:highlight w:val="none"/>
                <w14:textFill>
                  <w14:solidFill>
                    <w14:schemeClr w14:val="tx1"/>
                  </w14:solidFill>
                </w14:textFill>
              </w:rPr>
              <w:t>服务标准</w:t>
            </w:r>
          </w:p>
        </w:tc>
        <w:tc>
          <w:tcPr>
            <w:tcW w:w="7364" w:type="dxa"/>
            <w:gridSpan w:val="6"/>
            <w:tcBorders>
              <w:top w:val="single" w:color="auto" w:sz="4" w:space="0"/>
              <w:left w:val="single" w:color="auto" w:sz="4" w:space="0"/>
              <w:bottom w:val="single" w:color="auto" w:sz="4" w:space="0"/>
              <w:right w:val="single" w:color="auto" w:sz="4" w:space="0"/>
            </w:tcBorders>
            <w:noWrap w:val="0"/>
            <w:vAlign w:val="center"/>
          </w:tcPr>
          <w:p w14:paraId="222EB52D">
            <w:pPr>
              <w:pStyle w:val="9"/>
              <w:tabs>
                <w:tab w:val="left" w:pos="8360"/>
              </w:tabs>
              <w:spacing w:line="360" w:lineRule="auto"/>
              <w:rPr>
                <w:rFonts w:hint="eastAsia" w:ascii="宋体" w:hAnsi="宋体" w:eastAsia="宋体" w:cs="宋体"/>
                <w:b w:val="0"/>
                <w:bCs w:val="0"/>
                <w:shadow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详见招标内</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容</w:t>
            </w:r>
            <w:r>
              <w:rPr>
                <w:rFonts w:hint="eastAsia" w:ascii="宋体" w:hAnsi="宋体" w:eastAsia="宋体" w:cs="宋体"/>
                <w:b w:val="0"/>
                <w:bCs w:val="0"/>
                <w:color w:val="000000" w:themeColor="text1"/>
                <w:sz w:val="24"/>
                <w:szCs w:val="24"/>
                <w:highlight w:val="none"/>
                <w14:textFill>
                  <w14:solidFill>
                    <w14:schemeClr w14:val="tx1"/>
                  </w14:solidFill>
                </w14:textFill>
              </w:rPr>
              <w:t>及要求</w:t>
            </w:r>
          </w:p>
        </w:tc>
      </w:tr>
    </w:tbl>
    <w:p w14:paraId="3D3D0857">
      <w:pPr>
        <w:pStyle w:val="14"/>
        <w:tabs>
          <w:tab w:val="left" w:pos="8360"/>
        </w:tabs>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注：投标人可按合同包投标，对同一合同包内所有品目号内容投标时必须完整。评标与授标以合同包为单位。</w:t>
      </w:r>
    </w:p>
    <w:p w14:paraId="56204B05">
      <w:pPr>
        <w:pStyle w:val="2"/>
        <w:spacing w:line="360" w:lineRule="auto"/>
        <w:ind w:firstLine="0"/>
        <w:rPr>
          <w:rFonts w:hint="eastAsia" w:ascii="宋体" w:hAnsi="宋体" w:eastAsia="宋体" w:cs="宋体"/>
          <w:b/>
          <w:color w:val="000000" w:themeColor="text1"/>
          <w:sz w:val="24"/>
          <w:szCs w:val="24"/>
          <w:highlight w:val="none"/>
          <w14:textFill>
            <w14:solidFill>
              <w14:schemeClr w14:val="tx1"/>
            </w14:solidFill>
          </w14:textFill>
        </w:rPr>
        <w:sectPr>
          <w:footerReference r:id="rId6" w:type="default"/>
          <w:pgSz w:w="11906" w:h="16838"/>
          <w:pgMar w:top="1440" w:right="1106" w:bottom="1290" w:left="1800" w:header="851" w:footer="992" w:gutter="0"/>
          <w:pgNumType w:start="1"/>
          <w:cols w:space="720" w:num="1"/>
          <w:docGrid w:type="lines" w:linePitch="312" w:charSpace="0"/>
        </w:sectPr>
      </w:pPr>
    </w:p>
    <w:p w14:paraId="698E7C0C">
      <w:pPr>
        <w:pStyle w:val="47"/>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投标人须知</w:t>
      </w:r>
    </w:p>
    <w:p w14:paraId="309487C3">
      <w:pPr>
        <w:pStyle w:val="47"/>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投标人须知前附表1</w:t>
      </w:r>
    </w:p>
    <w:p w14:paraId="7BFA6B91">
      <w:pPr>
        <w:spacing w:line="360" w:lineRule="auto"/>
        <w:ind w:firstLine="527"/>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本须知前附表1的条款号是与《投标人须知》中条款的项号相对应的。如有矛盾，应以本须知前附表为准。 </w:t>
      </w:r>
    </w:p>
    <w:tbl>
      <w:tblPr>
        <w:tblStyle w:val="23"/>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1A1FC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14:paraId="6CB7218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1080" w:type="dxa"/>
            <w:noWrap w:val="0"/>
            <w:vAlign w:val="top"/>
          </w:tcPr>
          <w:p w14:paraId="60E026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380" w:type="dxa"/>
            <w:noWrap w:val="0"/>
            <w:vAlign w:val="top"/>
          </w:tcPr>
          <w:p w14:paraId="70D6C2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00275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5B86D1C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1080" w:type="dxa"/>
            <w:noWrap w:val="0"/>
            <w:vAlign w:val="center"/>
          </w:tcPr>
          <w:p w14:paraId="17C6F80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380" w:type="dxa"/>
            <w:noWrap w:val="0"/>
            <w:vAlign w:val="center"/>
          </w:tcPr>
          <w:p w14:paraId="1FC4ED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14:textFill>
                  <w14:solidFill>
                    <w14:schemeClr w14:val="tx1"/>
                  </w14:solidFill>
                </w14:textFill>
              </w:rPr>
              <w:t>厦门市96166统一门诊预约热线服务项目</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824A8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14:textFill>
                  <w14:solidFill>
                    <w14:schemeClr w14:val="tx1"/>
                  </w14:solidFill>
                </w14:textFill>
              </w:rPr>
              <w:t>厦门市健康医疗大数据中心（厦门市医药研究所）</w:t>
            </w:r>
          </w:p>
          <w:p w14:paraId="6C6E7E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采购人地址：</w:t>
            </w:r>
            <w:r>
              <w:rPr>
                <w:rFonts w:hint="eastAsia" w:ascii="宋体" w:hAnsi="宋体" w:cs="宋体"/>
                <w:color w:val="000000" w:themeColor="text1"/>
                <w:sz w:val="24"/>
                <w:szCs w:val="24"/>
                <w:highlight w:val="none"/>
                <w14:textFill>
                  <w14:solidFill>
                    <w14:schemeClr w14:val="tx1"/>
                  </w14:solidFill>
                </w14:textFill>
              </w:rPr>
              <w:t>厦门市思明区会展路2009号</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19035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项目内容： </w:t>
            </w:r>
            <w:r>
              <w:rPr>
                <w:rFonts w:hint="eastAsia" w:ascii="宋体" w:hAnsi="宋体" w:cs="宋体"/>
                <w:color w:val="000000" w:themeColor="text1"/>
                <w:sz w:val="24"/>
                <w:szCs w:val="24"/>
                <w:highlight w:val="none"/>
                <w14:textFill>
                  <w14:solidFill>
                    <w14:schemeClr w14:val="tx1"/>
                  </w14:solidFill>
                </w14:textFill>
              </w:rPr>
              <w:t>厦门市96166统一门诊预约热线服务</w:t>
            </w:r>
          </w:p>
          <w:p w14:paraId="52EA4E85">
            <w:pPr>
              <w:spacing w:line="360" w:lineRule="auto"/>
              <w:rPr>
                <w:rFonts w:hint="default" w:ascii="宋体" w:hAnsi="宋体" w:eastAsia="宋体" w:cs="宋体"/>
                <w:color w:val="000000" w:themeColor="text1"/>
                <w:sz w:val="24"/>
                <w:szCs w:val="24"/>
                <w:highlight w:val="none"/>
                <w:u w:val="single"/>
                <w:lang w:val="en-US"/>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none"/>
                <w14:textFill>
                  <w14:solidFill>
                    <w14:schemeClr w14:val="tx1"/>
                  </w14:solidFill>
                </w14:textFill>
              </w:rPr>
              <w:t>XM</w:t>
            </w:r>
            <w:r>
              <w:rPr>
                <w:rFonts w:hint="eastAsia" w:ascii="宋体" w:hAnsi="宋体" w:cs="宋体"/>
                <w:color w:val="000000" w:themeColor="text1"/>
                <w:sz w:val="24"/>
                <w:szCs w:val="24"/>
                <w:highlight w:val="none"/>
                <w:u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none"/>
                <w14:textFill>
                  <w14:solidFill>
                    <w14:schemeClr w14:val="tx1"/>
                  </w14:solidFill>
                </w14:textFill>
              </w:rPr>
              <w:t>-</w:t>
            </w:r>
            <w:r>
              <w:rPr>
                <w:rFonts w:hint="eastAsia" w:ascii="宋体" w:hAnsi="宋体" w:cs="宋体"/>
                <w:color w:val="000000" w:themeColor="text1"/>
                <w:sz w:val="24"/>
                <w:szCs w:val="24"/>
                <w:highlight w:val="none"/>
                <w:u w:val="none"/>
                <w:lang w:val="en-US" w:eastAsia="zh-CN"/>
                <w14:textFill>
                  <w14:solidFill>
                    <w14:schemeClr w14:val="tx1"/>
                  </w14:solidFill>
                </w14:textFill>
              </w:rPr>
              <w:t>TZ0099</w:t>
            </w:r>
          </w:p>
        </w:tc>
      </w:tr>
      <w:tr w14:paraId="44B0E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18E6D18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1080" w:type="dxa"/>
            <w:noWrap w:val="0"/>
            <w:vAlign w:val="center"/>
          </w:tcPr>
          <w:p w14:paraId="4845363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80" w:type="dxa"/>
            <w:noWrap w:val="0"/>
            <w:vAlign w:val="center"/>
          </w:tcPr>
          <w:p w14:paraId="4DF514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2F5886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详见第二章《投标人须知》第3条，以及第三章《招标内容及要求》有关内容。</w:t>
            </w:r>
          </w:p>
        </w:tc>
      </w:tr>
      <w:tr w14:paraId="46D9C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5FBC16C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1080" w:type="dxa"/>
            <w:noWrap w:val="0"/>
            <w:vAlign w:val="center"/>
          </w:tcPr>
          <w:p w14:paraId="1C4D80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380" w:type="dxa"/>
            <w:noWrap w:val="0"/>
            <w:vAlign w:val="center"/>
          </w:tcPr>
          <w:p w14:paraId="25510B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投标有效期：投标截止之日起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6E487D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有效期不足将导致其投标文件被拒绝。</w:t>
            </w:r>
          </w:p>
        </w:tc>
      </w:tr>
      <w:tr w14:paraId="497D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020D197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1080" w:type="dxa"/>
            <w:noWrap w:val="0"/>
            <w:vAlign w:val="center"/>
          </w:tcPr>
          <w:p w14:paraId="092171C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380" w:type="dxa"/>
            <w:noWrap w:val="0"/>
            <w:vAlign w:val="center"/>
          </w:tcPr>
          <w:p w14:paraId="74DF332E">
            <w:pPr>
              <w:widowControl/>
              <w:spacing w:line="360" w:lineRule="auto"/>
              <w:jc w:val="left"/>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投标文件递交地址：</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p>
          <w:p w14:paraId="150737A2">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接收人：</w:t>
            </w: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r>
      <w:tr w14:paraId="1EEE0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391E594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1080" w:type="dxa"/>
            <w:noWrap w:val="0"/>
            <w:vAlign w:val="center"/>
          </w:tcPr>
          <w:p w14:paraId="08E10E1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380" w:type="dxa"/>
            <w:noWrap w:val="0"/>
            <w:vAlign w:val="center"/>
          </w:tcPr>
          <w:p w14:paraId="66F785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投标保证金：</w:t>
            </w:r>
            <w:r>
              <w:rPr>
                <w:rFonts w:hint="eastAsia" w:ascii="宋体" w:hAnsi="宋体" w:cs="宋体"/>
                <w:color w:val="000000" w:themeColor="text1"/>
                <w:sz w:val="24"/>
                <w:szCs w:val="24"/>
                <w:highlight w:val="none"/>
                <w:lang w:val="en-US" w:eastAsia="zh-CN"/>
                <w14:textFill>
                  <w14:solidFill>
                    <w14:schemeClr w14:val="tx1"/>
                  </w14:solidFill>
                </w14:textFill>
              </w:rPr>
              <w:t>本项目免收保证金</w:t>
            </w:r>
          </w:p>
        </w:tc>
      </w:tr>
      <w:tr w14:paraId="03514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70CAE94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1080" w:type="dxa"/>
            <w:noWrap w:val="0"/>
            <w:vAlign w:val="center"/>
          </w:tcPr>
          <w:p w14:paraId="024D8D7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13.1</w:t>
            </w:r>
          </w:p>
        </w:tc>
        <w:tc>
          <w:tcPr>
            <w:tcW w:w="7380" w:type="dxa"/>
            <w:noWrap w:val="0"/>
            <w:vAlign w:val="center"/>
          </w:tcPr>
          <w:p w14:paraId="3E606A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投标文件份数：正本一份、副本四份</w:t>
            </w:r>
          </w:p>
        </w:tc>
      </w:tr>
      <w:tr w14:paraId="27F0C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266E29AF">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1080" w:type="dxa"/>
            <w:noWrap w:val="0"/>
            <w:vAlign w:val="center"/>
          </w:tcPr>
          <w:p w14:paraId="7BE0EFB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19.1</w:t>
            </w:r>
          </w:p>
        </w:tc>
        <w:tc>
          <w:tcPr>
            <w:tcW w:w="7380" w:type="dxa"/>
            <w:noWrap w:val="0"/>
            <w:vAlign w:val="center"/>
          </w:tcPr>
          <w:p w14:paraId="753F0E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评标方法、标准及定标原则(含推荐中标候选供应商数量)：</w:t>
            </w:r>
          </w:p>
          <w:p w14:paraId="061FB3B9">
            <w:pPr>
              <w:pStyle w:val="14"/>
              <w:spacing w:line="360" w:lineRule="auto"/>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详见《投标人须知前附表3》。</w:t>
            </w:r>
          </w:p>
        </w:tc>
      </w:tr>
      <w:tr w14:paraId="4C046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78FFF1A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1080" w:type="dxa"/>
            <w:noWrap w:val="0"/>
            <w:vAlign w:val="center"/>
          </w:tcPr>
          <w:p w14:paraId="481E366D">
            <w:pPr>
              <w:spacing w:line="360" w:lineRule="auto"/>
              <w:ind w:right="-63" w:rightChars="-3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12.9</w:t>
            </w:r>
          </w:p>
        </w:tc>
        <w:tc>
          <w:tcPr>
            <w:tcW w:w="7380" w:type="dxa"/>
            <w:noWrap w:val="0"/>
            <w:vAlign w:val="center"/>
          </w:tcPr>
          <w:p w14:paraId="74EED5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0B2CDA10">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收费标准：</w:t>
            </w:r>
          </w:p>
          <w:tbl>
            <w:tblPr>
              <w:tblStyle w:val="23"/>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22F33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801E40F">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中标金额(万元)</w:t>
                  </w:r>
                </w:p>
              </w:tc>
              <w:tc>
                <w:tcPr>
                  <w:tcW w:w="2700" w:type="dxa"/>
                  <w:noWrap w:val="0"/>
                  <w:vAlign w:val="top"/>
                </w:tcPr>
                <w:p w14:paraId="5CE16E3A">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费率</w:t>
                  </w:r>
                </w:p>
              </w:tc>
            </w:tr>
            <w:tr w14:paraId="40B70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B5D9D62">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[0―100]</w:t>
                  </w:r>
                </w:p>
              </w:tc>
              <w:tc>
                <w:tcPr>
                  <w:tcW w:w="2700" w:type="dxa"/>
                  <w:noWrap w:val="0"/>
                  <w:vAlign w:val="top"/>
                </w:tcPr>
                <w:p w14:paraId="36B8FE95">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r>
            <w:tr w14:paraId="010D1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D22FD6B">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（100－500]</w:t>
                  </w:r>
                </w:p>
              </w:tc>
              <w:tc>
                <w:tcPr>
                  <w:tcW w:w="2700" w:type="dxa"/>
                  <w:noWrap w:val="0"/>
                  <w:vAlign w:val="top"/>
                </w:tcPr>
                <w:p w14:paraId="377F3E58">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0.8%</w:t>
                  </w:r>
                </w:p>
              </w:tc>
            </w:tr>
            <w:tr w14:paraId="3FCD5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CBA1561">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（500-1000]</w:t>
                  </w:r>
                </w:p>
              </w:tc>
              <w:tc>
                <w:tcPr>
                  <w:tcW w:w="2700" w:type="dxa"/>
                  <w:noWrap w:val="0"/>
                  <w:vAlign w:val="top"/>
                </w:tcPr>
                <w:p w14:paraId="64DA996B">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0.45%</w:t>
                  </w:r>
                </w:p>
              </w:tc>
            </w:tr>
            <w:tr w14:paraId="31993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C311510">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（1000-5000]</w:t>
                  </w:r>
                </w:p>
              </w:tc>
              <w:tc>
                <w:tcPr>
                  <w:tcW w:w="2700" w:type="dxa"/>
                  <w:noWrap w:val="0"/>
                  <w:vAlign w:val="top"/>
                </w:tcPr>
                <w:p w14:paraId="6DED0EB3">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0.25%</w:t>
                  </w:r>
                </w:p>
              </w:tc>
            </w:tr>
            <w:tr w14:paraId="56BB6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DF3FCAD">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（5000-10000]</w:t>
                  </w:r>
                </w:p>
              </w:tc>
              <w:tc>
                <w:tcPr>
                  <w:tcW w:w="2700" w:type="dxa"/>
                  <w:noWrap w:val="0"/>
                  <w:vAlign w:val="top"/>
                </w:tcPr>
                <w:p w14:paraId="76D5045E">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w:t>
                  </w:r>
                </w:p>
              </w:tc>
            </w:tr>
            <w:tr w14:paraId="57E66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B03EC3A">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（10000-50000]</w:t>
                  </w:r>
                </w:p>
              </w:tc>
              <w:tc>
                <w:tcPr>
                  <w:tcW w:w="2700" w:type="dxa"/>
                  <w:noWrap w:val="0"/>
                  <w:vAlign w:val="top"/>
                </w:tcPr>
                <w:p w14:paraId="49DDEA29">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0.05%</w:t>
                  </w:r>
                </w:p>
              </w:tc>
            </w:tr>
            <w:tr w14:paraId="31C4A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48E8E15">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（50000-100000]</w:t>
                  </w:r>
                </w:p>
              </w:tc>
              <w:tc>
                <w:tcPr>
                  <w:tcW w:w="2700" w:type="dxa"/>
                  <w:noWrap w:val="0"/>
                  <w:vAlign w:val="top"/>
                </w:tcPr>
                <w:p w14:paraId="5222ED81">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0.035%</w:t>
                  </w:r>
                </w:p>
              </w:tc>
            </w:tr>
          </w:tbl>
          <w:p w14:paraId="53F005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的收取按差额定率累进法计算,由中标供应商支付。</w:t>
            </w:r>
          </w:p>
          <w:p w14:paraId="7EAA43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2、中标供应商以转账或汇款方式提交。</w:t>
            </w:r>
          </w:p>
          <w:p w14:paraId="45A1B0B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3、中标供应商为中小企业的，其</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服务收费标准下浮10%进行支付。</w:t>
            </w:r>
          </w:p>
        </w:tc>
      </w:tr>
      <w:tr w14:paraId="25A65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5943C3B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F28340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w:t>
            </w:r>
          </w:p>
        </w:tc>
        <w:tc>
          <w:tcPr>
            <w:tcW w:w="7380" w:type="dxa"/>
            <w:tcBorders>
              <w:top w:val="single" w:color="auto" w:sz="4" w:space="0"/>
              <w:left w:val="single" w:color="auto" w:sz="4" w:space="0"/>
              <w:bottom w:val="single" w:color="auto" w:sz="4" w:space="0"/>
              <w:right w:val="single" w:color="auto" w:sz="4" w:space="0"/>
            </w:tcBorders>
            <w:noWrap w:val="0"/>
            <w:vAlign w:val="center"/>
          </w:tcPr>
          <w:p w14:paraId="26F92A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投标人一旦中标，应在规定时间内凭中标通知书原件与采购人签订《政府采购合同》。中标供应商为中小企业的，</w:t>
            </w:r>
            <w:r>
              <w:rPr>
                <w:rFonts w:hint="eastAsia" w:ascii="宋体" w:hAnsi="宋体" w:eastAsia="宋体" w:cs="宋体"/>
                <w:color w:val="000000" w:themeColor="text1"/>
                <w:sz w:val="24"/>
                <w:szCs w:val="24"/>
                <w:highlight w:val="none"/>
                <w:lang w:val="en-US" w:eastAsia="zh-CN"/>
                <w14:textFill>
                  <w14:solidFill>
                    <w14:schemeClr w14:val="tx1"/>
                  </w14:solidFill>
                </w14:textFill>
              </w:rPr>
              <w:t>如需支付履约保证金的，</w:t>
            </w:r>
            <w:r>
              <w:rPr>
                <w:rFonts w:hint="eastAsia" w:ascii="宋体" w:hAnsi="宋体" w:eastAsia="宋体" w:cs="宋体"/>
                <w:color w:val="000000" w:themeColor="text1"/>
                <w:spacing w:val="0"/>
                <w:sz w:val="24"/>
                <w:szCs w:val="24"/>
                <w:highlight w:val="none"/>
                <w14:textFill>
                  <w14:solidFill>
                    <w14:schemeClr w14:val="tx1"/>
                  </w14:solidFill>
                </w14:textFill>
              </w:rPr>
              <w:t>按约定比例的50%支付</w:t>
            </w:r>
            <w:r>
              <w:rPr>
                <w:rFonts w:hint="eastAsia" w:ascii="宋体" w:hAnsi="宋体" w:eastAsia="宋体" w:cs="宋体"/>
                <w:color w:val="000000" w:themeColor="text1"/>
                <w:sz w:val="24"/>
                <w:szCs w:val="24"/>
                <w:highlight w:val="none"/>
                <w14:textFill>
                  <w14:solidFill>
                    <w14:schemeClr w14:val="tx1"/>
                  </w14:solidFill>
                </w14:textFill>
              </w:rPr>
              <w:t>。</w:t>
            </w:r>
          </w:p>
        </w:tc>
      </w:tr>
      <w:tr w14:paraId="026C1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D7A1AC9">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10</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FBE7BA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77299C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是否允许进口产品参加本采购项目：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bl>
    <w:p w14:paraId="5D6794F9">
      <w:pPr>
        <w:tabs>
          <w:tab w:val="left" w:pos="-1080"/>
          <w:tab w:val="left" w:pos="180"/>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DD754A6">
      <w:pPr>
        <w:spacing w:line="360" w:lineRule="auto"/>
        <w:jc w:val="center"/>
        <w:rPr>
          <w:rFonts w:hint="eastAsia" w:ascii="宋体" w:hAnsi="宋体" w:eastAsia="宋体" w:cs="宋体"/>
          <w:b/>
          <w:bCs/>
          <w:color w:val="000000" w:themeColor="text1"/>
          <w:sz w:val="24"/>
          <w:szCs w:val="24"/>
          <w:highlight w:val="none"/>
          <w:u w:val="single"/>
          <w14:textFill>
            <w14:solidFill>
              <w14:schemeClr w14:val="tx1"/>
            </w14:solidFill>
          </w14:textFill>
        </w:rPr>
      </w:pPr>
    </w:p>
    <w:p w14:paraId="7C1B9328">
      <w:pPr>
        <w:spacing w:line="360" w:lineRule="auto"/>
        <w:jc w:val="center"/>
        <w:rPr>
          <w:rFonts w:hint="eastAsia" w:ascii="宋体" w:hAnsi="宋体" w:eastAsia="宋体" w:cs="宋体"/>
          <w:b/>
          <w:bCs/>
          <w:color w:val="000000" w:themeColor="text1"/>
          <w:sz w:val="24"/>
          <w:szCs w:val="24"/>
          <w:highlight w:val="none"/>
          <w:u w:val="single"/>
          <w14:textFill>
            <w14:solidFill>
              <w14:schemeClr w14:val="tx1"/>
            </w14:solidFill>
          </w14:textFill>
        </w:rPr>
      </w:pPr>
    </w:p>
    <w:p w14:paraId="69EE6615">
      <w:pPr>
        <w:spacing w:line="360" w:lineRule="auto"/>
        <w:jc w:val="center"/>
        <w:rPr>
          <w:rFonts w:hint="eastAsia" w:ascii="宋体" w:hAnsi="宋体" w:eastAsia="宋体" w:cs="宋体"/>
          <w:b/>
          <w:bCs/>
          <w:color w:val="000000" w:themeColor="text1"/>
          <w:sz w:val="24"/>
          <w:szCs w:val="24"/>
          <w:highlight w:val="none"/>
          <w:u w:val="single"/>
          <w14:textFill>
            <w14:solidFill>
              <w14:schemeClr w14:val="tx1"/>
            </w14:solidFill>
          </w14:textFill>
        </w:rPr>
      </w:pPr>
    </w:p>
    <w:p w14:paraId="7573AD0A">
      <w:pPr>
        <w:spacing w:line="360" w:lineRule="auto"/>
        <w:jc w:val="center"/>
        <w:rPr>
          <w:rFonts w:hint="eastAsia" w:ascii="宋体" w:hAnsi="宋体" w:eastAsia="宋体" w:cs="宋体"/>
          <w:b/>
          <w:bCs/>
          <w:color w:val="000000" w:themeColor="text1"/>
          <w:sz w:val="24"/>
          <w:szCs w:val="24"/>
          <w:highlight w:val="none"/>
          <w:u w:val="single"/>
          <w14:textFill>
            <w14:solidFill>
              <w14:schemeClr w14:val="tx1"/>
            </w14:solidFill>
          </w14:textFill>
        </w:rPr>
      </w:pPr>
    </w:p>
    <w:p w14:paraId="7150CEA9">
      <w:pPr>
        <w:spacing w:line="360" w:lineRule="auto"/>
        <w:jc w:val="both"/>
        <w:rPr>
          <w:rFonts w:hint="eastAsia" w:ascii="宋体" w:hAnsi="宋体" w:eastAsia="宋体" w:cs="宋体"/>
          <w:b/>
          <w:bCs/>
          <w:color w:val="000000" w:themeColor="text1"/>
          <w:sz w:val="24"/>
          <w:szCs w:val="24"/>
          <w:highlight w:val="none"/>
          <w:u w:val="single"/>
          <w14:textFill>
            <w14:solidFill>
              <w14:schemeClr w14:val="tx1"/>
            </w14:solidFill>
          </w14:textFill>
        </w:rPr>
      </w:pPr>
    </w:p>
    <w:p w14:paraId="4A0F4EF1">
      <w:pPr>
        <w:spacing w:line="360" w:lineRule="auto"/>
        <w:jc w:val="center"/>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32"/>
          <w:szCs w:val="32"/>
          <w:highlight w:val="none"/>
          <w:u w:val="single"/>
          <w14:textFill>
            <w14:solidFill>
              <w14:schemeClr w14:val="tx1"/>
            </w14:solidFill>
          </w14:textFill>
        </w:rPr>
        <w:t>投标人须知前附表2:资格性、符合性检查表</w:t>
      </w:r>
    </w:p>
    <w:p w14:paraId="4D3DB9AA">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本须知前附表2集中列示了符合性检查的所有条款，其内容是评标委员会在评审过程中判断投标人的投标是否有效的重要依据。</w:t>
      </w:r>
    </w:p>
    <w:tbl>
      <w:tblPr>
        <w:tblStyle w:val="23"/>
        <w:tblW w:w="8739"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696"/>
        <w:gridCol w:w="1422"/>
        <w:gridCol w:w="5925"/>
      </w:tblGrid>
      <w:tr w14:paraId="10BA6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noWrap w:val="0"/>
            <w:vAlign w:val="top"/>
          </w:tcPr>
          <w:p w14:paraId="56F59AB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资格性要求</w:t>
            </w:r>
          </w:p>
        </w:tc>
      </w:tr>
      <w:tr w14:paraId="0D8CF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7ABA86E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项</w:t>
            </w:r>
          </w:p>
          <w:p w14:paraId="6A32C33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号</w:t>
            </w:r>
          </w:p>
        </w:tc>
        <w:tc>
          <w:tcPr>
            <w:tcW w:w="696" w:type="dxa"/>
            <w:tcBorders>
              <w:bottom w:val="single" w:color="auto" w:sz="4" w:space="0"/>
            </w:tcBorders>
            <w:noWrap w:val="0"/>
            <w:vAlign w:val="center"/>
          </w:tcPr>
          <w:p w14:paraId="4651FBF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章</w:t>
            </w:r>
          </w:p>
        </w:tc>
        <w:tc>
          <w:tcPr>
            <w:tcW w:w="1422" w:type="dxa"/>
            <w:tcBorders>
              <w:bottom w:val="single" w:color="auto" w:sz="4" w:space="0"/>
            </w:tcBorders>
            <w:noWrap w:val="0"/>
            <w:vAlign w:val="center"/>
          </w:tcPr>
          <w:p w14:paraId="346EC39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条款号</w:t>
            </w:r>
          </w:p>
        </w:tc>
        <w:tc>
          <w:tcPr>
            <w:tcW w:w="5925" w:type="dxa"/>
            <w:tcBorders>
              <w:bottom w:val="single" w:color="auto" w:sz="4" w:space="0"/>
            </w:tcBorders>
            <w:noWrap w:val="0"/>
            <w:vAlign w:val="center"/>
          </w:tcPr>
          <w:p w14:paraId="18991724">
            <w:pPr>
              <w:tabs>
                <w:tab w:val="left" w:pos="2848"/>
              </w:tabs>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具体内容</w:t>
            </w:r>
          </w:p>
        </w:tc>
      </w:tr>
      <w:tr w14:paraId="456E5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CFECF6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5F1856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45F2C80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1D17C8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合格的投标人</w:t>
            </w:r>
          </w:p>
          <w:p w14:paraId="7EEDBC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具体内容详见第二章第3条“合格的投标人”。</w:t>
            </w:r>
          </w:p>
        </w:tc>
      </w:tr>
      <w:tr w14:paraId="596F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DD5B50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CCD932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05B22C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85A9A0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3.1凡有能力提供本招标文件所述服务的，具备《中华人民共和国政府采购法》第二十二条第一款规定的条件且符合本招标文件规定资格要求的境内服务商均可能成为合格的投标人。</w:t>
            </w:r>
          </w:p>
          <w:p w14:paraId="4B73597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投标人应具备《中华人民共和国政府采购法》第二十二条第一款规定的条件，并提供以下材料：</w:t>
            </w:r>
          </w:p>
          <w:p w14:paraId="5F1DA921">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w:t>
            </w:r>
          </w:p>
          <w:p w14:paraId="53BCFA7B">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报价人应</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提供福建省</w:t>
            </w:r>
            <w:r>
              <w:rPr>
                <w:rFonts w:hint="eastAsia" w:ascii="宋体" w:hAnsi="宋体" w:eastAsia="宋体" w:cs="宋体"/>
                <w:color w:val="000000" w:themeColor="text1"/>
                <w:sz w:val="24"/>
                <w:szCs w:val="24"/>
                <w:highlight w:val="none"/>
                <w14:textFill>
                  <w14:solidFill>
                    <w14:schemeClr w14:val="tx1"/>
                  </w14:solidFill>
                </w14:textFill>
              </w:rPr>
              <w:t>政府采购供应商资格承诺函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5740B840">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p w14:paraId="56EA9C49">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p>
        </w:tc>
      </w:tr>
      <w:tr w14:paraId="33B72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C3B3D9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4BB398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7486BDC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FEE6F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3.5如本项目接受联合体投标，则两个或者两个以上投标人可以组成一个投标联合体，以一个投标人的身份投标。</w:t>
            </w:r>
          </w:p>
          <w:p w14:paraId="3A29DC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投标的，联合体各方均应当符合合格的投标人相关规定。采购人根据采购项目的特殊要求规定投标人特定条件的，联合体各方中至少应当有一方符合采购人规定的特定条件，如联合体各方中没有一方符合特定条件的，该联合体投标无效。</w:t>
            </w:r>
          </w:p>
          <w:p w14:paraId="445613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389724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（3）项目如涉及资质要求，该部分内容应由联合体中具有该资质要求的投标人承担。联合体协议及签订的采购合同应包含此项内容。</w:t>
            </w:r>
          </w:p>
          <w:p w14:paraId="43E4597B">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（4）联合体中有同类资质的投标人按照联合体分工承担相同工作的，应当按照资质等级较低的投标人确定资质等级。</w:t>
            </w:r>
          </w:p>
        </w:tc>
      </w:tr>
      <w:tr w14:paraId="50862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EB46CD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758823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F0FCE8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CDF2138">
            <w:pPr>
              <w:spacing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3.6属于联合体投标的，除招标文件其他章节或本须知其他条款另有规定或要求外，投标文件中仅加盖联合体一方公章的相关文件，对联合体各方均具有约束力。</w:t>
            </w:r>
          </w:p>
        </w:tc>
      </w:tr>
      <w:tr w14:paraId="2B221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D625B5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4DB8A2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85321D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290074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3.7投标代理人在同一个项目中只能接受一个投标人的委托参加投标。</w:t>
            </w:r>
          </w:p>
        </w:tc>
      </w:tr>
      <w:tr w14:paraId="204EE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29F1091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BF075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4617AC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925" w:type="dxa"/>
            <w:tcBorders>
              <w:top w:val="single" w:color="auto" w:sz="4" w:space="0"/>
              <w:left w:val="single" w:color="auto" w:sz="4" w:space="0"/>
              <w:bottom w:val="single" w:color="auto" w:sz="4" w:space="0"/>
              <w:right w:val="single" w:color="auto" w:sz="4" w:space="0"/>
            </w:tcBorders>
            <w:noWrap w:val="0"/>
            <w:vAlign w:val="center"/>
          </w:tcPr>
          <w:p w14:paraId="33DAC393">
            <w:pPr>
              <w:tabs>
                <w:tab w:val="left" w:pos="630"/>
              </w:tabs>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2C4CB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66E45C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5F8D4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4E9A05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925" w:type="dxa"/>
            <w:tcBorders>
              <w:top w:val="single" w:color="auto" w:sz="4" w:space="0"/>
              <w:left w:val="single" w:color="auto" w:sz="4" w:space="0"/>
              <w:bottom w:val="single" w:color="auto" w:sz="4" w:space="0"/>
              <w:right w:val="single" w:color="auto" w:sz="4" w:space="0"/>
            </w:tcBorders>
            <w:noWrap w:val="0"/>
            <w:vAlign w:val="center"/>
          </w:tcPr>
          <w:p w14:paraId="71851430">
            <w:pPr>
              <w:pStyle w:val="20"/>
              <w:keepNext w:val="0"/>
              <w:keepLines w:val="0"/>
              <w:widowControl/>
              <w:suppressLineNumbers w:val="0"/>
              <w:spacing w:before="30" w:beforeAutospacing="0" w:after="30" w:afterAutospacing="0"/>
              <w:ind w:firstLine="482"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cs="宋体"/>
                <w:color w:val="000000" w:themeColor="text1"/>
                <w:sz w:val="24"/>
                <w:szCs w:val="24"/>
                <w:highlight w:val="none"/>
                <w:lang w:val="en-US" w:eastAsia="zh-CN"/>
                <w14:textFill>
                  <w14:solidFill>
                    <w14:schemeClr w14:val="tx1"/>
                  </w14:solidFill>
                </w14:textFill>
              </w:rPr>
              <w:t>四.</w:t>
            </w:r>
            <w:r>
              <w:rPr>
                <w:rStyle w:val="25"/>
                <w:rFonts w:hint="eastAsia" w:ascii="宋体" w:hAnsi="宋体" w:eastAsia="宋体" w:cs="宋体"/>
                <w:color w:val="000000" w:themeColor="text1"/>
                <w:sz w:val="24"/>
                <w:szCs w:val="24"/>
                <w:highlight w:val="none"/>
                <w14:textFill>
                  <w14:solidFill>
                    <w14:schemeClr w14:val="tx1"/>
                  </w14:solidFill>
                </w14:textFill>
              </w:rPr>
              <w:t>投标人</w:t>
            </w:r>
            <w:r>
              <w:rPr>
                <w:rStyle w:val="25"/>
                <w:rFonts w:hint="eastAsia" w:ascii="宋体" w:hAnsi="宋体" w:eastAsia="宋体" w:cs="宋体"/>
                <w:color w:val="000000" w:themeColor="text1"/>
                <w:sz w:val="24"/>
                <w:szCs w:val="24"/>
                <w:highlight w:val="none"/>
                <w:lang w:val="en-US" w:eastAsia="zh-CN"/>
                <w14:textFill>
                  <w14:solidFill>
                    <w14:schemeClr w14:val="tx1"/>
                  </w14:solidFill>
                </w14:textFill>
              </w:rPr>
              <w:t>特定</w:t>
            </w:r>
            <w:r>
              <w:rPr>
                <w:rStyle w:val="25"/>
                <w:rFonts w:hint="eastAsia" w:ascii="宋体" w:hAnsi="宋体" w:eastAsia="宋体" w:cs="宋体"/>
                <w:color w:val="000000" w:themeColor="text1"/>
                <w:sz w:val="24"/>
                <w:szCs w:val="24"/>
                <w:highlight w:val="none"/>
                <w14:textFill>
                  <w14:solidFill>
                    <w14:schemeClr w14:val="tx1"/>
                  </w14:solidFill>
                </w14:textFill>
              </w:rPr>
              <w:t>资格要求 </w:t>
            </w:r>
          </w:p>
          <w:p w14:paraId="0527D9A4">
            <w:pPr>
              <w:pStyle w:val="20"/>
              <w:widowControl/>
              <w:spacing w:before="30" w:after="3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w:t>
            </w:r>
            <w:r>
              <w:rPr>
                <w:rStyle w:val="25"/>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Style w:val="25"/>
                <w:rFonts w:hint="eastAsia" w:ascii="宋体" w:hAnsi="宋体" w:eastAsia="宋体" w:cs="宋体"/>
                <w:color w:val="000000" w:themeColor="text1"/>
                <w:sz w:val="24"/>
                <w:szCs w:val="24"/>
                <w:highlight w:val="none"/>
                <w14:textFill>
                  <w14:solidFill>
                    <w14:schemeClr w14:val="tx1"/>
                  </w14:solidFill>
                </w14:textFill>
              </w:rPr>
              <w:t>1、</w:t>
            </w:r>
            <w:r>
              <w:rPr>
                <w:rStyle w:val="25"/>
                <w:rFonts w:ascii="宋体" w:hAnsi="宋体" w:eastAsia="宋体" w:cs="宋体"/>
                <w:color w:val="000000" w:themeColor="text1"/>
                <w:highlight w:val="none"/>
                <w14:textFill>
                  <w14:solidFill>
                    <w14:schemeClr w14:val="tx1"/>
                  </w14:solidFill>
                </w14:textFill>
              </w:rPr>
              <w:t>投标人或其所属总公司需具有国家工业和信息化部或通信管理局颁发的在有效期内的《中华人民共和国增值电信业务经营许可证》(业务种类包含：呼叫中心业务)，并在投标文件中提供许可证复印件并加盖投标人公章，否则作无效投标处理。（如该证书为投标人所属总公司取得的，还应提供其所属总公司营业执照副本复印件）</w:t>
            </w:r>
          </w:p>
        </w:tc>
      </w:tr>
      <w:tr w14:paraId="756D0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tcBorders>
              <w:top w:val="single" w:color="auto" w:sz="4" w:space="0"/>
              <w:left w:val="single" w:color="auto" w:sz="4" w:space="0"/>
              <w:bottom w:val="single" w:color="auto" w:sz="4" w:space="0"/>
              <w:right w:val="single" w:color="auto" w:sz="4" w:space="0"/>
            </w:tcBorders>
            <w:noWrap w:val="0"/>
            <w:vAlign w:val="top"/>
          </w:tcPr>
          <w:p w14:paraId="222D49C4">
            <w:pPr>
              <w:spacing w:line="360" w:lineRule="auto"/>
              <w:ind w:firstLine="3373" w:firstLineChars="14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11D21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68E649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EC9AFC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868B69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3ABDC3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35670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7F7FF2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6D5CC5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77FE0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717E8D5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投标人的投标文件未按规定的投标截止时间之前提交的，其投标将被拒绝。</w:t>
            </w:r>
          </w:p>
        </w:tc>
      </w:tr>
      <w:tr w14:paraId="78DD5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29AE22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7A1555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4792033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422E61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3.2投标人应遵守并符合中国的有关法律、法规和规章的规定，同时其投标服务也应符合中国的有关法律、法规和规章的规定。认可本须知中的规定。</w:t>
            </w:r>
          </w:p>
        </w:tc>
      </w:tr>
      <w:tr w14:paraId="07E66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C4243E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233036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6D1E3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77677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3.3一个投标人只能提交一个投标文件。如果投标人之间存在下列互为关联关系的情形之一的，不得同时参加本项目同一合同包投标：</w:t>
            </w:r>
          </w:p>
          <w:p w14:paraId="143498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(1)法定代表人、单位负责人为同一人或夫妻关系的不同投标人；</w:t>
            </w:r>
          </w:p>
          <w:p w14:paraId="5F7763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(2)存在直接控股、管理关系的不同投标人；</w:t>
            </w:r>
          </w:p>
          <w:p w14:paraId="4215662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(3)均为同一家母公司直接或间接持股50％及以上的被投资公司。</w:t>
            </w:r>
          </w:p>
        </w:tc>
      </w:tr>
      <w:tr w14:paraId="48304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29E9EAC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6AB06A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8BC94E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489249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3BA12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03C342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E88164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8F086E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3.8</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22F86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3.8投标人存在下列情形之一的，将被认定为串通投标行为并作无效投标处理：</w:t>
            </w:r>
          </w:p>
          <w:p w14:paraId="6F67C0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（1）投标人之间协商投标报价等投标文件的实质性内容；</w:t>
            </w:r>
          </w:p>
          <w:p w14:paraId="32A0C3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（2）投标人之间约定中标供应商；</w:t>
            </w:r>
          </w:p>
          <w:p w14:paraId="3EC67D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（3）投标人之间约定部分投标人放弃投标或者中标；</w:t>
            </w:r>
          </w:p>
          <w:p w14:paraId="451504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（4）属于同一集团、协会、商会等组织成员的投标人按照该组织要求协同投标；</w:t>
            </w:r>
          </w:p>
          <w:p w14:paraId="5ED492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（5）投标人之间为谋取中标或者排斥特定投标人而采取的其他联合行动；</w:t>
            </w:r>
          </w:p>
          <w:p w14:paraId="168839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（6）不同投标人的投标文件由同一单位或者个人编制；</w:t>
            </w:r>
          </w:p>
          <w:p w14:paraId="790DD5F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（7）不同投标人委托同一单位或者个人办理投标事宜；</w:t>
            </w:r>
          </w:p>
          <w:p w14:paraId="191ADC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（8）不同投标人的投标文件载明的项目管理成员或者联系人员为同一人；</w:t>
            </w:r>
          </w:p>
          <w:p w14:paraId="703DDD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（9）不同投标人的投标文件异常一致或者投标报价呈规律性差异；</w:t>
            </w:r>
          </w:p>
          <w:p w14:paraId="4E77F0A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（10）不同投标人的投标文件相互混装；</w:t>
            </w:r>
          </w:p>
          <w:p w14:paraId="5874E5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（11）不同投标人的投标保证金从同一单位或者个人的账户转出。</w:t>
            </w:r>
          </w:p>
          <w:p w14:paraId="596C08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（12）不同投标人的投标文件错、漏之处一致或雷同，且不能合理解释的；</w:t>
            </w:r>
          </w:p>
          <w:p w14:paraId="1306D7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（13）不同的投标人的法定代表人、委托代理人等由同一个单位缴纳社会保险的；</w:t>
            </w:r>
          </w:p>
          <w:p w14:paraId="33F5AD6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（14）由同一人或分别由几个有利害关系的人携带两个以上（含两个）投标人的企业资料参与资格审查、领取招标资料，或代表两个以上（含两个）投标人参加招标答疑会、交纳或退还投标保证金、开标的；</w:t>
            </w:r>
          </w:p>
          <w:p w14:paraId="5E164A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（15）有关法律、法规或规章规定的其他串通投标行为。</w:t>
            </w:r>
          </w:p>
        </w:tc>
      </w:tr>
      <w:tr w14:paraId="57EB4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2BD86E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D5BC3D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9AFEDE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8.1</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393113D8">
            <w:pPr>
              <w:spacing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8.1投标人应仔细阅读招标文件的所有内容，按照招标文件的要求提交投标文件。投标文件应对招标文件的要求作出实质性响应，并保证所提供的全部资料的真实性，否则其投标将被拒绝。</w:t>
            </w:r>
          </w:p>
        </w:tc>
      </w:tr>
      <w:tr w14:paraId="2A6FE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3DDF1C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F48400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732F82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2605474E">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8.2除非有另外的规定，投标人可对招标服务一览表所列的全部合同包或部分合同包进行投标。招标采购单位不接受有任何可选择性的报价，每一种服务只能有一个报价，否则其投标将被拒绝。</w:t>
            </w:r>
          </w:p>
        </w:tc>
      </w:tr>
      <w:tr w14:paraId="33A2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688D5F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1C9AC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8C0873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12352D1E">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11.1投标文件从投标截止之日开始生效，在</w:t>
            </w:r>
            <w:r>
              <w:rPr>
                <w:rFonts w:hint="eastAsia" w:ascii="宋体" w:hAnsi="宋体" w:eastAsia="宋体" w:cs="宋体"/>
                <w:b/>
                <w:bCs/>
                <w:color w:val="000000" w:themeColor="text1"/>
                <w:sz w:val="24"/>
                <w:szCs w:val="24"/>
                <w:highlight w:val="none"/>
                <w14:textFill>
                  <w14:solidFill>
                    <w14:schemeClr w14:val="tx1"/>
                  </w14:solidFill>
                </w14:textFill>
              </w:rPr>
              <w:t>投标人须知前附表1</w:t>
            </w:r>
            <w:r>
              <w:rPr>
                <w:rFonts w:hint="eastAsia" w:ascii="宋体" w:hAnsi="宋体" w:eastAsia="宋体" w:cs="宋体"/>
                <w:b/>
                <w:color w:val="000000" w:themeColor="text1"/>
                <w:sz w:val="24"/>
                <w:szCs w:val="24"/>
                <w:highlight w:val="none"/>
                <w14:textFill>
                  <w14:solidFill>
                    <w14:schemeClr w14:val="tx1"/>
                  </w14:solidFill>
                </w14:textFill>
              </w:rPr>
              <w:t>第3项所规定的期限内保持有效。有效期不足将导致其投标文件被拒绝。</w:t>
            </w:r>
          </w:p>
        </w:tc>
      </w:tr>
      <w:tr w14:paraId="5022A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FC69E0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AAE635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97225E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4325478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12.5未按要求缴交投标保证金的投标，将被视为无效投标。</w:t>
            </w:r>
          </w:p>
        </w:tc>
      </w:tr>
      <w:tr w14:paraId="61AE2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09DDEB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A9B8B8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E83FE8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13.7</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023AB59C">
            <w:pPr>
              <w:spacing w:line="360" w:lineRule="auto"/>
              <w:ind w:firstLine="482"/>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13.7未按本须知规定的格式填写投标文件、投标文件字迹模糊不清的，其投标将被拒绝。</w:t>
            </w:r>
          </w:p>
        </w:tc>
      </w:tr>
      <w:tr w14:paraId="40D31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B0F532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1B1770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D9BD9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13.9</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41666CBB">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5FA6E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9651D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986E06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9E1270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499CF99C">
            <w:pPr>
              <w:spacing w:line="360" w:lineRule="auto"/>
              <w:ind w:firstLine="48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14.1</w:t>
            </w:r>
            <w:r>
              <w:rPr>
                <w:rFonts w:hint="eastAsia" w:ascii="宋体" w:hAnsi="宋体" w:eastAsia="宋体" w:cs="宋体"/>
                <w:b/>
                <w:color w:val="000000" w:themeColor="text1"/>
                <w:sz w:val="24"/>
                <w:szCs w:val="24"/>
                <w:highlight w:val="none"/>
                <w14:textFill>
                  <w14:solidFill>
                    <w14:schemeClr w14:val="tx1"/>
                  </w14:solidFill>
                </w14:textFill>
              </w:rPr>
              <w:t>投标文件未密封将导致其投标被拒绝。</w:t>
            </w:r>
          </w:p>
        </w:tc>
      </w:tr>
      <w:tr w14:paraId="32E79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E35E79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DE4492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AD41BF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14.5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79CD163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14.5投标文件应在投标邀请中规定的截止时间前送达，迟到的投标文件为无效投标文件, 将被拒收。</w:t>
            </w:r>
          </w:p>
        </w:tc>
      </w:tr>
      <w:tr w14:paraId="1BA7C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6BD892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E29AF5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8FFD76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14.7</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457C3AD5">
            <w:pPr>
              <w:spacing w:line="360" w:lineRule="auto"/>
              <w:ind w:firstLine="48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14.7投标人在投标截止时间后不得修改、撤回投标文件。投标人在投标截止时间后修改投标文件的，其投标将被拒绝。</w:t>
            </w:r>
          </w:p>
        </w:tc>
      </w:tr>
      <w:tr w14:paraId="76919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44BC87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D4EABE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2048DB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13519206">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17.投标人任何试图影响评委会对投标文件的评估、比较或者推荐候选人的行为，都将导致其投标按照无效投标处理，并被没收投标保证金。</w:t>
            </w:r>
          </w:p>
        </w:tc>
      </w:tr>
      <w:tr w14:paraId="63B9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2C3DF6A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622D78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4368175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04C5594B">
            <w:pPr>
              <w:spacing w:line="360" w:lineRule="auto"/>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w:t>
            </w:r>
            <w:r>
              <w:rPr>
                <w:rFonts w:hint="eastAsia" w:ascii="宋体" w:hAnsi="宋体" w:eastAsia="宋体" w:cs="宋体"/>
                <w:b/>
                <w:color w:val="000000" w:themeColor="text1"/>
                <w:sz w:val="24"/>
                <w:szCs w:val="24"/>
                <w:highlight w:val="none"/>
                <w14:textFill>
                  <w14:solidFill>
                    <w14:schemeClr w14:val="tx1"/>
                  </w14:solidFill>
                </w14:textFill>
              </w:rPr>
              <w:t>如果投标人不接受按上述方法对投标文件中的算术错误进行更正，其投标将按照无效投标处理并被没收投标保证金。</w:t>
            </w:r>
          </w:p>
        </w:tc>
      </w:tr>
      <w:tr w14:paraId="5EAB4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9104E4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F69C2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67886C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3FC1275C">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17.3.2依据招标文件的规定，评标委员会还将从投标文件的有效性、完整性和对招标文件的响应程度等方面进行审查，以确定其是否符合对招标文件的实质性要求作出响应。（采购人可根据具体项目的情况对实质性要求作特别的规定。）实质性偏离是指：（1）实质性影响合同的范围、质量和履行；（2）实质性违背招标文件，限制了采购人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2BCE2F49">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(1) 未按规定提交投标保证金的；</w:t>
            </w:r>
          </w:p>
          <w:p w14:paraId="42E108CF">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(2)投标有效期不满足招标文件要求的；</w:t>
            </w:r>
          </w:p>
          <w:p w14:paraId="02B361A7">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(3)投标内容与招标内容及要求有重大偏离或保留的；</w:t>
            </w:r>
          </w:p>
          <w:p w14:paraId="36A4A597">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(4)投标人提交的是可选择的报价；</w:t>
            </w:r>
          </w:p>
          <w:p w14:paraId="191BC4D8">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(5)投标人未按招标文件要求对投标进行分项报价；</w:t>
            </w:r>
          </w:p>
          <w:p w14:paraId="2F41A34D">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(6)投标文件中提供虚假或失实资料的；</w:t>
            </w:r>
          </w:p>
          <w:p w14:paraId="36B0CE0D">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(7)不符合招标文件中规定的其它实质性条款。</w:t>
            </w:r>
          </w:p>
          <w:p w14:paraId="5990B902">
            <w:pPr>
              <w:spacing w:line="360" w:lineRule="auto"/>
              <w:ind w:firstLine="48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评标委员会决定投标的响应性只根据投标文件本身的内容，而不寻求其他的外部证据。</w:t>
            </w:r>
          </w:p>
        </w:tc>
      </w:tr>
      <w:tr w14:paraId="2D0E8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0708BD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89B158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E877D9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17.3.3</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08C32EE4">
            <w:pPr>
              <w:spacing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17.3.3投标服务必须满足中华人民共和国相关法律法规及行业的强制性要求，否则该投标人的投标将按照无效投标处理。</w:t>
            </w:r>
          </w:p>
        </w:tc>
      </w:tr>
      <w:tr w14:paraId="42BC6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96" w:type="dxa"/>
            <w:tcBorders>
              <w:top w:val="single" w:color="auto" w:sz="4" w:space="0"/>
            </w:tcBorders>
            <w:noWrap w:val="0"/>
            <w:vAlign w:val="center"/>
          </w:tcPr>
          <w:p w14:paraId="482748B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w:t>
            </w:r>
          </w:p>
        </w:tc>
        <w:tc>
          <w:tcPr>
            <w:tcW w:w="696" w:type="dxa"/>
            <w:tcBorders>
              <w:top w:val="single" w:color="auto" w:sz="4" w:space="0"/>
            </w:tcBorders>
            <w:noWrap w:val="0"/>
            <w:vAlign w:val="center"/>
          </w:tcPr>
          <w:p w14:paraId="4A10F53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tcBorders>
              <w:top w:val="single" w:color="auto" w:sz="4" w:space="0"/>
            </w:tcBorders>
            <w:noWrap w:val="0"/>
            <w:vAlign w:val="center"/>
          </w:tcPr>
          <w:p w14:paraId="1FD9580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17.3.4</w:t>
            </w:r>
          </w:p>
        </w:tc>
        <w:tc>
          <w:tcPr>
            <w:tcW w:w="5925" w:type="dxa"/>
            <w:tcBorders>
              <w:top w:val="single" w:color="auto" w:sz="4" w:space="0"/>
            </w:tcBorders>
            <w:noWrap w:val="0"/>
            <w:vAlign w:val="center"/>
          </w:tcPr>
          <w:p w14:paraId="39BCB165">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17.3.4采购人、招标代理机构有下列情形之一的，将被认定为采购人、招标代理机构与投标人有串通投标行为，该投标人投标作无效投标处理：</w:t>
            </w:r>
          </w:p>
          <w:p w14:paraId="572A97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（1）在开标前开启投标文件并将有关信息泄露给其他投标人;</w:t>
            </w:r>
          </w:p>
          <w:p w14:paraId="2EAF49F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（2）评审结果公告前，直接或者间接向投标人泄露评标委员会成员等信息；</w:t>
            </w:r>
          </w:p>
          <w:p w14:paraId="769C3C1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（3）明示或者暗示投标人压低或者抬高投标报价；</w:t>
            </w:r>
          </w:p>
          <w:p w14:paraId="475A1C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（4）授意投标人撤换、修改投标文件（按18条进行的澄清除外）；</w:t>
            </w:r>
          </w:p>
          <w:p w14:paraId="5695CA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（5）明示或者暗示投标人为特定投标人中标提供方便；</w:t>
            </w:r>
          </w:p>
          <w:p w14:paraId="116FB15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（6）为谋求特定投标人中标而采取的其他串通行为。</w:t>
            </w:r>
          </w:p>
        </w:tc>
      </w:tr>
      <w:tr w14:paraId="2D97B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65A339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w:t>
            </w:r>
          </w:p>
        </w:tc>
        <w:tc>
          <w:tcPr>
            <w:tcW w:w="696" w:type="dxa"/>
            <w:noWrap w:val="0"/>
            <w:vAlign w:val="center"/>
          </w:tcPr>
          <w:p w14:paraId="58E47E3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noWrap w:val="0"/>
            <w:vAlign w:val="center"/>
          </w:tcPr>
          <w:p w14:paraId="73B9E5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17.3.5</w:t>
            </w:r>
          </w:p>
        </w:tc>
        <w:tc>
          <w:tcPr>
            <w:tcW w:w="5925" w:type="dxa"/>
            <w:noWrap w:val="0"/>
            <w:vAlign w:val="center"/>
          </w:tcPr>
          <w:p w14:paraId="47B55EE7">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17.3.5出现17.3.4情形之一的，作无效投标处理的</w:t>
            </w:r>
            <w:r>
              <w:rPr>
                <w:rFonts w:hint="eastAsia" w:ascii="宋体" w:hAnsi="宋体" w:eastAsia="宋体" w:cs="宋体"/>
                <w:b/>
                <w:color w:val="000000" w:themeColor="text1"/>
                <w:sz w:val="24"/>
                <w:szCs w:val="24"/>
                <w:highlight w:val="none"/>
                <w14:textFill>
                  <w14:solidFill>
                    <w14:schemeClr w14:val="tx1"/>
                  </w14:solidFill>
                </w14:textFill>
              </w:rPr>
              <w:t>投标人的投标保证金将予以没收，招标代理机构有权上报财政部门取消其采购供应商资格、并按有关规定予以处罚。</w:t>
            </w:r>
          </w:p>
        </w:tc>
      </w:tr>
      <w:tr w14:paraId="2780E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7B0D446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w:t>
            </w:r>
          </w:p>
        </w:tc>
        <w:tc>
          <w:tcPr>
            <w:tcW w:w="696" w:type="dxa"/>
            <w:noWrap w:val="0"/>
            <w:vAlign w:val="center"/>
          </w:tcPr>
          <w:p w14:paraId="4B47DFF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1422" w:type="dxa"/>
            <w:noWrap w:val="0"/>
            <w:vAlign w:val="center"/>
          </w:tcPr>
          <w:p w14:paraId="797A5F3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19.3</w:t>
            </w:r>
          </w:p>
        </w:tc>
        <w:tc>
          <w:tcPr>
            <w:tcW w:w="5925" w:type="dxa"/>
            <w:noWrap w:val="0"/>
            <w:vAlign w:val="center"/>
          </w:tcPr>
          <w:p w14:paraId="37EE862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37C4C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DF5498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w:t>
            </w:r>
          </w:p>
        </w:tc>
        <w:tc>
          <w:tcPr>
            <w:tcW w:w="696" w:type="dxa"/>
            <w:noWrap w:val="0"/>
            <w:vAlign w:val="center"/>
          </w:tcPr>
          <w:p w14:paraId="07717CA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22" w:type="dxa"/>
            <w:noWrap w:val="0"/>
            <w:vAlign w:val="center"/>
          </w:tcPr>
          <w:p w14:paraId="1A2D67A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925" w:type="dxa"/>
            <w:noWrap w:val="0"/>
            <w:vAlign w:val="center"/>
          </w:tcPr>
          <w:p w14:paraId="1943724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投标人如果为联合体投标，则必须同时满足下列要求，否则</w:t>
            </w:r>
            <w:r>
              <w:rPr>
                <w:rFonts w:hint="eastAsia" w:ascii="宋体" w:hAnsi="宋体" w:eastAsia="宋体" w:cs="宋体"/>
                <w:color w:val="000000" w:themeColor="text1"/>
                <w:sz w:val="24"/>
                <w:szCs w:val="24"/>
                <w:highlight w:val="none"/>
                <w14:textFill>
                  <w14:solidFill>
                    <w14:schemeClr w14:val="tx1"/>
                  </w14:solidFill>
                </w14:textFill>
              </w:rPr>
              <w:t>该投标人的投标将按照无效投标处理</w:t>
            </w:r>
            <w:r>
              <w:rPr>
                <w:rFonts w:hint="eastAsia" w:ascii="宋体" w:hAnsi="宋体" w:eastAsia="宋体" w:cs="宋体"/>
                <w:bCs/>
                <w:color w:val="000000" w:themeColor="text1"/>
                <w:sz w:val="24"/>
                <w:szCs w:val="24"/>
                <w:highlight w:val="none"/>
                <w14:textFill>
                  <w14:solidFill>
                    <w14:schemeClr w14:val="tx1"/>
                  </w14:solidFill>
                </w14:textFill>
              </w:rPr>
              <w:t>：</w:t>
            </w:r>
          </w:p>
          <w:p w14:paraId="4C1CC73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①在开标一览表中注明是否联合体投标、联合体组成单位；</w:t>
            </w:r>
          </w:p>
          <w:p w14:paraId="16AB3CE4">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②在投标文件中提供各方盖章签署的共同投标协议原件。</w:t>
            </w:r>
          </w:p>
        </w:tc>
      </w:tr>
      <w:tr w14:paraId="77B98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5BBD319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w:t>
            </w:r>
          </w:p>
        </w:tc>
        <w:tc>
          <w:tcPr>
            <w:tcW w:w="696" w:type="dxa"/>
            <w:noWrap w:val="0"/>
            <w:vAlign w:val="center"/>
          </w:tcPr>
          <w:p w14:paraId="7FC8FBC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22" w:type="dxa"/>
            <w:noWrap w:val="0"/>
            <w:vAlign w:val="center"/>
          </w:tcPr>
          <w:p w14:paraId="555DDC7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925" w:type="dxa"/>
            <w:noWrap w:val="0"/>
            <w:vAlign w:val="center"/>
          </w:tcPr>
          <w:p w14:paraId="40196EEA">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投标文件中不得附有采购人不能接受的条款，</w:t>
            </w:r>
            <w:r>
              <w:rPr>
                <w:rFonts w:hint="eastAsia" w:ascii="宋体" w:hAnsi="宋体" w:eastAsia="宋体" w:cs="宋体"/>
                <w:color w:val="000000" w:themeColor="text1"/>
                <w:sz w:val="24"/>
                <w:szCs w:val="24"/>
                <w:highlight w:val="none"/>
                <w14:textFill>
                  <w14:solidFill>
                    <w14:schemeClr w14:val="tx1"/>
                  </w14:solidFill>
                </w14:textFill>
              </w:rPr>
              <w:t>否则该投标人的投标将按照无效投标处理。</w:t>
            </w:r>
          </w:p>
        </w:tc>
      </w:tr>
      <w:tr w14:paraId="2F628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140AAAE">
            <w:pPr>
              <w:pStyle w:val="2"/>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w:t>
            </w:r>
          </w:p>
        </w:tc>
        <w:tc>
          <w:tcPr>
            <w:tcW w:w="696" w:type="dxa"/>
            <w:noWrap w:val="0"/>
            <w:vAlign w:val="center"/>
          </w:tcPr>
          <w:p w14:paraId="202FA901">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22" w:type="dxa"/>
            <w:noWrap w:val="0"/>
            <w:vAlign w:val="center"/>
          </w:tcPr>
          <w:p w14:paraId="44D13531">
            <w:pPr>
              <w:pStyle w:val="2"/>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tc>
        <w:tc>
          <w:tcPr>
            <w:tcW w:w="5925" w:type="dxa"/>
            <w:noWrap w:val="0"/>
            <w:vAlign w:val="center"/>
          </w:tcPr>
          <w:p w14:paraId="22ED62D9">
            <w:pPr>
              <w:pStyle w:val="2"/>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本项目以合同包为单位，对于每个合同包，投标人必须完整地提供合同包要求的所有服务，否则</w:t>
            </w:r>
            <w:r>
              <w:rPr>
                <w:rFonts w:hint="eastAsia" w:ascii="宋体" w:hAnsi="宋体" w:eastAsia="宋体" w:cs="宋体"/>
                <w:color w:val="000000" w:themeColor="text1"/>
                <w:sz w:val="24"/>
                <w:szCs w:val="24"/>
                <w:highlight w:val="none"/>
                <w14:textFill>
                  <w14:solidFill>
                    <w14:schemeClr w14:val="tx1"/>
                  </w14:solidFill>
                </w14:textFill>
              </w:rPr>
              <w:t>该投标人针对该合同包的投标将按照无效投标处理</w:t>
            </w:r>
            <w:r>
              <w:rPr>
                <w:rFonts w:hint="eastAsia" w:ascii="宋体" w:hAnsi="宋体" w:eastAsia="宋体" w:cs="宋体"/>
                <w:bCs/>
                <w:color w:val="000000" w:themeColor="text1"/>
                <w:sz w:val="24"/>
                <w:szCs w:val="24"/>
                <w:highlight w:val="none"/>
                <w14:textFill>
                  <w14:solidFill>
                    <w14:schemeClr w14:val="tx1"/>
                  </w14:solidFill>
                </w14:textFill>
              </w:rPr>
              <w:t>。</w:t>
            </w:r>
          </w:p>
        </w:tc>
      </w:tr>
      <w:tr w14:paraId="534A1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54D9213D">
            <w:pPr>
              <w:pStyle w:val="2"/>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w:t>
            </w:r>
          </w:p>
        </w:tc>
        <w:tc>
          <w:tcPr>
            <w:tcW w:w="696" w:type="dxa"/>
            <w:noWrap w:val="0"/>
            <w:vAlign w:val="center"/>
          </w:tcPr>
          <w:p w14:paraId="178CC38A">
            <w:pPr>
              <w:pStyle w:val="2"/>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tc>
        <w:tc>
          <w:tcPr>
            <w:tcW w:w="1422" w:type="dxa"/>
            <w:noWrap w:val="0"/>
            <w:vAlign w:val="center"/>
          </w:tcPr>
          <w:p w14:paraId="4698EA43">
            <w:pPr>
              <w:pStyle w:val="2"/>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tc>
        <w:tc>
          <w:tcPr>
            <w:tcW w:w="5925" w:type="dxa"/>
            <w:noWrap w:val="0"/>
            <w:vAlign w:val="center"/>
          </w:tcPr>
          <w:p w14:paraId="5E373C9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投标人应对其在投标文件中声明的关于中小企业事项的真实性负责，存在以下情形之一的，经评标委员会查实，应认定存在虚假的：</w:t>
            </w:r>
          </w:p>
          <w:p w14:paraId="3BD2A81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（1）投标人（包括联合体任一方）不符合“工信部联企业[2011]300号”规定的中小企业标准的；</w:t>
            </w:r>
          </w:p>
          <w:p w14:paraId="169C92D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（2）投标服务全部或部分为使用大型企业注册商标的服务的；</w:t>
            </w:r>
          </w:p>
          <w:p w14:paraId="348DAA8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（3）投标文件中标明的小型或微型企业服务的服务商不符合“工信部联企业[2011]300号”规定的小型和微型企业标准的。</w:t>
            </w:r>
          </w:p>
          <w:p w14:paraId="3C952668">
            <w:pPr>
              <w:pStyle w:val="2"/>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在评审过程中发现上述虚假情形的，该投标人的投标作无效投标处理。</w:t>
            </w:r>
          </w:p>
        </w:tc>
      </w:tr>
      <w:tr w14:paraId="2EB43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08685C9D">
            <w:pPr>
              <w:pStyle w:val="2"/>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w:t>
            </w:r>
          </w:p>
        </w:tc>
        <w:tc>
          <w:tcPr>
            <w:tcW w:w="696" w:type="dxa"/>
            <w:noWrap w:val="0"/>
            <w:vAlign w:val="center"/>
          </w:tcPr>
          <w:p w14:paraId="66C9C957">
            <w:pPr>
              <w:pStyle w:val="2"/>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tc>
        <w:tc>
          <w:tcPr>
            <w:tcW w:w="1422" w:type="dxa"/>
            <w:noWrap w:val="0"/>
            <w:vAlign w:val="center"/>
          </w:tcPr>
          <w:p w14:paraId="63C16928">
            <w:pPr>
              <w:pStyle w:val="2"/>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tc>
        <w:tc>
          <w:tcPr>
            <w:tcW w:w="5925" w:type="dxa"/>
            <w:noWrap w:val="0"/>
            <w:vAlign w:val="center"/>
          </w:tcPr>
          <w:p w14:paraId="4C511649">
            <w:pPr>
              <w:pStyle w:val="2"/>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减半交纳投标保证金的投标人未按照招标文件格式要求在投标文件中提供《中小企业声明函》的，其投标作无效投标处理。</w:t>
            </w:r>
          </w:p>
        </w:tc>
      </w:tr>
      <w:tr w14:paraId="474F7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22F4EB85">
            <w:pPr>
              <w:pStyle w:val="2"/>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w:t>
            </w:r>
          </w:p>
        </w:tc>
        <w:tc>
          <w:tcPr>
            <w:tcW w:w="696" w:type="dxa"/>
            <w:tcBorders>
              <w:bottom w:val="single" w:color="auto" w:sz="4" w:space="0"/>
            </w:tcBorders>
            <w:noWrap w:val="0"/>
            <w:vAlign w:val="center"/>
          </w:tcPr>
          <w:p w14:paraId="704C4223">
            <w:pPr>
              <w:pStyle w:val="2"/>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tc>
        <w:tc>
          <w:tcPr>
            <w:tcW w:w="1422" w:type="dxa"/>
            <w:tcBorders>
              <w:bottom w:val="single" w:color="auto" w:sz="4" w:space="0"/>
            </w:tcBorders>
            <w:noWrap w:val="0"/>
            <w:vAlign w:val="center"/>
          </w:tcPr>
          <w:p w14:paraId="0BC6C2E1">
            <w:pPr>
              <w:pStyle w:val="2"/>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tc>
        <w:tc>
          <w:tcPr>
            <w:tcW w:w="5925" w:type="dxa"/>
            <w:tcBorders>
              <w:bottom w:val="single" w:color="auto" w:sz="4" w:space="0"/>
            </w:tcBorders>
            <w:noWrap w:val="0"/>
            <w:vAlign w:val="center"/>
          </w:tcPr>
          <w:p w14:paraId="03736330">
            <w:pPr>
              <w:pStyle w:val="2"/>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投标人应按照招标文件格式要求在投标文件中提供《廉洁承诺书》原件（投标人为联合体的，联合体各方均应提供《廉洁承诺书》原件），否则作无效投标处理。</w:t>
            </w:r>
          </w:p>
        </w:tc>
      </w:tr>
      <w:tr w14:paraId="1A746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576D00CC">
            <w:pPr>
              <w:pStyle w:val="2"/>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28</w:t>
            </w:r>
          </w:p>
        </w:tc>
        <w:tc>
          <w:tcPr>
            <w:tcW w:w="696" w:type="dxa"/>
            <w:tcBorders>
              <w:bottom w:val="single" w:color="auto" w:sz="4" w:space="0"/>
            </w:tcBorders>
            <w:noWrap w:val="0"/>
            <w:vAlign w:val="center"/>
          </w:tcPr>
          <w:p w14:paraId="663EB8B6">
            <w:pPr>
              <w:pStyle w:val="2"/>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tc>
        <w:tc>
          <w:tcPr>
            <w:tcW w:w="1422" w:type="dxa"/>
            <w:tcBorders>
              <w:bottom w:val="single" w:color="auto" w:sz="4" w:space="0"/>
            </w:tcBorders>
            <w:noWrap w:val="0"/>
            <w:vAlign w:val="center"/>
          </w:tcPr>
          <w:p w14:paraId="5E9A8446">
            <w:pPr>
              <w:pStyle w:val="2"/>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tc>
        <w:tc>
          <w:tcPr>
            <w:tcW w:w="5925" w:type="dxa"/>
            <w:tcBorders>
              <w:bottom w:val="single" w:color="auto" w:sz="4" w:space="0"/>
            </w:tcBorders>
            <w:noWrap w:val="0"/>
            <w:vAlign w:val="center"/>
          </w:tcPr>
          <w:p w14:paraId="15F1D40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其他不满足招标文件要求经评标委员会认定须作无效投标处理的。</w:t>
            </w:r>
          </w:p>
        </w:tc>
      </w:tr>
      <w:tr w14:paraId="15F97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4BEFFD24">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29</w:t>
            </w:r>
          </w:p>
        </w:tc>
        <w:tc>
          <w:tcPr>
            <w:tcW w:w="696" w:type="dxa"/>
            <w:tcBorders>
              <w:bottom w:val="single" w:color="auto" w:sz="4" w:space="0"/>
            </w:tcBorders>
            <w:noWrap w:val="0"/>
            <w:vAlign w:val="center"/>
          </w:tcPr>
          <w:p w14:paraId="0126CA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22" w:type="dxa"/>
            <w:tcBorders>
              <w:bottom w:val="single" w:color="auto" w:sz="4" w:space="0"/>
            </w:tcBorders>
            <w:noWrap w:val="0"/>
            <w:vAlign w:val="center"/>
          </w:tcPr>
          <w:p w14:paraId="0A9A645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925" w:type="dxa"/>
            <w:tcBorders>
              <w:bottom w:val="single" w:color="auto" w:sz="4" w:space="0"/>
            </w:tcBorders>
            <w:noWrap w:val="0"/>
            <w:vAlign w:val="center"/>
          </w:tcPr>
          <w:p w14:paraId="1159AE1E">
            <w:pPr>
              <w:pStyle w:val="47"/>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123号）规定的包装要求，其他包装需求详见招标文件具体规定。采购人、中标供应商双方签订合同及验收环节，应包含上述包装要求的条款。</w:t>
            </w:r>
          </w:p>
        </w:tc>
      </w:tr>
      <w:tr w14:paraId="60B33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6577A6D5">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30</w:t>
            </w:r>
          </w:p>
        </w:tc>
        <w:tc>
          <w:tcPr>
            <w:tcW w:w="696" w:type="dxa"/>
            <w:tcBorders>
              <w:bottom w:val="single" w:color="auto" w:sz="4" w:space="0"/>
            </w:tcBorders>
            <w:noWrap w:val="0"/>
            <w:vAlign w:val="center"/>
          </w:tcPr>
          <w:p w14:paraId="04F0F33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22" w:type="dxa"/>
            <w:tcBorders>
              <w:bottom w:val="single" w:color="auto" w:sz="4" w:space="0"/>
            </w:tcBorders>
            <w:noWrap w:val="0"/>
            <w:vAlign w:val="center"/>
          </w:tcPr>
          <w:p w14:paraId="20DAF1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925" w:type="dxa"/>
            <w:tcBorders>
              <w:bottom w:val="single" w:color="auto" w:sz="4" w:space="0"/>
            </w:tcBorders>
            <w:noWrap w:val="0"/>
            <w:vAlign w:val="center"/>
          </w:tcPr>
          <w:p w14:paraId="08A6466F">
            <w:pPr>
              <w:numPr>
                <w:ilvl w:val="0"/>
                <w:numId w:val="0"/>
              </w:numPr>
              <w:spacing w:line="360" w:lineRule="auto"/>
              <w:ind w:firstLine="482" w:firstLineChars="200"/>
              <w:jc w:val="left"/>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3.2.5.1.2</w:t>
            </w:r>
            <w:r>
              <w:rPr>
                <w:rFonts w:hint="eastAsia" w:ascii="宋体" w:hAnsi="宋体" w:eastAsia="宋体" w:cs="宋体"/>
                <w:b/>
                <w:bCs/>
                <w:color w:val="000000" w:themeColor="text1"/>
                <w:sz w:val="24"/>
                <w:szCs w:val="24"/>
                <w:highlight w:val="none"/>
                <w14:textFill>
                  <w14:solidFill>
                    <w14:schemeClr w14:val="tx1"/>
                  </w14:solidFill>
                </w14:textFill>
              </w:rPr>
              <w:t>本项目客服坐席</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须</w:t>
            </w:r>
            <w:r>
              <w:rPr>
                <w:rFonts w:hint="eastAsia" w:ascii="宋体" w:hAnsi="宋体" w:eastAsia="宋体" w:cs="宋体"/>
                <w:b/>
                <w:bCs/>
                <w:color w:val="000000" w:themeColor="text1"/>
                <w:sz w:val="24"/>
                <w:szCs w:val="24"/>
                <w:highlight w:val="none"/>
                <w14:textFill>
                  <w14:solidFill>
                    <w14:schemeClr w14:val="tx1"/>
                  </w14:solidFill>
                </w14:textFill>
              </w:rPr>
              <w:t>为本项目专属专用，不得与其他项目复用</w:t>
            </w:r>
            <w:r>
              <w:rPr>
                <w:rFonts w:hint="eastAsia" w:ascii="宋体" w:hAnsi="宋体" w:cs="宋体"/>
                <w:b/>
                <w:bCs/>
                <w:color w:val="000000" w:themeColor="text1"/>
                <w:sz w:val="24"/>
                <w:szCs w:val="24"/>
                <w:highlight w:val="none"/>
                <w:lang w:eastAsia="zh-CN"/>
                <w14:textFill>
                  <w14:solidFill>
                    <w14:schemeClr w14:val="tx1"/>
                  </w14:solidFill>
                </w14:textFill>
              </w:rPr>
              <w:t>。</w:t>
            </w:r>
          </w:p>
        </w:tc>
      </w:tr>
      <w:tr w14:paraId="3DB35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71293998">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31</w:t>
            </w:r>
          </w:p>
        </w:tc>
        <w:tc>
          <w:tcPr>
            <w:tcW w:w="696" w:type="dxa"/>
            <w:tcBorders>
              <w:bottom w:val="single" w:color="auto" w:sz="4" w:space="0"/>
            </w:tcBorders>
            <w:noWrap w:val="0"/>
            <w:vAlign w:val="center"/>
          </w:tcPr>
          <w:p w14:paraId="563A04F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22" w:type="dxa"/>
            <w:tcBorders>
              <w:bottom w:val="single" w:color="auto" w:sz="4" w:space="0"/>
            </w:tcBorders>
            <w:noWrap w:val="0"/>
            <w:vAlign w:val="center"/>
          </w:tcPr>
          <w:p w14:paraId="32999D8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925" w:type="dxa"/>
            <w:tcBorders>
              <w:bottom w:val="single" w:color="auto" w:sz="4" w:space="0"/>
            </w:tcBorders>
            <w:noWrap w:val="0"/>
            <w:vAlign w:val="center"/>
          </w:tcPr>
          <w:p w14:paraId="7018A1F6">
            <w:pPr>
              <w:numPr>
                <w:ilvl w:val="0"/>
                <w:numId w:val="0"/>
              </w:numPr>
              <w:spacing w:line="360" w:lineRule="auto"/>
              <w:ind w:firstLine="482"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3.2.5.1.3</w:t>
            </w:r>
            <w:r>
              <w:rPr>
                <w:rFonts w:hint="eastAsia" w:ascii="宋体" w:hAnsi="宋体" w:eastAsia="宋体" w:cs="宋体"/>
                <w:b/>
                <w:bCs/>
                <w:color w:val="000000" w:themeColor="text1"/>
                <w:sz w:val="24"/>
                <w:szCs w:val="24"/>
                <w:highlight w:val="none"/>
                <w14:textFill>
                  <w14:solidFill>
                    <w14:schemeClr w14:val="tx1"/>
                  </w14:solidFill>
                </w14:textFill>
              </w:rPr>
              <w:t>人员数量：服务中心的专职人员不少于65人。高峰期仅使用人工坐席，不得使用AI坐席（每日8:00-10:00为早高峰期，每周一至周三为高峰周期）。</w:t>
            </w:r>
          </w:p>
        </w:tc>
      </w:tr>
      <w:tr w14:paraId="0F62B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900753B">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32</w:t>
            </w:r>
          </w:p>
        </w:tc>
        <w:tc>
          <w:tcPr>
            <w:tcW w:w="696" w:type="dxa"/>
            <w:noWrap w:val="0"/>
            <w:vAlign w:val="center"/>
          </w:tcPr>
          <w:p w14:paraId="574B9E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22" w:type="dxa"/>
            <w:noWrap w:val="0"/>
            <w:vAlign w:val="center"/>
          </w:tcPr>
          <w:p w14:paraId="56FCC98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925" w:type="dxa"/>
            <w:noWrap w:val="0"/>
            <w:vAlign w:val="center"/>
          </w:tcPr>
          <w:p w14:paraId="0F86771B">
            <w:pPr>
              <w:numPr>
                <w:ilvl w:val="-1"/>
                <w:numId w:val="0"/>
              </w:numPr>
              <w:spacing w:line="360" w:lineRule="auto"/>
              <w:ind w:firstLine="482"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cs="宋体"/>
                <w:b/>
                <w:bCs/>
                <w:color w:val="000000" w:themeColor="text1"/>
                <w:sz w:val="24"/>
                <w:szCs w:val="24"/>
                <w:highlight w:val="none"/>
                <w:lang w:val="en-US" w:eastAsia="zh-CN"/>
                <w14:textFill>
                  <w14:solidFill>
                    <w14:schemeClr w14:val="tx1"/>
                  </w14:solidFill>
                </w14:textFill>
              </w:rPr>
              <w:t>3.2.5.1.4、</w:t>
            </w:r>
            <w:r>
              <w:rPr>
                <w:rFonts w:hint="eastAsia" w:ascii="宋体" w:hAnsi="宋体" w:eastAsia="宋体" w:cs="宋体"/>
                <w:b/>
                <w:bCs/>
                <w:color w:val="000000" w:themeColor="text1"/>
                <w:sz w:val="24"/>
                <w:szCs w:val="24"/>
                <w:highlight w:val="none"/>
                <w14:textFill>
                  <w14:solidFill>
                    <w14:schemeClr w14:val="tx1"/>
                  </w14:solidFill>
                </w14:textFill>
              </w:rPr>
              <w:t>投标人需承诺</w:t>
            </w:r>
            <w:r>
              <w:rPr>
                <w:rFonts w:hint="eastAsia" w:ascii="宋体" w:hAnsi="宋体" w:cs="宋体"/>
                <w:b/>
                <w:bCs/>
                <w:color w:val="000000" w:themeColor="text1"/>
                <w:sz w:val="24"/>
                <w:szCs w:val="24"/>
                <w:highlight w:val="none"/>
                <w:lang w:val="en-US" w:eastAsia="zh-CN"/>
                <w14:textFill>
                  <w14:solidFill>
                    <w14:schemeClr w14:val="tx1"/>
                  </w14:solidFill>
                </w14:textFill>
              </w:rPr>
              <w:t>以下内容：</w:t>
            </w: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cs="宋体"/>
                <w:b/>
                <w:bCs/>
                <w:color w:val="000000" w:themeColor="text1"/>
                <w:sz w:val="24"/>
                <w:szCs w:val="24"/>
                <w:highlight w:val="none"/>
                <w:lang w:val="en-US" w:eastAsia="zh-CN"/>
                <w14:textFill>
                  <w14:solidFill>
                    <w14:schemeClr w14:val="tx1"/>
                  </w14:solidFill>
                </w14:textFill>
              </w:rPr>
              <w:t>若中标，</w:t>
            </w:r>
            <w:r>
              <w:rPr>
                <w:rFonts w:hint="eastAsia" w:ascii="宋体" w:hAnsi="宋体" w:eastAsia="宋体" w:cs="宋体"/>
                <w:b/>
                <w:bCs/>
                <w:color w:val="000000" w:themeColor="text1"/>
                <w:sz w:val="24"/>
                <w:szCs w:val="24"/>
                <w:highlight w:val="none"/>
                <w14:textFill>
                  <w14:solidFill>
                    <w14:schemeClr w14:val="tx1"/>
                  </w14:solidFill>
                </w14:textFill>
              </w:rPr>
              <w:t>在厦门市行政区内设置呼叫中心场地（2）</w:t>
            </w:r>
            <w:r>
              <w:rPr>
                <w:rFonts w:hint="eastAsia" w:ascii="宋体" w:hAnsi="宋体" w:cs="宋体"/>
                <w:b/>
                <w:bCs/>
                <w:color w:val="000000" w:themeColor="text1"/>
                <w:sz w:val="24"/>
                <w:szCs w:val="24"/>
                <w:highlight w:val="none"/>
                <w:lang w:val="en-US" w:eastAsia="zh-CN"/>
                <w14:textFill>
                  <w14:solidFill>
                    <w14:schemeClr w14:val="tx1"/>
                  </w14:solidFill>
                </w14:textFill>
              </w:rPr>
              <w:t>若中标，</w:t>
            </w:r>
            <w:r>
              <w:rPr>
                <w:rFonts w:hint="eastAsia" w:ascii="宋体" w:hAnsi="宋体" w:eastAsia="宋体" w:cs="宋体"/>
                <w:b/>
                <w:bCs/>
                <w:color w:val="000000" w:themeColor="text1"/>
                <w:sz w:val="24"/>
                <w:szCs w:val="24"/>
                <w:highlight w:val="none"/>
                <w14:textFill>
                  <w14:solidFill>
                    <w14:schemeClr w14:val="tx1"/>
                  </w14:solidFill>
                </w14:textFill>
              </w:rPr>
              <w:t>准时足额支付客服坐席薪资福利等各项费用。</w:t>
            </w:r>
            <w:r>
              <w:rPr>
                <w:rFonts w:hint="eastAsia" w:ascii="宋体" w:hAnsi="宋体" w:cs="宋体"/>
                <w:b/>
                <w:bCs/>
                <w:color w:val="000000" w:themeColor="text1"/>
                <w:sz w:val="24"/>
                <w:szCs w:val="24"/>
                <w:highlight w:val="none"/>
                <w:lang w:val="en-US" w:eastAsia="zh-CN"/>
                <w14:textFill>
                  <w14:solidFill>
                    <w14:schemeClr w14:val="tx1"/>
                  </w14:solidFill>
                </w14:textFill>
              </w:rPr>
              <w:t>投标人需提供承诺函并加盖单位公章（格式自拟）。</w:t>
            </w:r>
          </w:p>
        </w:tc>
      </w:tr>
      <w:tr w14:paraId="0F0A3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57F58A25">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33</w:t>
            </w:r>
          </w:p>
        </w:tc>
        <w:tc>
          <w:tcPr>
            <w:tcW w:w="696" w:type="dxa"/>
            <w:tcBorders>
              <w:bottom w:val="single" w:color="auto" w:sz="4" w:space="0"/>
            </w:tcBorders>
            <w:noWrap w:val="0"/>
            <w:vAlign w:val="center"/>
          </w:tcPr>
          <w:p w14:paraId="416A147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22" w:type="dxa"/>
            <w:tcBorders>
              <w:bottom w:val="single" w:color="auto" w:sz="4" w:space="0"/>
            </w:tcBorders>
            <w:noWrap w:val="0"/>
            <w:vAlign w:val="center"/>
          </w:tcPr>
          <w:p w14:paraId="3796E4B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925" w:type="dxa"/>
            <w:tcBorders>
              <w:bottom w:val="single" w:color="auto" w:sz="4" w:space="0"/>
            </w:tcBorders>
            <w:noWrap w:val="0"/>
            <w:vAlign w:val="center"/>
          </w:tcPr>
          <w:p w14:paraId="3238379D">
            <w:pPr>
              <w:pStyle w:val="2"/>
              <w:rPr>
                <w:rFonts w:hint="eastAsia" w:ascii="宋体" w:hAnsi="宋体" w:eastAsia="宋体" w:cs="宋体"/>
                <w:b w:val="0"/>
                <w:bCs w:val="0"/>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w:t>
            </w:r>
            <w:r>
              <w:rPr>
                <w:rStyle w:val="25"/>
                <w:rFonts w:hint="eastAsia" w:ascii="宋体" w:hAnsi="宋体" w:eastAsia="宋体" w:cs="宋体"/>
                <w:color w:val="000000" w:themeColor="text1"/>
                <w:sz w:val="24"/>
                <w:szCs w:val="24"/>
                <w:highlight w:val="none"/>
                <w:lang w:val="en-US" w:eastAsia="zh-CN"/>
                <w14:textFill>
                  <w14:solidFill>
                    <w14:schemeClr w14:val="tx1"/>
                  </w14:solidFill>
                </w14:textFill>
              </w:rPr>
              <w:t>5.1.</w:t>
            </w:r>
            <w:r>
              <w:rPr>
                <w:rStyle w:val="25"/>
                <w:rFonts w:hint="eastAsia" w:ascii="宋体" w:hAnsi="宋体" w:eastAsia="宋体" w:cs="宋体"/>
                <w:color w:val="000000" w:themeColor="text1"/>
                <w:sz w:val="24"/>
                <w:szCs w:val="24"/>
                <w:highlight w:val="none"/>
                <w14:textFill>
                  <w14:solidFill>
                    <w14:schemeClr w14:val="tx1"/>
                  </w14:solidFill>
                </w14:textFill>
              </w:rPr>
              <w:t>本</w:t>
            </w:r>
            <w:r>
              <w:rPr>
                <w:rStyle w:val="25"/>
                <w:rFonts w:hint="eastAsia" w:cs="宋体"/>
                <w:color w:val="000000" w:themeColor="text1"/>
                <w:sz w:val="24"/>
                <w:szCs w:val="24"/>
                <w:highlight w:val="none"/>
                <w:lang w:val="en-US" w:eastAsia="zh-CN"/>
                <w14:textFill>
                  <w14:solidFill>
                    <w14:schemeClr w14:val="tx1"/>
                  </w14:solidFill>
                </w14:textFill>
              </w:rPr>
              <w:t>项目</w:t>
            </w:r>
            <w:r>
              <w:rPr>
                <w:rStyle w:val="25"/>
                <w:rFonts w:hint="eastAsia" w:ascii="宋体" w:hAnsi="宋体" w:eastAsia="宋体" w:cs="宋体"/>
                <w:color w:val="000000" w:themeColor="text1"/>
                <w:sz w:val="24"/>
                <w:szCs w:val="24"/>
                <w:highlight w:val="none"/>
                <w14:textFill>
                  <w14:solidFill>
                    <w14:schemeClr w14:val="tx1"/>
                  </w14:solidFill>
                </w14:textFill>
              </w:rPr>
              <w:t>投标人所报价格不得超过采购预算（人民币</w:t>
            </w:r>
            <w:r>
              <w:rPr>
                <w:rStyle w:val="25"/>
                <w:rFonts w:hint="eastAsia" w:eastAsia="宋体"/>
                <w:color w:val="000000" w:themeColor="text1"/>
                <w:sz w:val="24"/>
                <w:szCs w:val="24"/>
                <w:highlight w:val="none"/>
                <w:lang w:val="en-US" w:eastAsia="zh-CN"/>
                <w14:textFill>
                  <w14:solidFill>
                    <w14:schemeClr w14:val="tx1"/>
                  </w14:solidFill>
                </w14:textFill>
              </w:rPr>
              <w:t>649</w:t>
            </w:r>
            <w:r>
              <w:rPr>
                <w:rStyle w:val="25"/>
                <w:rFonts w:hint="eastAsia" w:ascii="宋体" w:hAnsi="宋体" w:eastAsia="宋体" w:cs="宋体"/>
                <w:color w:val="000000" w:themeColor="text1"/>
                <w:sz w:val="24"/>
                <w:szCs w:val="24"/>
                <w:highlight w:val="none"/>
                <w14:textFill>
                  <w14:solidFill>
                    <w14:schemeClr w14:val="tx1"/>
                  </w14:solidFill>
                </w14:textFill>
              </w:rPr>
              <w:t>万元)，否则其投标作无效投标处理。</w:t>
            </w:r>
          </w:p>
        </w:tc>
      </w:tr>
    </w:tbl>
    <w:p w14:paraId="660C9FB3">
      <w:pPr>
        <w:spacing w:line="360" w:lineRule="auto"/>
        <w:jc w:val="left"/>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备注：由于编排顺序混乱而导致投标文件被误读或漏读，该投标人的投标可能被视为无效投标或承担不利的评标结果。</w:t>
      </w:r>
      <w:r>
        <w:rPr>
          <w:rFonts w:hint="eastAsia" w:ascii="宋体" w:hAnsi="宋体" w:eastAsia="宋体" w:cs="宋体"/>
          <w:color w:val="000000" w:themeColor="text1"/>
          <w:sz w:val="24"/>
          <w:szCs w:val="24"/>
          <w:highlight w:val="none"/>
          <w14:textFill>
            <w14:solidFill>
              <w14:schemeClr w14:val="tx1"/>
            </w14:solidFill>
          </w14:textFill>
        </w:rPr>
        <w:br w:type="page"/>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32"/>
          <w:szCs w:val="32"/>
          <w:highlight w:val="none"/>
          <w14:textFill>
            <w14:solidFill>
              <w14:schemeClr w14:val="tx1"/>
            </w14:solidFill>
          </w14:textFill>
        </w:rPr>
        <w:t>投标人须知前附表3：评标方法、评标标准、定标原则</w:t>
      </w:r>
    </w:p>
    <w:tbl>
      <w:tblPr>
        <w:tblStyle w:val="23"/>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2C58E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00" w:type="dxa"/>
            <w:tcBorders>
              <w:top w:val="single" w:color="auto" w:sz="4" w:space="0"/>
              <w:left w:val="single" w:color="auto" w:sz="4" w:space="0"/>
              <w:bottom w:val="single" w:color="auto" w:sz="4" w:space="0"/>
              <w:right w:val="single" w:color="auto" w:sz="4" w:space="0"/>
            </w:tcBorders>
            <w:noWrap w:val="0"/>
            <w:vAlign w:val="top"/>
          </w:tcPr>
          <w:p w14:paraId="576ABC15">
            <w:pPr>
              <w:pStyle w:val="2"/>
              <w:numPr>
                <w:ilvl w:val="0"/>
                <w:numId w:val="2"/>
              </w:numPr>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评标方法：</w:t>
            </w:r>
          </w:p>
          <w:p w14:paraId="71692A77">
            <w:pPr>
              <w:pStyle w:val="2"/>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b/>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 xml:space="preserve"> 综合评分法  □ 最低评标价法  </w:t>
            </w:r>
          </w:p>
        </w:tc>
      </w:tr>
      <w:tr w14:paraId="123FC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60AFA318">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二、评标标准：</w:t>
            </w:r>
          </w:p>
          <w:p w14:paraId="30D72C14">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（一）具体的评标标准、权重。</w:t>
            </w:r>
          </w:p>
          <w:p w14:paraId="6E657103">
            <w:pPr>
              <w:pStyle w:val="2"/>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详见附件</w:t>
            </w:r>
          </w:p>
          <w:p w14:paraId="4BEFA677">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（二）推荐中标候选供应商名单。</w:t>
            </w:r>
          </w:p>
          <w:p w14:paraId="4AF9C102">
            <w:pPr>
              <w:pStyle w:val="2"/>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1、中标候选供应商数量：</w:t>
            </w:r>
            <w:r>
              <w:rPr>
                <w:rFonts w:hint="eastAsia" w:ascii="宋体" w:hAnsi="宋体" w:cs="宋体"/>
                <w:color w:val="000000" w:themeColor="text1"/>
                <w:sz w:val="24"/>
                <w:szCs w:val="24"/>
                <w:highlight w:val="none"/>
                <w:u w:val="singl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个。</w:t>
            </w:r>
          </w:p>
          <w:p w14:paraId="044AE08F">
            <w:pPr>
              <w:pStyle w:val="2"/>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2、中标候选供应商排列顺序。经投标文件初审、澄清有关问题、比较与评价评标程序后，按以下办法推荐中标候选供应商名单的排列顺序（请按采购项目的评标方法从以下两项中选择一项打“√”）：</w:t>
            </w:r>
          </w:p>
          <w:p w14:paraId="6D1A98B7">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□采用最低评标价法的，按投标报价由低到高顺序排列。投标报价相同的，按技术指标优劣顺序排列。</w:t>
            </w:r>
          </w:p>
          <w:p w14:paraId="3DDF7FBB">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b/>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采用综合评分法的，按评审后得分由高到低顺序排列。得分相同的，按投标报价由低到高顺序排列。综合得分相同且投标报价相同的，按技术得分顺序排列。综合得分相同且投标报价相同且技术得分相同的，由评标委员会投票表决。</w:t>
            </w:r>
          </w:p>
          <w:p w14:paraId="1E695D08">
            <w:pPr>
              <w:pStyle w:val="2"/>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tc>
      </w:tr>
      <w:tr w14:paraId="18D0E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1930A926">
            <w:pPr>
              <w:pStyle w:val="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三、定标原则（确定中标供应商数量：</w:t>
            </w:r>
            <w:r>
              <w:rPr>
                <w:rFonts w:hint="eastAsia" w:ascii="宋体" w:hAnsi="宋体" w:cs="宋体"/>
                <w:color w:val="000000" w:themeColor="text1"/>
                <w:sz w:val="24"/>
                <w:szCs w:val="24"/>
                <w:highlight w:val="none"/>
                <w:u w:val="singl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个）：</w:t>
            </w:r>
          </w:p>
          <w:p w14:paraId="1F7E04E9">
            <w:pPr>
              <w:pStyle w:val="2"/>
              <w:spacing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b/>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采购人委托招标代理机构招标，在收到评标报告后五个工作日内，按照评标报告中推荐的中标候选供应商顺序确定中标供应商。</w:t>
            </w:r>
          </w:p>
          <w:p w14:paraId="704D04C5">
            <w:pPr>
              <w:pStyle w:val="2"/>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采购人委托招标代理机构招标，授权评标委员会直接确定中标供应商。</w:t>
            </w:r>
          </w:p>
          <w:p w14:paraId="37C753DC">
            <w:pPr>
              <w:pStyle w:val="2"/>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采购人自行组织招标，在评标结束后五个工作日内确定中标供应商。</w:t>
            </w:r>
          </w:p>
        </w:tc>
      </w:tr>
    </w:tbl>
    <w:p w14:paraId="3E74A66F">
      <w:pPr>
        <w:pStyle w:val="2"/>
        <w:spacing w:line="360" w:lineRule="auto"/>
        <w:rPr>
          <w:rFonts w:hint="eastAsia" w:ascii="宋体" w:hAnsi="宋体" w:eastAsia="宋体" w:cs="宋体"/>
          <w:b/>
          <w:color w:val="000000" w:themeColor="text1"/>
          <w:sz w:val="24"/>
          <w:szCs w:val="24"/>
          <w:highlight w:val="none"/>
          <w:u w:val="single"/>
          <w14:textFill>
            <w14:solidFill>
              <w14:schemeClr w14:val="tx1"/>
            </w14:solidFill>
          </w14:textFill>
        </w:rPr>
      </w:pPr>
    </w:p>
    <w:p w14:paraId="7FCB8497">
      <w:pPr>
        <w:pStyle w:val="2"/>
        <w:spacing w:line="360" w:lineRule="auto"/>
        <w:rPr>
          <w:rFonts w:hint="eastAsia" w:ascii="宋体" w:hAnsi="宋体" w:eastAsia="宋体" w:cs="宋体"/>
          <w:b/>
          <w:color w:val="000000" w:themeColor="text1"/>
          <w:sz w:val="24"/>
          <w:szCs w:val="24"/>
          <w:highlight w:val="none"/>
          <w:u w:val="single"/>
          <w14:textFill>
            <w14:solidFill>
              <w14:schemeClr w14:val="tx1"/>
            </w14:solidFill>
          </w14:textFill>
        </w:rPr>
      </w:pPr>
    </w:p>
    <w:p w14:paraId="5CDD49BF">
      <w:pPr>
        <w:pStyle w:val="2"/>
        <w:spacing w:line="360" w:lineRule="auto"/>
        <w:rPr>
          <w:rFonts w:hint="eastAsia" w:ascii="宋体" w:hAnsi="宋体" w:eastAsia="宋体" w:cs="宋体"/>
          <w:b/>
          <w:color w:val="000000" w:themeColor="text1"/>
          <w:sz w:val="24"/>
          <w:szCs w:val="24"/>
          <w:highlight w:val="none"/>
          <w:u w:val="single"/>
          <w14:textFill>
            <w14:solidFill>
              <w14:schemeClr w14:val="tx1"/>
            </w14:solidFill>
          </w14:textFill>
        </w:rPr>
      </w:pPr>
    </w:p>
    <w:p w14:paraId="5004FF1A">
      <w:pPr>
        <w:pStyle w:val="2"/>
        <w:spacing w:line="360" w:lineRule="auto"/>
        <w:rPr>
          <w:rFonts w:hint="eastAsia" w:ascii="宋体" w:hAnsi="宋体" w:eastAsia="宋体" w:cs="宋体"/>
          <w:b/>
          <w:color w:val="000000" w:themeColor="text1"/>
          <w:sz w:val="24"/>
          <w:szCs w:val="24"/>
          <w:highlight w:val="none"/>
          <w:u w:val="single"/>
          <w14:textFill>
            <w14:solidFill>
              <w14:schemeClr w14:val="tx1"/>
            </w14:solidFill>
          </w14:textFill>
        </w:rPr>
      </w:pPr>
    </w:p>
    <w:p w14:paraId="28416554">
      <w:pPr>
        <w:tabs>
          <w:tab w:val="left" w:pos="-1080"/>
          <w:tab w:val="left" w:pos="180"/>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F62763E">
      <w:pPr>
        <w:tabs>
          <w:tab w:val="left" w:pos="-1080"/>
          <w:tab w:val="left" w:pos="180"/>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附件：评标标准、权重</w:t>
      </w:r>
    </w:p>
    <w:p w14:paraId="10C691A5">
      <w:pPr>
        <w:tabs>
          <w:tab w:val="left" w:pos="-1080"/>
          <w:tab w:val="left" w:pos="180"/>
          <w:tab w:val="left" w:pos="108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（一）技术评分(F1)：按</w:t>
      </w:r>
      <w:r>
        <w:rPr>
          <w:rFonts w:hint="eastAsia" w:ascii="宋体" w:hAnsi="宋体" w:cs="宋体"/>
          <w:color w:val="000000" w:themeColor="text1"/>
          <w:sz w:val="24"/>
          <w:szCs w:val="24"/>
          <w:highlight w:val="none"/>
          <w:lang w:val="en-US" w:eastAsia="zh-CN"/>
          <w14:textFill>
            <w14:solidFill>
              <w14:schemeClr w14:val="tx1"/>
            </w14:solidFill>
          </w14:textFill>
        </w:rPr>
        <w:t>65</w:t>
      </w:r>
      <w:r>
        <w:rPr>
          <w:rFonts w:hint="eastAsia" w:ascii="宋体" w:hAnsi="宋体" w:eastAsia="宋体" w:cs="宋体"/>
          <w:color w:val="000000" w:themeColor="text1"/>
          <w:sz w:val="24"/>
          <w:szCs w:val="24"/>
          <w:highlight w:val="none"/>
          <w14:textFill>
            <w14:solidFill>
              <w14:schemeClr w14:val="tx1"/>
            </w14:solidFill>
          </w14:textFill>
        </w:rPr>
        <w:t>分评分法，技术评分考虑下列因素：</w:t>
      </w:r>
    </w:p>
    <w:tbl>
      <w:tblPr>
        <w:tblStyle w:val="23"/>
        <w:tblW w:w="0" w:type="auto"/>
        <w:tblInd w:w="0" w:type="dxa"/>
        <w:tblLayout w:type="fixed"/>
        <w:tblCellMar>
          <w:top w:w="0" w:type="dxa"/>
          <w:left w:w="108" w:type="dxa"/>
          <w:bottom w:w="0" w:type="dxa"/>
          <w:right w:w="108" w:type="dxa"/>
        </w:tblCellMar>
      </w:tblPr>
      <w:tblGrid>
        <w:gridCol w:w="883"/>
        <w:gridCol w:w="7160"/>
        <w:gridCol w:w="576"/>
      </w:tblGrid>
      <w:tr w14:paraId="6E48F0D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CD3C6A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序号</w:t>
            </w:r>
          </w:p>
        </w:tc>
        <w:tc>
          <w:tcPr>
            <w:tcW w:w="7160" w:type="dxa"/>
            <w:tcBorders>
              <w:top w:val="single" w:color="auto" w:sz="4" w:space="0"/>
              <w:left w:val="single" w:color="auto" w:sz="4" w:space="0"/>
              <w:bottom w:val="single" w:color="auto" w:sz="4" w:space="0"/>
              <w:right w:val="single" w:color="auto" w:sz="4" w:space="0"/>
            </w:tcBorders>
            <w:noWrap w:val="0"/>
            <w:vAlign w:val="center"/>
          </w:tcPr>
          <w:p w14:paraId="5E8EF0B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细则内容</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4FBB119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满分</w:t>
            </w:r>
          </w:p>
          <w:p w14:paraId="562D644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分值</w:t>
            </w:r>
          </w:p>
        </w:tc>
      </w:tr>
      <w:tr w14:paraId="4EC7CF1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DB5462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10CEE99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对投标人提供的本项目新旧服务商过渡期间的话务平台搭建、业务数据对接等保障方案进行评价：保障方案具有针对性，可实现无缝衔接，提供详细、具体、明确的衔接流程的得3分；保障方案较为简单，承诺无缝衔接，提供衔接流程较为简单的得</w:t>
            </w:r>
            <w:r>
              <w:rPr>
                <w:rFonts w:hint="eastAsia" w:ascii="宋体" w:hAnsi="宋体" w:cs="宋体"/>
                <w:bCs/>
                <w:color w:val="000000" w:themeColor="text1"/>
                <w:sz w:val="24"/>
                <w:szCs w:val="24"/>
                <w:highlight w:val="none"/>
                <w:lang w:val="en-US" w:eastAsia="zh-CN"/>
                <w14:textFill>
                  <w14:solidFill>
                    <w14:schemeClr w14:val="tx1"/>
                  </w14:solidFill>
                </w14:textFill>
              </w:rPr>
              <w:t>2.5</w:t>
            </w:r>
            <w:r>
              <w:rPr>
                <w:rFonts w:hint="eastAsia" w:ascii="宋体" w:hAnsi="宋体" w:eastAsia="宋体" w:cs="宋体"/>
                <w:bCs/>
                <w:color w:val="000000" w:themeColor="text1"/>
                <w:sz w:val="24"/>
                <w:szCs w:val="24"/>
                <w:highlight w:val="none"/>
                <w14:textFill>
                  <w14:solidFill>
                    <w14:schemeClr w14:val="tx1"/>
                  </w14:solidFill>
                </w14:textFill>
              </w:rPr>
              <w:t>分；未提供方案或者方案不可行或不符合项目需求的不得分。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07080F7D">
            <w:pPr>
              <w:spacing w:line="360" w:lineRule="auto"/>
              <w:jc w:val="center"/>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3</w:t>
            </w:r>
          </w:p>
        </w:tc>
      </w:tr>
      <w:tr w14:paraId="689BEA3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7DE72C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7160" w:type="dxa"/>
            <w:tcBorders>
              <w:top w:val="single" w:color="auto" w:sz="4" w:space="0"/>
              <w:left w:val="single" w:color="auto" w:sz="4" w:space="0"/>
              <w:bottom w:val="single" w:color="auto" w:sz="4" w:space="0"/>
              <w:right w:val="single" w:color="auto" w:sz="4" w:space="0"/>
            </w:tcBorders>
            <w:noWrap w:val="0"/>
            <w:vAlign w:val="center"/>
          </w:tcPr>
          <w:p w14:paraId="32AB5A5E">
            <w:pPr>
              <w:keepNext w:val="0"/>
              <w:keepLines w:val="0"/>
              <w:widowControl/>
              <w:suppressLineNumbers w:val="0"/>
              <w:spacing w:line="360" w:lineRule="auto"/>
              <w:jc w:val="both"/>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对投标人提供的本项目新旧服务商过渡期间的96166短号落地协调方面的服务保障方案进行评价：保障方案具有针对性，可实现无缝衔接，并提供详细、具体、明确的衔接流程的得3分；保障方案较为简单，承诺无缝衔接，提供衔接流程较为简单的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2.5</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分；未提供方案或者方案不可行或不符合项目需求的不得分。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450A5C80">
            <w:pPr>
              <w:keepNext w:val="0"/>
              <w:keepLines w:val="0"/>
              <w:widowControl/>
              <w:suppressLineNumbers w:val="0"/>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69020CD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6FEF4A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7160" w:type="dxa"/>
            <w:tcBorders>
              <w:top w:val="single" w:color="auto" w:sz="4" w:space="0"/>
              <w:left w:val="single" w:color="auto" w:sz="4" w:space="0"/>
              <w:bottom w:val="single" w:color="auto" w:sz="4" w:space="0"/>
              <w:right w:val="single" w:color="auto" w:sz="4" w:space="0"/>
            </w:tcBorders>
            <w:noWrap w:val="0"/>
            <w:vAlign w:val="center"/>
          </w:tcPr>
          <w:p w14:paraId="1A0915C5">
            <w:pPr>
              <w:keepNext w:val="0"/>
              <w:keepLines w:val="0"/>
              <w:widowControl/>
              <w:suppressLineNumbers w:val="0"/>
              <w:spacing w:line="360" w:lineRule="auto"/>
              <w:jc w:val="both"/>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对投标人提供的本项目新旧服务商过渡期间的坐席人员到岗接话的服务保障方案进行评价：保障方案具有针对性，可实现无缝衔接，并提供详细、具体、明确的衔接流程的得3分；保障方案较为简单，承诺无缝衔接，提供衔接流程较为简单的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2.5</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分；未提供方案或者方案不可行或不符合项目需求的不得分。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0D2ADF53">
            <w:pPr>
              <w:keepNext w:val="0"/>
              <w:keepLines w:val="0"/>
              <w:widowControl/>
              <w:suppressLineNumbers w:val="0"/>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212AC44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9C1999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7160" w:type="dxa"/>
            <w:tcBorders>
              <w:top w:val="single" w:color="auto" w:sz="4" w:space="0"/>
              <w:left w:val="single" w:color="auto" w:sz="4" w:space="0"/>
              <w:bottom w:val="single" w:color="auto" w:sz="4" w:space="0"/>
              <w:right w:val="single" w:color="auto" w:sz="4" w:space="0"/>
            </w:tcBorders>
            <w:noWrap w:val="0"/>
            <w:vAlign w:val="center"/>
          </w:tcPr>
          <w:p w14:paraId="0F48D3FF">
            <w:pPr>
              <w:keepNext w:val="0"/>
              <w:keepLines w:val="0"/>
              <w:widowControl/>
              <w:suppressLineNumbers w:val="0"/>
              <w:spacing w:line="360" w:lineRule="auto"/>
              <w:jc w:val="left"/>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投标人应能够充分理解厦门市96166统一门诊预约热线服务项目的总体需求，在业务、设备、运营管理等方面提出服务方案。由评委进行评议：服务方案有针对性、详细、具体的得3分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服务方案较为简单的得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2.5</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分；未提供方案或者方案不可行或不符合项目需求的不得分。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6BEF13DA">
            <w:pPr>
              <w:keepNext w:val="0"/>
              <w:keepLines w:val="0"/>
              <w:widowControl/>
              <w:suppressLineNumbers w:val="0"/>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27A5730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DB2F38E">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1-5</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0A4831B1">
            <w:pPr>
              <w:keepNext w:val="0"/>
              <w:keepLines w:val="0"/>
              <w:widowControl/>
              <w:suppressLineNumbers w:val="0"/>
              <w:spacing w:line="360" w:lineRule="auto"/>
              <w:jc w:val="both"/>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根据投标人为本项目配备的项目组人员组织架构进行评价：组织架构详细、具体、职责分工明确的，得2分；组织架构较为简单，有职责分工的，得1.5分；其它情况或未提供不得分。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1F67D92F">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p>
        </w:tc>
      </w:tr>
      <w:tr w14:paraId="6EA13554">
        <w:tblPrEx>
          <w:tblCellMar>
            <w:top w:w="0" w:type="dxa"/>
            <w:left w:w="108" w:type="dxa"/>
            <w:bottom w:w="0" w:type="dxa"/>
            <w:right w:w="108" w:type="dxa"/>
          </w:tblCellMar>
        </w:tblPrEx>
        <w:trPr>
          <w:trHeight w:val="1476" w:hRule="atLeast"/>
        </w:trPr>
        <w:tc>
          <w:tcPr>
            <w:tcW w:w="883" w:type="dxa"/>
            <w:tcBorders>
              <w:top w:val="single" w:color="auto" w:sz="4" w:space="0"/>
              <w:left w:val="single" w:color="auto" w:sz="4" w:space="0"/>
              <w:bottom w:val="single" w:color="auto" w:sz="4" w:space="0"/>
              <w:right w:val="single" w:color="auto" w:sz="4" w:space="0"/>
            </w:tcBorders>
            <w:noWrap w:val="0"/>
            <w:vAlign w:val="center"/>
          </w:tcPr>
          <w:p w14:paraId="13D6F82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cs="宋体"/>
                <w:bCs/>
                <w:color w:val="000000" w:themeColor="text1"/>
                <w:sz w:val="24"/>
                <w:szCs w:val="24"/>
                <w:highlight w:val="none"/>
                <w:lang w:eastAsia="zh-CN"/>
                <w14:textFill>
                  <w14:solidFill>
                    <w14:schemeClr w14:val="tx1"/>
                  </w14:solidFill>
                </w14:textFill>
              </w:rPr>
              <w:t>6</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34C2954D">
            <w:pPr>
              <w:keepNext w:val="0"/>
              <w:keepLines w:val="0"/>
              <w:widowControl/>
              <w:suppressLineNumbers w:val="0"/>
              <w:spacing w:line="360" w:lineRule="auto"/>
              <w:jc w:val="both"/>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根据投标人提供的人员培训方案进行评价：培训方案有针对性，包含上岗培训、话务技能、业务技能、相关礼仪</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，有提供详细、具体</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培训流程、方式</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分，培训方案内容较为简单，包含上岗培训、话务技能、业务技能、相关礼仪的得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1.8</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分，其它不得分。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6D57D8C7">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p>
        </w:tc>
      </w:tr>
      <w:tr w14:paraId="324D7EE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16B2F52">
            <w:pPr>
              <w:spacing w:line="360" w:lineRule="auto"/>
              <w:jc w:val="center"/>
              <w:rPr>
                <w:rFonts w:hint="default" w:ascii="宋体" w:hAnsi="宋体" w:cs="宋体"/>
                <w:bCs/>
                <w:color w:val="000000" w:themeColor="text1"/>
                <w:sz w:val="24"/>
                <w:szCs w:val="24"/>
                <w:highlight w:val="none"/>
                <w:lang w:val="en-US" w:eastAsia="zh-CN"/>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1-7</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57754391">
            <w:pPr>
              <w:keepNext w:val="0"/>
              <w:keepLines w:val="0"/>
              <w:widowControl/>
              <w:suppressLineNumbers w:val="0"/>
              <w:spacing w:line="360" w:lineRule="auto"/>
              <w:jc w:val="both"/>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有</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制定坐席人员排班方案，且承诺高峰期接通率达85%（含）以上，由评委进行评议：方案详细、具体，具有针对性，并承诺高峰期接通率达85%（含）以上的得2分，方案较为简单，并承诺高峰期接通率达85%（含）以上的得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8</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分，其它不得分。（须提供排班方案及书面承诺函（格式自拟）并加盖单位公章，否则不得分。）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0DF392A3">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w:t>
            </w:r>
          </w:p>
        </w:tc>
      </w:tr>
      <w:tr w14:paraId="3C83825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E5932EA">
            <w:pPr>
              <w:spacing w:line="360" w:lineRule="auto"/>
              <w:jc w:val="center"/>
              <w:rPr>
                <w:rFonts w:hint="default" w:ascii="宋体" w:hAnsi="宋体" w:cs="宋体"/>
                <w:bCs/>
                <w:color w:val="000000" w:themeColor="text1"/>
                <w:sz w:val="24"/>
                <w:szCs w:val="24"/>
                <w:highlight w:val="none"/>
                <w:lang w:val="en-US" w:eastAsia="zh-CN"/>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1-8</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1674E4C6">
            <w:pPr>
              <w:keepNext w:val="0"/>
              <w:keepLines w:val="0"/>
              <w:widowControl/>
              <w:suppressLineNumbers w:val="0"/>
              <w:spacing w:line="360" w:lineRule="auto"/>
              <w:jc w:val="both"/>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投标人有针对本项目</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提供保障呼叫中心系统日常安全的解决方案以及出现紧急故障时的应急解决方案</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，方案包含解决方式、解决流程的得2分，否则不得分。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23806F7A">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w:t>
            </w:r>
          </w:p>
        </w:tc>
      </w:tr>
      <w:tr w14:paraId="5DCE00B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ED54F6C">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9</w:t>
            </w:r>
          </w:p>
        </w:tc>
        <w:tc>
          <w:tcPr>
            <w:tcW w:w="7160" w:type="dxa"/>
            <w:tcBorders>
              <w:top w:val="single" w:color="auto" w:sz="4" w:space="0"/>
              <w:left w:val="single" w:color="auto" w:sz="4" w:space="0"/>
              <w:bottom w:val="single" w:color="auto" w:sz="4" w:space="0"/>
              <w:right w:val="single" w:color="auto" w:sz="4" w:space="0"/>
            </w:tcBorders>
            <w:noWrap w:val="0"/>
            <w:vAlign w:val="center"/>
          </w:tcPr>
          <w:p w14:paraId="428BA1F3">
            <w:pPr>
              <w:keepNext w:val="0"/>
              <w:keepLines w:val="0"/>
              <w:widowControl/>
              <w:suppressLineNumbers w:val="0"/>
              <w:spacing w:line="360" w:lineRule="auto"/>
              <w:jc w:val="left"/>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坐席门户</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系统</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功能</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：支持坐席在主页查看（1）个人指标、团队指标；（2）坐席设置（个人资料、修改密码等）、快速入口、备忘录、公告、日历、便签、主题设置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每满足一项得1分，满分2分。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须提供系统功能界面截图，否则不得分。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48EC13AE">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w:t>
            </w:r>
          </w:p>
        </w:tc>
      </w:tr>
      <w:tr w14:paraId="6D65105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D6663F3">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0</w:t>
            </w:r>
          </w:p>
        </w:tc>
        <w:tc>
          <w:tcPr>
            <w:tcW w:w="7160" w:type="dxa"/>
            <w:tcBorders>
              <w:top w:val="single" w:color="auto" w:sz="4" w:space="0"/>
              <w:left w:val="single" w:color="auto" w:sz="4" w:space="0"/>
              <w:bottom w:val="single" w:color="auto" w:sz="4" w:space="0"/>
              <w:right w:val="single" w:color="auto" w:sz="4" w:space="0"/>
            </w:tcBorders>
            <w:noWrap w:val="0"/>
            <w:vAlign w:val="center"/>
          </w:tcPr>
          <w:p w14:paraId="39914D35">
            <w:pPr>
              <w:keepNext w:val="0"/>
              <w:keepLines w:val="0"/>
              <w:widowControl/>
              <w:suppressLineNumbers w:val="0"/>
              <w:spacing w:line="360" w:lineRule="auto"/>
              <w:jc w:val="left"/>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现场管理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系统功能进行评价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可以实时监控坐席的在线状态，及时响应市民来电请求；（2）针对超时未上线的坐席，系统自动生成管理工单并发送给坐席，坐席根据自身原因填写内容上交给管理人员，管理员可处理工单内容；（3）工单内容支持备份功能，方便后期查阅。每满足一项得1分，满分3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须提供系统功能界面截图，否则不得分。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7E69460B">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291FB0C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DB28C56">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79EBF860">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bCs/>
                <w:color w:val="000000" w:themeColor="text1"/>
                <w:sz w:val="24"/>
                <w:szCs w:val="24"/>
                <w:highlight w:val="none"/>
                <w14:textFill>
                  <w14:solidFill>
                    <w14:schemeClr w14:val="tx1"/>
                  </w14:solidFill>
                </w14:textFill>
              </w:rPr>
              <w:t>通话录音与质检</w:t>
            </w:r>
            <w:r>
              <w:rPr>
                <w:rFonts w:hint="eastAsia" w:ascii="宋体" w:hAnsi="宋体" w:cs="宋体"/>
                <w:bCs/>
                <w:color w:val="000000" w:themeColor="text1"/>
                <w:sz w:val="24"/>
                <w:szCs w:val="24"/>
                <w:highlight w:val="none"/>
                <w:lang w:val="en-US" w:eastAsia="zh-CN"/>
                <w14:textFill>
                  <w14:solidFill>
                    <w14:schemeClr w14:val="tx1"/>
                  </w14:solidFill>
                </w14:textFill>
              </w:rPr>
              <w:t>系统</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功能进行评价</w:t>
            </w:r>
            <w:r>
              <w:rPr>
                <w:rFonts w:hint="eastAsia" w:ascii="宋体" w:hAnsi="宋体" w:eastAsia="宋体" w:cs="宋体"/>
                <w:bCs/>
                <w:color w:val="000000" w:themeColor="text1"/>
                <w:sz w:val="24"/>
                <w:szCs w:val="24"/>
                <w:highlight w:val="none"/>
                <w14:textFill>
                  <w14:solidFill>
                    <w14:schemeClr w14:val="tx1"/>
                  </w14:solidFill>
                </w14:textFill>
              </w:rPr>
              <w:t>：（1）分机全程录音和多路并发录音：支持外线呼入、分机呼外线、分机内线等通话过程全程自动录音；可同时对多条电话线路或音频线路进行实时录音，各线路之间互不干扰、单独存储；（2）录音调听: 可以根据通话时间、分机号、客户信息等查询条件调听录音文件；（3）录音保存时间：二年；（4）短信：实现短信的收发功能，可单条或批量发送短信；（5）录音支持双轨：每通电话分为3条录音，其中1条为市民与客服通话录音，1条为市民单独录音，1条为客服单独录音；（6）录音质检：支持录音本地化语音转文字，通过敏感字对录音进行内容智能评分，自动检测出有问题的录音。</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每满足一项得0.5分，满分3分。投标人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须提供系统功能界面截图，否则不得分。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49C8A7E2">
            <w:pPr>
              <w:tabs>
                <w:tab w:val="left" w:pos="720"/>
              </w:tabs>
              <w:spacing w:line="360" w:lineRule="auto"/>
              <w:ind w:right="18"/>
              <w:jc w:val="center"/>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3</w:t>
            </w:r>
          </w:p>
        </w:tc>
      </w:tr>
      <w:tr w14:paraId="2D3B2DF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186D9FC">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1E2DFC25">
            <w:pPr>
              <w:keepNext w:val="0"/>
              <w:keepLines w:val="0"/>
              <w:widowControl/>
              <w:suppressLineNumbers w:val="0"/>
              <w:spacing w:line="360" w:lineRule="auto"/>
              <w:jc w:val="both"/>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统计报表</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系统功能进行评价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支持管理员查询系统的各个维度的报表，包括：（1）坐席话务报表，技能组话务报表，企业话务报表；（2）语音满意度报表、漏话统计报表、留言统计报表、未接来电统计报表、总体接入话务分析报表、日话务量统计报表等。每满足一项得1分，满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须提供系统功能界面截图，否则不得分。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0C456A42">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p>
        </w:tc>
      </w:tr>
      <w:tr w14:paraId="1F90616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CD3F376">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4E975924">
            <w:pPr>
              <w:keepNext w:val="0"/>
              <w:keepLines w:val="0"/>
              <w:widowControl/>
              <w:suppressLineNumbers w:val="0"/>
              <w:spacing w:line="360" w:lineRule="auto"/>
              <w:jc w:val="both"/>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智能外呼</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系统功能进行评价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：（1）具备批量智能停诊通知功能；（2）具备批量就诊提醒功能；（3）自动数据同步。</w:t>
            </w:r>
          </w:p>
          <w:p w14:paraId="5CF134C4">
            <w:pPr>
              <w:keepNext w:val="0"/>
              <w:keepLines w:val="0"/>
              <w:widowControl/>
              <w:suppressLineNumbers w:val="0"/>
              <w:spacing w:line="360" w:lineRule="auto"/>
              <w:jc w:val="both"/>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每满足一项得1分，满分3分。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须提供系统功能界面截图，否则不得分。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0499D596">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2832EA8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5B00406">
            <w:pPr>
              <w:keepNext w:val="0"/>
              <w:keepLines w:val="0"/>
              <w:widowControl/>
              <w:suppressLineNumbers w:val="0"/>
              <w:spacing w:line="360" w:lineRule="auto"/>
              <w:jc w:val="center"/>
              <w:textAlignment w:val="center"/>
              <w:rPr>
                <w:rFonts w:hint="default"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14</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241CB7AF">
            <w:pPr>
              <w:keepNext w:val="0"/>
              <w:keepLines w:val="0"/>
              <w:widowControl/>
              <w:suppressLineNumbers w:val="0"/>
              <w:spacing w:line="360" w:lineRule="auto"/>
              <w:jc w:val="both"/>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在线客服</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系统</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功能</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：（1）支持在线即时聊天功能，支持文字、表情、图片、短视频发送功能；支持转发功能；（2）支持查看客户聊天记录；支持知识库查询功能。</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（3）客服非工作时间，系统支持常见问题自动回复。</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每满足一项得1分，满分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须提供系统功能界面截图，否则不得分。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043E23F9">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1DD9D0F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20B6E7">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5</w:t>
            </w:r>
          </w:p>
        </w:tc>
        <w:tc>
          <w:tcPr>
            <w:tcW w:w="7160" w:type="dxa"/>
            <w:tcBorders>
              <w:top w:val="single" w:color="auto" w:sz="4" w:space="0"/>
              <w:left w:val="single" w:color="auto" w:sz="4" w:space="0"/>
              <w:bottom w:val="single" w:color="auto" w:sz="4" w:space="0"/>
              <w:right w:val="single" w:color="auto" w:sz="4" w:space="0"/>
            </w:tcBorders>
            <w:noWrap w:val="0"/>
            <w:vAlign w:val="center"/>
          </w:tcPr>
          <w:p w14:paraId="3D07B93D">
            <w:pPr>
              <w:keepNext w:val="0"/>
              <w:keepLines w:val="0"/>
              <w:widowControl/>
              <w:suppressLineNumbers w:val="0"/>
              <w:spacing w:line="360" w:lineRule="auto"/>
              <w:jc w:val="both"/>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基于大模型的医疗辅助</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系统进行评价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智能分诊：通过患者描述的症状（比如“持续发烧+咳嗽”），自动推荐该挂呼吸科还是发热门诊，缓解人工分诊压力。（2）就诊助理：根据来电者的描述和患者的历史就诊记录，平台提供最新诊疗规范等和就诊建议给客服人员。（3）医疗知识查询与解答：可以借助系统为患者提供疾病的相关知识，帮助患者更好地了解自身病情，缓解患者的焦虑情绪。</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投标人提供功能</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演示</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需以视频形式存放到U盘</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，且能打开播放</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（视频需提供两份并放于2个不同的U盘）里单独密封包装,于提交投标文件截止时间前与投标文件一并提交</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】的，以上全部满足</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715ABE29">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6B88774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78B5D27">
            <w:pPr>
              <w:keepNext w:val="0"/>
              <w:keepLines w:val="0"/>
              <w:widowControl/>
              <w:suppressLineNumbers w:val="0"/>
              <w:spacing w:line="360" w:lineRule="auto"/>
              <w:jc w:val="center"/>
              <w:textAlignment w:val="center"/>
              <w:rPr>
                <w:rFonts w:hint="default" w:ascii="宋体" w:hAnsi="宋体" w:eastAsia="宋体" w:cs="宋体"/>
                <w:bCs/>
                <w:color w:val="000000" w:themeColor="text1"/>
                <w:sz w:val="24"/>
                <w:szCs w:val="24"/>
                <w:highlight w:val="none"/>
                <w:lang w:val="en-US"/>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16</w:t>
            </w:r>
          </w:p>
        </w:tc>
        <w:tc>
          <w:tcPr>
            <w:tcW w:w="7160" w:type="dxa"/>
            <w:tcBorders>
              <w:top w:val="single" w:color="auto" w:sz="4" w:space="0"/>
              <w:left w:val="single" w:color="auto" w:sz="4" w:space="0"/>
              <w:bottom w:val="single" w:color="auto" w:sz="4" w:space="0"/>
              <w:right w:val="single" w:color="auto" w:sz="4" w:space="0"/>
            </w:tcBorders>
            <w:noWrap w:val="0"/>
            <w:vAlign w:val="center"/>
          </w:tcPr>
          <w:p w14:paraId="003FBE59">
            <w:pPr>
              <w:keepNext w:val="0"/>
              <w:keepLines w:val="0"/>
              <w:widowControl/>
              <w:suppressLineNumbers w:val="0"/>
              <w:spacing w:line="360" w:lineRule="auto"/>
              <w:jc w:val="both"/>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医院号源调度管理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系统进行评价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号源智能调度：根据医院和专家的预约和排班情况，大模型进行号源短缺预警。（2）构建基于大模型的号源动态调控模型，通过医联体内部号源统筹、医院号池共享等组合措施，系统性提升优质医疗资源的可及性。（3）号源预约提醒：根据患者的需求，当号源充足时，电话提醒患者预约。</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投标人提供功能</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演示</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需以视频形式存放到U盘</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，且能打开播放</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（视频需提供两份并放于2个不同的U盘）里单独密封包装,于提交投标文件截止时间前与投标文件一并提交</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】的，以上全部满足</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0492AD0D">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p>
        </w:tc>
      </w:tr>
      <w:tr w14:paraId="541D140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C5D561C">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17</w:t>
            </w:r>
          </w:p>
        </w:tc>
        <w:tc>
          <w:tcPr>
            <w:tcW w:w="7160" w:type="dxa"/>
            <w:tcBorders>
              <w:top w:val="single" w:color="auto" w:sz="4" w:space="0"/>
              <w:left w:val="single" w:color="auto" w:sz="4" w:space="0"/>
              <w:bottom w:val="single" w:color="auto" w:sz="4" w:space="0"/>
              <w:right w:val="single" w:color="auto" w:sz="4" w:space="0"/>
            </w:tcBorders>
            <w:noWrap w:val="0"/>
            <w:vAlign w:val="center"/>
          </w:tcPr>
          <w:p w14:paraId="49181B65">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舆情管理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系统进行评价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实时情绪监测：当市民表达负面情绪时，系统会通过语音识别+情感分析技术，瞬间标记为"愤怒情绪3级"，并在管理大屏弹出红色预警。（2）热点预警：当同一时段超过10个客户投诉，系统会自动触发三级预警，通过推送消息给运营主管："疑似批量投诉，建议立即启动应急预案"。（3）闭环跟踪：从市民抱怨到问题解决，系统会自动生成舆情处理图谱，标记出服务响应速度、补偿方案有效性等12个关键节点数据。每满足一项得1分，满分3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须提供系统功能界面截图，否则不得分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78A3122C">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7634329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CB8ECCE">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18</w:t>
            </w:r>
          </w:p>
        </w:tc>
        <w:tc>
          <w:tcPr>
            <w:tcW w:w="7160" w:type="dxa"/>
            <w:tcBorders>
              <w:top w:val="single" w:color="auto" w:sz="4" w:space="0"/>
              <w:left w:val="single" w:color="auto" w:sz="4" w:space="0"/>
              <w:bottom w:val="single" w:color="auto" w:sz="4" w:space="0"/>
              <w:right w:val="single" w:color="auto" w:sz="4" w:space="0"/>
            </w:tcBorders>
            <w:noWrap w:val="0"/>
            <w:vAlign w:val="center"/>
          </w:tcPr>
          <w:p w14:paraId="6B69D604">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模型本地化部署</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保护数据隐私：患者的就诊信息</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需</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保存到本地，减少信息泄露的风险；（2）减少模型幻觉：</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提供的模型需结合本地业务知识，降低模型幻觉风险；</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；（3）安全审计：定期进行数据安全审计，检查系统漏洞并进行修复。</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投标人提供功能</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演示</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需以视频形式存放到U盘</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，且能打开播放</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（视频需提供两份并放于2个不同的U盘）里单独密封包装,于提交投标文件截止时间前与投标文件一并提交</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】的，以上全部满足</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10354CAB">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p>
        </w:tc>
      </w:tr>
      <w:tr w14:paraId="14DDECD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ECA7AA0">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19</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6CFDCE06">
            <w:pPr>
              <w:keepNext w:val="0"/>
              <w:keepLines w:val="0"/>
              <w:widowControl/>
              <w:suppressLineNumbers w:val="0"/>
              <w:spacing w:line="360" w:lineRule="auto"/>
              <w:jc w:val="both"/>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RPA管理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系统进行评价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：（1）通过脚本技术以RPA的方式快速获取其他系统的数据；（2）可以模拟人工方式操作其他系统数据；（3）支持多次任务定时执行；拥有灵活对接现有数据系统能力。每满足一项得1分，满分3分。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须提供系统功能界面截图，否则不得分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3B38801F">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61F6C7D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C1501B3">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20</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5CB86A7E">
            <w:pPr>
              <w:widowControl/>
              <w:spacing w:line="360" w:lineRule="auto"/>
              <w:textAlignment w:val="top"/>
              <w:rPr>
                <w:rFonts w:hint="eastAsia"/>
                <w:color w:val="000000" w:themeColor="text1"/>
                <w:highlight w:val="none"/>
                <w:lang w:val="en-US" w:eastAsia="zh-CN"/>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本地加速器</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系统进行评价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系统繁忙时，优化与预约系统的连接，保证预约系统在高峰期不卡顿</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将数据加载至本地进行处理，减少与预约系统的交互</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要求在高峰期并发话务达到1000呼以上，弹窗响应速度≤0.5秒；访问医院系统速度≤1秒。</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投标人提供功能</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演示</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需以视频形式存放到U盘</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，且能打开播放</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（视频需提供两份并放于2个不同的U盘）里单独密封包装,于提交投标文件截止时间前与投标文件一并提交</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】的，以上全部满足</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150D8834">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p>
        </w:tc>
      </w:tr>
      <w:tr w14:paraId="08BECB0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50B3A0C">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1-2</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0EC5B7B8">
            <w:pPr>
              <w:widowControl/>
              <w:spacing w:line="360" w:lineRule="auto"/>
              <w:textAlignment w:val="top"/>
              <w:rPr>
                <w:rFonts w:hint="eastAsia"/>
                <w:color w:val="000000" w:themeColor="text1"/>
                <w:highlight w:val="none"/>
                <w:lang w:val="en-US" w:eastAsia="zh-CN"/>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对投标人提供的呼入量预测平台进行评价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：（1）支持话务量预测，通过历史数据和时序算法，预测出未来一周每天的呼入量；（2）平台可根据呼入量，通过算法预测出所需的排班人数进行排班；（3）支持数据分析，显示预测数据和实际数据的对比。</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投标人提供功能</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演示</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需以视频形式存放到U盘</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，且能打开播放</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（视频需提供两份并放于2个不同的U盘）里单独密封包装,于提交投标文件截止时间前与投标文件一并提交</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】的，以上全部满足</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556D1B1F">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p>
        </w:tc>
      </w:tr>
      <w:tr w14:paraId="00DA922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AD1E8ED">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1-22</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22C39CEC">
            <w:pPr>
              <w:widowControl/>
              <w:spacing w:line="360" w:lineRule="auto"/>
              <w:textAlignment w:val="top"/>
              <w:rPr>
                <w:rFonts w:hint="default"/>
                <w:color w:val="000000" w:themeColor="text1"/>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u w:val="none"/>
                <w:lang w:val="en-US" w:eastAsia="zh-CN" w:bidi="ar"/>
                <w14:textFill>
                  <w14:solidFill>
                    <w14:schemeClr w14:val="tx1"/>
                  </w14:solidFill>
                </w14:textFill>
              </w:rPr>
              <w:t>对投标人提供的网络安全管理系统进行评价：（1）</w:t>
            </w:r>
            <w:r>
              <w:rPr>
                <w:rFonts w:hint="eastAsia" w:ascii="宋体" w:hAnsi="宋体" w:eastAsia="宋体" w:cs="宋体"/>
                <w:color w:val="000000" w:themeColor="text1"/>
                <w:kern w:val="0"/>
                <w:sz w:val="24"/>
                <w:szCs w:val="24"/>
                <w:highlight w:val="none"/>
                <w:u w:val="none"/>
                <w:lang w:val="en-US" w:eastAsia="zh-CN" w:bidi="ar"/>
                <w14:textFill>
                  <w14:solidFill>
                    <w14:schemeClr w14:val="tx1"/>
                  </w14:solidFill>
                </w14:textFill>
              </w:rPr>
              <w:t>流量监控与分析：基于eBPF实时捕获并解析网络流量，支持多种协议，识别异常行为；（2）性能监控与优化：利用eBPF监控延迟与丢包，定位性能瓶颈并优化网络性能；（3）安全审计与日志记录：通过eBPF记录网络与安全事件，分析行为以识别潜在威胁。</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投标人提供功能</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演示</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需以视频形式存放到U盘</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，且能打开播放</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（视频需提供两份并放于2个不同的U盘）里单独密封包装,于提交投标文件截止时间前与投标文件一并提交</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】的，以上全部满足</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1.8</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662EFC94">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1.8</w:t>
            </w:r>
          </w:p>
        </w:tc>
      </w:tr>
      <w:tr w14:paraId="04357C4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D95C737">
            <w:pPr>
              <w:keepNext w:val="0"/>
              <w:keepLines w:val="0"/>
              <w:widowControl/>
              <w:suppressLineNumbers w:val="0"/>
              <w:spacing w:line="360" w:lineRule="auto"/>
              <w:jc w:val="center"/>
              <w:textAlignment w:val="center"/>
              <w:rPr>
                <w:rFonts w:hint="default" w:ascii="宋体" w:hAnsi="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1-23</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5EC17D8B">
            <w:pPr>
              <w:widowControl/>
              <w:spacing w:line="360" w:lineRule="auto"/>
              <w:textAlignment w:val="top"/>
              <w:rPr>
                <w:rFonts w:hint="default" w:ascii="宋体" w:hAnsi="宋体" w:cs="宋体"/>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color w:val="000000" w:themeColor="text1"/>
                <w:kern w:val="0"/>
                <w:sz w:val="24"/>
                <w:szCs w:val="24"/>
                <w:highlight w:val="none"/>
                <w:u w:val="none"/>
                <w:lang w:val="en-US" w:eastAsia="zh-CN" w:bidi="ar"/>
                <w14:textFill>
                  <w14:solidFill>
                    <w14:schemeClr w14:val="tx1"/>
                  </w14:solidFill>
                </w14:textFill>
              </w:rPr>
              <w:t>对投标人提供的智能数据分析进行评价：（1）智能可视化：根据数据特点自动生成直观的图表（如柱状图、折线图、热力图等），帮助用户快速理解数据；（2）异常检测：实时监控数据，自动识别异常行为或事件，及时发出警报；（3）报告生成：自动生成数据分析报告，支持多种格式（如PDF、Word、PPT）输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每满足一项得1分，满分3分。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须提供系统功能界面截图，否则不得分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40B9AD59">
            <w:pPr>
              <w:keepNext w:val="0"/>
              <w:keepLines w:val="0"/>
              <w:widowControl/>
              <w:suppressLineNumbers w:val="0"/>
              <w:spacing w:line="360" w:lineRule="auto"/>
              <w:jc w:val="center"/>
              <w:textAlignment w:val="center"/>
              <w:rPr>
                <w:rFonts w:hint="default" w:ascii="宋体" w:hAnsi="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369BEC1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908F86F">
            <w:pPr>
              <w:keepNext w:val="0"/>
              <w:keepLines w:val="0"/>
              <w:widowControl/>
              <w:suppressLineNumbers w:val="0"/>
              <w:spacing w:line="360" w:lineRule="auto"/>
              <w:jc w:val="center"/>
              <w:textAlignment w:val="center"/>
              <w:rPr>
                <w:rFonts w:hint="default" w:ascii="宋体" w:hAnsi="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1-24</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430E5D83">
            <w:pPr>
              <w:widowControl/>
              <w:spacing w:line="360" w:lineRule="auto"/>
              <w:textAlignment w:val="top"/>
              <w:rPr>
                <w:rFonts w:hint="eastAsia" w:ascii="宋体" w:hAnsi="宋体" w:cs="宋体"/>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color w:val="000000" w:themeColor="text1"/>
                <w:kern w:val="0"/>
                <w:sz w:val="24"/>
                <w:szCs w:val="24"/>
                <w:highlight w:val="none"/>
                <w:u w:val="none"/>
                <w:lang w:val="en-US" w:eastAsia="zh-CN" w:bidi="ar"/>
                <w14:textFill>
                  <w14:solidFill>
                    <w14:schemeClr w14:val="tx1"/>
                  </w14:solidFill>
                </w14:textFill>
              </w:rPr>
              <w:t>对投标人提供的数据安全系统进行评价：（1）数据活动监控：实时监控数据的访问、修改、删除等操作，及时发现异常行为；（2）数据脱敏与屏蔽：对敏感数据进行脱敏处理与屏蔽，隐藏或替换敏感信息，确保数据安全保护用户隐私。</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每满足一项得1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分，满分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2.2</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须提供系统功能界面截图，否则不得分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3DC8BA52">
            <w:pPr>
              <w:keepNext w:val="0"/>
              <w:keepLines w:val="0"/>
              <w:widowControl/>
              <w:suppressLineNumbers w:val="0"/>
              <w:spacing w:line="360" w:lineRule="auto"/>
              <w:jc w:val="center"/>
              <w:textAlignment w:val="center"/>
              <w:rPr>
                <w:rFonts w:hint="default" w:ascii="宋体" w:hAnsi="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2.2</w:t>
            </w:r>
          </w:p>
        </w:tc>
      </w:tr>
      <w:tr w14:paraId="3CA9DAF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7152F56">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1-2</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5</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62C74013">
            <w:pPr>
              <w:keepNext w:val="0"/>
              <w:keepLines w:val="0"/>
              <w:widowControl/>
              <w:suppressLineNumbers w:val="0"/>
              <w:spacing w:line="360" w:lineRule="auto"/>
              <w:jc w:val="both"/>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投标人有为本项目配备“录音质检或风控管理类”软件且软件具备著作权登记证书的得1分，需提供证书复印件，否则不得分。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66C57881">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29D5D86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F311301">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1-26</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2ED683A3">
            <w:pPr>
              <w:widowControl/>
              <w:spacing w:line="360" w:lineRule="auto"/>
              <w:textAlignment w:val="top"/>
              <w:rPr>
                <w:rFonts w:hint="default"/>
                <w:color w:val="000000" w:themeColor="text1"/>
                <w:highlight w:val="none"/>
                <w:lang w:val="en-US" w:eastAsia="zh-CN"/>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为避免话务高峰期客服同时访问预约系统时会出现卡顿，投标人有为本项目配备“加速器类”软件且软件具备著作权登记证书的得1分，需提供证书复印件，否则不得分。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5976FCF1">
            <w:pPr>
              <w:keepNext w:val="0"/>
              <w:keepLines w:val="0"/>
              <w:widowControl/>
              <w:suppressLineNumbers w:val="0"/>
              <w:spacing w:line="360" w:lineRule="auto"/>
              <w:jc w:val="center"/>
              <w:textAlignment w:val="center"/>
              <w:rPr>
                <w:rFonts w:hint="default" w:ascii="宋体" w:hAnsi="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0AE62EC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E408797">
            <w:pPr>
              <w:keepNext w:val="0"/>
              <w:keepLines w:val="0"/>
              <w:widowControl/>
              <w:suppressLineNumbers w:val="0"/>
              <w:spacing w:line="360" w:lineRule="auto"/>
              <w:jc w:val="center"/>
              <w:textAlignment w:val="center"/>
              <w:rPr>
                <w:rFonts w:hint="default" w:ascii="宋体" w:hAnsi="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1-27</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5F5B114C">
            <w:pPr>
              <w:widowControl/>
              <w:spacing w:line="360" w:lineRule="auto"/>
              <w:textAlignment w:val="top"/>
              <w:rPr>
                <w:rFonts w:hint="eastAsia"/>
                <w:color w:val="000000" w:themeColor="text1"/>
                <w:highlight w:val="none"/>
                <w:lang w:val="en-US" w:eastAsia="zh-CN"/>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投标人有为本项目配备“话务</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量</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预测类”软件且软件具备著作权登记证书的得1分，需提供证书复印件，否则不得分。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70E2F286">
            <w:pPr>
              <w:keepNext w:val="0"/>
              <w:keepLines w:val="0"/>
              <w:widowControl/>
              <w:suppressLineNumbers w:val="0"/>
              <w:spacing w:line="360" w:lineRule="auto"/>
              <w:jc w:val="center"/>
              <w:textAlignment w:val="center"/>
              <w:rPr>
                <w:rFonts w:hint="default" w:ascii="宋体" w:hAnsi="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27978A6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48047A9">
            <w:pPr>
              <w:keepNext w:val="0"/>
              <w:keepLines w:val="0"/>
              <w:widowControl/>
              <w:suppressLineNumbers w:val="0"/>
              <w:spacing w:line="360" w:lineRule="auto"/>
              <w:jc w:val="center"/>
              <w:textAlignment w:val="center"/>
              <w:rPr>
                <w:rFonts w:hint="default" w:ascii="宋体" w:hAnsi="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1-28</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2564B0EA">
            <w:pPr>
              <w:keepNext w:val="0"/>
              <w:keepLines w:val="0"/>
              <w:widowControl/>
              <w:suppressLineNumbers w:val="0"/>
              <w:spacing w:line="360" w:lineRule="auto"/>
              <w:jc w:val="both"/>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投标人有为本项目配备“导诊辅助类”软件且软件具备著作权登记证书的得1分，需提供证书复印件，否则不得分。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12B12D29">
            <w:pPr>
              <w:keepNext w:val="0"/>
              <w:keepLines w:val="0"/>
              <w:widowControl/>
              <w:suppressLineNumbers w:val="0"/>
              <w:spacing w:line="360" w:lineRule="auto"/>
              <w:jc w:val="center"/>
              <w:textAlignment w:val="center"/>
              <w:rPr>
                <w:rFonts w:hint="default" w:ascii="宋体" w:hAnsi="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065322D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610EDA3">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1-2</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9</w:t>
            </w:r>
          </w:p>
        </w:tc>
        <w:tc>
          <w:tcPr>
            <w:tcW w:w="7160" w:type="dxa"/>
            <w:tcBorders>
              <w:top w:val="single" w:color="auto" w:sz="4" w:space="0"/>
              <w:left w:val="single" w:color="auto" w:sz="4" w:space="0"/>
              <w:bottom w:val="single" w:color="auto" w:sz="4" w:space="0"/>
              <w:right w:val="single" w:color="auto" w:sz="4" w:space="0"/>
            </w:tcBorders>
            <w:noWrap w:val="0"/>
            <w:vAlign w:val="top"/>
          </w:tcPr>
          <w:p w14:paraId="2518F5BF">
            <w:pPr>
              <w:keepNext w:val="0"/>
              <w:keepLines w:val="0"/>
              <w:widowControl/>
              <w:suppressLineNumbers w:val="0"/>
              <w:spacing w:line="360" w:lineRule="auto"/>
              <w:jc w:val="both"/>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投标人提供1条英语和5条闽南语线路接听和咨询服务的得1分。投标人需提供</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书面</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承诺函</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（格式自拟）并加盖单位公章</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21A1B0E6">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r>
    </w:tbl>
    <w:p w14:paraId="2CE67A50">
      <w:pPr>
        <w:tabs>
          <w:tab w:val="left" w:pos="-1080"/>
          <w:tab w:val="left" w:pos="180"/>
          <w:tab w:val="left" w:pos="108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C1F79CE">
      <w:pPr>
        <w:pStyle w:val="3"/>
        <w:rPr>
          <w:rFonts w:hint="eastAsia" w:ascii="宋体" w:hAnsi="宋体" w:eastAsia="宋体" w:cs="宋体"/>
          <w:color w:val="000000" w:themeColor="text1"/>
          <w:sz w:val="24"/>
          <w:szCs w:val="24"/>
          <w:highlight w:val="none"/>
          <w14:textFill>
            <w14:solidFill>
              <w14:schemeClr w14:val="tx1"/>
            </w14:solidFill>
          </w14:textFill>
        </w:rPr>
      </w:pPr>
    </w:p>
    <w:p w14:paraId="022000FD">
      <w:pPr>
        <w:pStyle w:val="3"/>
        <w:rPr>
          <w:rFonts w:hint="eastAsia" w:ascii="宋体" w:hAnsi="宋体" w:eastAsia="宋体" w:cs="宋体"/>
          <w:color w:val="000000" w:themeColor="text1"/>
          <w:sz w:val="24"/>
          <w:szCs w:val="24"/>
          <w:highlight w:val="none"/>
          <w14:textFill>
            <w14:solidFill>
              <w14:schemeClr w14:val="tx1"/>
            </w14:solidFill>
          </w14:textFill>
        </w:rPr>
      </w:pPr>
    </w:p>
    <w:p w14:paraId="3F3C2594">
      <w:pPr>
        <w:pStyle w:val="3"/>
        <w:rPr>
          <w:rFonts w:hint="eastAsia" w:ascii="宋体" w:hAnsi="宋体" w:eastAsia="宋体" w:cs="宋体"/>
          <w:color w:val="000000" w:themeColor="text1"/>
          <w:sz w:val="24"/>
          <w:szCs w:val="24"/>
          <w:highlight w:val="none"/>
          <w14:textFill>
            <w14:solidFill>
              <w14:schemeClr w14:val="tx1"/>
            </w14:solidFill>
          </w14:textFill>
        </w:rPr>
      </w:pPr>
    </w:p>
    <w:p w14:paraId="4DB0E4C5">
      <w:pPr>
        <w:pStyle w:val="3"/>
        <w:rPr>
          <w:rFonts w:hint="eastAsia" w:ascii="宋体" w:hAnsi="宋体" w:eastAsia="宋体" w:cs="宋体"/>
          <w:color w:val="000000" w:themeColor="text1"/>
          <w:sz w:val="24"/>
          <w:szCs w:val="24"/>
          <w:highlight w:val="none"/>
          <w14:textFill>
            <w14:solidFill>
              <w14:schemeClr w14:val="tx1"/>
            </w14:solidFill>
          </w14:textFill>
        </w:rPr>
      </w:pPr>
    </w:p>
    <w:p w14:paraId="509BE278">
      <w:pPr>
        <w:tabs>
          <w:tab w:val="left" w:pos="-1080"/>
          <w:tab w:val="left" w:pos="180"/>
          <w:tab w:val="left" w:pos="108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（二）商务评分(F2)：按</w:t>
      </w:r>
      <w:r>
        <w:rPr>
          <w:rFonts w:hint="eastAsia" w:ascii="宋体" w:hAnsi="宋体" w:cs="宋体"/>
          <w:color w:val="000000" w:themeColor="text1"/>
          <w:sz w:val="24"/>
          <w:szCs w:val="24"/>
          <w:highlight w:val="none"/>
          <w:lang w:eastAsia="zh-CN"/>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分评分法，商务评分考虑下列因素：</w:t>
      </w:r>
    </w:p>
    <w:tbl>
      <w:tblPr>
        <w:tblStyle w:val="23"/>
        <w:tblW w:w="0" w:type="auto"/>
        <w:tblInd w:w="0" w:type="dxa"/>
        <w:tblLayout w:type="fixed"/>
        <w:tblCellMar>
          <w:top w:w="0" w:type="dxa"/>
          <w:left w:w="108" w:type="dxa"/>
          <w:bottom w:w="0" w:type="dxa"/>
          <w:right w:w="108" w:type="dxa"/>
        </w:tblCellMar>
      </w:tblPr>
      <w:tblGrid>
        <w:gridCol w:w="883"/>
        <w:gridCol w:w="6838"/>
        <w:gridCol w:w="898"/>
      </w:tblGrid>
      <w:tr w14:paraId="37CD20C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53ACD9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序号</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3173ED58">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细则内容</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0E8EA680">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满分</w:t>
            </w:r>
          </w:p>
          <w:p w14:paraId="76B9AD23">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分值</w:t>
            </w:r>
          </w:p>
        </w:tc>
      </w:tr>
      <w:tr w14:paraId="36A4A29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C030CC5">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2-1</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56571BAB">
            <w:pPr>
              <w:keepNext w:val="0"/>
              <w:keepLines w:val="0"/>
              <w:widowControl/>
              <w:suppressLineNumbers w:val="0"/>
              <w:spacing w:line="360" w:lineRule="auto"/>
              <w:jc w:val="left"/>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投标人具有ISO20000信息技术服务管理体系认证证书的得1分，须提供有效期内的证书复印件，并加盖投标人公章，否则不得分。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00785AEF">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41068C8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D3C50B0">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2-2</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4A6E9696">
            <w:pPr>
              <w:keepNext w:val="0"/>
              <w:keepLines w:val="0"/>
              <w:widowControl/>
              <w:suppressLineNumbers w:val="0"/>
              <w:spacing w:line="360" w:lineRule="auto"/>
              <w:jc w:val="left"/>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投标人具有职业健康安全管理体系认证证书的得1分，须提供有效期内的证书复印件，并加盖投标人公章，否则不得分。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64F730F8">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3A1F194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73E9BD4">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2-3</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65A9B8BF">
            <w:pPr>
              <w:keepNext w:val="0"/>
              <w:keepLines w:val="0"/>
              <w:widowControl/>
              <w:suppressLineNumbers w:val="0"/>
              <w:spacing w:line="360" w:lineRule="auto"/>
              <w:jc w:val="left"/>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投标人具有GB/T29490知识产权管理体系认证证书的得1分，须提供有效期内的证书复印件，并加盖投标人公章，否则不得分。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E526F96">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01FE936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857DE92">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2-4</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638061B9">
            <w:pPr>
              <w:keepNext w:val="0"/>
              <w:keepLines w:val="0"/>
              <w:widowControl/>
              <w:suppressLineNumbers w:val="0"/>
              <w:spacing w:line="360" w:lineRule="auto"/>
              <w:jc w:val="left"/>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投标人具有ISO27701隐私信息管理体系认证证书的得1分，须提供有效期内的证书复印件，并加盖投标人公章，否则不得分。</w:t>
            </w:r>
          </w:p>
        </w:tc>
        <w:tc>
          <w:tcPr>
            <w:tcW w:w="898" w:type="dxa"/>
            <w:tcBorders>
              <w:top w:val="single" w:color="auto" w:sz="4" w:space="0"/>
              <w:left w:val="single" w:color="auto" w:sz="4" w:space="0"/>
              <w:bottom w:val="single" w:color="auto" w:sz="4" w:space="0"/>
              <w:right w:val="single" w:color="auto" w:sz="4" w:space="0"/>
            </w:tcBorders>
            <w:noWrap w:val="0"/>
            <w:vAlign w:val="top"/>
          </w:tcPr>
          <w:p w14:paraId="7E7B64D9">
            <w:pPr>
              <w:keepNext w:val="0"/>
              <w:keepLines w:val="0"/>
              <w:widowControl/>
              <w:suppressLineNumbers w:val="0"/>
              <w:spacing w:line="360" w:lineRule="auto"/>
              <w:jc w:val="center"/>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605DA23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6CFDB3E">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2-5</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234DB80A">
            <w:pPr>
              <w:keepNext w:val="0"/>
              <w:keepLines w:val="0"/>
              <w:widowControl/>
              <w:suppressLineNumbers w:val="0"/>
              <w:spacing w:line="360" w:lineRule="auto"/>
              <w:jc w:val="left"/>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投标人具有个人可识别信息保护管理体系认证证书的得1分，须提供有效期内的证书复印件，并加盖投标人公章，否则不得分。</w:t>
            </w:r>
          </w:p>
        </w:tc>
        <w:tc>
          <w:tcPr>
            <w:tcW w:w="898" w:type="dxa"/>
            <w:tcBorders>
              <w:top w:val="single" w:color="auto" w:sz="4" w:space="0"/>
              <w:left w:val="single" w:color="auto" w:sz="4" w:space="0"/>
              <w:bottom w:val="single" w:color="auto" w:sz="4" w:space="0"/>
              <w:right w:val="single" w:color="auto" w:sz="4" w:space="0"/>
            </w:tcBorders>
            <w:noWrap w:val="0"/>
            <w:vAlign w:val="top"/>
          </w:tcPr>
          <w:p w14:paraId="0C84AE8A">
            <w:pPr>
              <w:keepNext w:val="0"/>
              <w:keepLines w:val="0"/>
              <w:widowControl/>
              <w:suppressLineNumbers w:val="0"/>
              <w:spacing w:line="360" w:lineRule="auto"/>
              <w:jc w:val="center"/>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700C31D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DB9BE3B">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2-6</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1E8B8113">
            <w:pPr>
              <w:keepNext w:val="0"/>
              <w:keepLines w:val="0"/>
              <w:widowControl/>
              <w:suppressLineNumbers w:val="0"/>
              <w:spacing w:line="360" w:lineRule="auto"/>
              <w:jc w:val="left"/>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投标人具有质量管理体系认证证书的得1分，须提供有效期内的证书复印件，并加盖投标人公章，否则不得分。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5F08E0F6">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7ED668C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4167786">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2-7</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0D400344">
            <w:pPr>
              <w:keepNext w:val="0"/>
              <w:keepLines w:val="0"/>
              <w:widowControl/>
              <w:suppressLineNumbers w:val="0"/>
              <w:spacing w:line="360" w:lineRule="auto"/>
              <w:jc w:val="left"/>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投标人具有ISO27001 信息安全管理体系认证证书的得1分，须提供有效期内的证书复印件，并加盖投标人公章，否则不得分。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33236BB0">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3292FB9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693842F">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2-8</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3FEBF0D0">
            <w:pPr>
              <w:keepNext w:val="0"/>
              <w:keepLines w:val="0"/>
              <w:widowControl/>
              <w:suppressLineNumbers w:val="0"/>
              <w:spacing w:line="360" w:lineRule="auto"/>
              <w:jc w:val="left"/>
              <w:textAlignment w:val="top"/>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投标人具有ISO27040数据存储安全管理体系认证证书的得1分，须提供有效期内的证书复印件，并加盖投标人公章，否则不得分。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3292ECBF">
            <w:pPr>
              <w:keepNext w:val="0"/>
              <w:keepLines w:val="0"/>
              <w:widowControl/>
              <w:suppressLineNumbers w:val="0"/>
              <w:spacing w:line="360" w:lineRule="auto"/>
              <w:jc w:val="center"/>
              <w:textAlignment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r>
      <w:tr w14:paraId="2280F84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8109716">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9</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2971787F">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投标人承诺所投呼叫中心平台支持信创国产化部署的得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分，需提供</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书面</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承诺函</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（格式自拟）并加盖单位公章</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7779CB0">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770F9CA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FBBCB20">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0</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1977C64D">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拟派本项目的项目主管同时具备信息系统项目管理师和高级工程师（信息系统项目管理师除外）的得3分，否则不得分，需提供有效期内的证书复印件和投标截止时间前3个月（不含投标截止时间当月）在投标人单位缴交的社保证明，并加盖投标人公章），若投标人因新注册成立或免缴社会保障资金等原因无法提供上述社会保障资金材料的，应在</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投标文件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中提交如实的情况说明，否则不得分。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407E27EB">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5AC2703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999202C">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0154F293">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拟投入本项目的技术负责人同时具有系统分析师和高级工程师证书（系统分析师除外）的得3分，否则不得分，需提供有效期内的证书复印件和投标截止时间前3个月（不含投标截止时间当月）在投标人单位缴交的社保证明，并加盖投标人公章，若投标人因新注册成立或免缴社会保障资金等原因无法提供上述社会保障资金材料的，应在投标文件中提交如实的情况说明，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5C8EB856">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336D9A1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5798BC0">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3E5E9F90">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投标人可提供厦门本地化服务的得</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分，否则不得分。投标人可提供合作单位协议或者自身机构的营业执照证明，也可以提供在本地设立的项目部、办公室、办事处等机构证明，或者承诺中标后提供本地化服务。</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1B85410">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2</w:t>
            </w:r>
          </w:p>
        </w:tc>
      </w:tr>
      <w:tr w14:paraId="3717B40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AD95611">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34715AAC">
            <w:pPr>
              <w:keepNext w:val="0"/>
              <w:keepLines w:val="0"/>
              <w:widowControl/>
              <w:suppressLineNumbers w:val="0"/>
              <w:spacing w:line="360" w:lineRule="auto"/>
              <w:jc w:val="left"/>
              <w:textAlignment w:val="top"/>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根据投标人自202</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年1月1日至开标当日（以合同签订时间为准）承担过的呼叫热线</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或坐席服务或接听</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服务项目业绩进行评分，每提供一份有效业绩的得1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.5</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分，满分3分， 投标人须提供该业绩项目以下资料：（须提供该业绩项目的中标（成交）公告（提供相关网站中标（成交）公告的下载网页及其网址）、中标（成交）通知书复印件、采购合同文本复印件、以及能够证明该业绩项目已经采购人验收合格的相关证明文件复印件，如未按采购文件要求提供该项业绩完整资料的，评委对该项业绩应不予采信。业绩项目的合同方需与投标人名称保持一致，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632B92F9">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r>
      <w:tr w14:paraId="4919040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F83C35A">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4</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5DAEDBB2">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根据投标人</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自</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202</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年1月1日至</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开标当日</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承接过的呼叫热线</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或坐席服务或接听</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服务项目中获得满意度测评情况进行评审：每提供1个年度评价为合格或以上的满意评价的，得1</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.5</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分，满分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分。须提供合同及用户满意度评价书（或年度考核合格证书），证明材料需具有用户单位公章，未提供或提供的证明材料不符合要求的不得分。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F31B950">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3</w:t>
            </w:r>
          </w:p>
        </w:tc>
      </w:tr>
    </w:tbl>
    <w:p w14:paraId="39382B68">
      <w:pPr>
        <w:tabs>
          <w:tab w:val="left" w:pos="-1080"/>
          <w:tab w:val="left" w:pos="180"/>
          <w:tab w:val="left" w:pos="108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B55A013">
      <w:pPr>
        <w:tabs>
          <w:tab w:val="left" w:pos="-1080"/>
          <w:tab w:val="left" w:pos="180"/>
          <w:tab w:val="left" w:pos="108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FE08E7E">
      <w:pPr>
        <w:tabs>
          <w:tab w:val="left" w:pos="-1080"/>
          <w:tab w:val="left" w:pos="180"/>
          <w:tab w:val="left" w:pos="108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（三）价格评分(F3)：按</w:t>
      </w:r>
      <w:r>
        <w:rPr>
          <w:rFonts w:hint="eastAsia" w:ascii="宋体" w:hAnsi="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分评分法，评标委员会对各有效标投标报价进行审核确定评标价，并将最低有效标的评标价设为基准价，定其价格得分为</w:t>
      </w:r>
      <w:r>
        <w:rPr>
          <w:rFonts w:hint="eastAsia" w:ascii="宋体" w:hAnsi="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分。按公式：价格得分＝</w:t>
      </w:r>
      <w:r>
        <w:rPr>
          <w:rFonts w:hint="eastAsia" w:ascii="宋体" w:hAnsi="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sym w:font="Symbol" w:char="00B4"/>
      </w:r>
      <w:r>
        <w:rPr>
          <w:rFonts w:hint="eastAsia" w:ascii="宋体" w:hAnsi="宋体" w:eastAsia="宋体" w:cs="宋体"/>
          <w:color w:val="000000" w:themeColor="text1"/>
          <w:sz w:val="24"/>
          <w:szCs w:val="24"/>
          <w:highlight w:val="none"/>
          <w14:textFill>
            <w14:solidFill>
              <w14:schemeClr w14:val="tx1"/>
            </w14:solidFill>
          </w14:textFill>
        </w:rPr>
        <w:t xml:space="preserve"> （基准价/各个通过审核的有效投标人的评标价）计算，由此算出各个通过审核的有效投标人的价格得分。</w:t>
      </w:r>
    </w:p>
    <w:p w14:paraId="6368766F">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1</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节能、环境标志产品价格扣除：</w:t>
      </w:r>
    </w:p>
    <w:p w14:paraId="5CCC19C6">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4AB63591">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具体要求如下：</w:t>
      </w:r>
    </w:p>
    <w:p w14:paraId="13A078C7">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2D2EF9B9">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投标人应分别明确节能或环境标志产品的名称、数量、分项报价、总报价，并提供认证证书复印件，否则不予</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若节能产品、环境标志产品认证证书不能反映产品具体信息的，须提供认证证书附件。</w:t>
      </w:r>
      <w:r>
        <w:rPr>
          <w:rFonts w:hint="eastAsia" w:ascii="宋体" w:hAnsi="宋体" w:eastAsia="宋体" w:cs="宋体"/>
          <w:color w:val="000000" w:themeColor="text1"/>
          <w:sz w:val="24"/>
          <w:szCs w:val="24"/>
          <w:highlight w:val="none"/>
          <w14:textFill>
            <w14:solidFill>
              <w14:schemeClr w14:val="tx1"/>
            </w14:solidFill>
          </w14:textFill>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w:t>
      </w:r>
    </w:p>
    <w:p w14:paraId="3C3C65C2">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若节能、环境标志产品仅是构成投标产品的部件、组件或零件，则该投标产品不享受鼓励优惠政策。属于政府强制采购的节能产品不享受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若投标产品既属于节能产品又属于环境标志产品，分别计算价格扣除优惠。</w:t>
      </w:r>
    </w:p>
    <w:p w14:paraId="393442FF">
      <w:pPr>
        <w:pStyle w:val="14"/>
        <w:spacing w:line="360" w:lineRule="auto"/>
        <w:ind w:firstLine="0" w:firstLineChars="0"/>
        <w:rPr>
          <w:rFonts w:hint="eastAsia" w:hAnsi="宋体" w:eastAsia="宋体" w:cs="宋体"/>
          <w:color w:val="000000" w:themeColor="text1"/>
          <w:sz w:val="24"/>
          <w:szCs w:val="24"/>
          <w:highlight w:val="none"/>
          <w14:textFill>
            <w14:solidFill>
              <w14:schemeClr w14:val="tx1"/>
            </w14:solidFill>
          </w14:textFill>
        </w:rPr>
      </w:pPr>
    </w:p>
    <w:p w14:paraId="27F28498">
      <w:pPr>
        <w:tabs>
          <w:tab w:val="left" w:pos="-1080"/>
          <w:tab w:val="left" w:pos="180"/>
          <w:tab w:val="left" w:pos="108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）综合得分= F1+ F2 + F3 。</w:t>
      </w:r>
    </w:p>
    <w:p w14:paraId="1FAAE5EA">
      <w:pPr>
        <w:pStyle w:val="14"/>
        <w:spacing w:line="360" w:lineRule="auto"/>
        <w:ind w:firstLine="720" w:firstLineChars="300"/>
        <w:rPr>
          <w:rFonts w:hint="eastAsia" w:hAnsi="宋体" w:eastAsia="宋体" w:cs="宋体"/>
          <w:bCs/>
          <w:color w:val="000000" w:themeColor="text1"/>
          <w:sz w:val="24"/>
          <w:szCs w:val="24"/>
          <w:highlight w:val="non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备注：1、技术商务评分中涉及排名情况的评分由评标委员会根据各投标人投标文件的响应情况进行综合评议得出排名。</w:t>
      </w:r>
    </w:p>
    <w:p w14:paraId="16AD80EA">
      <w:pPr>
        <w:pStyle w:val="14"/>
        <w:numPr>
          <w:ilvl w:val="-1"/>
          <w:numId w:val="0"/>
        </w:numPr>
        <w:spacing w:line="360" w:lineRule="auto"/>
        <w:ind w:firstLine="480" w:firstLineChars="200"/>
        <w:rPr>
          <w:rFonts w:hint="eastAsia" w:hAnsi="宋体" w:eastAsia="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业绩作为评分条件的，投标人须提供该业绩项目的中标（成交）公告（提供相关网站中标（成交）公告的下载网页的复印件及其网址）、中标（成交）通知书复印件、采购合同文本复印件，以及能够证明该业绩项目已经采购人验收合格的相关证明文件复印件，原件备查；如未按招标文件要求提供该项业绩完整资料的，评标委员会对该项业绩将不予采信。</w:t>
      </w:r>
    </w:p>
    <w:p w14:paraId="39EC938D">
      <w:pPr>
        <w:spacing w:line="360" w:lineRule="auto"/>
        <w:ind w:firstLine="1440" w:firstLineChars="450"/>
        <w:rPr>
          <w:rFonts w:hint="eastAsia" w:ascii="宋体" w:hAnsi="宋体" w:eastAsia="宋体" w:cs="宋体"/>
          <w:color w:val="000000" w:themeColor="text1"/>
          <w:sz w:val="32"/>
          <w:szCs w:val="32"/>
          <w:highlight w:val="none"/>
          <w14:textFill>
            <w14:solidFill>
              <w14:schemeClr w14:val="tx1"/>
            </w14:solidFill>
          </w14:textFill>
        </w:rPr>
      </w:pPr>
    </w:p>
    <w:p w14:paraId="6EF3EE7C">
      <w:pPr>
        <w:pStyle w:val="2"/>
        <w:rPr>
          <w:rFonts w:hint="eastAsia" w:ascii="宋体" w:hAnsi="宋体" w:eastAsia="宋体" w:cs="宋体"/>
          <w:color w:val="000000" w:themeColor="text1"/>
          <w:sz w:val="32"/>
          <w:szCs w:val="32"/>
          <w:highlight w:val="none"/>
          <w14:textFill>
            <w14:solidFill>
              <w14:schemeClr w14:val="tx1"/>
            </w14:solidFill>
          </w14:textFill>
        </w:rPr>
      </w:pPr>
    </w:p>
    <w:p w14:paraId="67FA869F">
      <w:pPr>
        <w:pStyle w:val="3"/>
        <w:rPr>
          <w:rFonts w:hint="eastAsia" w:ascii="宋体" w:hAnsi="宋体" w:eastAsia="宋体" w:cs="宋体"/>
          <w:color w:val="000000" w:themeColor="text1"/>
          <w:sz w:val="32"/>
          <w:szCs w:val="32"/>
          <w:highlight w:val="none"/>
          <w14:textFill>
            <w14:solidFill>
              <w14:schemeClr w14:val="tx1"/>
            </w14:solidFill>
          </w14:textFill>
        </w:rPr>
      </w:pPr>
    </w:p>
    <w:p w14:paraId="5C6CA944">
      <w:pPr>
        <w:pStyle w:val="3"/>
        <w:rPr>
          <w:rFonts w:hint="eastAsia" w:ascii="宋体" w:hAnsi="宋体" w:eastAsia="宋体" w:cs="宋体"/>
          <w:color w:val="000000" w:themeColor="text1"/>
          <w:sz w:val="32"/>
          <w:szCs w:val="32"/>
          <w:highlight w:val="none"/>
          <w14:textFill>
            <w14:solidFill>
              <w14:schemeClr w14:val="tx1"/>
            </w14:solidFill>
          </w14:textFill>
        </w:rPr>
      </w:pPr>
    </w:p>
    <w:p w14:paraId="65B7B732">
      <w:pPr>
        <w:pStyle w:val="3"/>
        <w:rPr>
          <w:rFonts w:hint="eastAsia" w:ascii="宋体" w:hAnsi="宋体" w:eastAsia="宋体" w:cs="宋体"/>
          <w:color w:val="000000" w:themeColor="text1"/>
          <w:sz w:val="32"/>
          <w:szCs w:val="32"/>
          <w:highlight w:val="none"/>
          <w14:textFill>
            <w14:solidFill>
              <w14:schemeClr w14:val="tx1"/>
            </w14:solidFill>
          </w14:textFill>
        </w:rPr>
      </w:pPr>
    </w:p>
    <w:p w14:paraId="635BC09C">
      <w:pPr>
        <w:pStyle w:val="3"/>
        <w:rPr>
          <w:rFonts w:hint="eastAsia" w:ascii="宋体" w:hAnsi="宋体" w:eastAsia="宋体" w:cs="宋体"/>
          <w:color w:val="000000" w:themeColor="text1"/>
          <w:sz w:val="32"/>
          <w:szCs w:val="32"/>
          <w:highlight w:val="none"/>
          <w14:textFill>
            <w14:solidFill>
              <w14:schemeClr w14:val="tx1"/>
            </w14:solidFill>
          </w14:textFill>
        </w:rPr>
      </w:pPr>
    </w:p>
    <w:p w14:paraId="51D72BEC">
      <w:pPr>
        <w:spacing w:line="360" w:lineRule="auto"/>
        <w:ind w:firstLine="1440" w:firstLineChars="4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投标人须知前附表4：中小企业优惠办法</w:t>
      </w:r>
    </w:p>
    <w:tbl>
      <w:tblPr>
        <w:tblStyle w:val="23"/>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063"/>
      </w:tblGrid>
      <w:tr w14:paraId="3DA15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418BAB0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677" w:type="dxa"/>
            <w:noWrap w:val="0"/>
            <w:vAlign w:val="center"/>
          </w:tcPr>
          <w:p w14:paraId="788403E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063" w:type="dxa"/>
            <w:noWrap w:val="0"/>
            <w:vAlign w:val="center"/>
          </w:tcPr>
          <w:p w14:paraId="49D811B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6DE7B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1F9FF71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677" w:type="dxa"/>
            <w:noWrap w:val="0"/>
            <w:vAlign w:val="center"/>
          </w:tcPr>
          <w:p w14:paraId="379BD96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063" w:type="dxa"/>
            <w:noWrap w:val="0"/>
            <w:vAlign w:val="center"/>
          </w:tcPr>
          <w:p w14:paraId="5DEBFF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b/>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0CD4A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48F819A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677" w:type="dxa"/>
            <w:noWrap w:val="0"/>
            <w:vAlign w:val="center"/>
          </w:tcPr>
          <w:p w14:paraId="36C32F9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063" w:type="dxa"/>
            <w:noWrap w:val="0"/>
            <w:vAlign w:val="top"/>
          </w:tcPr>
          <w:p w14:paraId="4187FB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7267BB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6C5EDCA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609B5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13D17728">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677" w:type="dxa"/>
            <w:noWrap w:val="0"/>
            <w:vAlign w:val="center"/>
          </w:tcPr>
          <w:p w14:paraId="3732255C">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063" w:type="dxa"/>
            <w:tcBorders>
              <w:bottom w:val="single" w:color="auto" w:sz="4" w:space="0"/>
            </w:tcBorders>
            <w:noWrap w:val="0"/>
            <w:vAlign w:val="top"/>
          </w:tcPr>
          <w:p w14:paraId="3A173749">
            <w:pPr>
              <w:spacing w:line="360" w:lineRule="auto"/>
              <w:ind w:left="-65" w:leftChars="-31" w:firstLine="12" w:firstLineChars="5"/>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投标人为中小企业（含中型、小型、微型企业，下同）：</w:t>
            </w:r>
          </w:p>
          <w:p w14:paraId="56F419A5">
            <w:pPr>
              <w:spacing w:line="360" w:lineRule="auto"/>
              <w:ind w:left="411"/>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①投标保证金：</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全免</w:t>
            </w:r>
          </w:p>
          <w:p w14:paraId="3D975192">
            <w:pPr>
              <w:spacing w:line="360" w:lineRule="auto"/>
              <w:ind w:left="-65" w:leftChars="-31" w:firstLine="475" w:firstLineChars="205"/>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4C9E2F57">
            <w:pPr>
              <w:spacing w:line="360" w:lineRule="auto"/>
              <w:ind w:left="-65" w:leftChars="-31" w:firstLine="475" w:firstLineChars="205"/>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：按招标文件规定的收费标准下调10%</w:t>
            </w:r>
          </w:p>
          <w:p w14:paraId="6E8F0A6B">
            <w:pPr>
              <w:widowControl/>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本项目的服务承接商为小微企业。</w:t>
            </w:r>
            <w:r>
              <w:rPr>
                <w:rFonts w:hint="eastAsia" w:ascii="宋体" w:hAnsi="宋体" w:eastAsia="宋体" w:cs="宋体"/>
                <w:color w:val="000000" w:themeColor="text1"/>
                <w:sz w:val="24"/>
                <w:szCs w:val="24"/>
                <w:highlight w:val="none"/>
                <w14:textFill>
                  <w14:solidFill>
                    <w14:schemeClr w14:val="tx1"/>
                  </w14:solidFill>
                </w14:textFill>
              </w:rPr>
              <w:t>对其投标报价给予20%的扣除，扣除后的价格作为该投标人的评标价参与价格评分。</w:t>
            </w:r>
          </w:p>
          <w:p w14:paraId="10A342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1F09816A">
            <w:pPr>
              <w:pStyle w:val="22"/>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55D3CE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64925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6E9318F3">
            <w:pPr>
              <w:widowControl/>
              <w:spacing w:line="360" w:lineRule="auto"/>
              <w:jc w:val="center"/>
              <w:rPr>
                <w:rFonts w:hint="eastAsia" w:ascii="宋体" w:hAnsi="宋体" w:eastAsia="宋体" w:cs="宋体"/>
                <w:b/>
                <w:dstrike/>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677" w:type="dxa"/>
            <w:noWrap w:val="0"/>
            <w:vAlign w:val="center"/>
          </w:tcPr>
          <w:p w14:paraId="73D1F83A">
            <w:pPr>
              <w:pStyle w:val="20"/>
              <w:spacing w:before="0" w:beforeAutospacing="0" w:after="0" w:afterAutospacing="0" w:line="360" w:lineRule="auto"/>
              <w:rPr>
                <w:rFonts w:hint="eastAsia" w:eastAsia="宋体"/>
                <w:color w:val="000000" w:themeColor="text1"/>
                <w:sz w:val="24"/>
                <w:szCs w:val="24"/>
                <w:highlight w:val="none"/>
                <w14:textFill>
                  <w14:solidFill>
                    <w14:schemeClr w14:val="tx1"/>
                  </w14:solidFill>
                </w14:textFill>
              </w:rPr>
            </w:pPr>
            <w:r>
              <w:rPr>
                <w:rFonts w:hint="eastAsia" w:eastAsia="宋体"/>
                <w:color w:val="000000" w:themeColor="text1"/>
                <w:sz w:val="24"/>
                <w:szCs w:val="24"/>
                <w:highlight w:val="none"/>
                <w14:textFill>
                  <w14:solidFill>
                    <w14:schemeClr w14:val="tx1"/>
                  </w14:solidFill>
                </w14:textFill>
              </w:rPr>
              <w:t>本项目对应的中小企业划分标准所属</w:t>
            </w:r>
            <w:r>
              <w:rPr>
                <w:rFonts w:hint="eastAsia"/>
                <w:color w:val="000000" w:themeColor="text1"/>
                <w:highlight w:val="none"/>
                <w14:textFill>
                  <w14:solidFill>
                    <w14:schemeClr w14:val="tx1"/>
                  </w14:solidFill>
                </w14:textFill>
              </w:rPr>
              <w:t>软件和信息技术服务业行业</w:t>
            </w:r>
            <w:r>
              <w:rPr>
                <w:rFonts w:hint="eastAsia" w:eastAsia="宋体"/>
                <w:color w:val="000000" w:themeColor="text1"/>
                <w:sz w:val="24"/>
                <w:szCs w:val="24"/>
                <w:highlight w:val="none"/>
                <w:u w:val="none"/>
                <w14:textFill>
                  <w14:solidFill>
                    <w14:schemeClr w14:val="tx1"/>
                  </w14:solidFill>
                </w14:textFill>
              </w:rPr>
              <w:t>。</w:t>
            </w:r>
          </w:p>
        </w:tc>
        <w:tc>
          <w:tcPr>
            <w:tcW w:w="6063" w:type="dxa"/>
            <w:tcBorders>
              <w:bottom w:val="single" w:color="auto" w:sz="4" w:space="0"/>
            </w:tcBorders>
            <w:noWrap w:val="0"/>
            <w:vAlign w:val="top"/>
          </w:tcPr>
          <w:p w14:paraId="2D7D55AF">
            <w:pPr>
              <w:spacing w:line="360" w:lineRule="auto"/>
              <w:rPr>
                <w:rFonts w:hint="eastAsia" w:ascii="宋体" w:hAnsi="宋体" w:eastAsia="宋体" w:cs="宋体"/>
                <w:dstrike/>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64B10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46FB4A2E">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677" w:type="dxa"/>
            <w:noWrap w:val="0"/>
            <w:vAlign w:val="center"/>
          </w:tcPr>
          <w:p w14:paraId="240B54DC">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063" w:type="dxa"/>
            <w:tcBorders>
              <w:bottom w:val="single" w:color="auto" w:sz="4" w:space="0"/>
            </w:tcBorders>
            <w:noWrap w:val="0"/>
            <w:vAlign w:val="top"/>
          </w:tcPr>
          <w:p w14:paraId="2860CAA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一、经评标委员会评审，存在下列任一情况的，投标人将不被视为中小企业：</w:t>
            </w:r>
          </w:p>
          <w:p w14:paraId="5282D3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1.投标人不符合“工信部联企业[2011]300号”规定的中小企业标准的；</w:t>
            </w:r>
          </w:p>
          <w:p w14:paraId="43C1149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2.投标货物全部或部分为使用大型企业注册商标的货物的；</w:t>
            </w:r>
          </w:p>
          <w:p w14:paraId="2D2224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3.投标文件中标明的中小企业产品的制造商不符合“工信部联企业[2011]300号”规定的中小企业标准的；</w:t>
            </w:r>
          </w:p>
          <w:p w14:paraId="0C9FCE4F">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二、提供虚假声明后果：</w:t>
            </w:r>
          </w:p>
          <w:p w14:paraId="3099F607">
            <w:pPr>
              <w:widowControl/>
              <w:spacing w:line="360" w:lineRule="auto"/>
              <w:rPr>
                <w:rFonts w:hint="eastAsia" w:ascii="宋体" w:hAnsi="宋体" w:eastAsia="宋体" w:cs="宋体"/>
                <w:b/>
                <w:i/>
                <w:color w:val="000000" w:themeColor="text1"/>
                <w:kern w:val="0"/>
                <w:sz w:val="24"/>
                <w:szCs w:val="24"/>
                <w:highlight w:val="none"/>
                <w:u w:val="singl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投标人为取得中小企业身份而提供虚假声明，在评审过程中发现的，按无效投标处理，投标保证金不予退还；已取得中标资格的，无论该行为是否影响中标，均取消其中标资格，投标保证金、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不予退还，该投标人还应承担由此引起的其他经济、法律责任。出现此种情形时，采购人、招标代理机构将有关情况上报政府采购监管部门，由监管部门按有关规定对其进行相应处罚。采购人、招标代理机构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有权上报财政部门，建议财政部门将该投标人列入不良行为记录名单，在一至三年内禁止该投标人参加政府采购活动并予以通报。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（提醒：如果不满足中小企业的认定标准，则不需要提供《中小企业声明函》，否则因此导致虚假应标的后果由投标人自行承担。）</w:t>
            </w:r>
          </w:p>
        </w:tc>
      </w:tr>
    </w:tbl>
    <w:p w14:paraId="763CBFE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7AB8A81">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77DBFC9">
      <w:pPr>
        <w:pStyle w:val="9"/>
        <w:rPr>
          <w:rFonts w:hint="eastAsia" w:ascii="宋体" w:hAnsi="宋体" w:eastAsia="宋体" w:cs="宋体"/>
          <w:b/>
          <w:bCs/>
          <w:color w:val="000000" w:themeColor="text1"/>
          <w:sz w:val="24"/>
          <w:szCs w:val="24"/>
          <w:highlight w:val="none"/>
          <w14:textFill>
            <w14:solidFill>
              <w14:schemeClr w14:val="tx1"/>
            </w14:solidFill>
          </w14:textFill>
        </w:rPr>
      </w:pPr>
    </w:p>
    <w:p w14:paraId="2FCE4A70">
      <w:pPr>
        <w:pStyle w:val="10"/>
        <w:rPr>
          <w:rFonts w:hint="eastAsia" w:ascii="宋体" w:hAnsi="宋体" w:eastAsia="宋体" w:cs="宋体"/>
          <w:b/>
          <w:bCs/>
          <w:color w:val="000000" w:themeColor="text1"/>
          <w:sz w:val="24"/>
          <w:szCs w:val="24"/>
          <w:highlight w:val="none"/>
          <w14:textFill>
            <w14:solidFill>
              <w14:schemeClr w14:val="tx1"/>
            </w14:solidFill>
          </w14:textFill>
        </w:rPr>
        <w:sectPr>
          <w:footerReference r:id="rId7" w:type="default"/>
          <w:pgSz w:w="11907" w:h="16840"/>
          <w:pgMar w:top="1440" w:right="1752" w:bottom="1290" w:left="1752" w:header="851" w:footer="992" w:gutter="0"/>
          <w:pgNumType w:start="1"/>
          <w:cols w:space="720" w:num="1"/>
          <w:docGrid w:linePitch="323" w:charSpace="-2"/>
        </w:sectPr>
      </w:pPr>
    </w:p>
    <w:p w14:paraId="0AF7D231">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bookmarkStart w:id="0" w:name="OLE_LINK1"/>
      <w:r>
        <w:rPr>
          <w:rFonts w:hint="eastAsia" w:ascii="宋体" w:hAnsi="宋体" w:eastAsia="宋体" w:cs="宋体"/>
          <w:b/>
          <w:color w:val="000000" w:themeColor="text1"/>
          <w:sz w:val="32"/>
          <w:szCs w:val="32"/>
          <w:highlight w:val="none"/>
          <w14:textFill>
            <w14:solidFill>
              <w14:schemeClr w14:val="tx1"/>
            </w14:solidFill>
          </w14:textFill>
        </w:rPr>
        <w:t>第二章    投标人须知</w:t>
      </w:r>
      <w:r>
        <w:rPr>
          <w:rFonts w:hint="eastAsia" w:ascii="宋体" w:hAnsi="宋体" w:eastAsia="宋体" w:cs="宋体"/>
          <w:b/>
          <w:color w:val="000000" w:themeColor="text1"/>
          <w:sz w:val="32"/>
          <w:szCs w:val="32"/>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 xml:space="preserve">  </w:t>
      </w:r>
    </w:p>
    <w:p w14:paraId="22BC89FC">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 xml:space="preserve"> </w:t>
      </w:r>
    </w:p>
    <w:bookmarkEnd w:id="0"/>
    <w:p w14:paraId="57D282A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一、 说明</w:t>
      </w:r>
    </w:p>
    <w:p w14:paraId="67F4DA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适用范围</w:t>
      </w:r>
    </w:p>
    <w:p w14:paraId="5D931AE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1.1本招标文件仅适用于投标邀请中所叙述项目的服务类政府采购。</w:t>
      </w:r>
    </w:p>
    <w:p w14:paraId="730A99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定义</w:t>
      </w:r>
    </w:p>
    <w:p w14:paraId="0AFC5B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757E411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“招标采购单位”系指组织本次招标活动的采购人或招标代理机构。</w:t>
      </w:r>
    </w:p>
    <w:p w14:paraId="42EDC86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“招标代理机构”系指本次招标采购项目活动组织方。</w:t>
      </w:r>
    </w:p>
    <w:p w14:paraId="12670B2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 “投标人”系指购买了本招标文件，且已经提交或者准备提交本次投标文件的服务商。</w:t>
      </w:r>
    </w:p>
    <w:p w14:paraId="5123D1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 “服务”系指维护、管理、安装、调试、技术协助、校准、培训以及其他类似的义务。</w:t>
      </w:r>
    </w:p>
    <w:p w14:paraId="4A4D6918">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2.6“项目”系以合同包为单位。</w:t>
      </w:r>
    </w:p>
    <w:p w14:paraId="182FCF2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 合格的投标人</w:t>
      </w:r>
    </w:p>
    <w:p w14:paraId="7BD745CF">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3.1凡有能力提供本招标文件所述服务的，具备《中华人民共和国政府采购法》第二十二条第一款规定的条件且符合本招标文件规定资格要求的境内服务商均可能成为合格的投标人。</w:t>
      </w:r>
    </w:p>
    <w:p w14:paraId="2F334CAC">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投标人具备《中华人民共和国政府采购法》第二十二条第一款规定的条件，应提供以下材料：</w:t>
      </w:r>
    </w:p>
    <w:p w14:paraId="091DE72D">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w:t>
      </w:r>
    </w:p>
    <w:p w14:paraId="21953FD7">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报价人应</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提供福建省</w:t>
      </w:r>
      <w:r>
        <w:rPr>
          <w:rFonts w:hint="eastAsia" w:ascii="宋体" w:hAnsi="宋体" w:eastAsia="宋体" w:cs="宋体"/>
          <w:color w:val="000000" w:themeColor="text1"/>
          <w:sz w:val="24"/>
          <w:szCs w:val="24"/>
          <w:highlight w:val="none"/>
          <w14:textFill>
            <w14:solidFill>
              <w14:schemeClr w14:val="tx1"/>
            </w14:solidFill>
          </w14:textFill>
        </w:rPr>
        <w:t>政府采购供应商资格承诺函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3D8188C0">
      <w:pPr>
        <w:spacing w:line="360" w:lineRule="auto"/>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p w14:paraId="49B9368C">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3.2投标人应遵守并符合中国的有关法律、法规和规章的规定，同时其投标服务也应符合中国的有关法律、法规和规章的规定。</w:t>
      </w:r>
    </w:p>
    <w:p w14:paraId="2CD96C7C">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3.3一个投标人只能提交一个投标文件。如果投标人之间存在下列互为关联关系的情形之一的，不得同时参加本项目同一合同包投标：</w:t>
      </w:r>
    </w:p>
    <w:p w14:paraId="2ED9DA95">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(1)法定代表人、单位负责人为同一人或夫妻关系的不同投标人；</w:t>
      </w:r>
    </w:p>
    <w:p w14:paraId="64EEBAB9">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(2)存在直接控股、管理关系的不同投标人；</w:t>
      </w:r>
    </w:p>
    <w:p w14:paraId="03A0B392">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(3)均为同一家母公司直接或间接持股50％及以上的被投资公司。</w:t>
      </w:r>
    </w:p>
    <w:p w14:paraId="6487C93F">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046831A6">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3.5如本项目接受联合体投标，则两个或者两个以上投标人可以组成一个投标联合体，以一个投标人的身份投标。</w:t>
      </w:r>
    </w:p>
    <w:p w14:paraId="45E10818">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以联合体形式参加投标的，联合体各方均应当符合合格的投标人相关规定。采购人根据采购项目的特殊要求规定投标人特定条件的，联合体各方中至少应当有一方符合采购人规定的特定条件，如联合体各方中没有一方符合特定条件的，该联合体投标无效。</w:t>
      </w:r>
    </w:p>
    <w:p w14:paraId="03005D0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4B7BAA21">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（3）项目如涉及资质要求，该部分内容应由联合体中具有该资质要求的投标人承担。联合体协议及签订的采购合同应包含此项内容。</w:t>
      </w:r>
    </w:p>
    <w:p w14:paraId="75F79F2E">
      <w:pPr>
        <w:spacing w:line="360" w:lineRule="auto"/>
        <w:ind w:firstLine="361" w:firstLineChars="15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（4）联合体中有同类资质的投标人按照联合体分工承担相同工作的，应当按照资质等级较低的投标人确定资质等级。</w:t>
      </w:r>
    </w:p>
    <w:p w14:paraId="39C4C1C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3.6属于联合体投标的，除招标文件其他章节或本须知其他条款另有规定或要求外，投标文件中仅加盖联合体一方公章的相关文件，对联合体各方均具有约束力。</w:t>
      </w:r>
    </w:p>
    <w:p w14:paraId="3AF19133">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3.7投标代理人在同一个项目中只能接受一个投标人的委托参加投标。</w:t>
      </w:r>
    </w:p>
    <w:p w14:paraId="71FC07F7">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3.8投标人存在下列情形之一的，将被认定为串通投标行为并作无效投标处理：</w:t>
      </w:r>
    </w:p>
    <w:p w14:paraId="070BA0B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（1）投标人之间协商投标报价等投标文件的实质性内容；</w:t>
      </w:r>
    </w:p>
    <w:p w14:paraId="07AEB9C2">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（2）投标人之间约定中标供应商；</w:t>
      </w:r>
    </w:p>
    <w:p w14:paraId="7A10523F">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（3）投标人之间约定部分投标人放弃投标或者中标；</w:t>
      </w:r>
    </w:p>
    <w:p w14:paraId="40B959B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（4）属于同一集团、协会、商会等组织成员的投标人按照该组织要求协同投标；</w:t>
      </w:r>
    </w:p>
    <w:p w14:paraId="718FE3F2">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（5）投标人之间为谋取中标或者排斥特定投标人而采取的其他联合行动；</w:t>
      </w:r>
    </w:p>
    <w:p w14:paraId="60DEE885">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（6）不同投标人的投标文件由同一单位或者个人编制；</w:t>
      </w:r>
    </w:p>
    <w:p w14:paraId="20D3CA22">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（7）不同投标人委托同一单位或者个人办理投标事宜；</w:t>
      </w:r>
    </w:p>
    <w:p w14:paraId="24E1AD59">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（8）不同投标人的投标文件载明的项目管理成员或者联系人员为同一人；</w:t>
      </w:r>
    </w:p>
    <w:p w14:paraId="0767F93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（9）不同投标人的投标文件异常一致或者投标报价呈规律性差异；</w:t>
      </w:r>
    </w:p>
    <w:p w14:paraId="0358A231">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（10）不同投标人的投标文件相互混装；</w:t>
      </w:r>
    </w:p>
    <w:p w14:paraId="7B804168">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（11）不同投标人的投标保证金从同一单位或者个人的账户转出。</w:t>
      </w:r>
    </w:p>
    <w:p w14:paraId="0A9E0776">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（12）不同投标人的投标文件错、漏之处一致或雷同，且不能合理解释的；</w:t>
      </w:r>
    </w:p>
    <w:p w14:paraId="7AF9617C">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（13）不同的投标人的法定代表人、委托代理人等由同一个单位缴纳社会保险的；</w:t>
      </w:r>
    </w:p>
    <w:p w14:paraId="5C367E4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（14）由同一人或分别由几个有利害关系的人携带两个以上（含两个）投标人的企业资料参与资格审查、领取招标资料，或代表两个以上（含两个）投标人参加招标答疑会、交纳或退还投标保证金、开标的；</w:t>
      </w:r>
    </w:p>
    <w:p w14:paraId="5690428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（15）有关法律、法规或规章规定的其他串通投标行为。</w:t>
      </w:r>
    </w:p>
    <w:p w14:paraId="376D81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投标费用</w:t>
      </w:r>
    </w:p>
    <w:p w14:paraId="012928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4.1 投标人自行承担其参加投标所涉及的一切费用。</w:t>
      </w:r>
    </w:p>
    <w:p w14:paraId="4C21EC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52DFA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二、 招标文件</w:t>
      </w:r>
    </w:p>
    <w:p w14:paraId="3124ED8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招标文件的组成</w:t>
      </w:r>
    </w:p>
    <w:p w14:paraId="24B54F4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5.1招标文件用以阐明所需服务招标程序、内容和合同主要条款。招标文件由下述部分组成：</w:t>
      </w:r>
    </w:p>
    <w:p w14:paraId="202F6B0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（1）投标邀请函</w:t>
      </w:r>
    </w:p>
    <w:p w14:paraId="469B45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（2）投标人须知 </w:t>
      </w:r>
    </w:p>
    <w:p w14:paraId="56C973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（3）招标内容及要求</w:t>
      </w:r>
    </w:p>
    <w:p w14:paraId="5DA3724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（4）合同主要条款</w:t>
      </w:r>
    </w:p>
    <w:p w14:paraId="5421E2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（5）投标文件格式</w:t>
      </w:r>
    </w:p>
    <w:p w14:paraId="6E9574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1" w:name="_Toc430492126"/>
      <w:bookmarkStart w:id="2" w:name="_Toc430490612"/>
      <w:bookmarkStart w:id="3" w:name="_Toc430488644"/>
      <w:bookmarkStart w:id="4" w:name="_Toc415567497"/>
      <w:bookmarkStart w:id="5" w:name="_Toc430488851"/>
      <w:bookmarkStart w:id="6" w:name="_Toc430489119"/>
      <w:bookmarkStart w:id="7" w:name="_Toc430422413"/>
      <w:r>
        <w:rPr>
          <w:rFonts w:hint="eastAsia" w:ascii="宋体" w:hAnsi="宋体" w:eastAsia="宋体" w:cs="宋体"/>
          <w:color w:val="000000" w:themeColor="text1"/>
          <w:sz w:val="24"/>
          <w:szCs w:val="24"/>
          <w:highlight w:val="none"/>
          <w14:textFill>
            <w14:solidFill>
              <w14:schemeClr w14:val="tx1"/>
            </w14:solidFill>
          </w14:textFill>
        </w:rPr>
        <w:t>6.</w:t>
      </w:r>
      <w:bookmarkEnd w:id="1"/>
      <w:bookmarkEnd w:id="2"/>
      <w:bookmarkEnd w:id="3"/>
      <w:bookmarkEnd w:id="4"/>
      <w:bookmarkEnd w:id="5"/>
      <w:bookmarkEnd w:id="6"/>
      <w:bookmarkEnd w:id="7"/>
      <w:r>
        <w:rPr>
          <w:rFonts w:hint="eastAsia" w:ascii="宋体" w:hAnsi="宋体" w:eastAsia="宋体" w:cs="宋体"/>
          <w:color w:val="000000" w:themeColor="text1"/>
          <w:sz w:val="24"/>
          <w:szCs w:val="24"/>
          <w:highlight w:val="none"/>
          <w14:textFill>
            <w14:solidFill>
              <w14:schemeClr w14:val="tx1"/>
            </w14:solidFill>
          </w14:textFill>
        </w:rPr>
        <w:t xml:space="preserve"> 招标文件的澄清及</w:t>
      </w:r>
      <w:r>
        <w:rPr>
          <w:rFonts w:hint="eastAsia" w:ascii="宋体" w:hAnsi="宋体" w:eastAsia="宋体" w:cs="宋体"/>
          <w:bCs/>
          <w:color w:val="000000" w:themeColor="text1"/>
          <w:sz w:val="24"/>
          <w:szCs w:val="24"/>
          <w:highlight w:val="none"/>
          <w14:textFill>
            <w14:solidFill>
              <w14:schemeClr w14:val="tx1"/>
            </w14:solidFill>
          </w14:textFill>
        </w:rPr>
        <w:t>修改</w:t>
      </w:r>
    </w:p>
    <w:p w14:paraId="4F6561D7">
      <w:pPr>
        <w:pStyle w:val="2"/>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6.1 投标人对招标文件如有疑点，可要求澄清。要求澄清应按投标邀请中载明的地址以书面形式（包括信函、传真、电子邮件，下同）通知</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bCs/>
          <w:color w:val="000000" w:themeColor="text1"/>
          <w:sz w:val="24"/>
          <w:szCs w:val="24"/>
          <w:highlight w:val="none"/>
          <w14:textFill>
            <w14:solidFill>
              <w14:schemeClr w14:val="tx1"/>
            </w14:solidFill>
          </w14:textFill>
        </w:rPr>
        <w:t>将视情况在投标截止时间15个日历日（如至原定截止时间不足15个日历日，则需延长开标时间）前将书面答复发给所有投标人，并</w:t>
      </w:r>
      <w:r>
        <w:rPr>
          <w:rFonts w:hint="eastAsia" w:ascii="宋体" w:hAnsi="宋体" w:eastAsia="宋体" w:cs="宋体"/>
          <w:color w:val="000000" w:themeColor="text1"/>
          <w:sz w:val="24"/>
          <w:szCs w:val="24"/>
          <w:highlight w:val="none"/>
          <w14:textFill>
            <w14:solidFill>
              <w14:schemeClr w14:val="tx1"/>
            </w14:solidFill>
          </w14:textFill>
        </w:rPr>
        <w:t>在原采购信息发布媒体上发布更正公告</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该澄清内容为招标文件的组成部分。</w:t>
      </w:r>
    </w:p>
    <w:p w14:paraId="567378BF">
      <w:pPr>
        <w:pStyle w:val="2"/>
        <w:spacing w:line="360" w:lineRule="auto"/>
        <w:ind w:firstLineChars="175"/>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6.2至投标截止时间15日（如至原定截止时间不足15个日历日，则需延长开标时间）前，</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bCs/>
          <w:color w:val="000000" w:themeColor="text1"/>
          <w:sz w:val="24"/>
          <w:szCs w:val="24"/>
          <w:highlight w:val="none"/>
          <w14:textFill>
            <w14:solidFill>
              <w14:schemeClr w14:val="tx1"/>
            </w14:solidFill>
          </w14:textFill>
        </w:rPr>
        <w:t>可主动或依投标人要求澄清的问题修改招标文件，但应当</w:t>
      </w:r>
      <w:r>
        <w:rPr>
          <w:rFonts w:hint="eastAsia" w:ascii="宋体" w:hAnsi="宋体" w:eastAsia="宋体" w:cs="宋体"/>
          <w:color w:val="000000" w:themeColor="text1"/>
          <w:sz w:val="24"/>
          <w:szCs w:val="24"/>
          <w:highlight w:val="none"/>
          <w14:textFill>
            <w14:solidFill>
              <w14:schemeClr w14:val="tx1"/>
            </w14:solidFill>
          </w14:textFill>
        </w:rPr>
        <w:t>在原信息发布媒体上发布更正公告，</w:t>
      </w:r>
      <w:r>
        <w:rPr>
          <w:rFonts w:hint="eastAsia" w:ascii="宋体" w:hAnsi="宋体" w:eastAsia="宋体" w:cs="宋体"/>
          <w:bCs/>
          <w:color w:val="000000" w:themeColor="text1"/>
          <w:sz w:val="24"/>
          <w:szCs w:val="24"/>
          <w:highlight w:val="none"/>
          <w14:textFill>
            <w14:solidFill>
              <w14:schemeClr w14:val="tx1"/>
            </w14:solidFill>
          </w14:textFill>
        </w:rPr>
        <w:t>并以书面形式通知所有招标文件收受人，投标人在收到该通知后应当立即以传真形式予以确认。</w:t>
      </w:r>
      <w:r>
        <w:rPr>
          <w:rFonts w:hint="eastAsia" w:ascii="宋体" w:hAnsi="宋体" w:eastAsia="宋体" w:cs="宋体"/>
          <w:color w:val="000000" w:themeColor="text1"/>
          <w:sz w:val="24"/>
          <w:szCs w:val="24"/>
          <w:highlight w:val="none"/>
          <w14:textFill>
            <w14:solidFill>
              <w14:schemeClr w14:val="tx1"/>
            </w14:solidFill>
          </w14:textFill>
        </w:rPr>
        <w:t>该修改内容为招标文件的组成部分，对投标人具有约束力。但</w:t>
      </w:r>
      <w:r>
        <w:rPr>
          <w:rFonts w:hint="eastAsia" w:ascii="宋体" w:hAnsi="宋体" w:eastAsia="宋体" w:cs="宋体"/>
          <w:bCs/>
          <w:color w:val="000000" w:themeColor="text1"/>
          <w:sz w:val="24"/>
          <w:szCs w:val="24"/>
          <w:highlight w:val="none"/>
          <w14:textFill>
            <w14:solidFill>
              <w14:schemeClr w14:val="tx1"/>
            </w14:solidFill>
          </w14:textFill>
        </w:rPr>
        <w:t>本招标文件第6.3条规定的推迟投标截止时间和开标时间情形不受本条约束。</w:t>
      </w:r>
    </w:p>
    <w:p w14:paraId="0E7C346F">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6.3</w:t>
      </w:r>
      <w:r>
        <w:rPr>
          <w:rFonts w:hint="eastAsia" w:ascii="宋体" w:hAnsi="宋体" w:eastAsia="宋体" w:cs="宋体"/>
          <w:color w:val="000000" w:themeColor="text1"/>
          <w:sz w:val="24"/>
          <w:szCs w:val="24"/>
          <w:highlight w:val="none"/>
          <w14:textFill>
            <w14:solidFill>
              <w14:schemeClr w14:val="tx1"/>
            </w14:solidFill>
          </w14:textFill>
        </w:rPr>
        <w:t>为使投标人在准备投标文件时有合理的时间考虑投标文件的修改，招标</w:t>
      </w:r>
      <w:r>
        <w:rPr>
          <w:rFonts w:hint="eastAsia" w:ascii="宋体" w:hAnsi="宋体" w:eastAsia="宋体" w:cs="宋体"/>
          <w:bCs/>
          <w:color w:val="000000" w:themeColor="text1"/>
          <w:sz w:val="24"/>
          <w:szCs w:val="24"/>
          <w:highlight w:val="none"/>
          <w14:textFill>
            <w14:solidFill>
              <w14:schemeClr w14:val="tx1"/>
            </w14:solidFill>
          </w14:textFill>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000000" w:themeColor="text1"/>
          <w:sz w:val="24"/>
          <w:szCs w:val="24"/>
          <w:highlight w:val="none"/>
          <w14:textFill>
            <w14:solidFill>
              <w14:schemeClr w14:val="tx1"/>
            </w14:solidFill>
          </w14:textFill>
        </w:rPr>
        <w:t>，并在原采购信息发布媒体上发布更正公告。在此情况下，招标人和投标人受投标截止期制约的所有权利和义务均应延长至新的截止日期。</w:t>
      </w:r>
    </w:p>
    <w:p w14:paraId="67BE11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7.项目暂停</w:t>
      </w:r>
    </w:p>
    <w:p w14:paraId="41C7AF57">
      <w:pPr>
        <w:pStyle w:val="2"/>
        <w:spacing w:line="360" w:lineRule="auto"/>
        <w:ind w:firstLineChars="175"/>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77716FB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FC9D03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7D54A0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三、  投标文件的编写</w:t>
      </w:r>
    </w:p>
    <w:p w14:paraId="0F22F3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要求</w:t>
      </w:r>
    </w:p>
    <w:p w14:paraId="0D3482C0">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8.1投标人应仔细阅读招标文件的所有内容，按照招标文件的要求提交投标文件。投标文件应对招标文件的要求作出实质性响应，并保证所提供的全部资料的真实性，否则其投标将被拒绝。</w:t>
      </w:r>
    </w:p>
    <w:p w14:paraId="7AE4FD23">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8.2除非有另外的规定，投标人可对招标服务一览表所列的全部合同包或部分合同包进行投标。招标采购单位不接受有任何可选择性的报价，每一种服务只能有一个报价，否则其投标将被拒绝。</w:t>
      </w:r>
    </w:p>
    <w:p w14:paraId="24CA7D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 投标文件语言</w:t>
      </w:r>
    </w:p>
    <w:p w14:paraId="61DA3F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9.1投标文件应用中文书写。投标文件中所附或所引用的文件不是中文时，应附中文译本。各种计量单位及符号应采用国际上统一使用的公制计量单位和符号。</w:t>
      </w:r>
    </w:p>
    <w:p w14:paraId="5C1F71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 投标文件的组成</w:t>
      </w:r>
    </w:p>
    <w:p w14:paraId="317E066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10.1投标文件应包括下列部分：</w:t>
      </w:r>
    </w:p>
    <w:p w14:paraId="6194B6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投标书</w:t>
      </w:r>
    </w:p>
    <w:p w14:paraId="40DB2F4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开标一览表</w:t>
      </w:r>
    </w:p>
    <w:p w14:paraId="6D809DB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投标分项报价表</w:t>
      </w:r>
    </w:p>
    <w:p w14:paraId="6941B3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项目说明一览表</w:t>
      </w:r>
    </w:p>
    <w:p w14:paraId="354DC2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项目范围清单</w:t>
      </w:r>
    </w:p>
    <w:p w14:paraId="104E593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5D09BD2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投标人资格证明文件</w:t>
      </w:r>
    </w:p>
    <w:p w14:paraId="3DE53E1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投标人提交的其他资料</w:t>
      </w:r>
    </w:p>
    <w:p w14:paraId="5507ADA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(9)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56FD46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 投标保证金</w:t>
      </w:r>
    </w:p>
    <w:p w14:paraId="369D0B0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 投标有效期</w:t>
      </w:r>
    </w:p>
    <w:p w14:paraId="265F1746">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11.1投标文件从投标截止之日开始生效，在</w:t>
      </w:r>
      <w:r>
        <w:rPr>
          <w:rFonts w:hint="eastAsia" w:ascii="宋体" w:hAnsi="宋体" w:eastAsia="宋体" w:cs="宋体"/>
          <w:b/>
          <w:bCs/>
          <w:color w:val="000000" w:themeColor="text1"/>
          <w:sz w:val="24"/>
          <w:szCs w:val="24"/>
          <w:highlight w:val="none"/>
          <w14:textFill>
            <w14:solidFill>
              <w14:schemeClr w14:val="tx1"/>
            </w14:solidFill>
          </w14:textFill>
        </w:rPr>
        <w:t>投标人须知前附表1</w:t>
      </w:r>
      <w:r>
        <w:rPr>
          <w:rFonts w:hint="eastAsia" w:ascii="宋体" w:hAnsi="宋体" w:eastAsia="宋体" w:cs="宋体"/>
          <w:b/>
          <w:color w:val="000000" w:themeColor="text1"/>
          <w:sz w:val="24"/>
          <w:szCs w:val="24"/>
          <w:highlight w:val="none"/>
          <w14:textFill>
            <w14:solidFill>
              <w14:schemeClr w14:val="tx1"/>
            </w14:solidFill>
          </w14:textFill>
        </w:rPr>
        <w:t>第3项所规定的期限内保持有效。有效期不足将导致其投标文件被拒绝。</w:t>
      </w:r>
    </w:p>
    <w:p w14:paraId="4F00B76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5F05A7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 投标保证金</w:t>
      </w:r>
    </w:p>
    <w:p w14:paraId="604AF51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12.1 投标保证金为投标文件的组成部分之一。</w:t>
      </w:r>
    </w:p>
    <w:p w14:paraId="3E7D49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 投标人应在提交投标文件之前向招标代理机构</w:t>
      </w:r>
      <w:r>
        <w:rPr>
          <w:rFonts w:hint="eastAsia" w:ascii="宋体" w:hAnsi="宋体" w:eastAsia="宋体" w:cs="宋体"/>
          <w:color w:val="000000" w:themeColor="text1"/>
          <w:sz w:val="24"/>
          <w:szCs w:val="24"/>
          <w:highlight w:val="none"/>
          <w:u w:val="single"/>
          <w14:textFill>
            <w14:solidFill>
              <w14:schemeClr w14:val="tx1"/>
            </w14:solidFill>
          </w14:textFill>
        </w:rPr>
        <w:t>指定的政府采购保证金专户</w:t>
      </w:r>
      <w:r>
        <w:rPr>
          <w:rFonts w:hint="eastAsia" w:ascii="宋体" w:hAnsi="宋体" w:eastAsia="宋体" w:cs="宋体"/>
          <w:color w:val="000000" w:themeColor="text1"/>
          <w:sz w:val="24"/>
          <w:szCs w:val="24"/>
          <w:highlight w:val="none"/>
          <w14:textFill>
            <w14:solidFill>
              <w14:schemeClr w14:val="tx1"/>
            </w14:solidFill>
          </w14:textFill>
        </w:rPr>
        <w:t>缴交投标保证金。联合体投标的，可以由联合体中的一方或者共同提交投标保证金，以一方名义提交投标保证金的，对联合体各方均具有约束力。</w:t>
      </w:r>
    </w:p>
    <w:p w14:paraId="1921FFA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12.3 投标保证金用于保护本次招标活动免受投标人的行为而引起的风险。</w:t>
      </w:r>
    </w:p>
    <w:p w14:paraId="5783ACA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12.4投标保证金以转账、电汇两种形式提交（不收取现金、现金支票，不能用个人卡在银联支付系统转账，否则作未提交保证金处理），投标保证金应在投标截止时间前到账。</w:t>
      </w:r>
    </w:p>
    <w:p w14:paraId="4FF942C3">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12.5未按要求缴交投标保证金的投标，将被视为无效投标。</w:t>
      </w:r>
    </w:p>
    <w:p w14:paraId="3988E6F3">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12.6招标代理机构将在中标通知书发出之日起5个工作日内予以原额无息退还未中标供应商的投标保证金。</w:t>
      </w:r>
    </w:p>
    <w:p w14:paraId="5DD3642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12.7在中标供应商支付所有</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并签订合同后5个工作日内，招标代理机构对中标供应商的投标保证金予以原额无息退还。</w:t>
      </w:r>
    </w:p>
    <w:p w14:paraId="1432037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12.8投标保证金有效期应当与投标有效期一致。投标保证金产生的银行利息统一上缴市财政。</w:t>
      </w:r>
    </w:p>
    <w:p w14:paraId="1948E3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12.9 发生以下情形之一的，投标保证金将不予退还，</w:t>
      </w:r>
      <w:r>
        <w:rPr>
          <w:rFonts w:hint="eastAsia" w:ascii="宋体" w:hAnsi="宋体" w:eastAsia="宋体" w:cs="宋体"/>
          <w:color w:val="000000" w:themeColor="text1"/>
          <w:sz w:val="24"/>
          <w:szCs w:val="24"/>
          <w:highlight w:val="none"/>
          <w:u w:val="single"/>
          <w14:textFill>
            <w14:solidFill>
              <w14:schemeClr w14:val="tx1"/>
            </w14:solidFill>
          </w14:textFill>
        </w:rPr>
        <w:t>由招标代理机构上缴财政部门</w:t>
      </w:r>
      <w:r>
        <w:rPr>
          <w:rFonts w:hint="eastAsia" w:ascii="宋体" w:hAnsi="宋体" w:eastAsia="宋体" w:cs="宋体"/>
          <w:color w:val="000000" w:themeColor="text1"/>
          <w:sz w:val="24"/>
          <w:szCs w:val="24"/>
          <w:highlight w:val="none"/>
          <w14:textFill>
            <w14:solidFill>
              <w14:schemeClr w14:val="tx1"/>
            </w14:solidFill>
          </w14:textFill>
        </w:rPr>
        <w:t>：</w:t>
      </w:r>
    </w:p>
    <w:p w14:paraId="5B6D86D2">
      <w:pPr>
        <w:pStyle w:val="2"/>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投标人在投标截止时间后，投标有效期内撤回投标；</w:t>
      </w:r>
    </w:p>
    <w:p w14:paraId="0B37E99A">
      <w:pPr>
        <w:spacing w:line="360" w:lineRule="auto"/>
        <w:ind w:left="239" w:leftChars="114"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（2）除因不可抗力或招标文件认可的情形外，中标供应商未能按本须知第22条规定签订合同的；</w:t>
      </w:r>
    </w:p>
    <w:p w14:paraId="110B0A95">
      <w:pPr>
        <w:spacing w:line="360" w:lineRule="auto"/>
        <w:ind w:left="707" w:leftChars="228" w:hanging="228" w:hangingChars="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（3）中标供应商未按投标人须知前附表1规定缴纳</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2ADDF4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（4）以他人名义投标或者以其他方式弄虚作假，骗取中标的；</w:t>
      </w:r>
    </w:p>
    <w:p w14:paraId="2E0D43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（5）投标人在响应文件中提供虚假材料的；</w:t>
      </w:r>
    </w:p>
    <w:p w14:paraId="7E72FD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（6）在禁止参加政府采购活动的处罚有效期内，仍参加政府采购活动的；</w:t>
      </w:r>
    </w:p>
    <w:p w14:paraId="0596EB2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（7）以不正当手段诋毁、排挤其他投标人的；</w:t>
      </w:r>
    </w:p>
    <w:p w14:paraId="6FE369F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3FF632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（9）与采购人、其他投标人或者采购代理机构恶意串通的；</w:t>
      </w:r>
    </w:p>
    <w:p w14:paraId="33F10B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（10）法律、法规、规章及本招标文件中规定的其他没收投标保证金的情形。</w:t>
      </w:r>
    </w:p>
    <w:p w14:paraId="0BB986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上述不予退还投标保证金的情形给招标采购单位造成损失的，相关责任人还应当承担赔偿责任。</w:t>
      </w:r>
    </w:p>
    <w:p w14:paraId="2DBC8F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 投标文件的格式</w:t>
      </w:r>
    </w:p>
    <w:p w14:paraId="023D8C4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13.1投标人须编制由本须知第10条规定文件组成的投标文件正本一份，副本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份，正本用A4幅面纸张打印装订，副本可以用正本的完整复印件，并在封面标明“正本”、“副本”字样。正本与副本如有不一致，则以正本为准。</w:t>
      </w:r>
    </w:p>
    <w:p w14:paraId="0406092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13.2投标文件应由投标人的法定代表人或者其授权代表签字并加盖公章，如由后者签字，应提供“单位授权委托书”。 </w:t>
      </w:r>
    </w:p>
    <w:p w14:paraId="6257C28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13.3除非有另外的规定或许可，投标使用货币为人民币。</w:t>
      </w:r>
    </w:p>
    <w:p w14:paraId="11F7C08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13.4投标人应提交证明</w:t>
      </w:r>
      <w:r>
        <w:rPr>
          <w:rFonts w:hint="eastAsia" w:ascii="宋体" w:hAnsi="宋体" w:cs="宋体"/>
          <w:color w:val="000000" w:themeColor="text1"/>
          <w:sz w:val="24"/>
          <w:szCs w:val="24"/>
          <w:highlight w:val="none"/>
          <w:lang w:eastAsia="zh-CN"/>
          <w14:textFill>
            <w14:solidFill>
              <w14:schemeClr w14:val="tx1"/>
            </w14:solidFill>
          </w14:textFill>
        </w:rPr>
        <w:t>其拟提供</w:t>
      </w:r>
      <w:r>
        <w:rPr>
          <w:rFonts w:hint="eastAsia" w:ascii="宋体" w:hAnsi="宋体" w:eastAsia="宋体" w:cs="宋体"/>
          <w:color w:val="000000" w:themeColor="text1"/>
          <w:sz w:val="24"/>
          <w:szCs w:val="24"/>
          <w:highlight w:val="none"/>
          <w14:textFill>
            <w14:solidFill>
              <w14:schemeClr w14:val="tx1"/>
            </w14:solidFill>
          </w14:textFill>
        </w:rPr>
        <w:t>服务符合招标文件要求的技术响应文件，该文件可以是文字资料、图纸和数据，并须提供服务主要技术性能的详细描述。</w:t>
      </w:r>
    </w:p>
    <w:p w14:paraId="61B7D84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13.5 投标文件的正本和全部副本均应使用不能擦去的墨料或墨水打印、书写或复印，并由法定代表人或其授权代表签署，盖投标人公章。</w:t>
      </w:r>
    </w:p>
    <w:p w14:paraId="7DFC91DF">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017B26BF">
      <w:pPr>
        <w:spacing w:line="360" w:lineRule="auto"/>
        <w:ind w:firstLine="48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13.7未按本须知规定的格式填写投标文件、投标文件字迹模糊不清的，其投标将被拒绝。</w:t>
      </w:r>
    </w:p>
    <w:p w14:paraId="1A8C8F15">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13.8所有资格证明文件复印件须加盖投标人公章。</w:t>
      </w:r>
    </w:p>
    <w:p w14:paraId="5E54E07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13.9 投标人应将上述文件按顺序装订成册、打印页码，并编列投标文件目录、资料清单，由于装订不规范或编排顺序混乱而导致投标文件被误读或漏读，该投标可能被视为无效投标或承担不利的评标结果。</w:t>
      </w:r>
    </w:p>
    <w:p w14:paraId="2FAB4B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E26450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四、 投标文件的提交</w:t>
      </w:r>
    </w:p>
    <w:p w14:paraId="7E4821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 投标文件的密封、标记和递交</w:t>
      </w:r>
    </w:p>
    <w:p w14:paraId="1A2E9F3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14.1 投标人应将投标文件正本和全部副本分别用信封密封，并标明招标编号、投标人名称、投标服务名称及“正本”或“副本”字样。</w:t>
      </w:r>
      <w:r>
        <w:rPr>
          <w:rFonts w:hint="eastAsia" w:ascii="宋体" w:hAnsi="宋体" w:eastAsia="宋体" w:cs="宋体"/>
          <w:b/>
          <w:color w:val="000000" w:themeColor="text1"/>
          <w:sz w:val="24"/>
          <w:szCs w:val="24"/>
          <w:highlight w:val="none"/>
          <w14:textFill>
            <w14:solidFill>
              <w14:schemeClr w14:val="tx1"/>
            </w14:solidFill>
          </w14:textFill>
        </w:rPr>
        <w:t>投标文件未密封将导致其投标被拒绝。</w:t>
      </w:r>
    </w:p>
    <w:p w14:paraId="026FE7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14.2 每一信封密封处应注明“于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之前（指招标邀请中规定的开标日期及时间）不准启封”的字样，并加盖投标人公章或由投标代表签字。</w:t>
      </w:r>
    </w:p>
    <w:p w14:paraId="31780D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14.3如果投标文件由邮局或专人送交，投标人应将投标文件按照本须知第14.1条至第14.2条的规定进行密封和标记后，按投标人须知前附表1注明的地址送至接收人。</w:t>
      </w:r>
    </w:p>
    <w:p w14:paraId="1466046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14.4如果未按上述规定进行密封和标记，招标代理机构将不承担由此造成的对投标文件的误投或提前拆封的责任。</w:t>
      </w:r>
    </w:p>
    <w:p w14:paraId="46054A7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14.5投标文件应在投标邀请中规定的截止时间前送达，迟到的投标文件为无效投标文件, 将被拒收。</w:t>
      </w:r>
    </w:p>
    <w:p w14:paraId="7EE33EB3">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14.6投标人在投标截止时间前，可以对所提交的投标文件进行修改或者撤回，并书面通知招标代理机构。修改的内容和撤回通知应当按本须知要求签署、盖章、密封，并作为投标文件的组成部分。</w:t>
      </w:r>
    </w:p>
    <w:p w14:paraId="62E9622C">
      <w:pPr>
        <w:spacing w:line="360" w:lineRule="auto"/>
        <w:ind w:firstLine="48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14.7投标人在投标截止时间后不得修改、撤回投标文件。投标人在投标截止时间后修改投标文件的，其投标将被拒绝。</w:t>
      </w:r>
    </w:p>
    <w:p w14:paraId="009B8FA5">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14.8投标截止时间结束后参加投标的投标人不足3家的，本次招标程序终止，除采购任务取消情形外，招标采购单位将依法重新组织招标或者采取其他方式采购。</w:t>
      </w:r>
    </w:p>
    <w:p w14:paraId="0FE3AC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3A5D3B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五、投标文件的评估和比较</w:t>
      </w:r>
    </w:p>
    <w:p w14:paraId="757E9FA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15．开标、评标时间</w:t>
      </w:r>
    </w:p>
    <w:p w14:paraId="2FECFD8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15.1 在投标人须知前附表1中所规定的时间、地点开标（如有推迟情形，以推迟后的时间、地点为准）。</w:t>
      </w:r>
    </w:p>
    <w:p w14:paraId="75201ED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15.2开标由招标代理机构主持，邀请采购人、投标人和有关方面代表参加。投标人一般应派授权代表参加开标会，并办理签到手续。</w:t>
      </w:r>
    </w:p>
    <w:p w14:paraId="15C4FC7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0A146A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16．评标委员会</w:t>
      </w:r>
    </w:p>
    <w:p w14:paraId="470D59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招标代理机构根据招标服务的特点依法组建评标委员会。评标委员会由技术、经济、法律方面的专家和采购人代表组成。成员为5人以上单数组成，专家人数不能少于2/3。在开标后的适当时间里由评标委员会对投标文件进行审查、质疑、评估和比较，并做出授予合同的建议。</w:t>
      </w:r>
    </w:p>
    <w:p w14:paraId="0487A6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 投标文件的初审</w:t>
      </w:r>
    </w:p>
    <w:p w14:paraId="46DC74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对所有投标人的评估，都采用相同的程序和标准。评议过程将严格按照招标文件的要求和条件进行。对不同文字文本投标文件的解释发生异议的，以中文文本为准。</w:t>
      </w:r>
    </w:p>
    <w:p w14:paraId="43E1CD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有关投标文件的审查、澄清、评估和比较以及推荐中标候选人的一切情况都不得透露给任一投标人或与上述评标工作无关的人员。</w:t>
      </w:r>
    </w:p>
    <w:p w14:paraId="39C0A34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投标人任何试图影响评委会对投标文件的评估、比较或者推荐候选人的行为，都将导致其投标按照无效投标处理，并被没收投标保证金。</w:t>
      </w:r>
    </w:p>
    <w:p w14:paraId="7F08EB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17.1招标采购单位依法对各投标文件进行资格性检查</w:t>
      </w:r>
    </w:p>
    <w:p w14:paraId="606D05C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w:t>
      </w:r>
    </w:p>
    <w:p w14:paraId="24032D9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359C35C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（1）投标文件中开标一览表（报价表）内容与投标文件中相应内容不一致的，以开标一览表（报价表）为准；</w:t>
      </w:r>
    </w:p>
    <w:p w14:paraId="04B336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（2）大写金额和小写金额不一致的，以大写金额为准；</w:t>
      </w:r>
    </w:p>
    <w:p w14:paraId="552293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（3）单价金额小数点或者百分比有明显错位的，以开标一览表的总价为准，并修改单价；</w:t>
      </w:r>
    </w:p>
    <w:p w14:paraId="2D439331">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（4）总价金额与按单价汇总金额不一致的，以单价金额计算结果为准。</w:t>
      </w:r>
    </w:p>
    <w:p w14:paraId="01C4B0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同时出现两种以上不一致的，按照前款规定的顺序修正。对于投标文件中计算错误的内容，评标委员会应当以书面形式要求投标人作出必要的澄清、说明或者补正。</w:t>
      </w:r>
    </w:p>
    <w:p w14:paraId="73E3479B">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如果投标人不接受按上述方法对投标文件中的算术错误进行更正，其投标将按照无效投标处理并被没收投标保证金。</w:t>
      </w:r>
    </w:p>
    <w:p w14:paraId="0E7F762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17.3符合性检查 </w:t>
      </w:r>
    </w:p>
    <w:p w14:paraId="5C7493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17.3.1评委会将对投标文件进行审查，以确定投标文件是否完整、有无计算上的错误、是否提交了投标保证金。</w:t>
      </w:r>
    </w:p>
    <w:p w14:paraId="7A7875BB">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17.3.2依据招标文件的规定，评标委员会还将从投标文件的有效性、完整性和对招标文件的响应程度等方面进行审查，以确定其是否符合对招标文件的实质性要求作出响应。（采购人可根据具体项目的情况对实质性要求作特别的规定。）实质性偏离是指：（1）实质性影响合同的范围、质量和履行；（2）实质性违背招标文件，限制了采购人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146D8995">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(1) 未按规定提交投标保证金的；</w:t>
      </w:r>
    </w:p>
    <w:p w14:paraId="3F84FACB">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(2)投标有效期不满足招标文件要求的；</w:t>
      </w:r>
    </w:p>
    <w:p w14:paraId="1D2AD7AD">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(3)投标内容与招标内容及要求有重大偏离或保留的；</w:t>
      </w:r>
    </w:p>
    <w:p w14:paraId="384D518F">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(4)投标人提交的是可选择的报价；</w:t>
      </w:r>
    </w:p>
    <w:p w14:paraId="34827CA5">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(5)投标人未按招标文件要求对投标进行分项报价；</w:t>
      </w:r>
    </w:p>
    <w:p w14:paraId="2A988AA2">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(6)投标文件中提供虚假或失实资料的；</w:t>
      </w:r>
    </w:p>
    <w:p w14:paraId="532DB249">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(7)不符合招标文件中规定的其它实质性条款。</w:t>
      </w:r>
    </w:p>
    <w:p w14:paraId="4CAE18C5">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评标委员会决定投标的响应性只根据投标文件本身的内容，而不寻求其他的外部证据。</w:t>
      </w:r>
    </w:p>
    <w:p w14:paraId="2E245F27">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17.3.3投标服务必须满足中华人民共和国相关法律法规及行业的强制性要求，否则该投标人的投标将按照无效投标处理。</w:t>
      </w:r>
    </w:p>
    <w:p w14:paraId="76FF57D6">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17.3.4采购人、招标代理机构有下列情形之一的，将被认定为采购人、招标代理机构与投标人有串通投标行为，该投标人投标作无效投标处理：</w:t>
      </w:r>
    </w:p>
    <w:p w14:paraId="53FD94A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（1）在开标前开启投标文件并将有关信息泄露给其他投标人；</w:t>
      </w:r>
    </w:p>
    <w:p w14:paraId="69F0B78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（2）评审结果公告前，直接或者间接向投标人泄露评标委员会成员等信息；</w:t>
      </w:r>
    </w:p>
    <w:p w14:paraId="0A6C085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（3）明示或者暗示投标人压低或者抬高投标报价；</w:t>
      </w:r>
    </w:p>
    <w:p w14:paraId="0621D26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（4）授意投标人撤换、修改投标文件（按18条进行的澄清除外）；</w:t>
      </w:r>
    </w:p>
    <w:p w14:paraId="03F07A8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（5）明示或者暗示投标人为特定投标人中标提供方便；</w:t>
      </w:r>
    </w:p>
    <w:p w14:paraId="4B67D93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（6）为谋求特定投标人中标而采取的其他串通行为。</w:t>
      </w:r>
    </w:p>
    <w:p w14:paraId="1CA8CBCC">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17.3.5出现17.3.4情形之一的，作无效投标处理的</w:t>
      </w:r>
      <w:r>
        <w:rPr>
          <w:rFonts w:hint="eastAsia" w:ascii="宋体" w:hAnsi="宋体" w:eastAsia="宋体" w:cs="宋体"/>
          <w:b/>
          <w:color w:val="000000" w:themeColor="text1"/>
          <w:sz w:val="24"/>
          <w:szCs w:val="24"/>
          <w:highlight w:val="none"/>
          <w14:textFill>
            <w14:solidFill>
              <w14:schemeClr w14:val="tx1"/>
            </w14:solidFill>
          </w14:textFill>
        </w:rPr>
        <w:t>投标人的投标保证金将予以没收，招标代理机构有权上报财政部门取消其采购供应商资格、并按有关规定予以处罚。</w:t>
      </w:r>
    </w:p>
    <w:p w14:paraId="656E17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18.投标文件的澄清</w:t>
      </w:r>
    </w:p>
    <w:p w14:paraId="6C7D432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35171D2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 比较与评价</w:t>
      </w:r>
    </w:p>
    <w:p w14:paraId="62A99A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19.1评标委员会将按投标人须知前附表3所述评标方法与标准，对资格性检查和符合性检查合格的投标文件进行商务和技术评估，综合比较与评价。</w:t>
      </w:r>
    </w:p>
    <w:p w14:paraId="622BBE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2892A0C0">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5B7D59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19.4评标委员会将按比较与评价最优在先原则, 排列评价顺序, 根据在投标人须知前附表3确定的中标候选人数量推荐出中标候选人。</w:t>
      </w:r>
    </w:p>
    <w:p w14:paraId="4E8EA9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19.5 在评标期间，若出现符合本须知规定的所有投标条件的投标人不足三家情形的，本次招标程序终止，除采购任务取消情形外，招标采购单位将依法重新组织招标或者采取其他方式采购。</w:t>
      </w:r>
    </w:p>
    <w:p w14:paraId="3ED3188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DB5EDF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六、  定标与签订合同</w:t>
      </w:r>
    </w:p>
    <w:p w14:paraId="39CDED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20.定标准则</w:t>
      </w:r>
    </w:p>
    <w:p w14:paraId="760DB0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20.1最低投标价不作为中标的保证。</w:t>
      </w:r>
    </w:p>
    <w:p w14:paraId="0DE0D5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20.2投标人的投标文件符合招标文件要求，按招标文件确定评标方法、标准，经评委评审并推荐中标候选人。</w:t>
      </w:r>
    </w:p>
    <w:p w14:paraId="5D11FA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中标通知</w:t>
      </w:r>
    </w:p>
    <w:p w14:paraId="2C10B8C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21.1评标结束后，评标结果经采购人确认后，招标代理机构应自中标供应商确定之日起2个工作日内在</w:t>
      </w:r>
      <w:r>
        <w:rPr>
          <w:rFonts w:hint="eastAsia" w:ascii="宋体" w:hAnsi="宋体" w:cs="宋体"/>
          <w:color w:val="000000" w:themeColor="text1"/>
          <w:sz w:val="24"/>
          <w:szCs w:val="24"/>
          <w:highlight w:val="none"/>
          <w:lang w:val="en-US" w:eastAsia="zh-CN"/>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 xml:space="preserve">上对中标结果进行公告，同时招标代理机构向中标供应商发出中标通知书。中标通知书对采购人和中标供应商具有同等法律效力。中标通知书发出后，采购人改变中标结果，或者中标供应商放弃中标，应当承担相应的法律责任。 </w:t>
      </w:r>
    </w:p>
    <w:p w14:paraId="1C6963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对中标公告有异议的，应当在中标公告发布之日起7个工作日内，以书面形式向招标代理机构提出质疑，并附送有关证明材料。采购人、招标代理机构应当在收到投标人书面质疑后7个工作日内，对质疑内容作出答复。提出质疑的投标人对采购人、招标代理机构的答复不满意或者采购人、招标代理机构未在规定时间内答复的，可以在答复期满后15个工作日内书面向财政部门提出投诉。</w:t>
      </w:r>
    </w:p>
    <w:p w14:paraId="2EF73F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质疑处理过程中，招标代理机构和采购人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622B068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140B70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21.2招标代理机构应当在《中标通知书》发出的同时将落标通知书发送给未中标的其他投标人。</w:t>
      </w:r>
    </w:p>
    <w:p w14:paraId="287147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21.3《中标通知书》将作为签订《政府采购合同》的依据。《政府采购合同》签订后，《中标通知书》成为合同的一部分。</w:t>
      </w:r>
    </w:p>
    <w:p w14:paraId="3FFFC8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 招标代理机构应当在中标通知书发出后5个工作日内退还未中标供应商的投标保证金（含保函），在采购人与中标供应商签订合同后5个工作日内，退还中标供应商的投标保证金。</w:t>
      </w:r>
    </w:p>
    <w:p w14:paraId="3AE7FB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22.签订合同</w:t>
      </w:r>
    </w:p>
    <w:p w14:paraId="56E92F3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22.1中标供应商必须凭中标通知书原件按招标文件的规定签订合同，并最迟应于合同签订前缴交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，否则，招标代理机构有权在厦门招投标网上对中标供应商“不按规定缴交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的行为”进行公示。若自公示之日起3个工作日内，中标供应商仍未缴交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的，招标代理机构有权按每日1%计取违约金。</w:t>
      </w:r>
    </w:p>
    <w:p w14:paraId="421C77B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22.2采购人、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采购人签订合同的，其投标保证金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将不予退还；情节严重的（如一年内累计两次及以上出现此类情形等），招标代理机构有权上报财政部门，并建议财政部门将其列入不良行为记录名单，在一至三年内禁止其参加政府采购活动并予以通报。采购人逾期不与中标供应商签订合同的，按政府采购的有关规定处理。</w:t>
      </w:r>
    </w:p>
    <w:p w14:paraId="515C0B9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在合同签订前，为保证合同顺利履行，采购人有权要求中标供应商提供相关材料以便合同签订，中标供应商应当予以配合。</w:t>
      </w:r>
    </w:p>
    <w:p w14:paraId="201797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66D55A2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22.4采购人在合同履行中，需追加与合同标的相同的服务的，在不改变合同其他条款的前提下，可与中标供应商协商签订补充合同，但所有补充合同的采购金额不得超过原合同采购金额的10%。 </w:t>
      </w:r>
    </w:p>
    <w:p w14:paraId="5DEF0B27">
      <w:pPr>
        <w:pStyle w:val="12"/>
        <w:rPr>
          <w:rFonts w:hint="eastAsia"/>
          <w:color w:val="000000" w:themeColor="text1"/>
          <w:highlight w:val="none"/>
          <w14:textFill>
            <w14:solidFill>
              <w14:schemeClr w14:val="tx1"/>
            </w14:solidFill>
          </w14:textFill>
        </w:rPr>
        <w:sectPr>
          <w:footerReference r:id="rId8" w:type="default"/>
          <w:pgSz w:w="11907" w:h="16840"/>
          <w:pgMar w:top="1440" w:right="1752" w:bottom="1290" w:left="1752" w:header="851" w:footer="992" w:gutter="0"/>
          <w:pgNumType w:start="1"/>
          <w:cols w:space="720" w:num="1"/>
          <w:docGrid w:linePitch="323" w:charSpace="-2"/>
        </w:sectPr>
      </w:pPr>
      <w:r>
        <w:rPr>
          <w:rFonts w:hint="eastAsia" w:ascii="宋体" w:hAnsi="宋体" w:eastAsia="宋体" w:cs="宋体"/>
          <w:color w:val="000000" w:themeColor="text1"/>
          <w:sz w:val="24"/>
          <w:szCs w:val="24"/>
          <w:highlight w:val="none"/>
          <w14:textFill>
            <w14:solidFill>
              <w14:schemeClr w14:val="tx1"/>
            </w14:solidFill>
          </w14:textFill>
        </w:rPr>
        <w:t>22.5中标供应商因自身原因放弃中标项目、或不按照招标文件规定与采购人签订合同的、或因不可抗力或者自身原因不按合同履行的，采购人可以与排位在中标供应商之后第一位的中标候选供应商签订《政府采购合同》，以此类推。排位在中标供应商之后第一位的中标候选供应商应同意与采购人按不高于其投标报价签订《政府采购合同》。</w:t>
      </w:r>
    </w:p>
    <w:p w14:paraId="14B3C451">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 xml:space="preserve">第三章  </w:t>
      </w:r>
      <w:r>
        <w:rPr>
          <w:rFonts w:hint="eastAsia" w:ascii="宋体" w:hAnsi="宋体" w:eastAsia="宋体" w:cs="宋体"/>
          <w:b/>
          <w:bCs/>
          <w:color w:val="000000" w:themeColor="text1"/>
          <w:sz w:val="32"/>
          <w:szCs w:val="32"/>
          <w:highlight w:val="none"/>
          <w14:textFill>
            <w14:solidFill>
              <w14:schemeClr w14:val="tx1"/>
            </w14:solidFill>
          </w14:textFill>
        </w:rPr>
        <w:t>招标内容及要求</w:t>
      </w:r>
    </w:p>
    <w:p w14:paraId="721799D6">
      <w:pPr>
        <w:pStyle w:val="15"/>
        <w:spacing w:after="0" w:line="360" w:lineRule="auto"/>
        <w:ind w:left="180" w:leftChars="86" w:right="-333" w:rightChars="-15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提示说明：</w:t>
      </w:r>
    </w:p>
    <w:p w14:paraId="7CD301FD">
      <w:pPr>
        <w:pStyle w:val="15"/>
        <w:spacing w:after="0" w:line="360" w:lineRule="auto"/>
        <w:ind w:left="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（1）全文中带有“</w:t>
      </w:r>
      <w:r>
        <w:rPr>
          <w:rFonts w:hint="eastAsia" w:ascii="宋体" w:hAnsi="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”的条款为关键性条款，对这些关键性条款的任何负偏离或不满足将导致该投标作无效投标处理。</w:t>
      </w:r>
      <w:r>
        <w:rPr>
          <w:rFonts w:hint="eastAsia" w:ascii="宋体" w:hAnsi="宋体" w:eastAsia="宋体" w:cs="宋体"/>
          <w:b/>
          <w:color w:val="000000" w:themeColor="text1"/>
          <w:sz w:val="24"/>
          <w:szCs w:val="24"/>
          <w:highlight w:val="none"/>
          <w14:textFill>
            <w14:solidFill>
              <w14:schemeClr w14:val="tx1"/>
            </w14:solidFill>
          </w14:textFill>
        </w:rPr>
        <w:t>投标人应对招标文件中的“</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”号条款进行逐条响应，否则评标委员会对其投标做出不利评审，投标人必须自行承担责任。</w:t>
      </w:r>
    </w:p>
    <w:p w14:paraId="5DC5EAA5">
      <w:pPr>
        <w:pStyle w:val="15"/>
        <w:spacing w:after="0" w:line="360" w:lineRule="auto"/>
        <w:ind w:left="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（2）本项目以合同包为单位，对于每个合同包，投标人必须完整地提供合同包要求的所有服务，否则该投标人针对该合同包的投标将按照无效投标处理。</w:t>
      </w:r>
    </w:p>
    <w:p w14:paraId="27423A84">
      <w:pPr>
        <w:pStyle w:val="15"/>
        <w:spacing w:after="0" w:line="360" w:lineRule="auto"/>
        <w:ind w:left="0" w:right="-333" w:rightChars="-15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（3）若招标文件第三章所述内容与其它部分的条款发生理解冲突，则以第三章所述内容为准；如招标文件发生变更，则相关条款的解释以更改通知为准。</w:t>
      </w:r>
    </w:p>
    <w:p w14:paraId="2AC62B2A">
      <w:pPr>
        <w:pStyle w:val="15"/>
        <w:spacing w:after="0" w:line="360" w:lineRule="auto"/>
        <w:ind w:left="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（4）经评标委员会认定要求澄清的证明文件必须在规定的时间内提供，否则其将不具有中标供应商的资格。</w:t>
      </w:r>
    </w:p>
    <w:p w14:paraId="3250D7C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（5）本项目实行网下购买招标文件，投标人必须按招标文件要求递交纸质投标文件。</w:t>
      </w:r>
    </w:p>
    <w:p w14:paraId="688B0490">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（6）资格性证明文件请单独成册。</w:t>
      </w:r>
    </w:p>
    <w:p w14:paraId="0CCB39B2">
      <w:pPr>
        <w:pStyle w:val="15"/>
        <w:spacing w:after="0" w:line="360" w:lineRule="auto"/>
        <w:ind w:left="0"/>
        <w:rPr>
          <w:rFonts w:hint="eastAsia" w:ascii="宋体" w:hAnsi="宋体" w:eastAsia="宋体" w:cs="宋体"/>
          <w:b/>
          <w:bCs/>
          <w:color w:val="000000" w:themeColor="text1"/>
          <w:sz w:val="24"/>
          <w:szCs w:val="24"/>
          <w:highlight w:val="none"/>
          <w14:textFill>
            <w14:solidFill>
              <w14:schemeClr w14:val="tx1"/>
            </w14:solidFill>
          </w14:textFill>
        </w:rPr>
      </w:pPr>
    </w:p>
    <w:p w14:paraId="50CB9B0D">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D1F6EA0">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2E8FFFDB">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2AE9549">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A8B5491">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0FA67C8">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214FF295">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0FAF8A9">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A23FBAA">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4EF36D0">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653D362">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0F715DD">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02A6726">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3E61B08">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F3A10E1">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46368D8">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A2B2555">
      <w:pPr>
        <w:pStyle w:val="4"/>
        <w:numPr>
          <w:ilvl w:val="-1"/>
          <w:numId w:val="0"/>
        </w:numPr>
        <w:tabs>
          <w:tab w:val="left" w:pos="240"/>
          <w:tab w:val="left" w:pos="1276"/>
        </w:tabs>
        <w:spacing w:line="360" w:lineRule="auto"/>
        <w:ind w:left="0" w:firstLine="0"/>
        <w:jc w:val="both"/>
        <w:rPr>
          <w:rFonts w:hint="eastAsia" w:ascii="宋体" w:hAnsi="宋体" w:eastAsia="宋体" w:cs="宋体"/>
          <w:color w:val="000000" w:themeColor="text1"/>
          <w:sz w:val="24"/>
          <w:szCs w:val="24"/>
          <w:highlight w:val="none"/>
          <w14:textFill>
            <w14:solidFill>
              <w14:schemeClr w14:val="tx1"/>
            </w14:solidFill>
          </w14:textFill>
        </w:rPr>
      </w:pPr>
      <w:bookmarkStart w:id="8" w:name="_Toc139467548"/>
      <w:r>
        <w:rPr>
          <w:rFonts w:hint="eastAsia" w:ascii="宋体" w:hAnsi="宋体" w:eastAsia="宋体" w:cs="宋体"/>
          <w:color w:val="000000" w:themeColor="text1"/>
          <w:sz w:val="24"/>
          <w:szCs w:val="24"/>
          <w:highlight w:val="none"/>
          <w:lang w:val="en-US" w:eastAsia="zh-CN"/>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项目概况</w:t>
      </w:r>
      <w:bookmarkEnd w:id="8"/>
    </w:p>
    <w:p w14:paraId="2107BD80">
      <w:pPr>
        <w:pStyle w:val="5"/>
        <w:numPr>
          <w:ilvl w:val="1"/>
          <w:numId w:val="3"/>
        </w:numPr>
        <w:spacing w:line="360" w:lineRule="auto"/>
        <w:ind w:left="0" w:firstLine="0" w:firstLineChars="0"/>
        <w:rPr>
          <w:rFonts w:hint="eastAsia" w:ascii="宋体" w:hAnsi="宋体" w:eastAsia="宋体" w:cs="宋体"/>
          <w:color w:val="000000" w:themeColor="text1"/>
          <w:sz w:val="24"/>
          <w:szCs w:val="24"/>
          <w:highlight w:val="none"/>
          <w14:textFill>
            <w14:solidFill>
              <w14:schemeClr w14:val="tx1"/>
            </w14:solidFill>
          </w14:textFill>
        </w:rPr>
      </w:pPr>
      <w:bookmarkStart w:id="9" w:name="_Toc139467549"/>
      <w:r>
        <w:rPr>
          <w:rFonts w:hint="eastAsia" w:ascii="宋体" w:hAnsi="宋体" w:eastAsia="宋体" w:cs="宋体"/>
          <w:color w:val="000000" w:themeColor="text1"/>
          <w:sz w:val="24"/>
          <w:szCs w:val="24"/>
          <w:highlight w:val="none"/>
          <w14:textFill>
            <w14:solidFill>
              <w14:schemeClr w14:val="tx1"/>
            </w14:solidFill>
          </w14:textFill>
        </w:rPr>
        <w:t>项目名称</w:t>
      </w:r>
      <w:bookmarkEnd w:id="9"/>
      <w:bookmarkStart w:id="10" w:name="_Toc139467551"/>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厦门市96166统一门诊预约热线服务项目</w:t>
      </w:r>
    </w:p>
    <w:p w14:paraId="2FFE561F">
      <w:pPr>
        <w:pStyle w:val="5"/>
        <w:numPr>
          <w:ilvl w:val="1"/>
          <w:numId w:val="3"/>
        </w:numPr>
        <w:spacing w:line="360" w:lineRule="auto"/>
        <w:ind w:left="0" w:firstLine="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项目建设目标、规模、内容、</w:t>
      </w:r>
      <w:r>
        <w:rPr>
          <w:rFonts w:hint="eastAsia" w:eastAsia="宋体" w:cs="宋体"/>
          <w:color w:val="000000" w:themeColor="text1"/>
          <w:sz w:val="24"/>
          <w:szCs w:val="24"/>
          <w:highlight w:val="none"/>
          <w14:textFill>
            <w14:solidFill>
              <w14:schemeClr w14:val="tx1"/>
            </w14:solidFill>
          </w14:textFill>
        </w:rPr>
        <w:t>服务期</w:t>
      </w:r>
      <w:bookmarkEnd w:id="10"/>
    </w:p>
    <w:p w14:paraId="32FA2D7D">
      <w:pPr>
        <w:pStyle w:val="6"/>
        <w:numPr>
          <w:ilvl w:val="2"/>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11" w:name="_Toc139467552"/>
      <w:r>
        <w:rPr>
          <w:rFonts w:hint="eastAsia" w:ascii="宋体" w:hAnsi="宋体" w:eastAsia="宋体" w:cs="宋体"/>
          <w:color w:val="000000" w:themeColor="text1"/>
          <w:sz w:val="24"/>
          <w:szCs w:val="24"/>
          <w:highlight w:val="none"/>
          <w14:textFill>
            <w14:solidFill>
              <w14:schemeClr w14:val="tx1"/>
            </w14:solidFill>
          </w14:textFill>
        </w:rPr>
        <w:t>建设目标</w:t>
      </w:r>
      <w:bookmarkEnd w:id="11"/>
    </w:p>
    <w:p w14:paraId="4FCD02E4">
      <w:pPr>
        <w:spacing w:line="360" w:lineRule="auto"/>
        <w:ind w:firstLine="480"/>
        <w:rPr>
          <w:rFonts w:hint="eastAsia" w:ascii="宋体" w:hAnsi="宋体" w:eastAsia="宋体"/>
          <w:color w:val="000000" w:themeColor="text1"/>
          <w:sz w:val="24"/>
          <w:szCs w:val="24"/>
          <w:highlight w:val="none"/>
          <w14:textFill>
            <w14:solidFill>
              <w14:schemeClr w14:val="tx1"/>
            </w14:solidFill>
          </w14:textFill>
        </w:rPr>
      </w:pPr>
      <w:bookmarkStart w:id="12" w:name="OLE_LINK7"/>
      <w:r>
        <w:rPr>
          <w:rFonts w:hint="eastAsia" w:ascii="宋体" w:hAnsi="宋体" w:eastAsia="宋体" w:cs="宋体"/>
          <w:color w:val="000000" w:themeColor="text1"/>
          <w:sz w:val="24"/>
          <w:szCs w:val="24"/>
          <w:highlight w:val="none"/>
          <w14:textFill>
            <w14:solidFill>
              <w14:schemeClr w14:val="tx1"/>
            </w14:solidFill>
          </w14:textFill>
        </w:rPr>
        <w:t>建设厦门市96166统一门诊预约热线服务，通过呼叫中心系统与厦门市卫生健康委员会及医院预约系统对接、数据共享，为全市提供统一的医疗语音服务渠道，实现向厦门及周边乃至全国的就医者提供7×24全年365天无休门诊预约人工座席接听服务和自助语音预约服务。并支持中英文接听，确保有一条英文线路和3-5条闽南语线路接听预约和咨询。中心以预约挂号服务职能为主，并延伸到停诊通知、满意度调查、健康咨询、寻医问药、举报投诉、心理健康援助等综合性健康服务，同时作好资料保密等。统一门诊预约热线致力于提供专业预约、咨询等服务。最大限度方便市民预约就诊，解决市民“看病难”的问题。</w:t>
      </w:r>
      <w:bookmarkEnd w:id="12"/>
    </w:p>
    <w:p w14:paraId="2C0BFCEE">
      <w:pPr>
        <w:pStyle w:val="6"/>
        <w:numPr>
          <w:ilvl w:val="2"/>
          <w:numId w:val="0"/>
        </w:numPr>
        <w:spacing w:line="360" w:lineRule="auto"/>
        <w:ind w:left="720" w:hanging="720"/>
        <w:rPr>
          <w:rFonts w:hint="eastAsia" w:ascii="宋体" w:hAnsi="宋体" w:eastAsia="宋体" w:cs="宋体"/>
          <w:color w:val="000000" w:themeColor="text1"/>
          <w:sz w:val="24"/>
          <w:szCs w:val="24"/>
          <w:highlight w:val="none"/>
          <w14:textFill>
            <w14:solidFill>
              <w14:schemeClr w14:val="tx1"/>
            </w14:solidFill>
          </w14:textFill>
        </w:rPr>
      </w:pPr>
      <w:bookmarkStart w:id="13" w:name="_Toc648925452"/>
      <w:bookmarkStart w:id="14" w:name="_Toc191580512"/>
      <w: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t>1.2.2</w:t>
      </w:r>
      <w:r>
        <w:rPr>
          <w:rFonts w:hint="eastAsia" w:ascii="宋体" w:hAnsi="宋体" w:eastAsia="宋体" w:cs="宋体"/>
          <w:color w:val="000000" w:themeColor="text1"/>
          <w:sz w:val="24"/>
          <w:szCs w:val="24"/>
          <w:highlight w:val="none"/>
          <w14:textFill>
            <w14:solidFill>
              <w14:schemeClr w14:val="tx1"/>
            </w14:solidFill>
          </w14:textFill>
        </w:rPr>
        <w:t>建设规模</w:t>
      </w:r>
      <w:bookmarkEnd w:id="13"/>
      <w:bookmarkEnd w:id="14"/>
    </w:p>
    <w:p w14:paraId="03EE0E79">
      <w:pPr>
        <w:widowControl/>
        <w:spacing w:line="360" w:lineRule="auto"/>
        <w:ind w:firstLine="480"/>
        <w:jc w:val="left"/>
        <w:rPr>
          <w:rFonts w:hint="eastAsia" w:ascii="宋体" w:hAnsi="宋体" w:cs="宋体"/>
          <w:color w:val="000000" w:themeColor="text1"/>
          <w:sz w:val="24"/>
          <w:szCs w:val="24"/>
          <w:highlight w:val="none"/>
          <w14:textFill>
            <w14:solidFill>
              <w14:schemeClr w14:val="tx1"/>
            </w14:solidFill>
          </w14:textFill>
        </w:rPr>
      </w:pPr>
      <w:bookmarkStart w:id="15" w:name="_Hlk35428184"/>
      <w:r>
        <w:rPr>
          <w:rFonts w:hint="eastAsia" w:ascii="宋体" w:hAnsi="宋体" w:cs="宋体"/>
          <w:color w:val="000000" w:themeColor="text1"/>
          <w:sz w:val="24"/>
          <w:szCs w:val="24"/>
          <w:highlight w:val="none"/>
          <w14:textFill>
            <w14:solidFill>
              <w14:schemeClr w14:val="tx1"/>
            </w14:solidFill>
          </w14:textFill>
        </w:rPr>
        <w:t>厦门市96166统一门诊预约热线，旨在通过智能化技术提升医疗预约服务的效率和覆盖范围。通过与厦门市统一预约平台通过平台对接，实现全市所有医疗机构门诊预约的集中统一管理，包括统一的专家资源数据中心、统一的预约流程、统一的预约途径、统一的电话预约和投诉中心。此外，系统将具备灵活的扩展性，能够根据实际需求进行快速扩容，满足未来更多医院接入的需求。并在数据安全和服务保障方面进行优化，确保系统在高负载和高并发情况下依然能够稳定运行，最终实现覆盖全市范围的高效医疗预约服务。</w:t>
      </w:r>
    </w:p>
    <w:bookmarkEnd w:id="15"/>
    <w:p w14:paraId="4306769D">
      <w:pPr>
        <w:pStyle w:val="6"/>
        <w:numPr>
          <w:ilvl w:val="2"/>
          <w:numId w:val="0"/>
        </w:numPr>
        <w:spacing w:line="360" w:lineRule="auto"/>
        <w:ind w:left="720" w:hanging="720"/>
        <w:rPr>
          <w:rFonts w:hint="eastAsia" w:ascii="宋体" w:hAnsi="宋体" w:eastAsia="宋体" w:cs="宋体"/>
          <w:color w:val="000000" w:themeColor="text1"/>
          <w:sz w:val="24"/>
          <w:szCs w:val="24"/>
          <w:highlight w:val="none"/>
          <w14:textFill>
            <w14:solidFill>
              <w14:schemeClr w14:val="tx1"/>
            </w14:solidFill>
          </w14:textFill>
        </w:rPr>
      </w:pPr>
      <w:bookmarkStart w:id="16" w:name="_Toc191580513"/>
      <w:bookmarkStart w:id="17" w:name="_Toc1568112298"/>
      <w: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t>1.2.3</w:t>
      </w:r>
      <w:r>
        <w:rPr>
          <w:rFonts w:hint="eastAsia" w:ascii="宋体" w:hAnsi="宋体" w:eastAsia="宋体" w:cs="宋体"/>
          <w:color w:val="000000" w:themeColor="text1"/>
          <w:sz w:val="24"/>
          <w:szCs w:val="24"/>
          <w:highlight w:val="none"/>
          <w14:textFill>
            <w14:solidFill>
              <w14:schemeClr w14:val="tx1"/>
            </w14:solidFill>
          </w14:textFill>
        </w:rPr>
        <w:t>建设内容</w:t>
      </w:r>
      <w:bookmarkEnd w:id="16"/>
      <w:bookmarkEnd w:id="17"/>
    </w:p>
    <w:p w14:paraId="5209BD72">
      <w:pPr>
        <w:spacing w:line="360" w:lineRule="auto"/>
        <w:ind w:firstLine="480" w:firstLineChars="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本项目采购内容为建设</w:t>
      </w:r>
      <w:bookmarkStart w:id="18" w:name="OLE_LINK2"/>
      <w:r>
        <w:rPr>
          <w:rFonts w:hint="eastAsia" w:ascii="宋体" w:hAnsi="宋体" w:cs="宋体"/>
          <w:color w:val="000000" w:themeColor="text1"/>
          <w:sz w:val="24"/>
          <w:szCs w:val="24"/>
          <w:highlight w:val="none"/>
          <w14:textFill>
            <w14:solidFill>
              <w14:schemeClr w14:val="tx1"/>
            </w14:solidFill>
          </w14:textFill>
        </w:rPr>
        <w:t>厦门市96166统一门诊预约热线服</w:t>
      </w:r>
      <w:bookmarkEnd w:id="18"/>
      <w:r>
        <w:rPr>
          <w:rFonts w:hint="eastAsia" w:ascii="宋体" w:hAnsi="宋体" w:cs="宋体"/>
          <w:color w:val="000000" w:themeColor="text1"/>
          <w:sz w:val="24"/>
          <w:szCs w:val="24"/>
          <w:highlight w:val="none"/>
          <w14:textFill>
            <w14:solidFill>
              <w14:schemeClr w14:val="tx1"/>
            </w14:solidFill>
          </w14:textFill>
        </w:rPr>
        <w:t>务项目，该系统与厦门市卫生健康委员会及医院预约系统对接、数据共享，提供全市统一的电话语音服务渠道，实现7×24全年365天无休门诊预约人工座席接听服务和自助语音预约服务，厦门及周边乃至全国的就医者可通过该热线预约挂号。厦门市96166统一门诊预约热线服以预约挂号服务职能为主，包含医院门诊挂号预约、社区医生挂号预约、计划免疫接种预约。可有效解决中午、晚上及假期无法提供服务的问题，同时还提供就诊提醒服务短信、停诊通知(包括短信及人工通知)等便民服务。同时提供协助就医服务，提供各医院的地理位置、各医院的情况及科室情况、各医生的专长、就诊流程、住院流程等咨询指导服务。</w:t>
      </w:r>
    </w:p>
    <w:p w14:paraId="4A7DA2D8">
      <w:pPr>
        <w:pStyle w:val="6"/>
        <w:numPr>
          <w:ilvl w:val="2"/>
          <w:numId w:val="0"/>
        </w:numPr>
        <w:spacing w:line="360" w:lineRule="auto"/>
        <w:ind w:left="720" w:hanging="720"/>
        <w:rPr>
          <w:rFonts w:hint="eastAsia" w:ascii="宋体" w:hAnsi="宋体" w:eastAsia="宋体" w:cs="宋体"/>
          <w:color w:val="000000" w:themeColor="text1"/>
          <w:sz w:val="24"/>
          <w:szCs w:val="24"/>
          <w:highlight w:val="none"/>
          <w14:textFill>
            <w14:solidFill>
              <w14:schemeClr w14:val="tx1"/>
            </w14:solidFill>
          </w14:textFill>
        </w:rPr>
      </w:pPr>
      <w:bookmarkStart w:id="19" w:name="_Toc191580514"/>
      <w:bookmarkStart w:id="20" w:name="_Toc34859273"/>
      <w:bookmarkStart w:id="21" w:name="_Toc1344076502"/>
      <w: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t>1.2.4</w:t>
      </w:r>
      <w:r>
        <w:rPr>
          <w:rFonts w:hint="eastAsia" w:ascii="宋体" w:hAnsi="宋体" w:eastAsia="宋体" w:cs="宋体"/>
          <w:color w:val="000000" w:themeColor="text1"/>
          <w:sz w:val="24"/>
          <w:szCs w:val="24"/>
          <w:highlight w:val="none"/>
          <w14:textFill>
            <w14:solidFill>
              <w14:schemeClr w14:val="tx1"/>
            </w14:solidFill>
          </w14:textFill>
        </w:rPr>
        <w:t>项目服务期</w:t>
      </w:r>
      <w:bookmarkEnd w:id="19"/>
      <w:bookmarkEnd w:id="20"/>
      <w:bookmarkEnd w:id="21"/>
    </w:p>
    <w:p w14:paraId="13672101">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服务期一年。合同采用一年一签。</w:t>
      </w:r>
    </w:p>
    <w:p w14:paraId="2890068A">
      <w:pPr>
        <w:pStyle w:val="5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本项目为可延续采购的服务项目，满足以下条件可以在合同期满后续签一年：</w:t>
      </w:r>
    </w:p>
    <w:p w14:paraId="214F22DA">
      <w:pPr>
        <w:pStyle w:val="5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合同期内服务良好，未</w:t>
      </w:r>
      <w:r>
        <w:rPr>
          <w:rFonts w:hint="eastAsia" w:ascii="宋体" w:hAnsi="宋体" w:eastAsia="宋体" w:cs="宋体"/>
          <w:color w:val="000000" w:themeColor="text1"/>
          <w:sz w:val="24"/>
          <w:szCs w:val="24"/>
          <w:highlight w:val="none"/>
          <w:lang w:val="en-US" w:eastAsia="zh-CN"/>
          <w14:textFill>
            <w14:solidFill>
              <w14:schemeClr w14:val="tx1"/>
            </w14:solidFill>
          </w14:textFill>
        </w:rPr>
        <w:t>收到采购人发出的整改通知</w:t>
      </w:r>
      <w:r>
        <w:rPr>
          <w:rFonts w:hint="eastAsia" w:ascii="宋体" w:hAnsi="宋体" w:eastAsia="宋体" w:cs="宋体"/>
          <w:color w:val="000000" w:themeColor="text1"/>
          <w:sz w:val="24"/>
          <w:szCs w:val="24"/>
          <w:highlight w:val="none"/>
          <w14:textFill>
            <w14:solidFill>
              <w14:schemeClr w14:val="tx1"/>
            </w14:solidFill>
          </w14:textFill>
        </w:rPr>
        <w:t>。</w:t>
      </w:r>
    </w:p>
    <w:p w14:paraId="75AB5CF3">
      <w:pPr>
        <w:pStyle w:val="5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②</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合同期内无违约行为。</w:t>
      </w:r>
    </w:p>
    <w:p w14:paraId="68E491DD">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1B7B982">
      <w:pPr>
        <w:pStyle w:val="4"/>
        <w:numPr>
          <w:ilvl w:val="-1"/>
          <w:numId w:val="0"/>
        </w:numPr>
        <w:tabs>
          <w:tab w:val="left" w:pos="240"/>
          <w:tab w:val="left" w:pos="1276"/>
        </w:tabs>
        <w:spacing w:line="360" w:lineRule="auto"/>
        <w:ind w:left="0" w:firstLine="0"/>
        <w:jc w:val="both"/>
        <w:rPr>
          <w:rFonts w:hint="eastAsia" w:ascii="宋体" w:hAnsi="宋体" w:eastAsia="宋体" w:cs="宋体"/>
          <w:color w:val="000000" w:themeColor="text1"/>
          <w:sz w:val="24"/>
          <w:szCs w:val="24"/>
          <w:highlight w:val="none"/>
          <w14:textFill>
            <w14:solidFill>
              <w14:schemeClr w14:val="tx1"/>
            </w14:solidFill>
          </w14:textFill>
        </w:rPr>
      </w:pPr>
      <w:bookmarkStart w:id="22" w:name="_Toc139467559"/>
      <w:r>
        <w:rPr>
          <w:rFonts w:hint="eastAsia" w:ascii="宋体" w:hAnsi="宋体" w:eastAsia="宋体" w:cs="宋体"/>
          <w:color w:val="000000" w:themeColor="text1"/>
          <w:sz w:val="24"/>
          <w:szCs w:val="24"/>
          <w:highlight w:val="none"/>
          <w:lang w:val="en-US" w:eastAsia="zh-CN"/>
          <w14:textFill>
            <w14:solidFill>
              <w14:schemeClr w14:val="tx1"/>
            </w14:solidFill>
          </w14:textFill>
        </w:rPr>
        <w:t>1.3.</w:t>
      </w:r>
      <w:r>
        <w:rPr>
          <w:rFonts w:hint="eastAsia" w:ascii="宋体" w:hAnsi="宋体" w:eastAsia="宋体" w:cs="宋体"/>
          <w:color w:val="000000" w:themeColor="text1"/>
          <w:sz w:val="24"/>
          <w:szCs w:val="24"/>
          <w:highlight w:val="none"/>
          <w14:textFill>
            <w14:solidFill>
              <w14:schemeClr w14:val="tx1"/>
            </w14:solidFill>
          </w14:textFill>
        </w:rPr>
        <w:t>现状及存在问题分析</w:t>
      </w:r>
      <w:bookmarkEnd w:id="22"/>
    </w:p>
    <w:p w14:paraId="62928AAC">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bookmarkStart w:id="23" w:name="_Hlk35428043"/>
      <w:r>
        <w:rPr>
          <w:rFonts w:hint="eastAsia" w:ascii="宋体" w:hAnsi="宋体" w:eastAsia="宋体" w:cs="宋体"/>
          <w:color w:val="000000" w:themeColor="text1"/>
          <w:sz w:val="24"/>
          <w:szCs w:val="24"/>
          <w:highlight w:val="none"/>
          <w14:textFill>
            <w14:solidFill>
              <w14:schemeClr w14:val="tx1"/>
            </w14:solidFill>
          </w14:textFill>
        </w:rPr>
        <w:t>国内的医疗机构在看病挂号上普遍存在较多的问题，导致服务质量一直得不到提高，市民们对医院抱怨连连，花费大量的时间在排队挂号上，甚至比看医生的时间还长。究其原因主要是挂号服务信息化手段落后单一，大多数停留在排队挂号阶段，倒号、号贩子的情况多有发生；提供预约挂号的医院服务号码各不统一，市民很难记住，需要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时</w:t>
      </w:r>
      <w:r>
        <w:rPr>
          <w:rFonts w:hint="eastAsia" w:ascii="宋体" w:hAnsi="宋体" w:eastAsia="宋体" w:cs="宋体"/>
          <w:color w:val="000000" w:themeColor="text1"/>
          <w:sz w:val="24"/>
          <w:szCs w:val="24"/>
          <w:highlight w:val="none"/>
          <w14:textFill>
            <w14:solidFill>
              <w14:schemeClr w14:val="tx1"/>
            </w14:solidFill>
          </w14:textFill>
        </w:rPr>
        <w:t>才四处查询，比较繁琐；老年患者不熟悉智能手机操作，无法独立完成医院线上预约挂号，只能现场排队，耗费大量时间和精力，甚至可能错过就医时机。</w:t>
      </w:r>
    </w:p>
    <w:p w14:paraId="2D8B15BF">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鉴于以上问题的日益严重，厦门市卫健委于2014年建设了厦门市96166统一门诊预约热线服务，解决了以下几个问题：</w:t>
      </w:r>
    </w:p>
    <w:p w14:paraId="060B022C">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缓解社会公众“看病难”的问题：节省了市民看病排队时间，让市民能公平获取门诊挂号资源，缓解了市民“看病难，排队难” 问题，优化医院预约管理流程，方便市民就医；</w:t>
      </w:r>
    </w:p>
    <w:p w14:paraId="5E76A994">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2.统一预约，实现医疗资源全市范围内的有效调配：提升了医院管理和医疗服务水平，保证了专家号源的公平获取，有效打击了“黄牛”炒号现象，构建了和谐医患关系；</w:t>
      </w:r>
    </w:p>
    <w:p w14:paraId="10F7CDE1">
      <w:pPr>
        <w:pStyle w:val="51"/>
        <w:spacing w:line="360" w:lineRule="auto"/>
        <w:ind w:firstLine="480"/>
        <w:rPr>
          <w:rFonts w:hint="eastAsia" w:ascii="宋体" w:hAnsi="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3.节省了患者挂号及候诊排队时间，通过就医信息查询，使患者能够提前安排就医计划，避免盲目就医，利于患者身体健康和时间安排；</w:t>
      </w:r>
      <w:bookmarkEnd w:id="23"/>
    </w:p>
    <w:p w14:paraId="40BB6213">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255CC930">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3BB700C">
      <w:pPr>
        <w:tabs>
          <w:tab w:val="left" w:pos="5130"/>
        </w:tabs>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p>
    <w:p w14:paraId="1D9CD433">
      <w:pPr>
        <w:pStyle w:val="4"/>
        <w:numPr>
          <w:ilvl w:val="-1"/>
          <w:numId w:val="0"/>
        </w:numPr>
        <w:tabs>
          <w:tab w:val="left" w:pos="240"/>
          <w:tab w:val="left" w:pos="1276"/>
        </w:tabs>
        <w:spacing w:line="360" w:lineRule="auto"/>
        <w:ind w:left="0" w:firstLine="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14:textFill>
            <w14:solidFill>
              <w14:schemeClr w14:val="tx1"/>
            </w14:solidFill>
          </w14:textFill>
        </w:rPr>
        <w:t>需求</w:t>
      </w:r>
      <w:r>
        <w:rPr>
          <w:rFonts w:hint="eastAsia" w:ascii="宋体" w:hAnsi="宋体" w:eastAsia="宋体" w:cs="宋体"/>
          <w:color w:val="000000" w:themeColor="text1"/>
          <w:sz w:val="24"/>
          <w:szCs w:val="24"/>
          <w:highlight w:val="none"/>
          <w:lang w:val="en-US" w:eastAsia="zh-CN"/>
          <w14:textFill>
            <w14:solidFill>
              <w14:schemeClr w14:val="tx1"/>
            </w14:solidFill>
          </w14:textFill>
        </w:rPr>
        <w:t>内容</w:t>
      </w:r>
    </w:p>
    <w:p w14:paraId="6FF6E57E">
      <w:pPr>
        <w:pStyle w:val="5"/>
        <w:numPr>
          <w:ilvl w:val="1"/>
          <w:numId w:val="0"/>
        </w:numPr>
        <w:spacing w:line="360" w:lineRule="auto"/>
        <w:ind w:left="0" w:firstLine="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val="en-US" w:eastAsia="zh-CN" w:bidi="ar-SA"/>
          <w14:textFill>
            <w14:solidFill>
              <w14:schemeClr w14:val="tx1"/>
            </w14:solidFill>
          </w14:textFill>
        </w:rPr>
        <w:t>2.1</w:t>
      </w:r>
      <w:r>
        <w:rPr>
          <w:rFonts w:hint="eastAsia" w:ascii="宋体" w:hAnsi="宋体" w:eastAsia="宋体" w:cs="宋体"/>
          <w:color w:val="000000" w:themeColor="text1"/>
          <w:sz w:val="24"/>
          <w:szCs w:val="24"/>
          <w:highlight w:val="none"/>
          <w14:textFill>
            <w14:solidFill>
              <w14:schemeClr w14:val="tx1"/>
            </w14:solidFill>
          </w14:textFill>
        </w:rPr>
        <w:t>业务需求</w:t>
      </w:r>
    </w:p>
    <w:p w14:paraId="30D08C94">
      <w:pPr>
        <w:pStyle w:val="5"/>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.1预约挂号服务</w:t>
      </w:r>
    </w:p>
    <w:p w14:paraId="5362C5FD">
      <w:pPr>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.1.1.全天候服务保障</w:t>
      </w:r>
      <w:r>
        <w:rPr>
          <w:rFonts w:hint="eastAsia" w:ascii="宋体" w:hAnsi="宋体" w:eastAsia="宋体" w:cs="宋体"/>
          <w:color w:val="000000" w:themeColor="text1"/>
          <w:sz w:val="24"/>
          <w:szCs w:val="24"/>
          <w:highlight w:val="none"/>
          <w14:textFill>
            <w14:solidFill>
              <w14:schemeClr w14:val="tx1"/>
            </w14:solidFill>
          </w14:textFill>
        </w:rPr>
        <w:t>：需要7×24小时、全年无休的服务能力，以确保患者在任何时间都能够顺畅完成预约挂号或获取相关健康信息。</w:t>
      </w:r>
    </w:p>
    <w:p w14:paraId="2BD83EAB">
      <w:pPr>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.1.2.高峰期处理能力</w:t>
      </w:r>
      <w:r>
        <w:rPr>
          <w:rFonts w:hint="eastAsia" w:ascii="宋体" w:hAnsi="宋体" w:eastAsia="宋体" w:cs="宋体"/>
          <w:color w:val="000000" w:themeColor="text1"/>
          <w:sz w:val="24"/>
          <w:szCs w:val="24"/>
          <w:highlight w:val="none"/>
          <w14:textFill>
            <w14:solidFill>
              <w14:schemeClr w14:val="tx1"/>
            </w14:solidFill>
          </w14:textFill>
        </w:rPr>
        <w:t>：系统需要能够处理高峰期的高话务量，如早高峰时段（每天的8:00-10:00）以及周一至周三的高峰期，确保服务接通率不低于85%。</w:t>
      </w:r>
    </w:p>
    <w:p w14:paraId="0E2F694D">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.1.3.多语种支持</w:t>
      </w:r>
      <w:r>
        <w:rPr>
          <w:rFonts w:hint="eastAsia" w:ascii="宋体" w:hAnsi="宋体" w:eastAsia="宋体" w:cs="宋体"/>
          <w:color w:val="000000" w:themeColor="text1"/>
          <w:sz w:val="24"/>
          <w:szCs w:val="24"/>
          <w:highlight w:val="none"/>
          <w14:textFill>
            <w14:solidFill>
              <w14:schemeClr w14:val="tx1"/>
            </w14:solidFill>
          </w14:textFill>
        </w:rPr>
        <w:t>：为了更好服务不同群体，热线需要至少提供中英文及闽南语的语音服务，确保市民能用自己的语言顺利沟通。</w:t>
      </w:r>
    </w:p>
    <w:p w14:paraId="5DEA49F9">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.1.4.信息精准提供</w:t>
      </w:r>
      <w:r>
        <w:rPr>
          <w:rFonts w:hint="eastAsia" w:ascii="宋体" w:hAnsi="宋体" w:eastAsia="宋体" w:cs="宋体"/>
          <w:color w:val="000000" w:themeColor="text1"/>
          <w:sz w:val="24"/>
          <w:szCs w:val="24"/>
          <w:highlight w:val="none"/>
          <w14:textFill>
            <w14:solidFill>
              <w14:schemeClr w14:val="tx1"/>
            </w14:solidFill>
          </w14:textFill>
        </w:rPr>
        <w:t>：用户在预约时需要获得清晰的医院、科室、医生信息，包括科室专长、医生、专家的个人简介等，确保患者能够根据个人需求选择最适合的医疗资源。</w:t>
      </w:r>
    </w:p>
    <w:p w14:paraId="56E22734">
      <w:pPr>
        <w:pStyle w:val="5"/>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.2 </w:t>
      </w:r>
      <w:bookmarkStart w:id="24" w:name="_Toc2100337954"/>
      <w:bookmarkStart w:id="25" w:name="_Toc546556020"/>
      <w:r>
        <w:rPr>
          <w:rFonts w:hint="eastAsia" w:ascii="宋体" w:hAnsi="宋体" w:eastAsia="宋体" w:cs="宋体"/>
          <w:color w:val="000000" w:themeColor="text1"/>
          <w:sz w:val="24"/>
          <w:szCs w:val="24"/>
          <w:highlight w:val="none"/>
          <w14:textFill>
            <w14:solidFill>
              <w14:schemeClr w14:val="tx1"/>
            </w14:solidFill>
          </w14:textFill>
        </w:rPr>
        <w:t>智能服务</w:t>
      </w:r>
      <w:bookmarkEnd w:id="24"/>
      <w:bookmarkEnd w:id="25"/>
    </w:p>
    <w:p w14:paraId="4787219F">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.2.1.智能外呼</w:t>
      </w:r>
      <w:r>
        <w:rPr>
          <w:rFonts w:hint="eastAsia" w:ascii="宋体" w:hAnsi="宋体" w:eastAsia="宋体" w:cs="宋体"/>
          <w:color w:val="000000" w:themeColor="text1"/>
          <w:sz w:val="24"/>
          <w:szCs w:val="24"/>
          <w:highlight w:val="none"/>
          <w14:textFill>
            <w14:solidFill>
              <w14:schemeClr w14:val="tx1"/>
            </w14:solidFill>
          </w14:textFill>
        </w:rPr>
        <w:t>：利用智能外呼系统，在停诊通知、就诊提醒等场景下替代人工外呼，提高外呼效率，减少资源浪费并优化信息传达的及时性。</w:t>
      </w:r>
    </w:p>
    <w:p w14:paraId="007B5BB8">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.2.2.智能问诊</w:t>
      </w:r>
      <w:r>
        <w:rPr>
          <w:rFonts w:hint="eastAsia" w:ascii="宋体" w:hAnsi="宋体" w:eastAsia="宋体" w:cs="宋体"/>
          <w:color w:val="000000" w:themeColor="text1"/>
          <w:sz w:val="24"/>
          <w:szCs w:val="24"/>
          <w:highlight w:val="none"/>
          <w14:textFill>
            <w14:solidFill>
              <w14:schemeClr w14:val="tx1"/>
            </w14:solidFill>
          </w14:textFill>
        </w:rPr>
        <w:t>：系统应具备根据患者的症状、病史等提供智能问诊的能力，推荐合适的科室及医生，并提供治疗建议、健康指导等服务。</w:t>
      </w:r>
    </w:p>
    <w:p w14:paraId="41706832">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.2.3.互动性增强</w:t>
      </w:r>
      <w:r>
        <w:rPr>
          <w:rFonts w:hint="eastAsia" w:ascii="宋体" w:hAnsi="宋体" w:eastAsia="宋体" w:cs="宋体"/>
          <w:color w:val="000000" w:themeColor="text1"/>
          <w:sz w:val="24"/>
          <w:szCs w:val="24"/>
          <w:highlight w:val="none"/>
          <w14:textFill>
            <w14:solidFill>
              <w14:schemeClr w14:val="tx1"/>
            </w14:solidFill>
          </w14:textFill>
        </w:rPr>
        <w:t>：通过智能客服大模型和语音识别技术提升患者与系统之间的互动体验，帮助患者快速找到合适的医疗资源并引导他们完成正确的就医决策。</w:t>
      </w:r>
    </w:p>
    <w:p w14:paraId="10B70452">
      <w:pPr>
        <w:pStyle w:val="5"/>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.3数据安全和隐私保护</w:t>
      </w:r>
    </w:p>
    <w:p w14:paraId="509B890C">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.3.1.数据加密与保护</w:t>
      </w:r>
      <w:r>
        <w:rPr>
          <w:rFonts w:hint="eastAsia" w:ascii="宋体" w:hAnsi="宋体" w:eastAsia="宋体" w:cs="宋体"/>
          <w:color w:val="000000" w:themeColor="text1"/>
          <w:sz w:val="24"/>
          <w:szCs w:val="24"/>
          <w:highlight w:val="none"/>
          <w14:textFill>
            <w14:solidFill>
              <w14:schemeClr w14:val="tx1"/>
            </w14:solidFill>
          </w14:textFill>
        </w:rPr>
        <w:t>：所有涉及患者信息、预约数据、通话记录等敏感数据都必须进行加密处理，确保信息的机密性与完整性。</w:t>
      </w:r>
    </w:p>
    <w:p w14:paraId="08D20563">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.3.2.合规性与审计</w:t>
      </w:r>
      <w:r>
        <w:rPr>
          <w:rFonts w:hint="eastAsia" w:ascii="宋体" w:hAnsi="宋体" w:eastAsia="宋体" w:cs="宋体"/>
          <w:color w:val="000000" w:themeColor="text1"/>
          <w:sz w:val="24"/>
          <w:szCs w:val="24"/>
          <w:highlight w:val="none"/>
          <w14:textFill>
            <w14:solidFill>
              <w14:schemeClr w14:val="tx1"/>
            </w14:solidFill>
          </w14:textFill>
        </w:rPr>
        <w:t>：系统需符合医疗行业的数据安全和隐私保护标准，定期进行安全审计和漏洞检测，确保系统符合相关法规要求。</w:t>
      </w:r>
    </w:p>
    <w:p w14:paraId="5A5DE9C5">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.3.3.信息访问控制</w:t>
      </w:r>
      <w:r>
        <w:rPr>
          <w:rFonts w:hint="eastAsia" w:ascii="宋体" w:hAnsi="宋体" w:eastAsia="宋体" w:cs="宋体"/>
          <w:color w:val="000000" w:themeColor="text1"/>
          <w:sz w:val="24"/>
          <w:szCs w:val="24"/>
          <w:highlight w:val="none"/>
          <w14:textFill>
            <w14:solidFill>
              <w14:schemeClr w14:val="tx1"/>
            </w14:solidFill>
          </w14:textFill>
        </w:rPr>
        <w:t>：系统应具备细致的权限管理机制，确保只有授权人员能够访问和处理患者的敏感数据。</w:t>
      </w:r>
    </w:p>
    <w:p w14:paraId="6ED4752A">
      <w:pPr>
        <w:pStyle w:val="5"/>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.4用户体验与服务质量</w:t>
      </w:r>
    </w:p>
    <w:p w14:paraId="59D08AC9">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.4.1.自定义话务引导</w:t>
      </w:r>
      <w:r>
        <w:rPr>
          <w:rFonts w:hint="eastAsia" w:ascii="宋体" w:hAnsi="宋体" w:eastAsia="宋体" w:cs="宋体"/>
          <w:color w:val="000000" w:themeColor="text1"/>
          <w:sz w:val="24"/>
          <w:szCs w:val="24"/>
          <w:highlight w:val="none"/>
          <w14:textFill>
            <w14:solidFill>
              <w14:schemeClr w14:val="tx1"/>
            </w14:solidFill>
          </w14:textFill>
        </w:rPr>
        <w:t>：呼叫系统需要根据不同患者需求提供个性化的语音引导和路由策略，减少不必要的等待时间并确保患者快速被转接至合适的服务渠道。</w:t>
      </w:r>
    </w:p>
    <w:p w14:paraId="48E19D52">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.4.2.坐席人员专业培训</w:t>
      </w:r>
      <w:r>
        <w:rPr>
          <w:rFonts w:hint="eastAsia" w:ascii="宋体" w:hAnsi="宋体" w:eastAsia="宋体" w:cs="宋体"/>
          <w:color w:val="000000" w:themeColor="text1"/>
          <w:sz w:val="24"/>
          <w:szCs w:val="24"/>
          <w:highlight w:val="none"/>
          <w14:textFill>
            <w14:solidFill>
              <w14:schemeClr w14:val="tx1"/>
            </w14:solidFill>
          </w14:textFill>
        </w:rPr>
        <w:t>：为了提高服务质量，所有坐席人员需要进行严格的专业培训，包括医疗常识、服务态度、投诉处理、语言沟通技巧等，确保他们能够快速有效地解答患者问题。</w:t>
      </w:r>
    </w:p>
    <w:p w14:paraId="55BF4C49">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.4.3.满意度调查与回访</w:t>
      </w:r>
      <w:r>
        <w:rPr>
          <w:rFonts w:hint="eastAsia" w:ascii="宋体" w:hAnsi="宋体" w:eastAsia="宋体" w:cs="宋体"/>
          <w:color w:val="000000" w:themeColor="text1"/>
          <w:sz w:val="24"/>
          <w:szCs w:val="24"/>
          <w:highlight w:val="none"/>
          <w14:textFill>
            <w14:solidFill>
              <w14:schemeClr w14:val="tx1"/>
            </w14:solidFill>
          </w14:textFill>
        </w:rPr>
        <w:t>：系统应集成自动回访调查功能，在服务完成后自动进行满意度评分，帮助平台跟踪和分析患者的反馈意见，进一步优化服务。</w:t>
      </w:r>
    </w:p>
    <w:p w14:paraId="1DC1C513">
      <w:pPr>
        <w:pStyle w:val="5"/>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.5投诉与反馈处理</w:t>
      </w:r>
    </w:p>
    <w:p w14:paraId="16E852F3">
      <w:pPr>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.5.1.投诉管理机制</w:t>
      </w:r>
      <w:r>
        <w:rPr>
          <w:rFonts w:hint="eastAsia" w:ascii="宋体" w:hAnsi="宋体" w:eastAsia="宋体" w:cs="宋体"/>
          <w:color w:val="000000" w:themeColor="text1"/>
          <w:sz w:val="24"/>
          <w:szCs w:val="24"/>
          <w:highlight w:val="none"/>
          <w14:textFill>
            <w14:solidFill>
              <w14:schemeClr w14:val="tx1"/>
            </w14:solidFill>
          </w14:textFill>
        </w:rPr>
        <w:t>：建立详细的投诉记录与跟踪机制，所有患者的投诉应及时处理并反馈结果，确保公众诉求能够得到快速响应和解决。</w:t>
      </w:r>
    </w:p>
    <w:p w14:paraId="1C5B4BCE">
      <w:pPr>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.5.2.公开透明的投诉处理流程</w:t>
      </w:r>
      <w:r>
        <w:rPr>
          <w:rFonts w:hint="eastAsia" w:ascii="宋体" w:hAnsi="宋体" w:eastAsia="宋体" w:cs="宋体"/>
          <w:color w:val="000000" w:themeColor="text1"/>
          <w:sz w:val="24"/>
          <w:szCs w:val="24"/>
          <w:highlight w:val="none"/>
          <w14:textFill>
            <w14:solidFill>
              <w14:schemeClr w14:val="tx1"/>
            </w14:solidFill>
          </w14:textFill>
        </w:rPr>
        <w:t>：对于常见问题，应设立专门的投诉处理小组，确保投诉能够在1个工作日内得到处理，紧急情况在1小时内解决。</w:t>
      </w:r>
    </w:p>
    <w:p w14:paraId="5024AECE">
      <w:pPr>
        <w:pStyle w:val="5"/>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.6系统性能与技术保障</w:t>
      </w:r>
    </w:p>
    <w:p w14:paraId="63C660EF">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.6.1.高可用性与冗余保障</w:t>
      </w:r>
      <w:r>
        <w:rPr>
          <w:rFonts w:hint="eastAsia" w:ascii="宋体" w:hAnsi="宋体" w:eastAsia="宋体" w:cs="宋体"/>
          <w:color w:val="000000" w:themeColor="text1"/>
          <w:sz w:val="24"/>
          <w:szCs w:val="24"/>
          <w:highlight w:val="none"/>
          <w14:textFill>
            <w14:solidFill>
              <w14:schemeClr w14:val="tx1"/>
            </w14:solidFill>
          </w14:textFill>
        </w:rPr>
        <w:t>：系统应具备冗余备份机制，确保在关键环节出现故障时能够快速切换，保证系统的高可用性，确保不影响服务的持续性。</w:t>
      </w:r>
    </w:p>
    <w:p w14:paraId="0E29EF44">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.6.2.负载均衡和扩展能力</w:t>
      </w:r>
      <w:r>
        <w:rPr>
          <w:rFonts w:hint="eastAsia" w:ascii="宋体" w:hAnsi="宋体" w:eastAsia="宋体" w:cs="宋体"/>
          <w:color w:val="000000" w:themeColor="text1"/>
          <w:sz w:val="24"/>
          <w:szCs w:val="24"/>
          <w:highlight w:val="none"/>
          <w14:textFill>
            <w14:solidFill>
              <w14:schemeClr w14:val="tx1"/>
            </w14:solidFill>
          </w14:textFill>
        </w:rPr>
        <w:t>：系统应支持大流量并发处理，尤其是在高峰期，能够平衡话务量，防止因流量过大导致服务瘫痪，并具备灵活的扩展能力以适应未来的需求增长。</w:t>
      </w:r>
    </w:p>
    <w:p w14:paraId="3AE7E490">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.6.3.系统备份和灾难恢复</w:t>
      </w:r>
      <w:r>
        <w:rPr>
          <w:rFonts w:hint="eastAsia" w:ascii="宋体" w:hAnsi="宋体" w:eastAsia="宋体" w:cs="宋体"/>
          <w:color w:val="000000" w:themeColor="text1"/>
          <w:sz w:val="24"/>
          <w:szCs w:val="24"/>
          <w:highlight w:val="none"/>
          <w14:textFill>
            <w14:solidFill>
              <w14:schemeClr w14:val="tx1"/>
            </w14:solidFill>
          </w14:textFill>
        </w:rPr>
        <w:t>：投标方案中需确保系统支持定期备份和高效的灾难恢复方案，在发生系统故障时能够在最短时间内恢复正常服务，保证服务不中断。</w:t>
      </w:r>
    </w:p>
    <w:p w14:paraId="56F13FDC">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75229BAC">
      <w:pPr>
        <w:pStyle w:val="5"/>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.7综合服务</w:t>
      </w:r>
    </w:p>
    <w:p w14:paraId="68C7ECD3">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.7.1.健康知识库</w:t>
      </w:r>
      <w:r>
        <w:rPr>
          <w:rFonts w:hint="eastAsia" w:ascii="宋体" w:hAnsi="宋体" w:eastAsia="宋体" w:cs="宋体"/>
          <w:color w:val="000000" w:themeColor="text1"/>
          <w:sz w:val="24"/>
          <w:szCs w:val="24"/>
          <w:highlight w:val="none"/>
          <w14:textFill>
            <w14:solidFill>
              <w14:schemeClr w14:val="tx1"/>
            </w14:solidFill>
          </w14:textFill>
        </w:rPr>
        <w:t>：构建和维护一个包含医院信息、医生资料、就诊指南等的动态更新的知识库，帮助坐席人员提高回答效率，也为患者提供快速获取信息的途径。</w:t>
      </w:r>
    </w:p>
    <w:p w14:paraId="18587F29">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.7.2.多平台服务整合</w:t>
      </w:r>
      <w:r>
        <w:rPr>
          <w:rFonts w:hint="eastAsia" w:ascii="宋体" w:hAnsi="宋体" w:eastAsia="宋体" w:cs="宋体"/>
          <w:color w:val="000000" w:themeColor="text1"/>
          <w:sz w:val="24"/>
          <w:szCs w:val="24"/>
          <w:highlight w:val="none"/>
          <w14:textFill>
            <w14:solidFill>
              <w14:schemeClr w14:val="tx1"/>
            </w14:solidFill>
          </w14:textFill>
        </w:rPr>
        <w:t>：除了传统的电话预约，系统还应与“美丽厦门智慧健康”公众号等平台进行联动，提供无缝的多渠道服务，提升患者的便捷体验。</w:t>
      </w:r>
    </w:p>
    <w:p w14:paraId="2CF48946">
      <w:pPr>
        <w:rPr>
          <w:rFonts w:hint="eastAsia"/>
          <w:color w:val="000000" w:themeColor="text1"/>
          <w:highlight w:val="none"/>
          <w14:textFill>
            <w14:solidFill>
              <w14:schemeClr w14:val="tx1"/>
            </w14:solidFill>
          </w14:textFill>
        </w:rPr>
      </w:pPr>
    </w:p>
    <w:p w14:paraId="5395D6A5">
      <w:pPr>
        <w:pStyle w:val="4"/>
        <w:numPr>
          <w:ilvl w:val="-1"/>
          <w:numId w:val="0"/>
        </w:numPr>
        <w:tabs>
          <w:tab w:val="left" w:pos="240"/>
          <w:tab w:val="left" w:pos="1276"/>
        </w:tabs>
        <w:spacing w:line="360" w:lineRule="auto"/>
        <w:ind w:left="0" w:firstLine="0"/>
        <w:jc w:val="both"/>
        <w:rPr>
          <w:rFonts w:hint="eastAsia" w:ascii="宋体" w:hAnsi="宋体" w:eastAsia="宋体" w:cs="宋体"/>
          <w:color w:val="000000" w:themeColor="text1"/>
          <w:sz w:val="24"/>
          <w:szCs w:val="24"/>
          <w:highlight w:val="none"/>
          <w14:textFill>
            <w14:solidFill>
              <w14:schemeClr w14:val="tx1"/>
            </w14:solidFill>
          </w14:textFill>
        </w:rPr>
      </w:pPr>
      <w:bookmarkStart w:id="26" w:name="_Toc139467564"/>
      <w:bookmarkStart w:id="27" w:name="_Toc139467565"/>
      <w:r>
        <w:rPr>
          <w:rFonts w:hint="eastAsia" w:ascii="宋体" w:hAnsi="宋体" w:eastAsia="宋体" w:cs="宋体"/>
          <w:color w:val="000000" w:themeColor="text1"/>
          <w:sz w:val="24"/>
          <w:szCs w:val="24"/>
          <w:highlight w:val="none"/>
          <w:lang w:val="en-US" w:eastAsia="zh-CN"/>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项目建设方案</w:t>
      </w:r>
      <w:bookmarkEnd w:id="26"/>
    </w:p>
    <w:p w14:paraId="1B72DC1B">
      <w:pPr>
        <w:pStyle w:val="5"/>
        <w:numPr>
          <w:ilvl w:val="-1"/>
          <w:numId w:val="0"/>
        </w:numPr>
        <w:spacing w:line="360" w:lineRule="auto"/>
        <w:ind w:left="0" w:firstLine="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总体设计方案</w:t>
      </w:r>
      <w:bookmarkEnd w:id="27"/>
    </w:p>
    <w:p w14:paraId="0CADA4D2">
      <w:pPr>
        <w:spacing w:line="360" w:lineRule="auto"/>
        <w:ind w:firstLine="48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门诊预约呼叫中心由呼叫中心平台及门诊预约诊疗业务平台和客服座席组成（门诊预约诊疗业务平台软件已建设完成），通过数据专线与厦门市卫生健康委员会的云平台实现“一点对接”，与现有厦门区域门诊挂号预约系统实时同步协同工作，实现号源的导入、管理以及同步，面向厦门乃至周边城市的市民提供统一预约挂号、短信提醒等服务。同时为厦门市卫生健康委员会提供服务质量监督终端远程接入服务。</w:t>
      </w:r>
    </w:p>
    <w:p w14:paraId="012D4D6B">
      <w:pPr>
        <w:pStyle w:val="50"/>
        <w:ind w:firstLine="0" w:firstLineChars="0"/>
        <w:jc w:val="center"/>
        <w:rPr>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drawing>
          <wp:inline distT="0" distB="0" distL="0" distR="0">
            <wp:extent cx="5400040" cy="2018665"/>
            <wp:effectExtent l="0" t="0" r="0" b="63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400040" cy="2018665"/>
                    </a:xfrm>
                    <a:prstGeom prst="rect">
                      <a:avLst/>
                    </a:prstGeom>
                    <a:noFill/>
                    <a:ln>
                      <a:noFill/>
                    </a:ln>
                  </pic:spPr>
                </pic:pic>
              </a:graphicData>
            </a:graphic>
          </wp:inline>
        </w:drawing>
      </w:r>
    </w:p>
    <w:p w14:paraId="298725F3">
      <w:pPr>
        <w:ind w:firstLine="480"/>
        <w:rPr>
          <w:color w:val="000000" w:themeColor="text1"/>
          <w:highlight w:val="none"/>
          <w14:textFill>
            <w14:solidFill>
              <w14:schemeClr w14:val="tx1"/>
            </w14:solidFill>
          </w14:textFill>
        </w:rPr>
      </w:pPr>
    </w:p>
    <w:p w14:paraId="0BEB9E5C">
      <w:pPr>
        <w:pStyle w:val="5"/>
        <w:numPr>
          <w:ilvl w:val="1"/>
          <w:numId w:val="0"/>
        </w:numPr>
        <w:spacing w:line="360" w:lineRule="auto"/>
        <w:ind w:left="0" w:firstLine="0"/>
        <w:rPr>
          <w:rFonts w:hint="eastAsia" w:ascii="宋体" w:hAnsi="宋体" w:eastAsia="宋体" w:cs="宋体"/>
          <w:color w:val="000000" w:themeColor="text1"/>
          <w:sz w:val="24"/>
          <w:szCs w:val="24"/>
          <w:highlight w:val="none"/>
          <w14:textFill>
            <w14:solidFill>
              <w14:schemeClr w14:val="tx1"/>
            </w14:solidFill>
          </w14:textFill>
        </w:rPr>
      </w:pPr>
      <w:bookmarkStart w:id="28" w:name="_Toc524280057"/>
      <w:bookmarkEnd w:id="28"/>
      <w:bookmarkStart w:id="29" w:name="_Toc1653509301"/>
      <w:bookmarkStart w:id="30" w:name="_Toc191580525"/>
      <w:bookmarkStart w:id="31" w:name="_Toc1009305102"/>
      <w: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t>3</w:t>
      </w:r>
      <w:r>
        <w:rPr>
          <w:rFonts w:hint="default" w:ascii="宋体" w:hAnsi="宋体" w:eastAsia="宋体" w:cs="宋体"/>
          <w:b/>
          <w:bCs/>
          <w:color w:val="000000" w:themeColor="text1"/>
          <w:kern w:val="2"/>
          <w:sz w:val="24"/>
          <w:szCs w:val="24"/>
          <w:highlight w:val="none"/>
          <w:lang w:val="en-US" w:eastAsia="zh-CN" w:bidi="ar-SA"/>
          <w14:textFill>
            <w14:solidFill>
              <w14:schemeClr w14:val="tx1"/>
            </w14:solidFill>
          </w14:textFill>
        </w:rPr>
        <w:t>.</w:t>
      </w:r>
      <w: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本期项目建设方案</w:t>
      </w:r>
      <w:bookmarkEnd w:id="29"/>
      <w:bookmarkEnd w:id="30"/>
      <w:bookmarkEnd w:id="31"/>
    </w:p>
    <w:p w14:paraId="49206164">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bookmarkStart w:id="32" w:name="_Toc27752"/>
      <w:r>
        <w:rPr>
          <w:rFonts w:hint="eastAsia" w:ascii="宋体" w:hAnsi="宋体" w:eastAsia="宋体" w:cs="宋体"/>
          <w:color w:val="000000" w:themeColor="text1"/>
          <w:sz w:val="24"/>
          <w:szCs w:val="24"/>
          <w:highlight w:val="none"/>
          <w14:textFill>
            <w14:solidFill>
              <w14:schemeClr w14:val="tx1"/>
            </w14:solidFill>
          </w14:textFill>
        </w:rPr>
        <w:t>本期项目建设方案是根据具体需求，结合系统功能与技术特点，进一步落实并提供具体解决方案。各项建设内容旨在解决市民“看病难”和“预约难”的问题，并充分利用智能化技术优化服务效率与质量。</w:t>
      </w:r>
    </w:p>
    <w:p w14:paraId="4F639190">
      <w:pPr>
        <w:pStyle w:val="6"/>
        <w:numPr>
          <w:ilvl w:val="2"/>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33" w:name="_Toc417521661"/>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.2.1 厦门市96166统一门诊预约热线服务项目建设</w:t>
      </w:r>
      <w:bookmarkEnd w:id="33"/>
    </w:p>
    <w:p w14:paraId="0D35C26E">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根据“全天候服务保障”与“高峰期处理能力”需求，本项目采购统一门诊预约热线服务，全面提升预约效率与可用性。</w:t>
      </w:r>
    </w:p>
    <w:p w14:paraId="44F68250">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.2.1.1建设内容</w:t>
      </w:r>
    </w:p>
    <w:p w14:paraId="600E4529">
      <w:pPr>
        <w:pStyle w:val="51"/>
        <w:numPr>
          <w:ilvl w:val="0"/>
          <w:numId w:val="4"/>
        </w:num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呼叫中心统一接入：通过建设统一的呼叫中心平台，市民可以通过热线电话、语音识别和智能语音引导等方式进行预约挂号、健康咨询等服务。</w:t>
      </w:r>
    </w:p>
    <w:p w14:paraId="584341B9">
      <w:pPr>
        <w:pStyle w:val="51"/>
        <w:numPr>
          <w:ilvl w:val="0"/>
          <w:numId w:val="4"/>
        </w:num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智能质检：将坐席通话录音转写为文字，通过AI大模型</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例如Deepseek等</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进行分析，系统可根据预设的质检规则自动判断坐席操作是否符合规章制度，提升质检效率与准确性。</w:t>
      </w:r>
    </w:p>
    <w:p w14:paraId="2275BDB6">
      <w:pPr>
        <w:pStyle w:val="51"/>
        <w:numPr>
          <w:ilvl w:val="0"/>
          <w:numId w:val="4"/>
        </w:num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知识库：通过AI大模型</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例如Deepseek等</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更新训练96166热线知识库，为坐席提供智能导诊服务。坐席可实时查询并获取精准的业务解答，提升服务响应速度与准确性。</w:t>
      </w:r>
    </w:p>
    <w:p w14:paraId="55DAC99F">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（4）多语种支持：支持中英文及闽南语的语音服务，满足不同语言群体的需求。</w:t>
      </w:r>
    </w:p>
    <w:p w14:paraId="11CD63EF">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（5）AI就诊提醒：为减少因忘记就诊时间导致的错过，本期项目引入了AI自动拨打电话提醒功能，在患者预约的就诊时间临近时（如一天或半天前），自动拨打电话提醒患者按时就诊。</w:t>
      </w:r>
    </w:p>
    <w:p w14:paraId="4A4AFD2A">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（6）AI停诊提醒：为避免用户错过公众号停诊信息，增加不必要的行程，当系统监测到用户所预约医生停诊时，AI调取患者预约数据自动拨打电话提醒用户进行重新预约。</w:t>
      </w:r>
    </w:p>
    <w:p w14:paraId="416F5A34">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.2.1.2技术应用</w:t>
      </w:r>
    </w:p>
    <w:p w14:paraId="104D996B">
      <w:pPr>
        <w:pStyle w:val="51"/>
        <w:numPr>
          <w:ilvl w:val="0"/>
          <w:numId w:val="5"/>
        </w:num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AI大模型智能语音识别技术：系统通过AI大模型集成的语音识别技术，支持多语种准确识别，提升了非标准语音（如闽南语）识别的准确性，解决了语言障碍问题。</w:t>
      </w:r>
    </w:p>
    <w:p w14:paraId="3AC293E7">
      <w:pPr>
        <w:pStyle w:val="51"/>
        <w:numPr>
          <w:ilvl w:val="0"/>
          <w:numId w:val="5"/>
        </w:num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医疗智能客服大模型：基于医疗智能客服大模型，依托先进的AI技术，平台集成智能问诊功能。通过患者提供的症状等信息，智能引导居民完成问诊流程，推荐检查项目并提供治疗建议，全面提升诊疗效率与质量，优化居民就诊体验。</w:t>
      </w:r>
    </w:p>
    <w:p w14:paraId="17361D6D">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（3）自动语音引导：系统自动根据用户输入的需求提供相关选项，减少了人工操作，提高了用户体验。</w:t>
      </w:r>
    </w:p>
    <w:p w14:paraId="128606E7">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（4）AI智能外呼系统：采用AI智能外呼技术，自动外呼并播放预设的提醒语音，提醒患者即将到来的就诊时间。</w:t>
      </w:r>
    </w:p>
    <w:p w14:paraId="026D59E8">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（5）语音识别与自然语言处理：通过语音识别和自然语言处理技术，确保电话提醒的清晰性与准确性，提供自然流畅的互动体验。</w:t>
      </w:r>
    </w:p>
    <w:p w14:paraId="5EEBD428">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.2.1.3功能描述</w:t>
      </w:r>
    </w:p>
    <w:tbl>
      <w:tblPr>
        <w:tblStyle w:val="23"/>
        <w:tblW w:w="0" w:type="auto"/>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autofit"/>
        <w:tblCellMar>
          <w:top w:w="15" w:type="dxa"/>
          <w:left w:w="15" w:type="dxa"/>
          <w:bottom w:w="15" w:type="dxa"/>
          <w:right w:w="15" w:type="dxa"/>
        </w:tblCellMar>
      </w:tblPr>
      <w:tblGrid>
        <w:gridCol w:w="1794"/>
        <w:gridCol w:w="4176"/>
        <w:gridCol w:w="3301"/>
      </w:tblGrid>
      <w:tr w14:paraId="4B477508">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c>
          <w:tcPr>
            <w:tcW w:w="1794" w:type="dxa"/>
            <w:tcBorders>
              <w:top w:val="single" w:color="auto" w:sz="8" w:space="0"/>
              <w:left w:val="single" w:color="auto" w:sz="8" w:space="0"/>
              <w:bottom w:val="single" w:color="auto" w:sz="8" w:space="0"/>
              <w:right w:val="single" w:color="auto" w:sz="8" w:space="0"/>
            </w:tcBorders>
            <w:shd w:val="clear" w:color="auto" w:fill="auto"/>
            <w:vAlign w:val="center"/>
          </w:tcPr>
          <w:p w14:paraId="07F7F93D">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功能</w:t>
            </w:r>
          </w:p>
        </w:tc>
        <w:tc>
          <w:tcPr>
            <w:tcW w:w="4176" w:type="dxa"/>
            <w:tcBorders>
              <w:top w:val="single" w:color="auto" w:sz="8" w:space="0"/>
              <w:left w:val="single" w:color="auto" w:sz="8" w:space="0"/>
              <w:bottom w:val="single" w:color="auto" w:sz="8" w:space="0"/>
              <w:right w:val="single" w:color="auto" w:sz="8" w:space="0"/>
            </w:tcBorders>
            <w:shd w:val="clear" w:color="auto" w:fill="auto"/>
            <w:vAlign w:val="center"/>
          </w:tcPr>
          <w:p w14:paraId="1B85D312">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描述</w:t>
            </w:r>
          </w:p>
        </w:tc>
        <w:tc>
          <w:tcPr>
            <w:tcW w:w="3301" w:type="dxa"/>
            <w:tcBorders>
              <w:top w:val="single" w:color="auto" w:sz="8" w:space="0"/>
              <w:left w:val="single" w:color="auto" w:sz="8" w:space="0"/>
              <w:bottom w:val="single" w:color="auto" w:sz="8" w:space="0"/>
              <w:right w:val="single" w:color="auto" w:sz="8" w:space="0"/>
            </w:tcBorders>
            <w:shd w:val="clear" w:color="auto" w:fill="auto"/>
            <w:vAlign w:val="center"/>
          </w:tcPr>
          <w:p w14:paraId="7D689045">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目标</w:t>
            </w:r>
          </w:p>
        </w:tc>
      </w:tr>
      <w:tr w14:paraId="5B2ADEA4">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c>
          <w:tcPr>
            <w:tcW w:w="1794" w:type="dxa"/>
            <w:tcBorders>
              <w:top w:val="single" w:color="auto" w:sz="8" w:space="0"/>
              <w:left w:val="single" w:color="auto" w:sz="8" w:space="0"/>
              <w:bottom w:val="single" w:color="auto" w:sz="8" w:space="0"/>
              <w:right w:val="single" w:color="auto" w:sz="8" w:space="0"/>
            </w:tcBorders>
            <w:shd w:val="clear" w:color="auto" w:fill="auto"/>
            <w:vAlign w:val="center"/>
          </w:tcPr>
          <w:p w14:paraId="0380D520">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呼叫接入与分配</w:t>
            </w:r>
          </w:p>
        </w:tc>
        <w:tc>
          <w:tcPr>
            <w:tcW w:w="4176" w:type="dxa"/>
            <w:tcBorders>
              <w:top w:val="single" w:color="auto" w:sz="8" w:space="0"/>
              <w:left w:val="single" w:color="auto" w:sz="8" w:space="0"/>
              <w:bottom w:val="single" w:color="auto" w:sz="8" w:space="0"/>
              <w:right w:val="single" w:color="auto" w:sz="8" w:space="0"/>
            </w:tcBorders>
            <w:shd w:val="clear" w:color="auto" w:fill="auto"/>
            <w:vAlign w:val="center"/>
          </w:tcPr>
          <w:p w14:paraId="67DDC248">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自动接入市民来电，并根据需求分配到对应坐席或自助语音服务</w:t>
            </w:r>
          </w:p>
        </w:tc>
        <w:tc>
          <w:tcPr>
            <w:tcW w:w="3301" w:type="dxa"/>
            <w:tcBorders>
              <w:top w:val="single" w:color="auto" w:sz="8" w:space="0"/>
              <w:left w:val="single" w:color="auto" w:sz="8" w:space="0"/>
              <w:bottom w:val="single" w:color="auto" w:sz="8" w:space="0"/>
              <w:right w:val="single" w:color="auto" w:sz="8" w:space="0"/>
            </w:tcBorders>
            <w:shd w:val="clear" w:color="auto" w:fill="auto"/>
            <w:vAlign w:val="center"/>
          </w:tcPr>
          <w:p w14:paraId="6EAA80DF">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高效接入，减少等待时间，提升接通率</w:t>
            </w:r>
          </w:p>
        </w:tc>
      </w:tr>
      <w:tr w14:paraId="4897B45D">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c>
          <w:tcPr>
            <w:tcW w:w="1794" w:type="dxa"/>
            <w:tcBorders>
              <w:top w:val="single" w:color="auto" w:sz="8" w:space="0"/>
              <w:left w:val="single" w:color="auto" w:sz="8" w:space="0"/>
              <w:bottom w:val="single" w:color="auto" w:sz="8" w:space="0"/>
              <w:right w:val="single" w:color="auto" w:sz="8" w:space="0"/>
            </w:tcBorders>
            <w:shd w:val="clear" w:color="auto" w:fill="auto"/>
            <w:vAlign w:val="center"/>
          </w:tcPr>
          <w:p w14:paraId="6D5958F0">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自动语音引导与分流</w:t>
            </w:r>
          </w:p>
        </w:tc>
        <w:tc>
          <w:tcPr>
            <w:tcW w:w="4176" w:type="dxa"/>
            <w:tcBorders>
              <w:top w:val="single" w:color="auto" w:sz="8" w:space="0"/>
              <w:left w:val="single" w:color="auto" w:sz="8" w:space="0"/>
              <w:bottom w:val="single" w:color="auto" w:sz="8" w:space="0"/>
              <w:right w:val="single" w:color="auto" w:sz="8" w:space="0"/>
            </w:tcBorders>
            <w:shd w:val="clear" w:color="auto" w:fill="auto"/>
            <w:vAlign w:val="center"/>
          </w:tcPr>
          <w:p w14:paraId="336D898F">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根据来电者需求提供语音引导，支持多语种服务</w:t>
            </w:r>
          </w:p>
        </w:tc>
        <w:tc>
          <w:tcPr>
            <w:tcW w:w="3301" w:type="dxa"/>
            <w:tcBorders>
              <w:top w:val="single" w:color="auto" w:sz="8" w:space="0"/>
              <w:left w:val="single" w:color="auto" w:sz="8" w:space="0"/>
              <w:bottom w:val="single" w:color="auto" w:sz="8" w:space="0"/>
              <w:right w:val="single" w:color="auto" w:sz="8" w:space="0"/>
            </w:tcBorders>
            <w:shd w:val="clear" w:color="auto" w:fill="auto"/>
            <w:vAlign w:val="center"/>
          </w:tcPr>
          <w:p w14:paraId="7FE1A0E4">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提供快捷准确的服务，满足不同语言群体的需求</w:t>
            </w:r>
          </w:p>
        </w:tc>
      </w:tr>
      <w:tr w14:paraId="33B1EEB6">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c>
          <w:tcPr>
            <w:tcW w:w="1794" w:type="dxa"/>
            <w:tcBorders>
              <w:top w:val="single" w:color="auto" w:sz="8" w:space="0"/>
              <w:left w:val="single" w:color="auto" w:sz="8" w:space="0"/>
              <w:bottom w:val="single" w:color="auto" w:sz="8" w:space="0"/>
              <w:right w:val="single" w:color="auto" w:sz="8" w:space="0"/>
            </w:tcBorders>
            <w:shd w:val="clear" w:color="auto" w:fill="auto"/>
            <w:vAlign w:val="center"/>
          </w:tcPr>
          <w:p w14:paraId="32DC4783">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多语种支持</w:t>
            </w:r>
          </w:p>
        </w:tc>
        <w:tc>
          <w:tcPr>
            <w:tcW w:w="4176" w:type="dxa"/>
            <w:tcBorders>
              <w:top w:val="single" w:color="auto" w:sz="8" w:space="0"/>
              <w:left w:val="single" w:color="auto" w:sz="8" w:space="0"/>
              <w:bottom w:val="single" w:color="auto" w:sz="8" w:space="0"/>
              <w:right w:val="single" w:color="auto" w:sz="8" w:space="0"/>
            </w:tcBorders>
            <w:shd w:val="clear" w:color="auto" w:fill="auto"/>
            <w:vAlign w:val="center"/>
          </w:tcPr>
          <w:p w14:paraId="5CAC352E">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提供中英文、闽南语语音服务</w:t>
            </w:r>
          </w:p>
        </w:tc>
        <w:tc>
          <w:tcPr>
            <w:tcW w:w="3301" w:type="dxa"/>
            <w:tcBorders>
              <w:top w:val="single" w:color="auto" w:sz="8" w:space="0"/>
              <w:left w:val="single" w:color="auto" w:sz="8" w:space="0"/>
              <w:bottom w:val="single" w:color="auto" w:sz="8" w:space="0"/>
              <w:right w:val="single" w:color="auto" w:sz="8" w:space="0"/>
            </w:tcBorders>
            <w:shd w:val="clear" w:color="auto" w:fill="auto"/>
            <w:vAlign w:val="center"/>
          </w:tcPr>
          <w:p w14:paraId="77151276">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满足不同语言需求，消除语言障碍</w:t>
            </w:r>
          </w:p>
        </w:tc>
      </w:tr>
      <w:tr w14:paraId="1B4AAA5F">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c>
          <w:tcPr>
            <w:tcW w:w="1794" w:type="dxa"/>
            <w:tcBorders>
              <w:top w:val="single" w:color="auto" w:sz="8" w:space="0"/>
              <w:left w:val="single" w:color="auto" w:sz="8" w:space="0"/>
              <w:bottom w:val="single" w:color="auto" w:sz="8" w:space="0"/>
              <w:right w:val="single" w:color="auto" w:sz="8" w:space="0"/>
            </w:tcBorders>
            <w:shd w:val="clear" w:color="auto" w:fill="auto"/>
            <w:vAlign w:val="center"/>
          </w:tcPr>
          <w:p w14:paraId="3AB3ECA7">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通话录音与回访</w:t>
            </w:r>
          </w:p>
        </w:tc>
        <w:tc>
          <w:tcPr>
            <w:tcW w:w="4176" w:type="dxa"/>
            <w:tcBorders>
              <w:top w:val="single" w:color="auto" w:sz="8" w:space="0"/>
              <w:left w:val="single" w:color="auto" w:sz="8" w:space="0"/>
              <w:bottom w:val="single" w:color="auto" w:sz="8" w:space="0"/>
              <w:right w:val="single" w:color="auto" w:sz="8" w:space="0"/>
            </w:tcBorders>
            <w:shd w:val="clear" w:color="auto" w:fill="auto"/>
            <w:vAlign w:val="center"/>
          </w:tcPr>
          <w:p w14:paraId="6993C710">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自动录音，提供通话回访和满意度调查</w:t>
            </w:r>
          </w:p>
        </w:tc>
        <w:tc>
          <w:tcPr>
            <w:tcW w:w="3301" w:type="dxa"/>
            <w:tcBorders>
              <w:top w:val="single" w:color="auto" w:sz="8" w:space="0"/>
              <w:left w:val="single" w:color="auto" w:sz="8" w:space="0"/>
              <w:bottom w:val="single" w:color="auto" w:sz="8" w:space="0"/>
              <w:right w:val="single" w:color="auto" w:sz="8" w:space="0"/>
            </w:tcBorders>
            <w:shd w:val="clear" w:color="auto" w:fill="auto"/>
            <w:vAlign w:val="center"/>
          </w:tcPr>
          <w:p w14:paraId="76849A99">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评估服务质量并优化，提升用户体验</w:t>
            </w:r>
          </w:p>
        </w:tc>
      </w:tr>
      <w:tr w14:paraId="752DC051">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c>
          <w:tcPr>
            <w:tcW w:w="1794" w:type="dxa"/>
            <w:tcBorders>
              <w:top w:val="single" w:color="auto" w:sz="8" w:space="0"/>
              <w:left w:val="single" w:color="auto" w:sz="8" w:space="0"/>
              <w:bottom w:val="single" w:color="auto" w:sz="8" w:space="0"/>
              <w:right w:val="single" w:color="auto" w:sz="8" w:space="0"/>
            </w:tcBorders>
            <w:shd w:val="clear" w:color="auto" w:fill="auto"/>
            <w:vAlign w:val="center"/>
          </w:tcPr>
          <w:p w14:paraId="6CBC33CF">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黑名单管理</w:t>
            </w:r>
          </w:p>
        </w:tc>
        <w:tc>
          <w:tcPr>
            <w:tcW w:w="4176" w:type="dxa"/>
            <w:tcBorders>
              <w:top w:val="single" w:color="auto" w:sz="8" w:space="0"/>
              <w:left w:val="single" w:color="auto" w:sz="8" w:space="0"/>
              <w:bottom w:val="single" w:color="auto" w:sz="8" w:space="0"/>
              <w:right w:val="single" w:color="auto" w:sz="8" w:space="0"/>
            </w:tcBorders>
            <w:shd w:val="clear" w:color="auto" w:fill="auto"/>
            <w:vAlign w:val="center"/>
          </w:tcPr>
          <w:p w14:paraId="4C643EAA">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针对号贩子等恶意行为，管理黑名单并限制呼入</w:t>
            </w:r>
          </w:p>
        </w:tc>
        <w:tc>
          <w:tcPr>
            <w:tcW w:w="3301" w:type="dxa"/>
            <w:tcBorders>
              <w:top w:val="single" w:color="auto" w:sz="8" w:space="0"/>
              <w:left w:val="single" w:color="auto" w:sz="8" w:space="0"/>
              <w:bottom w:val="single" w:color="auto" w:sz="8" w:space="0"/>
              <w:right w:val="single" w:color="auto" w:sz="8" w:space="0"/>
            </w:tcBorders>
            <w:shd w:val="clear" w:color="auto" w:fill="auto"/>
            <w:vAlign w:val="center"/>
          </w:tcPr>
          <w:p w14:paraId="3904F8E9">
            <w:pPr>
              <w:pStyle w:val="20"/>
              <w:spacing w:before="0" w:beforeAutospacing="0" w:after="0" w:afterAutospacing="0"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减少恶意骚扰，保障系统运行质量</w:t>
            </w:r>
          </w:p>
        </w:tc>
      </w:tr>
      <w:tr w14:paraId="7AD56C5A">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812" w:hRule="atLeast"/>
        </w:trPr>
        <w:tc>
          <w:tcPr>
            <w:tcW w:w="1794" w:type="dxa"/>
            <w:tcBorders>
              <w:top w:val="single" w:color="auto" w:sz="8" w:space="0"/>
              <w:left w:val="single" w:color="auto" w:sz="8" w:space="0"/>
              <w:bottom w:val="single" w:color="auto" w:sz="8" w:space="0"/>
              <w:right w:val="single" w:color="auto" w:sz="8" w:space="0"/>
            </w:tcBorders>
            <w:shd w:val="clear" w:color="auto" w:fill="auto"/>
            <w:vAlign w:val="center"/>
          </w:tcPr>
          <w:p w14:paraId="21AD3EEE">
            <w:pPr>
              <w:pStyle w:val="20"/>
              <w:spacing w:line="360" w:lineRule="auto"/>
              <w:ind w:firstLine="361"/>
              <w:jc w:val="center"/>
              <w:rPr>
                <w:rStyle w:val="25"/>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自动化电话提醒</w:t>
            </w:r>
          </w:p>
        </w:tc>
        <w:tc>
          <w:tcPr>
            <w:tcW w:w="4176" w:type="dxa"/>
            <w:tcBorders>
              <w:top w:val="single" w:color="auto" w:sz="8" w:space="0"/>
              <w:left w:val="single" w:color="auto" w:sz="8" w:space="0"/>
              <w:bottom w:val="single" w:color="auto" w:sz="8" w:space="0"/>
              <w:right w:val="single" w:color="auto" w:sz="8" w:space="0"/>
            </w:tcBorders>
            <w:shd w:val="clear" w:color="auto" w:fill="auto"/>
            <w:vAlign w:val="center"/>
          </w:tcPr>
          <w:p w14:paraId="41866540">
            <w:pPr>
              <w:pStyle w:val="20"/>
              <w:spacing w:line="360" w:lineRule="auto"/>
              <w:ind w:firstLine="36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AI系统自动拨打电话向患者提醒即将到来的就诊时间</w:t>
            </w:r>
          </w:p>
        </w:tc>
        <w:tc>
          <w:tcPr>
            <w:tcW w:w="3301" w:type="dxa"/>
            <w:tcBorders>
              <w:top w:val="single" w:color="auto" w:sz="8" w:space="0"/>
              <w:left w:val="single" w:color="auto" w:sz="8" w:space="0"/>
              <w:bottom w:val="single" w:color="auto" w:sz="8" w:space="0"/>
              <w:right w:val="single" w:color="auto" w:sz="8" w:space="0"/>
            </w:tcBorders>
            <w:shd w:val="clear" w:color="auto" w:fill="auto"/>
            <w:vAlign w:val="center"/>
          </w:tcPr>
          <w:p w14:paraId="2A7AFE50">
            <w:pPr>
              <w:pStyle w:val="20"/>
              <w:spacing w:line="360" w:lineRule="auto"/>
              <w:ind w:firstLine="36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提高患者就诊准时率，减少因忘记就诊而错过的情况</w:t>
            </w:r>
          </w:p>
        </w:tc>
      </w:tr>
      <w:tr w14:paraId="71F929D4">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c>
          <w:tcPr>
            <w:tcW w:w="1794" w:type="dxa"/>
            <w:tcBorders>
              <w:top w:val="single" w:color="auto" w:sz="8" w:space="0"/>
              <w:left w:val="single" w:color="auto" w:sz="8" w:space="0"/>
              <w:bottom w:val="single" w:color="auto" w:sz="8" w:space="0"/>
              <w:right w:val="single" w:color="auto" w:sz="8" w:space="0"/>
            </w:tcBorders>
            <w:shd w:val="clear" w:color="auto" w:fill="auto"/>
            <w:vAlign w:val="center"/>
          </w:tcPr>
          <w:p w14:paraId="55335142">
            <w:pPr>
              <w:pStyle w:val="20"/>
              <w:spacing w:line="360" w:lineRule="auto"/>
              <w:ind w:firstLine="361"/>
              <w:jc w:val="center"/>
              <w:rPr>
                <w:rStyle w:val="25"/>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智能化外呼系统</w:t>
            </w:r>
          </w:p>
        </w:tc>
        <w:tc>
          <w:tcPr>
            <w:tcW w:w="4176" w:type="dxa"/>
            <w:tcBorders>
              <w:top w:val="single" w:color="auto" w:sz="8" w:space="0"/>
              <w:left w:val="single" w:color="auto" w:sz="8" w:space="0"/>
              <w:bottom w:val="single" w:color="auto" w:sz="8" w:space="0"/>
              <w:right w:val="single" w:color="auto" w:sz="8" w:space="0"/>
            </w:tcBorders>
            <w:shd w:val="clear" w:color="auto" w:fill="auto"/>
            <w:vAlign w:val="center"/>
          </w:tcPr>
          <w:p w14:paraId="6696D643">
            <w:pPr>
              <w:pStyle w:val="20"/>
              <w:spacing w:line="360" w:lineRule="auto"/>
              <w:ind w:firstLine="36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根据患者的预约信息和就诊时间，自动生成提醒任务并由AI系统拨打电话</w:t>
            </w:r>
          </w:p>
        </w:tc>
        <w:tc>
          <w:tcPr>
            <w:tcW w:w="3301" w:type="dxa"/>
            <w:tcBorders>
              <w:top w:val="single" w:color="auto" w:sz="8" w:space="0"/>
              <w:left w:val="single" w:color="auto" w:sz="8" w:space="0"/>
              <w:bottom w:val="single" w:color="auto" w:sz="8" w:space="0"/>
              <w:right w:val="single" w:color="auto" w:sz="8" w:space="0"/>
            </w:tcBorders>
            <w:shd w:val="clear" w:color="auto" w:fill="auto"/>
            <w:vAlign w:val="center"/>
          </w:tcPr>
          <w:p w14:paraId="3152A88A">
            <w:pPr>
              <w:pStyle w:val="20"/>
              <w:spacing w:line="360" w:lineRule="auto"/>
              <w:ind w:firstLine="36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减轻人工外呼负担，提升信息传达效率</w:t>
            </w:r>
          </w:p>
        </w:tc>
      </w:tr>
    </w:tbl>
    <w:p w14:paraId="70E04771">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.2.1.4效益</w:t>
      </w:r>
    </w:p>
    <w:p w14:paraId="611F8AE3">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（1）实现全天候无休门诊预约服务：确保在任何时段都能顺畅接入并进行预约。</w:t>
      </w:r>
    </w:p>
    <w:p w14:paraId="09FADA6A">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（2）提高高峰期话务量处理能力：确保接通率达到85%以上，减少了市民的等待时间。</w:t>
      </w:r>
    </w:p>
    <w:p w14:paraId="7D601E86">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（3）提高就诊准时率：通过AI自动拨打电话提醒患者，确保患者能够准时到达医院，减少了因忘记或忽视就诊时间导致的错过。</w:t>
      </w:r>
    </w:p>
    <w:p w14:paraId="6695768B">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（4）减轻人工外呼负担：智能化的外呼系统能够自动处理大量的提醒任务，减少了人工外呼的工作量，提高了工作效率。</w:t>
      </w:r>
    </w:p>
    <w:p w14:paraId="245CE625">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（5）提升患者体验：提供个性化的电话提醒，使患者能够清晰了解就诊安排，增强了患者对服务的满意度。</w:t>
      </w:r>
    </w:p>
    <w:p w14:paraId="3D166879">
      <w:pPr>
        <w:pStyle w:val="6"/>
        <w:numPr>
          <w:ilvl w:val="2"/>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34" w:name="_Toc1457481678"/>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.2.2 智能调度与号源管理系统</w:t>
      </w:r>
      <w:bookmarkEnd w:id="34"/>
    </w:p>
    <w:p w14:paraId="03B13299">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针对精准的预约调度与智能服务与互动需求，本期项目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需要</w:t>
      </w:r>
      <w:r>
        <w:rPr>
          <w:rFonts w:hint="eastAsia" w:ascii="宋体" w:hAnsi="宋体" w:eastAsia="宋体" w:cs="宋体"/>
          <w:color w:val="000000" w:themeColor="text1"/>
          <w:sz w:val="24"/>
          <w:szCs w:val="24"/>
          <w:highlight w:val="none"/>
          <w14:textFill>
            <w14:solidFill>
              <w14:schemeClr w14:val="tx1"/>
            </w14:solidFill>
          </w14:textFill>
        </w:rPr>
        <w:t>引入智能调度与号源管理系统，优化医疗资源分配，确保号源的合理利用。</w:t>
      </w:r>
    </w:p>
    <w:p w14:paraId="4494ED6C">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.2.2.1建设内容</w:t>
      </w:r>
    </w:p>
    <w:p w14:paraId="09912C23">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（1）智能调度系统：基于市民的预约需求、医院的号源情况及专家排班，通过智能算法进行动态调度。</w:t>
      </w:r>
    </w:p>
    <w:p w14:paraId="60A9025B">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（2）预约信息推送与提醒：预约成功后，系统自动发送短信与语音提醒，避免患者忘记就诊时间。</w:t>
      </w:r>
    </w:p>
    <w:p w14:paraId="641CF901">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.2.2.2技术应用</w:t>
      </w:r>
    </w:p>
    <w:p w14:paraId="6252A58D">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（1）AI大模型智能负载均衡技术：系统通过AI大模型技术根据实时预约数据进行负载均衡，优化专家号源的分配，确保医疗资源最大化利用。</w:t>
      </w:r>
    </w:p>
    <w:p w14:paraId="5071EAD1">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（2）大数据与AI调度算法：系统结合大数据分析，对市民的历史就诊记录和预约行为进行分析，从而实现精准的号源调度。</w:t>
      </w:r>
    </w:p>
    <w:p w14:paraId="40E7BD6A">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.2.2.3功能描述</w:t>
      </w:r>
    </w:p>
    <w:tbl>
      <w:tblPr>
        <w:tblStyle w:val="23"/>
        <w:tblW w:w="9346" w:type="dxa"/>
        <w:tblInd w:w="88" w:type="dxa"/>
        <w:tblLayout w:type="autofit"/>
        <w:tblCellMar>
          <w:top w:w="0" w:type="dxa"/>
          <w:left w:w="108" w:type="dxa"/>
          <w:bottom w:w="0" w:type="dxa"/>
          <w:right w:w="108" w:type="dxa"/>
        </w:tblCellMar>
      </w:tblPr>
      <w:tblGrid>
        <w:gridCol w:w="2281"/>
        <w:gridCol w:w="2942"/>
        <w:gridCol w:w="4123"/>
      </w:tblGrid>
      <w:tr w14:paraId="09A1E77F">
        <w:tblPrEx>
          <w:tblCellMar>
            <w:top w:w="0" w:type="dxa"/>
            <w:left w:w="108" w:type="dxa"/>
            <w:bottom w:w="0" w:type="dxa"/>
            <w:right w:w="108" w:type="dxa"/>
          </w:tblCellMar>
        </w:tblPrEx>
        <w:trPr>
          <w:trHeight w:val="340" w:hRule="atLeast"/>
        </w:trPr>
        <w:tc>
          <w:tcPr>
            <w:tcW w:w="2281" w:type="dxa"/>
            <w:tcBorders>
              <w:top w:val="single" w:color="auto" w:sz="4" w:space="0"/>
              <w:left w:val="single" w:color="auto" w:sz="4" w:space="0"/>
              <w:bottom w:val="single" w:color="auto" w:sz="4" w:space="0"/>
              <w:right w:val="single" w:color="auto" w:sz="4" w:space="0"/>
            </w:tcBorders>
            <w:shd w:val="clear" w:color="auto" w:fill="auto"/>
            <w:vAlign w:val="center"/>
          </w:tcPr>
          <w:p w14:paraId="385A512A">
            <w:pPr>
              <w:widowControl/>
              <w:spacing w:line="360" w:lineRule="auto"/>
              <w:ind w:firstLine="442"/>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功能</w:t>
            </w:r>
          </w:p>
        </w:tc>
        <w:tc>
          <w:tcPr>
            <w:tcW w:w="2942" w:type="dxa"/>
            <w:tcBorders>
              <w:top w:val="single" w:color="auto" w:sz="4" w:space="0"/>
              <w:left w:val="single" w:color="auto" w:sz="4" w:space="0"/>
              <w:bottom w:val="single" w:color="auto" w:sz="4" w:space="0"/>
              <w:right w:val="single" w:color="auto" w:sz="4" w:space="0"/>
            </w:tcBorders>
            <w:shd w:val="clear" w:color="auto" w:fill="auto"/>
            <w:vAlign w:val="center"/>
          </w:tcPr>
          <w:p w14:paraId="4EDF28C5">
            <w:pPr>
              <w:widowControl/>
              <w:spacing w:line="360" w:lineRule="auto"/>
              <w:ind w:firstLine="442"/>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描述</w:t>
            </w:r>
          </w:p>
        </w:tc>
        <w:tc>
          <w:tcPr>
            <w:tcW w:w="4123" w:type="dxa"/>
            <w:tcBorders>
              <w:top w:val="single" w:color="auto" w:sz="4" w:space="0"/>
              <w:left w:val="single" w:color="auto" w:sz="4" w:space="0"/>
              <w:bottom w:val="single" w:color="auto" w:sz="4" w:space="0"/>
              <w:right w:val="single" w:color="auto" w:sz="4" w:space="0"/>
            </w:tcBorders>
            <w:shd w:val="clear" w:color="auto" w:fill="auto"/>
            <w:vAlign w:val="center"/>
          </w:tcPr>
          <w:p w14:paraId="4FB445CD">
            <w:pPr>
              <w:widowControl/>
              <w:spacing w:line="360" w:lineRule="auto"/>
              <w:ind w:firstLine="442"/>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目标</w:t>
            </w:r>
          </w:p>
        </w:tc>
      </w:tr>
      <w:tr w14:paraId="443568C4">
        <w:tblPrEx>
          <w:tblCellMar>
            <w:top w:w="0" w:type="dxa"/>
            <w:left w:w="108" w:type="dxa"/>
            <w:bottom w:w="0" w:type="dxa"/>
            <w:right w:w="108" w:type="dxa"/>
          </w:tblCellMar>
        </w:tblPrEx>
        <w:trPr>
          <w:trHeight w:val="942" w:hRule="atLeast"/>
        </w:trPr>
        <w:tc>
          <w:tcPr>
            <w:tcW w:w="2281" w:type="dxa"/>
            <w:tcBorders>
              <w:top w:val="single" w:color="auto" w:sz="4" w:space="0"/>
              <w:left w:val="single" w:color="auto" w:sz="4" w:space="0"/>
              <w:bottom w:val="single" w:color="auto" w:sz="4" w:space="0"/>
              <w:right w:val="single" w:color="auto" w:sz="4" w:space="0"/>
            </w:tcBorders>
            <w:shd w:val="clear" w:color="auto" w:fill="auto"/>
            <w:vAlign w:val="center"/>
          </w:tcPr>
          <w:p w14:paraId="4E00BAE8">
            <w:pPr>
              <w:widowControl/>
              <w:spacing w:line="360" w:lineRule="auto"/>
              <w:ind w:left="442" w:hanging="480" w:hangingChars="200"/>
              <w:jc w:val="left"/>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号源智能调度</w:t>
            </w:r>
          </w:p>
        </w:tc>
        <w:tc>
          <w:tcPr>
            <w:tcW w:w="2942" w:type="dxa"/>
            <w:tcBorders>
              <w:top w:val="single" w:color="auto" w:sz="4" w:space="0"/>
              <w:left w:val="single" w:color="auto" w:sz="4" w:space="0"/>
              <w:bottom w:val="single" w:color="auto" w:sz="4" w:space="0"/>
              <w:right w:val="single" w:color="auto" w:sz="4" w:space="0"/>
            </w:tcBorders>
            <w:shd w:val="clear" w:color="auto" w:fill="auto"/>
            <w:vAlign w:val="center"/>
          </w:tcPr>
          <w:p w14:paraId="1002724C">
            <w:pPr>
              <w:widowControl/>
              <w:spacing w:line="360" w:lineRule="auto"/>
              <w:ind w:left="440" w:hanging="480" w:hangingChars="20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根据医院和专家的排班情况，智能调配预约号源</w:t>
            </w:r>
          </w:p>
        </w:tc>
        <w:tc>
          <w:tcPr>
            <w:tcW w:w="4123" w:type="dxa"/>
            <w:tcBorders>
              <w:top w:val="single" w:color="auto" w:sz="4" w:space="0"/>
              <w:left w:val="single" w:color="auto" w:sz="4" w:space="0"/>
              <w:bottom w:val="single" w:color="auto" w:sz="4" w:space="0"/>
              <w:right w:val="single" w:color="auto" w:sz="4" w:space="0"/>
            </w:tcBorders>
            <w:shd w:val="clear" w:color="auto" w:fill="auto"/>
            <w:vAlign w:val="center"/>
          </w:tcPr>
          <w:p w14:paraId="7FE2957F">
            <w:pPr>
              <w:widowControl/>
              <w:spacing w:line="360" w:lineRule="auto"/>
              <w:ind w:left="440" w:hanging="480" w:hangingChars="20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提高预约成功率，合理分配医疗资源</w:t>
            </w:r>
          </w:p>
        </w:tc>
      </w:tr>
      <w:tr w14:paraId="2E3CABEA">
        <w:tblPrEx>
          <w:tblCellMar>
            <w:top w:w="0" w:type="dxa"/>
            <w:left w:w="108" w:type="dxa"/>
            <w:bottom w:w="0" w:type="dxa"/>
            <w:right w:w="108" w:type="dxa"/>
          </w:tblCellMar>
        </w:tblPrEx>
        <w:trPr>
          <w:trHeight w:val="680" w:hRule="atLeast"/>
        </w:trPr>
        <w:tc>
          <w:tcPr>
            <w:tcW w:w="2281" w:type="dxa"/>
            <w:tcBorders>
              <w:top w:val="single" w:color="auto" w:sz="4" w:space="0"/>
              <w:left w:val="single" w:color="auto" w:sz="4" w:space="0"/>
              <w:bottom w:val="single" w:color="auto" w:sz="4" w:space="0"/>
              <w:right w:val="single" w:color="auto" w:sz="4" w:space="0"/>
            </w:tcBorders>
            <w:shd w:val="clear" w:color="auto" w:fill="auto"/>
            <w:vAlign w:val="center"/>
          </w:tcPr>
          <w:p w14:paraId="1B2C62ED">
            <w:pPr>
              <w:widowControl/>
              <w:spacing w:line="360" w:lineRule="auto"/>
              <w:ind w:left="442" w:hanging="480" w:hangingChars="200"/>
              <w:jc w:val="left"/>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预约信息推送与提醒</w:t>
            </w:r>
          </w:p>
        </w:tc>
        <w:tc>
          <w:tcPr>
            <w:tcW w:w="2942" w:type="dxa"/>
            <w:tcBorders>
              <w:top w:val="single" w:color="auto" w:sz="4" w:space="0"/>
              <w:left w:val="single" w:color="auto" w:sz="4" w:space="0"/>
              <w:bottom w:val="single" w:color="auto" w:sz="4" w:space="0"/>
              <w:right w:val="single" w:color="auto" w:sz="4" w:space="0"/>
            </w:tcBorders>
            <w:shd w:val="clear" w:color="auto" w:fill="auto"/>
            <w:vAlign w:val="center"/>
          </w:tcPr>
          <w:p w14:paraId="451A47A3">
            <w:pPr>
              <w:widowControl/>
              <w:spacing w:line="360" w:lineRule="auto"/>
              <w:ind w:left="440" w:hanging="480" w:hangingChars="20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自动通过短信和语音提醒患者预约信息及就诊提醒</w:t>
            </w:r>
          </w:p>
        </w:tc>
        <w:tc>
          <w:tcPr>
            <w:tcW w:w="4123" w:type="dxa"/>
            <w:tcBorders>
              <w:top w:val="single" w:color="auto" w:sz="4" w:space="0"/>
              <w:left w:val="single" w:color="auto" w:sz="4" w:space="0"/>
              <w:bottom w:val="single" w:color="auto" w:sz="4" w:space="0"/>
              <w:right w:val="single" w:color="auto" w:sz="4" w:space="0"/>
            </w:tcBorders>
            <w:shd w:val="clear" w:color="auto" w:fill="auto"/>
            <w:vAlign w:val="center"/>
          </w:tcPr>
          <w:p w14:paraId="517EB6DC">
            <w:pPr>
              <w:widowControl/>
              <w:spacing w:line="360" w:lineRule="auto"/>
              <w:ind w:left="440" w:hanging="480" w:hangingChars="20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提高患者准时就诊率，减少错过预约情况</w:t>
            </w:r>
          </w:p>
        </w:tc>
      </w:tr>
      <w:tr w14:paraId="60CBC1F1">
        <w:tblPrEx>
          <w:tblCellMar>
            <w:top w:w="0" w:type="dxa"/>
            <w:left w:w="108" w:type="dxa"/>
            <w:bottom w:w="0" w:type="dxa"/>
            <w:right w:w="108" w:type="dxa"/>
          </w:tblCellMar>
        </w:tblPrEx>
        <w:trPr>
          <w:trHeight w:val="680" w:hRule="atLeast"/>
        </w:trPr>
        <w:tc>
          <w:tcPr>
            <w:tcW w:w="2281" w:type="dxa"/>
            <w:tcBorders>
              <w:top w:val="single" w:color="auto" w:sz="4" w:space="0"/>
              <w:left w:val="single" w:color="auto" w:sz="4" w:space="0"/>
              <w:bottom w:val="single" w:color="auto" w:sz="4" w:space="0"/>
              <w:right w:val="single" w:color="auto" w:sz="4" w:space="0"/>
            </w:tcBorders>
            <w:shd w:val="clear" w:color="auto" w:fill="auto"/>
            <w:vAlign w:val="center"/>
          </w:tcPr>
          <w:p w14:paraId="59E3483D">
            <w:pPr>
              <w:widowControl/>
              <w:spacing w:line="360" w:lineRule="auto"/>
              <w:ind w:left="442" w:hanging="480" w:hangingChars="200"/>
              <w:jc w:val="left"/>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就诊安排自动优化</w:t>
            </w:r>
          </w:p>
        </w:tc>
        <w:tc>
          <w:tcPr>
            <w:tcW w:w="2942" w:type="dxa"/>
            <w:tcBorders>
              <w:top w:val="single" w:color="auto" w:sz="4" w:space="0"/>
              <w:left w:val="single" w:color="auto" w:sz="4" w:space="0"/>
              <w:bottom w:val="single" w:color="auto" w:sz="4" w:space="0"/>
              <w:right w:val="single" w:color="auto" w:sz="4" w:space="0"/>
            </w:tcBorders>
            <w:shd w:val="clear" w:color="auto" w:fill="auto"/>
            <w:vAlign w:val="center"/>
          </w:tcPr>
          <w:p w14:paraId="497803F8">
            <w:pPr>
              <w:widowControl/>
              <w:spacing w:line="360" w:lineRule="auto"/>
              <w:ind w:left="440" w:hanging="480" w:hangingChars="20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根据患者的需求和就诊记录，优化就诊安排</w:t>
            </w:r>
          </w:p>
        </w:tc>
        <w:tc>
          <w:tcPr>
            <w:tcW w:w="4123" w:type="dxa"/>
            <w:tcBorders>
              <w:top w:val="single" w:color="auto" w:sz="4" w:space="0"/>
              <w:left w:val="single" w:color="auto" w:sz="4" w:space="0"/>
              <w:bottom w:val="single" w:color="auto" w:sz="4" w:space="0"/>
              <w:right w:val="single" w:color="auto" w:sz="4" w:space="0"/>
            </w:tcBorders>
            <w:shd w:val="clear" w:color="auto" w:fill="auto"/>
            <w:vAlign w:val="center"/>
          </w:tcPr>
          <w:p w14:paraId="7EB586AC">
            <w:pPr>
              <w:widowControl/>
              <w:spacing w:line="360" w:lineRule="auto"/>
              <w:ind w:left="440" w:hanging="480" w:hangingChars="20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减少患者等待时间，提升就诊效率</w:t>
            </w:r>
          </w:p>
        </w:tc>
      </w:tr>
    </w:tbl>
    <w:p w14:paraId="5F96F1C3">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.2.2.4效益</w:t>
      </w:r>
    </w:p>
    <w:p w14:paraId="39ECC165">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（1）大大提高预约成功率，避免了预约冲突和资源浪费。</w:t>
      </w:r>
    </w:p>
    <w:p w14:paraId="61A67C27">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（2）通过智能推送功能，提高患者的就诊准时率，减少了因忘记预约时间而错失就诊机会的情况。</w:t>
      </w:r>
    </w:p>
    <w:p w14:paraId="606F6C5B">
      <w:pPr>
        <w:pStyle w:val="6"/>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35" w:name="_Toc1696084464"/>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.2.3 服务质量监控与反馈机制</w:t>
      </w:r>
      <w:bookmarkEnd w:id="35"/>
    </w:p>
    <w:p w14:paraId="53F41DFA">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为回应用户体验与服务质量需求，本期项目</w:t>
      </w:r>
      <w:r>
        <w:rPr>
          <w:rFonts w:hint="eastAsia" w:ascii="宋体" w:hAnsi="宋体" w:eastAsia="宋体" w:cs="宋体"/>
          <w:color w:val="000000" w:themeColor="text1"/>
          <w:sz w:val="24"/>
          <w:szCs w:val="24"/>
          <w:highlight w:val="none"/>
          <w:lang w:eastAsia="zh-CN"/>
          <w14:textFill>
            <w14:solidFill>
              <w14:schemeClr w14:val="tx1"/>
            </w14:solidFill>
          </w14:textFill>
        </w:rPr>
        <w:t>需</w:t>
      </w:r>
      <w:r>
        <w:rPr>
          <w:rFonts w:hint="eastAsia" w:ascii="宋体" w:hAnsi="宋体" w:eastAsia="宋体" w:cs="宋体"/>
          <w:color w:val="000000" w:themeColor="text1"/>
          <w:sz w:val="24"/>
          <w:szCs w:val="24"/>
          <w:highlight w:val="none"/>
          <w14:textFill>
            <w14:solidFill>
              <w14:schemeClr w14:val="tx1"/>
            </w14:solidFill>
          </w14:textFill>
        </w:rPr>
        <w:t>加强服务质量的监控和用户反馈机制，确保呼叫中心的服务水平持续提升。</w:t>
      </w:r>
    </w:p>
    <w:p w14:paraId="6CF369B0">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.2.3.1建设内容</w:t>
      </w:r>
    </w:p>
    <w:p w14:paraId="19225FBA">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（1）服务质量监控系统：通过自动化的语音转文字与AI分析技术，实时监控坐席服务质量，确保服务标准的执行。</w:t>
      </w:r>
    </w:p>
    <w:p w14:paraId="7462F9E4">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（2）满意度调查与回访：在服务结束后，系统自动通过语音或短信方式进行用户满意度调查。</w:t>
      </w:r>
    </w:p>
    <w:p w14:paraId="0460AF60">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.2.3.2技术应用</w:t>
      </w:r>
    </w:p>
    <w:p w14:paraId="1925E7D4">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（1）AI大模型智能质检：采用AI大模型的语音转文字和情感分析技术，对坐席通话内容进行自动评分，评估服务质量。系统可根据预设的规则自动检测坐席操作是否符合要求。</w:t>
      </w:r>
    </w:p>
    <w:p w14:paraId="3486BA6D">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（2）智能回访系统：系统能够根据用户的反馈，自动生成回访任务，并智能分配给坐席人员进行后续服务。</w:t>
      </w:r>
    </w:p>
    <w:p w14:paraId="4BCCA20F">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.2.3.3功能描述</w:t>
      </w:r>
    </w:p>
    <w:tbl>
      <w:tblPr>
        <w:tblStyle w:val="23"/>
        <w:tblW w:w="8660" w:type="dxa"/>
        <w:tblInd w:w="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49"/>
        <w:gridCol w:w="3464"/>
        <w:gridCol w:w="3647"/>
      </w:tblGrid>
      <w:tr w14:paraId="2BA0F6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49" w:type="dxa"/>
            <w:shd w:val="clear" w:color="auto" w:fill="auto"/>
            <w:vAlign w:val="center"/>
          </w:tcPr>
          <w:p w14:paraId="7F8D72BF">
            <w:pPr>
              <w:widowControl/>
              <w:spacing w:line="360" w:lineRule="auto"/>
              <w:ind w:firstLine="0" w:firstLine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功能</w:t>
            </w:r>
          </w:p>
        </w:tc>
        <w:tc>
          <w:tcPr>
            <w:tcW w:w="3464" w:type="dxa"/>
            <w:shd w:val="clear" w:color="auto" w:fill="auto"/>
            <w:vAlign w:val="center"/>
          </w:tcPr>
          <w:p w14:paraId="304AD614">
            <w:pPr>
              <w:widowControl/>
              <w:spacing w:line="360" w:lineRule="auto"/>
              <w:ind w:firstLine="0" w:firstLine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描述</w:t>
            </w:r>
          </w:p>
        </w:tc>
        <w:tc>
          <w:tcPr>
            <w:tcW w:w="3647" w:type="dxa"/>
            <w:shd w:val="clear" w:color="auto" w:fill="auto"/>
            <w:vAlign w:val="center"/>
          </w:tcPr>
          <w:p w14:paraId="0CAD754C">
            <w:pPr>
              <w:widowControl/>
              <w:spacing w:line="360" w:lineRule="auto"/>
              <w:ind w:firstLine="0" w:firstLine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目标</w:t>
            </w:r>
          </w:p>
        </w:tc>
      </w:tr>
      <w:tr w14:paraId="68A76A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549" w:type="dxa"/>
            <w:shd w:val="clear" w:color="auto" w:fill="auto"/>
            <w:vAlign w:val="center"/>
          </w:tcPr>
          <w:p w14:paraId="7E298505">
            <w:pPr>
              <w:widowControl/>
              <w:spacing w:line="360" w:lineRule="auto"/>
              <w:ind w:firstLine="0" w:firstLineChars="0"/>
              <w:jc w:val="left"/>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智能质检</w:t>
            </w:r>
          </w:p>
        </w:tc>
        <w:tc>
          <w:tcPr>
            <w:tcW w:w="3464" w:type="dxa"/>
            <w:shd w:val="clear" w:color="auto" w:fill="auto"/>
            <w:vAlign w:val="center"/>
          </w:tcPr>
          <w:p w14:paraId="1D48E361">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自动转写通话内容并进行质量评分，检查服务是否符合标准</w:t>
            </w:r>
          </w:p>
        </w:tc>
        <w:tc>
          <w:tcPr>
            <w:tcW w:w="3647" w:type="dxa"/>
            <w:shd w:val="clear" w:color="auto" w:fill="auto"/>
            <w:vAlign w:val="center"/>
          </w:tcPr>
          <w:p w14:paraId="09908B61">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提高质检效率，及时发现问题</w:t>
            </w:r>
          </w:p>
        </w:tc>
      </w:tr>
      <w:tr w14:paraId="0718D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549" w:type="dxa"/>
            <w:shd w:val="clear" w:color="auto" w:fill="auto"/>
            <w:vAlign w:val="center"/>
          </w:tcPr>
          <w:p w14:paraId="4A7E9946">
            <w:pPr>
              <w:widowControl/>
              <w:spacing w:line="360" w:lineRule="auto"/>
              <w:ind w:firstLine="0" w:firstLineChars="0"/>
              <w:jc w:val="left"/>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满意度调查</w:t>
            </w:r>
          </w:p>
        </w:tc>
        <w:tc>
          <w:tcPr>
            <w:tcW w:w="3464" w:type="dxa"/>
            <w:shd w:val="clear" w:color="auto" w:fill="auto"/>
            <w:vAlign w:val="center"/>
          </w:tcPr>
          <w:p w14:paraId="657C831A">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系统自动发起满意度调查，并根据用户反馈进行优化</w:t>
            </w:r>
          </w:p>
        </w:tc>
        <w:tc>
          <w:tcPr>
            <w:tcW w:w="3647" w:type="dxa"/>
            <w:shd w:val="clear" w:color="auto" w:fill="auto"/>
            <w:vAlign w:val="center"/>
          </w:tcPr>
          <w:p w14:paraId="4527F231">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实时反馈服务质量，提升用户满意度</w:t>
            </w:r>
          </w:p>
        </w:tc>
      </w:tr>
      <w:tr w14:paraId="12B666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549" w:type="dxa"/>
            <w:shd w:val="clear" w:color="auto" w:fill="auto"/>
            <w:vAlign w:val="center"/>
          </w:tcPr>
          <w:p w14:paraId="34E2518D">
            <w:pPr>
              <w:widowControl/>
              <w:spacing w:line="360" w:lineRule="auto"/>
              <w:ind w:firstLine="0" w:firstLineChars="0"/>
              <w:jc w:val="left"/>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工作状态监控</w:t>
            </w:r>
          </w:p>
        </w:tc>
        <w:tc>
          <w:tcPr>
            <w:tcW w:w="3464" w:type="dxa"/>
            <w:shd w:val="clear" w:color="auto" w:fill="auto"/>
            <w:vAlign w:val="center"/>
          </w:tcPr>
          <w:p w14:paraId="6247C6C4">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管理人员可实时监控坐席状态，包括在线/离线、接入/挂断状态</w:t>
            </w:r>
          </w:p>
        </w:tc>
        <w:tc>
          <w:tcPr>
            <w:tcW w:w="3647" w:type="dxa"/>
            <w:shd w:val="clear" w:color="auto" w:fill="auto"/>
            <w:vAlign w:val="center"/>
          </w:tcPr>
          <w:p w14:paraId="13263EE5">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提高坐席管理效率，确保服务顺畅</w:t>
            </w:r>
          </w:p>
        </w:tc>
      </w:tr>
    </w:tbl>
    <w:p w14:paraId="3631A07E">
      <w:pPr>
        <w:pStyle w:val="7"/>
        <w:numPr>
          <w:ilvl w:val="255"/>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.2.3.4效益</w:t>
      </w:r>
    </w:p>
    <w:p w14:paraId="17B9DD7B">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（1）通过智能质检，提升服务的准确性和标准化，确保服务质量一致性。</w:t>
      </w:r>
    </w:p>
    <w:p w14:paraId="024A07FC">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（2）快速收集用户反馈，及时发现并解决服务中的问题，提升整体客户满意度。</w:t>
      </w:r>
    </w:p>
    <w:p w14:paraId="4AD4AF25">
      <w:pPr>
        <w:pStyle w:val="6"/>
        <w:numPr>
          <w:ilvl w:val="2"/>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36" w:name="_Toc393656170"/>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.2.4 数据安全与隐私保护</w:t>
      </w:r>
      <w:bookmarkEnd w:id="36"/>
    </w:p>
    <w:p w14:paraId="75076FE8">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为响应数据安全与隐私保护需求，本期项目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需</w:t>
      </w:r>
      <w:r>
        <w:rPr>
          <w:rFonts w:hint="eastAsia" w:ascii="宋体" w:hAnsi="宋体" w:eastAsia="宋体" w:cs="宋体"/>
          <w:color w:val="000000" w:themeColor="text1"/>
          <w:sz w:val="24"/>
          <w:szCs w:val="24"/>
          <w:highlight w:val="none"/>
          <w14:textFill>
            <w14:solidFill>
              <w14:schemeClr w14:val="tx1"/>
            </w14:solidFill>
          </w14:textFill>
        </w:rPr>
        <w:t>建设严格的数据加密与访问控制机制，确保患者数据的安全性与合规性。</w:t>
      </w:r>
    </w:p>
    <w:p w14:paraId="7B520F91">
      <w:pPr>
        <w:pStyle w:val="7"/>
        <w:numPr>
          <w:ilvl w:val="3"/>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.2.4.1建设内容</w:t>
      </w:r>
    </w:p>
    <w:p w14:paraId="0E5CBB26">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（1）数据加密存储与传输：系统中的所有敏感数据，包括患者个人信息、预约记录和通话录音，均</w:t>
      </w:r>
      <w:r>
        <w:rPr>
          <w:rFonts w:hint="eastAsia" w:ascii="宋体" w:hAnsi="宋体" w:eastAsia="宋体" w:cs="宋体"/>
          <w:color w:val="000000" w:themeColor="text1"/>
          <w:sz w:val="24"/>
          <w:szCs w:val="24"/>
          <w:highlight w:val="none"/>
          <w:lang w:val="en-US" w:eastAsia="zh-CN"/>
          <w14:textFill>
            <w14:solidFill>
              <w14:schemeClr w14:val="tx1"/>
            </w14:solidFill>
          </w14:textFill>
        </w:rPr>
        <w:t>需</w:t>
      </w:r>
      <w:r>
        <w:rPr>
          <w:rFonts w:hint="eastAsia" w:ascii="宋体" w:hAnsi="宋体" w:eastAsia="宋体" w:cs="宋体"/>
          <w:color w:val="000000" w:themeColor="text1"/>
          <w:sz w:val="24"/>
          <w:szCs w:val="24"/>
          <w:highlight w:val="none"/>
          <w14:textFill>
            <w14:solidFill>
              <w14:schemeClr w14:val="tx1"/>
            </w14:solidFill>
          </w14:textFill>
        </w:rPr>
        <w:t>采用高级加密技术进行存储与传输。</w:t>
      </w:r>
    </w:p>
    <w:p w14:paraId="137DE873">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（2）权限管理与访问控制：系统对不同角色设置不同的权限，确保只有授权人员才能访问敏感数据。</w:t>
      </w:r>
    </w:p>
    <w:p w14:paraId="598E45DA">
      <w:pPr>
        <w:pStyle w:val="7"/>
        <w:numPr>
          <w:ilvl w:val="3"/>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.2.4.2技术应用</w:t>
      </w:r>
    </w:p>
    <w:p w14:paraId="35319ABD">
      <w:pPr>
        <w:pStyle w:val="51"/>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AI大模型安全审核机制：结合AI大模型的安全技术，定期对系统中的数据进行安全性审计和漏洞检测，确保系统符合最新的隐私保护法规。</w:t>
      </w:r>
    </w:p>
    <w:p w14:paraId="7A8E4CEB">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加密技术与多重身份认证：所有数据传输使用加密算法，所有敏感操作需要进行多重身份验证，增强数据安全性。</w:t>
      </w:r>
    </w:p>
    <w:p w14:paraId="31BA30D7">
      <w:pPr>
        <w:pStyle w:val="7"/>
        <w:numPr>
          <w:ilvl w:val="3"/>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.2.4.3功能描述</w:t>
      </w:r>
    </w:p>
    <w:tbl>
      <w:tblPr>
        <w:tblStyle w:val="23"/>
        <w:tblW w:w="8660" w:type="dxa"/>
        <w:tblInd w:w="88" w:type="dxa"/>
        <w:tblLayout w:type="autofit"/>
        <w:tblCellMar>
          <w:top w:w="0" w:type="dxa"/>
          <w:left w:w="108" w:type="dxa"/>
          <w:bottom w:w="0" w:type="dxa"/>
          <w:right w:w="108" w:type="dxa"/>
        </w:tblCellMar>
      </w:tblPr>
      <w:tblGrid>
        <w:gridCol w:w="1549"/>
        <w:gridCol w:w="3464"/>
        <w:gridCol w:w="3647"/>
      </w:tblGrid>
      <w:tr w14:paraId="505552A6">
        <w:tblPrEx>
          <w:tblCellMar>
            <w:top w:w="0" w:type="dxa"/>
            <w:left w:w="108" w:type="dxa"/>
            <w:bottom w:w="0" w:type="dxa"/>
            <w:right w:w="108" w:type="dxa"/>
          </w:tblCellMar>
        </w:tblPrEx>
        <w:trPr>
          <w:trHeight w:val="340" w:hRule="atLeast"/>
        </w:trPr>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45369">
            <w:pPr>
              <w:widowControl/>
              <w:spacing w:line="360" w:lineRule="auto"/>
              <w:ind w:firstLine="0" w:firstLine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功能</w:t>
            </w:r>
          </w:p>
        </w:tc>
        <w:tc>
          <w:tcPr>
            <w:tcW w:w="3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FCE79">
            <w:pPr>
              <w:widowControl/>
              <w:spacing w:line="360" w:lineRule="auto"/>
              <w:ind w:firstLine="0" w:firstLine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描述</w:t>
            </w:r>
          </w:p>
        </w:tc>
        <w:tc>
          <w:tcPr>
            <w:tcW w:w="3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1EDE6">
            <w:pPr>
              <w:widowControl/>
              <w:spacing w:line="360" w:lineRule="auto"/>
              <w:ind w:firstLine="0" w:firstLine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目标</w:t>
            </w:r>
          </w:p>
        </w:tc>
      </w:tr>
      <w:tr w14:paraId="561C36AC">
        <w:tblPrEx>
          <w:tblCellMar>
            <w:top w:w="0" w:type="dxa"/>
            <w:left w:w="108" w:type="dxa"/>
            <w:bottom w:w="0" w:type="dxa"/>
            <w:right w:w="108" w:type="dxa"/>
          </w:tblCellMar>
        </w:tblPrEx>
        <w:trPr>
          <w:trHeight w:val="680" w:hRule="atLeast"/>
        </w:trPr>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603CF">
            <w:pPr>
              <w:widowControl/>
              <w:spacing w:line="360" w:lineRule="auto"/>
              <w:ind w:firstLine="0" w:firstLineChars="0"/>
              <w:jc w:val="left"/>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数据加密</w:t>
            </w:r>
          </w:p>
        </w:tc>
        <w:tc>
          <w:tcPr>
            <w:tcW w:w="3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BED0F">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所有敏感数据，包括个人信息、预约记录等进行加密存储与传输</w:t>
            </w:r>
          </w:p>
        </w:tc>
        <w:tc>
          <w:tcPr>
            <w:tcW w:w="3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D1858">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确保信息的安全性，防止数据泄露</w:t>
            </w:r>
          </w:p>
        </w:tc>
      </w:tr>
      <w:tr w14:paraId="02AB5320">
        <w:tblPrEx>
          <w:tblCellMar>
            <w:top w:w="0" w:type="dxa"/>
            <w:left w:w="108" w:type="dxa"/>
            <w:bottom w:w="0" w:type="dxa"/>
            <w:right w:w="108" w:type="dxa"/>
          </w:tblCellMar>
        </w:tblPrEx>
        <w:trPr>
          <w:trHeight w:val="680" w:hRule="atLeast"/>
        </w:trPr>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8D4C7">
            <w:pPr>
              <w:widowControl/>
              <w:spacing w:line="360" w:lineRule="auto"/>
              <w:ind w:firstLine="0" w:firstLineChars="0"/>
              <w:jc w:val="left"/>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权限管理与访问控制</w:t>
            </w:r>
          </w:p>
        </w:tc>
        <w:tc>
          <w:tcPr>
            <w:tcW w:w="3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6C7C8">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系统根据角色分配访问权限，确保只有授权人员才能访问敏感数据</w:t>
            </w:r>
          </w:p>
        </w:tc>
        <w:tc>
          <w:tcPr>
            <w:tcW w:w="3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9228D">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严格控制数据访问，确保信息保密</w:t>
            </w:r>
          </w:p>
        </w:tc>
      </w:tr>
      <w:tr w14:paraId="071CC6B8">
        <w:tblPrEx>
          <w:tblCellMar>
            <w:top w:w="0" w:type="dxa"/>
            <w:left w:w="108" w:type="dxa"/>
            <w:bottom w:w="0" w:type="dxa"/>
            <w:right w:w="108" w:type="dxa"/>
          </w:tblCellMar>
        </w:tblPrEx>
        <w:trPr>
          <w:trHeight w:val="680" w:hRule="atLeast"/>
        </w:trPr>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1C06">
            <w:pPr>
              <w:widowControl/>
              <w:spacing w:line="360" w:lineRule="auto"/>
              <w:ind w:firstLine="0" w:firstLineChars="0"/>
              <w:jc w:val="left"/>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安全审计</w:t>
            </w:r>
          </w:p>
        </w:tc>
        <w:tc>
          <w:tcPr>
            <w:tcW w:w="3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E6078">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定期进行数据安全审计，检查系统漏洞并进行修复</w:t>
            </w:r>
          </w:p>
        </w:tc>
        <w:tc>
          <w:tcPr>
            <w:tcW w:w="3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54CF1">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确保系统符合隐私保护标准，降低信息泄露风险</w:t>
            </w:r>
          </w:p>
        </w:tc>
      </w:tr>
    </w:tbl>
    <w:p w14:paraId="56B141E9">
      <w:pPr>
        <w:pStyle w:val="7"/>
        <w:numPr>
          <w:ilvl w:val="3"/>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.2.4.4效益</w:t>
      </w:r>
    </w:p>
    <w:p w14:paraId="131CDEF2">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（1）确保患者信息的隐私和安全，符合医疗行业的数据保护标准。</w:t>
      </w:r>
    </w:p>
    <w:p w14:paraId="3087D91E">
      <w:pPr>
        <w:pStyle w:val="51"/>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（2）提高数据访问的安全性，减少了数据泄漏和滥用的风险，增强了市民对系统的信任。</w:t>
      </w:r>
    </w:p>
    <w:bookmarkEnd w:id="32"/>
    <w:p w14:paraId="4F556726">
      <w:pPr>
        <w:tabs>
          <w:tab w:val="left" w:pos="51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F52E3BF">
      <w:pPr>
        <w:pStyle w:val="6"/>
        <w:numPr>
          <w:ilvl w:val="2"/>
          <w:numId w:val="0"/>
        </w:numPr>
        <w:spacing w:before="156" w:after="156" w:line="360" w:lineRule="auto"/>
        <w:ind w:left="0" w:firstLine="0"/>
        <w:rPr>
          <w:rFonts w:hint="eastAsia" w:ascii="宋体" w:hAnsi="宋体" w:eastAsia="宋体" w:cs="宋体"/>
          <w:color w:val="000000" w:themeColor="text1"/>
          <w:sz w:val="24"/>
          <w:szCs w:val="24"/>
          <w:highlight w:val="none"/>
          <w14:textFill>
            <w14:solidFill>
              <w14:schemeClr w14:val="tx1"/>
            </w14:solidFill>
          </w14:textFill>
        </w:rPr>
      </w:pPr>
      <w:bookmarkStart w:id="37" w:name="_Toc32619"/>
      <w:bookmarkStart w:id="38" w:name="_Toc139467568"/>
      <w:bookmarkStart w:id="39" w:name="_Toc489463359"/>
      <w: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t>3.2.5</w:t>
      </w:r>
      <w:r>
        <w:rPr>
          <w:rFonts w:hint="eastAsia" w:ascii="宋体" w:hAnsi="宋体" w:eastAsia="宋体" w:cs="宋体"/>
          <w:color w:val="000000" w:themeColor="text1"/>
          <w:sz w:val="24"/>
          <w:szCs w:val="24"/>
          <w:highlight w:val="none"/>
          <w14:textFill>
            <w14:solidFill>
              <w14:schemeClr w14:val="tx1"/>
            </w14:solidFill>
          </w14:textFill>
        </w:rPr>
        <w:t>系统服务保障</w:t>
      </w:r>
      <w:bookmarkEnd w:id="37"/>
      <w:bookmarkEnd w:id="38"/>
      <w:bookmarkEnd w:id="39"/>
    </w:p>
    <w:p w14:paraId="6BBC6B34">
      <w:pPr>
        <w:spacing w:line="360" w:lineRule="auto"/>
        <w:ind w:firstLine="482"/>
        <w:jc w:val="left"/>
        <w:rPr>
          <w:rFonts w:hint="eastAsia" w:ascii="宋体" w:hAnsi="宋体" w:eastAsia="宋体" w:cs="宋体"/>
          <w:b/>
          <w:bCs/>
          <w:color w:val="000000" w:themeColor="text1"/>
          <w:sz w:val="24"/>
          <w:szCs w:val="24"/>
          <w:highlight w:val="none"/>
          <w14:textFill>
            <w14:solidFill>
              <w14:schemeClr w14:val="tx1"/>
            </w14:solidFill>
          </w14:textFill>
        </w:rPr>
      </w:pPr>
      <w:bookmarkStart w:id="40" w:name="_Toc5237"/>
      <w: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t>3.2.5.</w:t>
      </w:r>
      <w:r>
        <w:rPr>
          <w:rFonts w:hint="eastAsia" w:ascii="宋体" w:hAnsi="宋体" w:eastAsia="宋体" w:cs="宋体"/>
          <w:b/>
          <w:bCs/>
          <w:color w:val="000000" w:themeColor="text1"/>
          <w:sz w:val="24"/>
          <w:szCs w:val="24"/>
          <w:highlight w:val="none"/>
          <w14:textFill>
            <w14:solidFill>
              <w14:schemeClr w14:val="tx1"/>
            </w14:solidFill>
          </w14:textFill>
        </w:rPr>
        <w:t>1客服坐席</w:t>
      </w:r>
      <w:bookmarkEnd w:id="40"/>
    </w:p>
    <w:p w14:paraId="048F9603">
      <w:pPr>
        <w:spacing w:line="360" w:lineRule="auto"/>
        <w:ind w:firstLine="48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3.2.5.1.1</w:t>
      </w:r>
      <w:r>
        <w:rPr>
          <w:rFonts w:hint="eastAsia" w:ascii="宋体" w:hAnsi="宋体" w:eastAsia="宋体" w:cs="宋体"/>
          <w:color w:val="000000" w:themeColor="text1"/>
          <w:sz w:val="24"/>
          <w:szCs w:val="24"/>
          <w:highlight w:val="none"/>
          <w14:textFill>
            <w14:solidFill>
              <w14:schemeClr w14:val="tx1"/>
            </w14:solidFill>
          </w14:textFill>
        </w:rPr>
        <w:t>客服代表的工作环境包括工作台、操作终端、接听/外呼设备、接入网络，UPS不间断电源等。满足门诊预约呼叫中心管理规范及业务操作流程，及时接听客户热线电话处理客户的呼叫预约请求，并认真记录呼叫用户的意见，填写相关工作表单。</w:t>
      </w:r>
    </w:p>
    <w:p w14:paraId="21D00AB4">
      <w:pPr>
        <w:numPr>
          <w:ilvl w:val="-1"/>
          <w:numId w:val="0"/>
        </w:numPr>
        <w:spacing w:line="360" w:lineRule="auto"/>
        <w:ind w:firstLine="480" w:firstLineChars="200"/>
        <w:jc w:val="lef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3.2.5.1.2</w:t>
      </w:r>
      <w:r>
        <w:rPr>
          <w:rFonts w:hint="eastAsia" w:ascii="宋体" w:hAnsi="宋体" w:eastAsia="宋体" w:cs="宋体"/>
          <w:b/>
          <w:bCs/>
          <w:color w:val="000000" w:themeColor="text1"/>
          <w:sz w:val="24"/>
          <w:szCs w:val="24"/>
          <w:highlight w:val="none"/>
          <w14:textFill>
            <w14:solidFill>
              <w14:schemeClr w14:val="tx1"/>
            </w14:solidFill>
          </w14:textFill>
        </w:rPr>
        <w:t>本项目客服坐席</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须</w:t>
      </w:r>
      <w:r>
        <w:rPr>
          <w:rFonts w:hint="eastAsia" w:ascii="宋体" w:hAnsi="宋体" w:eastAsia="宋体" w:cs="宋体"/>
          <w:b/>
          <w:bCs/>
          <w:color w:val="000000" w:themeColor="text1"/>
          <w:sz w:val="24"/>
          <w:szCs w:val="24"/>
          <w:highlight w:val="none"/>
          <w14:textFill>
            <w14:solidFill>
              <w14:schemeClr w14:val="tx1"/>
            </w14:solidFill>
          </w14:textFill>
        </w:rPr>
        <w:t>为本项目专属专用，不得与其他项目复用</w:t>
      </w:r>
      <w:r>
        <w:rPr>
          <w:rFonts w:hint="eastAsia" w:ascii="宋体" w:hAnsi="宋体" w:cs="宋体"/>
          <w:b/>
          <w:bCs/>
          <w:color w:val="000000" w:themeColor="text1"/>
          <w:sz w:val="24"/>
          <w:szCs w:val="24"/>
          <w:highlight w:val="none"/>
          <w:lang w:eastAsia="zh-CN"/>
          <w14:textFill>
            <w14:solidFill>
              <w14:schemeClr w14:val="tx1"/>
            </w14:solidFill>
          </w14:textFill>
        </w:rPr>
        <w:t>。</w:t>
      </w:r>
    </w:p>
    <w:p w14:paraId="1445A5F5">
      <w:pPr>
        <w:numPr>
          <w:ilvl w:val="-1"/>
          <w:numId w:val="0"/>
        </w:numPr>
        <w:spacing w:line="360" w:lineRule="auto"/>
        <w:ind w:firstLine="480" w:firstLineChars="200"/>
        <w:jc w:val="lef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3.2.5.1.3</w:t>
      </w:r>
      <w:r>
        <w:rPr>
          <w:rFonts w:hint="eastAsia" w:ascii="宋体" w:hAnsi="宋体" w:eastAsia="宋体" w:cs="宋体"/>
          <w:b/>
          <w:bCs/>
          <w:color w:val="000000" w:themeColor="text1"/>
          <w:sz w:val="24"/>
          <w:szCs w:val="24"/>
          <w:highlight w:val="none"/>
          <w14:textFill>
            <w14:solidFill>
              <w14:schemeClr w14:val="tx1"/>
            </w14:solidFill>
          </w14:textFill>
        </w:rPr>
        <w:t>人员数量：服务中心的专职人员不少于65人。高峰期仅使用人工坐席，不得使用AI坐席（每日8:00-10:00为早高峰期，每周一至周三为高峰周期）。</w:t>
      </w:r>
    </w:p>
    <w:p w14:paraId="0F7AFD8C">
      <w:pPr>
        <w:numPr>
          <w:ilvl w:val="-1"/>
          <w:numId w:val="0"/>
        </w:numPr>
        <w:spacing w:line="360" w:lineRule="auto"/>
        <w:ind w:firstLine="480" w:firstLineChars="200"/>
        <w:jc w:val="left"/>
        <w:rPr>
          <w:rFonts w:hint="eastAsia" w:ascii="宋体" w:hAnsi="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cs="宋体"/>
          <w:b/>
          <w:bCs/>
          <w:color w:val="000000" w:themeColor="text1"/>
          <w:sz w:val="24"/>
          <w:szCs w:val="24"/>
          <w:highlight w:val="none"/>
          <w:lang w:val="en-US" w:eastAsia="zh-CN"/>
          <w14:textFill>
            <w14:solidFill>
              <w14:schemeClr w14:val="tx1"/>
            </w14:solidFill>
          </w14:textFill>
        </w:rPr>
        <w:t>3.2.5.1.4、</w:t>
      </w:r>
      <w:r>
        <w:rPr>
          <w:rFonts w:hint="eastAsia" w:ascii="宋体" w:hAnsi="宋体" w:eastAsia="宋体" w:cs="宋体"/>
          <w:b/>
          <w:bCs/>
          <w:color w:val="000000" w:themeColor="text1"/>
          <w:sz w:val="24"/>
          <w:szCs w:val="24"/>
          <w:highlight w:val="none"/>
          <w14:textFill>
            <w14:solidFill>
              <w14:schemeClr w14:val="tx1"/>
            </w14:solidFill>
          </w14:textFill>
        </w:rPr>
        <w:t>投标人需承诺</w:t>
      </w:r>
      <w:r>
        <w:rPr>
          <w:rFonts w:hint="eastAsia" w:ascii="宋体" w:hAnsi="宋体" w:cs="宋体"/>
          <w:b/>
          <w:bCs/>
          <w:color w:val="000000" w:themeColor="text1"/>
          <w:sz w:val="24"/>
          <w:szCs w:val="24"/>
          <w:highlight w:val="none"/>
          <w:lang w:val="en-US" w:eastAsia="zh-CN"/>
          <w14:textFill>
            <w14:solidFill>
              <w14:schemeClr w14:val="tx1"/>
            </w14:solidFill>
          </w14:textFill>
        </w:rPr>
        <w:t>以下内容：</w:t>
      </w: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cs="宋体"/>
          <w:b/>
          <w:bCs/>
          <w:color w:val="000000" w:themeColor="text1"/>
          <w:sz w:val="24"/>
          <w:szCs w:val="24"/>
          <w:highlight w:val="none"/>
          <w:lang w:val="en-US" w:eastAsia="zh-CN"/>
          <w14:textFill>
            <w14:solidFill>
              <w14:schemeClr w14:val="tx1"/>
            </w14:solidFill>
          </w14:textFill>
        </w:rPr>
        <w:t>若中标，</w:t>
      </w:r>
      <w:r>
        <w:rPr>
          <w:rFonts w:hint="eastAsia" w:ascii="宋体" w:hAnsi="宋体" w:eastAsia="宋体" w:cs="宋体"/>
          <w:b/>
          <w:bCs/>
          <w:color w:val="000000" w:themeColor="text1"/>
          <w:sz w:val="24"/>
          <w:szCs w:val="24"/>
          <w:highlight w:val="none"/>
          <w14:textFill>
            <w14:solidFill>
              <w14:schemeClr w14:val="tx1"/>
            </w14:solidFill>
          </w14:textFill>
        </w:rPr>
        <w:t>在厦门市行政区内设置呼叫中心场地（2）</w:t>
      </w:r>
      <w:r>
        <w:rPr>
          <w:rFonts w:hint="eastAsia" w:ascii="宋体" w:hAnsi="宋体" w:cs="宋体"/>
          <w:b/>
          <w:bCs/>
          <w:color w:val="000000" w:themeColor="text1"/>
          <w:sz w:val="24"/>
          <w:szCs w:val="24"/>
          <w:highlight w:val="none"/>
          <w:lang w:val="en-US" w:eastAsia="zh-CN"/>
          <w14:textFill>
            <w14:solidFill>
              <w14:schemeClr w14:val="tx1"/>
            </w14:solidFill>
          </w14:textFill>
        </w:rPr>
        <w:t>若中标，</w:t>
      </w:r>
      <w:r>
        <w:rPr>
          <w:rFonts w:hint="eastAsia" w:ascii="宋体" w:hAnsi="宋体" w:eastAsia="宋体" w:cs="宋体"/>
          <w:b/>
          <w:bCs/>
          <w:color w:val="000000" w:themeColor="text1"/>
          <w:sz w:val="24"/>
          <w:szCs w:val="24"/>
          <w:highlight w:val="none"/>
          <w14:textFill>
            <w14:solidFill>
              <w14:schemeClr w14:val="tx1"/>
            </w14:solidFill>
          </w14:textFill>
        </w:rPr>
        <w:t>准时足额支付客服坐席薪资福利等各项费用。</w:t>
      </w:r>
      <w:r>
        <w:rPr>
          <w:rFonts w:hint="eastAsia" w:ascii="宋体" w:hAnsi="宋体" w:cs="宋体"/>
          <w:b/>
          <w:bCs/>
          <w:color w:val="000000" w:themeColor="text1"/>
          <w:sz w:val="24"/>
          <w:szCs w:val="24"/>
          <w:highlight w:val="none"/>
          <w:lang w:val="en-US" w:eastAsia="zh-CN"/>
          <w14:textFill>
            <w14:solidFill>
              <w14:schemeClr w14:val="tx1"/>
            </w14:solidFill>
          </w14:textFill>
        </w:rPr>
        <w:t>投标人需提供承诺函并加盖单位公章（格式自拟）。</w:t>
      </w:r>
    </w:p>
    <w:p w14:paraId="394FE6A9">
      <w:pPr>
        <w:numPr>
          <w:ilvl w:val="-1"/>
          <w:numId w:val="0"/>
        </w:num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3.2.5.1.5</w:t>
      </w:r>
      <w:r>
        <w:rPr>
          <w:rFonts w:hint="eastAsia" w:ascii="宋体" w:hAnsi="宋体" w:eastAsia="宋体" w:cs="宋体"/>
          <w:color w:val="000000" w:themeColor="text1"/>
          <w:sz w:val="24"/>
          <w:szCs w:val="24"/>
          <w:highlight w:val="none"/>
          <w14:textFill>
            <w14:solidFill>
              <w14:schemeClr w14:val="tx1"/>
            </w14:solidFill>
          </w14:textFill>
        </w:rPr>
        <w:t xml:space="preserve">人员培训：针对有/无经验的入职人员进行四项专业技能培训，分别包含系统操作培训、专业术语培训、业务知识培训、线上实操培训，配有培训会议室及实操室，提供专业培训并且融入综合考核审查，确保入职人员能独立上岗。    </w:t>
      </w:r>
    </w:p>
    <w:p w14:paraId="5B529D29">
      <w:pPr>
        <w:numPr>
          <w:ilvl w:val="-1"/>
          <w:numId w:val="0"/>
        </w:num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3.2.5.1.6</w:t>
      </w:r>
      <w:r>
        <w:rPr>
          <w:rFonts w:hint="eastAsia" w:ascii="宋体" w:hAnsi="宋体" w:eastAsia="宋体" w:cs="宋体"/>
          <w:color w:val="000000" w:themeColor="text1"/>
          <w:sz w:val="24"/>
          <w:szCs w:val="24"/>
          <w:highlight w:val="none"/>
          <w14:textFill>
            <w14:solidFill>
              <w14:schemeClr w14:val="tx1"/>
            </w14:solidFill>
          </w14:textFill>
        </w:rPr>
        <w:t>配备相应的经理、主管、现场督查、培训专员、投诉专员等管理人员。</w:t>
      </w:r>
    </w:p>
    <w:p w14:paraId="235DEDD8">
      <w:pPr>
        <w:numPr>
          <w:ilvl w:val="-1"/>
          <w:numId w:val="0"/>
        </w:num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3.2.5.1.7</w:t>
      </w:r>
      <w:r>
        <w:rPr>
          <w:rFonts w:hint="eastAsia" w:ascii="宋体" w:hAnsi="宋体" w:eastAsia="宋体" w:cs="宋体"/>
          <w:color w:val="000000" w:themeColor="text1"/>
          <w:sz w:val="24"/>
          <w:szCs w:val="24"/>
          <w:highlight w:val="none"/>
          <w14:textFill>
            <w14:solidFill>
              <w14:schemeClr w14:val="tx1"/>
            </w14:solidFill>
          </w14:textFill>
        </w:rPr>
        <w:t>不定期组织人员至医院学习了解医院就医流程、分诊知识等。与院方人员展开交流会，加强对医院的了解开展工作。</w:t>
      </w:r>
    </w:p>
    <w:p w14:paraId="49CD5837">
      <w:pPr>
        <w:pStyle w:val="2"/>
        <w:rPr>
          <w:rFonts w:hint="eastAsia" w:ascii="宋体" w:hAnsi="宋体" w:eastAsia="宋体" w:cs="宋体"/>
          <w:color w:val="000000" w:themeColor="text1"/>
          <w:sz w:val="24"/>
          <w:szCs w:val="24"/>
          <w:highlight w:val="none"/>
          <w14:textFill>
            <w14:solidFill>
              <w14:schemeClr w14:val="tx1"/>
            </w14:solidFill>
          </w14:textFill>
        </w:rPr>
      </w:pPr>
    </w:p>
    <w:p w14:paraId="64EC43E6">
      <w:pPr>
        <w:pStyle w:val="3"/>
        <w:rPr>
          <w:rFonts w:hint="default" w:ascii="Calibri" w:hAnsi="Calibri" w:eastAsia="宋体" w:cs="Times New Roman"/>
          <w:color w:val="000000" w:themeColor="text1"/>
          <w:sz w:val="24"/>
          <w:szCs w:val="20"/>
          <w:highlight w:val="none"/>
          <w14:textFill>
            <w14:solidFill>
              <w14:schemeClr w14:val="tx1"/>
            </w14:solidFill>
          </w14:textFill>
        </w:rPr>
      </w:pPr>
    </w:p>
    <w:p w14:paraId="49115F4F">
      <w:pPr>
        <w:tabs>
          <w:tab w:val="left" w:pos="51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EDBEDFE">
      <w:pPr>
        <w:pStyle w:val="6"/>
        <w:numPr>
          <w:ilvl w:val="2"/>
          <w:numId w:val="0"/>
        </w:numPr>
        <w:spacing w:before="156" w:after="156" w:line="360" w:lineRule="auto"/>
        <w:ind w:left="0" w:firstLine="0"/>
        <w:rPr>
          <w:rFonts w:hint="eastAsia" w:ascii="宋体" w:hAnsi="宋体" w:eastAsia="宋体" w:cs="宋体"/>
          <w:color w:val="000000" w:themeColor="text1"/>
          <w:sz w:val="24"/>
          <w:szCs w:val="24"/>
          <w:highlight w:val="none"/>
          <w14:textFill>
            <w14:solidFill>
              <w14:schemeClr w14:val="tx1"/>
            </w14:solidFill>
          </w14:textFill>
        </w:rPr>
      </w:pPr>
      <w:bookmarkStart w:id="41" w:name="_Toc23675"/>
      <w: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t>3.2.6</w:t>
      </w:r>
      <w:r>
        <w:rPr>
          <w:rFonts w:hint="eastAsia" w:ascii="宋体" w:hAnsi="宋体" w:eastAsia="宋体" w:cs="宋体"/>
          <w:b/>
          <w:bCs/>
          <w:color w:val="000000" w:themeColor="text1"/>
          <w:sz w:val="24"/>
          <w:szCs w:val="24"/>
          <w:highlight w:val="none"/>
          <w14:textFill>
            <w14:solidFill>
              <w14:schemeClr w14:val="tx1"/>
            </w14:solidFill>
          </w14:textFill>
        </w:rPr>
        <w:t>知识库管理</w:t>
      </w:r>
      <w:bookmarkEnd w:id="41"/>
    </w:p>
    <w:p w14:paraId="4B17F650">
      <w:pPr>
        <w:spacing w:line="360" w:lineRule="auto"/>
        <w:ind w:firstLine="0"/>
        <w:jc w:val="left"/>
        <w:rPr>
          <w:rFonts w:hint="eastAsia" w:ascii="宋体" w:hAnsi="宋体" w:eastAsia="宋体" w:cs="宋体"/>
          <w:b/>
          <w:bCs/>
          <w:color w:val="000000" w:themeColor="text1"/>
          <w:sz w:val="24"/>
          <w:szCs w:val="24"/>
          <w:highlight w:val="none"/>
          <w14:textFill>
            <w14:solidFill>
              <w14:schemeClr w14:val="tx1"/>
            </w14:solidFill>
          </w14:textFill>
        </w:rPr>
      </w:pPr>
    </w:p>
    <w:p w14:paraId="539CDAEE">
      <w:pPr>
        <w:spacing w:line="360" w:lineRule="auto"/>
        <w:ind w:firstLine="48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健康知识库：根据规则建立完善的健康知识库，以详细的类别作为主索引进行维护。健康知识库主要用于支撑人工坐席解答群众询问，查询时可根据类别或症状进行精确或模糊查询，也可按照分类查询知识库。知识库信息由专人维护，具备上传、修改、审核功能，坐席员仅有查看及导出权限。</w:t>
      </w:r>
    </w:p>
    <w:p w14:paraId="2DF88968">
      <w:pPr>
        <w:spacing w:line="360" w:lineRule="auto"/>
        <w:ind w:firstLine="48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（2）机构知识库：可添加、修改接入机构信息文档资料，如服务项目介绍、最新动态和新闻等，便于对文档进行共享与管理，为客服提供一个统一的服务口径。</w:t>
      </w:r>
    </w:p>
    <w:p w14:paraId="6CB606CD">
      <w:pPr>
        <w:tabs>
          <w:tab w:val="left" w:pos="51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06CBD9">
      <w:pPr>
        <w:pStyle w:val="20"/>
        <w:keepNext w:val="0"/>
        <w:keepLines w:val="0"/>
        <w:widowControl/>
        <w:suppressLineNumbers w:val="0"/>
        <w:spacing w:before="30" w:beforeAutospacing="0" w:after="30" w:afterAutospacing="0"/>
        <w:jc w:val="both"/>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cs="宋体"/>
          <w:color w:val="000000" w:themeColor="text1"/>
          <w:sz w:val="24"/>
          <w:szCs w:val="24"/>
          <w:highlight w:val="none"/>
          <w:lang w:val="en-US" w:eastAsia="zh-CN"/>
          <w14:textFill>
            <w14:solidFill>
              <w14:schemeClr w14:val="tx1"/>
            </w14:solidFill>
          </w14:textFill>
        </w:rPr>
        <w:t>四.</w:t>
      </w:r>
      <w:r>
        <w:rPr>
          <w:rStyle w:val="25"/>
          <w:rFonts w:hint="eastAsia" w:ascii="宋体" w:hAnsi="宋体" w:eastAsia="宋体" w:cs="宋体"/>
          <w:color w:val="000000" w:themeColor="text1"/>
          <w:sz w:val="24"/>
          <w:szCs w:val="24"/>
          <w:highlight w:val="none"/>
          <w14:textFill>
            <w14:solidFill>
              <w14:schemeClr w14:val="tx1"/>
            </w14:solidFill>
          </w14:textFill>
        </w:rPr>
        <w:t>投标人</w:t>
      </w:r>
      <w:r>
        <w:rPr>
          <w:rStyle w:val="25"/>
          <w:rFonts w:hint="eastAsia" w:ascii="宋体" w:hAnsi="宋体" w:eastAsia="宋体" w:cs="宋体"/>
          <w:color w:val="000000" w:themeColor="text1"/>
          <w:sz w:val="24"/>
          <w:szCs w:val="24"/>
          <w:highlight w:val="none"/>
          <w:lang w:val="en-US" w:eastAsia="zh-CN"/>
          <w14:textFill>
            <w14:solidFill>
              <w14:schemeClr w14:val="tx1"/>
            </w14:solidFill>
          </w14:textFill>
        </w:rPr>
        <w:t>特定</w:t>
      </w:r>
      <w:r>
        <w:rPr>
          <w:rStyle w:val="25"/>
          <w:rFonts w:hint="eastAsia" w:ascii="宋体" w:hAnsi="宋体" w:eastAsia="宋体" w:cs="宋体"/>
          <w:color w:val="000000" w:themeColor="text1"/>
          <w:sz w:val="24"/>
          <w:szCs w:val="24"/>
          <w:highlight w:val="none"/>
          <w14:textFill>
            <w14:solidFill>
              <w14:schemeClr w14:val="tx1"/>
            </w14:solidFill>
          </w14:textFill>
        </w:rPr>
        <w:t>资格要求 </w:t>
      </w:r>
    </w:p>
    <w:p w14:paraId="01CCC1B3">
      <w:pPr>
        <w:pStyle w:val="20"/>
        <w:keepNext w:val="0"/>
        <w:keepLines w:val="0"/>
        <w:widowControl/>
        <w:suppressLineNumbers w:val="0"/>
        <w:spacing w:before="30" w:beforeAutospacing="0" w:after="30" w:afterAutospacing="0"/>
        <w:ind w:left="0" w:firstLine="480" w:firstLineChars="200"/>
        <w:jc w:val="both"/>
        <w:rPr>
          <w:rStyle w:val="25"/>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w:t>
      </w:r>
      <w:r>
        <w:rPr>
          <w:rStyle w:val="25"/>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Style w:val="25"/>
          <w:rFonts w:hint="eastAsia" w:ascii="宋体" w:hAnsi="宋体" w:eastAsia="宋体" w:cs="宋体"/>
          <w:color w:val="000000" w:themeColor="text1"/>
          <w:sz w:val="24"/>
          <w:szCs w:val="24"/>
          <w:highlight w:val="none"/>
          <w14:textFill>
            <w14:solidFill>
              <w14:schemeClr w14:val="tx1"/>
            </w14:solidFill>
          </w14:textFill>
        </w:rPr>
        <w:t>1、</w:t>
      </w:r>
      <w:r>
        <w:rPr>
          <w:rStyle w:val="25"/>
          <w:rFonts w:ascii="宋体" w:hAnsi="宋体" w:eastAsia="宋体" w:cs="宋体"/>
          <w:color w:val="000000" w:themeColor="text1"/>
          <w:highlight w:val="none"/>
          <w14:textFill>
            <w14:solidFill>
              <w14:schemeClr w14:val="tx1"/>
            </w14:solidFill>
          </w14:textFill>
        </w:rPr>
        <w:t>投标人或其所属总公司需具有国家工业和信息化部或通信管理局颁发的在有效期内的《中华人民共和国增值电信业务经营许可证》(业务种类包含：呼叫中心业务)，并在投标文件中提供许可证复印件并加盖投标人公章，否则作无效投标处理。（如该证书为投标人所属总公司取得的，还应提供其所属总公司营业执照副本复印件）</w:t>
      </w:r>
    </w:p>
    <w:p w14:paraId="1C0CE61A">
      <w:pPr>
        <w:pStyle w:val="20"/>
        <w:keepNext w:val="0"/>
        <w:keepLines w:val="0"/>
        <w:widowControl/>
        <w:suppressLineNumbers w:val="0"/>
        <w:spacing w:before="30" w:beforeAutospacing="0" w:after="30" w:afterAutospacing="0"/>
        <w:ind w:left="0" w:firstLine="320"/>
        <w:jc w:val="both"/>
        <w:rPr>
          <w:rStyle w:val="25"/>
          <w:rFonts w:hint="eastAsia" w:ascii="宋体" w:hAnsi="宋体" w:eastAsia="宋体" w:cs="宋体"/>
          <w:color w:val="000000" w:themeColor="text1"/>
          <w:sz w:val="24"/>
          <w:szCs w:val="24"/>
          <w:highlight w:val="none"/>
          <w14:textFill>
            <w14:solidFill>
              <w14:schemeClr w14:val="tx1"/>
            </w14:solidFill>
          </w14:textFill>
        </w:rPr>
      </w:pPr>
    </w:p>
    <w:p w14:paraId="55D86DE2">
      <w:pPr>
        <w:pStyle w:val="20"/>
        <w:keepNext w:val="0"/>
        <w:keepLines w:val="0"/>
        <w:widowControl/>
        <w:suppressLineNumbers w:val="0"/>
        <w:spacing w:before="30" w:beforeAutospacing="0" w:after="30" w:afterAutospacing="0"/>
        <w:ind w:left="0" w:firstLine="320"/>
        <w:jc w:val="both"/>
        <w:rPr>
          <w:rStyle w:val="25"/>
          <w:rFonts w:hint="eastAsia" w:ascii="宋体" w:hAnsi="宋体" w:eastAsia="宋体" w:cs="宋体"/>
          <w:color w:val="000000" w:themeColor="text1"/>
          <w:sz w:val="24"/>
          <w:szCs w:val="24"/>
          <w:highlight w:val="none"/>
          <w14:textFill>
            <w14:solidFill>
              <w14:schemeClr w14:val="tx1"/>
            </w14:solidFill>
          </w14:textFill>
        </w:rPr>
      </w:pPr>
    </w:p>
    <w:p w14:paraId="359BA218">
      <w:pPr>
        <w:pStyle w:val="20"/>
        <w:keepNext w:val="0"/>
        <w:keepLines w:val="0"/>
        <w:widowControl/>
        <w:suppressLineNumbers w:val="0"/>
        <w:spacing w:before="30" w:beforeAutospacing="0" w:after="30" w:afterAutospacing="0"/>
        <w:ind w:left="0" w:firstLine="320"/>
        <w:jc w:val="both"/>
        <w:rPr>
          <w:rStyle w:val="25"/>
          <w:rFonts w:hint="eastAsia" w:ascii="宋体" w:hAnsi="宋体" w:eastAsia="宋体" w:cs="宋体"/>
          <w:color w:val="000000" w:themeColor="text1"/>
          <w:sz w:val="24"/>
          <w:szCs w:val="24"/>
          <w:highlight w:val="none"/>
          <w14:textFill>
            <w14:solidFill>
              <w14:schemeClr w14:val="tx1"/>
            </w14:solidFill>
          </w14:textFill>
        </w:rPr>
      </w:pPr>
    </w:p>
    <w:p w14:paraId="47C79490">
      <w:pPr>
        <w:pStyle w:val="20"/>
        <w:keepNext w:val="0"/>
        <w:keepLines w:val="0"/>
        <w:widowControl/>
        <w:numPr>
          <w:ilvl w:val="-1"/>
          <w:numId w:val="0"/>
        </w:numPr>
        <w:suppressLineNumbers w:val="0"/>
        <w:spacing w:before="30" w:beforeAutospacing="0" w:after="30" w:afterAutospacing="0"/>
        <w:ind w:left="0" w:firstLine="0"/>
        <w:jc w:val="both"/>
        <w:rPr>
          <w:rStyle w:val="25"/>
          <w:rFonts w:hint="eastAsia" w:cs="宋体"/>
          <w:color w:val="000000" w:themeColor="text1"/>
          <w:sz w:val="24"/>
          <w:szCs w:val="24"/>
          <w:highlight w:val="none"/>
          <w:lang w:val="en-US" w:eastAsia="zh-CN"/>
          <w14:textFill>
            <w14:solidFill>
              <w14:schemeClr w14:val="tx1"/>
            </w14:solidFill>
          </w14:textFill>
        </w:rPr>
      </w:pPr>
      <w:r>
        <w:rPr>
          <w:rStyle w:val="25"/>
          <w:rFonts w:hint="eastAsia" w:cs="宋体"/>
          <w:color w:val="000000" w:themeColor="text1"/>
          <w:sz w:val="24"/>
          <w:szCs w:val="24"/>
          <w:highlight w:val="none"/>
          <w:lang w:val="en-US" w:eastAsia="zh-CN"/>
          <w14:textFill>
            <w14:solidFill>
              <w14:schemeClr w14:val="tx1"/>
            </w14:solidFill>
          </w14:textFill>
        </w:rPr>
        <w:t>五.报价要求</w:t>
      </w:r>
    </w:p>
    <w:p w14:paraId="5B606020">
      <w:pPr>
        <w:pStyle w:val="20"/>
        <w:keepNext w:val="0"/>
        <w:keepLines w:val="0"/>
        <w:widowControl/>
        <w:suppressLineNumbers w:val="0"/>
        <w:spacing w:before="50" w:beforeAutospacing="0" w:after="50" w:afterAutospacing="0" w:line="360" w:lineRule="auto"/>
        <w:ind w:left="0" w:righ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Style w:val="25"/>
          <w:rFonts w:hint="eastAsia" w:ascii="宋体" w:hAnsi="宋体" w:eastAsia="宋体" w:cs="宋体"/>
          <w:color w:val="000000" w:themeColor="text1"/>
          <w:sz w:val="24"/>
          <w:szCs w:val="24"/>
          <w:highlight w:val="none"/>
          <w14:textFill>
            <w14:solidFill>
              <w14:schemeClr w14:val="tx1"/>
            </w14:solidFill>
          </w14:textFill>
        </w:rPr>
        <w:t>★</w:t>
      </w:r>
      <w:r>
        <w:rPr>
          <w:rStyle w:val="25"/>
          <w:rFonts w:hint="eastAsia" w:ascii="宋体" w:hAnsi="宋体" w:eastAsia="宋体" w:cs="宋体"/>
          <w:color w:val="000000" w:themeColor="text1"/>
          <w:sz w:val="24"/>
          <w:szCs w:val="24"/>
          <w:highlight w:val="none"/>
          <w:lang w:val="en-US" w:eastAsia="zh-CN"/>
          <w14:textFill>
            <w14:solidFill>
              <w14:schemeClr w14:val="tx1"/>
            </w14:solidFill>
          </w14:textFill>
        </w:rPr>
        <w:t>5.1.</w:t>
      </w:r>
      <w:r>
        <w:rPr>
          <w:rStyle w:val="25"/>
          <w:rFonts w:hint="eastAsia" w:ascii="宋体" w:hAnsi="宋体" w:eastAsia="宋体" w:cs="宋体"/>
          <w:color w:val="000000" w:themeColor="text1"/>
          <w:sz w:val="24"/>
          <w:szCs w:val="24"/>
          <w:highlight w:val="none"/>
          <w14:textFill>
            <w14:solidFill>
              <w14:schemeClr w14:val="tx1"/>
            </w14:solidFill>
          </w14:textFill>
        </w:rPr>
        <w:t>本</w:t>
      </w:r>
      <w:r>
        <w:rPr>
          <w:rStyle w:val="25"/>
          <w:rFonts w:hint="eastAsia" w:cs="宋体"/>
          <w:color w:val="000000" w:themeColor="text1"/>
          <w:sz w:val="24"/>
          <w:szCs w:val="24"/>
          <w:highlight w:val="none"/>
          <w:lang w:val="en-US" w:eastAsia="zh-CN"/>
          <w14:textFill>
            <w14:solidFill>
              <w14:schemeClr w14:val="tx1"/>
            </w14:solidFill>
          </w14:textFill>
        </w:rPr>
        <w:t>项目</w:t>
      </w:r>
      <w:r>
        <w:rPr>
          <w:rStyle w:val="25"/>
          <w:rFonts w:hint="eastAsia" w:ascii="宋体" w:hAnsi="宋体" w:eastAsia="宋体" w:cs="宋体"/>
          <w:color w:val="000000" w:themeColor="text1"/>
          <w:sz w:val="24"/>
          <w:szCs w:val="24"/>
          <w:highlight w:val="none"/>
          <w14:textFill>
            <w14:solidFill>
              <w14:schemeClr w14:val="tx1"/>
            </w14:solidFill>
          </w14:textFill>
        </w:rPr>
        <w:t>投标人所报价格不得超过采购预算（人民币</w:t>
      </w:r>
      <w:r>
        <w:rPr>
          <w:rStyle w:val="25"/>
          <w:rFonts w:hint="eastAsia" w:eastAsia="宋体"/>
          <w:color w:val="000000" w:themeColor="text1"/>
          <w:sz w:val="24"/>
          <w:szCs w:val="24"/>
          <w:highlight w:val="none"/>
          <w:lang w:val="en-US" w:eastAsia="zh-CN"/>
          <w14:textFill>
            <w14:solidFill>
              <w14:schemeClr w14:val="tx1"/>
            </w14:solidFill>
          </w14:textFill>
        </w:rPr>
        <w:t>649</w:t>
      </w:r>
      <w:r>
        <w:rPr>
          <w:rStyle w:val="25"/>
          <w:rFonts w:hint="eastAsia" w:ascii="宋体" w:hAnsi="宋体" w:eastAsia="宋体" w:cs="宋体"/>
          <w:color w:val="000000" w:themeColor="text1"/>
          <w:sz w:val="24"/>
          <w:szCs w:val="24"/>
          <w:highlight w:val="none"/>
          <w14:textFill>
            <w14:solidFill>
              <w14:schemeClr w14:val="tx1"/>
            </w14:solidFill>
          </w14:textFill>
        </w:rPr>
        <w:t>万元)，否则其投标作无效投标处理。</w:t>
      </w:r>
    </w:p>
    <w:p w14:paraId="78E1CEC2">
      <w:pPr>
        <w:pStyle w:val="20"/>
        <w:keepNext w:val="0"/>
        <w:keepLines w:val="0"/>
        <w:widowControl/>
        <w:suppressLineNumbers w:val="0"/>
        <w:spacing w:before="0" w:beforeAutospacing="0" w:after="0" w:afterAutospacing="0" w:line="360" w:lineRule="auto"/>
        <w:ind w:left="0" w:righ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5.2</w:t>
      </w:r>
      <w:r>
        <w:rPr>
          <w:rFonts w:hint="eastAsia" w:ascii="宋体" w:hAnsi="宋体" w:eastAsia="宋体" w:cs="宋体"/>
          <w:color w:val="000000" w:themeColor="text1"/>
          <w:sz w:val="24"/>
          <w:szCs w:val="24"/>
          <w:highlight w:val="none"/>
          <w14:textFill>
            <w14:solidFill>
              <w14:schemeClr w14:val="tx1"/>
            </w14:solidFill>
          </w14:textFill>
        </w:rPr>
        <w:t>本次报价以人民币为货币单位。</w:t>
      </w:r>
    </w:p>
    <w:p w14:paraId="27A4CF89">
      <w:pPr>
        <w:pStyle w:val="20"/>
        <w:keepNext w:val="0"/>
        <w:keepLines w:val="0"/>
        <w:widowControl/>
        <w:suppressLineNumbers w:val="0"/>
        <w:spacing w:before="0" w:beforeAutospacing="0" w:after="0" w:afterAutospacing="0" w:line="360" w:lineRule="auto"/>
        <w:ind w:left="0" w:firstLine="480" w:firstLineChars="200"/>
        <w:rPr>
          <w:rFonts w:hint="eastAsia" w:ascii="宋体" w:hAnsi="宋体" w:eastAsia="宋体" w:cs="宋体"/>
          <w:color w:val="000000" w:themeColor="text1"/>
          <w:sz w:val="24"/>
          <w:szCs w:val="24"/>
          <w:highlight w:val="none"/>
          <w:shd w:val="clear"/>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5.3</w:t>
      </w:r>
      <w:r>
        <w:rPr>
          <w:rFonts w:hint="eastAsia" w:ascii="宋体" w:hAnsi="宋体" w:eastAsia="宋体" w:cs="宋体"/>
          <w:color w:val="000000" w:themeColor="text1"/>
          <w:sz w:val="24"/>
          <w:szCs w:val="24"/>
          <w:highlight w:val="none"/>
          <w:shd w:val="clear"/>
          <w14:textFill>
            <w14:solidFill>
              <w14:schemeClr w14:val="tx1"/>
            </w14:solidFill>
          </w14:textFill>
        </w:rPr>
        <w:t>本项目</w:t>
      </w:r>
      <w:r>
        <w:rPr>
          <w:rFonts w:hint="eastAsia" w:ascii="宋体" w:hAnsi="宋体" w:eastAsia="宋体" w:cs="宋体"/>
          <w:color w:val="000000" w:themeColor="text1"/>
          <w:sz w:val="24"/>
          <w:szCs w:val="24"/>
          <w:highlight w:val="none"/>
          <w:shd w:val="clear"/>
          <w:lang w:val="en-US" w:eastAsia="zh-CN"/>
          <w14:textFill>
            <w14:solidFill>
              <w14:schemeClr w14:val="tx1"/>
            </w14:solidFill>
          </w14:textFill>
        </w:rPr>
        <w:t>总报价</w:t>
      </w:r>
      <w:r>
        <w:rPr>
          <w:rFonts w:hint="eastAsia" w:ascii="宋体" w:hAnsi="宋体" w:eastAsia="宋体" w:cs="宋体"/>
          <w:color w:val="000000" w:themeColor="text1"/>
          <w:sz w:val="24"/>
          <w:szCs w:val="24"/>
          <w:highlight w:val="none"/>
          <w:shd w:val="clear"/>
          <w14:textFill>
            <w14:solidFill>
              <w14:schemeClr w14:val="tx1"/>
            </w14:solidFill>
          </w14:textFill>
        </w:rPr>
        <w:t>包含服务期限内的所有费用，包括但不限于人员工资、管理费用</w:t>
      </w:r>
      <w:r>
        <w:rPr>
          <w:rFonts w:hint="eastAsia" w:cs="宋体"/>
          <w:color w:val="000000" w:themeColor="text1"/>
          <w:sz w:val="24"/>
          <w:szCs w:val="24"/>
          <w:highlight w:val="none"/>
          <w:shd w:val="clear"/>
          <w:lang w:eastAsia="zh-CN"/>
          <w14:textFill>
            <w14:solidFill>
              <w14:schemeClr w14:val="tx1"/>
            </w14:solidFill>
          </w14:textFill>
        </w:rPr>
        <w:t>、</w:t>
      </w:r>
      <w:r>
        <w:rPr>
          <w:rFonts w:hint="eastAsia" w:ascii="宋体" w:hAnsi="宋体" w:eastAsia="宋体" w:cs="宋体"/>
          <w:color w:val="000000" w:themeColor="text1"/>
          <w:sz w:val="24"/>
          <w:szCs w:val="24"/>
          <w:highlight w:val="none"/>
          <w:shd w:val="clear"/>
          <w14:textFill>
            <w14:solidFill>
              <w14:schemeClr w14:val="tx1"/>
            </w14:solidFill>
          </w14:textFill>
        </w:rPr>
        <w:t>五险一金、人身意外保险、</w:t>
      </w:r>
      <w:r>
        <w:rPr>
          <w:rFonts w:hint="eastAsia" w:ascii="宋体" w:hAnsi="宋体" w:eastAsia="宋体" w:cs="宋体"/>
          <w:color w:val="000000" w:themeColor="text1"/>
          <w:highlight w:val="none"/>
          <w14:textFill>
            <w14:solidFill>
              <w14:schemeClr w14:val="tx1"/>
            </w14:solidFill>
          </w14:textFill>
        </w:rPr>
        <w:t>场地费、运营管理费、平台费、第三方业务平台对接、通信专线费</w:t>
      </w:r>
      <w:r>
        <w:rPr>
          <w:rFonts w:hint="eastAsia" w:ascii="宋体" w:hAnsi="宋体" w:eastAsia="宋体" w:cs="宋体"/>
          <w:color w:val="000000" w:themeColor="text1"/>
          <w:sz w:val="24"/>
          <w:szCs w:val="24"/>
          <w:highlight w:val="none"/>
          <w:shd w:val="clear"/>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短信费</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shd w:val="clear"/>
          <w14:textFill>
            <w14:solidFill>
              <w14:schemeClr w14:val="tx1"/>
            </w14:solidFill>
          </w14:textFill>
        </w:rPr>
        <w:t>电费、税费管理费、</w:t>
      </w:r>
      <w:r>
        <w:rPr>
          <w:rFonts w:hint="eastAsia"/>
          <w:color w:val="000000" w:themeColor="text1"/>
          <w:sz w:val="24"/>
          <w:szCs w:val="24"/>
          <w:highlight w:val="none"/>
          <w14:textFill>
            <w14:solidFill>
              <w14:schemeClr w14:val="tx1"/>
            </w14:solidFill>
          </w14:textFill>
        </w:rPr>
        <w:t>涉及该项目产生的程序对接、项目实施、网络、信息安全、软件维护等支出</w:t>
      </w:r>
      <w:r>
        <w:rPr>
          <w:rFonts w:hint="eastAsia"/>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shd w:val="clear"/>
          <w14:textFill>
            <w14:solidFill>
              <w14:schemeClr w14:val="tx1"/>
            </w14:solidFill>
          </w14:textFill>
        </w:rPr>
        <w:t>风险费、验收费、运行维护费用、招标代理服务费等为完成本项工作所有可能发生的费用。凡漏报的费用均视为已包括在投标总报价中。</w:t>
      </w:r>
    </w:p>
    <w:p w14:paraId="5A20B15D">
      <w:pPr>
        <w:pStyle w:val="20"/>
        <w:keepNext w:val="0"/>
        <w:keepLines w:val="0"/>
        <w:widowControl/>
        <w:suppressLineNumbers w:val="0"/>
        <w:spacing w:before="0" w:beforeAutospacing="0" w:after="0" w:afterAutospacing="0" w:line="360" w:lineRule="auto"/>
        <w:ind w:left="0" w:firstLine="48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lang w:val="en-US" w:eastAsia="zh-CN"/>
          <w14:textFill>
            <w14:solidFill>
              <w14:schemeClr w14:val="tx1"/>
            </w14:solidFill>
          </w14:textFill>
        </w:rPr>
        <w:t>5.4本项目</w:t>
      </w:r>
      <w:r>
        <w:rPr>
          <w:rFonts w:hint="eastAsia" w:ascii="宋体" w:hAnsi="宋体" w:eastAsia="宋体" w:cs="宋体"/>
          <w:color w:val="000000" w:themeColor="text1"/>
          <w:highlight w:val="none"/>
          <w14:textFill>
            <w14:solidFill>
              <w14:schemeClr w14:val="tx1"/>
            </w14:solidFill>
          </w14:textFill>
        </w:rPr>
        <w:t>根据各个医院实际话务量对医院按月收取相关费用</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费用主要组成部分为人工坐席费及短信费。</w:t>
      </w:r>
    </w:p>
    <w:p w14:paraId="4CC179FA">
      <w:pPr>
        <w:pStyle w:val="20"/>
        <w:keepNext w:val="0"/>
        <w:keepLines w:val="0"/>
        <w:widowControl/>
        <w:suppressLineNumbers w:val="0"/>
        <w:spacing w:before="0" w:beforeAutospacing="0" w:after="0" w:afterAutospacing="0" w:line="360" w:lineRule="auto"/>
        <w:ind w:left="0" w:firstLine="48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各医院费用结算方式为：各医院每月需向乙方支付的费用的计算方法为：【坐席费÷12个月+新增坐席费+实际短信费+停诊通话费-各医院接入费用总和-考核费用】×本院话务量比例+本院接入费用。其中：</w:t>
      </w:r>
    </w:p>
    <w:p w14:paraId="7B62E192">
      <w:pPr>
        <w:pStyle w:val="20"/>
        <w:keepNext w:val="0"/>
        <w:keepLines w:val="0"/>
        <w:widowControl/>
        <w:suppressLineNumbers w:val="0"/>
        <w:spacing w:before="0" w:beforeAutospacing="0" w:after="0" w:afterAutospacing="0" w:line="360" w:lineRule="auto"/>
        <w:ind w:left="0" w:firstLine="48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（1）月实际预约成功数：每月通过该96166统一预约呼叫中心服务热线成功预约的实际数量。</w:t>
      </w:r>
    </w:p>
    <w:p w14:paraId="7A4EBD7A">
      <w:pPr>
        <w:pStyle w:val="20"/>
        <w:keepNext w:val="0"/>
        <w:keepLines w:val="0"/>
        <w:widowControl/>
        <w:suppressLineNumbers w:val="0"/>
        <w:spacing w:before="0" w:beforeAutospacing="0" w:after="0" w:afterAutospacing="0" w:line="360" w:lineRule="auto"/>
        <w:ind w:left="0" w:firstLine="48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（2）总预约成功数：每月该96166统一预约呼叫中心服务热线成功预约的总数量。</w:t>
      </w:r>
    </w:p>
    <w:p w14:paraId="3034C652">
      <w:pPr>
        <w:pStyle w:val="20"/>
        <w:keepNext w:val="0"/>
        <w:keepLines w:val="0"/>
        <w:widowControl/>
        <w:suppressLineNumbers w:val="0"/>
        <w:spacing w:before="0" w:beforeAutospacing="0" w:after="0" w:afterAutospacing="0" w:line="360" w:lineRule="auto"/>
        <w:ind w:left="0" w:right="0" w:firstLine="48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（3）各院比例：月实际预约成功数÷总预约成功数</w:t>
      </w:r>
    </w:p>
    <w:p w14:paraId="46A78DDD">
      <w:pPr>
        <w:pStyle w:val="20"/>
        <w:keepNext w:val="0"/>
        <w:keepLines w:val="0"/>
        <w:widowControl/>
        <w:suppressLineNumbers w:val="0"/>
        <w:spacing w:before="0" w:beforeAutospacing="0" w:after="0" w:afterAutospacing="0" w:line="360" w:lineRule="auto"/>
        <w:ind w:left="0" w:right="0" w:firstLine="480" w:firstLineChars="200"/>
        <w:rPr>
          <w:rFonts w:hint="eastAsia" w:ascii="宋体" w:hAnsi="宋体" w:cs="宋体"/>
          <w:color w:val="000000" w:themeColor="text1"/>
          <w:sz w:val="22"/>
          <w:szCs w:val="22"/>
          <w:highlight w:val="none"/>
          <w:lang w:eastAsia="zh-CN"/>
          <w14:textFill>
            <w14:solidFill>
              <w14:schemeClr w14:val="tx1"/>
            </w14:solidFill>
          </w14:textFill>
        </w:rPr>
      </w:pP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4</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sz w:val="22"/>
          <w:szCs w:val="22"/>
          <w:highlight w:val="none"/>
          <w14:textFill>
            <w14:solidFill>
              <w14:schemeClr w14:val="tx1"/>
            </w14:solidFill>
          </w14:textFill>
        </w:rPr>
        <w:t>短信量</w:t>
      </w:r>
      <w:r>
        <w:rPr>
          <w:rFonts w:hint="eastAsia" w:ascii="宋体" w:hAnsi="宋体" w:cs="宋体"/>
          <w:color w:val="000000" w:themeColor="text1"/>
          <w:sz w:val="22"/>
          <w:szCs w:val="22"/>
          <w:highlight w:val="none"/>
          <w:lang w:val="en-US" w:eastAsia="zh-CN"/>
          <w14:textFill>
            <w14:solidFill>
              <w14:schemeClr w14:val="tx1"/>
            </w14:solidFill>
          </w14:textFill>
        </w:rPr>
        <w:t>暂估数量为2300万条/年，暂估数量为根据</w:t>
      </w:r>
      <w:r>
        <w:rPr>
          <w:rFonts w:hint="eastAsia" w:ascii="宋体" w:hAnsi="宋体" w:cs="宋体"/>
          <w:color w:val="000000" w:themeColor="text1"/>
          <w:sz w:val="22"/>
          <w:szCs w:val="22"/>
          <w:highlight w:val="none"/>
          <w14:textFill>
            <w14:solidFill>
              <w14:schemeClr w14:val="tx1"/>
            </w14:solidFill>
          </w14:textFill>
        </w:rPr>
        <w:t>往年</w:t>
      </w:r>
      <w:r>
        <w:rPr>
          <w:rFonts w:hint="eastAsia" w:ascii="宋体" w:hAnsi="宋体" w:cs="宋体"/>
          <w:color w:val="000000" w:themeColor="text1"/>
          <w:sz w:val="22"/>
          <w:szCs w:val="22"/>
          <w:highlight w:val="none"/>
          <w:lang w:val="en-US" w:eastAsia="zh-CN"/>
          <w14:textFill>
            <w14:solidFill>
              <w14:schemeClr w14:val="tx1"/>
            </w14:solidFill>
          </w14:textFill>
        </w:rPr>
        <w:t>情况</w:t>
      </w:r>
      <w:r>
        <w:rPr>
          <w:rFonts w:hint="eastAsia" w:ascii="宋体" w:hAnsi="宋体" w:cs="宋体"/>
          <w:color w:val="000000" w:themeColor="text1"/>
          <w:sz w:val="22"/>
          <w:szCs w:val="22"/>
          <w:highlight w:val="none"/>
          <w14:textFill>
            <w14:solidFill>
              <w14:schemeClr w14:val="tx1"/>
            </w14:solidFill>
          </w14:textFill>
        </w:rPr>
        <w:t>预估</w:t>
      </w:r>
      <w:r>
        <w:rPr>
          <w:rFonts w:hint="eastAsia" w:ascii="宋体" w:hAnsi="宋体" w:cs="宋体"/>
          <w:color w:val="000000" w:themeColor="text1"/>
          <w:sz w:val="22"/>
          <w:szCs w:val="22"/>
          <w:highlight w:val="none"/>
          <w:lang w:eastAsia="zh-CN"/>
          <w14:textFill>
            <w14:solidFill>
              <w14:schemeClr w14:val="tx1"/>
            </w14:solidFill>
          </w14:textFill>
        </w:rPr>
        <w:t>。</w:t>
      </w:r>
    </w:p>
    <w:p w14:paraId="47AFB4EC">
      <w:pPr>
        <w:pStyle w:val="20"/>
        <w:keepNext w:val="0"/>
        <w:keepLines w:val="0"/>
        <w:widowControl/>
        <w:suppressLineNumbers w:val="0"/>
        <w:spacing w:before="0" w:beforeAutospacing="0" w:after="0" w:afterAutospacing="0" w:line="360" w:lineRule="auto"/>
        <w:ind w:left="0" w:righ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5.5</w:t>
      </w:r>
      <w:r>
        <w:rPr>
          <w:rFonts w:hint="eastAsia" w:ascii="宋体" w:hAnsi="宋体" w:eastAsia="宋体" w:cs="宋体"/>
          <w:color w:val="000000" w:themeColor="text1"/>
          <w:sz w:val="24"/>
          <w:szCs w:val="24"/>
          <w:highlight w:val="none"/>
          <w14:textFill>
            <w14:solidFill>
              <w14:schemeClr w14:val="tx1"/>
            </w14:solidFill>
          </w14:textFill>
        </w:rPr>
        <w:t>报价人所报价格在成交后合同实施过程中不因市场或政策价格的调整而增减。</w:t>
      </w:r>
    </w:p>
    <w:p w14:paraId="10BC0530">
      <w:pPr>
        <w:pStyle w:val="20"/>
        <w:keepNext w:val="0"/>
        <w:keepLines w:val="0"/>
        <w:widowControl/>
        <w:suppressLineNumbers w:val="0"/>
        <w:spacing w:before="0" w:beforeAutospacing="0" w:after="0" w:afterAutospacing="0" w:line="360" w:lineRule="auto"/>
        <w:ind w:left="0" w:right="0" w:firstLine="48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5.</w:t>
      </w:r>
      <w:r>
        <w:rPr>
          <w:rFonts w:hint="eastAsia" w:ascii="宋体" w:hAnsi="宋体" w:eastAsia="宋体" w:cs="宋体"/>
          <w:color w:val="000000" w:themeColor="text1"/>
          <w:highlight w:val="none"/>
          <w:lang w:eastAsia="zh-CN"/>
          <w14:textFill>
            <w14:solidFill>
              <w14:schemeClr w14:val="tx1"/>
            </w14:solidFill>
          </w14:textFill>
        </w:rPr>
        <w:t>6</w:t>
      </w:r>
      <w:r>
        <w:rPr>
          <w:rFonts w:hint="eastAsia" w:ascii="宋体" w:hAnsi="宋体" w:eastAsia="宋体" w:cs="宋体"/>
          <w:color w:val="000000" w:themeColor="text1"/>
          <w:highlight w:val="none"/>
          <w14:textFill>
            <w14:solidFill>
              <w14:schemeClr w14:val="tx1"/>
            </w14:solidFill>
          </w14:textFill>
        </w:rPr>
        <w:t>报价人报价中漏考虑、少考虑的费用，视为此项费用已隐含在投标报价中，中 标 后不得再向采购人收取任何费用。</w:t>
      </w:r>
    </w:p>
    <w:p w14:paraId="6C21F0CB">
      <w:pPr>
        <w:pStyle w:val="20"/>
        <w:keepNext w:val="0"/>
        <w:keepLines w:val="0"/>
        <w:widowControl/>
        <w:suppressLineNumbers w:val="0"/>
        <w:spacing w:before="0" w:beforeAutospacing="0" w:after="0" w:afterAutospacing="0" w:line="360" w:lineRule="auto"/>
        <w:ind w:left="0" w:right="0" w:firstLine="480" w:firstLineChars="200"/>
        <w:rPr>
          <w:rFonts w:hint="eastAsia" w:ascii="宋体" w:hAnsi="宋体" w:eastAsia="宋体" w:cs="宋体"/>
          <w:color w:val="000000" w:themeColor="text1"/>
          <w:highlight w:val="none"/>
          <w14:textFill>
            <w14:solidFill>
              <w14:schemeClr w14:val="tx1"/>
            </w14:solidFill>
          </w14:textFill>
        </w:rPr>
      </w:pPr>
    </w:p>
    <w:p w14:paraId="5036B369">
      <w:pPr>
        <w:pStyle w:val="20"/>
        <w:keepNext w:val="0"/>
        <w:keepLines w:val="0"/>
        <w:widowControl/>
        <w:suppressLineNumbers w:val="0"/>
        <w:spacing w:before="0" w:beforeAutospacing="0" w:after="0" w:afterAutospacing="0" w:line="360" w:lineRule="auto"/>
        <w:ind w:left="0" w:right="0" w:firstLine="480" w:firstLineChars="200"/>
        <w:rPr>
          <w:rFonts w:hint="eastAsia" w:ascii="宋体" w:hAnsi="宋体" w:eastAsia="宋体" w:cs="宋体"/>
          <w:color w:val="000000" w:themeColor="text1"/>
          <w:highlight w:val="none"/>
          <w14:textFill>
            <w14:solidFill>
              <w14:schemeClr w14:val="tx1"/>
            </w14:solidFill>
          </w14:textFill>
        </w:rPr>
      </w:pPr>
    </w:p>
    <w:p w14:paraId="6DF426E6">
      <w:pPr>
        <w:pStyle w:val="20"/>
        <w:keepNext w:val="0"/>
        <w:keepLines w:val="0"/>
        <w:widowControl/>
        <w:suppressLineNumbers w:val="0"/>
        <w:spacing w:before="0" w:beforeAutospacing="0" w:after="70" w:afterAutospacing="0"/>
        <w:ind w:left="280" w:right="0"/>
        <w:rPr>
          <w:rFonts w:hint="default" w:ascii="宋体" w:hAnsi="宋体" w:eastAsia="宋体"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六.</w:t>
      </w:r>
      <w:r>
        <w:rPr>
          <w:rFonts w:hint="eastAsia" w:ascii="宋体" w:hAnsi="宋体" w:eastAsia="宋体" w:cs="宋体"/>
          <w:color w:val="000000" w:themeColor="text1"/>
          <w:sz w:val="24"/>
          <w:szCs w:val="24"/>
          <w:highlight w:val="none"/>
          <w14:textFill>
            <w14:solidFill>
              <w14:schemeClr w14:val="tx1"/>
            </w14:solidFill>
          </w14:textFill>
        </w:rPr>
        <w:t>项目培训</w:t>
      </w:r>
      <w:r>
        <w:rPr>
          <w:rFonts w:hint="eastAsia" w:cs="宋体"/>
          <w:color w:val="000000" w:themeColor="text1"/>
          <w:sz w:val="24"/>
          <w:szCs w:val="24"/>
          <w:highlight w:val="none"/>
          <w:lang w:val="en-US" w:eastAsia="zh-CN"/>
          <w14:textFill>
            <w14:solidFill>
              <w14:schemeClr w14:val="tx1"/>
            </w14:solidFill>
          </w14:textFill>
        </w:rPr>
        <w:t>及售后服务</w:t>
      </w:r>
    </w:p>
    <w:p w14:paraId="787EF170">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要求投标人必须根据项目建设内容，提出详细的培训计划、培训课程内容（所有费用含在项目报价中），并针对不同角色进行有针对性的培训。</w:t>
      </w:r>
    </w:p>
    <w:p w14:paraId="6945476F">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要求投标人必须提供专业的培训团队，确保整个项目培训工作的顺利进行。</w:t>
      </w:r>
    </w:p>
    <w:p w14:paraId="17080714">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要求投标人必须拥有专业的售后维护服务团队，能够保证本项目所建设系统的正常运行。</w:t>
      </w:r>
    </w:p>
    <w:p w14:paraId="0E597644">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对于系统在使用过程中出现的问题，在1小时内远程维护响应。如远程维护不能解决，则在24小时内工程技术人员到达现场维修。</w:t>
      </w:r>
    </w:p>
    <w:p w14:paraId="7181F59F">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七</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知识产权要求：</w:t>
      </w:r>
    </w:p>
    <w:p w14:paraId="518978A2">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投标人必须保证采购人在使用其系统软件过程的任何时候均不侵犯第三方的知识产权（包括但不限于专 利权、商 标权、著作权和技术秘密等权利）。若任何第三方针对</w:t>
      </w:r>
      <w:r>
        <w:rPr>
          <w:rFonts w:hint="eastAsia" w:ascii="宋体" w:hAnsi="宋体" w:eastAsia="宋体" w:cs="宋体"/>
          <w:color w:val="000000" w:themeColor="text1"/>
          <w:sz w:val="24"/>
          <w:szCs w:val="24"/>
          <w:highlight w:val="none"/>
          <w:lang w:val="en-US" w:eastAsia="zh-CN"/>
          <w14:textFill>
            <w14:solidFill>
              <w14:schemeClr w14:val="tx1"/>
            </w14:solidFill>
          </w14:textFill>
        </w:rPr>
        <w:t>中标</w:t>
      </w:r>
      <w:r>
        <w:rPr>
          <w:rFonts w:hint="eastAsia" w:ascii="宋体" w:hAnsi="宋体" w:eastAsia="宋体" w:cs="宋体"/>
          <w:color w:val="000000" w:themeColor="text1"/>
          <w:sz w:val="24"/>
          <w:szCs w:val="24"/>
          <w:highlight w:val="none"/>
          <w14:textFill>
            <w14:solidFill>
              <w14:schemeClr w14:val="tx1"/>
            </w14:solidFill>
          </w14:textFill>
        </w:rPr>
        <w:t>供应商根据本项目提供的服务行为提出知识产权侵权指控，</w:t>
      </w:r>
      <w:r>
        <w:rPr>
          <w:rFonts w:hint="eastAsia" w:ascii="宋体" w:hAnsi="宋体" w:eastAsia="宋体" w:cs="宋体"/>
          <w:color w:val="000000" w:themeColor="text1"/>
          <w:sz w:val="24"/>
          <w:szCs w:val="24"/>
          <w:highlight w:val="none"/>
          <w:lang w:val="en-US" w:eastAsia="zh-CN"/>
          <w14:textFill>
            <w14:solidFill>
              <w14:schemeClr w14:val="tx1"/>
            </w14:solidFill>
          </w14:textFill>
        </w:rPr>
        <w:t>中标</w:t>
      </w:r>
      <w:r>
        <w:rPr>
          <w:rFonts w:hint="eastAsia" w:ascii="宋体" w:hAnsi="宋体" w:eastAsia="宋体" w:cs="宋体"/>
          <w:color w:val="000000" w:themeColor="text1"/>
          <w:sz w:val="24"/>
          <w:szCs w:val="24"/>
          <w:highlight w:val="none"/>
          <w14:textFill>
            <w14:solidFill>
              <w14:schemeClr w14:val="tx1"/>
            </w14:solidFill>
          </w14:textFill>
        </w:rPr>
        <w:t>供应商须与第三方交涉并承担由此而引起的一切法律责任和费用。如果采购人因为第三方的侵权指控遭受了损失（包括但不限于律师费、诉讼费、生效法律文书要求采购人承担法律责任等），采购人有权向成交供 应 商追偿。</w:t>
      </w:r>
    </w:p>
    <w:p w14:paraId="50B202AD">
      <w:pPr>
        <w:tabs>
          <w:tab w:val="left" w:pos="5130"/>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八.</w:t>
      </w:r>
      <w:r>
        <w:rPr>
          <w:rFonts w:hint="eastAsia" w:ascii="宋体" w:hAnsi="宋体" w:eastAsia="宋体" w:cs="宋体"/>
          <w:b/>
          <w:bCs/>
          <w:color w:val="000000" w:themeColor="text1"/>
          <w:sz w:val="24"/>
          <w:szCs w:val="24"/>
          <w:highlight w:val="none"/>
          <w14:textFill>
            <w14:solidFill>
              <w14:schemeClr w14:val="tx1"/>
            </w14:solidFill>
          </w14:textFill>
        </w:rPr>
        <w:t>保密要求</w:t>
      </w:r>
    </w:p>
    <w:p w14:paraId="5416289B">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8.1</w:t>
      </w:r>
      <w:r>
        <w:rPr>
          <w:rFonts w:hint="eastAsia" w:ascii="宋体" w:hAnsi="宋体" w:eastAsia="宋体" w:cs="宋体"/>
          <w:color w:val="000000" w:themeColor="text1"/>
          <w:sz w:val="24"/>
          <w:szCs w:val="24"/>
          <w:highlight w:val="none"/>
          <w14:textFill>
            <w14:solidFill>
              <w14:schemeClr w14:val="tx1"/>
            </w14:solidFill>
          </w14:textFill>
        </w:rPr>
        <w:t>投标人必须遵守保密法，按照保密规范执行项目工作。</w:t>
      </w:r>
    </w:p>
    <w:p w14:paraId="759ED318">
      <w:pPr>
        <w:tabs>
          <w:tab w:val="left" w:pos="513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8.2</w:t>
      </w:r>
      <w:r>
        <w:rPr>
          <w:rFonts w:hint="eastAsia" w:ascii="宋体" w:hAnsi="宋体" w:eastAsia="宋体" w:cs="宋体"/>
          <w:color w:val="000000" w:themeColor="text1"/>
          <w:sz w:val="24"/>
          <w:szCs w:val="24"/>
          <w:highlight w:val="none"/>
          <w14:textFill>
            <w14:solidFill>
              <w14:schemeClr w14:val="tx1"/>
            </w14:solidFill>
          </w14:textFill>
        </w:rPr>
        <w:t>投标人必须对本项目的技术文件、涉及应用平台的所有数据（含各个业务系统对接数据信息）以及由采购人提供的所有内部资料、技术文档和数据信息予以保密。报价人必须遵守与采购人签订的保密协议，未经采购人书面许可，报价人不得以任何形式向第三方透露本项目采购文件以及本项目的任何内容。</w:t>
      </w:r>
    </w:p>
    <w:p w14:paraId="6D4A806D">
      <w:pPr>
        <w:pStyle w:val="50"/>
        <w:rPr>
          <w:rFonts w:hint="eastAsia"/>
          <w:color w:val="000000" w:themeColor="text1"/>
          <w:highlight w:val="none"/>
          <w14:textFill>
            <w14:solidFill>
              <w14:schemeClr w14:val="tx1"/>
            </w14:solidFill>
          </w14:textFill>
        </w:rPr>
      </w:pPr>
    </w:p>
    <w:p w14:paraId="66FE9B07">
      <w:pPr>
        <w:pStyle w:val="20"/>
        <w:keepNext w:val="0"/>
        <w:keepLines w:val="0"/>
        <w:widowControl/>
        <w:suppressLineNumbers w:val="0"/>
        <w:spacing w:before="50" w:beforeAutospacing="0" w:after="50" w:afterAutospacing="0" w:line="360" w:lineRule="auto"/>
        <w:ind w:left="478" w:leftChars="228" w:right="0" w:firstLine="0" w:firstLineChars="0"/>
        <w:rPr>
          <w:rStyle w:val="25"/>
          <w:rFonts w:hint="eastAsia" w:ascii="宋体" w:hAnsi="宋体" w:eastAsia="宋体" w:cs="宋体"/>
          <w:b w:val="0"/>
          <w:bCs w:val="0"/>
          <w:color w:val="000000" w:themeColor="text1"/>
          <w:spacing w:val="0"/>
          <w:sz w:val="24"/>
          <w:szCs w:val="24"/>
          <w:highlight w:val="none"/>
          <w14:textFill>
            <w14:solidFill>
              <w14:schemeClr w14:val="tx1"/>
            </w14:solidFill>
          </w14:textFill>
        </w:rPr>
      </w:pPr>
      <w:r>
        <w:rPr>
          <w:rFonts w:hint="eastAsia" w:cs="宋体"/>
          <w:b/>
          <w:bCs/>
          <w:color w:val="000000" w:themeColor="text1"/>
          <w:spacing w:val="0"/>
          <w:sz w:val="24"/>
          <w:szCs w:val="24"/>
          <w:highlight w:val="none"/>
          <w:lang w:val="en-US" w:eastAsia="zh-CN"/>
          <w14:textFill>
            <w14:solidFill>
              <w14:schemeClr w14:val="tx1"/>
            </w14:solidFill>
          </w14:textFill>
        </w:rPr>
        <w:t>九</w:t>
      </w:r>
      <w:r>
        <w:rPr>
          <w:rFonts w:hint="eastAsia" w:cs="宋体"/>
          <w:b/>
          <w:bCs/>
          <w:color w:val="000000" w:themeColor="text1"/>
          <w:spacing w:val="0"/>
          <w:sz w:val="24"/>
          <w:szCs w:val="24"/>
          <w:highlight w:val="none"/>
          <w:lang w:eastAsia="zh-CN"/>
          <w14:textFill>
            <w14:solidFill>
              <w14:schemeClr w14:val="tx1"/>
            </w14:solidFill>
          </w14:textFill>
        </w:rPr>
        <w:t>.</w:t>
      </w:r>
      <w:r>
        <w:rPr>
          <w:rFonts w:hint="eastAsia" w:ascii="宋体" w:hAnsi="宋体" w:eastAsia="宋体" w:cs="宋体"/>
          <w:b/>
          <w:bCs/>
          <w:color w:val="000000" w:themeColor="text1"/>
          <w:spacing w:val="0"/>
          <w:sz w:val="24"/>
          <w:szCs w:val="24"/>
          <w:highlight w:val="none"/>
          <w14:textFill>
            <w14:solidFill>
              <w14:schemeClr w14:val="tx1"/>
            </w14:solidFill>
          </w14:textFill>
        </w:rPr>
        <w:t>商务条件</w:t>
      </w:r>
      <w:r>
        <w:rPr>
          <w:rStyle w:val="25"/>
          <w:rFonts w:hint="eastAsia" w:ascii="宋体" w:hAnsi="宋体" w:eastAsia="宋体" w:cs="宋体"/>
          <w:color w:val="000000" w:themeColor="text1"/>
          <w:spacing w:val="0"/>
          <w:sz w:val="24"/>
          <w:szCs w:val="24"/>
          <w:highlight w:val="none"/>
          <w14:textFill>
            <w14:solidFill>
              <w14:schemeClr w14:val="tx1"/>
            </w14:solidFill>
          </w14:textFill>
        </w:rPr>
        <w:br w:type="textWrapping"/>
      </w:r>
      <w:r>
        <w:rPr>
          <w:rStyle w:val="25"/>
          <w:rFonts w:hint="eastAsia" w:ascii="宋体" w:hAnsi="宋体" w:eastAsia="宋体" w:cs="宋体"/>
          <w:b w:val="0"/>
          <w:bCs w:val="0"/>
          <w:color w:val="000000" w:themeColor="text1"/>
          <w:spacing w:val="0"/>
          <w:sz w:val="24"/>
          <w:szCs w:val="24"/>
          <w:highlight w:val="none"/>
          <w:lang w:val="en-US" w:eastAsia="zh-CN"/>
          <w14:textFill>
            <w14:solidFill>
              <w14:schemeClr w14:val="tx1"/>
            </w14:solidFill>
          </w14:textFill>
        </w:rPr>
        <w:t>9.</w:t>
      </w:r>
      <w:r>
        <w:rPr>
          <w:rStyle w:val="25"/>
          <w:rFonts w:hint="eastAsia" w:ascii="宋体" w:hAnsi="宋体" w:eastAsia="宋体" w:cs="宋体"/>
          <w:b w:val="0"/>
          <w:bCs w:val="0"/>
          <w:color w:val="000000" w:themeColor="text1"/>
          <w:spacing w:val="0"/>
          <w:sz w:val="24"/>
          <w:szCs w:val="24"/>
          <w:highlight w:val="none"/>
          <w14:textFill>
            <w14:solidFill>
              <w14:schemeClr w14:val="tx1"/>
            </w14:solidFill>
          </w14:textFill>
        </w:rPr>
        <w:t>1交付条件：经采购人验收合格交付。</w:t>
      </w:r>
      <w:r>
        <w:rPr>
          <w:rStyle w:val="25"/>
          <w:rFonts w:hint="eastAsia" w:ascii="宋体" w:hAnsi="宋体" w:eastAsia="宋体" w:cs="宋体"/>
          <w:b w:val="0"/>
          <w:bCs w:val="0"/>
          <w:color w:val="000000" w:themeColor="text1"/>
          <w:spacing w:val="0"/>
          <w:sz w:val="24"/>
          <w:szCs w:val="24"/>
          <w:highlight w:val="none"/>
          <w14:textFill>
            <w14:solidFill>
              <w14:schemeClr w14:val="tx1"/>
            </w14:solidFill>
          </w14:textFill>
        </w:rPr>
        <w:br w:type="textWrapping"/>
      </w:r>
      <w:r>
        <w:rPr>
          <w:rStyle w:val="25"/>
          <w:rFonts w:hint="eastAsia" w:ascii="宋体" w:hAnsi="宋体" w:eastAsia="宋体" w:cs="宋体"/>
          <w:b w:val="0"/>
          <w:bCs w:val="0"/>
          <w:color w:val="000000" w:themeColor="text1"/>
          <w:spacing w:val="0"/>
          <w:sz w:val="24"/>
          <w:szCs w:val="24"/>
          <w:highlight w:val="none"/>
          <w:lang w:val="en-US" w:eastAsia="zh-CN"/>
          <w14:textFill>
            <w14:solidFill>
              <w14:schemeClr w14:val="tx1"/>
            </w14:solidFill>
          </w14:textFill>
        </w:rPr>
        <w:t>9.</w:t>
      </w:r>
      <w:r>
        <w:rPr>
          <w:rStyle w:val="25"/>
          <w:rFonts w:hint="eastAsia" w:cs="宋体"/>
          <w:b w:val="0"/>
          <w:bCs w:val="0"/>
          <w:color w:val="000000" w:themeColor="text1"/>
          <w:spacing w:val="0"/>
          <w:sz w:val="24"/>
          <w:szCs w:val="24"/>
          <w:highlight w:val="none"/>
          <w:lang w:val="en-US" w:eastAsia="zh-CN"/>
          <w14:textFill>
            <w14:solidFill>
              <w14:schemeClr w14:val="tx1"/>
            </w14:solidFill>
          </w14:textFill>
        </w:rPr>
        <w:t>2</w:t>
      </w:r>
      <w:r>
        <w:rPr>
          <w:rStyle w:val="25"/>
          <w:rFonts w:hint="eastAsia" w:ascii="宋体" w:hAnsi="宋体" w:eastAsia="宋体" w:cs="宋体"/>
          <w:b w:val="0"/>
          <w:bCs w:val="0"/>
          <w:color w:val="000000" w:themeColor="text1"/>
          <w:spacing w:val="0"/>
          <w:sz w:val="24"/>
          <w:szCs w:val="24"/>
          <w:highlight w:val="none"/>
          <w14:textFill>
            <w14:solidFill>
              <w14:schemeClr w14:val="tx1"/>
            </w14:solidFill>
          </w14:textFill>
        </w:rPr>
        <w:t xml:space="preserve">是否收取履约保证金： </w:t>
      </w:r>
      <w:r>
        <w:rPr>
          <w:rStyle w:val="25"/>
          <w:rFonts w:hint="eastAsia" w:cs="宋体"/>
          <w:b w:val="0"/>
          <w:bCs w:val="0"/>
          <w:color w:val="000000" w:themeColor="text1"/>
          <w:spacing w:val="0"/>
          <w:sz w:val="24"/>
          <w:szCs w:val="24"/>
          <w:highlight w:val="none"/>
          <w:lang w:val="en-US" w:eastAsia="zh-CN"/>
          <w14:textFill>
            <w14:solidFill>
              <w14:schemeClr w14:val="tx1"/>
            </w14:solidFill>
          </w14:textFill>
        </w:rPr>
        <w:t>否</w:t>
      </w:r>
      <w:r>
        <w:rPr>
          <w:rStyle w:val="25"/>
          <w:rFonts w:hint="eastAsia" w:ascii="宋体" w:hAnsi="宋体" w:eastAsia="宋体" w:cs="宋体"/>
          <w:b w:val="0"/>
          <w:bCs w:val="0"/>
          <w:color w:val="000000" w:themeColor="text1"/>
          <w:spacing w:val="0"/>
          <w:sz w:val="24"/>
          <w:szCs w:val="24"/>
          <w:highlight w:val="none"/>
          <w14:textFill>
            <w14:solidFill>
              <w14:schemeClr w14:val="tx1"/>
            </w14:solidFill>
          </w14:textFill>
        </w:rPr>
        <w:t>。</w:t>
      </w:r>
    </w:p>
    <w:p w14:paraId="5EF69E97">
      <w:pPr>
        <w:pStyle w:val="20"/>
        <w:widowControl/>
        <w:spacing w:before="50" w:beforeAutospacing="0" w:after="50" w:afterAutospacing="0" w:line="360" w:lineRule="auto"/>
        <w:ind w:firstLine="480" w:firstLineChars="200"/>
        <w:rPr>
          <w:rFonts w:hint="eastAsia" w:ascii="宋体" w:hAnsi="宋体" w:eastAsia="宋体" w:cs="宋体"/>
          <w:b w:val="0"/>
          <w:color w:val="000000" w:themeColor="text1"/>
          <w:sz w:val="24"/>
          <w:szCs w:val="24"/>
          <w:highlight w:val="none"/>
          <w14:textFill>
            <w14:solidFill>
              <w14:schemeClr w14:val="tx1"/>
            </w14:solidFill>
          </w14:textFill>
        </w:rPr>
      </w:pPr>
      <w:r>
        <w:rPr>
          <w:rStyle w:val="25"/>
          <w:rFonts w:hint="eastAsia" w:cs="宋体"/>
          <w:b w:val="0"/>
          <w:bCs w:val="0"/>
          <w:color w:val="000000" w:themeColor="text1"/>
          <w:spacing w:val="0"/>
          <w:sz w:val="24"/>
          <w:szCs w:val="24"/>
          <w:highlight w:val="none"/>
          <w:lang w:val="en-US" w:eastAsia="zh-CN"/>
          <w14:textFill>
            <w14:solidFill>
              <w14:schemeClr w14:val="tx1"/>
            </w14:solidFill>
          </w14:textFill>
        </w:rPr>
        <w:t>9.3</w:t>
      </w:r>
      <w:r>
        <w:rPr>
          <w:rStyle w:val="25"/>
          <w:rFonts w:hint="eastAsia" w:ascii="宋体" w:hAnsi="宋体" w:eastAsia="宋体" w:cs="宋体"/>
          <w:b w:val="0"/>
          <w:bCs w:val="0"/>
          <w:color w:val="000000" w:themeColor="text1"/>
          <w:spacing w:val="0"/>
          <w:sz w:val="24"/>
          <w:szCs w:val="24"/>
          <w:highlight w:val="none"/>
          <w14:textFill>
            <w14:solidFill>
              <w14:schemeClr w14:val="tx1"/>
            </w14:solidFill>
          </w14:textFill>
        </w:rPr>
        <w:t>验收</w:t>
      </w:r>
      <w:r>
        <w:rPr>
          <w:rStyle w:val="25"/>
          <w:rFonts w:hint="eastAsia" w:cs="宋体"/>
          <w:b w:val="0"/>
          <w:bCs w:val="0"/>
          <w:color w:val="000000" w:themeColor="text1"/>
          <w:spacing w:val="0"/>
          <w:sz w:val="24"/>
          <w:szCs w:val="24"/>
          <w:highlight w:val="none"/>
          <w:lang w:val="en-US" w:eastAsia="zh-CN"/>
          <w14:textFill>
            <w14:solidFill>
              <w14:schemeClr w14:val="tx1"/>
            </w14:solidFill>
          </w14:textFill>
        </w:rPr>
        <w:t>要求：项目完成的服务成果达到了本项目的服务指标并在服务期满后，由采购人以及选取代表性的使用单位对项目进行评价，证明服务运营良好后，由验收小组按本项目的合同和国家有关规定规范，组织项目最终验收，出具最终验收报告。</w:t>
      </w:r>
    </w:p>
    <w:p w14:paraId="7AC05DC2">
      <w:pPr>
        <w:numPr>
          <w:ilvl w:val="-1"/>
          <w:numId w:val="0"/>
        </w:numPr>
        <w:spacing w:line="360" w:lineRule="auto"/>
        <w:ind w:firstLine="480" w:firstLineChars="200"/>
        <w:rPr>
          <w:rFonts w:hint="eastAsia" w:ascii="宋体" w:hAnsi="宋体" w:cs="宋体"/>
          <w:b w:val="0"/>
          <w:color w:val="000000" w:themeColor="text1"/>
          <w:sz w:val="24"/>
          <w:szCs w:val="24"/>
          <w:highlight w:val="none"/>
          <w:lang w:val="en-US" w:eastAsia="zh-CN"/>
          <w14:textFill>
            <w14:solidFill>
              <w14:schemeClr w14:val="tx1"/>
            </w14:solidFill>
          </w14:textFill>
        </w:rPr>
      </w:pPr>
    </w:p>
    <w:p w14:paraId="75858A56">
      <w:pPr>
        <w:numPr>
          <w:ilvl w:val="-1"/>
          <w:numId w:val="0"/>
        </w:numPr>
        <w:spacing w:line="360" w:lineRule="auto"/>
        <w:ind w:firstLine="480" w:firstLineChars="200"/>
        <w:rPr>
          <w:rFonts w:hint="eastAsia" w:ascii="宋体" w:hAnsi="宋体" w:cs="宋体"/>
          <w:b w:val="0"/>
          <w:color w:val="000000" w:themeColor="text1"/>
          <w:sz w:val="24"/>
          <w:szCs w:val="24"/>
          <w:highlight w:val="none"/>
          <w:lang w:val="en-US" w:eastAsia="zh-CN"/>
          <w14:textFill>
            <w14:solidFill>
              <w14:schemeClr w14:val="tx1"/>
            </w14:solidFill>
          </w14:textFill>
        </w:rPr>
      </w:pPr>
    </w:p>
    <w:p w14:paraId="49910DF4">
      <w:pPr>
        <w:numPr>
          <w:ilvl w:val="-1"/>
          <w:numId w:val="0"/>
        </w:numPr>
        <w:spacing w:line="360" w:lineRule="auto"/>
        <w:ind w:firstLine="480" w:firstLineChars="200"/>
        <w:rPr>
          <w:rFonts w:hint="eastAsia" w:ascii="宋体" w:hAnsi="宋体" w:cs="宋体"/>
          <w:b w:val="0"/>
          <w:color w:val="000000" w:themeColor="text1"/>
          <w:sz w:val="24"/>
          <w:szCs w:val="24"/>
          <w:highlight w:val="none"/>
          <w:lang w:val="en-US" w:eastAsia="zh-CN"/>
          <w14:textFill>
            <w14:solidFill>
              <w14:schemeClr w14:val="tx1"/>
            </w14:solidFill>
          </w14:textFill>
        </w:rPr>
      </w:pPr>
      <w:r>
        <w:rPr>
          <w:rFonts w:hint="eastAsia" w:ascii="宋体" w:hAnsi="宋体" w:cs="宋体"/>
          <w:b w:val="0"/>
          <w:color w:val="000000" w:themeColor="text1"/>
          <w:sz w:val="24"/>
          <w:szCs w:val="24"/>
          <w:highlight w:val="none"/>
          <w:lang w:val="en-US" w:eastAsia="zh-CN"/>
          <w14:textFill>
            <w14:solidFill>
              <w14:schemeClr w14:val="tx1"/>
            </w14:solidFill>
          </w14:textFill>
        </w:rPr>
        <w:t>9.4.付款及结算方式：</w:t>
      </w:r>
    </w:p>
    <w:p w14:paraId="69D0CD5E">
      <w:pPr>
        <w:widowControl/>
        <w:spacing w:line="360" w:lineRule="auto"/>
        <w:ind w:firstLine="480" w:firstLineChars="200"/>
        <w:jc w:val="left"/>
        <w:rPr>
          <w:rFonts w:hint="default" w:ascii="宋体" w:hAnsi="宋体" w:eastAsia="宋体" w:cs="宋体"/>
          <w:color w:val="000000" w:themeColor="text1"/>
          <w:kern w:val="0"/>
          <w:sz w:val="24"/>
          <w:szCs w:val="24"/>
          <w:highlight w:val="none"/>
          <w:lang w:bidi="ar"/>
          <w14:textFill>
            <w14:solidFill>
              <w14:schemeClr w14:val="tx1"/>
            </w14:solidFill>
          </w14:textFill>
        </w:rPr>
        <w:sectPr>
          <w:headerReference r:id="rId9" w:type="default"/>
          <w:footerReference r:id="rId10" w:type="default"/>
          <w:pgSz w:w="11906" w:h="16838"/>
          <w:pgMar w:top="1191" w:right="1191" w:bottom="1191" w:left="1474" w:header="680" w:footer="680" w:gutter="0"/>
          <w:pgNumType w:fmt="decimal" w:start="1"/>
          <w:cols w:space="425" w:num="1"/>
          <w:docGrid w:type="linesAndChars" w:linePitch="312" w:charSpace="0"/>
        </w:sect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本项目中标人</w:t>
      </w:r>
      <w:r>
        <w:rPr>
          <w:rFonts w:hint="eastAsia" w:ascii="宋体" w:hAnsi="宋体" w:eastAsia="宋体" w:cs="宋体"/>
          <w:color w:val="000000" w:themeColor="text1"/>
          <w:kern w:val="0"/>
          <w:sz w:val="24"/>
          <w:szCs w:val="24"/>
          <w:highlight w:val="none"/>
          <w:lang w:bidi="ar"/>
          <w14:textFill>
            <w14:solidFill>
              <w14:schemeClr w14:val="tx1"/>
            </w14:solidFill>
          </w14:textFill>
        </w:rPr>
        <w:t>根据各个医院实际话务量对医院按月收取相关费用</w:t>
      </w:r>
      <w:r>
        <w:rPr>
          <w:rFonts w:hint="eastAsia" w:ascii="宋体" w:hAnsi="宋体" w:eastAsia="宋体" w:cs="宋体"/>
          <w:color w:val="000000" w:themeColor="text1"/>
          <w:kern w:val="0"/>
          <w:sz w:val="24"/>
          <w:szCs w:val="24"/>
          <w:highlight w:val="none"/>
          <w:lang w:eastAsia="zh-CN" w:bidi="ar"/>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并与各</w:t>
      </w:r>
      <w:r>
        <w:rPr>
          <w:rFonts w:hint="eastAsia" w:ascii="宋体" w:hAnsi="宋体" w:eastAsia="宋体" w:cs="宋体"/>
          <w:color w:val="000000" w:themeColor="text1"/>
          <w:kern w:val="0"/>
          <w:sz w:val="24"/>
          <w:szCs w:val="24"/>
          <w:highlight w:val="none"/>
          <w:lang w:bidi="ar"/>
          <w14:textFill>
            <w14:solidFill>
              <w14:schemeClr w14:val="tx1"/>
            </w14:solidFill>
          </w14:textFill>
        </w:rPr>
        <w:t>个</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医院</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按月</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自行结算。</w:t>
      </w:r>
    </w:p>
    <w:p w14:paraId="702E32C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第四章</w:t>
      </w:r>
      <w:r>
        <w:rPr>
          <w:rFonts w:hint="eastAsia" w:ascii="宋体" w:hAnsi="宋体" w:eastAsia="宋体" w:cs="宋体"/>
          <w:b/>
          <w:color w:val="000000" w:themeColor="text1"/>
          <w:sz w:val="32"/>
          <w:szCs w:val="32"/>
          <w:highlight w:val="none"/>
          <w14:textFill>
            <w14:solidFill>
              <w14:schemeClr w14:val="tx1"/>
            </w14:solidFill>
          </w14:textFill>
        </w:rPr>
        <w:t xml:space="preserve">  政府采购合同</w:t>
      </w:r>
    </w:p>
    <w:tbl>
      <w:tblPr>
        <w:tblStyle w:val="23"/>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439D4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noWrap w:val="0"/>
            <w:vAlign w:val="top"/>
          </w:tcPr>
          <w:p w14:paraId="5A0E37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39FFCF3A">
            <w:pPr>
              <w:widowControl/>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但不得与招标文件、投标文件的实质性内容相背离。</w:t>
            </w:r>
          </w:p>
        </w:tc>
      </w:tr>
    </w:tbl>
    <w:p w14:paraId="69878C23">
      <w:pPr>
        <w:spacing w:line="360" w:lineRule="auto"/>
        <w:ind w:left="-284"/>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BC43DE9">
      <w:pPr>
        <w:spacing w:line="360" w:lineRule="auto"/>
        <w:ind w:left="-284"/>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合同号：</w:t>
      </w:r>
    </w:p>
    <w:p w14:paraId="541C1C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甲方(采购人)：                            签定地点：                   </w:t>
      </w:r>
    </w:p>
    <w:p w14:paraId="7C7084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乙方（中标供应商）：               签定日期：      年   月   日</w:t>
      </w:r>
    </w:p>
    <w:p w14:paraId="30DBFE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根据甲方委托(</w:t>
      </w:r>
      <w:r>
        <w:rPr>
          <w:rFonts w:hint="eastAsia" w:ascii="宋体" w:hAnsi="宋体" w:eastAsia="宋体" w:cs="宋体"/>
          <w:color w:val="000000" w:themeColor="text1"/>
          <w:sz w:val="24"/>
          <w:szCs w:val="24"/>
          <w:highlight w:val="none"/>
          <w:u w:val="single"/>
          <w14:textFill>
            <w14:solidFill>
              <w14:schemeClr w14:val="tx1"/>
            </w14:solidFill>
          </w14:textFill>
        </w:rPr>
        <w:t>招标代理机构</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进行招标采购（招标编号：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）的招标结果，乙方为中标供应商，现依照招标文件、投标文件及有关法律、法规、规章规定的内容，双方达成如下协议：</w:t>
      </w:r>
    </w:p>
    <w:p w14:paraId="30CD85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1、合同标的和合同价格</w:t>
      </w:r>
    </w:p>
    <w:tbl>
      <w:tblPr>
        <w:tblStyle w:val="23"/>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984"/>
      </w:tblGrid>
      <w:tr w14:paraId="7002B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0"/>
            <w:vAlign w:val="center"/>
          </w:tcPr>
          <w:p w14:paraId="5FBF88B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57659D0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4E41246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7DBDF95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5A6B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 价</w:t>
            </w:r>
          </w:p>
        </w:tc>
        <w:tc>
          <w:tcPr>
            <w:tcW w:w="1984" w:type="dxa"/>
            <w:tcBorders>
              <w:top w:val="single" w:color="auto" w:sz="4" w:space="0"/>
              <w:left w:val="single" w:color="auto" w:sz="4" w:space="0"/>
              <w:bottom w:val="single" w:color="auto" w:sz="4" w:space="0"/>
              <w:right w:val="single" w:color="auto" w:sz="4" w:space="0"/>
            </w:tcBorders>
            <w:noWrap w:val="0"/>
            <w:vAlign w:val="center"/>
          </w:tcPr>
          <w:p w14:paraId="5163F6B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r>
      <w:tr w14:paraId="54EE6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450F9C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CFC81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07BFBA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71F6D3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198C08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450069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noWrap w:val="0"/>
            <w:vAlign w:val="top"/>
          </w:tcPr>
          <w:p w14:paraId="47778B3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9109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5D9672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DCDAB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F3C5A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6DD379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7033A9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7B2F0D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noWrap w:val="0"/>
            <w:vAlign w:val="top"/>
          </w:tcPr>
          <w:p w14:paraId="497697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DC51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207B21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33DB7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726F99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705E49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0F4014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51F8B0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noWrap w:val="0"/>
            <w:vAlign w:val="top"/>
          </w:tcPr>
          <w:p w14:paraId="4292A9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90AF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73DBAD3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236AD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6F6C60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1DA552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2014ECA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776F21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noWrap w:val="0"/>
            <w:vAlign w:val="top"/>
          </w:tcPr>
          <w:p w14:paraId="53FCD3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001E57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2、服务地点:</w:t>
      </w:r>
    </w:p>
    <w:p w14:paraId="515527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DF222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3、项目清单：</w:t>
      </w:r>
    </w:p>
    <w:p w14:paraId="5EF81D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8527C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4、付款方式与条件：</w:t>
      </w:r>
    </w:p>
    <w:p w14:paraId="57B6FF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A8FFF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5、质量要求和技术标准：</w:t>
      </w:r>
    </w:p>
    <w:p w14:paraId="1FEBBC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94AD02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6、技术服务、人员培训及技术资料</w:t>
      </w:r>
    </w:p>
    <w:p w14:paraId="018707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（技术服务、人员培训及技术资料应按招标文件要求填列。）</w:t>
      </w:r>
    </w:p>
    <w:p w14:paraId="3B6195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7、验收</w:t>
      </w:r>
    </w:p>
    <w:p w14:paraId="1DC3155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（项目验收标准和方法应按招标文件要求填列。）验收结果经双方确认后，双方代表必须按规定的验收交接单上的项目对照本合同填好验收结果并签名盖章。</w:t>
      </w:r>
    </w:p>
    <w:p w14:paraId="0D310CF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8、质量保证</w:t>
      </w:r>
    </w:p>
    <w:p w14:paraId="35874AF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在服务期内，乙方在接到甲方故障通知后</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小时内应委派专业技术人员到现场免费提供咨询、维修和更换零部件等服务，并及时填写维修报告（包括故障原因、处理情况及甲方意见等）报甲方备案，若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小时内无法排除故障，则应先提供同档次备用机供甲方使用。其中发生一切费用由乙方承担。</w:t>
      </w:r>
    </w:p>
    <w:p w14:paraId="2472C4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9、知识产权：</w:t>
      </w:r>
    </w:p>
    <w:p w14:paraId="5AE449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2A35CF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10、违约责任</w:t>
      </w:r>
    </w:p>
    <w:p w14:paraId="510896AE">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10.1未按期交货的违约责任：</w:t>
      </w:r>
    </w:p>
    <w:p w14:paraId="0235CA3A">
      <w:pPr>
        <w:spacing w:line="360" w:lineRule="auto"/>
        <w:jc w:val="lef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6788F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11、违约终止合同</w:t>
      </w:r>
    </w:p>
    <w:p w14:paraId="2E2EA9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11.1在补救违约而采取的任何其他措施未能实现的情况下，即在甲方发出的违约通知后30天内（或经甲方书面确认的更长时间内）仍未纠正其下述任何一种违约行为，甲方有权向乙方发出书面违约通知，甲方终止本合同：  </w:t>
      </w:r>
    </w:p>
    <w:p w14:paraId="35F7CF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11.1.1如果乙方未能在合同规定的期限内或双方另行确定的延期交货时间内交付合同约定的服务。</w:t>
      </w:r>
    </w:p>
    <w:p w14:paraId="547991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11.1.2乙方未能履行合同项下的任何其它义务。</w:t>
      </w:r>
    </w:p>
    <w:p w14:paraId="265037C6">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12、不可抗力</w:t>
      </w:r>
    </w:p>
    <w:p w14:paraId="2DA22F7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3F74C562">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本合同中的不可抗力指不能预见、不能避免并不能克服的客观情况。包括但不限于：自然灾害如地震、台风、洪水、火灾；政府行为、法律规定或其适用的变化或者其他任何无法预见、避免或者控制的事件。</w:t>
      </w:r>
    </w:p>
    <w:p w14:paraId="17280D2F">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13、合同纠纷处理方式：因本合同或与本合同有关的一切事项发生争议，由双方友好协商解决。协商不成的，任何一方均可选择以下任一方式解决：</w:t>
      </w:r>
    </w:p>
    <w:p w14:paraId="4FEF089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）向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（甲方所在地）</w:t>
      </w:r>
      <w:r>
        <w:rPr>
          <w:rFonts w:hint="eastAsia" w:ascii="宋体" w:hAnsi="宋体" w:eastAsia="宋体" w:cs="宋体"/>
          <w:color w:val="000000" w:themeColor="text1"/>
          <w:sz w:val="24"/>
          <w:szCs w:val="24"/>
          <w:highlight w:val="none"/>
          <w14:textFill>
            <w14:solidFill>
              <w14:schemeClr w14:val="tx1"/>
            </w14:solidFill>
          </w14:textFill>
        </w:rPr>
        <w:t>仲裁委员会申请仲裁；</w:t>
      </w:r>
    </w:p>
    <w:p w14:paraId="352410E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）向有管辖权的人民法院提起诉讼。</w:t>
      </w:r>
    </w:p>
    <w:p w14:paraId="6FD5ED39">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14、其他约定</w:t>
      </w:r>
    </w:p>
    <w:p w14:paraId="0485F3BD">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14.1本采购项目的招标文件、中标供应商的投标文件以及相关的澄清确认函（如果有的话）均为本合同不可分割的一部分，与本合同具有同等法律效力。</w:t>
      </w:r>
    </w:p>
    <w:p w14:paraId="0B8FC2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14.2本合同未尽事宜，双方另行补充。</w:t>
      </w:r>
    </w:p>
    <w:p w14:paraId="088FDD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14.3本合同一式四份，经双方授权代表签字并加盖公章后生效。甲方、乙方各执一份，送政府采购管理办公室、招标代理机构各备案一份，具有同等效力。</w:t>
      </w:r>
    </w:p>
    <w:p w14:paraId="1602DE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E269E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F0144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    方：                            乙    方：</w:t>
      </w:r>
    </w:p>
    <w:p w14:paraId="71A2933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                            单位地址：</w:t>
      </w:r>
    </w:p>
    <w:p w14:paraId="711352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                          法定代表人：</w:t>
      </w:r>
    </w:p>
    <w:p w14:paraId="3DC673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                          委托代理人：</w:t>
      </w:r>
    </w:p>
    <w:p w14:paraId="64EFF7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                            电    话：</w:t>
      </w:r>
    </w:p>
    <w:p w14:paraId="74D28D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                            开户银行：</w:t>
      </w:r>
    </w:p>
    <w:p w14:paraId="6C7C6A5B">
      <w:pPr>
        <w:spacing w:line="360" w:lineRule="auto"/>
        <w:ind w:left="-283" w:leftChars="-135"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                            账    号：</w:t>
      </w:r>
    </w:p>
    <w:p w14:paraId="3F34A8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CE30502">
      <w:pPr>
        <w:pStyle w:val="9"/>
        <w:rPr>
          <w:rFonts w:hint="eastAsia" w:ascii="宋体" w:hAnsi="宋体" w:eastAsia="宋体" w:cs="宋体"/>
          <w:color w:val="000000" w:themeColor="text1"/>
          <w:sz w:val="24"/>
          <w:szCs w:val="24"/>
          <w:highlight w:val="none"/>
          <w14:textFill>
            <w14:solidFill>
              <w14:schemeClr w14:val="tx1"/>
            </w14:solidFill>
          </w14:textFill>
        </w:rPr>
      </w:pPr>
    </w:p>
    <w:p w14:paraId="0D1DA430">
      <w:pPr>
        <w:pStyle w:val="10"/>
        <w:rPr>
          <w:rFonts w:hint="eastAsia" w:ascii="宋体" w:hAnsi="宋体" w:eastAsia="宋体" w:cs="宋体"/>
          <w:color w:val="000000" w:themeColor="text1"/>
          <w:sz w:val="24"/>
          <w:szCs w:val="24"/>
          <w:highlight w:val="none"/>
          <w14:textFill>
            <w14:solidFill>
              <w14:schemeClr w14:val="tx1"/>
            </w14:solidFill>
          </w14:textFill>
        </w:rPr>
      </w:pPr>
    </w:p>
    <w:p w14:paraId="0B981D80">
      <w:pPr>
        <w:pStyle w:val="12"/>
        <w:rPr>
          <w:rFonts w:hint="eastAsia" w:ascii="宋体" w:hAnsi="宋体" w:eastAsia="宋体" w:cs="宋体"/>
          <w:color w:val="000000" w:themeColor="text1"/>
          <w:sz w:val="24"/>
          <w:szCs w:val="24"/>
          <w:highlight w:val="none"/>
          <w14:textFill>
            <w14:solidFill>
              <w14:schemeClr w14:val="tx1"/>
            </w14:solidFill>
          </w14:textFill>
        </w:rPr>
      </w:pPr>
    </w:p>
    <w:p w14:paraId="6D88D771">
      <w:pPr>
        <w:rPr>
          <w:rFonts w:hint="eastAsia" w:ascii="宋体" w:hAnsi="宋体" w:eastAsia="宋体" w:cs="宋体"/>
          <w:color w:val="000000" w:themeColor="text1"/>
          <w:sz w:val="24"/>
          <w:szCs w:val="24"/>
          <w:highlight w:val="none"/>
          <w14:textFill>
            <w14:solidFill>
              <w14:schemeClr w14:val="tx1"/>
            </w14:solidFill>
          </w14:textFill>
        </w:rPr>
      </w:pPr>
    </w:p>
    <w:p w14:paraId="540D5B97">
      <w:pPr>
        <w:pStyle w:val="9"/>
        <w:rPr>
          <w:rFonts w:hint="eastAsia" w:ascii="宋体" w:hAnsi="宋体" w:eastAsia="宋体" w:cs="宋体"/>
          <w:color w:val="000000" w:themeColor="text1"/>
          <w:sz w:val="24"/>
          <w:szCs w:val="24"/>
          <w:highlight w:val="none"/>
          <w14:textFill>
            <w14:solidFill>
              <w14:schemeClr w14:val="tx1"/>
            </w14:solidFill>
          </w14:textFill>
        </w:rPr>
      </w:pPr>
    </w:p>
    <w:p w14:paraId="661F3EE5">
      <w:pPr>
        <w:pStyle w:val="10"/>
        <w:rPr>
          <w:rFonts w:hint="eastAsia" w:ascii="宋体" w:hAnsi="宋体" w:eastAsia="宋体" w:cs="宋体"/>
          <w:color w:val="000000" w:themeColor="text1"/>
          <w:sz w:val="24"/>
          <w:szCs w:val="24"/>
          <w:highlight w:val="none"/>
          <w14:textFill>
            <w14:solidFill>
              <w14:schemeClr w14:val="tx1"/>
            </w14:solidFill>
          </w14:textFill>
        </w:rPr>
      </w:pPr>
    </w:p>
    <w:p w14:paraId="4A94D099">
      <w:pPr>
        <w:pStyle w:val="12"/>
        <w:rPr>
          <w:rFonts w:hint="eastAsia" w:ascii="宋体" w:hAnsi="宋体" w:eastAsia="宋体" w:cs="宋体"/>
          <w:color w:val="000000" w:themeColor="text1"/>
          <w:sz w:val="24"/>
          <w:szCs w:val="24"/>
          <w:highlight w:val="none"/>
          <w14:textFill>
            <w14:solidFill>
              <w14:schemeClr w14:val="tx1"/>
            </w14:solidFill>
          </w14:textFill>
        </w:rPr>
      </w:pPr>
    </w:p>
    <w:p w14:paraId="2332CDDA">
      <w:pPr>
        <w:rPr>
          <w:rFonts w:hint="eastAsia" w:ascii="宋体" w:hAnsi="宋体" w:eastAsia="宋体" w:cs="宋体"/>
          <w:color w:val="000000" w:themeColor="text1"/>
          <w:sz w:val="24"/>
          <w:szCs w:val="24"/>
          <w:highlight w:val="none"/>
          <w14:textFill>
            <w14:solidFill>
              <w14:schemeClr w14:val="tx1"/>
            </w14:solidFill>
          </w14:textFill>
        </w:rPr>
        <w:sectPr>
          <w:headerReference r:id="rId11" w:type="default"/>
          <w:footerReference r:id="rId12" w:type="default"/>
          <w:pgSz w:w="11906" w:h="16838"/>
          <w:pgMar w:top="1440" w:right="1800" w:bottom="1440" w:left="1800" w:header="851" w:footer="992" w:gutter="0"/>
          <w:pgNumType w:start="1"/>
          <w:cols w:space="720" w:num="1"/>
          <w:docGrid w:type="lines" w:linePitch="312" w:charSpace="0"/>
        </w:sectPr>
      </w:pPr>
    </w:p>
    <w:p w14:paraId="2207DE9F">
      <w:pPr>
        <w:pStyle w:val="2"/>
        <w:spacing w:line="360" w:lineRule="auto"/>
        <w:ind w:firstLine="2249" w:firstLineChars="7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投标文件格式</w:t>
      </w:r>
    </w:p>
    <w:p w14:paraId="00558BA5">
      <w:pPr>
        <w:pStyle w:val="47"/>
        <w:spacing w:line="360" w:lineRule="auto"/>
        <w:rPr>
          <w:rFonts w:hint="eastAsia" w:hAnsi="宋体" w:eastAsia="宋体" w:cs="宋体"/>
          <w:color w:val="000000" w:themeColor="text1"/>
          <w:highlight w:val="none"/>
          <w14:textFill>
            <w14:solidFill>
              <w14:schemeClr w14:val="tx1"/>
            </w14:solidFill>
          </w14:textFill>
        </w:rPr>
      </w:pPr>
    </w:p>
    <w:p w14:paraId="2484F590">
      <w:pPr>
        <w:pStyle w:val="47"/>
        <w:spacing w:line="360" w:lineRule="auto"/>
        <w:rPr>
          <w:rFonts w:hint="eastAsia" w:hAnsi="宋体" w:eastAsia="宋体" w:cs="宋体"/>
          <w:color w:val="000000" w:themeColor="text1"/>
          <w:highlight w:val="none"/>
          <w14:textFill>
            <w14:solidFill>
              <w14:schemeClr w14:val="tx1"/>
            </w14:solidFill>
          </w14:textFill>
        </w:rPr>
      </w:pPr>
    </w:p>
    <w:p w14:paraId="43248A14">
      <w:pPr>
        <w:pStyle w:val="47"/>
        <w:spacing w:line="360" w:lineRule="auto"/>
        <w:rPr>
          <w:rFonts w:hint="eastAsia" w:hAnsi="宋体" w:eastAsia="宋体" w:cs="宋体"/>
          <w:color w:val="000000" w:themeColor="text1"/>
          <w:highlight w:val="none"/>
          <w14:textFill>
            <w14:solidFill>
              <w14:schemeClr w14:val="tx1"/>
            </w14:solidFill>
          </w14:textFill>
        </w:rPr>
      </w:pPr>
    </w:p>
    <w:p w14:paraId="0DF4D07F">
      <w:pPr>
        <w:pStyle w:val="47"/>
        <w:spacing w:line="360" w:lineRule="auto"/>
        <w:rPr>
          <w:rFonts w:hint="eastAsia" w:hAnsi="宋体" w:eastAsia="宋体" w:cs="宋体"/>
          <w:color w:val="000000" w:themeColor="text1"/>
          <w:highlight w:val="none"/>
          <w14:textFill>
            <w14:solidFill>
              <w14:schemeClr w14:val="tx1"/>
            </w14:solidFill>
          </w14:textFill>
        </w:rPr>
      </w:pPr>
    </w:p>
    <w:p w14:paraId="243827EE">
      <w:pPr>
        <w:pStyle w:val="47"/>
        <w:spacing w:line="360" w:lineRule="auto"/>
        <w:rPr>
          <w:rFonts w:hint="eastAsia" w:hAnsi="宋体" w:eastAsia="宋体" w:cs="宋体"/>
          <w:color w:val="000000" w:themeColor="text1"/>
          <w:highlight w:val="none"/>
          <w14:textFill>
            <w14:solidFill>
              <w14:schemeClr w14:val="tx1"/>
            </w14:solidFill>
          </w14:textFill>
        </w:rPr>
      </w:pPr>
      <w:r>
        <w:rPr>
          <w:rFonts w:hint="eastAsia" w:hAnsi="宋体" w:eastAsia="宋体" w:cs="宋体"/>
          <w:color w:val="000000" w:themeColor="text1"/>
          <w:highlight w:val="none"/>
          <w14:textFill>
            <w14:solidFill>
              <w14:schemeClr w14:val="tx1"/>
            </w14:solidFill>
          </w14:textFill>
        </w:rPr>
        <w:t xml:space="preserve">  </w:t>
      </w:r>
    </w:p>
    <w:tbl>
      <w:tblPr>
        <w:tblStyle w:val="23"/>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2826B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1B60F7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4480BCEC">
            <w:pPr>
              <w:spacing w:line="360" w:lineRule="auto"/>
              <w:ind w:right="132"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《投标文件格式》是投标人的部分投标文件格式和签订合同时所需文件的格式。投标人应参照这些格式文件制作投标文件，否则后果由投标人自行承担。</w:t>
            </w:r>
          </w:p>
        </w:tc>
      </w:tr>
    </w:tbl>
    <w:p w14:paraId="477CD79F">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B7F4E26">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B47056F">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1623B33">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5BED1C4">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0B3824B">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8B46851">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B20A91B">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22C1196">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08E6AFB">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6AB0680">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B3AEFED">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3C945F3">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6ECA302">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0265F9C">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0E4C31E">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3CFE3CA">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B9A6C0F">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AADEFE3">
      <w:pPr>
        <w:pStyle w:val="2"/>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30CD341">
      <w:pPr>
        <w:spacing w:line="360" w:lineRule="auto"/>
        <w:jc w:val="center"/>
        <w:rPr>
          <w:rFonts w:ascii="宋体" w:hAnsi="宋体"/>
          <w:b/>
          <w:color w:val="000000" w:themeColor="text1"/>
          <w:sz w:val="72"/>
          <w:highlight w:val="none"/>
          <w14:textFill>
            <w14:solidFill>
              <w14:schemeClr w14:val="tx1"/>
            </w14:solidFill>
          </w14:textFill>
        </w:rPr>
      </w:pPr>
    </w:p>
    <w:p w14:paraId="3894D559">
      <w:pPr>
        <w:spacing w:line="360" w:lineRule="auto"/>
        <w:jc w:val="center"/>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0F5CB23A">
      <w:pPr>
        <w:spacing w:line="360" w:lineRule="auto"/>
        <w:jc w:val="center"/>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投</w:t>
      </w:r>
      <w:r>
        <w:rPr>
          <w:rFonts w:ascii="宋体" w:hAnsi="宋体"/>
          <w:b/>
          <w:color w:val="000000" w:themeColor="text1"/>
          <w:sz w:val="72"/>
          <w:highlight w:val="none"/>
          <w14:textFill>
            <w14:solidFill>
              <w14:schemeClr w14:val="tx1"/>
            </w14:solidFill>
          </w14:textFill>
        </w:rPr>
        <w:t xml:space="preserve">  </w:t>
      </w:r>
      <w:r>
        <w:rPr>
          <w:rFonts w:hint="eastAsia" w:ascii="宋体" w:hAnsi="宋体"/>
          <w:b/>
          <w:color w:val="000000" w:themeColor="text1"/>
          <w:sz w:val="72"/>
          <w:highlight w:val="none"/>
          <w14:textFill>
            <w14:solidFill>
              <w14:schemeClr w14:val="tx1"/>
            </w14:solidFill>
          </w14:textFill>
        </w:rPr>
        <w:t>标</w:t>
      </w:r>
      <w:r>
        <w:rPr>
          <w:rFonts w:ascii="宋体" w:hAnsi="宋体"/>
          <w:b/>
          <w:color w:val="000000" w:themeColor="text1"/>
          <w:sz w:val="72"/>
          <w:highlight w:val="none"/>
          <w14:textFill>
            <w14:solidFill>
              <w14:schemeClr w14:val="tx1"/>
            </w14:solidFill>
          </w14:textFill>
        </w:rPr>
        <w:t xml:space="preserve">  </w:t>
      </w:r>
      <w:r>
        <w:rPr>
          <w:rFonts w:hint="eastAsia" w:ascii="宋体" w:hAnsi="宋体"/>
          <w:b/>
          <w:color w:val="000000" w:themeColor="text1"/>
          <w:sz w:val="72"/>
          <w:highlight w:val="none"/>
          <w14:textFill>
            <w14:solidFill>
              <w14:schemeClr w14:val="tx1"/>
            </w14:solidFill>
          </w14:textFill>
        </w:rPr>
        <w:t>文</w:t>
      </w:r>
      <w:r>
        <w:rPr>
          <w:rFonts w:ascii="宋体" w:hAnsi="宋体"/>
          <w:b/>
          <w:color w:val="000000" w:themeColor="text1"/>
          <w:sz w:val="72"/>
          <w:highlight w:val="none"/>
          <w14:textFill>
            <w14:solidFill>
              <w14:schemeClr w14:val="tx1"/>
            </w14:solidFill>
          </w14:textFill>
        </w:rPr>
        <w:t xml:space="preserve">  </w:t>
      </w:r>
      <w:r>
        <w:rPr>
          <w:rFonts w:hint="eastAsia" w:ascii="宋体" w:hAnsi="宋体"/>
          <w:b/>
          <w:color w:val="000000" w:themeColor="text1"/>
          <w:sz w:val="72"/>
          <w:highlight w:val="none"/>
          <w14:textFill>
            <w14:solidFill>
              <w14:schemeClr w14:val="tx1"/>
            </w14:solidFill>
          </w14:textFill>
        </w:rPr>
        <w:t>件</w:t>
      </w:r>
    </w:p>
    <w:p w14:paraId="0B797E85">
      <w:pPr>
        <w:spacing w:line="360" w:lineRule="auto"/>
        <w:rPr>
          <w:rFonts w:ascii="宋体" w:hAnsi="宋体"/>
          <w:b/>
          <w:color w:val="000000" w:themeColor="text1"/>
          <w:sz w:val="36"/>
          <w:highlight w:val="none"/>
          <w14:textFill>
            <w14:solidFill>
              <w14:schemeClr w14:val="tx1"/>
            </w14:solidFill>
          </w14:textFill>
        </w:rPr>
      </w:pPr>
    </w:p>
    <w:p w14:paraId="231F5785">
      <w:pPr>
        <w:spacing w:line="360" w:lineRule="auto"/>
        <w:jc w:val="center"/>
        <w:rPr>
          <w:rFonts w:ascii="宋体" w:hAnsi="宋体"/>
          <w:b/>
          <w:color w:val="000000" w:themeColor="text1"/>
          <w:sz w:val="36"/>
          <w:highlight w:val="none"/>
          <w14:textFill>
            <w14:solidFill>
              <w14:schemeClr w14:val="tx1"/>
            </w14:solidFill>
          </w14:textFill>
        </w:rPr>
      </w:pPr>
    </w:p>
    <w:p w14:paraId="70123F30">
      <w:pPr>
        <w:spacing w:line="360" w:lineRule="auto"/>
        <w:ind w:firstLine="1084" w:firstLineChars="300"/>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目</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名</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称：</w:t>
      </w:r>
      <w:r>
        <w:rPr>
          <w:rFonts w:ascii="宋体" w:hAnsi="宋体"/>
          <w:b/>
          <w:color w:val="000000" w:themeColor="text1"/>
          <w:sz w:val="36"/>
          <w:highlight w:val="none"/>
          <w:u w:val="single"/>
          <w14:textFill>
            <w14:solidFill>
              <w14:schemeClr w14:val="tx1"/>
            </w14:solidFill>
          </w14:textFill>
        </w:rPr>
        <w:t xml:space="preserve">               </w:t>
      </w:r>
    </w:p>
    <w:p w14:paraId="0250499C">
      <w:pPr>
        <w:spacing w:line="360" w:lineRule="auto"/>
        <w:ind w:firstLine="1084" w:firstLineChars="300"/>
        <w:rPr>
          <w:rFonts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招</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标</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编</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号：</w:t>
      </w:r>
      <w:r>
        <w:rPr>
          <w:rFonts w:ascii="宋体" w:hAnsi="宋体"/>
          <w:b/>
          <w:color w:val="000000" w:themeColor="text1"/>
          <w:sz w:val="36"/>
          <w:highlight w:val="none"/>
          <w:u w:val="single"/>
          <w14:textFill>
            <w14:solidFill>
              <w14:schemeClr w14:val="tx1"/>
            </w14:solidFill>
          </w14:textFill>
        </w:rPr>
        <w:t xml:space="preserve">               </w:t>
      </w:r>
    </w:p>
    <w:p w14:paraId="0DC4B8EE">
      <w:pPr>
        <w:spacing w:line="360" w:lineRule="auto"/>
        <w:rPr>
          <w:rFonts w:ascii="宋体" w:hAnsi="宋体"/>
          <w:b/>
          <w:color w:val="000000" w:themeColor="text1"/>
          <w:sz w:val="36"/>
          <w:highlight w:val="none"/>
          <w14:textFill>
            <w14:solidFill>
              <w14:schemeClr w14:val="tx1"/>
            </w14:solidFill>
          </w14:textFill>
        </w:rPr>
      </w:pPr>
    </w:p>
    <w:p w14:paraId="75A78FF8">
      <w:pPr>
        <w:spacing w:line="360" w:lineRule="auto"/>
        <w:rPr>
          <w:rFonts w:ascii="宋体" w:hAnsi="宋体"/>
          <w:b/>
          <w:color w:val="000000" w:themeColor="text1"/>
          <w:sz w:val="36"/>
          <w:highlight w:val="none"/>
          <w14:textFill>
            <w14:solidFill>
              <w14:schemeClr w14:val="tx1"/>
            </w14:solidFill>
          </w14:textFill>
        </w:rPr>
      </w:pPr>
    </w:p>
    <w:p w14:paraId="1A0693E6">
      <w:pPr>
        <w:spacing w:line="360" w:lineRule="auto"/>
        <w:rPr>
          <w:rFonts w:ascii="宋体" w:hAnsi="宋体"/>
          <w:b/>
          <w:color w:val="000000" w:themeColor="text1"/>
          <w:sz w:val="36"/>
          <w:highlight w:val="none"/>
          <w14:textFill>
            <w14:solidFill>
              <w14:schemeClr w14:val="tx1"/>
            </w14:solidFill>
          </w14:textFill>
        </w:rPr>
      </w:pPr>
    </w:p>
    <w:p w14:paraId="19BB04E7">
      <w:pPr>
        <w:spacing w:line="360" w:lineRule="auto"/>
        <w:rPr>
          <w:rFonts w:ascii="宋体" w:hAnsi="宋体"/>
          <w:b/>
          <w:color w:val="000000" w:themeColor="text1"/>
          <w:sz w:val="36"/>
          <w:highlight w:val="none"/>
          <w14:textFill>
            <w14:solidFill>
              <w14:schemeClr w14:val="tx1"/>
            </w14:solidFill>
          </w14:textFill>
        </w:rPr>
      </w:pPr>
    </w:p>
    <w:p w14:paraId="4C365011">
      <w:pPr>
        <w:spacing w:line="360" w:lineRule="auto"/>
        <w:rPr>
          <w:rFonts w:ascii="宋体" w:hAnsi="宋体"/>
          <w:b/>
          <w:color w:val="000000" w:themeColor="text1"/>
          <w:sz w:val="36"/>
          <w:highlight w:val="none"/>
          <w14:textFill>
            <w14:solidFill>
              <w14:schemeClr w14:val="tx1"/>
            </w14:solidFill>
          </w14:textFill>
        </w:rPr>
      </w:pPr>
    </w:p>
    <w:p w14:paraId="1844EEC9">
      <w:pPr>
        <w:spacing w:line="360" w:lineRule="auto"/>
        <w:rPr>
          <w:rFonts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投标人名称 ：</w:t>
      </w:r>
      <w:r>
        <w:rPr>
          <w:rFonts w:ascii="宋体" w:hAnsi="宋体"/>
          <w:b/>
          <w:color w:val="000000" w:themeColor="text1"/>
          <w:sz w:val="36"/>
          <w:highlight w:val="none"/>
          <w:u w:val="single"/>
          <w14:textFill>
            <w14:solidFill>
              <w14:schemeClr w14:val="tx1"/>
            </w14:solidFill>
          </w14:textFill>
        </w:rPr>
        <w:t xml:space="preserve">               </w:t>
      </w:r>
    </w:p>
    <w:p w14:paraId="1C871A34">
      <w:pPr>
        <w:spacing w:line="360" w:lineRule="auto"/>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ascii="宋体" w:hAnsi="宋体"/>
          <w:b/>
          <w:color w:val="000000" w:themeColor="text1"/>
          <w:sz w:val="36"/>
          <w:highlight w:val="none"/>
          <w:u w:val="single"/>
          <w14:textFill>
            <w14:solidFill>
              <w14:schemeClr w14:val="tx1"/>
            </w14:solidFill>
          </w14:textFill>
        </w:rPr>
        <w:t xml:space="preserve">               </w:t>
      </w:r>
    </w:p>
    <w:p w14:paraId="3EE59DE8">
      <w:pPr>
        <w:pStyle w:val="48"/>
        <w:spacing w:line="360" w:lineRule="auto"/>
        <w:rPr>
          <w:rFonts w:hAnsi="宋体"/>
          <w:b/>
          <w:color w:val="000000" w:themeColor="text1"/>
          <w:sz w:val="24"/>
          <w:highlight w:val="none"/>
          <w14:textFill>
            <w14:solidFill>
              <w14:schemeClr w14:val="tx1"/>
            </w14:solidFill>
          </w14:textFill>
        </w:rPr>
      </w:pPr>
    </w:p>
    <w:p w14:paraId="346F0D76">
      <w:pPr>
        <w:pStyle w:val="48"/>
        <w:spacing w:line="360" w:lineRule="auto"/>
        <w:rPr>
          <w:rFonts w:hAnsi="宋体"/>
          <w:b/>
          <w:color w:val="000000" w:themeColor="text1"/>
          <w:sz w:val="24"/>
          <w:highlight w:val="none"/>
          <w14:textFill>
            <w14:solidFill>
              <w14:schemeClr w14:val="tx1"/>
            </w14:solidFill>
          </w14:textFill>
        </w:rPr>
      </w:pPr>
    </w:p>
    <w:p w14:paraId="540E1176">
      <w:pPr>
        <w:pStyle w:val="48"/>
        <w:spacing w:line="360" w:lineRule="auto"/>
        <w:rPr>
          <w:rFonts w:hAnsi="宋体"/>
          <w:b/>
          <w:color w:val="000000" w:themeColor="text1"/>
          <w:sz w:val="24"/>
          <w:highlight w:val="none"/>
          <w14:textFill>
            <w14:solidFill>
              <w14:schemeClr w14:val="tx1"/>
            </w14:solidFill>
          </w14:textFill>
        </w:rPr>
      </w:pPr>
    </w:p>
    <w:p w14:paraId="2EC55969">
      <w:pPr>
        <w:pStyle w:val="2"/>
        <w:spacing w:line="360" w:lineRule="auto"/>
        <w:ind w:firstLine="660" w:firstLineChars="275"/>
        <w:rPr>
          <w:rFonts w:ascii="宋体" w:hAnsi="宋体"/>
          <w:color w:val="000000" w:themeColor="text1"/>
          <w:sz w:val="24"/>
          <w:szCs w:val="24"/>
          <w:highlight w:val="none"/>
          <w14:textFill>
            <w14:solidFill>
              <w14:schemeClr w14:val="tx1"/>
            </w14:solidFill>
          </w14:textFill>
        </w:rPr>
      </w:pPr>
    </w:p>
    <w:p w14:paraId="08BC2106">
      <w:pPr>
        <w:pStyle w:val="2"/>
        <w:spacing w:line="360" w:lineRule="auto"/>
        <w:ind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目    录</w:t>
      </w:r>
    </w:p>
    <w:p w14:paraId="75C393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5E07F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投 标 书</w:t>
      </w:r>
    </w:p>
    <w:p w14:paraId="7EF83C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开标一览表</w:t>
      </w:r>
    </w:p>
    <w:p w14:paraId="4BC4B7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投标分项报价表</w:t>
      </w:r>
    </w:p>
    <w:p w14:paraId="69E9E9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项目说明一览表</w:t>
      </w:r>
    </w:p>
    <w:p w14:paraId="2B6640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项目范围清单 </w:t>
      </w:r>
    </w:p>
    <w:p w14:paraId="371422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技术规格和商务响应表</w:t>
      </w:r>
    </w:p>
    <w:p w14:paraId="29E849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投标人的资格证明文件</w:t>
      </w:r>
    </w:p>
    <w:p w14:paraId="657974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资格声明</w:t>
      </w:r>
    </w:p>
    <w:p w14:paraId="7CAD02C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投标人的资格声明</w:t>
      </w:r>
    </w:p>
    <w:p w14:paraId="228CC89E">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7E968E4D">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w:t>
      </w:r>
    </w:p>
    <w:p w14:paraId="0C147277">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62367937">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6B8868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E3C7F32">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6BCE2E71">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1E6074C">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73D9B707">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030CE954">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730C47CB">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55F95420">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753C7C5A">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CEC78D5">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6B85E22A">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3CFCF31D">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3A7AB7E2">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452455EB">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39B4CC2F">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D5AD7EF">
      <w:pPr>
        <w:pStyle w:val="4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投 标 书</w:t>
      </w:r>
    </w:p>
    <w:p w14:paraId="7F888C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7FB56A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根据贵方为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项目的投标邀请（招标编号: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），本签字代表</w:t>
      </w:r>
      <w:r>
        <w:rPr>
          <w:rFonts w:hint="eastAsia" w:ascii="宋体" w:hAnsi="宋体" w:eastAsia="宋体" w:cs="宋体"/>
          <w:color w:val="000000" w:themeColor="text1"/>
          <w:sz w:val="24"/>
          <w:szCs w:val="24"/>
          <w:highlight w:val="none"/>
          <w:u w:val="single"/>
          <w14:textFill>
            <w14:solidFill>
              <w14:schemeClr w14:val="tx1"/>
            </w14:solidFill>
          </w14:textFill>
        </w:rPr>
        <w:t>（全名、职务）</w:t>
      </w:r>
      <w:r>
        <w:rPr>
          <w:rFonts w:hint="eastAsia" w:ascii="宋体" w:hAnsi="宋体" w:eastAsia="宋体" w:cs="宋体"/>
          <w:color w:val="000000" w:themeColor="text1"/>
          <w:sz w:val="24"/>
          <w:szCs w:val="24"/>
          <w:highlight w:val="none"/>
          <w14:textFill>
            <w14:solidFill>
              <w14:schemeClr w14:val="tx1"/>
            </w14:solidFill>
          </w14:textFill>
        </w:rPr>
        <w:t>正式授权并代表投标人</w:t>
      </w:r>
      <w:r>
        <w:rPr>
          <w:rFonts w:hint="eastAsia" w:ascii="宋体" w:hAnsi="宋体" w:eastAsia="宋体" w:cs="宋体"/>
          <w:color w:val="000000" w:themeColor="text1"/>
          <w:sz w:val="24"/>
          <w:szCs w:val="24"/>
          <w:highlight w:val="none"/>
          <w:u w:val="single"/>
          <w14:textFill>
            <w14:solidFill>
              <w14:schemeClr w14:val="tx1"/>
            </w14:solidFill>
          </w14:textFill>
        </w:rPr>
        <w:t>（投标人名称、地址）</w:t>
      </w:r>
      <w:r>
        <w:rPr>
          <w:rFonts w:hint="eastAsia" w:ascii="宋体" w:hAnsi="宋体" w:eastAsia="宋体" w:cs="宋体"/>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w:t>
      </w:r>
    </w:p>
    <w:p w14:paraId="74A9FA0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开标一览表</w:t>
      </w:r>
    </w:p>
    <w:p w14:paraId="186DDA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投标分项报价表</w:t>
      </w:r>
    </w:p>
    <w:p w14:paraId="6533996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项目说明一览表</w:t>
      </w:r>
    </w:p>
    <w:p w14:paraId="402B6B0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 项目范围清单 </w:t>
      </w:r>
    </w:p>
    <w:p w14:paraId="174F4B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技术规格和商务响应表</w:t>
      </w:r>
    </w:p>
    <w:p w14:paraId="553952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(6) 投标人资格证明文件</w:t>
      </w:r>
    </w:p>
    <w:p w14:paraId="73F172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(7)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461FB5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 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元的投标保证金。</w:t>
      </w:r>
    </w:p>
    <w:p w14:paraId="72F719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据此函，签字代表宣布同意如下：</w:t>
      </w:r>
    </w:p>
    <w:p w14:paraId="1F8405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1.所附详细报价表中规定的应提供和交付的服务报价总价（交钥匙总包价）为人民币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28F9980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2.投标人已详细审查全部招标文件，包括修改文件（如有的话）和有关附件，将自行承担因对全部招标文件理解不正确或误解而产生的相应后果。</w:t>
      </w:r>
    </w:p>
    <w:p w14:paraId="37BB95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3.投标人保证遵守招标文件的全部规定，投标人所提交的材料中所含的信息均为真实、准确、完整，且不具有任何误导性。</w:t>
      </w:r>
    </w:p>
    <w:p w14:paraId="66C7E7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4.投标人将按招标文件的规定履行合同责任和义务。</w:t>
      </w:r>
    </w:p>
    <w:p w14:paraId="486372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5.本投标文件自开标日起投标有效期为：在招标文件投标人须知前附表1第3项所规定的期限内保持有效。</w:t>
      </w:r>
    </w:p>
    <w:p w14:paraId="14046F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6.如果发生招标文件第二章投标人须知第12条所述情况，则同意招标代理机构不予退还投标保证金。</w:t>
      </w:r>
    </w:p>
    <w:p w14:paraId="0BFD0B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7.投标人同意按照招标代理机构要求提供与其投标有关的一切数据或资料，完全理解贵方不一定要接受最低的报价或收到的任何投标。</w:t>
      </w:r>
    </w:p>
    <w:p w14:paraId="22E539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与本投标有关的一切正式往来通讯请寄：</w:t>
      </w:r>
    </w:p>
    <w:p w14:paraId="7BB2851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地址：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C9DDC64">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电话：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传真：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4C7FC1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92B07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DF3F0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年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7FB4DD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6C62C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009E1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DCD6E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E0D07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3E86E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6EFFE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290D33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5B788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1313A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59718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F0B91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CD0B312">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3" w:type="default"/>
          <w:footerReference r:id="rId14" w:type="default"/>
          <w:pgSz w:w="11907" w:h="16840"/>
          <w:pgMar w:top="1361" w:right="1752" w:bottom="1440" w:left="1752" w:header="851" w:footer="992" w:gutter="0"/>
          <w:pgNumType w:start="1"/>
          <w:cols w:space="720" w:num="1"/>
        </w:sectPr>
      </w:pPr>
    </w:p>
    <w:p w14:paraId="797AE036">
      <w:pPr>
        <w:pStyle w:val="48"/>
        <w:spacing w:line="360" w:lineRule="auto"/>
        <w:ind w:firstLine="5140" w:firstLineChars="1600"/>
        <w:jc w:val="both"/>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一、开标一览表</w:t>
      </w:r>
    </w:p>
    <w:p w14:paraId="4BEA5A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投标人（全称并加盖公章）：                              招标编号∶               货币单位：</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768"/>
        <w:gridCol w:w="998"/>
        <w:gridCol w:w="1199"/>
        <w:gridCol w:w="1003"/>
        <w:gridCol w:w="1343"/>
        <w:gridCol w:w="1417"/>
        <w:gridCol w:w="1418"/>
        <w:gridCol w:w="2126"/>
      </w:tblGrid>
      <w:tr w14:paraId="16000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254F7206">
            <w:pPr>
              <w:spacing w:line="360" w:lineRule="auto"/>
              <w:jc w:val="center"/>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合同包</w:t>
            </w:r>
          </w:p>
        </w:tc>
        <w:tc>
          <w:tcPr>
            <w:tcW w:w="2108" w:type="dxa"/>
            <w:noWrap w:val="0"/>
            <w:vAlign w:val="center"/>
          </w:tcPr>
          <w:p w14:paraId="17C3790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服务名称</w:t>
            </w:r>
          </w:p>
        </w:tc>
        <w:tc>
          <w:tcPr>
            <w:tcW w:w="768" w:type="dxa"/>
            <w:noWrap w:val="0"/>
            <w:vAlign w:val="center"/>
          </w:tcPr>
          <w:p w14:paraId="78EE13B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998" w:type="dxa"/>
            <w:noWrap w:val="0"/>
            <w:vAlign w:val="center"/>
          </w:tcPr>
          <w:p w14:paraId="361B059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服务商</w:t>
            </w:r>
          </w:p>
        </w:tc>
        <w:tc>
          <w:tcPr>
            <w:tcW w:w="1199" w:type="dxa"/>
            <w:noWrap w:val="0"/>
            <w:vAlign w:val="center"/>
          </w:tcPr>
          <w:p w14:paraId="45E9C82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投标</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报价</w:t>
            </w:r>
          </w:p>
          <w:p w14:paraId="1BDF269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（元）</w:t>
            </w:r>
          </w:p>
        </w:tc>
        <w:tc>
          <w:tcPr>
            <w:tcW w:w="1003" w:type="dxa"/>
            <w:noWrap w:val="0"/>
            <w:vAlign w:val="center"/>
          </w:tcPr>
          <w:p w14:paraId="6E5E847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服务地点</w:t>
            </w:r>
          </w:p>
        </w:tc>
        <w:tc>
          <w:tcPr>
            <w:tcW w:w="1343" w:type="dxa"/>
            <w:noWrap w:val="0"/>
            <w:vAlign w:val="center"/>
          </w:tcPr>
          <w:p w14:paraId="398AB08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服务时间</w:t>
            </w:r>
          </w:p>
        </w:tc>
        <w:tc>
          <w:tcPr>
            <w:tcW w:w="1417" w:type="dxa"/>
            <w:noWrap w:val="0"/>
            <w:vAlign w:val="top"/>
          </w:tcPr>
          <w:p w14:paraId="7C330D6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是否联合体投标</w:t>
            </w:r>
          </w:p>
        </w:tc>
        <w:tc>
          <w:tcPr>
            <w:tcW w:w="1418" w:type="dxa"/>
            <w:noWrap w:val="0"/>
            <w:vAlign w:val="top"/>
          </w:tcPr>
          <w:p w14:paraId="1539134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联合体组成单位</w:t>
            </w:r>
          </w:p>
        </w:tc>
        <w:tc>
          <w:tcPr>
            <w:tcW w:w="2126" w:type="dxa"/>
            <w:noWrap w:val="0"/>
            <w:vAlign w:val="center"/>
          </w:tcPr>
          <w:p w14:paraId="639D454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备注</w:t>
            </w:r>
          </w:p>
        </w:tc>
      </w:tr>
      <w:tr w14:paraId="7B51D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0273E08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108" w:type="dxa"/>
            <w:noWrap w:val="0"/>
            <w:vAlign w:val="center"/>
          </w:tcPr>
          <w:p w14:paraId="06F5D60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768" w:type="dxa"/>
            <w:noWrap w:val="0"/>
            <w:vAlign w:val="center"/>
          </w:tcPr>
          <w:p w14:paraId="4AF263B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998" w:type="dxa"/>
            <w:noWrap w:val="0"/>
            <w:vAlign w:val="top"/>
          </w:tcPr>
          <w:p w14:paraId="4A3B374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99" w:type="dxa"/>
            <w:noWrap w:val="0"/>
            <w:vAlign w:val="top"/>
          </w:tcPr>
          <w:p w14:paraId="237C00E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003" w:type="dxa"/>
            <w:noWrap w:val="0"/>
            <w:vAlign w:val="center"/>
          </w:tcPr>
          <w:p w14:paraId="2B69FF7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343" w:type="dxa"/>
            <w:noWrap w:val="0"/>
            <w:vAlign w:val="center"/>
          </w:tcPr>
          <w:p w14:paraId="0292D41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17" w:type="dxa"/>
            <w:noWrap w:val="0"/>
            <w:vAlign w:val="top"/>
          </w:tcPr>
          <w:p w14:paraId="3A1D404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418" w:type="dxa"/>
            <w:noWrap w:val="0"/>
            <w:vAlign w:val="top"/>
          </w:tcPr>
          <w:p w14:paraId="4933EA4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126" w:type="dxa"/>
            <w:noWrap w:val="0"/>
            <w:vAlign w:val="top"/>
          </w:tcPr>
          <w:p w14:paraId="428F390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4B5C8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F6AC49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108" w:type="dxa"/>
            <w:noWrap w:val="0"/>
            <w:vAlign w:val="center"/>
          </w:tcPr>
          <w:p w14:paraId="7A555B4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768" w:type="dxa"/>
            <w:noWrap w:val="0"/>
            <w:vAlign w:val="center"/>
          </w:tcPr>
          <w:p w14:paraId="4FD8E43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998" w:type="dxa"/>
            <w:noWrap w:val="0"/>
            <w:vAlign w:val="top"/>
          </w:tcPr>
          <w:p w14:paraId="32DF5ED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99" w:type="dxa"/>
            <w:noWrap w:val="0"/>
            <w:vAlign w:val="top"/>
          </w:tcPr>
          <w:p w14:paraId="7BCB76F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003" w:type="dxa"/>
            <w:noWrap w:val="0"/>
            <w:vAlign w:val="center"/>
          </w:tcPr>
          <w:p w14:paraId="3C572CD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343" w:type="dxa"/>
            <w:noWrap w:val="0"/>
            <w:vAlign w:val="center"/>
          </w:tcPr>
          <w:p w14:paraId="3950069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17" w:type="dxa"/>
            <w:noWrap w:val="0"/>
            <w:vAlign w:val="top"/>
          </w:tcPr>
          <w:p w14:paraId="0A4ACF4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418" w:type="dxa"/>
            <w:noWrap w:val="0"/>
            <w:vAlign w:val="top"/>
          </w:tcPr>
          <w:p w14:paraId="2C4C663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126" w:type="dxa"/>
            <w:noWrap w:val="0"/>
            <w:vAlign w:val="top"/>
          </w:tcPr>
          <w:p w14:paraId="1D4EACD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6649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4FCD12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投标总价</w:t>
            </w:r>
          </w:p>
        </w:tc>
        <w:tc>
          <w:tcPr>
            <w:tcW w:w="12380" w:type="dxa"/>
            <w:gridSpan w:val="9"/>
            <w:noWrap w:val="0"/>
            <w:vAlign w:val="center"/>
          </w:tcPr>
          <w:p w14:paraId="761362B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9CCF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CF3F49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服务范围</w:t>
            </w:r>
          </w:p>
        </w:tc>
        <w:tc>
          <w:tcPr>
            <w:tcW w:w="12380" w:type="dxa"/>
            <w:gridSpan w:val="9"/>
            <w:noWrap w:val="0"/>
            <w:vAlign w:val="center"/>
          </w:tcPr>
          <w:p w14:paraId="30107BD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C177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850808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服务要求</w:t>
            </w:r>
          </w:p>
        </w:tc>
        <w:tc>
          <w:tcPr>
            <w:tcW w:w="12380" w:type="dxa"/>
            <w:gridSpan w:val="9"/>
            <w:noWrap w:val="0"/>
            <w:vAlign w:val="center"/>
          </w:tcPr>
          <w:p w14:paraId="09EF77F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47A40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03ABC84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服务标准</w:t>
            </w:r>
          </w:p>
        </w:tc>
        <w:tc>
          <w:tcPr>
            <w:tcW w:w="12380" w:type="dxa"/>
            <w:gridSpan w:val="9"/>
            <w:noWrap w:val="0"/>
            <w:vAlign w:val="center"/>
          </w:tcPr>
          <w:p w14:paraId="3B4F210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65E8E7C3">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sectPr>
          <w:footerReference r:id="rId15" w:type="default"/>
          <w:pgSz w:w="16840" w:h="11907" w:orient="landscape"/>
          <w:pgMar w:top="1752" w:right="1361" w:bottom="1752" w:left="1440" w:header="851" w:footer="992" w:gutter="0"/>
          <w:pgNumType w:fmt="decimal"/>
          <w:cols w:space="720" w:num="1"/>
        </w:sectPr>
      </w:pPr>
    </w:p>
    <w:p w14:paraId="27F714A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834265A">
      <w:pPr>
        <w:spacing w:line="360" w:lineRule="auto"/>
        <w:ind w:firstLine="2560" w:firstLineChars="8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二、投标分项报价表</w:t>
      </w:r>
    </w:p>
    <w:p w14:paraId="55C5AA2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E36F0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投标人名称：             招标编号：               货币单位：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1"/>
        <w:gridCol w:w="1108"/>
        <w:gridCol w:w="1399"/>
        <w:gridCol w:w="1109"/>
        <w:gridCol w:w="974"/>
        <w:gridCol w:w="975"/>
        <w:gridCol w:w="931"/>
        <w:gridCol w:w="931"/>
        <w:gridCol w:w="932"/>
      </w:tblGrid>
      <w:tr w14:paraId="018B7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1" w:type="dxa"/>
            <w:tcBorders>
              <w:top w:val="single" w:color="auto" w:sz="4" w:space="0"/>
              <w:left w:val="single" w:color="auto" w:sz="4" w:space="0"/>
              <w:bottom w:val="single" w:color="auto" w:sz="4" w:space="0"/>
              <w:right w:val="single" w:color="auto" w:sz="4" w:space="0"/>
            </w:tcBorders>
            <w:noWrap w:val="0"/>
            <w:vAlign w:val="center"/>
          </w:tcPr>
          <w:p w14:paraId="7985CA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507" w:type="dxa"/>
            <w:gridSpan w:val="2"/>
            <w:tcBorders>
              <w:top w:val="single" w:color="auto" w:sz="4" w:space="0"/>
              <w:left w:val="single" w:color="auto" w:sz="4" w:space="0"/>
              <w:bottom w:val="single" w:color="auto" w:sz="4" w:space="0"/>
              <w:right w:val="single" w:color="auto" w:sz="4" w:space="0"/>
            </w:tcBorders>
            <w:noWrap w:val="0"/>
            <w:vAlign w:val="center"/>
          </w:tcPr>
          <w:p w14:paraId="25E395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投标项目合同包</w:t>
            </w:r>
          </w:p>
        </w:tc>
        <w:tc>
          <w:tcPr>
            <w:tcW w:w="1109" w:type="dxa"/>
            <w:tcBorders>
              <w:top w:val="single" w:color="auto" w:sz="4" w:space="0"/>
              <w:left w:val="single" w:color="auto" w:sz="4" w:space="0"/>
              <w:bottom w:val="single" w:color="auto" w:sz="4" w:space="0"/>
              <w:right w:val="single" w:color="auto" w:sz="4" w:space="0"/>
            </w:tcBorders>
            <w:noWrap w:val="0"/>
            <w:vAlign w:val="center"/>
          </w:tcPr>
          <w:p w14:paraId="73297D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489F17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17433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5EDA6A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3C4009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F48D8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977D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1" w:type="dxa"/>
            <w:tcBorders>
              <w:top w:val="single" w:color="auto" w:sz="4" w:space="0"/>
              <w:left w:val="single" w:color="auto" w:sz="4" w:space="0"/>
              <w:bottom w:val="single" w:color="auto" w:sz="4" w:space="0"/>
              <w:right w:val="single" w:color="auto" w:sz="4" w:space="0"/>
            </w:tcBorders>
            <w:noWrap w:val="0"/>
            <w:vAlign w:val="center"/>
          </w:tcPr>
          <w:p w14:paraId="6D8256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2507" w:type="dxa"/>
            <w:gridSpan w:val="2"/>
            <w:tcBorders>
              <w:top w:val="single" w:color="auto" w:sz="4" w:space="0"/>
              <w:left w:val="single" w:color="auto" w:sz="4" w:space="0"/>
              <w:bottom w:val="single" w:color="auto" w:sz="4" w:space="0"/>
              <w:right w:val="single" w:color="auto" w:sz="4" w:space="0"/>
            </w:tcBorders>
            <w:noWrap w:val="0"/>
            <w:vAlign w:val="center"/>
          </w:tcPr>
          <w:p w14:paraId="7B7228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109" w:type="dxa"/>
            <w:tcBorders>
              <w:top w:val="single" w:color="auto" w:sz="4" w:space="0"/>
              <w:left w:val="single" w:color="auto" w:sz="4" w:space="0"/>
              <w:bottom w:val="single" w:color="auto" w:sz="4" w:space="0"/>
              <w:right w:val="single" w:color="auto" w:sz="4" w:space="0"/>
            </w:tcBorders>
            <w:noWrap w:val="0"/>
            <w:vAlign w:val="center"/>
          </w:tcPr>
          <w:p w14:paraId="7ABAC4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381FEF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7CE9F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677E68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20DA98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7534E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61BC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1" w:type="dxa"/>
            <w:tcBorders>
              <w:top w:val="single" w:color="auto" w:sz="4" w:space="0"/>
              <w:left w:val="single" w:color="auto" w:sz="4" w:space="0"/>
              <w:bottom w:val="single" w:color="auto" w:sz="4" w:space="0"/>
              <w:right w:val="single" w:color="auto" w:sz="4" w:space="0"/>
            </w:tcBorders>
            <w:noWrap w:val="0"/>
            <w:vAlign w:val="center"/>
          </w:tcPr>
          <w:p w14:paraId="5BBEE4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2507" w:type="dxa"/>
            <w:gridSpan w:val="2"/>
            <w:tcBorders>
              <w:top w:val="single" w:color="auto" w:sz="4" w:space="0"/>
              <w:left w:val="single" w:color="auto" w:sz="4" w:space="0"/>
              <w:bottom w:val="single" w:color="auto" w:sz="4" w:space="0"/>
              <w:right w:val="single" w:color="auto" w:sz="4" w:space="0"/>
            </w:tcBorders>
            <w:noWrap w:val="0"/>
            <w:vAlign w:val="center"/>
          </w:tcPr>
          <w:p w14:paraId="26E1B5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1109" w:type="dxa"/>
            <w:tcBorders>
              <w:top w:val="single" w:color="auto" w:sz="4" w:space="0"/>
              <w:left w:val="single" w:color="auto" w:sz="4" w:space="0"/>
              <w:bottom w:val="single" w:color="auto" w:sz="4" w:space="0"/>
              <w:right w:val="single" w:color="auto" w:sz="4" w:space="0"/>
            </w:tcBorders>
            <w:noWrap w:val="0"/>
            <w:vAlign w:val="center"/>
          </w:tcPr>
          <w:p w14:paraId="29DD52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62CCFEB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D8A90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676816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04E1A9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D80C3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FA8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5" w:hRule="atLeast"/>
        </w:trPr>
        <w:tc>
          <w:tcPr>
            <w:tcW w:w="521" w:type="dxa"/>
            <w:tcBorders>
              <w:top w:val="single" w:color="auto" w:sz="4" w:space="0"/>
              <w:left w:val="single" w:color="auto" w:sz="4" w:space="0"/>
              <w:bottom w:val="single" w:color="auto" w:sz="4" w:space="0"/>
              <w:right w:val="single" w:color="auto" w:sz="4" w:space="0"/>
            </w:tcBorders>
            <w:noWrap w:val="0"/>
            <w:vAlign w:val="center"/>
          </w:tcPr>
          <w:p w14:paraId="24AE1D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2507" w:type="dxa"/>
            <w:gridSpan w:val="2"/>
            <w:tcBorders>
              <w:top w:val="single" w:color="auto" w:sz="4" w:space="0"/>
              <w:left w:val="single" w:color="auto" w:sz="4" w:space="0"/>
              <w:bottom w:val="single" w:color="auto" w:sz="4" w:space="0"/>
              <w:right w:val="single" w:color="auto" w:sz="4" w:space="0"/>
            </w:tcBorders>
            <w:noWrap w:val="0"/>
            <w:vAlign w:val="center"/>
          </w:tcPr>
          <w:p w14:paraId="01A92F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109" w:type="dxa"/>
            <w:tcBorders>
              <w:top w:val="single" w:color="auto" w:sz="4" w:space="0"/>
              <w:left w:val="single" w:color="auto" w:sz="4" w:space="0"/>
              <w:bottom w:val="single" w:color="auto" w:sz="4" w:space="0"/>
              <w:right w:val="single" w:color="auto" w:sz="4" w:space="0"/>
            </w:tcBorders>
            <w:noWrap w:val="0"/>
            <w:vAlign w:val="center"/>
          </w:tcPr>
          <w:p w14:paraId="2DD9D9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1C90CF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F4CC6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25066E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0C1866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46EB43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6558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3" w:hRule="atLeast"/>
        </w:trPr>
        <w:tc>
          <w:tcPr>
            <w:tcW w:w="521" w:type="dxa"/>
            <w:tcBorders>
              <w:top w:val="single" w:color="auto" w:sz="4" w:space="0"/>
              <w:left w:val="single" w:color="auto" w:sz="4" w:space="0"/>
              <w:bottom w:val="single" w:color="auto" w:sz="4" w:space="0"/>
              <w:right w:val="single" w:color="auto" w:sz="4" w:space="0"/>
            </w:tcBorders>
            <w:noWrap w:val="0"/>
            <w:vAlign w:val="center"/>
          </w:tcPr>
          <w:p w14:paraId="482DA7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2507" w:type="dxa"/>
            <w:gridSpan w:val="2"/>
            <w:tcBorders>
              <w:top w:val="single" w:color="auto" w:sz="4" w:space="0"/>
              <w:left w:val="single" w:color="auto" w:sz="4" w:space="0"/>
              <w:bottom w:val="single" w:color="auto" w:sz="4" w:space="0"/>
              <w:right w:val="single" w:color="auto" w:sz="4" w:space="0"/>
            </w:tcBorders>
            <w:noWrap w:val="0"/>
            <w:vAlign w:val="center"/>
          </w:tcPr>
          <w:p w14:paraId="7D8C66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技术服务费</w:t>
            </w:r>
          </w:p>
        </w:tc>
        <w:tc>
          <w:tcPr>
            <w:tcW w:w="1109" w:type="dxa"/>
            <w:tcBorders>
              <w:top w:val="single" w:color="auto" w:sz="4" w:space="0"/>
              <w:left w:val="single" w:color="auto" w:sz="4" w:space="0"/>
              <w:bottom w:val="single" w:color="auto" w:sz="4" w:space="0"/>
              <w:right w:val="single" w:color="auto" w:sz="4" w:space="0"/>
            </w:tcBorders>
            <w:noWrap w:val="0"/>
            <w:vAlign w:val="center"/>
          </w:tcPr>
          <w:p w14:paraId="00B1462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0237A3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7B36D8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716887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055438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E1D6E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172C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1" w:type="dxa"/>
            <w:tcBorders>
              <w:top w:val="single" w:color="auto" w:sz="4" w:space="0"/>
              <w:left w:val="single" w:color="auto" w:sz="4" w:space="0"/>
              <w:bottom w:val="single" w:color="auto" w:sz="4" w:space="0"/>
              <w:right w:val="single" w:color="auto" w:sz="4" w:space="0"/>
            </w:tcBorders>
            <w:noWrap w:val="0"/>
            <w:vAlign w:val="center"/>
          </w:tcPr>
          <w:p w14:paraId="15D3C6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2507" w:type="dxa"/>
            <w:gridSpan w:val="2"/>
            <w:tcBorders>
              <w:top w:val="single" w:color="auto" w:sz="4" w:space="0"/>
              <w:left w:val="single" w:color="auto" w:sz="4" w:space="0"/>
              <w:bottom w:val="single" w:color="auto" w:sz="4" w:space="0"/>
              <w:right w:val="single" w:color="auto" w:sz="4" w:space="0"/>
            </w:tcBorders>
            <w:noWrap w:val="0"/>
            <w:vAlign w:val="center"/>
          </w:tcPr>
          <w:p w14:paraId="7D9152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检验培训费</w:t>
            </w:r>
          </w:p>
        </w:tc>
        <w:tc>
          <w:tcPr>
            <w:tcW w:w="1109" w:type="dxa"/>
            <w:tcBorders>
              <w:top w:val="single" w:color="auto" w:sz="4" w:space="0"/>
              <w:left w:val="single" w:color="auto" w:sz="4" w:space="0"/>
              <w:bottom w:val="single" w:color="auto" w:sz="4" w:space="0"/>
              <w:right w:val="single" w:color="auto" w:sz="4" w:space="0"/>
            </w:tcBorders>
            <w:noWrap w:val="0"/>
            <w:vAlign w:val="center"/>
          </w:tcPr>
          <w:p w14:paraId="441513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5530091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5FCA6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40AA7C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67FEF7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D6BC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9CDA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1" w:type="dxa"/>
            <w:tcBorders>
              <w:top w:val="single" w:color="auto" w:sz="4" w:space="0"/>
              <w:left w:val="single" w:color="auto" w:sz="4" w:space="0"/>
              <w:bottom w:val="single" w:color="auto" w:sz="4" w:space="0"/>
              <w:right w:val="single" w:color="auto" w:sz="4" w:space="0"/>
            </w:tcBorders>
            <w:noWrap w:val="0"/>
            <w:vAlign w:val="center"/>
          </w:tcPr>
          <w:p w14:paraId="50DED9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2507" w:type="dxa"/>
            <w:gridSpan w:val="2"/>
            <w:tcBorders>
              <w:top w:val="single" w:color="auto" w:sz="4" w:space="0"/>
              <w:left w:val="single" w:color="auto" w:sz="4" w:space="0"/>
              <w:bottom w:val="single" w:color="auto" w:sz="4" w:space="0"/>
              <w:right w:val="single" w:color="auto" w:sz="4" w:space="0"/>
            </w:tcBorders>
            <w:noWrap w:val="0"/>
            <w:vAlign w:val="center"/>
          </w:tcPr>
          <w:p w14:paraId="12368F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保险费用</w:t>
            </w:r>
          </w:p>
        </w:tc>
        <w:tc>
          <w:tcPr>
            <w:tcW w:w="1109" w:type="dxa"/>
            <w:tcBorders>
              <w:top w:val="single" w:color="auto" w:sz="4" w:space="0"/>
              <w:left w:val="single" w:color="auto" w:sz="4" w:space="0"/>
              <w:bottom w:val="single" w:color="auto" w:sz="4" w:space="0"/>
              <w:right w:val="single" w:color="auto" w:sz="4" w:space="0"/>
            </w:tcBorders>
            <w:noWrap w:val="0"/>
            <w:vAlign w:val="center"/>
          </w:tcPr>
          <w:p w14:paraId="7F8D90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15B86C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0A31C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53F826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116A1F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290C5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516B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1" w:type="dxa"/>
            <w:tcBorders>
              <w:top w:val="single" w:color="auto" w:sz="4" w:space="0"/>
              <w:left w:val="single" w:color="auto" w:sz="4" w:space="0"/>
              <w:bottom w:val="single" w:color="auto" w:sz="4" w:space="0"/>
              <w:right w:val="single" w:color="auto" w:sz="4" w:space="0"/>
            </w:tcBorders>
            <w:noWrap w:val="0"/>
            <w:vAlign w:val="center"/>
          </w:tcPr>
          <w:p w14:paraId="52553D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2507" w:type="dxa"/>
            <w:gridSpan w:val="2"/>
            <w:tcBorders>
              <w:top w:val="single" w:color="auto" w:sz="4" w:space="0"/>
              <w:left w:val="single" w:color="auto" w:sz="4" w:space="0"/>
              <w:bottom w:val="single" w:color="auto" w:sz="4" w:space="0"/>
              <w:right w:val="single" w:color="auto" w:sz="4" w:space="0"/>
            </w:tcBorders>
            <w:noWrap w:val="0"/>
            <w:vAlign w:val="center"/>
          </w:tcPr>
          <w:p w14:paraId="0DA822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其他费用</w:t>
            </w:r>
          </w:p>
        </w:tc>
        <w:tc>
          <w:tcPr>
            <w:tcW w:w="1109" w:type="dxa"/>
            <w:tcBorders>
              <w:top w:val="single" w:color="auto" w:sz="4" w:space="0"/>
              <w:left w:val="single" w:color="auto" w:sz="4" w:space="0"/>
              <w:bottom w:val="single" w:color="auto" w:sz="4" w:space="0"/>
              <w:right w:val="single" w:color="auto" w:sz="4" w:space="0"/>
            </w:tcBorders>
            <w:noWrap w:val="0"/>
            <w:vAlign w:val="center"/>
          </w:tcPr>
          <w:p w14:paraId="5B8CE2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2FA382F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DB62F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4D9E1B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59D746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3412F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B3E2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1" w:type="dxa"/>
            <w:vMerge w:val="restart"/>
            <w:tcBorders>
              <w:top w:val="single" w:color="auto" w:sz="4" w:space="0"/>
              <w:left w:val="single" w:color="auto" w:sz="4" w:space="0"/>
              <w:bottom w:val="single" w:color="auto" w:sz="4" w:space="0"/>
              <w:right w:val="single" w:color="auto" w:sz="4" w:space="0"/>
            </w:tcBorders>
            <w:noWrap w:val="0"/>
            <w:vAlign w:val="center"/>
          </w:tcPr>
          <w:p w14:paraId="5FBA59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6CEE30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投标价格</w:t>
            </w:r>
          </w:p>
        </w:tc>
        <w:tc>
          <w:tcPr>
            <w:tcW w:w="1399" w:type="dxa"/>
            <w:tcBorders>
              <w:top w:val="single" w:color="auto" w:sz="4" w:space="0"/>
              <w:left w:val="single" w:color="auto" w:sz="4" w:space="0"/>
              <w:bottom w:val="single" w:color="auto" w:sz="4" w:space="0"/>
              <w:right w:val="single" w:color="auto" w:sz="4" w:space="0"/>
            </w:tcBorders>
            <w:noWrap w:val="0"/>
            <w:vAlign w:val="center"/>
          </w:tcPr>
          <w:p w14:paraId="5BBCF6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09" w:type="dxa"/>
            <w:tcBorders>
              <w:top w:val="single" w:color="auto" w:sz="4" w:space="0"/>
              <w:left w:val="single" w:color="auto" w:sz="4" w:space="0"/>
              <w:bottom w:val="single" w:color="auto" w:sz="4" w:space="0"/>
              <w:right w:val="single" w:color="auto" w:sz="4" w:space="0"/>
            </w:tcBorders>
            <w:noWrap w:val="0"/>
            <w:vAlign w:val="center"/>
          </w:tcPr>
          <w:p w14:paraId="782FF4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1EA88B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205C9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63E59A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2A59E2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B10FE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0C5C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1" w:type="dxa"/>
            <w:vMerge w:val="continue"/>
            <w:tcBorders>
              <w:top w:val="single" w:color="auto" w:sz="4" w:space="0"/>
              <w:left w:val="single" w:color="auto" w:sz="4" w:space="0"/>
              <w:bottom w:val="single" w:color="auto" w:sz="4" w:space="0"/>
              <w:right w:val="single" w:color="auto" w:sz="4" w:space="0"/>
            </w:tcBorders>
            <w:noWrap w:val="0"/>
            <w:vAlign w:val="center"/>
          </w:tcPr>
          <w:p w14:paraId="20BA898A">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3DBBEB5F">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399" w:type="dxa"/>
            <w:tcBorders>
              <w:top w:val="single" w:color="auto" w:sz="4" w:space="0"/>
              <w:left w:val="single" w:color="auto" w:sz="4" w:space="0"/>
              <w:bottom w:val="single" w:color="auto" w:sz="4" w:space="0"/>
              <w:right w:val="single" w:color="auto" w:sz="4" w:space="0"/>
            </w:tcBorders>
            <w:noWrap w:val="0"/>
            <w:vAlign w:val="center"/>
          </w:tcPr>
          <w:p w14:paraId="4573AE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09" w:type="dxa"/>
            <w:tcBorders>
              <w:top w:val="single" w:color="auto" w:sz="4" w:space="0"/>
              <w:left w:val="single" w:color="auto" w:sz="4" w:space="0"/>
              <w:bottom w:val="single" w:color="auto" w:sz="4" w:space="0"/>
              <w:right w:val="single" w:color="auto" w:sz="4" w:space="0"/>
            </w:tcBorders>
            <w:noWrap w:val="0"/>
            <w:vAlign w:val="center"/>
          </w:tcPr>
          <w:p w14:paraId="0CF5B7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0FF367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71490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56BB0C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4FEFE1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C2B21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2503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3" w:hRule="atLeast"/>
        </w:trPr>
        <w:tc>
          <w:tcPr>
            <w:tcW w:w="521" w:type="dxa"/>
            <w:tcBorders>
              <w:top w:val="single" w:color="auto" w:sz="4" w:space="0"/>
              <w:left w:val="single" w:color="auto" w:sz="4" w:space="0"/>
              <w:bottom w:val="single" w:color="auto" w:sz="4" w:space="0"/>
              <w:right w:val="single" w:color="auto" w:sz="4" w:space="0"/>
            </w:tcBorders>
            <w:noWrap w:val="0"/>
            <w:vAlign w:val="center"/>
          </w:tcPr>
          <w:p w14:paraId="3B03AF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2507" w:type="dxa"/>
            <w:gridSpan w:val="2"/>
            <w:tcBorders>
              <w:top w:val="single" w:color="auto" w:sz="4" w:space="0"/>
              <w:left w:val="single" w:color="auto" w:sz="4" w:space="0"/>
              <w:bottom w:val="single" w:color="auto" w:sz="4" w:space="0"/>
              <w:right w:val="single" w:color="auto" w:sz="4" w:space="0"/>
            </w:tcBorders>
            <w:noWrap w:val="0"/>
            <w:vAlign w:val="center"/>
          </w:tcPr>
          <w:p w14:paraId="12EC7E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投标总价</w:t>
            </w:r>
          </w:p>
        </w:tc>
        <w:tc>
          <w:tcPr>
            <w:tcW w:w="5852" w:type="dxa"/>
            <w:gridSpan w:val="6"/>
            <w:tcBorders>
              <w:top w:val="single" w:color="auto" w:sz="4" w:space="0"/>
              <w:left w:val="single" w:color="auto" w:sz="4" w:space="0"/>
              <w:bottom w:val="single" w:color="auto" w:sz="4" w:space="0"/>
              <w:right w:val="single" w:color="auto" w:sz="4" w:space="0"/>
            </w:tcBorders>
            <w:noWrap w:val="0"/>
            <w:vAlign w:val="center"/>
          </w:tcPr>
          <w:p w14:paraId="42C863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25673941">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lang w:val="en-US" w:eastAsia="zh-CN"/>
          <w14:textFill>
            <w14:solidFill>
              <w14:schemeClr w14:val="tx1"/>
            </w14:solidFill>
          </w14:textFill>
        </w:rPr>
        <w:t>投标人可按上述格式进行分项报价，也可以自行拟定格式进行分项报价。</w:t>
      </w:r>
    </w:p>
    <w:p w14:paraId="3EEF59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951C21C">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sectPr>
          <w:footerReference r:id="rId16" w:type="default"/>
          <w:type w:val="nextColumn"/>
          <w:pgSz w:w="11907" w:h="16840"/>
          <w:pgMar w:top="1440" w:right="1752" w:bottom="1440" w:left="1752" w:header="851" w:footer="992" w:gutter="0"/>
          <w:cols w:space="720" w:num="1"/>
          <w:docGrid w:type="linesAndChars" w:linePitch="323" w:charSpace="-2"/>
        </w:sectPr>
      </w:pPr>
    </w:p>
    <w:p w14:paraId="6660A42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三、项目说明一览表</w:t>
      </w:r>
    </w:p>
    <w:p w14:paraId="4839373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（按投标合同包下品目号类别分别填写）</w:t>
      </w:r>
    </w:p>
    <w:p w14:paraId="489D0B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投标人名称:                                      招标编号∶</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1"/>
        <w:gridCol w:w="1282"/>
        <w:gridCol w:w="1545"/>
        <w:gridCol w:w="1460"/>
        <w:gridCol w:w="1260"/>
        <w:gridCol w:w="2160"/>
        <w:gridCol w:w="1440"/>
        <w:gridCol w:w="3628"/>
      </w:tblGrid>
      <w:tr w14:paraId="6E6C7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01" w:type="dxa"/>
            <w:tcBorders>
              <w:top w:val="single" w:color="auto" w:sz="4" w:space="0"/>
              <w:left w:val="single" w:color="auto" w:sz="4" w:space="0"/>
              <w:bottom w:val="single" w:color="auto" w:sz="4" w:space="0"/>
              <w:right w:val="single" w:color="auto" w:sz="4" w:space="0"/>
            </w:tcBorders>
            <w:noWrap w:val="0"/>
            <w:vAlign w:val="center"/>
          </w:tcPr>
          <w:p w14:paraId="5B0E4E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282" w:type="dxa"/>
            <w:tcBorders>
              <w:top w:val="single" w:color="auto" w:sz="4" w:space="0"/>
              <w:left w:val="single" w:color="auto" w:sz="4" w:space="0"/>
              <w:bottom w:val="single" w:color="auto" w:sz="4" w:space="0"/>
              <w:right w:val="single" w:color="auto" w:sz="4" w:space="0"/>
            </w:tcBorders>
            <w:noWrap w:val="0"/>
            <w:vAlign w:val="center"/>
          </w:tcPr>
          <w:p w14:paraId="7E5074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750023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7EA179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34A77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294ACD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7C22A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3628" w:type="dxa"/>
            <w:tcBorders>
              <w:top w:val="single" w:color="auto" w:sz="4" w:space="0"/>
              <w:left w:val="single" w:color="auto" w:sz="4" w:space="0"/>
              <w:bottom w:val="single" w:color="auto" w:sz="4" w:space="0"/>
              <w:right w:val="single" w:color="auto" w:sz="4" w:space="0"/>
            </w:tcBorders>
            <w:noWrap w:val="0"/>
            <w:vAlign w:val="center"/>
          </w:tcPr>
          <w:p w14:paraId="20CF06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BF52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21728D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详细性能说明</w:t>
            </w:r>
          </w:p>
        </w:tc>
      </w:tr>
    </w:tbl>
    <w:p w14:paraId="7EACAA0A">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sectPr>
          <w:pgSz w:w="16840" w:h="11907" w:orient="landscape"/>
          <w:pgMar w:top="1752" w:right="1440" w:bottom="1752" w:left="1440" w:header="851" w:footer="992" w:gutter="0"/>
          <w:cols w:space="720" w:num="1"/>
          <w:docGrid w:type="lines" w:linePitch="323" w:charSpace="0"/>
        </w:sectPr>
      </w:pPr>
    </w:p>
    <w:p w14:paraId="72EDEA97">
      <w:pPr>
        <w:pStyle w:val="4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四、项目范围</w:t>
      </w:r>
      <w:r>
        <w:rPr>
          <w:rFonts w:hint="eastAsia" w:hAnsi="宋体" w:eastAsia="宋体" w:cs="宋体"/>
          <w:b/>
          <w:bCs/>
          <w:color w:val="000000" w:themeColor="text1"/>
          <w:sz w:val="32"/>
          <w:szCs w:val="32"/>
          <w:highlight w:val="none"/>
          <w14:textFill>
            <w14:solidFill>
              <w14:schemeClr w14:val="tx1"/>
            </w14:solidFill>
          </w14:textFill>
        </w:rPr>
        <w:t>清单</w:t>
      </w:r>
    </w:p>
    <w:p w14:paraId="170E6BA9">
      <w:pPr>
        <w:pStyle w:val="4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0B9751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341C3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F9256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650E9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DA9A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08182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4B37C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0D3C7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D714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466C0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17B19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5C80B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1B86798">
      <w:pPr>
        <w:pStyle w:val="48"/>
        <w:spacing w:line="360" w:lineRule="auto"/>
        <w:jc w:val="center"/>
        <w:rPr>
          <w:rFonts w:hint="eastAsia" w:hAnsi="宋体" w:eastAsia="宋体" w:cs="宋体"/>
          <w:color w:val="000000" w:themeColor="text1"/>
          <w:sz w:val="24"/>
          <w:szCs w:val="24"/>
          <w:highlight w:val="none"/>
          <w:u w:val="singl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br w:type="page"/>
      </w:r>
      <w:r>
        <w:rPr>
          <w:rFonts w:hint="eastAsia" w:hAnsi="宋体" w:eastAsia="宋体" w:cs="宋体"/>
          <w:b/>
          <w:color w:val="000000" w:themeColor="text1"/>
          <w:sz w:val="32"/>
          <w:szCs w:val="32"/>
          <w:highlight w:val="none"/>
          <w14:textFill>
            <w14:solidFill>
              <w14:schemeClr w14:val="tx1"/>
            </w14:solidFill>
          </w14:textFill>
        </w:rPr>
        <w:t>五、</w:t>
      </w:r>
      <w:r>
        <w:rPr>
          <w:rFonts w:hint="eastAsia" w:hAnsi="宋体" w:eastAsia="宋体" w:cs="宋体"/>
          <w:b/>
          <w:bCs/>
          <w:color w:val="000000" w:themeColor="text1"/>
          <w:sz w:val="32"/>
          <w:szCs w:val="32"/>
          <w:highlight w:val="none"/>
          <w14:textFill>
            <w14:solidFill>
              <w14:schemeClr w14:val="tx1"/>
            </w14:solidFill>
          </w14:textFill>
        </w:rPr>
        <w:t>技术规格和商务响应表</w:t>
      </w:r>
    </w:p>
    <w:p w14:paraId="50B58902">
      <w:pPr>
        <w:pStyle w:val="48"/>
        <w:spacing w:line="360" w:lineRule="auto"/>
        <w:ind w:left="1"/>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投标人（全称并加盖公章）：                         招标编号∶</w:t>
      </w:r>
      <w:r>
        <w:rPr>
          <w:rFonts w:hint="eastAsia" w:hAnsi="宋体" w:eastAsia="宋体" w:cs="宋体"/>
          <w:color w:val="000000" w:themeColor="text1"/>
          <w:sz w:val="24"/>
          <w:szCs w:val="24"/>
          <w:highlight w:val="none"/>
          <w14:textFill>
            <w14:solidFill>
              <w14:schemeClr w14:val="tx1"/>
            </w14:solidFill>
          </w14:textFill>
        </w:rPr>
        <w:tab/>
      </w:r>
    </w:p>
    <w:tbl>
      <w:tblPr>
        <w:tblStyle w:val="23"/>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346D6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30B068D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3A7ADA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投标响应</w:t>
            </w:r>
          </w:p>
        </w:tc>
      </w:tr>
      <w:tr w14:paraId="19932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00F82E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550FE30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356CD6B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0B79F4B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289BE8B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7356CBF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2750B62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6B874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1DF48F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FB0B7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0898CB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091AB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C4523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549A1E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9065E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C9D9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5C9E54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5E354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01180B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146C65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58AC1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6CA7A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A4B88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8A48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69D21F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249CB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71BA30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EF99A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7C31C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F0EFD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1C36E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6DF6C5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DDB55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kern w:val="0"/>
          <w:sz w:val="24"/>
          <w:szCs w:val="24"/>
          <w:highlight w:val="none"/>
          <w14:textFill>
            <w14:solidFill>
              <w14:schemeClr w14:val="tx1"/>
            </w14:solidFill>
          </w14:textFill>
        </w:rPr>
        <w:t>投标人应对招标文件中的“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”号条款进行逐条响应，否则评标委员会对其投标做出不利评审，投标人必须自行承担责任</w:t>
      </w:r>
      <w:r>
        <w:rPr>
          <w:rFonts w:hint="eastAsia" w:ascii="宋体" w:hAnsi="宋体" w:eastAsia="宋体" w:cs="宋体"/>
          <w:color w:val="000000" w:themeColor="text1"/>
          <w:sz w:val="24"/>
          <w:szCs w:val="24"/>
          <w:highlight w:val="none"/>
          <w14:textFill>
            <w14:solidFill>
              <w14:schemeClr w14:val="tx1"/>
            </w14:solidFill>
          </w14:textFill>
        </w:rPr>
        <w:t>。投标人存在弄虚作假行为的，将依法承担相应的法律责任。</w:t>
      </w:r>
    </w:p>
    <w:p w14:paraId="6AB492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11B4C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338E4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投标人代表签字：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E1A9C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0F16B66">
      <w:pPr>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r>
        <w:rPr>
          <w:rFonts w:hint="eastAsia" w:ascii="宋体" w:hAnsi="宋体" w:eastAsia="宋体" w:cs="宋体"/>
          <w:b/>
          <w:color w:val="000000" w:themeColor="text1"/>
          <w:sz w:val="32"/>
          <w:szCs w:val="32"/>
          <w:highlight w:val="none"/>
          <w14:textFill>
            <w14:solidFill>
              <w14:schemeClr w14:val="tx1"/>
            </w14:solidFill>
          </w14:textFill>
        </w:rPr>
        <w:t>六、投标人的资格证明文件</w:t>
      </w:r>
    </w:p>
    <w:p w14:paraId="558C48D9">
      <w:pPr>
        <w:pStyle w:val="48"/>
        <w:spacing w:line="360" w:lineRule="auto"/>
        <w:rPr>
          <w:rFonts w:hint="eastAsia" w:hAnsi="宋体" w:eastAsia="宋体" w:cs="宋体"/>
          <w:color w:val="000000" w:themeColor="text1"/>
          <w:sz w:val="32"/>
          <w:szCs w:val="32"/>
          <w:highlight w:val="none"/>
          <w14:textFill>
            <w14:solidFill>
              <w14:schemeClr w14:val="tx1"/>
            </w14:solidFill>
          </w14:textFill>
        </w:rPr>
      </w:pPr>
    </w:p>
    <w:p w14:paraId="76D8BD2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关于资格的声明函</w:t>
      </w:r>
    </w:p>
    <w:p w14:paraId="7B27A2D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7A57DD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2EB1898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（招标编号）投标邀请，本签字人愿意参加投标，提供招标文件“招标服务及要求”中规定的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（服务名称），并证明提交的下列文件和说明是准确的和真实的。</w:t>
      </w:r>
    </w:p>
    <w:p w14:paraId="222005A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7D494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1．本签字人确认资格文件中的说明以及投标文件中所有提交的文件和材料是真实的、准确的。</w:t>
      </w:r>
    </w:p>
    <w:p w14:paraId="3E12452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份，随投标文件一同递交。</w:t>
      </w:r>
    </w:p>
    <w:p w14:paraId="11106D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1147D7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5AC00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C2380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A802D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1F7C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92F8C2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投标人代表签字：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37D4A8A">
      <w:pPr>
        <w:spacing w:line="360" w:lineRule="auto"/>
        <w:jc w:val="both"/>
        <w:rPr>
          <w:rFonts w:hint="eastAsia" w:ascii="宋体" w:hAnsi="宋体" w:eastAsia="宋体" w:cs="宋体"/>
          <w:b/>
          <w:color w:val="000000" w:themeColor="text1"/>
          <w:sz w:val="24"/>
          <w:szCs w:val="24"/>
          <w:highlight w:val="none"/>
          <w14:textFill>
            <w14:solidFill>
              <w14:schemeClr w14:val="tx1"/>
            </w14:solidFill>
          </w14:textFill>
        </w:rPr>
      </w:pPr>
    </w:p>
    <w:p w14:paraId="24E77A8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8E71C3E">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sectPr>
          <w:type w:val="nextColumn"/>
          <w:pgSz w:w="11907" w:h="16840"/>
          <w:pgMar w:top="1440" w:right="1752" w:bottom="1440" w:left="1752" w:header="851" w:footer="992" w:gutter="0"/>
          <w:cols w:space="720" w:num="1"/>
          <w:docGrid w:type="linesAndChars" w:linePitch="323" w:charSpace="-2"/>
        </w:sectPr>
      </w:pPr>
    </w:p>
    <w:p w14:paraId="72582B6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投标人的资格声明</w:t>
      </w:r>
    </w:p>
    <w:p w14:paraId="45AC9E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2EB871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1．投标人概况：                                   </w:t>
      </w:r>
    </w:p>
    <w:p w14:paraId="10A7DBF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Ａ．投标人名称：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29CEEB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F5C0F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88A4F3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B1484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6B1AA1AC">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4AA18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FD411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98DDF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136688EC">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F0F6D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AD7776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BE957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0E167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2A031D4F">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E3481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E7B93F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E64BF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2．我方在此声明，我方具备并满足下列各项条款的规定。本声明如有虚假或不实之处，我方将失去合格投标人资格且我方的投标保证金将不予退还。</w:t>
      </w:r>
    </w:p>
    <w:p w14:paraId="08AE2C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7EDE5D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31CB33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3B7CFD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4AA606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（5）近三年内，在经营活动中没有重大违法记录。 </w:t>
      </w:r>
    </w:p>
    <w:p w14:paraId="6CF291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1FEE5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3．最近三年投标服务在国内主要用户的名称和地址：</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8D8A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DD0EE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2FD8DB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销售服务名称、规格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24D324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14AA4E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23DDF7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24C7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CD835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8BA6D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96E14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6FF9D7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E21C6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329B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627DF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4A4BB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04AF57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D0045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65FA2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147E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F9F3D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A6E49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2243A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7BCE9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729A5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2F11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9C30F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3D3AE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13A19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62513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A6A47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DFD4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16258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AE73A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946FC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BAE5A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BE6CA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3016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6687F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EF7B2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EA588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DFDC4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A29E9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2877F3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E6AF4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 单位营业执照、税务登记证见附件。</w:t>
      </w:r>
    </w:p>
    <w:p w14:paraId="3E32B1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5A301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就我方全部所知，兹证明上述声明是真实、正确的，并已提供了全部现有资料和数据，我方同意根据贵方要求出示文件予以证实。</w:t>
      </w:r>
    </w:p>
    <w:p w14:paraId="42E261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C7902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2AA377A">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9D79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4E187DA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0E8D6A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9AF90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59BB6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FA86EC8">
      <w:pPr>
        <w:pStyle w:val="48"/>
        <w:spacing w:line="360" w:lineRule="auto"/>
        <w:rPr>
          <w:rFonts w:hint="eastAsia" w:hAnsi="宋体" w:eastAsia="宋体" w:cs="宋体"/>
          <w:color w:val="000000" w:themeColor="text1"/>
          <w:sz w:val="24"/>
          <w:szCs w:val="24"/>
          <w:highlight w:val="none"/>
          <w14:textFill>
            <w14:solidFill>
              <w14:schemeClr w14:val="tx1"/>
            </w14:solidFill>
          </w14:textFill>
        </w:rPr>
      </w:pPr>
    </w:p>
    <w:p w14:paraId="58234AD4">
      <w:pPr>
        <w:pStyle w:val="48"/>
        <w:spacing w:line="360" w:lineRule="auto"/>
        <w:rPr>
          <w:rFonts w:hint="eastAsia" w:hAnsi="宋体" w:eastAsia="宋体" w:cs="宋体"/>
          <w:color w:val="000000" w:themeColor="text1"/>
          <w:sz w:val="24"/>
          <w:szCs w:val="24"/>
          <w:highlight w:val="none"/>
          <w14:textFill>
            <w14:solidFill>
              <w14:schemeClr w14:val="tx1"/>
            </w14:solidFill>
          </w14:textFill>
        </w:rPr>
      </w:pPr>
    </w:p>
    <w:p w14:paraId="06E0DE26">
      <w:pPr>
        <w:pStyle w:val="48"/>
        <w:spacing w:line="360" w:lineRule="auto"/>
        <w:rPr>
          <w:rFonts w:hint="eastAsia" w:hAnsi="宋体" w:eastAsia="宋体" w:cs="宋体"/>
          <w:color w:val="000000" w:themeColor="text1"/>
          <w:sz w:val="24"/>
          <w:szCs w:val="24"/>
          <w:highlight w:val="none"/>
          <w14:textFill>
            <w14:solidFill>
              <w14:schemeClr w14:val="tx1"/>
            </w14:solidFill>
          </w14:textFill>
        </w:rPr>
      </w:pPr>
    </w:p>
    <w:p w14:paraId="1BB17BBB">
      <w:pPr>
        <w:pStyle w:val="48"/>
        <w:spacing w:line="360" w:lineRule="auto"/>
        <w:rPr>
          <w:rFonts w:hint="eastAsia" w:hAnsi="宋体" w:eastAsia="宋体" w:cs="宋体"/>
          <w:color w:val="000000" w:themeColor="text1"/>
          <w:sz w:val="24"/>
          <w:szCs w:val="24"/>
          <w:highlight w:val="none"/>
          <w14:textFill>
            <w14:solidFill>
              <w14:schemeClr w14:val="tx1"/>
            </w14:solidFill>
          </w14:textFill>
        </w:rPr>
      </w:pPr>
    </w:p>
    <w:p w14:paraId="3F280282">
      <w:pPr>
        <w:pStyle w:val="48"/>
        <w:spacing w:line="360" w:lineRule="auto"/>
        <w:rPr>
          <w:rFonts w:hint="eastAsia" w:hAnsi="宋体" w:eastAsia="宋体" w:cs="宋体"/>
          <w:color w:val="000000" w:themeColor="text1"/>
          <w:sz w:val="24"/>
          <w:szCs w:val="24"/>
          <w:highlight w:val="none"/>
          <w14:textFill>
            <w14:solidFill>
              <w14:schemeClr w14:val="tx1"/>
            </w14:solidFill>
          </w14:textFill>
        </w:rPr>
      </w:pPr>
    </w:p>
    <w:p w14:paraId="621D8098">
      <w:pPr>
        <w:pStyle w:val="48"/>
        <w:spacing w:line="360" w:lineRule="auto"/>
        <w:rPr>
          <w:rFonts w:hint="eastAsia" w:hAnsi="宋体" w:eastAsia="宋体" w:cs="宋体"/>
          <w:color w:val="000000" w:themeColor="text1"/>
          <w:sz w:val="24"/>
          <w:szCs w:val="24"/>
          <w:highlight w:val="none"/>
          <w14:textFill>
            <w14:solidFill>
              <w14:schemeClr w14:val="tx1"/>
            </w14:solidFill>
          </w14:textFill>
        </w:rPr>
      </w:pPr>
    </w:p>
    <w:p w14:paraId="7C8ACB3C">
      <w:pPr>
        <w:pStyle w:val="4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br w:type="page"/>
      </w:r>
      <w:r>
        <w:rPr>
          <w:rFonts w:hint="eastAsia" w:hAnsi="宋体" w:eastAsia="宋体" w:cs="宋体"/>
          <w:b/>
          <w:color w:val="000000" w:themeColor="text1"/>
          <w:sz w:val="32"/>
          <w:szCs w:val="32"/>
          <w:highlight w:val="none"/>
          <w14:textFill>
            <w14:solidFill>
              <w14:schemeClr w14:val="tx1"/>
            </w14:solidFill>
          </w14:textFill>
        </w:rPr>
        <w:t>单位授权书</w:t>
      </w:r>
    </w:p>
    <w:p w14:paraId="35EDCC1B">
      <w:pPr>
        <w:pStyle w:val="48"/>
        <w:spacing w:line="360" w:lineRule="auto"/>
        <w:jc w:val="center"/>
        <w:rPr>
          <w:rFonts w:hint="eastAsia" w:hAnsi="宋体" w:eastAsia="宋体" w:cs="宋体"/>
          <w:color w:val="000000" w:themeColor="text1"/>
          <w:sz w:val="24"/>
          <w:szCs w:val="24"/>
          <w:highlight w:val="none"/>
          <w14:textFill>
            <w14:solidFill>
              <w14:schemeClr w14:val="tx1"/>
            </w14:solidFill>
          </w14:textFill>
        </w:rPr>
      </w:pPr>
    </w:p>
    <w:p w14:paraId="5CB700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（招标代理机构）   </w:t>
      </w:r>
      <w:r>
        <w:rPr>
          <w:rFonts w:hint="eastAsia" w:ascii="宋体" w:hAnsi="宋体" w:eastAsia="宋体" w:cs="宋体"/>
          <w:color w:val="000000" w:themeColor="text1"/>
          <w:sz w:val="24"/>
          <w:szCs w:val="24"/>
          <w:highlight w:val="none"/>
          <w14:textFill>
            <w14:solidFill>
              <w14:schemeClr w14:val="tx1"/>
            </w14:solidFill>
          </w14:textFill>
        </w:rPr>
        <w:t>：</w:t>
      </w:r>
    </w:p>
    <w:p w14:paraId="2967F893">
      <w:pPr>
        <w:pStyle w:val="14"/>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（投标人全称）</w:t>
      </w:r>
      <w:r>
        <w:rPr>
          <w:rFonts w:hint="eastAsia" w:hAnsi="宋体" w:eastAsia="宋体" w:cs="宋体"/>
          <w:color w:val="000000" w:themeColor="text1"/>
          <w:sz w:val="24"/>
          <w:szCs w:val="24"/>
          <w:highlight w:val="none"/>
          <w14:textFill>
            <w14:solidFill>
              <w14:schemeClr w14:val="tx1"/>
            </w14:solidFill>
          </w14:textFill>
        </w:rPr>
        <w:t>授权</w:t>
      </w:r>
      <w:r>
        <w:rPr>
          <w:rFonts w:hint="eastAsia" w:hAnsi="宋体" w:eastAsia="宋体" w:cs="宋体"/>
          <w:color w:val="000000" w:themeColor="text1"/>
          <w:sz w:val="24"/>
          <w:szCs w:val="24"/>
          <w:highlight w:val="none"/>
          <w:u w:val="single"/>
          <w14:textFill>
            <w14:solidFill>
              <w14:schemeClr w14:val="tx1"/>
            </w14:solidFill>
          </w14:textFill>
        </w:rPr>
        <w:t xml:space="preserve">  （投标人代表姓名）</w:t>
      </w:r>
      <w:r>
        <w:rPr>
          <w:rFonts w:hint="eastAsia" w:hAnsi="宋体" w:eastAsia="宋体" w:cs="宋体"/>
          <w:color w:val="000000" w:themeColor="text1"/>
          <w:sz w:val="24"/>
          <w:szCs w:val="24"/>
          <w:highlight w:val="none"/>
          <w14:textFill>
            <w14:solidFill>
              <w14:schemeClr w14:val="tx1"/>
            </w14:solidFill>
          </w14:textFill>
        </w:rPr>
        <w:t>为投标人代表，代表本公司参加贵司组织的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项目（招标编号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0F6A311C">
      <w:pPr>
        <w:pStyle w:val="14"/>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4CA868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10159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89A85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DB28CC">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15EA274C">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5ECE4F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03C08A">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1A150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BA1A1D5">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5C2CB7D2">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D3DD2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693B0D2">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FA027EB">
      <w:pPr>
        <w:pStyle w:val="48"/>
        <w:spacing w:line="360" w:lineRule="auto"/>
        <w:jc w:val="both"/>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br w:type="page"/>
      </w:r>
      <w:r>
        <w:rPr>
          <w:rFonts w:hint="eastAsia"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16C4B2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5BFC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58B70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28769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0A47EC6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（签发机关名称）签发的我方单位营业执照副本复印件，该执照真实有效。</w:t>
      </w:r>
    </w:p>
    <w:p w14:paraId="4AB632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（签发机关名称）签发的我方税务登记证副本复印件，该证件已经年检，真实有效。</w:t>
      </w:r>
    </w:p>
    <w:p w14:paraId="671507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0092E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w:t>
      </w:r>
    </w:p>
    <w:p w14:paraId="74293E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A192A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22F32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297D3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75C59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1420C2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29C0B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57E46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 标 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FB73E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CFD85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B783B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A6E27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A745F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04EBBE0">
      <w:pPr>
        <w:rPr>
          <w:color w:val="000000" w:themeColor="text1"/>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p>
    <w:p w14:paraId="0980A71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七、</w:t>
      </w: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4E30E184">
      <w:pPr>
        <w:pStyle w:val="48"/>
        <w:spacing w:line="360" w:lineRule="auto"/>
        <w:jc w:val="center"/>
        <w:rPr>
          <w:rFonts w:hint="eastAsia" w:hAnsi="宋体" w:eastAsia="宋体" w:cs="宋体"/>
          <w:color w:val="000000" w:themeColor="text1"/>
          <w:sz w:val="24"/>
          <w:szCs w:val="24"/>
          <w:highlight w:val="none"/>
          <w14:textFill>
            <w14:solidFill>
              <w14:schemeClr w14:val="tx1"/>
            </w14:solidFill>
          </w14:textFill>
        </w:rPr>
      </w:pPr>
    </w:p>
    <w:p w14:paraId="66C3CEFC">
      <w:pPr>
        <w:pStyle w:val="4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p>
    <w:p w14:paraId="2EC8F7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2C331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61A397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项目招标中投标（招标编号：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），如获中标，我们保证按招标文件的规定，以汇款、转帐方式向贵司缴交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1A1653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我司一旦中标，承诺凭中标通知书原件按招标文件的规定签订合同，并最迟应于合同签订前缴交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426654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3C172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11DB42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7C0408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投标人（全称）：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4E9587">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8B7262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日 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226D3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4D19E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6B813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8099F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82486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C79660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6C316D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BF3A0C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F7CC95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0EA72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292BC7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B9947E9">
      <w:pPr>
        <w:spacing w:line="360" w:lineRule="auto"/>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附：廉洁承诺书</w:t>
      </w:r>
    </w:p>
    <w:p w14:paraId="2FEFAC63">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212F5C01">
      <w:pPr>
        <w:widowControl/>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58EC356B">
      <w:pPr>
        <w:widowControl/>
        <w:spacing w:line="360" w:lineRule="auto"/>
        <w:ind w:firstLine="482" w:firstLineChars="201"/>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4D304C15">
      <w:pPr>
        <w:widowControl/>
        <w:spacing w:line="360" w:lineRule="auto"/>
        <w:ind w:firstLine="482" w:firstLineChars="201"/>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7D2BB978">
      <w:pPr>
        <w:widowControl/>
        <w:spacing w:line="360" w:lineRule="auto"/>
        <w:ind w:firstLine="482" w:firstLineChars="201"/>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三、不与其他经营者串通报价和投标，不排挤其他经营者的公平竞争，损害其他经营者的合法权益；不在工程建设的预决算编制工作中弄虚作假、高估冒算。</w:t>
      </w:r>
    </w:p>
    <w:p w14:paraId="1796F70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28"/>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；举报信件：厦门市湖里区机场北路476号四楼厦门万翔招标有限公司，总经理收。</w:t>
      </w:r>
    </w:p>
    <w:p w14:paraId="204C5F2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09859B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683DA91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投标人名称（盖章）：</w:t>
      </w:r>
    </w:p>
    <w:p w14:paraId="6402EC42">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0D1BAFBA">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                   日期：</w:t>
      </w:r>
    </w:p>
    <w:p w14:paraId="2C50C568">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p>
    <w:p w14:paraId="26BF81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E06A7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CD33C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24309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87EB4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21317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1B7CE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1DDD5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D63AA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44BCF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C589E4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6EB7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DE4BC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E7957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89FB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B2B6A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7F182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3B6F1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BD7F8D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B0AD2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2077A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CE29B1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44EFD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E4B0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4B062BC">
      <w:pPr>
        <w:spacing w:line="360" w:lineRule="auto"/>
        <w:ind w:firstLine="2249" w:firstLineChars="700"/>
        <w:jc w:val="both"/>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退还投标保证金申请表</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870"/>
      </w:tblGrid>
      <w:tr w14:paraId="75F89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762E62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投标人名称</w:t>
            </w:r>
          </w:p>
        </w:tc>
        <w:tc>
          <w:tcPr>
            <w:tcW w:w="4870" w:type="dxa"/>
            <w:noWrap w:val="0"/>
            <w:vAlign w:val="top"/>
          </w:tcPr>
          <w:p w14:paraId="59533DAB">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AFEC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1" w:hRule="atLeast"/>
        </w:trPr>
        <w:tc>
          <w:tcPr>
            <w:tcW w:w="3652" w:type="dxa"/>
            <w:noWrap w:val="0"/>
            <w:vAlign w:val="top"/>
          </w:tcPr>
          <w:p w14:paraId="102741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870" w:type="dxa"/>
            <w:noWrap w:val="0"/>
            <w:vAlign w:val="top"/>
          </w:tcPr>
          <w:p w14:paraId="0404B169">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1B47D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61359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870" w:type="dxa"/>
            <w:noWrap w:val="0"/>
            <w:vAlign w:val="top"/>
          </w:tcPr>
          <w:p w14:paraId="0385F690">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D7EB8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74405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870" w:type="dxa"/>
            <w:noWrap w:val="0"/>
            <w:vAlign w:val="top"/>
          </w:tcPr>
          <w:p w14:paraId="4CBF8C59">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1A828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4907F1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保证金金额</w:t>
            </w:r>
          </w:p>
        </w:tc>
        <w:tc>
          <w:tcPr>
            <w:tcW w:w="4870" w:type="dxa"/>
            <w:noWrap w:val="0"/>
            <w:vAlign w:val="top"/>
          </w:tcPr>
          <w:p w14:paraId="67ABA0BE">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B692A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A2941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870" w:type="dxa"/>
            <w:noWrap w:val="0"/>
            <w:vAlign w:val="top"/>
          </w:tcPr>
          <w:p w14:paraId="0DF36131">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7D495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3EFC8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870" w:type="dxa"/>
            <w:noWrap w:val="0"/>
            <w:vAlign w:val="top"/>
          </w:tcPr>
          <w:p w14:paraId="0AC45CB2">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94AC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A9A66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开户行账号（原来转保证金账号）</w:t>
            </w:r>
          </w:p>
        </w:tc>
        <w:tc>
          <w:tcPr>
            <w:tcW w:w="4870" w:type="dxa"/>
            <w:noWrap w:val="0"/>
            <w:vAlign w:val="top"/>
          </w:tcPr>
          <w:p w14:paraId="79CA87C3">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09A2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E716B8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870" w:type="dxa"/>
            <w:noWrap w:val="0"/>
            <w:vAlign w:val="top"/>
          </w:tcPr>
          <w:p w14:paraId="0E0E5E26">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B12F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5E4EA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870" w:type="dxa"/>
            <w:noWrap w:val="0"/>
            <w:vAlign w:val="top"/>
          </w:tcPr>
          <w:p w14:paraId="461BE73A">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4DA480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备注：中标供应商在接到厦门万翔招标有限公司发出的中标结果通知书后，需尽快缴交完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邮箱：wxwcn1@iport.com.cn；联系人及电话陈小姐0592-5703367），厦门万翔招标有限公司再安排退保证金。由于以上信息错误导致保证金无法及时退还的责任由投标人自行负责。</w:t>
      </w:r>
    </w:p>
    <w:p w14:paraId="162908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98A27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（投标人名称，加盖公章）</w:t>
      </w:r>
    </w:p>
    <w:p w14:paraId="754F349D">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6A2E620E">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pgSz w:w="11906" w:h="16838"/>
          <w:pgMar w:top="1440" w:right="1800" w:bottom="1440" w:left="1800" w:header="851" w:footer="992" w:gutter="0"/>
          <w:cols w:space="720" w:num="1"/>
          <w:docGrid w:type="lines" w:linePitch="312" w:charSpace="0"/>
        </w:sectPr>
      </w:pPr>
      <w:bookmarkStart w:id="42" w:name="end_160000000000000525"/>
      <w:bookmarkEnd w:id="42"/>
    </w:p>
    <w:p w14:paraId="0E856019">
      <w:pPr>
        <w:rPr>
          <w:color w:val="000000" w:themeColor="text1"/>
          <w:highlight w:val="none"/>
          <w14:textFill>
            <w14:solidFill>
              <w14:schemeClr w14:val="tx1"/>
            </w14:solidFill>
          </w14:textFill>
        </w:rPr>
      </w:pPr>
    </w:p>
    <w:p w14:paraId="7759EDAD">
      <w:pPr>
        <w:spacing w:line="360" w:lineRule="auto"/>
        <w:ind w:firstLine="3520" w:firstLineChars="1100"/>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14051D3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AC29A75">
      <w:pPr>
        <w:pStyle w:val="20"/>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供应商提出质疑应当提交质疑函和必要的证明材料。质疑函应当包括下列内容：</w:t>
      </w:r>
    </w:p>
    <w:p w14:paraId="050B8766">
      <w:pPr>
        <w:pStyle w:val="20"/>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(一)供应商的姓名或者名称、地址、邮编、联系人及联系电话;</w:t>
      </w:r>
    </w:p>
    <w:p w14:paraId="79C3B9BB">
      <w:pPr>
        <w:pStyle w:val="20"/>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(二)质疑项目的名称、编号;</w:t>
      </w:r>
    </w:p>
    <w:p w14:paraId="4933858B">
      <w:pPr>
        <w:pStyle w:val="20"/>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(三)具体、明确的质疑事项和与质疑事项相关的请求;</w:t>
      </w:r>
    </w:p>
    <w:p w14:paraId="29BAD2FD">
      <w:pPr>
        <w:pStyle w:val="20"/>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(四)事实依据;</w:t>
      </w:r>
    </w:p>
    <w:p w14:paraId="7D153F60">
      <w:pPr>
        <w:pStyle w:val="20"/>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(五)必要的法律依据;</w:t>
      </w:r>
    </w:p>
    <w:p w14:paraId="70F99B50">
      <w:pPr>
        <w:pStyle w:val="20"/>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(六)提出质疑的日期。</w:t>
      </w:r>
    </w:p>
    <w:p w14:paraId="7A2AD4C9">
      <w:pPr>
        <w:pStyle w:val="20"/>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7831E3EE">
      <w:pPr>
        <w:pStyle w:val="20"/>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p>
    <w:p w14:paraId="342B11B0">
      <w:pPr>
        <w:pStyle w:val="20"/>
        <w:spacing w:before="0" w:beforeAutospacing="0" w:after="0" w:afterAutospacing="0" w:line="360" w:lineRule="auto"/>
        <w:rPr>
          <w:rFonts w:hint="eastAsia" w:eastAsia="宋体" w:cs="宋体"/>
          <w:color w:val="000000" w:themeColor="text1"/>
          <w:kern w:val="2"/>
          <w:highlight w:val="none"/>
          <w14:textFill>
            <w14:solidFill>
              <w14:schemeClr w14:val="tx1"/>
            </w14:solidFill>
          </w14:textFill>
        </w:rPr>
      </w:pPr>
    </w:p>
    <w:p w14:paraId="08286C4B">
      <w:pPr>
        <w:pStyle w:val="20"/>
        <w:spacing w:before="0" w:beforeAutospacing="0" w:after="0" w:afterAutospacing="0" w:line="360" w:lineRule="auto"/>
        <w:rPr>
          <w:rFonts w:hint="eastAsia" w:eastAsia="宋体" w:cs="宋体"/>
          <w:color w:val="000000" w:themeColor="text1"/>
          <w:kern w:val="2"/>
          <w:highlight w:val="none"/>
          <w14:textFill>
            <w14:solidFill>
              <w14:schemeClr w14:val="tx1"/>
            </w14:solidFill>
          </w14:textFill>
        </w:rPr>
      </w:pPr>
    </w:p>
    <w:p w14:paraId="6984804A">
      <w:pPr>
        <w:pStyle w:val="20"/>
        <w:spacing w:before="0" w:beforeAutospacing="0" w:after="0" w:afterAutospacing="0" w:line="360" w:lineRule="auto"/>
        <w:ind w:firstLine="5440" w:firstLineChars="1700"/>
        <w:rPr>
          <w:rFonts w:hint="eastAsia" w:eastAsia="宋体" w:cs="宋体"/>
          <w:color w:val="000000" w:themeColor="text1"/>
          <w:kern w:val="2"/>
          <w:sz w:val="32"/>
          <w:szCs w:val="32"/>
          <w:highlight w:val="none"/>
          <w14:textFill>
            <w14:solidFill>
              <w14:schemeClr w14:val="tx1"/>
            </w14:solidFill>
          </w14:textFill>
        </w:rPr>
      </w:pPr>
    </w:p>
    <w:p w14:paraId="1726B4FB">
      <w:pPr>
        <w:pStyle w:val="20"/>
        <w:spacing w:before="0" w:beforeAutospacing="0" w:after="0" w:afterAutospacing="0" w:line="360" w:lineRule="auto"/>
        <w:ind w:firstLine="5440" w:firstLineChars="1700"/>
        <w:rPr>
          <w:rFonts w:hint="eastAsia" w:eastAsia="宋体" w:cs="宋体"/>
          <w:color w:val="000000" w:themeColor="text1"/>
          <w:kern w:val="2"/>
          <w:sz w:val="32"/>
          <w:szCs w:val="32"/>
          <w:highlight w:val="none"/>
          <w14:textFill>
            <w14:solidFill>
              <w14:schemeClr w14:val="tx1"/>
            </w14:solidFill>
          </w14:textFill>
        </w:rPr>
      </w:pPr>
    </w:p>
    <w:p w14:paraId="16BD35A7">
      <w:pPr>
        <w:pStyle w:val="20"/>
        <w:spacing w:before="0" w:beforeAutospacing="0" w:after="0" w:afterAutospacing="0" w:line="360" w:lineRule="auto"/>
        <w:ind w:firstLine="5440" w:firstLineChars="1700"/>
        <w:rPr>
          <w:rFonts w:hint="eastAsia" w:eastAsia="宋体" w:cs="宋体"/>
          <w:color w:val="000000" w:themeColor="text1"/>
          <w:kern w:val="2"/>
          <w:sz w:val="32"/>
          <w:szCs w:val="32"/>
          <w:highlight w:val="none"/>
          <w14:textFill>
            <w14:solidFill>
              <w14:schemeClr w14:val="tx1"/>
            </w14:solidFill>
          </w14:textFill>
        </w:rPr>
      </w:pPr>
    </w:p>
    <w:p w14:paraId="28351815">
      <w:pPr>
        <w:pStyle w:val="20"/>
        <w:spacing w:before="0" w:beforeAutospacing="0" w:after="0" w:afterAutospacing="0" w:line="360" w:lineRule="auto"/>
        <w:ind w:firstLine="5440" w:firstLineChars="1700"/>
        <w:rPr>
          <w:rFonts w:hint="eastAsia" w:eastAsia="宋体" w:cs="宋体"/>
          <w:color w:val="000000" w:themeColor="text1"/>
          <w:kern w:val="2"/>
          <w:sz w:val="32"/>
          <w:szCs w:val="32"/>
          <w:highlight w:val="none"/>
          <w14:textFill>
            <w14:solidFill>
              <w14:schemeClr w14:val="tx1"/>
            </w14:solidFill>
          </w14:textFill>
        </w:rPr>
      </w:pPr>
    </w:p>
    <w:p w14:paraId="33DD9E81">
      <w:pPr>
        <w:pStyle w:val="20"/>
        <w:spacing w:before="0" w:beforeAutospacing="0" w:after="0" w:afterAutospacing="0" w:line="360" w:lineRule="auto"/>
        <w:ind w:firstLine="5440" w:firstLineChars="1700"/>
        <w:rPr>
          <w:rFonts w:hint="eastAsia" w:eastAsia="宋体" w:cs="宋体"/>
          <w:color w:val="000000" w:themeColor="text1"/>
          <w:kern w:val="2"/>
          <w:sz w:val="32"/>
          <w:szCs w:val="32"/>
          <w:highlight w:val="none"/>
          <w14:textFill>
            <w14:solidFill>
              <w14:schemeClr w14:val="tx1"/>
            </w14:solidFill>
          </w14:textFill>
        </w:rPr>
      </w:pPr>
    </w:p>
    <w:p w14:paraId="2BE887F3">
      <w:pPr>
        <w:pStyle w:val="20"/>
        <w:spacing w:before="0" w:beforeAutospacing="0" w:after="0" w:afterAutospacing="0" w:line="360" w:lineRule="auto"/>
        <w:ind w:firstLine="5440" w:firstLineChars="1700"/>
        <w:rPr>
          <w:rFonts w:hint="eastAsia" w:eastAsia="宋体" w:cs="宋体"/>
          <w:color w:val="000000" w:themeColor="text1"/>
          <w:kern w:val="2"/>
          <w:sz w:val="32"/>
          <w:szCs w:val="32"/>
          <w:highlight w:val="none"/>
          <w14:textFill>
            <w14:solidFill>
              <w14:schemeClr w14:val="tx1"/>
            </w14:solidFill>
          </w14:textFill>
        </w:rPr>
      </w:pPr>
    </w:p>
    <w:p w14:paraId="741C8919">
      <w:pPr>
        <w:pStyle w:val="20"/>
        <w:spacing w:before="0" w:beforeAutospacing="0" w:after="0" w:afterAutospacing="0" w:line="360" w:lineRule="auto"/>
        <w:ind w:firstLine="5440" w:firstLineChars="1700"/>
        <w:rPr>
          <w:rFonts w:hint="eastAsia" w:eastAsia="宋体" w:cs="宋体"/>
          <w:color w:val="000000" w:themeColor="text1"/>
          <w:kern w:val="2"/>
          <w:sz w:val="32"/>
          <w:szCs w:val="32"/>
          <w:highlight w:val="none"/>
          <w14:textFill>
            <w14:solidFill>
              <w14:schemeClr w14:val="tx1"/>
            </w14:solidFill>
          </w14:textFill>
        </w:rPr>
      </w:pPr>
    </w:p>
    <w:p w14:paraId="0C7B54AF">
      <w:pPr>
        <w:pStyle w:val="20"/>
        <w:spacing w:before="0" w:beforeAutospacing="0" w:after="0" w:afterAutospacing="0" w:line="360" w:lineRule="auto"/>
        <w:ind w:firstLine="5440" w:firstLineChars="1700"/>
        <w:rPr>
          <w:rFonts w:hint="eastAsia" w:eastAsia="宋体" w:cs="宋体"/>
          <w:color w:val="000000" w:themeColor="text1"/>
          <w:kern w:val="2"/>
          <w:sz w:val="32"/>
          <w:szCs w:val="32"/>
          <w:highlight w:val="none"/>
          <w14:textFill>
            <w14:solidFill>
              <w14:schemeClr w14:val="tx1"/>
            </w14:solidFill>
          </w14:textFill>
        </w:rPr>
      </w:pPr>
    </w:p>
    <w:p w14:paraId="2A05BBB0">
      <w:pPr>
        <w:pStyle w:val="20"/>
        <w:spacing w:before="0" w:beforeAutospacing="0" w:after="0" w:afterAutospacing="0" w:line="360" w:lineRule="auto"/>
        <w:ind w:firstLine="5440" w:firstLineChars="1700"/>
        <w:rPr>
          <w:rFonts w:hint="eastAsia" w:eastAsia="宋体" w:cs="宋体"/>
          <w:color w:val="000000" w:themeColor="text1"/>
          <w:kern w:val="2"/>
          <w:sz w:val="32"/>
          <w:szCs w:val="32"/>
          <w:highlight w:val="none"/>
          <w14:textFill>
            <w14:solidFill>
              <w14:schemeClr w14:val="tx1"/>
            </w14:solidFill>
          </w14:textFill>
        </w:rPr>
      </w:pPr>
    </w:p>
    <w:p w14:paraId="7A553308">
      <w:pPr>
        <w:pStyle w:val="20"/>
        <w:spacing w:before="0" w:beforeAutospacing="0" w:after="0" w:afterAutospacing="0" w:line="360" w:lineRule="auto"/>
        <w:ind w:firstLine="5440" w:firstLineChars="1700"/>
        <w:rPr>
          <w:rFonts w:hint="eastAsia" w:eastAsia="宋体" w:cs="宋体"/>
          <w:color w:val="000000" w:themeColor="text1"/>
          <w:kern w:val="2"/>
          <w:sz w:val="32"/>
          <w:szCs w:val="32"/>
          <w:highlight w:val="none"/>
          <w14:textFill>
            <w14:solidFill>
              <w14:schemeClr w14:val="tx1"/>
            </w14:solidFill>
          </w14:textFill>
        </w:rPr>
      </w:pPr>
    </w:p>
    <w:p w14:paraId="2E5D7E80">
      <w:pPr>
        <w:pStyle w:val="20"/>
        <w:spacing w:before="0" w:beforeAutospacing="0" w:after="0" w:afterAutospacing="0" w:line="360" w:lineRule="auto"/>
        <w:ind w:firstLine="5440" w:firstLineChars="1700"/>
        <w:rPr>
          <w:rFonts w:hint="eastAsia" w:eastAsia="宋体" w:cs="宋体"/>
          <w:color w:val="000000" w:themeColor="text1"/>
          <w:kern w:val="2"/>
          <w:sz w:val="32"/>
          <w:szCs w:val="32"/>
          <w:highlight w:val="none"/>
          <w14:textFill>
            <w14:solidFill>
              <w14:schemeClr w14:val="tx1"/>
            </w14:solidFill>
          </w14:textFill>
        </w:rPr>
      </w:pPr>
    </w:p>
    <w:p w14:paraId="4DF13B80">
      <w:pPr>
        <w:pStyle w:val="20"/>
        <w:spacing w:before="0" w:beforeAutospacing="0" w:after="0" w:afterAutospacing="0" w:line="360" w:lineRule="auto"/>
        <w:ind w:firstLine="3200" w:firstLineChars="1000"/>
        <w:rPr>
          <w:rFonts w:hint="eastAsia" w:eastAsia="宋体" w:cs="宋体"/>
          <w:color w:val="000000" w:themeColor="text1"/>
          <w:kern w:val="2"/>
          <w:sz w:val="32"/>
          <w:szCs w:val="32"/>
          <w:highlight w:val="none"/>
          <w14:textFill>
            <w14:solidFill>
              <w14:schemeClr w14:val="tx1"/>
            </w14:solidFill>
          </w14:textFill>
        </w:rPr>
      </w:pPr>
      <w:r>
        <w:rPr>
          <w:rFonts w:hint="eastAsia" w:eastAsia="宋体" w:cs="宋体"/>
          <w:color w:val="000000" w:themeColor="text1"/>
          <w:kern w:val="2"/>
          <w:sz w:val="32"/>
          <w:szCs w:val="32"/>
          <w:highlight w:val="none"/>
          <w14:textFill>
            <w14:solidFill>
              <w14:schemeClr w14:val="tx1"/>
            </w14:solidFill>
          </w14:textFill>
        </w:rPr>
        <w:t>评分响应要求</w:t>
      </w:r>
    </w:p>
    <w:tbl>
      <w:tblPr>
        <w:tblStyle w:val="23"/>
        <w:tblW w:w="8418" w:type="dxa"/>
        <w:tblInd w:w="0" w:type="dxa"/>
        <w:tblLayout w:type="fixed"/>
        <w:tblCellMar>
          <w:top w:w="0" w:type="dxa"/>
          <w:left w:w="108" w:type="dxa"/>
          <w:bottom w:w="0" w:type="dxa"/>
          <w:right w:w="108" w:type="dxa"/>
        </w:tblCellMar>
      </w:tblPr>
      <w:tblGrid>
        <w:gridCol w:w="883"/>
        <w:gridCol w:w="3247"/>
        <w:gridCol w:w="738"/>
        <w:gridCol w:w="2962"/>
        <w:gridCol w:w="588"/>
      </w:tblGrid>
      <w:tr w14:paraId="40261E8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9B2451F">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序号</w:t>
            </w:r>
          </w:p>
        </w:tc>
        <w:tc>
          <w:tcPr>
            <w:tcW w:w="3247" w:type="dxa"/>
            <w:tcBorders>
              <w:top w:val="single" w:color="auto" w:sz="4" w:space="0"/>
              <w:left w:val="single" w:color="auto" w:sz="4" w:space="0"/>
              <w:bottom w:val="single" w:color="auto" w:sz="4" w:space="0"/>
              <w:right w:val="single" w:color="auto" w:sz="4" w:space="0"/>
            </w:tcBorders>
            <w:noWrap w:val="0"/>
            <w:vAlign w:val="center"/>
          </w:tcPr>
          <w:p w14:paraId="236E7080">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细则内容</w:t>
            </w:r>
          </w:p>
        </w:tc>
        <w:tc>
          <w:tcPr>
            <w:tcW w:w="738" w:type="dxa"/>
            <w:tcBorders>
              <w:top w:val="single" w:color="auto" w:sz="4" w:space="0"/>
              <w:left w:val="single" w:color="auto" w:sz="4" w:space="0"/>
              <w:bottom w:val="single" w:color="auto" w:sz="4" w:space="0"/>
              <w:right w:val="single" w:color="auto" w:sz="4" w:space="0"/>
            </w:tcBorders>
            <w:noWrap w:val="0"/>
            <w:vAlign w:val="center"/>
          </w:tcPr>
          <w:p w14:paraId="1902ECC8">
            <w:pPr>
              <w:spacing w:line="360" w:lineRule="auto"/>
              <w:ind w:firstLine="0" w:firstLineChars="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满分分值</w:t>
            </w:r>
          </w:p>
        </w:tc>
        <w:tc>
          <w:tcPr>
            <w:tcW w:w="2962" w:type="dxa"/>
            <w:tcBorders>
              <w:top w:val="single" w:color="auto" w:sz="4" w:space="0"/>
              <w:left w:val="single" w:color="auto" w:sz="4" w:space="0"/>
              <w:bottom w:val="single" w:color="auto" w:sz="4" w:space="0"/>
              <w:right w:val="single" w:color="auto" w:sz="4" w:space="0"/>
            </w:tcBorders>
            <w:noWrap w:val="0"/>
            <w:vAlign w:val="center"/>
          </w:tcPr>
          <w:p w14:paraId="6EAEEEBF">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588" w:type="dxa"/>
            <w:tcBorders>
              <w:top w:val="single" w:color="auto" w:sz="4" w:space="0"/>
              <w:left w:val="single" w:color="auto" w:sz="4" w:space="0"/>
              <w:bottom w:val="single" w:color="auto" w:sz="4" w:space="0"/>
              <w:right w:val="single" w:color="auto" w:sz="4" w:space="0"/>
            </w:tcBorders>
            <w:noWrap w:val="0"/>
            <w:vAlign w:val="center"/>
          </w:tcPr>
          <w:p w14:paraId="52BCECCD">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65F8F90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AE6A74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3247" w:type="dxa"/>
            <w:tcBorders>
              <w:top w:val="single" w:color="auto" w:sz="4" w:space="0"/>
              <w:left w:val="single" w:color="auto" w:sz="4" w:space="0"/>
              <w:bottom w:val="single" w:color="auto" w:sz="4" w:space="0"/>
              <w:right w:val="single" w:color="auto" w:sz="4" w:space="0"/>
            </w:tcBorders>
            <w:noWrap w:val="0"/>
            <w:vAlign w:val="top"/>
          </w:tcPr>
          <w:p w14:paraId="5C640DD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738" w:type="dxa"/>
            <w:tcBorders>
              <w:top w:val="single" w:color="auto" w:sz="4" w:space="0"/>
              <w:left w:val="single" w:color="auto" w:sz="4" w:space="0"/>
              <w:bottom w:val="single" w:color="auto" w:sz="4" w:space="0"/>
              <w:right w:val="single" w:color="auto" w:sz="4" w:space="0"/>
            </w:tcBorders>
            <w:noWrap w:val="0"/>
            <w:vAlign w:val="center"/>
          </w:tcPr>
          <w:p w14:paraId="565EB16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962" w:type="dxa"/>
            <w:tcBorders>
              <w:top w:val="single" w:color="auto" w:sz="4" w:space="0"/>
              <w:left w:val="single" w:color="auto" w:sz="4" w:space="0"/>
              <w:bottom w:val="single" w:color="auto" w:sz="4" w:space="0"/>
              <w:right w:val="single" w:color="auto" w:sz="4" w:space="0"/>
            </w:tcBorders>
            <w:noWrap w:val="0"/>
            <w:vAlign w:val="center"/>
          </w:tcPr>
          <w:p w14:paraId="5F62052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588" w:type="dxa"/>
            <w:tcBorders>
              <w:top w:val="single" w:color="auto" w:sz="4" w:space="0"/>
              <w:left w:val="single" w:color="auto" w:sz="4" w:space="0"/>
              <w:bottom w:val="single" w:color="auto" w:sz="4" w:space="0"/>
              <w:right w:val="single" w:color="auto" w:sz="4" w:space="0"/>
            </w:tcBorders>
            <w:noWrap w:val="0"/>
            <w:vAlign w:val="center"/>
          </w:tcPr>
          <w:p w14:paraId="1FFC631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1B20D7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A144E8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3247" w:type="dxa"/>
            <w:tcBorders>
              <w:top w:val="single" w:color="auto" w:sz="4" w:space="0"/>
              <w:left w:val="single" w:color="auto" w:sz="4" w:space="0"/>
              <w:bottom w:val="single" w:color="auto" w:sz="4" w:space="0"/>
              <w:right w:val="single" w:color="auto" w:sz="4" w:space="0"/>
            </w:tcBorders>
            <w:noWrap w:val="0"/>
            <w:vAlign w:val="top"/>
          </w:tcPr>
          <w:p w14:paraId="7E595B9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738" w:type="dxa"/>
            <w:tcBorders>
              <w:top w:val="single" w:color="auto" w:sz="4" w:space="0"/>
              <w:left w:val="single" w:color="auto" w:sz="4" w:space="0"/>
              <w:bottom w:val="single" w:color="auto" w:sz="4" w:space="0"/>
              <w:right w:val="single" w:color="auto" w:sz="4" w:space="0"/>
            </w:tcBorders>
            <w:noWrap w:val="0"/>
            <w:vAlign w:val="center"/>
          </w:tcPr>
          <w:p w14:paraId="28AAE6C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962" w:type="dxa"/>
            <w:tcBorders>
              <w:top w:val="single" w:color="auto" w:sz="4" w:space="0"/>
              <w:left w:val="single" w:color="auto" w:sz="4" w:space="0"/>
              <w:bottom w:val="single" w:color="auto" w:sz="4" w:space="0"/>
              <w:right w:val="single" w:color="auto" w:sz="4" w:space="0"/>
            </w:tcBorders>
            <w:noWrap w:val="0"/>
            <w:vAlign w:val="center"/>
          </w:tcPr>
          <w:p w14:paraId="25707E4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588" w:type="dxa"/>
            <w:tcBorders>
              <w:top w:val="single" w:color="auto" w:sz="4" w:space="0"/>
              <w:left w:val="single" w:color="auto" w:sz="4" w:space="0"/>
              <w:bottom w:val="single" w:color="auto" w:sz="4" w:space="0"/>
              <w:right w:val="single" w:color="auto" w:sz="4" w:space="0"/>
            </w:tcBorders>
            <w:noWrap w:val="0"/>
            <w:vAlign w:val="center"/>
          </w:tcPr>
          <w:p w14:paraId="5B8552B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017FEC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0354D9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3247" w:type="dxa"/>
            <w:tcBorders>
              <w:top w:val="single" w:color="auto" w:sz="4" w:space="0"/>
              <w:left w:val="single" w:color="auto" w:sz="4" w:space="0"/>
              <w:bottom w:val="single" w:color="auto" w:sz="4" w:space="0"/>
              <w:right w:val="single" w:color="auto" w:sz="4" w:space="0"/>
            </w:tcBorders>
            <w:noWrap w:val="0"/>
            <w:vAlign w:val="top"/>
          </w:tcPr>
          <w:p w14:paraId="1BAF72F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738" w:type="dxa"/>
            <w:tcBorders>
              <w:top w:val="single" w:color="auto" w:sz="4" w:space="0"/>
              <w:left w:val="single" w:color="auto" w:sz="4" w:space="0"/>
              <w:bottom w:val="single" w:color="auto" w:sz="4" w:space="0"/>
              <w:right w:val="single" w:color="auto" w:sz="4" w:space="0"/>
            </w:tcBorders>
            <w:noWrap w:val="0"/>
            <w:vAlign w:val="center"/>
          </w:tcPr>
          <w:p w14:paraId="7D4B54D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962" w:type="dxa"/>
            <w:tcBorders>
              <w:top w:val="single" w:color="auto" w:sz="4" w:space="0"/>
              <w:left w:val="single" w:color="auto" w:sz="4" w:space="0"/>
              <w:bottom w:val="single" w:color="auto" w:sz="4" w:space="0"/>
              <w:right w:val="single" w:color="auto" w:sz="4" w:space="0"/>
            </w:tcBorders>
            <w:noWrap w:val="0"/>
            <w:vAlign w:val="center"/>
          </w:tcPr>
          <w:p w14:paraId="6B5C2E2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588" w:type="dxa"/>
            <w:tcBorders>
              <w:top w:val="single" w:color="auto" w:sz="4" w:space="0"/>
              <w:left w:val="single" w:color="auto" w:sz="4" w:space="0"/>
              <w:bottom w:val="single" w:color="auto" w:sz="4" w:space="0"/>
              <w:right w:val="single" w:color="auto" w:sz="4" w:space="0"/>
            </w:tcBorders>
            <w:noWrap w:val="0"/>
            <w:vAlign w:val="center"/>
          </w:tcPr>
          <w:p w14:paraId="0AF380A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51903DD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953605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3247" w:type="dxa"/>
            <w:tcBorders>
              <w:top w:val="single" w:color="auto" w:sz="4" w:space="0"/>
              <w:left w:val="single" w:color="auto" w:sz="4" w:space="0"/>
              <w:bottom w:val="single" w:color="auto" w:sz="4" w:space="0"/>
              <w:right w:val="single" w:color="auto" w:sz="4" w:space="0"/>
            </w:tcBorders>
            <w:noWrap w:val="0"/>
            <w:vAlign w:val="top"/>
          </w:tcPr>
          <w:p w14:paraId="61284C26">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738" w:type="dxa"/>
            <w:tcBorders>
              <w:top w:val="single" w:color="auto" w:sz="4" w:space="0"/>
              <w:left w:val="single" w:color="auto" w:sz="4" w:space="0"/>
              <w:bottom w:val="single" w:color="auto" w:sz="4" w:space="0"/>
              <w:right w:val="single" w:color="auto" w:sz="4" w:space="0"/>
            </w:tcBorders>
            <w:noWrap w:val="0"/>
            <w:vAlign w:val="center"/>
          </w:tcPr>
          <w:p w14:paraId="16E2F8A1">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962" w:type="dxa"/>
            <w:tcBorders>
              <w:top w:val="single" w:color="auto" w:sz="4" w:space="0"/>
              <w:left w:val="single" w:color="auto" w:sz="4" w:space="0"/>
              <w:bottom w:val="single" w:color="auto" w:sz="4" w:space="0"/>
              <w:right w:val="single" w:color="auto" w:sz="4" w:space="0"/>
            </w:tcBorders>
            <w:noWrap w:val="0"/>
            <w:vAlign w:val="center"/>
          </w:tcPr>
          <w:p w14:paraId="547E2521">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588" w:type="dxa"/>
            <w:tcBorders>
              <w:top w:val="single" w:color="auto" w:sz="4" w:space="0"/>
              <w:left w:val="single" w:color="auto" w:sz="4" w:space="0"/>
              <w:bottom w:val="single" w:color="auto" w:sz="4" w:space="0"/>
              <w:right w:val="single" w:color="auto" w:sz="4" w:space="0"/>
            </w:tcBorders>
            <w:noWrap w:val="0"/>
            <w:vAlign w:val="center"/>
          </w:tcPr>
          <w:p w14:paraId="76FF573A">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F1C258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9CE24F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3247" w:type="dxa"/>
            <w:tcBorders>
              <w:top w:val="single" w:color="auto" w:sz="4" w:space="0"/>
              <w:left w:val="single" w:color="auto" w:sz="4" w:space="0"/>
              <w:bottom w:val="single" w:color="auto" w:sz="4" w:space="0"/>
              <w:right w:val="single" w:color="auto" w:sz="4" w:space="0"/>
            </w:tcBorders>
            <w:noWrap w:val="0"/>
            <w:vAlign w:val="top"/>
          </w:tcPr>
          <w:p w14:paraId="5322A9B4">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738" w:type="dxa"/>
            <w:tcBorders>
              <w:top w:val="single" w:color="auto" w:sz="4" w:space="0"/>
              <w:left w:val="single" w:color="auto" w:sz="4" w:space="0"/>
              <w:bottom w:val="single" w:color="auto" w:sz="4" w:space="0"/>
              <w:right w:val="single" w:color="auto" w:sz="4" w:space="0"/>
            </w:tcBorders>
            <w:noWrap w:val="0"/>
            <w:vAlign w:val="center"/>
          </w:tcPr>
          <w:p w14:paraId="343B2187">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962" w:type="dxa"/>
            <w:tcBorders>
              <w:top w:val="single" w:color="auto" w:sz="4" w:space="0"/>
              <w:left w:val="single" w:color="auto" w:sz="4" w:space="0"/>
              <w:bottom w:val="single" w:color="auto" w:sz="4" w:space="0"/>
              <w:right w:val="single" w:color="auto" w:sz="4" w:space="0"/>
            </w:tcBorders>
            <w:noWrap w:val="0"/>
            <w:vAlign w:val="center"/>
          </w:tcPr>
          <w:p w14:paraId="417701AF">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588" w:type="dxa"/>
            <w:tcBorders>
              <w:top w:val="single" w:color="auto" w:sz="4" w:space="0"/>
              <w:left w:val="single" w:color="auto" w:sz="4" w:space="0"/>
              <w:bottom w:val="single" w:color="auto" w:sz="4" w:space="0"/>
              <w:right w:val="single" w:color="auto" w:sz="4" w:space="0"/>
            </w:tcBorders>
            <w:noWrap w:val="0"/>
            <w:vAlign w:val="center"/>
          </w:tcPr>
          <w:p w14:paraId="51B23C25">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6CEE654A">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3C3898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B311EA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036137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71D94E0">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ADCAC1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F11944F">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B1F4F2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A7F2AA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5AF052F">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EEC7131">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D7C260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DFA77EE">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599303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BC6E8F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500B463">
      <w:pPr>
        <w:spacing w:line="360" w:lineRule="auto"/>
        <w:ind w:firstLine="0" w:firstLineChars="0"/>
        <w:rPr>
          <w:rFonts w:hint="eastAsia" w:ascii="宋体" w:hAnsi="宋体" w:eastAsia="宋体" w:cs="宋体"/>
          <w:color w:val="000000" w:themeColor="text1"/>
          <w:kern w:val="0"/>
          <w:sz w:val="32"/>
          <w:szCs w:val="32"/>
          <w:highlight w:val="none"/>
          <w14:textFill>
            <w14:solidFill>
              <w14:schemeClr w14:val="tx1"/>
            </w14:solidFill>
          </w14:textFill>
        </w:rPr>
      </w:pPr>
    </w:p>
    <w:p w14:paraId="459FBE26">
      <w:pPr>
        <w:pStyle w:val="49"/>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招标文件规定的价格扣除证明材料（若有）</w:t>
      </w:r>
    </w:p>
    <w:p w14:paraId="26CFC2D0">
      <w:pPr>
        <w:pStyle w:val="49"/>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45E210AF">
      <w:pPr>
        <w:pStyle w:val="49"/>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4CB9495E">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6E45862F">
      <w:pPr>
        <w:pStyle w:val="49"/>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1A2933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B0380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67ABBE6D">
            <w:pPr>
              <w:pStyle w:val="49"/>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5671C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A36F2E2">
            <w:pPr>
              <w:pStyle w:val="49"/>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587EFBB9">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3EB340EE">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39CFBEED">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167F3F8A">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71AB3A70">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70B6E148">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5A676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15749F6">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1BD7ED8">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2286E8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FD2EE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5666FF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1E5766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2FEAD50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477E9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26CEFE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420527D">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3842EC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E403B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89DDE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658986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369891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B911F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B380A4C">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7D8AC7BC">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4CF86391">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tbl>
      <w:tblPr>
        <w:tblStyle w:val="2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51200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2A737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5E374A12">
            <w:pPr>
              <w:pStyle w:val="49"/>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533C81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7967B9E">
            <w:pPr>
              <w:pStyle w:val="49"/>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0C5677D7">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2D12E2D7">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1D7BF5D5">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27F2F676">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54549B65">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4D4EE56A">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0C243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13EA7BC0">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4DD7C6B5">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1312A5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5F79A4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4463A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55ED78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751521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7B50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0358AB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AB60CA5">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621FF9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4B4E6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185BE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3CCCC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683A3FA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ABF5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EBFA3D6">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678219CB">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40DF381C">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19855260">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331BF47E">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eastAsia="宋体" w:cs="宋体"/>
          <w:color w:val="000000" w:themeColor="text1"/>
          <w:sz w:val="24"/>
          <w:szCs w:val="24"/>
          <w:highlight w:val="none"/>
          <w:lang w:val="en-US" w:eastAsia="zh-CN"/>
          <w14:textFill>
            <w14:solidFill>
              <w14:schemeClr w14:val="tx1"/>
            </w14:solidFill>
          </w14:textFill>
        </w:rPr>
        <w:t>招标</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14:textFill>
            <w14:solidFill>
              <w14:schemeClr w14:val="tx1"/>
            </w14:solidFill>
          </w14:textFill>
        </w:rPr>
        <w:t>投标人须知前附表3：评标方法、评标标准、定标原则</w:t>
      </w:r>
      <w:r>
        <w:rPr>
          <w:rFonts w:ascii="宋体" w:hAnsi="宋体" w:eastAsia="宋体" w:cs="宋体"/>
          <w:color w:val="000000" w:themeColor="text1"/>
          <w:sz w:val="24"/>
          <w:szCs w:val="24"/>
          <w:highlight w:val="none"/>
          <w14:textFill>
            <w14:solidFill>
              <w14:schemeClr w14:val="tx1"/>
            </w14:solidFill>
          </w14:textFill>
        </w:rPr>
        <w:t>”。</w:t>
      </w:r>
    </w:p>
    <w:p w14:paraId="2259EAF9">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4603F6D0">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2C29EADA">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若投标产品既属于节能产品又属于环境标志产品，分别计算价格扣除优惠。</w:t>
      </w:r>
    </w:p>
    <w:p w14:paraId="49E7F927">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413F83AB">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3.3投标人应按照招标文件要求认真统计、计算。</w:t>
      </w:r>
    </w:p>
    <w:p w14:paraId="7C8FB647">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70B9072D">
      <w:pPr>
        <w:pStyle w:val="49"/>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投标人：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47192592">
      <w:pPr>
        <w:pStyle w:val="49"/>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6F720643">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p>
    <w:p w14:paraId="1D5EA46C">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p>
    <w:p w14:paraId="1255AF1E">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p>
    <w:p w14:paraId="0E3D9377">
      <w:pPr>
        <w:pStyle w:val="49"/>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5167DC4E">
      <w:pPr>
        <w:pStyle w:val="49"/>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20EB0FD9">
      <w:pPr>
        <w:pStyle w:val="49"/>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2196F2E3">
      <w:pPr>
        <w:pStyle w:val="49"/>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501479FE">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3755804F">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096E72F7">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招标</w:t>
      </w:r>
      <w:r>
        <w:rPr>
          <w:rFonts w:ascii="宋体" w:hAnsi="宋体" w:eastAsia="宋体" w:cs="宋体"/>
          <w:color w:val="000000" w:themeColor="text1"/>
          <w:sz w:val="24"/>
          <w:szCs w:val="24"/>
          <w:highlight w:val="none"/>
          <w:u w:val="single"/>
          <w14:textFill>
            <w14:solidFill>
              <w14:schemeClr w14:val="tx1"/>
            </w14:solidFill>
          </w14:textFill>
        </w:rPr>
        <w:t>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4B4F476A">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招标</w:t>
      </w:r>
      <w:r>
        <w:rPr>
          <w:rFonts w:ascii="宋体" w:hAnsi="宋体" w:eastAsia="宋体" w:cs="宋体"/>
          <w:color w:val="000000" w:themeColor="text1"/>
          <w:sz w:val="24"/>
          <w:szCs w:val="24"/>
          <w:highlight w:val="none"/>
          <w:u w:val="single"/>
          <w14:textFill>
            <w14:solidFill>
              <w14:schemeClr w14:val="tx1"/>
            </w14:solidFill>
          </w14:textFill>
        </w:rPr>
        <w:t>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01DB9BE7">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0DB7A31A">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52AFBD43">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498266B2">
      <w:pPr>
        <w:pStyle w:val="49"/>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投标人：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73AD820C">
      <w:pPr>
        <w:pStyle w:val="49"/>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2E0D03F0">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6A898E9A">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236B161D">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2130251">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8820326">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5F4D39BD">
      <w:pPr>
        <w:pStyle w:val="49"/>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195C9770">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59B1C10C">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招标</w:t>
      </w:r>
      <w:r>
        <w:rPr>
          <w:rFonts w:ascii="宋体" w:hAnsi="宋体" w:eastAsia="宋体" w:cs="宋体"/>
          <w:color w:val="000000" w:themeColor="text1"/>
          <w:sz w:val="24"/>
          <w:szCs w:val="24"/>
          <w:highlight w:val="none"/>
          <w:u w:val="single"/>
          <w14:textFill>
            <w14:solidFill>
              <w14:schemeClr w14:val="tx1"/>
            </w14:solidFill>
          </w14:textFill>
        </w:rPr>
        <w:t>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3D8AAB2C">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招标</w:t>
      </w:r>
      <w:r>
        <w:rPr>
          <w:rFonts w:ascii="宋体" w:hAnsi="宋体" w:eastAsia="宋体" w:cs="宋体"/>
          <w:color w:val="000000" w:themeColor="text1"/>
          <w:sz w:val="24"/>
          <w:szCs w:val="24"/>
          <w:highlight w:val="none"/>
          <w:u w:val="single"/>
          <w14:textFill>
            <w14:solidFill>
              <w14:schemeClr w14:val="tx1"/>
            </w14:solidFill>
          </w14:textFill>
        </w:rPr>
        <w:t>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3A993FCF">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21522409">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47F4DE88">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33019DD8">
      <w:pPr>
        <w:pStyle w:val="49"/>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投标人：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298590DA">
      <w:pPr>
        <w:pStyle w:val="49"/>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689492F6">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1A8A19BF">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2B7EA83C">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6BE90F5E">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74FB67AD">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248AF59">
      <w:pPr>
        <w:pStyle w:val="49"/>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72A54447">
      <w:pPr>
        <w:pStyle w:val="49"/>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0E167C76">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1、投标人应按照招标文件要求提供相应证明材料，证明材料应与《中小企业声明函》的内容相一致，否则视为《中小企业声明函》内容不真实。</w:t>
      </w:r>
    </w:p>
    <w:p w14:paraId="60EE6650">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2、投标人为监狱企业的，根据其提供的由省级以上监狱管理局、戒毒管理局（含新疆生产建设兵团）出具的属于监狱企业的证明文件进行认定，监狱企业视同小型、微型企业。</w:t>
      </w:r>
    </w:p>
    <w:p w14:paraId="48FC1231">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3、投标人为残疾人福利性单位的，根据其提供的《残疾人福利性单位声明函》（格式附后）进行认定，残疾人福利性单位视同小型、微型企业。残疾人福利性单位属于小型、微型企业的，不重复享受政策。</w:t>
      </w:r>
    </w:p>
    <w:p w14:paraId="79530778">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60B4F142">
      <w:pPr>
        <w:pStyle w:val="49"/>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41B0DC00">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27EB8F9A">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4B62C51D">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）由本投标人承建的（填写“所投采购包、品目号”）工程</w:t>
      </w:r>
    </w:p>
    <w:p w14:paraId="6AEBBF17">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）由本投标人承接的（填写“所投采购包、品目号”）服务；</w:t>
      </w:r>
    </w:p>
    <w:p w14:paraId="69D9D924">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本投标人对上述声明的真实性负责。如有虚假，将依法承担相应责任。</w:t>
      </w:r>
    </w:p>
    <w:p w14:paraId="566922A0">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08DCA48A">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1、请投标人按照实际情况编制填写本声明函，并在相应的（）中打“√”。</w:t>
      </w:r>
    </w:p>
    <w:p w14:paraId="222ADF7A">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0D466548">
      <w:pPr>
        <w:pStyle w:val="49"/>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投标人：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7EEEF2A0">
      <w:pPr>
        <w:pStyle w:val="49"/>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5E5E0DF">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3507FEEE">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2E30FD22">
      <w:pPr>
        <w:pStyle w:val="49"/>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74A4BC67">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投标人为监狱企业，提供本单位制造的货物（承接的服务），并在投标文件中提供省级以上监狱管理局、戒毒管理局（含新疆生产建设兵团）出具的属于监狱企业的证明文件。</w:t>
      </w:r>
    </w:p>
    <w:p w14:paraId="4A352C5C">
      <w:pPr>
        <w:pStyle w:val="49"/>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590B2F0A">
      <w:pPr>
        <w:pStyle w:val="49"/>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3招标文件规定的其他价格扣除证明材料（若有）</w:t>
      </w:r>
    </w:p>
    <w:p w14:paraId="66A8DB2D">
      <w:pPr>
        <w:pStyle w:val="49"/>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78D2CCE2">
      <w:pPr>
        <w:pStyle w:val="49"/>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若投标人可享受招标文件规定的除“节能（非强制类）、环境标志产品价格扣除”及“小型、微型企业产品等价格扣除”外的其他价格扣除优惠，则投标人应按照招标文件要求提供相应证明材料。</w:t>
      </w:r>
    </w:p>
    <w:p w14:paraId="3EBDC5FC">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123A0371">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p>
    <w:p w14:paraId="320B00A4">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79C9EB9A">
      <w:pPr>
        <w:rPr>
          <w:rFonts w:hint="eastAsia" w:ascii="宋体" w:hAnsi="宋体" w:eastAsia="宋体" w:cs="宋体"/>
          <w:color w:val="000000" w:themeColor="text1"/>
          <w:kern w:val="0"/>
          <w:sz w:val="24"/>
          <w:szCs w:val="24"/>
          <w:highlight w:val="none"/>
          <w14:textFill>
            <w14:solidFill>
              <w14:schemeClr w14:val="tx1"/>
            </w14:solidFill>
          </w14:textFill>
        </w:rPr>
      </w:pPr>
    </w:p>
    <w:p w14:paraId="0FB8873C">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25277578">
      <w:pPr>
        <w:rPr>
          <w:rFonts w:hint="eastAsia" w:ascii="宋体" w:hAnsi="宋体" w:eastAsia="宋体" w:cs="宋体"/>
          <w:color w:val="000000" w:themeColor="text1"/>
          <w:kern w:val="0"/>
          <w:sz w:val="24"/>
          <w:szCs w:val="24"/>
          <w:highlight w:val="none"/>
          <w14:textFill>
            <w14:solidFill>
              <w14:schemeClr w14:val="tx1"/>
            </w14:solidFill>
          </w14:textFill>
        </w:rPr>
      </w:pPr>
    </w:p>
    <w:p w14:paraId="185A88C3">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77E79521">
      <w:pPr>
        <w:rPr>
          <w:rFonts w:hint="eastAsia" w:ascii="宋体" w:hAnsi="宋体" w:eastAsia="宋体" w:cs="宋体"/>
          <w:color w:val="000000" w:themeColor="text1"/>
          <w:kern w:val="0"/>
          <w:sz w:val="24"/>
          <w:szCs w:val="24"/>
          <w:highlight w:val="none"/>
          <w14:textFill>
            <w14:solidFill>
              <w14:schemeClr w14:val="tx1"/>
            </w14:solidFill>
          </w14:textFill>
        </w:rPr>
      </w:pPr>
    </w:p>
    <w:p w14:paraId="54BE7C5E">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148F2BAA">
      <w:pPr>
        <w:rPr>
          <w:rFonts w:hint="eastAsia" w:ascii="宋体" w:hAnsi="宋体" w:eastAsia="宋体" w:cs="宋体"/>
          <w:color w:val="000000" w:themeColor="text1"/>
          <w:kern w:val="0"/>
          <w:sz w:val="24"/>
          <w:szCs w:val="24"/>
          <w:highlight w:val="none"/>
          <w14:textFill>
            <w14:solidFill>
              <w14:schemeClr w14:val="tx1"/>
            </w14:solidFill>
          </w14:textFill>
        </w:rPr>
      </w:pPr>
    </w:p>
    <w:p w14:paraId="3742BFBA">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47BCEEC9">
      <w:pPr>
        <w:rPr>
          <w:rFonts w:hint="eastAsia" w:ascii="宋体" w:hAnsi="宋体" w:eastAsia="宋体" w:cs="宋体"/>
          <w:color w:val="000000" w:themeColor="text1"/>
          <w:kern w:val="0"/>
          <w:sz w:val="24"/>
          <w:szCs w:val="24"/>
          <w:highlight w:val="none"/>
          <w14:textFill>
            <w14:solidFill>
              <w14:schemeClr w14:val="tx1"/>
            </w14:solidFill>
          </w14:textFill>
        </w:rPr>
      </w:pPr>
    </w:p>
    <w:p w14:paraId="5210F1BA">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3E4F5BE0">
      <w:pPr>
        <w:rPr>
          <w:rFonts w:hint="eastAsia" w:ascii="宋体" w:hAnsi="宋体" w:eastAsia="宋体" w:cs="宋体"/>
          <w:color w:val="000000" w:themeColor="text1"/>
          <w:kern w:val="0"/>
          <w:sz w:val="24"/>
          <w:szCs w:val="24"/>
          <w:highlight w:val="none"/>
          <w14:textFill>
            <w14:solidFill>
              <w14:schemeClr w14:val="tx1"/>
            </w14:solidFill>
          </w14:textFill>
        </w:rPr>
      </w:pPr>
    </w:p>
    <w:p w14:paraId="025D5CD2">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4A604283">
      <w:pPr>
        <w:rPr>
          <w:rFonts w:hint="eastAsia" w:ascii="宋体" w:hAnsi="宋体" w:eastAsia="宋体" w:cs="宋体"/>
          <w:color w:val="000000" w:themeColor="text1"/>
          <w:kern w:val="0"/>
          <w:sz w:val="24"/>
          <w:szCs w:val="24"/>
          <w:highlight w:val="none"/>
          <w14:textFill>
            <w14:solidFill>
              <w14:schemeClr w14:val="tx1"/>
            </w14:solidFill>
          </w14:textFill>
        </w:rPr>
      </w:pPr>
    </w:p>
    <w:p w14:paraId="0AF367FD">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60B32E15">
      <w:pPr>
        <w:rPr>
          <w:rFonts w:hint="eastAsia" w:ascii="宋体" w:hAnsi="宋体" w:eastAsia="宋体" w:cs="宋体"/>
          <w:color w:val="000000" w:themeColor="text1"/>
          <w:kern w:val="0"/>
          <w:sz w:val="24"/>
          <w:szCs w:val="24"/>
          <w:highlight w:val="none"/>
          <w14:textFill>
            <w14:solidFill>
              <w14:schemeClr w14:val="tx1"/>
            </w14:solidFill>
          </w14:textFill>
        </w:rPr>
      </w:pPr>
    </w:p>
    <w:p w14:paraId="2BA43786">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7A579F03">
      <w:pPr>
        <w:rPr>
          <w:rFonts w:hint="eastAsia" w:ascii="宋体" w:hAnsi="宋体" w:eastAsia="宋体" w:cs="宋体"/>
          <w:color w:val="000000" w:themeColor="text1"/>
          <w:kern w:val="0"/>
          <w:sz w:val="24"/>
          <w:szCs w:val="24"/>
          <w:highlight w:val="none"/>
          <w14:textFill>
            <w14:solidFill>
              <w14:schemeClr w14:val="tx1"/>
            </w14:solidFill>
          </w14:textFill>
        </w:rPr>
      </w:pPr>
    </w:p>
    <w:p w14:paraId="59A2A856">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524E9DB5">
      <w:pPr>
        <w:rPr>
          <w:rFonts w:hint="eastAsia" w:ascii="宋体" w:hAnsi="宋体" w:eastAsia="宋体" w:cs="宋体"/>
          <w:color w:val="000000" w:themeColor="text1"/>
          <w:kern w:val="0"/>
          <w:sz w:val="24"/>
          <w:szCs w:val="24"/>
          <w:highlight w:val="none"/>
          <w14:textFill>
            <w14:solidFill>
              <w14:schemeClr w14:val="tx1"/>
            </w14:solidFill>
          </w14:textFill>
        </w:rPr>
      </w:pPr>
    </w:p>
    <w:p w14:paraId="006B3F32">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17C14863">
      <w:pPr>
        <w:rPr>
          <w:rFonts w:hint="eastAsia" w:ascii="宋体" w:hAnsi="宋体" w:eastAsia="宋体" w:cs="宋体"/>
          <w:color w:val="000000" w:themeColor="text1"/>
          <w:kern w:val="0"/>
          <w:sz w:val="24"/>
          <w:szCs w:val="24"/>
          <w:highlight w:val="none"/>
          <w14:textFill>
            <w14:solidFill>
              <w14:schemeClr w14:val="tx1"/>
            </w14:solidFill>
          </w14:textFill>
        </w:rPr>
      </w:pPr>
    </w:p>
    <w:p w14:paraId="3FF8F7AA">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5A3DA5BA">
      <w:pPr>
        <w:rPr>
          <w:rFonts w:hint="eastAsia" w:ascii="宋体" w:hAnsi="宋体" w:eastAsia="宋体" w:cs="宋体"/>
          <w:color w:val="000000" w:themeColor="text1"/>
          <w:kern w:val="0"/>
          <w:sz w:val="24"/>
          <w:szCs w:val="24"/>
          <w:highlight w:val="none"/>
          <w14:textFill>
            <w14:solidFill>
              <w14:schemeClr w14:val="tx1"/>
            </w14:solidFill>
          </w14:textFill>
        </w:rPr>
      </w:pPr>
    </w:p>
    <w:p w14:paraId="455C2751">
      <w:pPr>
        <w:pStyle w:val="22"/>
        <w:rPr>
          <w:rFonts w:hint="eastAsia" w:ascii="宋体" w:hAnsi="宋体" w:eastAsia="宋体" w:cs="宋体"/>
          <w:color w:val="000000" w:themeColor="text1"/>
          <w:kern w:val="0"/>
          <w:sz w:val="24"/>
          <w:szCs w:val="24"/>
          <w:highlight w:val="none"/>
          <w14:textFill>
            <w14:solidFill>
              <w14:schemeClr w14:val="tx1"/>
            </w14:solidFill>
          </w14:textFill>
        </w:rPr>
      </w:pPr>
    </w:p>
    <w:p w14:paraId="1948BC17">
      <w:pPr>
        <w:rPr>
          <w:rFonts w:hint="eastAsia"/>
          <w:color w:val="000000" w:themeColor="text1"/>
          <w:highlight w:val="none"/>
          <w14:textFill>
            <w14:solidFill>
              <w14:schemeClr w14:val="tx1"/>
            </w14:solidFill>
          </w14:textFill>
        </w:rPr>
      </w:pPr>
    </w:p>
    <w:p w14:paraId="29BBABB3">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p>
    <w:p w14:paraId="616BD652">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p>
    <w:p w14:paraId="632A2C9B">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p>
    <w:p w14:paraId="2E508AF5">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p>
    <w:p w14:paraId="5881C51C">
      <w:pPr>
        <w:pStyle w:val="5"/>
        <w:numPr>
          <w:ilvl w:val="1"/>
          <w:numId w:val="0"/>
        </w:numPr>
        <w:tabs>
          <w:tab w:val="left" w:pos="576"/>
        </w:tabs>
        <w:spacing w:before="0" w:after="0" w:line="360" w:lineRule="auto"/>
        <w:jc w:val="center"/>
        <w:rPr>
          <w:rFonts w:hint="default"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3F04CA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（项目名称）项目投标。现就联合体投标事宜订立如下协议。</w:t>
      </w:r>
    </w:p>
    <w:p w14:paraId="3180EE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7065F8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2.联合体各成员授权牵头人代表联合体参加投标活动，签署文件，提交和接收相关的资料、信息及指示，进行合同谈判活动，负责合同实施阶段的组织和协调工作，以及处理与本招标项目有关的一切事宜。</w:t>
      </w:r>
    </w:p>
    <w:p w14:paraId="3BBDE5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08414FF9">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65B4CB7E">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B6B11FB">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E1B9DA5">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60F1A0E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66F8A98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596BC8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04ED5F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FE2FD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0933D0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31DB1AD">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5DFD0FC0">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310F10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011E36C3">
      <w:pPr>
        <w:pStyle w:val="20"/>
        <w:spacing w:before="0" w:beforeAutospacing="0" w:after="0" w:afterAutospacing="0" w:line="360" w:lineRule="auto"/>
        <w:rPr>
          <w:rFonts w:hint="eastAsia" w:eastAsia="宋体" w:cs="宋体"/>
          <w:color w:val="000000" w:themeColor="text1"/>
          <w:kern w:val="2"/>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213FB676">
      <w:pPr>
        <w:pStyle w:val="20"/>
        <w:spacing w:before="0" w:beforeAutospacing="0" w:after="0" w:afterAutospacing="0" w:line="360" w:lineRule="auto"/>
        <w:rPr>
          <w:rFonts w:hint="eastAsia" w:eastAsia="宋体" w:cs="宋体"/>
          <w:color w:val="000000" w:themeColor="text1"/>
          <w:kern w:val="2"/>
          <w:highlight w:val="none"/>
          <w14:textFill>
            <w14:solidFill>
              <w14:schemeClr w14:val="tx1"/>
            </w14:solidFill>
          </w14:textFill>
        </w:rPr>
      </w:pPr>
    </w:p>
    <w:p w14:paraId="2886CA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625B02A">
      <w:pPr>
        <w:pStyle w:val="4"/>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35258952">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08F88CA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12F2628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1AEA86DB">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554F8361">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422144A2">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4058318C">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7B2A71D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2BEB454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具备招标</w:t>
      </w:r>
      <w:r>
        <w:rPr>
          <w:rFonts w:hint="eastAsia" w:ascii="宋体" w:hAnsi="宋体" w:eastAsia="宋体" w:cs="宋体"/>
          <w:color w:val="000000" w:themeColor="text1"/>
          <w:sz w:val="24"/>
          <w:szCs w:val="24"/>
          <w:highlight w:val="none"/>
          <w14:textFill>
            <w14:solidFill>
              <w14:schemeClr w14:val="tx1"/>
            </w14:solidFill>
          </w14:textFill>
        </w:rPr>
        <w:t>文件要求以及《中华人民共和国政府采购法》第二十二条规定的条件:</w:t>
      </w:r>
    </w:p>
    <w:p w14:paraId="7026B1B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7C28827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0A872CE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5AE2F21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57050FFD">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5AE2DB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27BE413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451759C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51C8EF15">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05A38E46">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4DECC5F9">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6AE3A819">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5E9568D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62E48B9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2524133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投标人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在投标(响应)文件中按此模板提供承诺函，否则，视为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未按照招标文件规定提交投标人的资格及资信文件，按资格审查不通过处理。</w:t>
      </w:r>
    </w:p>
    <w:p w14:paraId="63B1D692">
      <w:pPr>
        <w:pStyle w:val="9"/>
        <w:rPr>
          <w:rFonts w:hint="eastAsia"/>
          <w:color w:val="000000" w:themeColor="text1"/>
          <w:highlight w:val="none"/>
          <w14:textFill>
            <w14:solidFill>
              <w14:schemeClr w14:val="tx1"/>
            </w14:solidFill>
          </w14:textFill>
        </w:rPr>
      </w:pPr>
    </w:p>
    <w:bookmarkEnd w:id="43"/>
    <w:sectPr>
      <w:footerReference r:id="rId1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B2D76">
    <w:pPr>
      <w:pStyle w:val="17"/>
      <w:rPr>
        <w:rFonts w:ascii="宋体" w:hAnsi="宋体"/>
        <w:sz w:val="21"/>
        <w:szCs w:val="21"/>
      </w:rPr>
    </w:pPr>
    <w:r>
      <w:rPr>
        <w:rFonts w:hint="eastAsia"/>
      </w:rPr>
      <w:t xml:space="preserve">                                          </w:t>
    </w:r>
    <w:r>
      <w:rPr>
        <w:rFonts w:hint="eastAsia" w:ascii="宋体" w:hAnsi="宋体"/>
        <w:sz w:val="21"/>
        <w:szCs w:val="21"/>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83ADF">
    <w:pPr>
      <w:pStyle w:val="17"/>
      <w:tabs>
        <w:tab w:val="right" w:pos="8460"/>
        <w:tab w:val="clear" w:pos="8306"/>
      </w:tabs>
      <w:ind w:right="-89" w:firstLine="420"/>
      <w:jc w:val="center"/>
      <w:rPr>
        <w:rFonts w:ascii="宋体" w:hAnsi="宋体"/>
      </w:rPr>
    </w:pPr>
    <w:r>
      <w:rPr>
        <w:rFonts w:ascii="宋体" w:hAnsi="宋体"/>
      </w:rPr>
      <w:t xml:space="preserve"> 5</w:t>
    </w:r>
    <w:r>
      <w:rPr>
        <w:rStyle w:val="26"/>
        <w:rFonts w:ascii="宋体" w:hAnsi="宋体"/>
      </w:rPr>
      <w:t>-</w:t>
    </w:r>
    <w:r>
      <w:rPr>
        <w:rFonts w:ascii="宋体" w:hAnsi="宋体"/>
      </w:rPr>
      <w:fldChar w:fldCharType="begin"/>
    </w:r>
    <w:r>
      <w:rPr>
        <w:rStyle w:val="26"/>
        <w:rFonts w:ascii="宋体" w:hAnsi="宋体"/>
      </w:rPr>
      <w:instrText xml:space="preserve"> PAGE </w:instrText>
    </w:r>
    <w:r>
      <w:rPr>
        <w:rFonts w:ascii="宋体" w:hAnsi="宋体"/>
      </w:rPr>
      <w:fldChar w:fldCharType="separate"/>
    </w:r>
    <w:r>
      <w:rPr>
        <w:rStyle w:val="26"/>
        <w:rFonts w:ascii="宋体" w:hAnsi="宋体"/>
      </w:rPr>
      <w:t>32</w:t>
    </w:r>
    <w:r>
      <w:rPr>
        <w:rFonts w:ascii="宋体" w:hAnsi="宋体"/>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D0C16">
    <w:pPr>
      <w:pStyle w:val="17"/>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lang w:val="en-US" w:eastAsia="zh-CN"/>
      </w:rPr>
      <w:t>5</w:t>
    </w:r>
    <w:r>
      <w:rPr>
        <w:rFonts w:ascii="宋体" w:hAnsi="宋体"/>
        <w:szCs w:val="20"/>
      </w:rPr>
      <w:t>-</w:t>
    </w:r>
    <w:r>
      <w:rPr>
        <w:rFonts w:ascii="宋体" w:hAnsi="宋体"/>
        <w:szCs w:val="20"/>
      </w:rPr>
      <w:fldChar w:fldCharType="begin"/>
    </w:r>
    <w:r>
      <w:rPr>
        <w:rStyle w:val="26"/>
        <w:rFonts w:ascii="宋体" w:hAnsi="宋体"/>
        <w:szCs w:val="20"/>
      </w:rPr>
      <w:instrText xml:space="preserve"> PAGE </w:instrText>
    </w:r>
    <w:r>
      <w:rPr>
        <w:rFonts w:ascii="宋体" w:hAnsi="宋体"/>
        <w:szCs w:val="20"/>
      </w:rPr>
      <w:fldChar w:fldCharType="separate"/>
    </w:r>
    <w:r>
      <w:rPr>
        <w:rStyle w:val="26"/>
        <w:rFonts w:ascii="宋体" w:hAnsi="宋体"/>
        <w:szCs w:val="20"/>
      </w:rPr>
      <w:t>3</w:t>
    </w:r>
    <w:r>
      <w:rPr>
        <w:rFonts w:ascii="宋体" w:hAnsi="宋体"/>
        <w:szCs w:val="20"/>
      </w:rPr>
      <w:fldChar w:fldCharType="end"/>
    </w:r>
    <w:r>
      <w:rPr>
        <w:rFonts w:ascii="宋体" w:hAnsi="宋体"/>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E2C2C">
    <w:pPr>
      <w:pStyle w:val="17"/>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A6B27">
    <w:pPr>
      <w:pStyle w:val="17"/>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26"/>
        <w:rFonts w:ascii="宋体" w:hAnsi="宋体"/>
      </w:rPr>
      <w:instrText xml:space="preserve"> PAGE </w:instrText>
    </w:r>
    <w:r>
      <w:rPr>
        <w:rFonts w:ascii="宋体" w:hAnsi="宋体"/>
      </w:rPr>
      <w:fldChar w:fldCharType="separate"/>
    </w:r>
    <w:r>
      <w:rPr>
        <w:rStyle w:val="26"/>
        <w:rFonts w:ascii="宋体" w:hAnsi="宋体"/>
      </w:rPr>
      <w:t>3</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FF01F6">
    <w:pPr>
      <w:pStyle w:val="17"/>
      <w:jc w:val="center"/>
      <w:rPr>
        <w:rFonts w:ascii="宋体" w:hAnsi="宋体"/>
      </w:rPr>
    </w:pPr>
    <w:r>
      <w:rPr>
        <w:rStyle w:val="26"/>
        <w:rFonts w:ascii="宋体" w:hAnsi="宋体"/>
        <w:szCs w:val="20"/>
      </w:rPr>
      <w:t>2-1-</w:t>
    </w:r>
    <w:r>
      <w:rPr>
        <w:rFonts w:ascii="宋体" w:hAnsi="宋体"/>
        <w:szCs w:val="20"/>
      </w:rPr>
      <w:fldChar w:fldCharType="begin"/>
    </w:r>
    <w:r>
      <w:rPr>
        <w:rStyle w:val="26"/>
        <w:rFonts w:ascii="宋体" w:hAnsi="宋体"/>
        <w:szCs w:val="20"/>
      </w:rPr>
      <w:instrText xml:space="preserve"> PAGE </w:instrText>
    </w:r>
    <w:r>
      <w:rPr>
        <w:rFonts w:ascii="宋体" w:hAnsi="宋体"/>
        <w:szCs w:val="20"/>
      </w:rPr>
      <w:fldChar w:fldCharType="separate"/>
    </w:r>
    <w:r>
      <w:rPr>
        <w:rStyle w:val="26"/>
        <w:rFonts w:ascii="宋体" w:hAnsi="宋体"/>
        <w:szCs w:val="20"/>
      </w:rPr>
      <w:t>4</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3CEBD">
    <w:pPr>
      <w:pStyle w:val="17"/>
      <w:jc w:val="center"/>
      <w:rPr>
        <w:rFonts w:ascii="宋体" w:hAnsi="宋体"/>
      </w:rPr>
    </w:pPr>
    <w:r>
      <w:rPr>
        <w:rStyle w:val="26"/>
        <w:rFonts w:ascii="宋体" w:hAnsi="宋体"/>
        <w:szCs w:val="20"/>
      </w:rPr>
      <w:t>2-</w:t>
    </w:r>
    <w:r>
      <w:rPr>
        <w:rStyle w:val="26"/>
        <w:rFonts w:hint="eastAsia" w:ascii="宋体" w:hAnsi="宋体"/>
        <w:szCs w:val="20"/>
        <w:lang w:val="en-US" w:eastAsia="zh-CN"/>
      </w:rPr>
      <w:t>2</w:t>
    </w:r>
    <w:r>
      <w:rPr>
        <w:rStyle w:val="26"/>
        <w:rFonts w:ascii="宋体" w:hAnsi="宋体"/>
        <w:szCs w:val="20"/>
      </w:rPr>
      <w:t>-</w:t>
    </w:r>
    <w:r>
      <w:rPr>
        <w:rFonts w:ascii="宋体" w:hAnsi="宋体"/>
        <w:szCs w:val="20"/>
      </w:rPr>
      <w:fldChar w:fldCharType="begin"/>
    </w:r>
    <w:r>
      <w:rPr>
        <w:rStyle w:val="26"/>
        <w:rFonts w:ascii="宋体" w:hAnsi="宋体"/>
        <w:szCs w:val="20"/>
      </w:rPr>
      <w:instrText xml:space="preserve"> PAGE </w:instrText>
    </w:r>
    <w:r>
      <w:rPr>
        <w:rFonts w:ascii="宋体" w:hAnsi="宋体"/>
        <w:szCs w:val="20"/>
      </w:rPr>
      <w:fldChar w:fldCharType="separate"/>
    </w:r>
    <w:r>
      <w:rPr>
        <w:rStyle w:val="26"/>
        <w:rFonts w:ascii="宋体" w:hAnsi="宋体"/>
        <w:szCs w:val="20"/>
      </w:rPr>
      <w:t>4</w:t>
    </w:r>
    <w:r>
      <w:rPr>
        <w:rFonts w:ascii="宋体" w:hAnsi="宋体"/>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5B968">
    <w:pPr>
      <w:pStyle w:val="17"/>
      <w:pBdr>
        <w:top w:val="single" w:color="auto" w:sz="4" w:space="1"/>
      </w:pBdr>
      <w:ind w:firstLine="360"/>
      <w:jc w:val="center"/>
      <w:rPr>
        <w:rFonts w:hint="default" w:eastAsia="宋体"/>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2F52A5">
                          <w:pPr>
                            <w:pStyle w:val="17"/>
                            <w:pBdr>
                              <w:top w:val="single" w:color="auto" w:sz="4" w:space="1"/>
                            </w:pBdr>
                            <w:ind w:firstLine="360"/>
                            <w:jc w:val="center"/>
                          </w:pPr>
                          <w:r>
                            <w:rPr>
                              <w:rFonts w:ascii="宋体" w:hAnsi="宋体"/>
                              <w:szCs w:val="20"/>
                            </w:rPr>
                            <w:t xml:space="preserve"> 3-</w:t>
                          </w:r>
                          <w:r>
                            <w:rPr>
                              <w:rFonts w:ascii="宋体" w:hAnsi="宋体"/>
                              <w:szCs w:val="20"/>
                            </w:rPr>
                            <w:fldChar w:fldCharType="begin"/>
                          </w:r>
                          <w:r>
                            <w:rPr>
                              <w:rStyle w:val="26"/>
                              <w:rFonts w:ascii="宋体" w:hAnsi="宋体"/>
                              <w:szCs w:val="20"/>
                            </w:rPr>
                            <w:instrText xml:space="preserve"> PAGE </w:instrText>
                          </w:r>
                          <w:r>
                            <w:rPr>
                              <w:rFonts w:ascii="宋体" w:hAnsi="宋体"/>
                              <w:szCs w:val="20"/>
                            </w:rPr>
                            <w:fldChar w:fldCharType="separate"/>
                          </w:r>
                          <w:r>
                            <w:rPr>
                              <w:rStyle w:val="26"/>
                              <w:rFonts w:ascii="宋体" w:hAnsi="宋体"/>
                              <w:szCs w:val="20"/>
                            </w:rPr>
                            <w:t>2</w:t>
                          </w:r>
                          <w:r>
                            <w:rPr>
                              <w:rFonts w:ascii="宋体" w:hAnsi="宋体"/>
                              <w:szCs w:val="20"/>
                            </w:rPr>
                            <w:fldChar w:fldCharType="end"/>
                          </w:r>
                          <w:r>
                            <w:rPr>
                              <w:rFonts w:ascii="宋体" w:hAnsi="宋体"/>
                              <w:szCs w:val="2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C2F52A5">
                    <w:pPr>
                      <w:pStyle w:val="17"/>
                      <w:pBdr>
                        <w:top w:val="single" w:color="auto" w:sz="4" w:space="1"/>
                      </w:pBdr>
                      <w:ind w:firstLine="360"/>
                      <w:jc w:val="center"/>
                    </w:pPr>
                    <w:r>
                      <w:rPr>
                        <w:rFonts w:ascii="宋体" w:hAnsi="宋体"/>
                        <w:szCs w:val="20"/>
                      </w:rPr>
                      <w:t xml:space="preserve"> 3-</w:t>
                    </w:r>
                    <w:r>
                      <w:rPr>
                        <w:rFonts w:ascii="宋体" w:hAnsi="宋体"/>
                        <w:szCs w:val="20"/>
                      </w:rPr>
                      <w:fldChar w:fldCharType="begin"/>
                    </w:r>
                    <w:r>
                      <w:rPr>
                        <w:rStyle w:val="26"/>
                        <w:rFonts w:ascii="宋体" w:hAnsi="宋体"/>
                        <w:szCs w:val="20"/>
                      </w:rPr>
                      <w:instrText xml:space="preserve"> PAGE </w:instrText>
                    </w:r>
                    <w:r>
                      <w:rPr>
                        <w:rFonts w:ascii="宋体" w:hAnsi="宋体"/>
                        <w:szCs w:val="20"/>
                      </w:rPr>
                      <w:fldChar w:fldCharType="separate"/>
                    </w:r>
                    <w:r>
                      <w:rPr>
                        <w:rStyle w:val="26"/>
                        <w:rFonts w:ascii="宋体" w:hAnsi="宋体"/>
                        <w:szCs w:val="20"/>
                      </w:rPr>
                      <w:t>2</w:t>
                    </w:r>
                    <w:r>
                      <w:rPr>
                        <w:rFonts w:ascii="宋体" w:hAnsi="宋体"/>
                        <w:szCs w:val="20"/>
                      </w:rPr>
                      <w:fldChar w:fldCharType="end"/>
                    </w:r>
                    <w:r>
                      <w:rPr>
                        <w:rFonts w:ascii="宋体" w:hAnsi="宋体"/>
                        <w:szCs w:val="20"/>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FEA54">
    <w:pPr>
      <w:pStyle w:val="17"/>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26"/>
        <w:rFonts w:ascii="宋体" w:hAnsi="宋体"/>
        <w:szCs w:val="20"/>
      </w:rPr>
      <w:instrText xml:space="preserve"> PAGE </w:instrText>
    </w:r>
    <w:r>
      <w:rPr>
        <w:rFonts w:ascii="宋体" w:hAnsi="宋体"/>
        <w:szCs w:val="20"/>
      </w:rPr>
      <w:fldChar w:fldCharType="separate"/>
    </w:r>
    <w:r>
      <w:rPr>
        <w:rStyle w:val="26"/>
        <w:rFonts w:ascii="宋体" w:hAnsi="宋体"/>
        <w:szCs w:val="20"/>
      </w:rPr>
      <w:t>3</w:t>
    </w:r>
    <w:r>
      <w:rPr>
        <w:rFonts w:ascii="宋体" w:hAnsi="宋体"/>
        <w:szCs w:val="20"/>
      </w:rPr>
      <w:fldChar w:fldCharType="end"/>
    </w:r>
    <w:r>
      <w:rPr>
        <w:rFonts w:ascii="宋体" w:hAnsi="宋体"/>
        <w:szCs w:val="20"/>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989CC">
    <w:pPr>
      <w:pStyle w:val="17"/>
      <w:tabs>
        <w:tab w:val="right" w:pos="8460"/>
        <w:tab w:val="clear" w:pos="8306"/>
      </w:tabs>
      <w:ind w:right="-89" w:firstLine="420"/>
      <w:jc w:val="center"/>
      <w:rPr>
        <w:rFonts w:ascii="宋体" w:hAnsi="宋体"/>
      </w:rPr>
    </w:pPr>
    <w:r>
      <w:rPr>
        <w:rFonts w:ascii="宋体" w:hAnsi="宋体"/>
      </w:rPr>
      <w:t xml:space="preserve"> 5</w:t>
    </w:r>
    <w:r>
      <w:rPr>
        <w:rStyle w:val="26"/>
        <w:rFonts w:ascii="宋体" w:hAnsi="宋体"/>
      </w:rPr>
      <w:t>-</w:t>
    </w:r>
    <w:r>
      <w:rPr>
        <w:rFonts w:ascii="宋体" w:hAnsi="宋体"/>
      </w:rPr>
      <w:fldChar w:fldCharType="begin"/>
    </w:r>
    <w:r>
      <w:rPr>
        <w:rStyle w:val="26"/>
        <w:rFonts w:ascii="宋体" w:hAnsi="宋体"/>
      </w:rPr>
      <w:instrText xml:space="preserve"> PAGE </w:instrText>
    </w:r>
    <w:r>
      <w:rPr>
        <w:rFonts w:ascii="宋体" w:hAnsi="宋体"/>
      </w:rPr>
      <w:fldChar w:fldCharType="separate"/>
    </w:r>
    <w:r>
      <w:rPr>
        <w:rStyle w:val="26"/>
        <w:rFonts w:ascii="宋体" w:hAnsi="宋体"/>
      </w:rPr>
      <w:t>32</w:t>
    </w:r>
    <w:r>
      <w:rPr>
        <w:rFonts w:ascii="宋体" w:hAnsi="宋体"/>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2279D">
    <w:pPr>
      <w:pStyle w:val="17"/>
      <w:tabs>
        <w:tab w:val="right" w:pos="8460"/>
        <w:tab w:val="clear" w:pos="8306"/>
      </w:tabs>
      <w:ind w:right="-89" w:firstLine="420"/>
      <w:jc w:val="center"/>
      <w:rPr>
        <w:rFonts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9DA292">
                          <w:pPr>
                            <w:pStyle w:val="17"/>
                            <w:tabs>
                              <w:tab w:val="right" w:pos="8460"/>
                              <w:tab w:val="clear" w:pos="8306"/>
                            </w:tabs>
                            <w:ind w:right="-89" w:firstLine="420"/>
                            <w:jc w:val="center"/>
                            <w:rPr>
                              <w:rFonts w:ascii="宋体" w:hAnsi="宋体"/>
                            </w:rPr>
                          </w:pPr>
                          <w:r>
                            <w:rPr>
                              <w:rFonts w:ascii="宋体" w:hAnsi="宋体"/>
                            </w:rPr>
                            <w:t xml:space="preserve"> 5</w:t>
                          </w:r>
                          <w:r>
                            <w:rPr>
                              <w:rStyle w:val="26"/>
                              <w:rFonts w:ascii="宋体" w:hAnsi="宋体"/>
                            </w:rPr>
                            <w:t>-</w:t>
                          </w:r>
                          <w:r>
                            <w:rPr>
                              <w:rFonts w:ascii="宋体" w:hAnsi="宋体"/>
                            </w:rPr>
                            <w:fldChar w:fldCharType="begin"/>
                          </w:r>
                          <w:r>
                            <w:rPr>
                              <w:rStyle w:val="26"/>
                              <w:rFonts w:ascii="宋体" w:hAnsi="宋体"/>
                            </w:rPr>
                            <w:instrText xml:space="preserve"> PAGE </w:instrText>
                          </w:r>
                          <w:r>
                            <w:rPr>
                              <w:rFonts w:ascii="宋体" w:hAnsi="宋体"/>
                            </w:rPr>
                            <w:fldChar w:fldCharType="separate"/>
                          </w:r>
                          <w:r>
                            <w:rPr>
                              <w:rStyle w:val="26"/>
                              <w:rFonts w:ascii="宋体" w:hAnsi="宋体"/>
                            </w:rPr>
                            <w:t>32</w:t>
                          </w:r>
                          <w:r>
                            <w:rPr>
                              <w:rFonts w:ascii="宋体" w:hAnsi="宋体"/>
                            </w:rPr>
                            <w:fldChar w:fldCharType="end"/>
                          </w:r>
                        </w:p>
                        <w:p w14:paraId="62563022">
                          <w:pPr>
                            <w:pStyle w:val="17"/>
                            <w:tabs>
                              <w:tab w:val="right" w:pos="8460"/>
                              <w:tab w:val="clear" w:pos="8306"/>
                            </w:tabs>
                            <w:ind w:right="-89" w:firstLine="420"/>
                            <w:jc w:val="center"/>
                          </w:pP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14:paraId="359DA292">
                    <w:pPr>
                      <w:pStyle w:val="17"/>
                      <w:tabs>
                        <w:tab w:val="right" w:pos="8460"/>
                        <w:tab w:val="clear" w:pos="8306"/>
                      </w:tabs>
                      <w:ind w:right="-89" w:firstLine="420"/>
                      <w:jc w:val="center"/>
                      <w:rPr>
                        <w:rFonts w:ascii="宋体" w:hAnsi="宋体"/>
                      </w:rPr>
                    </w:pPr>
                    <w:r>
                      <w:rPr>
                        <w:rFonts w:ascii="宋体" w:hAnsi="宋体"/>
                      </w:rPr>
                      <w:t xml:space="preserve"> 5</w:t>
                    </w:r>
                    <w:r>
                      <w:rPr>
                        <w:rStyle w:val="26"/>
                        <w:rFonts w:ascii="宋体" w:hAnsi="宋体"/>
                      </w:rPr>
                      <w:t>-</w:t>
                    </w:r>
                    <w:r>
                      <w:rPr>
                        <w:rFonts w:ascii="宋体" w:hAnsi="宋体"/>
                      </w:rPr>
                      <w:fldChar w:fldCharType="begin"/>
                    </w:r>
                    <w:r>
                      <w:rPr>
                        <w:rStyle w:val="26"/>
                        <w:rFonts w:ascii="宋体" w:hAnsi="宋体"/>
                      </w:rPr>
                      <w:instrText xml:space="preserve"> PAGE </w:instrText>
                    </w:r>
                    <w:r>
                      <w:rPr>
                        <w:rFonts w:ascii="宋体" w:hAnsi="宋体"/>
                      </w:rPr>
                      <w:fldChar w:fldCharType="separate"/>
                    </w:r>
                    <w:r>
                      <w:rPr>
                        <w:rStyle w:val="26"/>
                        <w:rFonts w:ascii="宋体" w:hAnsi="宋体"/>
                      </w:rPr>
                      <w:t>32</w:t>
                    </w:r>
                    <w:r>
                      <w:rPr>
                        <w:rFonts w:ascii="宋体" w:hAnsi="宋体"/>
                      </w:rPr>
                      <w:fldChar w:fldCharType="end"/>
                    </w:r>
                  </w:p>
                  <w:p w14:paraId="62563022">
                    <w:pPr>
                      <w:pStyle w:val="17"/>
                      <w:tabs>
                        <w:tab w:val="right" w:pos="8460"/>
                        <w:tab w:val="clear" w:pos="8306"/>
                      </w:tabs>
                      <w:ind w:right="-89" w:firstLine="420"/>
                      <w:jc w:val="cente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1DD3E">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DE665">
    <w:pPr>
      <w:pStyle w:val="1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C4F268">
    <w:pPr>
      <w:pStyle w:val="1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9FDAB">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DEA804"/>
    <w:multiLevelType w:val="singleLevel"/>
    <w:tmpl w:val="F6DEA804"/>
    <w:lvl w:ilvl="0" w:tentative="0">
      <w:start w:val="1"/>
      <w:numFmt w:val="decimal"/>
      <w:suff w:val="nothing"/>
      <w:lvlText w:val="（%1）"/>
      <w:lvlJc w:val="left"/>
    </w:lvl>
  </w:abstractNum>
  <w:abstractNum w:abstractNumId="1">
    <w:nsid w:val="FEDB4C4A"/>
    <w:multiLevelType w:val="singleLevel"/>
    <w:tmpl w:val="FEDB4C4A"/>
    <w:lvl w:ilvl="0" w:tentative="0">
      <w:start w:val="1"/>
      <w:numFmt w:val="decimal"/>
      <w:suff w:val="nothing"/>
      <w:lvlText w:val="（%1）"/>
      <w:lvlJc w:val="left"/>
    </w:lvl>
  </w:abstractNum>
  <w:abstractNum w:abstractNumId="2">
    <w:nsid w:val="232502F1"/>
    <w:multiLevelType w:val="multilevel"/>
    <w:tmpl w:val="232502F1"/>
    <w:lvl w:ilvl="0" w:tentative="0">
      <w:start w:val="1"/>
      <w:numFmt w:val="decimal"/>
      <w:lvlText w:val="%1"/>
      <w:lvlJc w:val="left"/>
      <w:pPr>
        <w:ind w:left="432" w:hanging="432"/>
      </w:pPr>
    </w:lvl>
    <w:lvl w:ilvl="1" w:tentative="0">
      <w:start w:val="1"/>
      <w:numFmt w:val="decimal"/>
      <w:lvlText w:val="%1.%2"/>
      <w:lvlJc w:val="left"/>
      <w:pPr>
        <w:ind w:left="576" w:hanging="576"/>
      </w:pPr>
      <w:rPr>
        <w:rFonts w:ascii="黑体" w:hAnsi="黑体" w:eastAsia="黑体"/>
      </w:rPr>
    </w:lvl>
    <w:lvl w:ilvl="2" w:tentative="0">
      <w:start w:val="1"/>
      <w:numFmt w:val="decimal"/>
      <w:pStyle w:val="6"/>
      <w:lvlText w:val="%1.%2.%3"/>
      <w:lvlJc w:val="left"/>
      <w:pPr>
        <w:ind w:left="720" w:hanging="720"/>
      </w:pPr>
    </w:lvl>
    <w:lvl w:ilvl="3" w:tentative="0">
      <w:start w:val="1"/>
      <w:numFmt w:val="decimal"/>
      <w:pStyle w:val="7"/>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3">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783A1A21"/>
    <w:multiLevelType w:val="multilevel"/>
    <w:tmpl w:val="783A1A21"/>
    <w:lvl w:ilvl="0" w:tentative="0">
      <w:start w:val="1"/>
      <w:numFmt w:val="decimal"/>
      <w:lvlText w:val="第%1章"/>
      <w:lvlJc w:val="left"/>
      <w:pPr>
        <w:ind w:left="432" w:hanging="432"/>
      </w:pPr>
      <w:rPr>
        <w:rFonts w:hint="eastAsia"/>
      </w:rPr>
    </w:lvl>
    <w:lvl w:ilvl="1" w:tentative="0">
      <w:start w:val="1"/>
      <w:numFmt w:val="decimal"/>
      <w:lvlText w:val="%1.%2"/>
      <w:lvlJc w:val="left"/>
      <w:pPr>
        <w:ind w:left="576" w:hanging="576"/>
      </w:pPr>
      <w:rPr>
        <w:rFonts w:hint="default" w:ascii="宋体" w:hAnsi="宋体" w:eastAsia="宋体" w:cs="宋体"/>
        <w:sz w:val="24"/>
        <w:szCs w:val="24"/>
      </w:rPr>
    </w:lvl>
    <w:lvl w:ilvl="2" w:tentative="0">
      <w:start w:val="1"/>
      <w:numFmt w:val="decimal"/>
      <w:lvlText w:val="%1.%2.%3"/>
      <w:lvlJc w:val="left"/>
      <w:pPr>
        <w:ind w:left="720" w:hanging="720"/>
      </w:pPr>
      <w:rPr>
        <w:rFonts w:hint="default" w:ascii="宋体" w:hAnsi="宋体" w:eastAsia="宋体" w:cs="宋体"/>
        <w:sz w:val="24"/>
        <w:szCs w:val="24"/>
      </w:rPr>
    </w:lvl>
    <w:lvl w:ilvl="3" w:tentative="0">
      <w:start w:val="1"/>
      <w:numFmt w:val="decimal"/>
      <w:lvlText w:val="%1.%2.%3.%4"/>
      <w:lvlJc w:val="left"/>
      <w:pPr>
        <w:ind w:left="864" w:hanging="864"/>
      </w:pPr>
      <w:rPr>
        <w:rFonts w:ascii="黑体" w:hAnsi="黑体" w:eastAsia="黑体"/>
      </w:r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revisionView w:markup="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0YWY4ZjhmOWI1MzY5YWMwZjQ5ZjM3N2YxM2Q4YjMifQ=="/>
    <w:docVar w:name="KSO_WPS_MARK_KEY" w:val="c3b1e30e-5dbe-408c-b71e-27713e52e248"/>
  </w:docVars>
  <w:rsids>
    <w:rsidRoot w:val="00826F6A"/>
    <w:rsid w:val="0000763D"/>
    <w:rsid w:val="000303E7"/>
    <w:rsid w:val="00030994"/>
    <w:rsid w:val="0003423D"/>
    <w:rsid w:val="000368BF"/>
    <w:rsid w:val="0004020A"/>
    <w:rsid w:val="0006215C"/>
    <w:rsid w:val="000732C5"/>
    <w:rsid w:val="00093FB5"/>
    <w:rsid w:val="000971CF"/>
    <w:rsid w:val="000A142F"/>
    <w:rsid w:val="000C6E0C"/>
    <w:rsid w:val="000D10A5"/>
    <w:rsid w:val="000D1465"/>
    <w:rsid w:val="000D3DD5"/>
    <w:rsid w:val="000F5947"/>
    <w:rsid w:val="001023CD"/>
    <w:rsid w:val="0010649F"/>
    <w:rsid w:val="00107D2E"/>
    <w:rsid w:val="001133E9"/>
    <w:rsid w:val="00127096"/>
    <w:rsid w:val="00180359"/>
    <w:rsid w:val="00190732"/>
    <w:rsid w:val="001A1C93"/>
    <w:rsid w:val="001B3193"/>
    <w:rsid w:val="001C5537"/>
    <w:rsid w:val="001D64B6"/>
    <w:rsid w:val="001E2E13"/>
    <w:rsid w:val="001E4519"/>
    <w:rsid w:val="001E7B5A"/>
    <w:rsid w:val="001F17B3"/>
    <w:rsid w:val="001F20E6"/>
    <w:rsid w:val="001F3294"/>
    <w:rsid w:val="00203852"/>
    <w:rsid w:val="002119A4"/>
    <w:rsid w:val="00217737"/>
    <w:rsid w:val="00232532"/>
    <w:rsid w:val="00243998"/>
    <w:rsid w:val="00253179"/>
    <w:rsid w:val="00256E7E"/>
    <w:rsid w:val="002601F2"/>
    <w:rsid w:val="002907E8"/>
    <w:rsid w:val="00293316"/>
    <w:rsid w:val="002A022E"/>
    <w:rsid w:val="002A4CB3"/>
    <w:rsid w:val="002A6A1D"/>
    <w:rsid w:val="002B3DE6"/>
    <w:rsid w:val="002C540F"/>
    <w:rsid w:val="002E15EC"/>
    <w:rsid w:val="002F23EA"/>
    <w:rsid w:val="002F2695"/>
    <w:rsid w:val="003243BD"/>
    <w:rsid w:val="0032711D"/>
    <w:rsid w:val="00330CEB"/>
    <w:rsid w:val="00336DE3"/>
    <w:rsid w:val="00350D15"/>
    <w:rsid w:val="00395616"/>
    <w:rsid w:val="003C1D35"/>
    <w:rsid w:val="003C629E"/>
    <w:rsid w:val="003C73AA"/>
    <w:rsid w:val="003D03FA"/>
    <w:rsid w:val="003D1A46"/>
    <w:rsid w:val="003E1F27"/>
    <w:rsid w:val="003F1900"/>
    <w:rsid w:val="00411025"/>
    <w:rsid w:val="00435F2D"/>
    <w:rsid w:val="00451ADF"/>
    <w:rsid w:val="00480B8C"/>
    <w:rsid w:val="004813F9"/>
    <w:rsid w:val="00495F11"/>
    <w:rsid w:val="004A26E5"/>
    <w:rsid w:val="004B334F"/>
    <w:rsid w:val="004B4025"/>
    <w:rsid w:val="004C456F"/>
    <w:rsid w:val="004C7ADC"/>
    <w:rsid w:val="004D263D"/>
    <w:rsid w:val="004E2C29"/>
    <w:rsid w:val="00512E7A"/>
    <w:rsid w:val="00522DD8"/>
    <w:rsid w:val="00543E58"/>
    <w:rsid w:val="00572D9C"/>
    <w:rsid w:val="00580C4E"/>
    <w:rsid w:val="00590201"/>
    <w:rsid w:val="005F5E74"/>
    <w:rsid w:val="006175EC"/>
    <w:rsid w:val="006333DA"/>
    <w:rsid w:val="00651935"/>
    <w:rsid w:val="006616EA"/>
    <w:rsid w:val="0067092F"/>
    <w:rsid w:val="00676FCA"/>
    <w:rsid w:val="006819BC"/>
    <w:rsid w:val="006975F4"/>
    <w:rsid w:val="006B0797"/>
    <w:rsid w:val="006E11B4"/>
    <w:rsid w:val="006E51C3"/>
    <w:rsid w:val="007068F1"/>
    <w:rsid w:val="007200A5"/>
    <w:rsid w:val="007206C4"/>
    <w:rsid w:val="00722957"/>
    <w:rsid w:val="0074258A"/>
    <w:rsid w:val="00747980"/>
    <w:rsid w:val="00770DD1"/>
    <w:rsid w:val="00771713"/>
    <w:rsid w:val="0077752A"/>
    <w:rsid w:val="00797ED3"/>
    <w:rsid w:val="007A6B2B"/>
    <w:rsid w:val="007B0E13"/>
    <w:rsid w:val="007C1F16"/>
    <w:rsid w:val="007C6568"/>
    <w:rsid w:val="007D350F"/>
    <w:rsid w:val="007E5D94"/>
    <w:rsid w:val="007E5F12"/>
    <w:rsid w:val="007F64F1"/>
    <w:rsid w:val="007F6AD6"/>
    <w:rsid w:val="0082306F"/>
    <w:rsid w:val="00825E95"/>
    <w:rsid w:val="00826F6A"/>
    <w:rsid w:val="0085235B"/>
    <w:rsid w:val="00874F39"/>
    <w:rsid w:val="008850F5"/>
    <w:rsid w:val="008A5508"/>
    <w:rsid w:val="008B6210"/>
    <w:rsid w:val="008C3834"/>
    <w:rsid w:val="008C7A28"/>
    <w:rsid w:val="008E36AA"/>
    <w:rsid w:val="008F6E12"/>
    <w:rsid w:val="00904ABB"/>
    <w:rsid w:val="009273A5"/>
    <w:rsid w:val="009571A8"/>
    <w:rsid w:val="00965B65"/>
    <w:rsid w:val="00991887"/>
    <w:rsid w:val="00997AA5"/>
    <w:rsid w:val="009A536D"/>
    <w:rsid w:val="009A5857"/>
    <w:rsid w:val="009E2E37"/>
    <w:rsid w:val="00A00100"/>
    <w:rsid w:val="00A11D47"/>
    <w:rsid w:val="00A20992"/>
    <w:rsid w:val="00A23508"/>
    <w:rsid w:val="00A24E67"/>
    <w:rsid w:val="00A25A7C"/>
    <w:rsid w:val="00A26E0E"/>
    <w:rsid w:val="00A3079F"/>
    <w:rsid w:val="00A43E9B"/>
    <w:rsid w:val="00A4666A"/>
    <w:rsid w:val="00A46EF5"/>
    <w:rsid w:val="00A504BB"/>
    <w:rsid w:val="00A5516F"/>
    <w:rsid w:val="00A569FC"/>
    <w:rsid w:val="00A62565"/>
    <w:rsid w:val="00A6554D"/>
    <w:rsid w:val="00A732D3"/>
    <w:rsid w:val="00A774EB"/>
    <w:rsid w:val="00A81BA7"/>
    <w:rsid w:val="00A838F7"/>
    <w:rsid w:val="00AB449C"/>
    <w:rsid w:val="00AB5097"/>
    <w:rsid w:val="00AB5A0E"/>
    <w:rsid w:val="00AD1791"/>
    <w:rsid w:val="00AD32AF"/>
    <w:rsid w:val="00AE3D28"/>
    <w:rsid w:val="00AF348C"/>
    <w:rsid w:val="00B25FF0"/>
    <w:rsid w:val="00B277B8"/>
    <w:rsid w:val="00B35523"/>
    <w:rsid w:val="00B644AC"/>
    <w:rsid w:val="00B65A20"/>
    <w:rsid w:val="00B8196C"/>
    <w:rsid w:val="00B867E1"/>
    <w:rsid w:val="00B87A2E"/>
    <w:rsid w:val="00B9489F"/>
    <w:rsid w:val="00BA0646"/>
    <w:rsid w:val="00BA20E7"/>
    <w:rsid w:val="00BB0022"/>
    <w:rsid w:val="00BC4F82"/>
    <w:rsid w:val="00BD0311"/>
    <w:rsid w:val="00BE38E5"/>
    <w:rsid w:val="00BF1DC6"/>
    <w:rsid w:val="00BF394F"/>
    <w:rsid w:val="00BF431E"/>
    <w:rsid w:val="00C52B5B"/>
    <w:rsid w:val="00C54628"/>
    <w:rsid w:val="00C60353"/>
    <w:rsid w:val="00C778BA"/>
    <w:rsid w:val="00C82823"/>
    <w:rsid w:val="00C82D76"/>
    <w:rsid w:val="00C91D90"/>
    <w:rsid w:val="00CA4F79"/>
    <w:rsid w:val="00CB724C"/>
    <w:rsid w:val="00CC58AD"/>
    <w:rsid w:val="00CE61EE"/>
    <w:rsid w:val="00D050E1"/>
    <w:rsid w:val="00D14B11"/>
    <w:rsid w:val="00D31DEA"/>
    <w:rsid w:val="00D42529"/>
    <w:rsid w:val="00D4331E"/>
    <w:rsid w:val="00D43701"/>
    <w:rsid w:val="00D4560F"/>
    <w:rsid w:val="00D57022"/>
    <w:rsid w:val="00D631A0"/>
    <w:rsid w:val="00D814DD"/>
    <w:rsid w:val="00D87BB7"/>
    <w:rsid w:val="00D90C1F"/>
    <w:rsid w:val="00D94B49"/>
    <w:rsid w:val="00DA2FA7"/>
    <w:rsid w:val="00DB3C87"/>
    <w:rsid w:val="00DC2203"/>
    <w:rsid w:val="00DD4AD1"/>
    <w:rsid w:val="00DE54F3"/>
    <w:rsid w:val="00E00BE6"/>
    <w:rsid w:val="00E23A8B"/>
    <w:rsid w:val="00E23C47"/>
    <w:rsid w:val="00E23CB8"/>
    <w:rsid w:val="00E4442C"/>
    <w:rsid w:val="00E466D0"/>
    <w:rsid w:val="00E46946"/>
    <w:rsid w:val="00E56D42"/>
    <w:rsid w:val="00E7401C"/>
    <w:rsid w:val="00E80B7C"/>
    <w:rsid w:val="00E9294C"/>
    <w:rsid w:val="00EA1A54"/>
    <w:rsid w:val="00EA3B0F"/>
    <w:rsid w:val="00ED0F4F"/>
    <w:rsid w:val="00ED38F5"/>
    <w:rsid w:val="00EE25A8"/>
    <w:rsid w:val="00F0251E"/>
    <w:rsid w:val="00F036C9"/>
    <w:rsid w:val="00F11077"/>
    <w:rsid w:val="00F27BF7"/>
    <w:rsid w:val="00F35172"/>
    <w:rsid w:val="00F35205"/>
    <w:rsid w:val="00F4346C"/>
    <w:rsid w:val="00F705F5"/>
    <w:rsid w:val="00F7074B"/>
    <w:rsid w:val="00F77DED"/>
    <w:rsid w:val="00FA342C"/>
    <w:rsid w:val="00FC0838"/>
    <w:rsid w:val="00FE1A5A"/>
    <w:rsid w:val="00FE3F5F"/>
    <w:rsid w:val="00FF23C9"/>
    <w:rsid w:val="00FF57CB"/>
    <w:rsid w:val="010F32B3"/>
    <w:rsid w:val="0136557F"/>
    <w:rsid w:val="017D0FE0"/>
    <w:rsid w:val="0189664D"/>
    <w:rsid w:val="01927FB4"/>
    <w:rsid w:val="01CE7262"/>
    <w:rsid w:val="01D6466C"/>
    <w:rsid w:val="02482947"/>
    <w:rsid w:val="026305F6"/>
    <w:rsid w:val="02AD6017"/>
    <w:rsid w:val="032D315A"/>
    <w:rsid w:val="036C0526"/>
    <w:rsid w:val="038D51FF"/>
    <w:rsid w:val="03E868D9"/>
    <w:rsid w:val="04B14F1D"/>
    <w:rsid w:val="04B844FD"/>
    <w:rsid w:val="04DA26C6"/>
    <w:rsid w:val="05025C53"/>
    <w:rsid w:val="051200D8"/>
    <w:rsid w:val="054364BD"/>
    <w:rsid w:val="05557F9E"/>
    <w:rsid w:val="0619721E"/>
    <w:rsid w:val="062B1963"/>
    <w:rsid w:val="06304710"/>
    <w:rsid w:val="067E795E"/>
    <w:rsid w:val="075524D7"/>
    <w:rsid w:val="07F43A9E"/>
    <w:rsid w:val="084C38DA"/>
    <w:rsid w:val="08537121"/>
    <w:rsid w:val="087A735F"/>
    <w:rsid w:val="08C01BD2"/>
    <w:rsid w:val="08C43471"/>
    <w:rsid w:val="08F875BE"/>
    <w:rsid w:val="09AD03A9"/>
    <w:rsid w:val="09D75426"/>
    <w:rsid w:val="0A73514E"/>
    <w:rsid w:val="0A8E1F88"/>
    <w:rsid w:val="0AA417AC"/>
    <w:rsid w:val="0AB20065"/>
    <w:rsid w:val="0AD656DD"/>
    <w:rsid w:val="0B4E5BBB"/>
    <w:rsid w:val="0BBE689D"/>
    <w:rsid w:val="0BEF048C"/>
    <w:rsid w:val="0BF26547"/>
    <w:rsid w:val="0C61547A"/>
    <w:rsid w:val="0C837EBF"/>
    <w:rsid w:val="0CBD0903"/>
    <w:rsid w:val="0CC925E1"/>
    <w:rsid w:val="0D466B4A"/>
    <w:rsid w:val="0D786450"/>
    <w:rsid w:val="0DA32C6D"/>
    <w:rsid w:val="0DBC505E"/>
    <w:rsid w:val="0DCE6B40"/>
    <w:rsid w:val="0DE6032D"/>
    <w:rsid w:val="0DEA1187"/>
    <w:rsid w:val="105F7F23"/>
    <w:rsid w:val="11D16BFE"/>
    <w:rsid w:val="11D30BC8"/>
    <w:rsid w:val="11F34DC7"/>
    <w:rsid w:val="1201448E"/>
    <w:rsid w:val="123C3BCD"/>
    <w:rsid w:val="125208D6"/>
    <w:rsid w:val="125C4590"/>
    <w:rsid w:val="12EE52E9"/>
    <w:rsid w:val="136E60E8"/>
    <w:rsid w:val="13842174"/>
    <w:rsid w:val="14904B4F"/>
    <w:rsid w:val="14B34588"/>
    <w:rsid w:val="14EC447B"/>
    <w:rsid w:val="155362A8"/>
    <w:rsid w:val="15657D89"/>
    <w:rsid w:val="1571672E"/>
    <w:rsid w:val="1577373D"/>
    <w:rsid w:val="15EF58A5"/>
    <w:rsid w:val="15F91BCC"/>
    <w:rsid w:val="16866209"/>
    <w:rsid w:val="16C44F84"/>
    <w:rsid w:val="16D0666A"/>
    <w:rsid w:val="173A2288"/>
    <w:rsid w:val="1740460A"/>
    <w:rsid w:val="17546308"/>
    <w:rsid w:val="178D5376"/>
    <w:rsid w:val="18073EA3"/>
    <w:rsid w:val="184719C8"/>
    <w:rsid w:val="184A3267"/>
    <w:rsid w:val="187B2A76"/>
    <w:rsid w:val="18A84B5D"/>
    <w:rsid w:val="18D53478"/>
    <w:rsid w:val="18EE62E8"/>
    <w:rsid w:val="19136E42"/>
    <w:rsid w:val="193725BE"/>
    <w:rsid w:val="194756B4"/>
    <w:rsid w:val="195B21D6"/>
    <w:rsid w:val="19EC2827"/>
    <w:rsid w:val="19ED3EA6"/>
    <w:rsid w:val="1A58610F"/>
    <w:rsid w:val="1A9F3D3E"/>
    <w:rsid w:val="1B04440B"/>
    <w:rsid w:val="1B0911B7"/>
    <w:rsid w:val="1B1C0EEA"/>
    <w:rsid w:val="1B245FF1"/>
    <w:rsid w:val="1B43291B"/>
    <w:rsid w:val="1B9A62B3"/>
    <w:rsid w:val="1BBE4697"/>
    <w:rsid w:val="1BC03F6C"/>
    <w:rsid w:val="1C08232E"/>
    <w:rsid w:val="1C37166A"/>
    <w:rsid w:val="1CE27F12"/>
    <w:rsid w:val="1D3D2B4F"/>
    <w:rsid w:val="1D816F16"/>
    <w:rsid w:val="1D8A2A83"/>
    <w:rsid w:val="1DA43419"/>
    <w:rsid w:val="1DDB32DF"/>
    <w:rsid w:val="1E8219AC"/>
    <w:rsid w:val="1F843502"/>
    <w:rsid w:val="1FCA360B"/>
    <w:rsid w:val="211867DC"/>
    <w:rsid w:val="21690C01"/>
    <w:rsid w:val="216E446A"/>
    <w:rsid w:val="217E2A9D"/>
    <w:rsid w:val="21EA7F94"/>
    <w:rsid w:val="222A213F"/>
    <w:rsid w:val="22467D55"/>
    <w:rsid w:val="229B303C"/>
    <w:rsid w:val="22B52201"/>
    <w:rsid w:val="22E03145"/>
    <w:rsid w:val="231057D9"/>
    <w:rsid w:val="231B417D"/>
    <w:rsid w:val="232347A5"/>
    <w:rsid w:val="23CB7951"/>
    <w:rsid w:val="23F32A04"/>
    <w:rsid w:val="24392B0D"/>
    <w:rsid w:val="24457704"/>
    <w:rsid w:val="2455546D"/>
    <w:rsid w:val="24821614"/>
    <w:rsid w:val="256C0CC0"/>
    <w:rsid w:val="266F2816"/>
    <w:rsid w:val="26B43D76"/>
    <w:rsid w:val="271B24E3"/>
    <w:rsid w:val="27231852"/>
    <w:rsid w:val="274D63E9"/>
    <w:rsid w:val="275E36AF"/>
    <w:rsid w:val="27BF5A1F"/>
    <w:rsid w:val="27E9484A"/>
    <w:rsid w:val="282910EA"/>
    <w:rsid w:val="28D9666D"/>
    <w:rsid w:val="28E374EB"/>
    <w:rsid w:val="28FD346A"/>
    <w:rsid w:val="29B661FB"/>
    <w:rsid w:val="2A0239A1"/>
    <w:rsid w:val="2A2658E2"/>
    <w:rsid w:val="2A2B114A"/>
    <w:rsid w:val="2A3A138D"/>
    <w:rsid w:val="2A3A75DF"/>
    <w:rsid w:val="2AA472C9"/>
    <w:rsid w:val="2AD25A69"/>
    <w:rsid w:val="2AD62313"/>
    <w:rsid w:val="2ADD2587"/>
    <w:rsid w:val="2AFB6D6E"/>
    <w:rsid w:val="2B200583"/>
    <w:rsid w:val="2B6C1A1A"/>
    <w:rsid w:val="2C770676"/>
    <w:rsid w:val="2C9902D6"/>
    <w:rsid w:val="2CA96AD4"/>
    <w:rsid w:val="2D157E8F"/>
    <w:rsid w:val="2D7E45FE"/>
    <w:rsid w:val="2D847C20"/>
    <w:rsid w:val="2E1F0FC6"/>
    <w:rsid w:val="2E382087"/>
    <w:rsid w:val="2E5D1AEE"/>
    <w:rsid w:val="2F0D52C2"/>
    <w:rsid w:val="2F380546"/>
    <w:rsid w:val="2F5051AF"/>
    <w:rsid w:val="2FD162F0"/>
    <w:rsid w:val="3021575F"/>
    <w:rsid w:val="305B3E0B"/>
    <w:rsid w:val="30690E23"/>
    <w:rsid w:val="30BD6874"/>
    <w:rsid w:val="30BF25EC"/>
    <w:rsid w:val="317F3B29"/>
    <w:rsid w:val="31AD4B3A"/>
    <w:rsid w:val="322A0418"/>
    <w:rsid w:val="32625899"/>
    <w:rsid w:val="32794A1C"/>
    <w:rsid w:val="3296737C"/>
    <w:rsid w:val="32A777DC"/>
    <w:rsid w:val="32D87018"/>
    <w:rsid w:val="336027BE"/>
    <w:rsid w:val="33C63C91"/>
    <w:rsid w:val="3422536C"/>
    <w:rsid w:val="347831DE"/>
    <w:rsid w:val="347E456C"/>
    <w:rsid w:val="349F69BC"/>
    <w:rsid w:val="34D128EE"/>
    <w:rsid w:val="34F767F8"/>
    <w:rsid w:val="34F95FCB"/>
    <w:rsid w:val="3578720D"/>
    <w:rsid w:val="35847960"/>
    <w:rsid w:val="35F03248"/>
    <w:rsid w:val="36353B07"/>
    <w:rsid w:val="363640AD"/>
    <w:rsid w:val="36743E79"/>
    <w:rsid w:val="36763E56"/>
    <w:rsid w:val="36A302BA"/>
    <w:rsid w:val="36AA789A"/>
    <w:rsid w:val="36AC53C0"/>
    <w:rsid w:val="36D84407"/>
    <w:rsid w:val="37021484"/>
    <w:rsid w:val="374E0226"/>
    <w:rsid w:val="37FC4126"/>
    <w:rsid w:val="3851621F"/>
    <w:rsid w:val="394878BA"/>
    <w:rsid w:val="39706B79"/>
    <w:rsid w:val="3A096920"/>
    <w:rsid w:val="3A176FF5"/>
    <w:rsid w:val="3A35391F"/>
    <w:rsid w:val="3A9E14C4"/>
    <w:rsid w:val="3AAF36D1"/>
    <w:rsid w:val="3ABB2076"/>
    <w:rsid w:val="3AC40AFD"/>
    <w:rsid w:val="3B304812"/>
    <w:rsid w:val="3B4F0A10"/>
    <w:rsid w:val="3B911029"/>
    <w:rsid w:val="3BC92571"/>
    <w:rsid w:val="3D9B1CEB"/>
    <w:rsid w:val="3DC079A3"/>
    <w:rsid w:val="3DE74F30"/>
    <w:rsid w:val="3DF7634C"/>
    <w:rsid w:val="3E3839DE"/>
    <w:rsid w:val="3E4B3711"/>
    <w:rsid w:val="3E7C7D6E"/>
    <w:rsid w:val="3E8310FD"/>
    <w:rsid w:val="3E891D74"/>
    <w:rsid w:val="3EEB0A50"/>
    <w:rsid w:val="3EFA1AB3"/>
    <w:rsid w:val="3EFC4A0B"/>
    <w:rsid w:val="3F155227"/>
    <w:rsid w:val="3FCF05DD"/>
    <w:rsid w:val="3FEE25A6"/>
    <w:rsid w:val="401C7DE0"/>
    <w:rsid w:val="40672358"/>
    <w:rsid w:val="406867FC"/>
    <w:rsid w:val="414C4D13"/>
    <w:rsid w:val="41670749"/>
    <w:rsid w:val="41727207"/>
    <w:rsid w:val="417C2E5D"/>
    <w:rsid w:val="41C33E39"/>
    <w:rsid w:val="41D659E7"/>
    <w:rsid w:val="42426BD9"/>
    <w:rsid w:val="427B3224"/>
    <w:rsid w:val="42DF08CC"/>
    <w:rsid w:val="43BE4985"/>
    <w:rsid w:val="44476729"/>
    <w:rsid w:val="445A645C"/>
    <w:rsid w:val="44BA050E"/>
    <w:rsid w:val="44BD4C3D"/>
    <w:rsid w:val="44D559FA"/>
    <w:rsid w:val="44EB17AA"/>
    <w:rsid w:val="450665E4"/>
    <w:rsid w:val="4537679D"/>
    <w:rsid w:val="4574354D"/>
    <w:rsid w:val="45F8417E"/>
    <w:rsid w:val="46203691"/>
    <w:rsid w:val="46276812"/>
    <w:rsid w:val="46380A1F"/>
    <w:rsid w:val="465B64BB"/>
    <w:rsid w:val="465E1B9E"/>
    <w:rsid w:val="46861692"/>
    <w:rsid w:val="46DF70EC"/>
    <w:rsid w:val="47282841"/>
    <w:rsid w:val="476847C3"/>
    <w:rsid w:val="477261B2"/>
    <w:rsid w:val="47740A31"/>
    <w:rsid w:val="47743CD8"/>
    <w:rsid w:val="47BB36B5"/>
    <w:rsid w:val="47CF4541"/>
    <w:rsid w:val="47D44777"/>
    <w:rsid w:val="47F95F8C"/>
    <w:rsid w:val="48A56114"/>
    <w:rsid w:val="48B15D77"/>
    <w:rsid w:val="48F533EC"/>
    <w:rsid w:val="491237A9"/>
    <w:rsid w:val="49296D2D"/>
    <w:rsid w:val="49373210"/>
    <w:rsid w:val="49562689"/>
    <w:rsid w:val="4A317C5F"/>
    <w:rsid w:val="4A9B77CE"/>
    <w:rsid w:val="4AA76173"/>
    <w:rsid w:val="4AFD5D93"/>
    <w:rsid w:val="4B79337E"/>
    <w:rsid w:val="4B8169C4"/>
    <w:rsid w:val="4BAC1A7F"/>
    <w:rsid w:val="4BFE1DC3"/>
    <w:rsid w:val="4C4F6AC2"/>
    <w:rsid w:val="4C8C3872"/>
    <w:rsid w:val="4CC052CA"/>
    <w:rsid w:val="4CFB09F8"/>
    <w:rsid w:val="4D7F33D7"/>
    <w:rsid w:val="4DBD7A5B"/>
    <w:rsid w:val="4DD466A0"/>
    <w:rsid w:val="4EA25063"/>
    <w:rsid w:val="4F1D4C56"/>
    <w:rsid w:val="4F31425D"/>
    <w:rsid w:val="4F7F35E3"/>
    <w:rsid w:val="4FB37368"/>
    <w:rsid w:val="4FF37764"/>
    <w:rsid w:val="500B2D00"/>
    <w:rsid w:val="50EC0779"/>
    <w:rsid w:val="5153670D"/>
    <w:rsid w:val="52171E30"/>
    <w:rsid w:val="53B97E70"/>
    <w:rsid w:val="54061F93"/>
    <w:rsid w:val="54136627"/>
    <w:rsid w:val="544C6ABD"/>
    <w:rsid w:val="546D50F9"/>
    <w:rsid w:val="54EE2C5B"/>
    <w:rsid w:val="54FB1595"/>
    <w:rsid w:val="55AA02EF"/>
    <w:rsid w:val="56293EE0"/>
    <w:rsid w:val="5661367A"/>
    <w:rsid w:val="56660C90"/>
    <w:rsid w:val="57106E4E"/>
    <w:rsid w:val="58545915"/>
    <w:rsid w:val="589F0489"/>
    <w:rsid w:val="58FC1D80"/>
    <w:rsid w:val="592F7555"/>
    <w:rsid w:val="59657925"/>
    <w:rsid w:val="59DE4FE1"/>
    <w:rsid w:val="5A511C57"/>
    <w:rsid w:val="5A516DBA"/>
    <w:rsid w:val="5A7F67C4"/>
    <w:rsid w:val="5A9B2ED2"/>
    <w:rsid w:val="5ACB5E11"/>
    <w:rsid w:val="5AD64671"/>
    <w:rsid w:val="5AF27E32"/>
    <w:rsid w:val="5B0723EE"/>
    <w:rsid w:val="5B490B80"/>
    <w:rsid w:val="5B5419FF"/>
    <w:rsid w:val="5B6339F0"/>
    <w:rsid w:val="5BB05C2F"/>
    <w:rsid w:val="5C105740"/>
    <w:rsid w:val="5C4557EC"/>
    <w:rsid w:val="5C593045"/>
    <w:rsid w:val="5C8C6F77"/>
    <w:rsid w:val="5CCB5CF1"/>
    <w:rsid w:val="5CFC234E"/>
    <w:rsid w:val="5D60486C"/>
    <w:rsid w:val="5D740137"/>
    <w:rsid w:val="5D8365CC"/>
    <w:rsid w:val="5DAF5F03"/>
    <w:rsid w:val="5E361890"/>
    <w:rsid w:val="5E602469"/>
    <w:rsid w:val="5E714676"/>
    <w:rsid w:val="5E766130"/>
    <w:rsid w:val="5E916AC6"/>
    <w:rsid w:val="5EDF1AAE"/>
    <w:rsid w:val="5EE96902"/>
    <w:rsid w:val="5EF01A3F"/>
    <w:rsid w:val="5F3E6C4E"/>
    <w:rsid w:val="5FBA4C29"/>
    <w:rsid w:val="5FCD3B2E"/>
    <w:rsid w:val="60AC5E39"/>
    <w:rsid w:val="60E530F9"/>
    <w:rsid w:val="60F5158E"/>
    <w:rsid w:val="61016185"/>
    <w:rsid w:val="612B3202"/>
    <w:rsid w:val="61A94127"/>
    <w:rsid w:val="61BD32C1"/>
    <w:rsid w:val="61D27EB7"/>
    <w:rsid w:val="61F730E4"/>
    <w:rsid w:val="6266644F"/>
    <w:rsid w:val="62AF39BF"/>
    <w:rsid w:val="635307EE"/>
    <w:rsid w:val="63911317"/>
    <w:rsid w:val="63F20007"/>
    <w:rsid w:val="64B941CC"/>
    <w:rsid w:val="64E02555"/>
    <w:rsid w:val="65037FF2"/>
    <w:rsid w:val="657E3EF2"/>
    <w:rsid w:val="65827169"/>
    <w:rsid w:val="659D58DC"/>
    <w:rsid w:val="66014531"/>
    <w:rsid w:val="66304E17"/>
    <w:rsid w:val="66555272"/>
    <w:rsid w:val="668D6344"/>
    <w:rsid w:val="66A15D14"/>
    <w:rsid w:val="671464E6"/>
    <w:rsid w:val="674768BC"/>
    <w:rsid w:val="67CD5013"/>
    <w:rsid w:val="67D77C40"/>
    <w:rsid w:val="681350D4"/>
    <w:rsid w:val="6814255B"/>
    <w:rsid w:val="68BF2482"/>
    <w:rsid w:val="691722BE"/>
    <w:rsid w:val="692549DB"/>
    <w:rsid w:val="69390486"/>
    <w:rsid w:val="6985191D"/>
    <w:rsid w:val="69C404AC"/>
    <w:rsid w:val="69F04CD0"/>
    <w:rsid w:val="6AC10733"/>
    <w:rsid w:val="6AE12B83"/>
    <w:rsid w:val="6AF503DD"/>
    <w:rsid w:val="6B106FC5"/>
    <w:rsid w:val="6B6F63E1"/>
    <w:rsid w:val="6BAF4A30"/>
    <w:rsid w:val="6BE566A3"/>
    <w:rsid w:val="6C1B0562"/>
    <w:rsid w:val="6C733CAF"/>
    <w:rsid w:val="6D286848"/>
    <w:rsid w:val="6D8D2B4F"/>
    <w:rsid w:val="6DCC18C9"/>
    <w:rsid w:val="6E217E67"/>
    <w:rsid w:val="6E5F273D"/>
    <w:rsid w:val="6E95615F"/>
    <w:rsid w:val="6FDC1B6B"/>
    <w:rsid w:val="6FDF4CEB"/>
    <w:rsid w:val="6FE50A20"/>
    <w:rsid w:val="700D7F77"/>
    <w:rsid w:val="703C2F7E"/>
    <w:rsid w:val="704F058F"/>
    <w:rsid w:val="711A0B9D"/>
    <w:rsid w:val="71306613"/>
    <w:rsid w:val="714D2D21"/>
    <w:rsid w:val="718B55F7"/>
    <w:rsid w:val="71B30896"/>
    <w:rsid w:val="720B7A3A"/>
    <w:rsid w:val="733777E5"/>
    <w:rsid w:val="743106D8"/>
    <w:rsid w:val="74716D26"/>
    <w:rsid w:val="747D56CB"/>
    <w:rsid w:val="74B62583"/>
    <w:rsid w:val="75866801"/>
    <w:rsid w:val="75D508C8"/>
    <w:rsid w:val="75F61D2B"/>
    <w:rsid w:val="76085468"/>
    <w:rsid w:val="76516E0F"/>
    <w:rsid w:val="76774ECB"/>
    <w:rsid w:val="767825EE"/>
    <w:rsid w:val="76AF77A0"/>
    <w:rsid w:val="77065E4C"/>
    <w:rsid w:val="773D6C94"/>
    <w:rsid w:val="775070C7"/>
    <w:rsid w:val="783E7867"/>
    <w:rsid w:val="78414C61"/>
    <w:rsid w:val="7879089F"/>
    <w:rsid w:val="78D36201"/>
    <w:rsid w:val="78DC250A"/>
    <w:rsid w:val="790463BB"/>
    <w:rsid w:val="79464EAC"/>
    <w:rsid w:val="797D6CA4"/>
    <w:rsid w:val="79815C5D"/>
    <w:rsid w:val="79B45270"/>
    <w:rsid w:val="79BD656A"/>
    <w:rsid w:val="79D73ACF"/>
    <w:rsid w:val="79EA0436"/>
    <w:rsid w:val="79F53F55"/>
    <w:rsid w:val="79FC5525"/>
    <w:rsid w:val="7A356A48"/>
    <w:rsid w:val="7AAF2356"/>
    <w:rsid w:val="7AFA7CA5"/>
    <w:rsid w:val="7B0B75EA"/>
    <w:rsid w:val="7BA45C33"/>
    <w:rsid w:val="7BC9569A"/>
    <w:rsid w:val="7CB77BE8"/>
    <w:rsid w:val="7D2863F0"/>
    <w:rsid w:val="7D2B08E9"/>
    <w:rsid w:val="7D5F62B6"/>
    <w:rsid w:val="7D807FDA"/>
    <w:rsid w:val="7D823D52"/>
    <w:rsid w:val="7DC9372F"/>
    <w:rsid w:val="7DCC035C"/>
    <w:rsid w:val="7DD52FB9"/>
    <w:rsid w:val="7E3F60E7"/>
    <w:rsid w:val="7F403EC5"/>
    <w:rsid w:val="7FA36202"/>
    <w:rsid w:val="7FEE724E"/>
    <w:rsid w:val="7FFD00F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paragraph" w:styleId="6">
    <w:name w:val="heading 3"/>
    <w:basedOn w:val="1"/>
    <w:next w:val="1"/>
    <w:unhideWhenUsed/>
    <w:qFormat/>
    <w:uiPriority w:val="0"/>
    <w:pPr>
      <w:keepNext/>
      <w:keepLines/>
      <w:numPr>
        <w:ilvl w:val="2"/>
        <w:numId w:val="1"/>
      </w:numPr>
      <w:spacing w:before="400" w:after="320" w:line="240" w:lineRule="auto"/>
      <w:ind w:firstLine="0" w:firstLineChars="0"/>
      <w:jc w:val="left"/>
      <w:outlineLvl w:val="2"/>
    </w:pPr>
    <w:rPr>
      <w:rFonts w:ascii="Calibri" w:hAnsi="Calibri" w:eastAsia="黑体"/>
      <w:b/>
      <w:bCs/>
      <w:sz w:val="30"/>
      <w:szCs w:val="32"/>
    </w:rPr>
  </w:style>
  <w:style w:type="paragraph" w:styleId="7">
    <w:name w:val="heading 4"/>
    <w:basedOn w:val="1"/>
    <w:next w:val="1"/>
    <w:unhideWhenUsed/>
    <w:qFormat/>
    <w:uiPriority w:val="0"/>
    <w:pPr>
      <w:keepNext/>
      <w:keepLines/>
      <w:numPr>
        <w:ilvl w:val="3"/>
        <w:numId w:val="1"/>
      </w:numPr>
      <w:spacing w:before="280" w:after="290" w:line="376" w:lineRule="auto"/>
      <w:ind w:firstLine="0" w:firstLineChars="0"/>
      <w:outlineLvl w:val="3"/>
    </w:pPr>
    <w:rPr>
      <w:rFonts w:ascii="Cambria" w:hAnsi="Cambria"/>
      <w:b/>
      <w:bCs/>
      <w:sz w:val="28"/>
      <w:szCs w:val="28"/>
    </w:rPr>
  </w:style>
  <w:style w:type="character" w:default="1" w:styleId="24">
    <w:name w:val="Default Paragraph Font"/>
    <w:unhideWhenUsed/>
    <w:qFormat/>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2">
    <w:name w:val="Normal Indent"/>
    <w:basedOn w:val="1"/>
    <w:next w:val="3"/>
    <w:link w:val="29"/>
    <w:qFormat/>
    <w:uiPriority w:val="0"/>
    <w:pPr>
      <w:ind w:firstLine="420"/>
    </w:pPr>
    <w:rPr>
      <w:rFonts w:ascii="Times New Roman" w:hAnsi="Times New Roman"/>
      <w:szCs w:val="20"/>
    </w:rPr>
  </w:style>
  <w:style w:type="paragraph" w:customStyle="1" w:styleId="3">
    <w:name w:val="正文样式"/>
    <w:basedOn w:val="1"/>
    <w:qFormat/>
    <w:uiPriority w:val="0"/>
    <w:pPr>
      <w:ind w:firstLine="480"/>
    </w:pPr>
    <w:rPr>
      <w:sz w:val="24"/>
      <w:szCs w:val="20"/>
    </w:rPr>
  </w:style>
  <w:style w:type="paragraph" w:styleId="8">
    <w:name w:val="annotation text"/>
    <w:basedOn w:val="1"/>
    <w:semiHidden/>
    <w:unhideWhenUsed/>
    <w:qFormat/>
    <w:uiPriority w:val="99"/>
    <w:pPr>
      <w:jc w:val="left"/>
    </w:pPr>
  </w:style>
  <w:style w:type="paragraph" w:styleId="9">
    <w:name w:val="Body Text"/>
    <w:basedOn w:val="1"/>
    <w:next w:val="10"/>
    <w:link w:val="30"/>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customStyle="1" w:styleId="10">
    <w:name w:val="一级条标题"/>
    <w:basedOn w:val="11"/>
    <w:next w:val="12"/>
    <w:qFormat/>
    <w:uiPriority w:val="0"/>
    <w:pPr>
      <w:spacing w:line="240" w:lineRule="auto"/>
      <w:ind w:left="420"/>
      <w:outlineLvl w:val="2"/>
    </w:pPr>
  </w:style>
  <w:style w:type="paragraph" w:customStyle="1" w:styleId="11">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2">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3">
    <w:name w:val="Body Text Indent"/>
    <w:basedOn w:val="1"/>
    <w:next w:val="1"/>
    <w:qFormat/>
    <w:uiPriority w:val="0"/>
    <w:pPr>
      <w:ind w:left="420" w:leftChars="200"/>
    </w:pPr>
  </w:style>
  <w:style w:type="paragraph" w:styleId="14">
    <w:name w:val="Plain Text"/>
    <w:basedOn w:val="1"/>
    <w:link w:val="31"/>
    <w:qFormat/>
    <w:uiPriority w:val="0"/>
    <w:rPr>
      <w:rFonts w:ascii="宋体" w:hAnsi="Courier New"/>
      <w:szCs w:val="20"/>
    </w:rPr>
  </w:style>
  <w:style w:type="paragraph" w:styleId="15">
    <w:name w:val="Body Text Indent 2"/>
    <w:basedOn w:val="1"/>
    <w:link w:val="32"/>
    <w:qFormat/>
    <w:uiPriority w:val="0"/>
    <w:pPr>
      <w:spacing w:after="120" w:line="480" w:lineRule="auto"/>
      <w:ind w:left="420"/>
    </w:pPr>
    <w:rPr>
      <w:rFonts w:ascii="Times New Roman" w:hAnsi="Times New Roman"/>
      <w:szCs w:val="20"/>
    </w:rPr>
  </w:style>
  <w:style w:type="paragraph" w:styleId="16">
    <w:name w:val="Balloon Text"/>
    <w:basedOn w:val="1"/>
    <w:link w:val="33"/>
    <w:unhideWhenUsed/>
    <w:qFormat/>
    <w:uiPriority w:val="99"/>
    <w:rPr>
      <w:rFonts w:ascii="Times New Roman" w:hAnsi="Times New Roman"/>
      <w:sz w:val="18"/>
      <w:szCs w:val="18"/>
    </w:rPr>
  </w:style>
  <w:style w:type="paragraph" w:styleId="17">
    <w:name w:val="footer"/>
    <w:basedOn w:val="1"/>
    <w:link w:val="34"/>
    <w:unhideWhenUsed/>
    <w:qFormat/>
    <w:uiPriority w:val="0"/>
    <w:pPr>
      <w:tabs>
        <w:tab w:val="center" w:pos="4153"/>
        <w:tab w:val="right" w:pos="8306"/>
      </w:tabs>
      <w:snapToGrid w:val="0"/>
      <w:jc w:val="left"/>
    </w:pPr>
    <w:rPr>
      <w:sz w:val="18"/>
      <w:szCs w:val="18"/>
    </w:rPr>
  </w:style>
  <w:style w:type="paragraph" w:styleId="18">
    <w:name w:val="header"/>
    <w:basedOn w:val="1"/>
    <w:link w:val="35"/>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HTML Preformatted"/>
    <w:basedOn w:val="1"/>
    <w:link w:val="36"/>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21">
    <w:name w:val="Body Text First Indent"/>
    <w:basedOn w:val="9"/>
    <w:qFormat/>
    <w:uiPriority w:val="0"/>
    <w:pPr>
      <w:spacing w:after="120"/>
      <w:ind w:firstLine="420" w:firstLineChars="100"/>
      <w:jc w:val="both"/>
    </w:pPr>
    <w:rPr>
      <w:rFonts w:ascii="Times New Roman" w:hAnsi="Times New Roman" w:eastAsia="宋体"/>
      <w:b w:val="0"/>
      <w:bCs w:val="0"/>
      <w:kern w:val="2"/>
      <w:sz w:val="21"/>
      <w:szCs w:val="24"/>
    </w:rPr>
  </w:style>
  <w:style w:type="paragraph" w:styleId="22">
    <w:name w:val="Body Text First Indent 2"/>
    <w:basedOn w:val="13"/>
    <w:next w:val="1"/>
    <w:qFormat/>
    <w:uiPriority w:val="0"/>
    <w:pPr>
      <w:ind w:firstLine="420" w:firstLineChars="200"/>
    </w:pPr>
  </w:style>
  <w:style w:type="character" w:styleId="25">
    <w:name w:val="Strong"/>
    <w:basedOn w:val="24"/>
    <w:qFormat/>
    <w:uiPriority w:val="22"/>
    <w:rPr>
      <w:b/>
      <w:bCs/>
    </w:rPr>
  </w:style>
  <w:style w:type="character" w:styleId="26">
    <w:name w:val="page number"/>
    <w:basedOn w:val="24"/>
    <w:qFormat/>
    <w:uiPriority w:val="0"/>
  </w:style>
  <w:style w:type="character" w:styleId="27">
    <w:name w:val="Emphasis"/>
    <w:basedOn w:val="24"/>
    <w:qFormat/>
    <w:uiPriority w:val="20"/>
    <w:rPr>
      <w:i/>
      <w:iCs/>
    </w:rPr>
  </w:style>
  <w:style w:type="character" w:styleId="28">
    <w:name w:val="Hyperlink"/>
    <w:basedOn w:val="24"/>
    <w:unhideWhenUsed/>
    <w:qFormat/>
    <w:uiPriority w:val="0"/>
    <w:rPr>
      <w:color w:val="0000FF"/>
      <w:u w:val="single"/>
    </w:rPr>
  </w:style>
  <w:style w:type="character" w:customStyle="1" w:styleId="29">
    <w:name w:val="正文缩进 Char"/>
    <w:basedOn w:val="24"/>
    <w:link w:val="2"/>
    <w:qFormat/>
    <w:locked/>
    <w:uiPriority w:val="0"/>
    <w:rPr>
      <w:rFonts w:ascii="Times New Roman" w:hAnsi="Times New Roman"/>
      <w:kern w:val="2"/>
      <w:sz w:val="21"/>
    </w:rPr>
  </w:style>
  <w:style w:type="character" w:customStyle="1" w:styleId="30">
    <w:name w:val="正文文本 Char"/>
    <w:basedOn w:val="24"/>
    <w:link w:val="9"/>
    <w:qFormat/>
    <w:uiPriority w:val="0"/>
    <w:rPr>
      <w:rFonts w:ascii="幼圆" w:hAnsi="新宋体" w:eastAsia="幼圆"/>
      <w:b/>
      <w:bCs/>
      <w:kern w:val="2"/>
      <w:sz w:val="84"/>
      <w14:shadow w14:blurRad="50800" w14:dist="38100" w14:dir="2700000" w14:sx="100000" w14:sy="100000" w14:kx="0" w14:ky="0" w14:algn="tl">
        <w14:srgbClr w14:val="000000">
          <w14:alpha w14:val="60000"/>
        </w14:srgbClr>
      </w14:shadow>
    </w:rPr>
  </w:style>
  <w:style w:type="character" w:customStyle="1" w:styleId="31">
    <w:name w:val="纯文本 Char1"/>
    <w:basedOn w:val="24"/>
    <w:link w:val="14"/>
    <w:qFormat/>
    <w:uiPriority w:val="0"/>
    <w:rPr>
      <w:rFonts w:ascii="宋体" w:hAnsi="Courier New"/>
      <w:kern w:val="2"/>
      <w:sz w:val="21"/>
    </w:rPr>
  </w:style>
  <w:style w:type="character" w:customStyle="1" w:styleId="32">
    <w:name w:val="正文文本缩进 2 Char"/>
    <w:basedOn w:val="24"/>
    <w:link w:val="15"/>
    <w:qFormat/>
    <w:uiPriority w:val="0"/>
    <w:rPr>
      <w:rFonts w:ascii="Times New Roman" w:hAnsi="Times New Roman"/>
      <w:kern w:val="2"/>
      <w:sz w:val="21"/>
    </w:rPr>
  </w:style>
  <w:style w:type="character" w:customStyle="1" w:styleId="33">
    <w:name w:val="批注框文本 Char"/>
    <w:basedOn w:val="24"/>
    <w:link w:val="16"/>
    <w:semiHidden/>
    <w:qFormat/>
    <w:uiPriority w:val="99"/>
    <w:rPr>
      <w:rFonts w:ascii="Times New Roman" w:hAnsi="Times New Roman"/>
      <w:kern w:val="2"/>
      <w:sz w:val="18"/>
      <w:szCs w:val="18"/>
    </w:rPr>
  </w:style>
  <w:style w:type="character" w:customStyle="1" w:styleId="34">
    <w:name w:val="页脚 Char"/>
    <w:basedOn w:val="24"/>
    <w:link w:val="17"/>
    <w:qFormat/>
    <w:uiPriority w:val="0"/>
    <w:rPr>
      <w:sz w:val="18"/>
      <w:szCs w:val="18"/>
    </w:rPr>
  </w:style>
  <w:style w:type="character" w:customStyle="1" w:styleId="35">
    <w:name w:val="页眉 Char"/>
    <w:basedOn w:val="24"/>
    <w:link w:val="18"/>
    <w:qFormat/>
    <w:uiPriority w:val="0"/>
    <w:rPr>
      <w:sz w:val="18"/>
      <w:szCs w:val="18"/>
    </w:rPr>
  </w:style>
  <w:style w:type="character" w:customStyle="1" w:styleId="36">
    <w:name w:val="HTML 预设格式 Char"/>
    <w:basedOn w:val="24"/>
    <w:link w:val="19"/>
    <w:semiHidden/>
    <w:qFormat/>
    <w:uiPriority w:val="99"/>
    <w:rPr>
      <w:rFonts w:ascii="宋体" w:hAnsi="宋体" w:cs="宋体"/>
      <w:sz w:val="24"/>
      <w:szCs w:val="24"/>
    </w:rPr>
  </w:style>
  <w:style w:type="character" w:customStyle="1" w:styleId="37">
    <w:name w:val="sp_dash"/>
    <w:basedOn w:val="24"/>
    <w:qFormat/>
    <w:uiPriority w:val="0"/>
  </w:style>
  <w:style w:type="character" w:customStyle="1" w:styleId="38">
    <w:name w:val="纯文本 Char"/>
    <w:basedOn w:val="24"/>
    <w:qFormat/>
    <w:uiPriority w:val="0"/>
    <w:rPr>
      <w:rFonts w:ascii="宋体" w:hAnsi="Courier New" w:cs="Courier New"/>
      <w:kern w:val="2"/>
      <w:sz w:val="21"/>
      <w:szCs w:val="21"/>
    </w:rPr>
  </w:style>
  <w:style w:type="character" w:customStyle="1" w:styleId="39">
    <w:name w:val="apple-converted-space"/>
    <w:basedOn w:val="24"/>
    <w:qFormat/>
    <w:uiPriority w:val="0"/>
  </w:style>
  <w:style w:type="character" w:customStyle="1" w:styleId="40">
    <w:name w:val="prc_air"/>
    <w:basedOn w:val="24"/>
    <w:qFormat/>
    <w:uiPriority w:val="0"/>
  </w:style>
  <w:style w:type="paragraph" w:customStyle="1" w:styleId="41">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2">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3">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4">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5">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styleId="46">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4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8">
    <w:name w:val="样式3"/>
    <w:basedOn w:val="14"/>
    <w:qFormat/>
    <w:uiPriority w:val="0"/>
    <w:pPr>
      <w:spacing w:line="0" w:lineRule="atLeast"/>
      <w:outlineLvl w:val="0"/>
    </w:pPr>
    <w:rPr>
      <w:sz w:val="28"/>
    </w:rPr>
  </w:style>
  <w:style w:type="paragraph" w:customStyle="1" w:styleId="49">
    <w:name w:val="null3"/>
    <w:qFormat/>
    <w:uiPriority w:val="0"/>
    <w:rPr>
      <w:rFonts w:hint="eastAsia" w:ascii="Calibri" w:hAnsi="Calibri" w:eastAsia="宋体" w:cs="Times New Roman"/>
      <w:lang w:val="en-US" w:eastAsia="zh-CN" w:bidi="ar-SA"/>
    </w:rPr>
  </w:style>
  <w:style w:type="paragraph" w:customStyle="1" w:styleId="50">
    <w:name w:val="yhw3"/>
    <w:basedOn w:val="1"/>
    <w:qFormat/>
    <w:uiPriority w:val="0"/>
    <w:pPr>
      <w:ind w:firstLine="640"/>
    </w:pPr>
    <w:rPr>
      <w:rFonts w:cs="宋体"/>
    </w:rPr>
  </w:style>
  <w:style w:type="paragraph" w:customStyle="1" w:styleId="51">
    <w:name w:val="*正文"/>
    <w:basedOn w:val="1"/>
    <w:qFormat/>
    <w:uiPriority w:val="0"/>
    <w:rPr>
      <w:kern w:val="0"/>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emf"/><Relationship Id="rId18" Type="http://schemas.openxmlformats.org/officeDocument/2006/relationships/theme" Target="theme/theme1.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94</Pages>
  <Words>15794</Words>
  <Characters>16988</Characters>
  <Lines>162</Lines>
  <Paragraphs>45</Paragraphs>
  <TotalTime>0</TotalTime>
  <ScaleCrop>false</ScaleCrop>
  <LinksUpToDate>false</LinksUpToDate>
  <CharactersWithSpaces>17200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小胖妞</cp:lastModifiedBy>
  <dcterms:modified xsi:type="dcterms:W3CDTF">2025-04-03T03:18:22Z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B73DB295CF4B4072A03C948DDC18D28D_13</vt:lpwstr>
  </property>
  <property fmtid="{D5CDD505-2E9C-101B-9397-08002B2CF9AE}" pid="4" name="KSOTemplateDocerSaveRecord">
    <vt:lpwstr>eyJoZGlkIjoiNDY5Y2UyNTEyZTJmZDVkOGRjYjRkZWE1NzIyMDA5MDciLCJ1c2VySWQiOiI4NDc2ODc3NDYifQ==</vt:lpwstr>
  </property>
</Properties>
</file>