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5477C">
      <w:pPr>
        <w:ind w:firstLine="420" w:firstLineChars="0"/>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自营商品采购询价函</w:t>
      </w:r>
    </w:p>
    <w:p w14:paraId="3C3003A5">
      <w:pPr>
        <w:rPr>
          <w:rFonts w:ascii="仿宋_GB2312" w:hAnsi="宋体" w:eastAsia="仿宋_GB2312" w:cs="宋体"/>
          <w:b/>
          <w:kern w:val="0"/>
          <w:sz w:val="24"/>
        </w:rPr>
      </w:pPr>
      <w:r>
        <w:rPr>
          <w:rFonts w:hint="eastAsia" w:ascii="仿宋_GB2312" w:hAnsi="宋体" w:eastAsia="仿宋_GB2312" w:cs="宋体"/>
          <w:b/>
          <w:kern w:val="0"/>
          <w:sz w:val="24"/>
        </w:rPr>
        <w:t xml:space="preserve">各位合作伙伴： </w:t>
      </w:r>
    </w:p>
    <w:p w14:paraId="4DB12B58">
      <w:pPr>
        <w:spacing w:line="360" w:lineRule="auto"/>
        <w:rPr>
          <w:rFonts w:ascii="宋体" w:hAnsi="宋体" w:cs="宋体"/>
          <w:kern w:val="0"/>
          <w:sz w:val="24"/>
        </w:rPr>
      </w:pPr>
      <w:r>
        <w:rPr>
          <w:rFonts w:hint="eastAsia" w:ascii="仿宋_GB2312" w:hAnsi="宋体" w:eastAsia="仿宋_GB2312" w:cs="宋体"/>
          <w:kern w:val="0"/>
          <w:sz w:val="24"/>
        </w:rPr>
        <w:t>厦门万翔网络商务有限公司现对以下项目编号为</w:t>
      </w:r>
      <w:r>
        <w:rPr>
          <w:rFonts w:hint="eastAsia" w:ascii="仿宋_GB2312" w:hAnsi="宋体" w:eastAsia="仿宋_GB2312" w:cs="宋体"/>
          <w:kern w:val="0"/>
          <w:sz w:val="24"/>
          <w:u w:val="single"/>
          <w:lang w:eastAsia="zh-CN"/>
        </w:rPr>
        <w:t>XM202</w:t>
      </w:r>
      <w:r>
        <w:rPr>
          <w:rFonts w:hint="eastAsia" w:ascii="仿宋_GB2312" w:hAnsi="宋体" w:eastAsia="仿宋_GB2312" w:cs="宋体"/>
          <w:kern w:val="0"/>
          <w:sz w:val="24"/>
          <w:u w:val="single"/>
          <w:lang w:val="en-US" w:eastAsia="zh-CN"/>
        </w:rPr>
        <w:t>5</w:t>
      </w:r>
      <w:r>
        <w:rPr>
          <w:rFonts w:hint="eastAsia" w:ascii="仿宋_GB2312" w:hAnsi="宋体" w:eastAsia="仿宋_GB2312" w:cs="宋体"/>
          <w:kern w:val="0"/>
          <w:sz w:val="24"/>
          <w:u w:val="single"/>
          <w:lang w:eastAsia="zh-CN"/>
        </w:rPr>
        <w:t>-ZYXJ020502D救援装备</w:t>
      </w:r>
      <w:r>
        <w:rPr>
          <w:rFonts w:hint="eastAsia" w:ascii="仿宋_GB2312" w:hAnsi="宋体" w:eastAsia="仿宋_GB2312" w:cs="宋体"/>
          <w:kern w:val="0"/>
          <w:sz w:val="24"/>
          <w:u w:val="single"/>
        </w:rPr>
        <w:t>项目</w:t>
      </w:r>
      <w:r>
        <w:rPr>
          <w:rFonts w:hint="eastAsia" w:ascii="仿宋_GB2312" w:hAnsi="宋体" w:eastAsia="仿宋_GB2312" w:cs="宋体"/>
          <w:kern w:val="0"/>
          <w:sz w:val="24"/>
        </w:rPr>
        <w:t>进行询价采购，现邀请贵单位就以下采购项目内容进行报价。</w:t>
      </w:r>
    </w:p>
    <w:tbl>
      <w:tblPr>
        <w:tblStyle w:val="8"/>
        <w:tblW w:w="517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375"/>
        <w:gridCol w:w="2694"/>
        <w:gridCol w:w="1135"/>
        <w:gridCol w:w="2403"/>
        <w:gridCol w:w="1282"/>
      </w:tblGrid>
      <w:tr w14:paraId="6552B9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1201" w:type="pct"/>
            <w:shd w:val="clear" w:color="auto" w:fill="auto"/>
            <w:tcMar>
              <w:top w:w="0" w:type="dxa"/>
              <w:left w:w="108" w:type="dxa"/>
              <w:bottom w:w="0" w:type="dxa"/>
              <w:right w:w="108" w:type="dxa"/>
            </w:tcMar>
            <w:vAlign w:val="center"/>
          </w:tcPr>
          <w:p w14:paraId="6B93B777">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产品名称</w:t>
            </w:r>
          </w:p>
        </w:tc>
        <w:tc>
          <w:tcPr>
            <w:tcW w:w="1362" w:type="pct"/>
            <w:tcBorders>
              <w:right w:val="single" w:color="auto" w:sz="4" w:space="0"/>
            </w:tcBorders>
            <w:shd w:val="clear" w:color="auto" w:fill="auto"/>
            <w:tcMar>
              <w:top w:w="0" w:type="dxa"/>
              <w:left w:w="108" w:type="dxa"/>
              <w:bottom w:w="0" w:type="dxa"/>
              <w:right w:w="108" w:type="dxa"/>
            </w:tcMar>
            <w:vAlign w:val="center"/>
          </w:tcPr>
          <w:p w14:paraId="09AB8B56">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574" w:type="pct"/>
            <w:tcBorders>
              <w:left w:val="single" w:color="auto" w:sz="4" w:space="0"/>
            </w:tcBorders>
            <w:shd w:val="clear" w:color="auto" w:fill="auto"/>
            <w:vAlign w:val="center"/>
          </w:tcPr>
          <w:p w14:paraId="6C6E54C1">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数量</w:t>
            </w:r>
          </w:p>
        </w:tc>
        <w:tc>
          <w:tcPr>
            <w:tcW w:w="1215" w:type="pct"/>
            <w:tcBorders>
              <w:right w:val="single" w:color="auto" w:sz="4" w:space="0"/>
            </w:tcBorders>
            <w:vAlign w:val="center"/>
          </w:tcPr>
          <w:p w14:paraId="3C3E8B04">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单位限价（元）</w:t>
            </w:r>
          </w:p>
        </w:tc>
        <w:tc>
          <w:tcPr>
            <w:tcW w:w="648" w:type="pct"/>
            <w:tcBorders>
              <w:left w:val="single" w:color="auto" w:sz="4" w:space="0"/>
            </w:tcBorders>
            <w:vAlign w:val="center"/>
          </w:tcPr>
          <w:p w14:paraId="357920E3">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小计限价（元）</w:t>
            </w:r>
          </w:p>
        </w:tc>
      </w:tr>
      <w:tr w14:paraId="79D3E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2" w:hRule="atLeast"/>
        </w:trPr>
        <w:tc>
          <w:tcPr>
            <w:tcW w:w="1201" w:type="pct"/>
            <w:shd w:val="clear" w:color="auto" w:fill="auto"/>
            <w:tcMar>
              <w:top w:w="0" w:type="dxa"/>
              <w:left w:w="108" w:type="dxa"/>
              <w:bottom w:w="0" w:type="dxa"/>
              <w:right w:w="108" w:type="dxa"/>
            </w:tcMar>
            <w:vAlign w:val="center"/>
          </w:tcPr>
          <w:p w14:paraId="2927CA0C">
            <w:pPr>
              <w:widowControl/>
              <w:jc w:val="left"/>
              <w:rPr>
                <w:rFonts w:ascii="宋体" w:hAnsi="宋体" w:cs="宋体"/>
                <w:kern w:val="0"/>
                <w:sz w:val="24"/>
              </w:rPr>
            </w:pPr>
            <w:r>
              <w:rPr>
                <w:rFonts w:hint="eastAsia" w:ascii="仿宋_GB2312" w:hAnsi="宋体" w:eastAsia="仿宋_GB2312" w:cs="宋体"/>
                <w:kern w:val="0"/>
                <w:sz w:val="24"/>
                <w:lang w:eastAsia="zh-CN"/>
              </w:rPr>
              <w:t>救援装备</w:t>
            </w:r>
            <w:r>
              <w:rPr>
                <w:rFonts w:hint="eastAsia" w:ascii="仿宋_GB2312" w:hAnsi="宋体" w:eastAsia="仿宋_GB2312" w:cs="宋体"/>
                <w:kern w:val="0"/>
                <w:sz w:val="24"/>
              </w:rPr>
              <w:t>一批</w:t>
            </w:r>
          </w:p>
        </w:tc>
        <w:tc>
          <w:tcPr>
            <w:tcW w:w="1362" w:type="pct"/>
            <w:tcBorders>
              <w:right w:val="single" w:color="auto" w:sz="4" w:space="0"/>
            </w:tcBorders>
            <w:shd w:val="clear" w:color="auto" w:fill="auto"/>
            <w:tcMar>
              <w:top w:w="0" w:type="dxa"/>
              <w:left w:w="108" w:type="dxa"/>
              <w:bottom w:w="0" w:type="dxa"/>
              <w:right w:w="108" w:type="dxa"/>
            </w:tcMar>
            <w:vAlign w:val="center"/>
          </w:tcPr>
          <w:p w14:paraId="46FBE2F1">
            <w:pPr>
              <w:widowControl/>
              <w:jc w:val="left"/>
              <w:rPr>
                <w:rFonts w:ascii="仿宋_GB2312" w:hAnsi="宋体" w:eastAsia="仿宋_GB2312" w:cs="宋体"/>
                <w:kern w:val="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救援装备</w:t>
            </w:r>
            <w:r>
              <w:rPr>
                <w:rFonts w:hint="eastAsia" w:ascii="仿宋_GB2312" w:hAnsi="宋体" w:eastAsia="仿宋_GB2312" w:cs="宋体"/>
                <w:kern w:val="0"/>
                <w:sz w:val="24"/>
              </w:rPr>
              <w:t>清单报价</w:t>
            </w:r>
          </w:p>
        </w:tc>
        <w:tc>
          <w:tcPr>
            <w:tcW w:w="574" w:type="pct"/>
            <w:tcBorders>
              <w:left w:val="single" w:color="auto" w:sz="4" w:space="0"/>
            </w:tcBorders>
            <w:shd w:val="clear" w:color="auto" w:fill="auto"/>
            <w:vAlign w:val="center"/>
          </w:tcPr>
          <w:p w14:paraId="53F00CE5">
            <w:pPr>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15" w:type="pct"/>
            <w:tcBorders>
              <w:right w:val="single" w:color="auto" w:sz="4" w:space="0"/>
            </w:tcBorders>
            <w:vAlign w:val="center"/>
          </w:tcPr>
          <w:p w14:paraId="62453D54">
            <w:pPr>
              <w:ind w:right="110"/>
              <w:jc w:val="center"/>
              <w:rPr>
                <w:rFonts w:ascii="仿宋_GB2312" w:hAnsi="宋体" w:eastAsia="仿宋_GB2312" w:cs="宋体"/>
                <w:kern w:val="0"/>
                <w:sz w:val="24"/>
              </w:rPr>
            </w:pP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救援装备</w:t>
            </w:r>
            <w:r>
              <w:rPr>
                <w:rFonts w:hint="eastAsia" w:ascii="仿宋_GB2312" w:hAnsi="宋体" w:eastAsia="仿宋_GB2312" w:cs="宋体"/>
                <w:kern w:val="0"/>
                <w:sz w:val="24"/>
              </w:rPr>
              <w:t>清单报价</w:t>
            </w:r>
          </w:p>
        </w:tc>
        <w:tc>
          <w:tcPr>
            <w:tcW w:w="648" w:type="pct"/>
            <w:tcBorders>
              <w:left w:val="single" w:color="auto" w:sz="4" w:space="0"/>
            </w:tcBorders>
            <w:vAlign w:val="center"/>
          </w:tcPr>
          <w:p w14:paraId="0548E4E1">
            <w:pPr>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97215.00</w:t>
            </w:r>
          </w:p>
        </w:tc>
      </w:tr>
      <w:tr w14:paraId="503DE9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5" w:hRule="atLeast"/>
        </w:trPr>
        <w:tc>
          <w:tcPr>
            <w:tcW w:w="3137" w:type="pct"/>
            <w:gridSpan w:val="3"/>
            <w:shd w:val="clear" w:color="auto" w:fill="auto"/>
            <w:tcMar>
              <w:top w:w="0" w:type="dxa"/>
              <w:left w:w="108" w:type="dxa"/>
              <w:bottom w:w="0" w:type="dxa"/>
              <w:right w:w="108" w:type="dxa"/>
            </w:tcMar>
            <w:vAlign w:val="center"/>
          </w:tcPr>
          <w:p w14:paraId="0B0F6607">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合计</w:t>
            </w:r>
          </w:p>
        </w:tc>
        <w:tc>
          <w:tcPr>
            <w:tcW w:w="1863" w:type="pct"/>
            <w:gridSpan w:val="2"/>
            <w:vAlign w:val="center"/>
          </w:tcPr>
          <w:p w14:paraId="15105051">
            <w:pPr>
              <w:widowControl/>
              <w:spacing w:before="100" w:beforeAutospacing="1" w:after="100" w:afterAutospacing="1"/>
              <w:jc w:val="center"/>
              <w:rPr>
                <w:rFonts w:hint="eastAsia" w:ascii="宋体" w:hAnsi="宋体" w:eastAsia="仿宋_GB2312" w:cs="宋体"/>
                <w:kern w:val="0"/>
                <w:sz w:val="24"/>
                <w:lang w:eastAsia="zh-CN"/>
              </w:rPr>
            </w:pPr>
            <w:r>
              <w:rPr>
                <w:rFonts w:hint="eastAsia" w:ascii="仿宋_GB2312" w:hAnsi="宋体" w:eastAsia="仿宋_GB2312" w:cs="宋体"/>
                <w:kern w:val="0"/>
                <w:sz w:val="24"/>
              </w:rPr>
              <w:t>￥</w:t>
            </w:r>
            <w:r>
              <w:rPr>
                <w:rFonts w:hint="eastAsia" w:ascii="仿宋_GB2312" w:hAnsi="宋体" w:eastAsia="仿宋_GB2312" w:cs="宋体"/>
                <w:kern w:val="0"/>
                <w:sz w:val="24"/>
                <w:lang w:eastAsia="zh-CN"/>
              </w:rPr>
              <w:t>97215.00</w:t>
            </w:r>
          </w:p>
        </w:tc>
      </w:tr>
    </w:tbl>
    <w:p w14:paraId="76DBC955">
      <w:pPr>
        <w:spacing w:line="360" w:lineRule="auto"/>
        <w:ind w:firstLine="482" w:firstLineChars="200"/>
        <w:rPr>
          <w:rFonts w:ascii="仿宋_GB2312" w:hAnsi="宋体" w:eastAsia="仿宋_GB2312"/>
          <w:b/>
          <w:sz w:val="24"/>
        </w:rPr>
      </w:pPr>
      <w:r>
        <w:rPr>
          <w:rFonts w:hint="eastAsia" w:ascii="仿宋_GB2312" w:hAnsi="宋体" w:eastAsia="仿宋_GB2312" w:cs="宋体"/>
          <w:b/>
          <w:kern w:val="0"/>
          <w:sz w:val="24"/>
        </w:rPr>
        <w:t>一、项目内容</w:t>
      </w:r>
    </w:p>
    <w:p w14:paraId="7515A46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（一）项目要求</w:t>
      </w:r>
    </w:p>
    <w:p w14:paraId="54B2AE9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1、质量要求：供方提供的产品必须为原厂原装产品，并符合国家及行业相关标准。</w:t>
      </w:r>
    </w:p>
    <w:p w14:paraId="67FCB4EC">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2、交货时间：</w:t>
      </w:r>
      <w:r>
        <w:rPr>
          <w:rFonts w:hint="eastAsia" w:ascii="仿宋_GB2312" w:hAnsi="宋体" w:eastAsia="仿宋_GB2312" w:cs="宋体"/>
          <w:kern w:val="0"/>
          <w:sz w:val="24"/>
          <w:lang w:val="en-US" w:eastAsia="zh-CN"/>
        </w:rPr>
        <w:t>下单后15天内完成</w:t>
      </w:r>
      <w:r>
        <w:rPr>
          <w:rFonts w:hint="eastAsia" w:ascii="仿宋_GB2312" w:hAnsi="宋体" w:eastAsia="仿宋_GB2312" w:cs="宋体"/>
          <w:kern w:val="0"/>
          <w:sz w:val="24"/>
        </w:rPr>
        <w:t>供货。</w:t>
      </w:r>
    </w:p>
    <w:p w14:paraId="0EA69786">
      <w:pPr>
        <w:spacing w:line="360" w:lineRule="auto"/>
        <w:ind w:firstLine="480" w:firstLineChars="200"/>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3、交货地点：福州市</w:t>
      </w:r>
    </w:p>
    <w:p w14:paraId="54F922DE">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、售后服务要求：</w:t>
      </w:r>
      <w:r>
        <w:rPr>
          <w:rFonts w:hint="eastAsia" w:ascii="仿宋_GB2312" w:hAnsi="宋体" w:eastAsia="仿宋_GB2312" w:cs="宋体"/>
          <w:kern w:val="0"/>
          <w:sz w:val="24"/>
          <w:lang w:val="en-US" w:eastAsia="zh-CN"/>
        </w:rPr>
        <w:t>所供货物质保期不低于壹年。</w:t>
      </w:r>
    </w:p>
    <w:p w14:paraId="589DD998">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、价格要求：</w:t>
      </w:r>
    </w:p>
    <w:p w14:paraId="7C1703BE">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w:t>
      </w:r>
      <w:r>
        <w:rPr>
          <w:rFonts w:hint="eastAsia" w:ascii="仿宋_GB2312" w:hAnsi="宋体" w:eastAsia="仿宋_GB2312" w:cs="宋体"/>
          <w:b/>
          <w:kern w:val="0"/>
          <w:sz w:val="24"/>
        </w:rPr>
        <w:t>货物报价不超出单位限价，总报价不超出</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u w:val="single"/>
          <w:lang w:eastAsia="zh-CN"/>
        </w:rPr>
        <w:t>97215.00</w:t>
      </w:r>
      <w:r>
        <w:rPr>
          <w:rFonts w:hint="eastAsia" w:ascii="仿宋_GB2312" w:hAnsi="宋体" w:eastAsia="仿宋_GB2312" w:cs="宋体"/>
          <w:b/>
          <w:kern w:val="0"/>
          <w:sz w:val="24"/>
          <w:u w:val="single"/>
        </w:rPr>
        <w:t xml:space="preserve">  </w:t>
      </w:r>
      <w:r>
        <w:rPr>
          <w:rFonts w:hint="eastAsia" w:ascii="仿宋_GB2312" w:hAnsi="宋体" w:eastAsia="仿宋_GB2312" w:cs="宋体"/>
          <w:b/>
          <w:kern w:val="0"/>
          <w:sz w:val="24"/>
        </w:rPr>
        <w:t>元；否则报价无效。</w:t>
      </w:r>
    </w:p>
    <w:p w14:paraId="314AFEA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w:t>
      </w:r>
      <w:r>
        <w:rPr>
          <w:rFonts w:hint="eastAsia" w:ascii="仿宋_GB2312" w:hAnsi="宋体" w:eastAsia="仿宋_GB2312" w:cs="宋体"/>
          <w:b/>
          <w:kern w:val="0"/>
          <w:sz w:val="24"/>
        </w:rPr>
        <w:t>报价包括</w:t>
      </w:r>
      <w:r>
        <w:rPr>
          <w:rFonts w:hint="eastAsia" w:ascii="仿宋_GB2312" w:hAnsi="宋体" w:eastAsia="仿宋_GB2312" w:cs="宋体"/>
          <w:b/>
          <w:kern w:val="0"/>
          <w:sz w:val="24"/>
          <w:lang w:val="en-US" w:eastAsia="zh-CN"/>
        </w:rPr>
        <w:t>装卸费、</w:t>
      </w:r>
      <w:r>
        <w:rPr>
          <w:rFonts w:hint="eastAsia" w:ascii="仿宋_GB2312" w:hAnsi="宋体" w:eastAsia="仿宋_GB2312" w:cs="宋体"/>
          <w:b/>
          <w:kern w:val="0"/>
          <w:sz w:val="24"/>
        </w:rPr>
        <w:t>运费、包装费、安装调试、售后服务费及其它一切相关费用</w:t>
      </w:r>
      <w:r>
        <w:rPr>
          <w:rFonts w:hint="eastAsia" w:ascii="仿宋_GB2312" w:hAnsi="宋体" w:eastAsia="仿宋_GB2312" w:cs="宋体"/>
          <w:kern w:val="0"/>
          <w:sz w:val="24"/>
        </w:rPr>
        <w:t xml:space="preserve">。 </w:t>
      </w:r>
    </w:p>
    <w:p w14:paraId="69AEF29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3）所开具发票必须为一般纳税人增值税专用发票（1</w:t>
      </w:r>
      <w:r>
        <w:rPr>
          <w:rFonts w:ascii="仿宋_GB2312" w:hAnsi="宋体" w:eastAsia="仿宋_GB2312" w:cs="宋体"/>
          <w:kern w:val="0"/>
          <w:sz w:val="24"/>
        </w:rPr>
        <w:t>3</w:t>
      </w:r>
      <w:r>
        <w:rPr>
          <w:rFonts w:hint="eastAsia" w:ascii="仿宋_GB2312" w:hAnsi="宋体" w:eastAsia="仿宋_GB2312" w:cs="宋体"/>
          <w:kern w:val="0"/>
          <w:sz w:val="24"/>
        </w:rPr>
        <w:t>%税点）；购货单位名称：厦门万翔网络商务有限公司。</w:t>
      </w:r>
    </w:p>
    <w:p w14:paraId="64364587">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、付款方式</w:t>
      </w:r>
    </w:p>
    <w:p w14:paraId="08D152A1">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年）到期之日起30天内无息支付完成</w:t>
      </w:r>
      <w:r>
        <w:rPr>
          <w:rFonts w:hint="eastAsia" w:ascii="仿宋_GB2312" w:hAnsi="宋体" w:eastAsia="仿宋_GB2312" w:cs="宋体"/>
          <w:kern w:val="0"/>
          <w:sz w:val="24"/>
          <w:lang w:val="en-US" w:eastAsia="zh-CN"/>
        </w:rPr>
        <w:t>.</w:t>
      </w:r>
    </w:p>
    <w:p w14:paraId="483CDDE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（二）报价文件应至少包括以下部分，否则报价无效：</w:t>
      </w:r>
    </w:p>
    <w:p w14:paraId="195D89EE">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1、报价单（须加盖单位公章），</w:t>
      </w:r>
      <w:r>
        <w:rPr>
          <w:rFonts w:hint="eastAsia" w:ascii="仿宋_GB2312" w:hAnsi="宋体" w:eastAsia="仿宋_GB2312" w:cs="宋体"/>
          <w:color w:val="FF0000"/>
          <w:kern w:val="0"/>
          <w:sz w:val="24"/>
        </w:rPr>
        <w:t>格式详见附件1</w:t>
      </w:r>
    </w:p>
    <w:p w14:paraId="3C3EF148">
      <w:pPr>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2、</w:t>
      </w:r>
      <w:r>
        <w:rPr>
          <w:rFonts w:hint="eastAsia" w:ascii="仿宋_GB2312" w:hAnsi="宋体" w:eastAsia="仿宋_GB2312" w:cs="宋体"/>
          <w:kern w:val="0"/>
          <w:sz w:val="24"/>
          <w:lang w:eastAsia="zh-CN"/>
        </w:rPr>
        <w:t>救援装备</w:t>
      </w:r>
      <w:r>
        <w:rPr>
          <w:rFonts w:hint="eastAsia" w:ascii="仿宋_GB2312" w:hAnsi="宋体" w:eastAsia="仿宋_GB2312" w:cs="宋体"/>
          <w:kern w:val="0"/>
          <w:sz w:val="24"/>
        </w:rPr>
        <w:t>清单报价（须加盖单位公章），</w:t>
      </w:r>
      <w:r>
        <w:rPr>
          <w:rFonts w:hint="eastAsia" w:ascii="仿宋_GB2312" w:hAnsi="宋体" w:eastAsia="仿宋_GB2312" w:cs="宋体"/>
          <w:color w:val="FF0000"/>
          <w:kern w:val="0"/>
          <w:sz w:val="24"/>
        </w:rPr>
        <w:t>格式详见附件2</w:t>
      </w:r>
    </w:p>
    <w:p w14:paraId="7CDDBAB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3、营业执照（三证合一）复印件（须加盖单位公章）</w:t>
      </w:r>
    </w:p>
    <w:p w14:paraId="225777D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4、售后服务承诺书（须加盖单位公章，</w:t>
      </w:r>
      <w:r>
        <w:rPr>
          <w:rFonts w:hint="eastAsia" w:ascii="仿宋_GB2312" w:hAnsi="宋体" w:eastAsia="仿宋_GB2312" w:cs="宋体"/>
          <w:bCs/>
          <w:kern w:val="0"/>
          <w:sz w:val="24"/>
        </w:rPr>
        <w:t>需明确提供</w:t>
      </w:r>
      <w:r>
        <w:rPr>
          <w:rFonts w:hint="eastAsia" w:ascii="仿宋_GB2312" w:hAnsi="宋体" w:eastAsia="仿宋_GB2312" w:cs="宋体"/>
          <w:bCs/>
          <w:kern w:val="0"/>
          <w:sz w:val="24"/>
          <w:lang w:val="en-US" w:eastAsia="zh-CN"/>
        </w:rPr>
        <w:t>不低于壹</w:t>
      </w:r>
      <w:r>
        <w:rPr>
          <w:rFonts w:hint="eastAsia" w:ascii="仿宋_GB2312" w:hAnsi="宋体" w:eastAsia="仿宋_GB2312" w:cs="宋体"/>
          <w:bCs/>
          <w:kern w:val="0"/>
          <w:sz w:val="24"/>
        </w:rPr>
        <w:t>年</w:t>
      </w:r>
      <w:r>
        <w:rPr>
          <w:rFonts w:hint="eastAsia" w:ascii="仿宋_GB2312" w:hAnsi="宋体" w:eastAsia="仿宋_GB2312" w:cs="宋体"/>
          <w:bCs/>
          <w:kern w:val="0"/>
          <w:sz w:val="24"/>
          <w:lang w:val="en-US" w:eastAsia="zh-CN"/>
        </w:rPr>
        <w:t>的</w:t>
      </w:r>
      <w:r>
        <w:rPr>
          <w:rFonts w:hint="eastAsia" w:ascii="仿宋_GB2312" w:hAnsi="宋体" w:eastAsia="仿宋_GB2312" w:cs="宋体"/>
          <w:bCs/>
          <w:kern w:val="0"/>
          <w:sz w:val="24"/>
        </w:rPr>
        <w:t>保修服务</w:t>
      </w:r>
      <w:r>
        <w:rPr>
          <w:rFonts w:hint="eastAsia" w:ascii="仿宋_GB2312" w:hAnsi="宋体" w:eastAsia="仿宋_GB2312" w:cs="宋体"/>
          <w:kern w:val="0"/>
          <w:sz w:val="24"/>
        </w:rPr>
        <w:t>）</w:t>
      </w:r>
    </w:p>
    <w:p w14:paraId="3A69E9BD">
      <w:pPr>
        <w:spacing w:line="360" w:lineRule="auto"/>
        <w:ind w:firstLine="480" w:firstLineChars="200"/>
        <w:rPr>
          <w:rFonts w:hint="eastAsia" w:ascii="仿宋_GB2312" w:hAnsi="宋体" w:eastAsia="仿宋_GB2312" w:cs="宋体"/>
          <w:color w:val="FF0000"/>
          <w:kern w:val="0"/>
          <w:sz w:val="24"/>
          <w:lang w:eastAsia="zh-CN"/>
        </w:rPr>
      </w:pPr>
      <w:r>
        <w:rPr>
          <w:rFonts w:hint="eastAsia" w:ascii="仿宋_GB2312" w:hAnsi="宋体" w:eastAsia="仿宋_GB2312" w:cs="宋体"/>
          <w:kern w:val="0"/>
          <w:sz w:val="24"/>
        </w:rPr>
        <w:t>5、</w:t>
      </w:r>
      <w:r>
        <w:rPr>
          <w:rFonts w:hint="eastAsia" w:ascii="仿宋_GB2312" w:hAnsi="宋体" w:eastAsia="仿宋_GB2312" w:cs="宋体"/>
          <w:color w:val="FF0000"/>
          <w:kern w:val="0"/>
          <w:sz w:val="24"/>
        </w:rPr>
        <w:t>提供</w:t>
      </w:r>
      <w:r>
        <w:rPr>
          <w:rFonts w:hint="eastAsia" w:ascii="仿宋_GB2312" w:hAnsi="宋体" w:eastAsia="仿宋_GB2312" w:cs="宋体"/>
          <w:color w:val="FF0000"/>
          <w:kern w:val="0"/>
          <w:sz w:val="24"/>
          <w:lang w:val="en-US" w:eastAsia="zh-CN"/>
        </w:rPr>
        <w:t>消防认证证书和</w:t>
      </w:r>
      <w:r>
        <w:rPr>
          <w:rFonts w:hint="eastAsia" w:ascii="仿宋_GB2312" w:hAnsi="宋体" w:eastAsia="仿宋_GB2312" w:cs="宋体"/>
          <w:color w:val="FF0000"/>
          <w:kern w:val="0"/>
          <w:sz w:val="24"/>
        </w:rPr>
        <w:t>检测报告</w:t>
      </w:r>
      <w:r>
        <w:rPr>
          <w:rFonts w:hint="eastAsia" w:ascii="仿宋_GB2312" w:hAnsi="宋体" w:eastAsia="仿宋_GB2312" w:cs="宋体"/>
          <w:kern w:val="0"/>
          <w:sz w:val="24"/>
        </w:rPr>
        <w:t>，具体详见附件2《</w:t>
      </w:r>
      <w:r>
        <w:rPr>
          <w:rFonts w:hint="eastAsia" w:ascii="仿宋_GB2312" w:hAnsi="宋体" w:eastAsia="仿宋_GB2312" w:cs="宋体"/>
          <w:kern w:val="0"/>
          <w:sz w:val="24"/>
          <w:lang w:eastAsia="zh-CN"/>
        </w:rPr>
        <w:t>救援装备</w:t>
      </w:r>
      <w:r>
        <w:rPr>
          <w:rFonts w:hint="eastAsia" w:ascii="仿宋_GB2312" w:hAnsi="宋体" w:eastAsia="仿宋_GB2312" w:cs="宋体"/>
          <w:kern w:val="0"/>
          <w:sz w:val="24"/>
        </w:rPr>
        <w:t>清单报价》。</w:t>
      </w:r>
    </w:p>
    <w:p w14:paraId="475537EC">
      <w:pPr>
        <w:spacing w:line="360" w:lineRule="auto"/>
        <w:ind w:firstLine="482" w:firstLineChars="200"/>
        <w:rPr>
          <w:rFonts w:ascii="仿宋_GB2312" w:hAnsi="宋体" w:eastAsia="仿宋_GB2312" w:cs="宋体"/>
          <w:b/>
          <w:kern w:val="0"/>
          <w:sz w:val="24"/>
        </w:rPr>
      </w:pPr>
      <w:r>
        <w:rPr>
          <w:rFonts w:hint="eastAsia" w:ascii="仿宋_GB2312" w:hAnsi="宋体" w:eastAsia="仿宋_GB2312" w:cs="宋体"/>
          <w:b/>
          <w:kern w:val="0"/>
          <w:sz w:val="24"/>
        </w:rPr>
        <w:t>二、报价须知</w:t>
      </w:r>
    </w:p>
    <w:p w14:paraId="44E84F31">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kern w:val="0"/>
          <w:sz w:val="24"/>
        </w:rPr>
        <w:t>（一）报价方式：密封报价；</w:t>
      </w:r>
      <w:r>
        <w:rPr>
          <w:rFonts w:ascii="仿宋_GB2312" w:hAnsi="宋体" w:eastAsia="仿宋_GB2312" w:cs="宋体"/>
          <w:kern w:val="0"/>
          <w:sz w:val="24"/>
        </w:rPr>
        <w:t>一次报出，不得更改</w:t>
      </w:r>
      <w:r>
        <w:rPr>
          <w:rFonts w:hint="eastAsia" w:ascii="仿宋_GB2312" w:hAnsi="宋体" w:eastAsia="仿宋_GB2312" w:cs="宋体"/>
          <w:color w:val="000000"/>
          <w:kern w:val="0"/>
          <w:sz w:val="24"/>
        </w:rPr>
        <w:t>,填写后不得涂改挖补,否则报价无效，本项目密封报价</w:t>
      </w:r>
      <w:r>
        <w:rPr>
          <w:rFonts w:hint="eastAsia" w:ascii="仿宋_GB2312" w:hAnsi="宋体" w:eastAsia="仿宋_GB2312" w:cs="宋体"/>
          <w:b/>
          <w:color w:val="000000"/>
          <w:kern w:val="0"/>
          <w:sz w:val="24"/>
        </w:rPr>
        <w:t>以书面密封报价形式</w:t>
      </w:r>
      <w:r>
        <w:rPr>
          <w:rFonts w:hint="eastAsia" w:ascii="仿宋_GB2312" w:hAnsi="宋体" w:eastAsia="仿宋_GB2312" w:cs="宋体"/>
          <w:kern w:val="0"/>
          <w:sz w:val="24"/>
        </w:rPr>
        <w:t>。</w:t>
      </w:r>
      <w:r>
        <w:rPr>
          <w:rFonts w:hint="eastAsia" w:ascii="仿宋_GB2312" w:hAnsi="宋体" w:eastAsia="仿宋_GB2312" w:cs="宋体"/>
          <w:b w:val="0"/>
          <w:bCs w:val="0"/>
          <w:color w:val="000000"/>
          <w:kern w:val="0"/>
          <w:sz w:val="24"/>
          <w:u w:val="none"/>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14:paraId="51FF1264">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书面密封报价</w:t>
      </w:r>
      <w:r>
        <w:rPr>
          <w:rFonts w:hint="eastAsia" w:ascii="仿宋_GB2312" w:hAnsi="宋体" w:eastAsia="仿宋_GB2312" w:cs="宋体"/>
          <w:color w:val="000000"/>
          <w:kern w:val="0"/>
          <w:sz w:val="24"/>
        </w:rPr>
        <w:t>。即报价</w:t>
      </w:r>
      <w:r>
        <w:rPr>
          <w:rFonts w:hint="eastAsia" w:ascii="仿宋_GB2312" w:hAnsi="宋体" w:eastAsia="仿宋_GB2312" w:cs="宋体"/>
          <w:color w:val="000000"/>
          <w:kern w:val="0"/>
          <w:sz w:val="24"/>
          <w:lang w:val="en-US" w:eastAsia="zh-CN"/>
        </w:rPr>
        <w:t>供应商</w:t>
      </w:r>
      <w:r>
        <w:rPr>
          <w:rFonts w:hint="eastAsia" w:ascii="仿宋_GB2312" w:hAnsi="宋体" w:eastAsia="仿宋_GB2312" w:cs="宋体"/>
          <w:color w:val="000000"/>
          <w:kern w:val="0"/>
          <w:sz w:val="24"/>
        </w:rPr>
        <w:t>应当在报价截止时间前向我司送达书面密封的报价文件。</w:t>
      </w:r>
    </w:p>
    <w:p w14:paraId="4C6EA009">
      <w:pPr>
        <w:spacing w:line="360" w:lineRule="auto"/>
        <w:ind w:firstLine="420" w:firstLineChars="0"/>
        <w:rPr>
          <w:rFonts w:ascii="仿宋_GB2312" w:hAnsi="宋体" w:eastAsia="仿宋_GB2312" w:cs="宋体"/>
          <w:color w:val="000000"/>
          <w:kern w:val="0"/>
          <w:sz w:val="24"/>
        </w:rPr>
      </w:pPr>
      <w:r>
        <w:rPr>
          <w:rFonts w:hint="eastAsia" w:ascii="仿宋_GB2312" w:hAnsi="宋体" w:eastAsia="仿宋_GB2312" w:cs="宋体"/>
          <w:color w:val="000000"/>
          <w:kern w:val="0"/>
          <w:sz w:val="24"/>
        </w:rPr>
        <w:t>2、供应商报价须将报价单密封并加盖公章，外封皮注明“**公司，**项目报价表”。</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lang w:val="en-US" w:eastAsia="zh-CN"/>
        </w:rPr>
        <w:tab/>
      </w:r>
      <w:r>
        <w:rPr>
          <w:rFonts w:hint="eastAsia" w:ascii="仿宋_GB2312" w:hAnsi="宋体" w:eastAsia="仿宋_GB2312" w:cs="宋体"/>
          <w:color w:val="000000"/>
          <w:kern w:val="0"/>
          <w:sz w:val="24"/>
        </w:rPr>
        <w:t>3、采购报价单必须在</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2</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10</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一</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（报价截止时间）之前邮寄或直接送达厦门万翔网络商务有限公司；报价开启时间为</w:t>
      </w:r>
      <w:r>
        <w:rPr>
          <w:rFonts w:hint="eastAsia" w:ascii="仿宋_GB2312" w:hAnsi="宋体" w:eastAsia="仿宋_GB2312" w:cs="宋体"/>
          <w:b/>
          <w:kern w:val="0"/>
          <w:sz w:val="24"/>
        </w:rPr>
        <w:t>20</w:t>
      </w:r>
      <w:r>
        <w:rPr>
          <w:rFonts w:ascii="仿宋_GB2312" w:hAnsi="宋体" w:eastAsia="仿宋_GB2312" w:cs="宋体"/>
          <w:b/>
          <w:kern w:val="0"/>
          <w:sz w:val="24"/>
        </w:rPr>
        <w:t>2</w:t>
      </w:r>
      <w:r>
        <w:rPr>
          <w:rFonts w:hint="eastAsia" w:ascii="仿宋_GB2312" w:hAnsi="宋体" w:eastAsia="仿宋_GB2312" w:cs="宋体"/>
          <w:b/>
          <w:kern w:val="0"/>
          <w:sz w:val="24"/>
          <w:lang w:val="en-US" w:eastAsia="zh-CN"/>
        </w:rPr>
        <w:t>5</w:t>
      </w:r>
      <w:r>
        <w:rPr>
          <w:rFonts w:hint="eastAsia" w:ascii="仿宋_GB2312" w:hAnsi="宋体" w:eastAsia="仿宋_GB2312" w:cs="宋体"/>
          <w:b/>
          <w:kern w:val="0"/>
          <w:sz w:val="24"/>
        </w:rPr>
        <w:t>年</w:t>
      </w:r>
      <w:r>
        <w:rPr>
          <w:rFonts w:hint="eastAsia" w:ascii="仿宋_GB2312" w:hAnsi="宋体" w:eastAsia="仿宋_GB2312" w:cs="宋体"/>
          <w:b/>
          <w:kern w:val="0"/>
          <w:sz w:val="24"/>
          <w:lang w:val="en-US" w:eastAsia="zh-CN"/>
        </w:rPr>
        <w:t>2</w:t>
      </w:r>
      <w:r>
        <w:rPr>
          <w:rFonts w:hint="eastAsia" w:ascii="仿宋_GB2312" w:hAnsi="宋体" w:eastAsia="仿宋_GB2312" w:cs="宋体"/>
          <w:b/>
          <w:kern w:val="0"/>
          <w:sz w:val="24"/>
        </w:rPr>
        <w:t>月</w:t>
      </w:r>
      <w:r>
        <w:rPr>
          <w:rFonts w:hint="eastAsia" w:ascii="仿宋_GB2312" w:hAnsi="宋体" w:eastAsia="仿宋_GB2312" w:cs="宋体"/>
          <w:b/>
          <w:kern w:val="0"/>
          <w:sz w:val="24"/>
          <w:lang w:val="en-US" w:eastAsia="zh-CN"/>
        </w:rPr>
        <w:t>10</w:t>
      </w:r>
      <w:r>
        <w:rPr>
          <w:rFonts w:hint="eastAsia" w:ascii="仿宋_GB2312" w:hAnsi="宋体" w:eastAsia="仿宋_GB2312" w:cs="宋体"/>
          <w:b/>
          <w:kern w:val="0"/>
          <w:sz w:val="24"/>
        </w:rPr>
        <w:t>日（周</w:t>
      </w:r>
      <w:r>
        <w:rPr>
          <w:rFonts w:hint="eastAsia" w:ascii="仿宋_GB2312" w:hAnsi="宋体" w:eastAsia="仿宋_GB2312" w:cs="宋体"/>
          <w:b/>
          <w:kern w:val="0"/>
          <w:sz w:val="24"/>
          <w:lang w:val="en-US" w:eastAsia="zh-CN"/>
        </w:rPr>
        <w:t>一</w:t>
      </w:r>
      <w:r>
        <w:rPr>
          <w:rFonts w:hint="eastAsia" w:ascii="仿宋_GB2312" w:hAnsi="宋体" w:eastAsia="仿宋_GB2312" w:cs="宋体"/>
          <w:b/>
          <w:kern w:val="0"/>
          <w:sz w:val="24"/>
        </w:rPr>
        <w:t>）1</w:t>
      </w:r>
      <w:r>
        <w:rPr>
          <w:rFonts w:hint="eastAsia" w:ascii="仿宋_GB2312" w:hAnsi="宋体" w:eastAsia="仿宋_GB2312" w:cs="宋体"/>
          <w:b/>
          <w:kern w:val="0"/>
          <w:sz w:val="24"/>
          <w:lang w:val="en-US" w:eastAsia="zh-CN"/>
        </w:rPr>
        <w:t>6</w:t>
      </w:r>
      <w:r>
        <w:rPr>
          <w:rFonts w:hint="eastAsia" w:ascii="仿宋_GB2312" w:hAnsi="宋体" w:eastAsia="仿宋_GB2312" w:cs="宋体"/>
          <w:b/>
          <w:kern w:val="0"/>
          <w:sz w:val="24"/>
        </w:rPr>
        <w:t>：00点</w:t>
      </w:r>
      <w:r>
        <w:rPr>
          <w:rFonts w:hint="eastAsia" w:ascii="仿宋_GB2312" w:hAnsi="宋体" w:eastAsia="仿宋_GB2312" w:cs="宋体"/>
          <w:kern w:val="0"/>
          <w:sz w:val="24"/>
        </w:rPr>
        <w:t>。</w:t>
      </w:r>
      <w:r>
        <w:rPr>
          <w:rFonts w:hint="eastAsia" w:ascii="仿宋_GB2312" w:hAnsi="宋体" w:eastAsia="仿宋_GB2312" w:cs="宋体"/>
          <w:color w:val="000000"/>
          <w:kern w:val="0"/>
          <w:sz w:val="24"/>
        </w:rPr>
        <w:t>报价供应商无需到场。</w:t>
      </w:r>
    </w:p>
    <w:p w14:paraId="3E599F38">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文件接收地址：厦门市湖里区高崎机场北路476号万翔网商5楼（邮编：361006）；</w:t>
      </w:r>
    </w:p>
    <w:p w14:paraId="4BA5BE4D">
      <w:pPr>
        <w:spacing w:line="360" w:lineRule="auto"/>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接收人</w:t>
      </w:r>
      <w:r>
        <w:rPr>
          <w:rFonts w:hint="eastAsia" w:ascii="仿宋_GB2312" w:hAnsi="宋体" w:eastAsia="仿宋_GB2312" w:cs="宋体"/>
          <w:color w:val="000000"/>
          <w:kern w:val="0"/>
          <w:sz w:val="24"/>
          <w:lang w:val="en-US" w:eastAsia="zh-CN"/>
        </w:rPr>
        <w:t>郭嘉卉</w:t>
      </w:r>
      <w:r>
        <w:rPr>
          <w:rFonts w:hint="eastAsia" w:ascii="仿宋_GB2312" w:hAnsi="宋体" w:eastAsia="仿宋_GB2312" w:cs="宋体"/>
          <w:color w:val="000000"/>
          <w:kern w:val="0"/>
          <w:sz w:val="24"/>
        </w:rPr>
        <w:t>及其联系电话：0592-</w:t>
      </w:r>
      <w:r>
        <w:rPr>
          <w:rFonts w:ascii="仿宋_GB2312" w:hAnsi="宋体" w:eastAsia="仿宋_GB2312" w:cs="宋体"/>
          <w:color w:val="000000"/>
          <w:kern w:val="0"/>
          <w:sz w:val="24"/>
        </w:rPr>
        <w:t>57</w:t>
      </w:r>
      <w:r>
        <w:rPr>
          <w:rFonts w:hint="eastAsia" w:ascii="仿宋_GB2312" w:hAnsi="宋体" w:eastAsia="仿宋_GB2312" w:cs="宋体"/>
          <w:color w:val="000000"/>
          <w:kern w:val="0"/>
          <w:sz w:val="24"/>
        </w:rPr>
        <w:t>69091</w:t>
      </w:r>
    </w:p>
    <w:p w14:paraId="7F26D6F0">
      <w:pPr>
        <w:spacing w:line="360" w:lineRule="auto"/>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传真：0592-2235459</w:t>
      </w:r>
    </w:p>
    <w:p w14:paraId="4BF2ACAC">
      <w:pPr>
        <w:spacing w:line="360" w:lineRule="auto"/>
        <w:ind w:left="360" w:hanging="360" w:hangingChars="150"/>
        <w:rPr>
          <w:rFonts w:ascii="仿宋_GB2312" w:hAnsi="宋体" w:eastAsia="仿宋_GB2312" w:cs="宋体"/>
          <w:kern w:val="0"/>
          <w:sz w:val="24"/>
        </w:rPr>
      </w:pPr>
      <w:r>
        <w:rPr>
          <w:rFonts w:hint="eastAsia" w:ascii="仿宋_GB2312" w:hAnsi="宋体" w:eastAsia="仿宋_GB2312" w:cs="宋体"/>
          <w:color w:val="000000"/>
          <w:kern w:val="0"/>
          <w:sz w:val="24"/>
        </w:rPr>
        <w:t xml:space="preserve">4、报价供应商须按询价函要求完整进行报价,不得更改内容,不得缺项、漏项。 </w:t>
      </w:r>
      <w:r>
        <w:rPr>
          <w:rFonts w:hint="eastAsia" w:ascii="仿宋_GB2312" w:hAnsi="宋体" w:eastAsia="仿宋_GB2312" w:cs="宋体"/>
          <w:kern w:val="0"/>
          <w:sz w:val="24"/>
        </w:rPr>
        <w:t xml:space="preserve">        </w:t>
      </w:r>
    </w:p>
    <w:p w14:paraId="209CBF24">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（二）出现以下情况之一的，报价无效：</w:t>
      </w:r>
    </w:p>
    <w:p w14:paraId="38F9455D">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1、报价文件内容不完整的；</w:t>
      </w:r>
    </w:p>
    <w:p w14:paraId="0309CF73">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2、超过报价截止时间提交报价的；</w:t>
      </w:r>
    </w:p>
    <w:p w14:paraId="21359AA5">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3、报价方式不符合本报价须知要求的；</w:t>
      </w:r>
    </w:p>
    <w:p w14:paraId="292A290F">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4、报价人有弄虚作假或串标、围标等违法行为的；</w:t>
      </w:r>
    </w:p>
    <w:p w14:paraId="483881C9">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5、报价文件不能实质性响应本询价函的；</w:t>
      </w:r>
    </w:p>
    <w:p w14:paraId="72C8FF13">
      <w:pPr>
        <w:spacing w:line="360" w:lineRule="auto"/>
        <w:ind w:firstLine="480" w:firstLineChars="200"/>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6、消防认证证书和检测报告</w:t>
      </w:r>
      <w:r>
        <w:rPr>
          <w:rFonts w:hint="eastAsia" w:ascii="仿宋_GB2312" w:hAnsi="宋体" w:eastAsia="仿宋_GB2312" w:cs="宋体"/>
          <w:kern w:val="0"/>
          <w:sz w:val="24"/>
        </w:rPr>
        <w:t>无提供或提供不符合本报价要求的</w:t>
      </w:r>
      <w:r>
        <w:rPr>
          <w:rFonts w:hint="eastAsia" w:ascii="仿宋_GB2312" w:hAnsi="宋体" w:eastAsia="仿宋_GB2312" w:cs="宋体"/>
          <w:kern w:val="0"/>
          <w:sz w:val="24"/>
          <w:lang w:eastAsia="zh-CN"/>
        </w:rPr>
        <w:t>。</w:t>
      </w:r>
    </w:p>
    <w:p w14:paraId="09AF5A8B">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（三）确定成交供应商原则：</w:t>
      </w:r>
      <w:r>
        <w:rPr>
          <w:rFonts w:ascii="仿宋_GB2312" w:hAnsi="宋体" w:eastAsia="仿宋_GB2312" w:cs="宋体"/>
          <w:kern w:val="0"/>
          <w:sz w:val="24"/>
        </w:rPr>
        <w:t>询价小组</w:t>
      </w:r>
      <w:r>
        <w:rPr>
          <w:rFonts w:hint="eastAsia" w:ascii="仿宋_GB2312" w:hAnsi="宋体" w:eastAsia="仿宋_GB2312" w:cs="宋体"/>
          <w:kern w:val="0"/>
          <w:sz w:val="24"/>
        </w:rPr>
        <w:t>将</w:t>
      </w:r>
      <w:r>
        <w:rPr>
          <w:rFonts w:ascii="仿宋_GB2312" w:hAnsi="宋体" w:eastAsia="仿宋_GB2312" w:cs="宋体"/>
          <w:kern w:val="0"/>
          <w:sz w:val="24"/>
        </w:rPr>
        <w:t>根据</w:t>
      </w:r>
      <w:r>
        <w:rPr>
          <w:rFonts w:hint="eastAsia" w:ascii="仿宋_GB2312" w:hAnsi="宋体" w:eastAsia="仿宋_GB2312" w:cs="宋体"/>
          <w:kern w:val="0"/>
          <w:sz w:val="24"/>
        </w:rPr>
        <w:t>实质性响应本询价函要求并符合实际使用需求结合最终</w:t>
      </w:r>
      <w:r>
        <w:rPr>
          <w:rFonts w:ascii="仿宋_GB2312" w:hAnsi="宋体" w:eastAsia="仿宋_GB2312" w:cs="宋体"/>
          <w:kern w:val="0"/>
          <w:sz w:val="24"/>
        </w:rPr>
        <w:t>报价</w:t>
      </w:r>
      <w:r>
        <w:rPr>
          <w:rFonts w:hint="eastAsia" w:ascii="仿宋_GB2312" w:hAnsi="宋体" w:eastAsia="仿宋_GB2312" w:cs="宋体"/>
          <w:kern w:val="0"/>
          <w:sz w:val="24"/>
        </w:rPr>
        <w:t>原则</w:t>
      </w:r>
      <w:r>
        <w:rPr>
          <w:rFonts w:ascii="仿宋_GB2312" w:hAnsi="宋体" w:eastAsia="仿宋_GB2312" w:cs="宋体"/>
          <w:kern w:val="0"/>
          <w:sz w:val="24"/>
        </w:rPr>
        <w:t>确定成交供应商</w:t>
      </w:r>
      <w:r>
        <w:rPr>
          <w:rFonts w:hint="eastAsia" w:ascii="仿宋_GB2312" w:hAnsi="宋体" w:eastAsia="仿宋_GB2312" w:cs="宋体"/>
          <w:kern w:val="0"/>
          <w:sz w:val="24"/>
        </w:rPr>
        <w:t>。</w:t>
      </w:r>
    </w:p>
    <w:p w14:paraId="7F44E093">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（四）</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一旦递交报价文件，即视为认可本询价方式及报价须知的所有内容。</w:t>
      </w:r>
      <w:r>
        <w:rPr>
          <w:rFonts w:hint="eastAsia" w:ascii="仿宋_GB2312" w:hAnsi="宋体" w:eastAsia="仿宋_GB2312" w:cs="宋体"/>
          <w:kern w:val="0"/>
          <w:sz w:val="24"/>
          <w:lang w:eastAsia="zh-CN"/>
        </w:rPr>
        <w:t>报价供应商</w:t>
      </w:r>
      <w:r>
        <w:rPr>
          <w:rFonts w:hint="eastAsia" w:ascii="仿宋_GB2312" w:hAnsi="宋体" w:eastAsia="仿宋_GB2312" w:cs="宋体"/>
          <w:kern w:val="0"/>
          <w:sz w:val="24"/>
        </w:rPr>
        <w:t>承诺报价有效期为</w:t>
      </w:r>
      <w:r>
        <w:rPr>
          <w:rFonts w:hint="eastAsia" w:ascii="仿宋_GB2312" w:hAnsi="宋体" w:eastAsia="仿宋_GB2312" w:cs="宋体"/>
          <w:kern w:val="0"/>
          <w:sz w:val="24"/>
          <w:lang w:val="en-US" w:eastAsia="zh-CN"/>
        </w:rPr>
        <w:t>1个月</w:t>
      </w:r>
      <w:r>
        <w:rPr>
          <w:rFonts w:hint="eastAsia" w:ascii="仿宋_GB2312" w:hAnsi="宋体" w:eastAsia="仿宋_GB2312" w:cs="宋体"/>
          <w:kern w:val="0"/>
          <w:sz w:val="24"/>
        </w:rPr>
        <w:t>。</w:t>
      </w:r>
    </w:p>
    <w:p w14:paraId="183727BD">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五</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14:paraId="6CED02E3">
      <w:pPr>
        <w:spacing w:line="360" w:lineRule="auto"/>
        <w:ind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六</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报价供应商可于项目开标后询问己方是否为中标供应商，但不得要求买方或买方代理机构告知其他供应商的报价信息</w:t>
      </w:r>
      <w:r>
        <w:rPr>
          <w:rFonts w:hint="eastAsia" w:ascii="仿宋_GB2312" w:hAnsi="宋体" w:eastAsia="仿宋_GB2312" w:cs="宋体"/>
          <w:kern w:val="0"/>
          <w:sz w:val="24"/>
          <w:lang w:eastAsia="zh-CN"/>
        </w:rPr>
        <w:t>。</w:t>
      </w:r>
    </w:p>
    <w:p w14:paraId="7B911EEE">
      <w:pPr>
        <w:spacing w:line="360" w:lineRule="auto"/>
        <w:ind w:firstLine="480" w:firstLineChars="200"/>
        <w:rPr>
          <w:rFonts w:hint="eastAsia" w:ascii="仿宋_GB2312" w:hAnsi="宋体" w:eastAsia="宋体"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七</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报价供应商参与项目报价的，均视为同意上述所有要求</w:t>
      </w:r>
      <w:r>
        <w:rPr>
          <w:rFonts w:hint="eastAsia" w:ascii="仿宋_GB2312" w:hAnsi="宋体" w:eastAsia="仿宋_GB2312" w:cs="宋体"/>
          <w:kern w:val="0"/>
          <w:sz w:val="24"/>
          <w:lang w:eastAsia="zh-CN"/>
        </w:rPr>
        <w:t>。</w:t>
      </w:r>
    </w:p>
    <w:p w14:paraId="5B9CA304">
      <w:pPr>
        <w:spacing w:line="360"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八</w:t>
      </w:r>
      <w:r>
        <w:rPr>
          <w:rFonts w:hint="eastAsia" w:ascii="仿宋_GB2312" w:hAnsi="宋体" w:eastAsia="仿宋_GB2312" w:cs="宋体"/>
          <w:kern w:val="0"/>
          <w:sz w:val="24"/>
        </w:rPr>
        <w:t>）主要合同条款：</w:t>
      </w:r>
    </w:p>
    <w:p w14:paraId="141E8B07">
      <w:pPr>
        <w:pStyle w:val="17"/>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1、合同金额：实际合同金额以中标单价测算为准，</w:t>
      </w:r>
      <w:r>
        <w:rPr>
          <w:rFonts w:hint="eastAsia" w:ascii="仿宋_GB2312" w:hAnsi="宋体" w:eastAsia="仿宋_GB2312" w:cs="宋体"/>
          <w:kern w:val="0"/>
          <w:sz w:val="24"/>
          <w:lang w:val="en-US" w:eastAsia="zh-CN"/>
        </w:rPr>
        <w:t>下单后15天内完成</w:t>
      </w:r>
      <w:r>
        <w:rPr>
          <w:rFonts w:hint="eastAsia" w:ascii="仿宋_GB2312" w:hAnsi="宋体" w:eastAsia="仿宋_GB2312" w:cs="宋体"/>
          <w:kern w:val="0"/>
          <w:sz w:val="24"/>
        </w:rPr>
        <w:t>供货</w:t>
      </w:r>
      <w:r>
        <w:rPr>
          <w:rFonts w:hint="eastAsia" w:ascii="仿宋_GB2312" w:hAnsi="宋体" w:eastAsia="仿宋_GB2312" w:cs="宋体"/>
          <w:sz w:val="24"/>
        </w:rPr>
        <w:t>。</w:t>
      </w:r>
    </w:p>
    <w:p w14:paraId="0DB761B0">
      <w:pPr>
        <w:pStyle w:val="17"/>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2、质量保证：</w:t>
      </w:r>
    </w:p>
    <w:p w14:paraId="72B75035">
      <w:pPr>
        <w:pStyle w:val="17"/>
        <w:spacing w:line="360" w:lineRule="auto"/>
        <w:ind w:firstLine="480" w:firstLineChars="200"/>
        <w:rPr>
          <w:rFonts w:ascii="仿宋_GB2312" w:hAnsi="宋体" w:eastAsia="仿宋_GB2312" w:cs="宋体"/>
          <w:sz w:val="24"/>
        </w:rPr>
      </w:pPr>
      <w:r>
        <w:rPr>
          <w:rFonts w:hint="eastAsia" w:ascii="仿宋_GB2312" w:hAnsi="宋体" w:eastAsia="仿宋_GB2312" w:cs="宋体"/>
          <w:sz w:val="24"/>
          <w:szCs w:val="24"/>
        </w:rPr>
        <w:t>1）</w:t>
      </w:r>
      <w:r>
        <w:rPr>
          <w:rFonts w:hint="eastAsia" w:ascii="仿宋_GB2312" w:hAnsi="宋体" w:eastAsia="仿宋_GB2312" w:cs="宋体"/>
          <w:sz w:val="24"/>
          <w:szCs w:val="24"/>
          <w:lang w:val="en-US" w:eastAsia="zh-CN"/>
        </w:rPr>
        <w:t>卖方</w:t>
      </w:r>
      <w:r>
        <w:rPr>
          <w:rFonts w:hint="eastAsia" w:ascii="仿宋_GB2312" w:hAnsi="宋体" w:eastAsia="仿宋_GB2312" w:cs="宋体"/>
          <w:sz w:val="24"/>
        </w:rPr>
        <w:t>保证提供全新的、未使用过的、且不存在任何权利瑕疵或质量瑕疵的原厂正品，否则，</w:t>
      </w:r>
      <w:r>
        <w:rPr>
          <w:rFonts w:hint="eastAsia" w:ascii="仿宋_GB2312" w:hAnsi="宋体" w:eastAsia="仿宋_GB2312" w:cs="宋体"/>
          <w:sz w:val="24"/>
          <w:lang w:val="en-US" w:eastAsia="zh-CN"/>
        </w:rPr>
        <w:t>买方</w:t>
      </w:r>
      <w:r>
        <w:rPr>
          <w:rFonts w:hint="eastAsia" w:ascii="仿宋_GB2312" w:hAnsi="宋体" w:eastAsia="仿宋_GB2312" w:cs="宋体"/>
          <w:sz w:val="24"/>
        </w:rPr>
        <w:t>有权向</w:t>
      </w:r>
      <w:r>
        <w:rPr>
          <w:rFonts w:hint="eastAsia" w:ascii="仿宋_GB2312" w:hAnsi="宋体" w:eastAsia="仿宋_GB2312" w:cs="宋体"/>
          <w:sz w:val="24"/>
          <w:lang w:val="en-US" w:eastAsia="zh-CN"/>
        </w:rPr>
        <w:t>卖方</w:t>
      </w:r>
      <w:r>
        <w:rPr>
          <w:rFonts w:hint="eastAsia" w:ascii="仿宋_GB2312" w:hAnsi="宋体" w:eastAsia="仿宋_GB2312" w:cs="宋体"/>
          <w:sz w:val="24"/>
        </w:rPr>
        <w:t>追究违约责任。</w:t>
      </w:r>
    </w:p>
    <w:p w14:paraId="7A0F19C8">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若合同产品不能正常使用，或未能稳定实现本合同、合同附件及该系统说明书所称的任何功能、标准，或未达到国家有关质量、技术标准和厂家出厂标准（国家标准和厂家标准不一致的，以较高者为准）应视为有质量瑕疵。</w:t>
      </w:r>
    </w:p>
    <w:p w14:paraId="2D4234A7">
      <w:pPr>
        <w:tabs>
          <w:tab w:val="left" w:pos="5130"/>
        </w:tabs>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3）</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提供的产品必须达到或高于采购要求及报价承诺（以</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报价时提供的样品作为检验标准）。</w:t>
      </w:r>
    </w:p>
    <w:p w14:paraId="305588F2">
      <w:pPr>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4）</w:t>
      </w:r>
      <w:r>
        <w:rPr>
          <w:rFonts w:hint="eastAsia" w:ascii="仿宋_GB2312" w:hAnsi="宋体" w:eastAsia="仿宋_GB2312" w:cs="宋体"/>
          <w:sz w:val="24"/>
          <w:lang w:val="en-US" w:eastAsia="zh-CN"/>
        </w:rPr>
        <w:t>卖方</w:t>
      </w:r>
      <w:r>
        <w:rPr>
          <w:rFonts w:hint="eastAsia" w:ascii="仿宋_GB2312" w:hAnsi="宋体" w:eastAsia="仿宋_GB2312" w:cs="宋体"/>
          <w:kern w:val="0"/>
          <w:sz w:val="24"/>
        </w:rPr>
        <w:t>提供的产品需符合国家相关技术标准，并提供质量监督检验中心合格检验报告。</w:t>
      </w:r>
    </w:p>
    <w:p w14:paraId="2D07E0E8">
      <w:pPr>
        <w:pStyle w:val="19"/>
        <w:ind w:left="0" w:leftChars="0" w:firstLine="480"/>
        <w:rPr>
          <w:rFonts w:ascii="仿宋_GB2312" w:hAnsi="宋体" w:eastAsia="仿宋_GB2312" w:cs="宋体"/>
          <w:kern w:val="0"/>
          <w:sz w:val="24"/>
        </w:rPr>
      </w:pPr>
      <w:r>
        <w:rPr>
          <w:rFonts w:hint="eastAsia" w:hAnsi="宋体"/>
          <w:sz w:val="24"/>
          <w:lang w:val="en-US" w:eastAsia="zh-CN"/>
        </w:rPr>
        <w:t>5</w:t>
      </w:r>
      <w:r>
        <w:rPr>
          <w:rFonts w:hint="eastAsia" w:hAnsi="宋体"/>
          <w:sz w:val="24"/>
        </w:rPr>
        <w:t>）</w:t>
      </w:r>
      <w:r>
        <w:rPr>
          <w:rFonts w:hint="eastAsia" w:hAnsi="宋体"/>
          <w:sz w:val="24"/>
          <w:szCs w:val="24"/>
        </w:rPr>
        <w:t>按厂家标准提供质保服务</w:t>
      </w:r>
      <w:r>
        <w:rPr>
          <w:rFonts w:hint="eastAsia" w:hAnsi="宋体"/>
          <w:sz w:val="24"/>
          <w:szCs w:val="24"/>
          <w:lang w:val="en-US" w:eastAsia="zh-CN"/>
        </w:rPr>
        <w:t>壹年</w:t>
      </w:r>
      <w:r>
        <w:rPr>
          <w:rFonts w:hint="eastAsia" w:hAnsi="宋体"/>
          <w:sz w:val="24"/>
          <w:szCs w:val="24"/>
        </w:rPr>
        <w:t>，质保期</w:t>
      </w:r>
      <w:r>
        <w:rPr>
          <w:rFonts w:hAnsi="宋体"/>
          <w:sz w:val="24"/>
          <w:szCs w:val="24"/>
        </w:rPr>
        <w:t>自验收合格之日起计算</w:t>
      </w:r>
      <w:r>
        <w:rPr>
          <w:rFonts w:hint="eastAsia" w:hAnsi="宋体"/>
          <w:sz w:val="24"/>
          <w:szCs w:val="24"/>
        </w:rPr>
        <w:t>。</w:t>
      </w:r>
    </w:p>
    <w:p w14:paraId="693D9F12">
      <w:pPr>
        <w:spacing w:line="360" w:lineRule="auto"/>
        <w:ind w:firstLine="420"/>
        <w:rPr>
          <w:rFonts w:hint="eastAsia" w:ascii="仿宋_GB2312" w:hAnsi="宋体" w:eastAsia="仿宋_GB2312" w:cs="宋体"/>
          <w:kern w:val="0"/>
          <w:sz w:val="24"/>
        </w:rPr>
      </w:pPr>
      <w:r>
        <w:rPr>
          <w:rFonts w:hint="eastAsia" w:ascii="仿宋_GB2312" w:hAnsi="宋体" w:eastAsia="仿宋_GB2312" w:cs="宋体"/>
          <w:sz w:val="24"/>
          <w:lang w:val="en-US" w:eastAsia="zh-CN"/>
        </w:rPr>
        <w:t>3</w:t>
      </w:r>
      <w:r>
        <w:rPr>
          <w:rFonts w:hint="eastAsia" w:ascii="仿宋_GB2312" w:hAnsi="宋体" w:eastAsia="仿宋_GB2312" w:cs="宋体"/>
          <w:sz w:val="24"/>
        </w:rPr>
        <w:t>、货款结算：</w:t>
      </w:r>
      <w:r>
        <w:rPr>
          <w:rFonts w:hint="eastAsia" w:ascii="仿宋_GB2312" w:hAnsi="宋体" w:eastAsia="仿宋_GB2312" w:cs="宋体"/>
          <w:kern w:val="0"/>
          <w:sz w:val="24"/>
        </w:rPr>
        <w:t>合同签订后根据供方开具的100%的一般纳税人增值税发票及验收合格后30个日历日内向供货方付清9</w:t>
      </w:r>
      <w:r>
        <w:rPr>
          <w:rFonts w:ascii="仿宋_GB2312" w:hAnsi="宋体" w:eastAsia="仿宋_GB2312" w:cs="宋体"/>
          <w:kern w:val="0"/>
          <w:sz w:val="24"/>
        </w:rPr>
        <w:t>7</w:t>
      </w:r>
      <w:r>
        <w:rPr>
          <w:rFonts w:hint="eastAsia" w:ascii="仿宋_GB2312" w:hAnsi="宋体" w:eastAsia="仿宋_GB2312" w:cs="宋体"/>
          <w:kern w:val="0"/>
          <w:sz w:val="24"/>
        </w:rPr>
        <w:t>%货款，剩余</w:t>
      </w:r>
      <w:r>
        <w:rPr>
          <w:rFonts w:ascii="仿宋_GB2312" w:hAnsi="宋体" w:eastAsia="仿宋_GB2312" w:cs="宋体"/>
          <w:kern w:val="0"/>
          <w:sz w:val="24"/>
        </w:rPr>
        <w:t>3</w:t>
      </w:r>
      <w:r>
        <w:rPr>
          <w:rFonts w:hint="eastAsia" w:ascii="仿宋_GB2312" w:hAnsi="宋体" w:eastAsia="仿宋_GB2312" w:cs="宋体"/>
          <w:kern w:val="0"/>
          <w:sz w:val="24"/>
        </w:rPr>
        <w:t>%货款作为合同履约保证金，于质保期（</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年）到期之日起30天内无息支付完成。</w:t>
      </w:r>
    </w:p>
    <w:p w14:paraId="1DD899D7">
      <w:pPr>
        <w:spacing w:line="360" w:lineRule="auto"/>
        <w:ind w:firstLine="420"/>
        <w:rPr>
          <w:rFonts w:hint="default" w:ascii="仿宋_GB2312" w:hAnsi="宋体" w:eastAsia="仿宋_GB2312" w:cs="宋体"/>
          <w:kern w:val="0"/>
          <w:sz w:val="24"/>
          <w:lang w:val="en-US" w:eastAsia="zh-CN"/>
        </w:rPr>
      </w:pPr>
    </w:p>
    <w:p w14:paraId="3CCC45A7">
      <w:pPr>
        <w:spacing w:line="360" w:lineRule="auto"/>
        <w:ind w:firstLine="5280" w:firstLineChars="2200"/>
        <w:rPr>
          <w:rFonts w:ascii="仿宋_GB2312" w:hAnsi="宋体" w:eastAsia="仿宋_GB2312" w:cs="宋体"/>
          <w:kern w:val="0"/>
          <w:sz w:val="24"/>
        </w:rPr>
      </w:pPr>
    </w:p>
    <w:p w14:paraId="176EEEC1">
      <w:pPr>
        <w:spacing w:line="360" w:lineRule="auto"/>
        <w:ind w:firstLine="5280" w:firstLineChars="2200"/>
        <w:jc w:val="right"/>
        <w:rPr>
          <w:rFonts w:ascii="仿宋_GB2312" w:hAnsi="宋体" w:eastAsia="仿宋_GB2312" w:cs="宋体"/>
          <w:kern w:val="0"/>
          <w:sz w:val="24"/>
        </w:rPr>
      </w:pPr>
      <w:r>
        <w:rPr>
          <w:rFonts w:hint="eastAsia" w:ascii="仿宋_GB2312" w:hAnsi="宋体" w:eastAsia="仿宋_GB2312" w:cs="宋体"/>
          <w:kern w:val="0"/>
          <w:sz w:val="24"/>
        </w:rPr>
        <w:t>厦门万翔网络商务有限公司</w:t>
      </w:r>
    </w:p>
    <w:p w14:paraId="51DB53E9">
      <w:pPr>
        <w:spacing w:line="360" w:lineRule="auto"/>
        <w:ind w:firstLine="5760" w:firstLineChars="2400"/>
        <w:jc w:val="right"/>
        <w:rPr>
          <w:rFonts w:ascii="仿宋_GB2312" w:hAnsi="宋体" w:eastAsia="仿宋_GB2312" w:cs="宋体"/>
          <w:kern w:val="0"/>
          <w:sz w:val="24"/>
        </w:rPr>
      </w:pPr>
      <w:r>
        <w:rPr>
          <w:rFonts w:hint="eastAsia" w:ascii="仿宋_GB2312" w:hAnsi="宋体" w:eastAsia="仿宋_GB2312" w:cs="宋体"/>
          <w:kern w:val="0"/>
          <w:sz w:val="24"/>
        </w:rPr>
        <w:t>20</w:t>
      </w:r>
      <w:r>
        <w:rPr>
          <w:rFonts w:hint="eastAsia" w:ascii="仿宋_GB2312" w:hAnsi="宋体" w:eastAsia="仿宋_GB2312" w:cs="宋体"/>
          <w:kern w:val="0"/>
          <w:sz w:val="24"/>
          <w:lang w:val="en-US" w:eastAsia="zh-CN"/>
        </w:rPr>
        <w:t>25</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日</w:t>
      </w:r>
    </w:p>
    <w:p w14:paraId="52D4DBC7">
      <w:pPr>
        <w:spacing w:line="380" w:lineRule="exact"/>
        <w:rPr>
          <w:b/>
        </w:rPr>
        <w:sectPr>
          <w:headerReference r:id="rId3" w:type="default"/>
          <w:footerReference r:id="rId4" w:type="default"/>
          <w:footerReference r:id="rId5" w:type="even"/>
          <w:pgSz w:w="11906" w:h="16838"/>
          <w:pgMar w:top="851" w:right="1230" w:bottom="851" w:left="1230" w:header="851" w:footer="992" w:gutter="0"/>
          <w:pgBorders>
            <w:top w:val="none" w:sz="0" w:space="0"/>
            <w:left w:val="none" w:sz="0" w:space="0"/>
            <w:bottom w:val="none" w:sz="0" w:space="0"/>
            <w:right w:val="none" w:sz="0" w:space="0"/>
          </w:pgBorders>
          <w:cols w:space="720" w:num="1"/>
          <w:docGrid w:type="lines" w:linePitch="312" w:charSpace="0"/>
        </w:sectPr>
      </w:pPr>
    </w:p>
    <w:p w14:paraId="1446C9C4">
      <w:pPr>
        <w:pStyle w:val="13"/>
        <w:jc w:val="left"/>
        <w:rPr>
          <w:rFonts w:hAnsi="宋体"/>
          <w:b/>
          <w:sz w:val="36"/>
        </w:rPr>
      </w:pPr>
      <w:r>
        <w:rPr>
          <w:rFonts w:hint="eastAsia" w:ascii="仿宋_GB2312" w:hAnsi="宋体" w:eastAsia="仿宋_GB2312" w:cs="宋体"/>
          <w:kern w:val="0"/>
          <w:sz w:val="24"/>
        </w:rPr>
        <w:t>附件1</w:t>
      </w:r>
    </w:p>
    <w:p w14:paraId="51562A17">
      <w:pPr>
        <w:pStyle w:val="13"/>
        <w:jc w:val="center"/>
        <w:rPr>
          <w:rFonts w:hAnsi="宋体"/>
          <w:b/>
          <w:sz w:val="36"/>
        </w:rPr>
      </w:pPr>
      <w:r>
        <w:rPr>
          <w:rFonts w:hint="eastAsia" w:hAnsi="宋体"/>
          <w:b/>
          <w:sz w:val="36"/>
        </w:rPr>
        <w:t>报价单（参考）</w:t>
      </w:r>
    </w:p>
    <w:p w14:paraId="113FB9A4">
      <w:pPr>
        <w:spacing w:line="380" w:lineRule="exact"/>
      </w:pPr>
    </w:p>
    <w:p w14:paraId="4F72C8E8">
      <w:pPr>
        <w:rPr>
          <w:rFonts w:ascii="宋体" w:hAnsi="宋体" w:cs="宋体"/>
          <w:kern w:val="0"/>
          <w:sz w:val="24"/>
        </w:rPr>
      </w:pPr>
      <w:r>
        <w:rPr>
          <w:rFonts w:hint="eastAsia"/>
        </w:rPr>
        <w:t>报价人名称：                                     项目编号∶</w:t>
      </w:r>
      <w:r>
        <w:rPr>
          <w:rFonts w:hint="eastAsia" w:ascii="仿宋_GB2312" w:hAnsi="宋体" w:eastAsia="仿宋_GB2312" w:cs="宋体"/>
          <w:kern w:val="0"/>
          <w:sz w:val="24"/>
        </w:rPr>
        <w:t xml:space="preserve"> </w:t>
      </w:r>
      <w:r>
        <w:rPr>
          <w:rFonts w:hint="eastAsia" w:ascii="宋体" w:hAnsi="宋体" w:eastAsia="仿宋_GB2312" w:cs="宋体"/>
          <w:kern w:val="0"/>
          <w:sz w:val="24"/>
          <w:lang w:eastAsia="zh-CN"/>
        </w:rPr>
        <w:t>XM202</w:t>
      </w:r>
      <w:r>
        <w:rPr>
          <w:rFonts w:hint="eastAsia" w:ascii="宋体" w:hAnsi="宋体" w:eastAsia="仿宋_GB2312" w:cs="宋体"/>
          <w:kern w:val="0"/>
          <w:sz w:val="24"/>
          <w:lang w:val="en-US" w:eastAsia="zh-CN"/>
        </w:rPr>
        <w:t>5</w:t>
      </w:r>
      <w:r>
        <w:rPr>
          <w:rFonts w:hint="eastAsia" w:ascii="宋体" w:hAnsi="宋体" w:eastAsia="仿宋_GB2312" w:cs="宋体"/>
          <w:kern w:val="0"/>
          <w:sz w:val="24"/>
          <w:lang w:eastAsia="zh-CN"/>
        </w:rPr>
        <w:t>-ZYXJ020502D</w:t>
      </w:r>
      <w:r>
        <w:rPr>
          <w:rFonts w:hint="eastAsia" w:ascii="仿宋_GB2312" w:hAnsi="宋体" w:eastAsia="仿宋_GB2312" w:cs="宋体"/>
          <w:kern w:val="0"/>
          <w:sz w:val="24"/>
        </w:rPr>
        <w:t xml:space="preserve">     </w:t>
      </w:r>
      <w:r>
        <w:rPr>
          <w:rFonts w:hint="eastAsia"/>
        </w:rPr>
        <w:t xml:space="preserve">           货币单位：元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757"/>
        <w:gridCol w:w="3368"/>
        <w:gridCol w:w="1842"/>
        <w:gridCol w:w="2268"/>
        <w:gridCol w:w="1985"/>
      </w:tblGrid>
      <w:tr w14:paraId="3E2A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213" w:type="dxa"/>
            <w:tcBorders>
              <w:top w:val="single" w:color="auto" w:sz="4" w:space="0"/>
              <w:left w:val="single" w:color="auto" w:sz="4" w:space="0"/>
              <w:bottom w:val="single" w:color="auto" w:sz="4" w:space="0"/>
              <w:right w:val="single" w:color="auto" w:sz="4" w:space="0"/>
            </w:tcBorders>
            <w:vAlign w:val="center"/>
          </w:tcPr>
          <w:p w14:paraId="4926CD3C">
            <w:pPr>
              <w:spacing w:line="380" w:lineRule="exact"/>
              <w:jc w:val="center"/>
              <w:rPr>
                <w:rFonts w:ascii="宋体" w:hAnsi="宋体"/>
                <w:sz w:val="24"/>
              </w:rPr>
            </w:pPr>
            <w:r>
              <w:rPr>
                <w:rFonts w:hint="eastAsia"/>
              </w:rPr>
              <w:t>序号</w:t>
            </w:r>
          </w:p>
        </w:tc>
        <w:tc>
          <w:tcPr>
            <w:tcW w:w="2757" w:type="dxa"/>
            <w:tcBorders>
              <w:top w:val="single" w:color="auto" w:sz="4" w:space="0"/>
              <w:left w:val="single" w:color="auto" w:sz="4" w:space="0"/>
              <w:bottom w:val="single" w:color="auto" w:sz="4" w:space="0"/>
              <w:right w:val="single" w:color="auto" w:sz="4" w:space="0"/>
            </w:tcBorders>
            <w:vAlign w:val="center"/>
          </w:tcPr>
          <w:p w14:paraId="2E084A24">
            <w:pPr>
              <w:spacing w:line="380" w:lineRule="exact"/>
              <w:jc w:val="center"/>
              <w:rPr>
                <w:rFonts w:ascii="仿宋_GB2312" w:hAnsi="宋体" w:eastAsia="仿宋_GB2312" w:cs="宋体"/>
                <w:kern w:val="0"/>
                <w:sz w:val="24"/>
              </w:rPr>
            </w:pPr>
            <w:r>
              <w:rPr>
                <w:rFonts w:hint="eastAsia" w:ascii="仿宋_GB2312" w:hAnsi="宋体" w:eastAsia="仿宋_GB2312" w:cs="宋体"/>
                <w:kern w:val="0"/>
                <w:sz w:val="24"/>
              </w:rPr>
              <w:t>货物名称规格</w:t>
            </w:r>
          </w:p>
        </w:tc>
        <w:tc>
          <w:tcPr>
            <w:tcW w:w="3368" w:type="dxa"/>
            <w:tcBorders>
              <w:top w:val="single" w:color="auto" w:sz="4" w:space="0"/>
              <w:left w:val="single" w:color="auto" w:sz="4" w:space="0"/>
              <w:bottom w:val="single" w:color="auto" w:sz="4" w:space="0"/>
              <w:right w:val="single" w:color="auto" w:sz="4" w:space="0"/>
            </w:tcBorders>
            <w:vAlign w:val="center"/>
          </w:tcPr>
          <w:p w14:paraId="171A3D33">
            <w:pPr>
              <w:widowControl/>
              <w:spacing w:before="100" w:beforeAutospacing="1" w:after="100" w:afterAutospacing="1"/>
              <w:jc w:val="center"/>
              <w:rPr>
                <w:rFonts w:ascii="仿宋_GB2312" w:hAnsi="宋体" w:eastAsia="仿宋_GB2312" w:cs="宋体"/>
                <w:kern w:val="0"/>
                <w:sz w:val="24"/>
              </w:rPr>
            </w:pPr>
            <w:r>
              <w:rPr>
                <w:rFonts w:hint="eastAsia" w:ascii="仿宋_GB2312" w:hAnsi="宋体" w:eastAsia="仿宋_GB2312" w:cs="宋体"/>
                <w:kern w:val="0"/>
                <w:sz w:val="24"/>
              </w:rPr>
              <w:t>功能参数</w:t>
            </w:r>
          </w:p>
        </w:tc>
        <w:tc>
          <w:tcPr>
            <w:tcW w:w="1842" w:type="dxa"/>
            <w:tcBorders>
              <w:top w:val="single" w:color="auto" w:sz="4" w:space="0"/>
              <w:left w:val="single" w:color="auto" w:sz="4" w:space="0"/>
              <w:bottom w:val="single" w:color="auto" w:sz="4" w:space="0"/>
              <w:right w:val="single" w:color="auto" w:sz="4" w:space="0"/>
            </w:tcBorders>
            <w:vAlign w:val="center"/>
          </w:tcPr>
          <w:p w14:paraId="00F8BDB2">
            <w:pPr>
              <w:spacing w:line="380" w:lineRule="exact"/>
              <w:jc w:val="center"/>
              <w:rPr>
                <w:rFonts w:ascii="宋体" w:hAnsi="宋体"/>
                <w:sz w:val="24"/>
              </w:rPr>
            </w:pPr>
            <w:r>
              <w:rPr>
                <w:rFonts w:hint="eastAsia" w:ascii="宋体" w:hAnsi="宋体"/>
                <w:sz w:val="24"/>
              </w:rPr>
              <w:t>报价</w:t>
            </w:r>
          </w:p>
        </w:tc>
        <w:tc>
          <w:tcPr>
            <w:tcW w:w="2268" w:type="dxa"/>
            <w:tcBorders>
              <w:top w:val="single" w:color="auto" w:sz="4" w:space="0"/>
              <w:left w:val="single" w:color="auto" w:sz="4" w:space="0"/>
              <w:bottom w:val="single" w:color="auto" w:sz="4" w:space="0"/>
              <w:right w:val="single" w:color="auto" w:sz="4" w:space="0"/>
            </w:tcBorders>
            <w:vAlign w:val="center"/>
          </w:tcPr>
          <w:p w14:paraId="5919C9C2">
            <w:pPr>
              <w:spacing w:line="380" w:lineRule="exact"/>
              <w:jc w:val="center"/>
              <w:rPr>
                <w:rFonts w:ascii="宋体" w:hAnsi="宋体"/>
                <w:sz w:val="24"/>
              </w:rPr>
            </w:pPr>
            <w:r>
              <w:rPr>
                <w:rFonts w:hint="eastAsia" w:ascii="宋体" w:hAnsi="宋体"/>
                <w:sz w:val="24"/>
              </w:rPr>
              <w:t>备注</w:t>
            </w:r>
          </w:p>
        </w:tc>
        <w:tc>
          <w:tcPr>
            <w:tcW w:w="1985" w:type="dxa"/>
            <w:tcBorders>
              <w:top w:val="single" w:color="auto" w:sz="4" w:space="0"/>
              <w:left w:val="single" w:color="auto" w:sz="4" w:space="0"/>
              <w:bottom w:val="single" w:color="auto" w:sz="4" w:space="0"/>
              <w:right w:val="single" w:color="auto" w:sz="4" w:space="0"/>
            </w:tcBorders>
            <w:vAlign w:val="center"/>
          </w:tcPr>
          <w:p w14:paraId="55951289">
            <w:pPr>
              <w:spacing w:line="380" w:lineRule="exact"/>
              <w:jc w:val="center"/>
              <w:rPr>
                <w:rFonts w:ascii="宋体" w:hAnsi="宋体"/>
                <w:sz w:val="24"/>
              </w:rPr>
            </w:pPr>
            <w:r>
              <w:rPr>
                <w:rFonts w:hint="eastAsia" w:ascii="宋体" w:hAnsi="宋体"/>
                <w:sz w:val="24"/>
                <w:lang w:val="en-US" w:eastAsia="zh-CN"/>
              </w:rPr>
              <w:t>承诺</w:t>
            </w:r>
            <w:r>
              <w:rPr>
                <w:rFonts w:hint="eastAsia" w:ascii="宋体" w:hAnsi="宋体"/>
                <w:sz w:val="24"/>
              </w:rPr>
              <w:t>供货周期</w:t>
            </w:r>
          </w:p>
        </w:tc>
      </w:tr>
      <w:tr w14:paraId="570A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6E93329E">
            <w:pPr>
              <w:spacing w:line="380" w:lineRule="exact"/>
              <w:jc w:val="center"/>
              <w:rPr>
                <w:rFonts w:ascii="宋体" w:hAnsi="宋体"/>
                <w:sz w:val="24"/>
              </w:rPr>
            </w:pPr>
            <w:r>
              <w:rPr>
                <w:rFonts w:hint="eastAsia" w:ascii="宋体" w:hAnsi="宋体"/>
                <w:sz w:val="24"/>
              </w:rPr>
              <w:t>1</w:t>
            </w:r>
          </w:p>
        </w:tc>
        <w:tc>
          <w:tcPr>
            <w:tcW w:w="2757" w:type="dxa"/>
            <w:tcBorders>
              <w:top w:val="single" w:color="auto" w:sz="4" w:space="0"/>
              <w:left w:val="single" w:color="auto" w:sz="4" w:space="0"/>
              <w:bottom w:val="single" w:color="auto" w:sz="4" w:space="0"/>
              <w:right w:val="single" w:color="auto" w:sz="4" w:space="0"/>
            </w:tcBorders>
            <w:vAlign w:val="center"/>
          </w:tcPr>
          <w:p w14:paraId="79F0BF04">
            <w:pPr>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救援装备</w:t>
            </w:r>
          </w:p>
        </w:tc>
        <w:tc>
          <w:tcPr>
            <w:tcW w:w="3368" w:type="dxa"/>
            <w:tcBorders>
              <w:top w:val="single" w:color="auto" w:sz="4" w:space="0"/>
              <w:left w:val="single" w:color="auto" w:sz="4" w:space="0"/>
              <w:bottom w:val="single" w:color="auto" w:sz="4" w:space="0"/>
              <w:right w:val="single" w:color="auto" w:sz="4" w:space="0"/>
            </w:tcBorders>
            <w:vAlign w:val="center"/>
          </w:tcPr>
          <w:p w14:paraId="3F50BEDF">
            <w:pPr>
              <w:jc w:val="center"/>
              <w:rPr>
                <w:rFonts w:ascii="宋体" w:hAnsi="宋体" w:cs="Arial"/>
                <w:szCs w:val="21"/>
              </w:rPr>
            </w:pPr>
            <w:r>
              <w:rPr>
                <w:rFonts w:hint="eastAsia" w:ascii="宋体" w:hAnsi="宋体" w:cs="Arial"/>
                <w:szCs w:val="21"/>
              </w:rPr>
              <w:t>一批</w:t>
            </w:r>
          </w:p>
        </w:tc>
        <w:tc>
          <w:tcPr>
            <w:tcW w:w="1842" w:type="dxa"/>
            <w:tcBorders>
              <w:top w:val="single" w:color="auto" w:sz="4" w:space="0"/>
              <w:left w:val="single" w:color="auto" w:sz="4" w:space="0"/>
              <w:bottom w:val="single" w:color="auto" w:sz="4" w:space="0"/>
              <w:right w:val="single" w:color="auto" w:sz="4" w:space="0"/>
            </w:tcBorders>
            <w:vAlign w:val="center"/>
          </w:tcPr>
          <w:p w14:paraId="4D25A301">
            <w:pPr>
              <w:spacing w:line="38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6132893">
            <w:pPr>
              <w:spacing w:line="380" w:lineRule="exac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421EC8AB">
            <w:pPr>
              <w:spacing w:line="380" w:lineRule="exact"/>
              <w:rPr>
                <w:rFonts w:ascii="宋体" w:hAnsi="宋体"/>
                <w:sz w:val="24"/>
              </w:rPr>
            </w:pPr>
          </w:p>
        </w:tc>
      </w:tr>
      <w:tr w14:paraId="6DC7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187D815F">
            <w:pPr>
              <w:spacing w:line="380" w:lineRule="exact"/>
              <w:jc w:val="center"/>
              <w:rPr>
                <w:rFonts w:ascii="宋体" w:hAnsi="宋体"/>
                <w:sz w:val="24"/>
              </w:rPr>
            </w:pPr>
            <w:r>
              <w:rPr>
                <w:rFonts w:hint="eastAsia" w:ascii="宋体" w:hAnsi="宋体"/>
                <w:sz w:val="24"/>
              </w:rPr>
              <w:t>2</w:t>
            </w:r>
          </w:p>
        </w:tc>
        <w:tc>
          <w:tcPr>
            <w:tcW w:w="2757" w:type="dxa"/>
            <w:tcBorders>
              <w:top w:val="single" w:color="auto" w:sz="4" w:space="0"/>
              <w:left w:val="single" w:color="auto" w:sz="4" w:space="0"/>
              <w:bottom w:val="single" w:color="auto" w:sz="4" w:space="0"/>
              <w:right w:val="single" w:color="auto" w:sz="4" w:space="0"/>
            </w:tcBorders>
            <w:vAlign w:val="center"/>
          </w:tcPr>
          <w:p w14:paraId="0F195ADB">
            <w:pPr>
              <w:jc w:val="center"/>
              <w:rPr>
                <w:rFonts w:ascii="仿宋_GB2312" w:hAnsi="宋体" w:eastAsia="仿宋_GB2312" w:cs="宋体"/>
                <w:kern w:val="0"/>
                <w:sz w:val="24"/>
              </w:rPr>
            </w:pPr>
          </w:p>
        </w:tc>
        <w:tc>
          <w:tcPr>
            <w:tcW w:w="3368" w:type="dxa"/>
            <w:tcBorders>
              <w:top w:val="single" w:color="auto" w:sz="4" w:space="0"/>
              <w:left w:val="single" w:color="auto" w:sz="4" w:space="0"/>
              <w:bottom w:val="single" w:color="auto" w:sz="4" w:space="0"/>
              <w:right w:val="single" w:color="auto" w:sz="4" w:space="0"/>
            </w:tcBorders>
            <w:vAlign w:val="center"/>
          </w:tcPr>
          <w:p w14:paraId="2639675E">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031930C0">
            <w:pPr>
              <w:spacing w:line="38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97C6612">
            <w:pPr>
              <w:spacing w:line="380" w:lineRule="exac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1DCE236">
            <w:pPr>
              <w:spacing w:line="380" w:lineRule="exact"/>
              <w:rPr>
                <w:rFonts w:ascii="宋体" w:hAnsi="宋体"/>
                <w:sz w:val="24"/>
              </w:rPr>
            </w:pPr>
          </w:p>
        </w:tc>
      </w:tr>
      <w:tr w14:paraId="653F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23CA1160">
            <w:pPr>
              <w:spacing w:line="380" w:lineRule="exact"/>
              <w:jc w:val="center"/>
              <w:rPr>
                <w:rFonts w:ascii="宋体" w:hAnsi="宋体"/>
                <w:sz w:val="24"/>
              </w:rPr>
            </w:pPr>
            <w:r>
              <w:rPr>
                <w:rFonts w:hint="eastAsia" w:ascii="宋体" w:hAnsi="宋体"/>
                <w:sz w:val="24"/>
              </w:rPr>
              <w:t>3</w:t>
            </w:r>
          </w:p>
        </w:tc>
        <w:tc>
          <w:tcPr>
            <w:tcW w:w="2757" w:type="dxa"/>
            <w:tcBorders>
              <w:top w:val="single" w:color="auto" w:sz="4" w:space="0"/>
              <w:left w:val="single" w:color="auto" w:sz="4" w:space="0"/>
              <w:bottom w:val="single" w:color="auto" w:sz="4" w:space="0"/>
              <w:right w:val="single" w:color="auto" w:sz="4" w:space="0"/>
            </w:tcBorders>
            <w:vAlign w:val="center"/>
          </w:tcPr>
          <w:p w14:paraId="53398804">
            <w:pPr>
              <w:jc w:val="center"/>
              <w:rPr>
                <w:rFonts w:ascii="宋体" w:hAnsi="宋体" w:cs="宋体"/>
                <w:sz w:val="24"/>
              </w:rPr>
            </w:pPr>
          </w:p>
        </w:tc>
        <w:tc>
          <w:tcPr>
            <w:tcW w:w="3368" w:type="dxa"/>
            <w:tcBorders>
              <w:top w:val="single" w:color="auto" w:sz="4" w:space="0"/>
              <w:left w:val="single" w:color="auto" w:sz="4" w:space="0"/>
              <w:bottom w:val="single" w:color="auto" w:sz="4" w:space="0"/>
              <w:right w:val="single" w:color="auto" w:sz="4" w:space="0"/>
            </w:tcBorders>
            <w:vAlign w:val="center"/>
          </w:tcPr>
          <w:p w14:paraId="06FB5FBD">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1137523B">
            <w:pPr>
              <w:spacing w:line="38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020D24E">
            <w:pPr>
              <w:spacing w:line="380" w:lineRule="exac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172FF80">
            <w:pPr>
              <w:spacing w:line="380" w:lineRule="exact"/>
              <w:rPr>
                <w:rFonts w:ascii="宋体" w:hAnsi="宋体"/>
                <w:sz w:val="24"/>
              </w:rPr>
            </w:pPr>
          </w:p>
        </w:tc>
      </w:tr>
      <w:tr w14:paraId="52D8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5FEB263F">
            <w:pPr>
              <w:spacing w:line="380" w:lineRule="exact"/>
              <w:jc w:val="center"/>
              <w:rPr>
                <w:rFonts w:ascii="宋体" w:hAnsi="宋体"/>
                <w:sz w:val="24"/>
              </w:rPr>
            </w:pPr>
            <w:r>
              <w:rPr>
                <w:rFonts w:hint="eastAsia" w:ascii="宋体" w:hAnsi="宋体"/>
                <w:sz w:val="24"/>
              </w:rPr>
              <w:t>4</w:t>
            </w:r>
          </w:p>
        </w:tc>
        <w:tc>
          <w:tcPr>
            <w:tcW w:w="2757" w:type="dxa"/>
            <w:tcBorders>
              <w:top w:val="single" w:color="auto" w:sz="4" w:space="0"/>
              <w:left w:val="single" w:color="auto" w:sz="4" w:space="0"/>
              <w:bottom w:val="single" w:color="auto" w:sz="4" w:space="0"/>
              <w:right w:val="single" w:color="auto" w:sz="4" w:space="0"/>
            </w:tcBorders>
            <w:vAlign w:val="center"/>
          </w:tcPr>
          <w:p w14:paraId="35AC9B2B">
            <w:pPr>
              <w:jc w:val="center"/>
              <w:rPr>
                <w:rFonts w:ascii="宋体" w:hAnsi="宋体" w:cs="宋体"/>
                <w:sz w:val="24"/>
              </w:rPr>
            </w:pPr>
          </w:p>
        </w:tc>
        <w:tc>
          <w:tcPr>
            <w:tcW w:w="3368" w:type="dxa"/>
            <w:tcBorders>
              <w:top w:val="single" w:color="auto" w:sz="4" w:space="0"/>
              <w:left w:val="single" w:color="auto" w:sz="4" w:space="0"/>
              <w:bottom w:val="single" w:color="auto" w:sz="4" w:space="0"/>
              <w:right w:val="single" w:color="auto" w:sz="4" w:space="0"/>
            </w:tcBorders>
            <w:vAlign w:val="center"/>
          </w:tcPr>
          <w:p w14:paraId="52B015B5">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76E7298C">
            <w:pPr>
              <w:spacing w:line="38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B37C4A1">
            <w:pPr>
              <w:spacing w:line="380" w:lineRule="exac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1E5D409A">
            <w:pPr>
              <w:spacing w:line="380" w:lineRule="exact"/>
              <w:rPr>
                <w:rFonts w:ascii="宋体" w:hAnsi="宋体"/>
                <w:sz w:val="24"/>
              </w:rPr>
            </w:pPr>
          </w:p>
        </w:tc>
      </w:tr>
      <w:tr w14:paraId="3FCA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59B3D5EC">
            <w:pPr>
              <w:spacing w:line="380" w:lineRule="exact"/>
              <w:jc w:val="center"/>
              <w:rPr>
                <w:rFonts w:ascii="宋体" w:hAnsi="宋体"/>
                <w:sz w:val="24"/>
              </w:rPr>
            </w:pPr>
            <w:r>
              <w:rPr>
                <w:rFonts w:hint="eastAsia" w:ascii="宋体" w:hAnsi="宋体"/>
                <w:sz w:val="24"/>
              </w:rPr>
              <w:t>5</w:t>
            </w:r>
          </w:p>
        </w:tc>
        <w:tc>
          <w:tcPr>
            <w:tcW w:w="2757" w:type="dxa"/>
            <w:tcBorders>
              <w:top w:val="single" w:color="auto" w:sz="4" w:space="0"/>
              <w:left w:val="single" w:color="auto" w:sz="4" w:space="0"/>
              <w:bottom w:val="single" w:color="auto" w:sz="4" w:space="0"/>
              <w:right w:val="single" w:color="auto" w:sz="4" w:space="0"/>
            </w:tcBorders>
            <w:vAlign w:val="center"/>
          </w:tcPr>
          <w:p w14:paraId="651F0FF0">
            <w:pPr>
              <w:jc w:val="center"/>
            </w:pPr>
          </w:p>
        </w:tc>
        <w:tc>
          <w:tcPr>
            <w:tcW w:w="3368" w:type="dxa"/>
            <w:tcBorders>
              <w:top w:val="single" w:color="auto" w:sz="4" w:space="0"/>
              <w:left w:val="single" w:color="auto" w:sz="4" w:space="0"/>
              <w:bottom w:val="single" w:color="auto" w:sz="4" w:space="0"/>
              <w:right w:val="single" w:color="auto" w:sz="4" w:space="0"/>
            </w:tcBorders>
            <w:vAlign w:val="center"/>
          </w:tcPr>
          <w:p w14:paraId="1FEBED36">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5B1F45E5">
            <w:pPr>
              <w:spacing w:line="38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058838C">
            <w:pPr>
              <w:spacing w:line="380" w:lineRule="exac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22D1E35A">
            <w:pPr>
              <w:spacing w:line="380" w:lineRule="exact"/>
              <w:rPr>
                <w:rFonts w:ascii="宋体" w:hAnsi="宋体"/>
                <w:sz w:val="24"/>
              </w:rPr>
            </w:pPr>
          </w:p>
        </w:tc>
      </w:tr>
      <w:tr w14:paraId="7DC6E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213" w:type="dxa"/>
            <w:tcBorders>
              <w:top w:val="single" w:color="auto" w:sz="4" w:space="0"/>
              <w:left w:val="single" w:color="auto" w:sz="4" w:space="0"/>
              <w:bottom w:val="single" w:color="auto" w:sz="4" w:space="0"/>
              <w:right w:val="single" w:color="auto" w:sz="4" w:space="0"/>
            </w:tcBorders>
            <w:vAlign w:val="center"/>
          </w:tcPr>
          <w:p w14:paraId="57FAE662">
            <w:pPr>
              <w:spacing w:line="380" w:lineRule="exact"/>
              <w:jc w:val="center"/>
              <w:rPr>
                <w:rFonts w:ascii="宋体" w:hAnsi="宋体"/>
                <w:sz w:val="24"/>
              </w:rPr>
            </w:pPr>
            <w:r>
              <w:rPr>
                <w:rFonts w:hint="eastAsia" w:ascii="宋体" w:hAnsi="宋体"/>
                <w:sz w:val="24"/>
              </w:rPr>
              <w:t>6</w:t>
            </w:r>
          </w:p>
        </w:tc>
        <w:tc>
          <w:tcPr>
            <w:tcW w:w="2757" w:type="dxa"/>
            <w:tcBorders>
              <w:top w:val="single" w:color="auto" w:sz="4" w:space="0"/>
              <w:left w:val="single" w:color="auto" w:sz="4" w:space="0"/>
              <w:bottom w:val="single" w:color="auto" w:sz="4" w:space="0"/>
              <w:right w:val="single" w:color="auto" w:sz="4" w:space="0"/>
            </w:tcBorders>
            <w:vAlign w:val="center"/>
          </w:tcPr>
          <w:p w14:paraId="5E090307">
            <w:pPr>
              <w:jc w:val="center"/>
            </w:pPr>
          </w:p>
        </w:tc>
        <w:tc>
          <w:tcPr>
            <w:tcW w:w="3368" w:type="dxa"/>
            <w:tcBorders>
              <w:top w:val="single" w:color="auto" w:sz="4" w:space="0"/>
              <w:left w:val="single" w:color="auto" w:sz="4" w:space="0"/>
              <w:bottom w:val="single" w:color="auto" w:sz="4" w:space="0"/>
              <w:right w:val="single" w:color="auto" w:sz="4" w:space="0"/>
            </w:tcBorders>
            <w:vAlign w:val="center"/>
          </w:tcPr>
          <w:p w14:paraId="27EAB2F2">
            <w:pPr>
              <w:jc w:val="center"/>
              <w:rPr>
                <w:rFonts w:ascii="宋体" w:hAnsi="宋体" w:cs="Arial"/>
                <w:szCs w:val="21"/>
              </w:rPr>
            </w:pPr>
          </w:p>
        </w:tc>
        <w:tc>
          <w:tcPr>
            <w:tcW w:w="1842" w:type="dxa"/>
            <w:tcBorders>
              <w:top w:val="single" w:color="auto" w:sz="4" w:space="0"/>
              <w:left w:val="single" w:color="auto" w:sz="4" w:space="0"/>
              <w:bottom w:val="single" w:color="auto" w:sz="4" w:space="0"/>
              <w:right w:val="single" w:color="auto" w:sz="4" w:space="0"/>
            </w:tcBorders>
            <w:vAlign w:val="center"/>
          </w:tcPr>
          <w:p w14:paraId="3F08D49A">
            <w:pPr>
              <w:spacing w:line="380" w:lineRule="exact"/>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3EAD799">
            <w:pPr>
              <w:spacing w:line="380" w:lineRule="exac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14:paraId="01745537">
            <w:pPr>
              <w:spacing w:line="380" w:lineRule="exact"/>
              <w:rPr>
                <w:rFonts w:ascii="宋体" w:hAnsi="宋体"/>
                <w:sz w:val="24"/>
              </w:rPr>
            </w:pPr>
          </w:p>
        </w:tc>
      </w:tr>
    </w:tbl>
    <w:p w14:paraId="4A62CB38">
      <w:pPr>
        <w:spacing w:line="380" w:lineRule="exact"/>
        <w:rPr>
          <w:b/>
        </w:rPr>
      </w:pPr>
      <w:r>
        <w:rPr>
          <w:rFonts w:hint="eastAsia"/>
          <w:b/>
        </w:rPr>
        <w:t>报价人提交的报价文件中与本询价函的要求有不同时，应在报价文件中特别说明，否则视为报价人接受本询价函的所有要求。报价人存在弄虚作假行为的，将依法承担相应的法律责任。</w:t>
      </w:r>
    </w:p>
    <w:p w14:paraId="4537593B">
      <w:pPr>
        <w:spacing w:line="380" w:lineRule="exact"/>
        <w:rPr>
          <w:b/>
        </w:rPr>
      </w:pPr>
      <w:r>
        <w:rPr>
          <w:rFonts w:hint="eastAsia"/>
          <w:b/>
        </w:rPr>
        <w:t xml:space="preserve">                                                                                                      </w:t>
      </w:r>
    </w:p>
    <w:p w14:paraId="7930FB5F">
      <w:pPr>
        <w:spacing w:line="380" w:lineRule="exact"/>
        <w:ind w:firstLine="9830" w:firstLineChars="4681"/>
        <w:rPr>
          <w:b/>
        </w:rPr>
      </w:pPr>
      <w:r>
        <w:rPr>
          <w:rFonts w:hint="eastAsia"/>
          <w:b/>
        </w:rPr>
        <w:t>报价人盖章：</w:t>
      </w:r>
    </w:p>
    <w:p w14:paraId="2019DCEF">
      <w:pPr>
        <w:spacing w:line="380" w:lineRule="exact"/>
        <w:ind w:firstLine="9830" w:firstLineChars="4681"/>
        <w:rPr>
          <w:rFonts w:hint="eastAsia"/>
          <w:b/>
        </w:rPr>
      </w:pPr>
      <w:r>
        <w:rPr>
          <w:rFonts w:hint="eastAsia"/>
          <w:b/>
        </w:rPr>
        <w:t>报价人联系方式：</w:t>
      </w:r>
    </w:p>
    <w:p w14:paraId="7D90AEB7">
      <w:pPr>
        <w:spacing w:line="380" w:lineRule="exact"/>
        <w:ind w:firstLine="9830" w:firstLineChars="4681"/>
        <w:rPr>
          <w:rFonts w:hint="eastAsia"/>
          <w:b/>
          <w:lang w:val="en-US" w:eastAsia="zh-CN"/>
        </w:rPr>
      </w:pPr>
      <w:r>
        <w:rPr>
          <w:rFonts w:hint="eastAsia"/>
          <w:b/>
          <w:lang w:val="en-US" w:eastAsia="zh-CN"/>
        </w:rPr>
        <w:t>报价时间：</w:t>
      </w:r>
    </w:p>
    <w:p w14:paraId="61C7E26B">
      <w:pPr>
        <w:spacing w:line="380" w:lineRule="exact"/>
        <w:ind w:firstLine="9830" w:firstLineChars="4681"/>
        <w:rPr>
          <w:rFonts w:hint="default"/>
          <w:b/>
          <w:lang w:val="en-US" w:eastAsia="zh-CN"/>
        </w:rPr>
      </w:pPr>
      <w:r>
        <w:rPr>
          <w:rFonts w:hint="eastAsia"/>
          <w:b/>
          <w:lang w:val="en-US" w:eastAsia="zh-CN"/>
        </w:rPr>
        <w:t>报价有效期：</w:t>
      </w:r>
    </w:p>
    <w:p w14:paraId="6A1C09EE"/>
    <w:p w14:paraId="76C689B7"/>
    <w:p w14:paraId="7D232665"/>
    <w:p w14:paraId="6CA15318">
      <w:pPr>
        <w:pStyle w:val="13"/>
        <w:jc w:val="left"/>
        <w:rPr>
          <w:rFonts w:hint="eastAsia" w:ascii="仿宋_GB2312" w:hAnsi="宋体" w:eastAsia="仿宋_GB2312" w:cs="宋体"/>
          <w:kern w:val="0"/>
          <w:sz w:val="24"/>
        </w:rPr>
      </w:pPr>
      <w:r>
        <w:rPr>
          <w:rFonts w:hint="eastAsia" w:ascii="仿宋_GB2312" w:hAnsi="宋体" w:eastAsia="仿宋_GB2312" w:cs="宋体"/>
          <w:kern w:val="0"/>
          <w:sz w:val="24"/>
        </w:rPr>
        <w:t>附件2：</w:t>
      </w:r>
      <w:r>
        <w:rPr>
          <w:rFonts w:hint="eastAsia" w:ascii="仿宋_GB2312" w:hAnsi="宋体" w:eastAsia="仿宋_GB2312" w:cs="宋体"/>
          <w:kern w:val="0"/>
          <w:sz w:val="24"/>
          <w:lang w:eastAsia="zh-CN"/>
        </w:rPr>
        <w:t>救援装备</w:t>
      </w:r>
      <w:r>
        <w:rPr>
          <w:rFonts w:hint="eastAsia" w:ascii="仿宋_GB2312" w:hAnsi="宋体" w:eastAsia="仿宋_GB2312" w:cs="宋体"/>
          <w:kern w:val="0"/>
          <w:sz w:val="24"/>
        </w:rPr>
        <w:t>清单报价</w:t>
      </w:r>
    </w:p>
    <w:tbl>
      <w:tblPr>
        <w:tblStyle w:val="8"/>
        <w:tblW w:w="155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07"/>
        <w:gridCol w:w="2191"/>
        <w:gridCol w:w="4489"/>
        <w:gridCol w:w="624"/>
        <w:gridCol w:w="675"/>
        <w:gridCol w:w="1187"/>
        <w:gridCol w:w="1536"/>
        <w:gridCol w:w="984"/>
        <w:gridCol w:w="1253"/>
        <w:gridCol w:w="2123"/>
      </w:tblGrid>
      <w:tr w14:paraId="6CD8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5" w:hRule="atLeast"/>
          <w:jc w:val="center"/>
        </w:trPr>
        <w:tc>
          <w:tcPr>
            <w:tcW w:w="507" w:type="dxa"/>
            <w:tcBorders>
              <w:tl2br w:val="nil"/>
              <w:tr2bl w:val="nil"/>
            </w:tcBorders>
            <w:shd w:val="clear" w:color="auto" w:fill="FFFFFF"/>
            <w:vAlign w:val="center"/>
          </w:tcPr>
          <w:p w14:paraId="55D4EC5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2191" w:type="dxa"/>
            <w:tcBorders>
              <w:tl2br w:val="nil"/>
              <w:tr2bl w:val="nil"/>
            </w:tcBorders>
            <w:shd w:val="clear" w:color="auto" w:fill="FFFFFF"/>
            <w:vAlign w:val="center"/>
          </w:tcPr>
          <w:p w14:paraId="76F7C4B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产品名称</w:t>
            </w:r>
          </w:p>
        </w:tc>
        <w:tc>
          <w:tcPr>
            <w:tcW w:w="4489" w:type="dxa"/>
            <w:tcBorders>
              <w:tl2br w:val="nil"/>
              <w:tr2bl w:val="nil"/>
            </w:tcBorders>
            <w:shd w:val="clear" w:color="auto" w:fill="FFFFFF"/>
            <w:vAlign w:val="center"/>
          </w:tcPr>
          <w:p w14:paraId="747E639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规格及材质</w:t>
            </w:r>
          </w:p>
        </w:tc>
        <w:tc>
          <w:tcPr>
            <w:tcW w:w="624" w:type="dxa"/>
            <w:tcBorders>
              <w:tl2br w:val="nil"/>
              <w:tr2bl w:val="nil"/>
            </w:tcBorders>
            <w:shd w:val="clear" w:color="auto" w:fill="FFFFFF"/>
            <w:vAlign w:val="center"/>
          </w:tcPr>
          <w:p w14:paraId="1D34AAA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75" w:type="dxa"/>
            <w:tcBorders>
              <w:tl2br w:val="nil"/>
              <w:tr2bl w:val="nil"/>
            </w:tcBorders>
            <w:shd w:val="clear" w:color="auto" w:fill="FFFFFF"/>
            <w:vAlign w:val="center"/>
          </w:tcPr>
          <w:p w14:paraId="255EBC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187" w:type="dxa"/>
            <w:tcBorders>
              <w:tl2br w:val="nil"/>
              <w:tr2bl w:val="nil"/>
            </w:tcBorders>
            <w:shd w:val="clear" w:color="auto" w:fill="FFFFFF"/>
            <w:vAlign w:val="center"/>
          </w:tcPr>
          <w:p w14:paraId="1C32ECF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限价（元）</w:t>
            </w:r>
          </w:p>
        </w:tc>
        <w:tc>
          <w:tcPr>
            <w:tcW w:w="1536" w:type="dxa"/>
            <w:tcBorders>
              <w:tl2br w:val="nil"/>
              <w:tr2bl w:val="nil"/>
            </w:tcBorders>
            <w:shd w:val="clear" w:color="auto" w:fill="FFFFFF"/>
            <w:vAlign w:val="center"/>
          </w:tcPr>
          <w:p w14:paraId="5DD461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小计（元）</w:t>
            </w:r>
          </w:p>
        </w:tc>
        <w:tc>
          <w:tcPr>
            <w:tcW w:w="984" w:type="dxa"/>
            <w:tcBorders>
              <w:tl2br w:val="nil"/>
              <w:tr2bl w:val="nil"/>
            </w:tcBorders>
            <w:shd w:val="clear" w:color="auto" w:fill="FFFFFF"/>
            <w:vAlign w:val="center"/>
          </w:tcPr>
          <w:p w14:paraId="77656E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报价（元）</w:t>
            </w:r>
          </w:p>
        </w:tc>
        <w:tc>
          <w:tcPr>
            <w:tcW w:w="1253" w:type="dxa"/>
            <w:tcBorders>
              <w:tl2br w:val="nil"/>
              <w:tr2bl w:val="nil"/>
            </w:tcBorders>
            <w:shd w:val="clear" w:color="auto" w:fill="FFFFFF"/>
            <w:vAlign w:val="center"/>
          </w:tcPr>
          <w:p w14:paraId="7D8D9828">
            <w:pPr>
              <w:keepNext w:val="0"/>
              <w:keepLines w:val="0"/>
              <w:widowControl/>
              <w:suppressLineNumbers w:val="0"/>
              <w:ind w:right="249" w:rightChars="119"/>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小计（元）</w:t>
            </w:r>
          </w:p>
        </w:tc>
        <w:tc>
          <w:tcPr>
            <w:tcW w:w="2123" w:type="dxa"/>
            <w:tcBorders>
              <w:tl2br w:val="nil"/>
              <w:tr2bl w:val="nil"/>
            </w:tcBorders>
            <w:shd w:val="clear" w:color="auto" w:fill="FFFFFF"/>
            <w:noWrap/>
            <w:vAlign w:val="center"/>
          </w:tcPr>
          <w:p w14:paraId="18151D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参考图片</w:t>
            </w:r>
          </w:p>
        </w:tc>
      </w:tr>
      <w:tr w14:paraId="091B4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4" w:hRule="atLeast"/>
          <w:jc w:val="center"/>
        </w:trPr>
        <w:tc>
          <w:tcPr>
            <w:tcW w:w="507" w:type="dxa"/>
            <w:tcBorders>
              <w:tl2br w:val="nil"/>
              <w:tr2bl w:val="nil"/>
            </w:tcBorders>
            <w:shd w:val="clear" w:color="auto" w:fill="FFFFFF"/>
            <w:vAlign w:val="center"/>
          </w:tcPr>
          <w:p w14:paraId="2F3353A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2191" w:type="dxa"/>
            <w:tcBorders>
              <w:tl2br w:val="nil"/>
              <w:tr2bl w:val="nil"/>
            </w:tcBorders>
            <w:shd w:val="clear" w:color="auto" w:fill="FFFFFF"/>
            <w:vAlign w:val="center"/>
          </w:tcPr>
          <w:p w14:paraId="48B6825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杰尔曼20款抢险救援服 (夏款 )</w:t>
            </w:r>
          </w:p>
        </w:tc>
        <w:tc>
          <w:tcPr>
            <w:tcW w:w="4489" w:type="dxa"/>
            <w:tcBorders>
              <w:tl2br w:val="nil"/>
              <w:tr2bl w:val="nil"/>
            </w:tcBorders>
            <w:shd w:val="clear" w:color="auto" w:fill="FFFFFF"/>
            <w:vAlign w:val="center"/>
          </w:tcPr>
          <w:p w14:paraId="08AF453F">
            <w:pPr>
              <w:widowControl/>
              <w:numPr>
                <w:ilvl w:val="0"/>
                <w:numId w:val="1"/>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符合XF633-2006《消防员抢险救援防护服装》标准要求，需提供国家级消防研究所出具的检验报告复印件</w:t>
            </w:r>
          </w:p>
          <w:p w14:paraId="6527AA68">
            <w:pPr>
              <w:widowControl/>
              <w:numPr>
                <w:numId w:val="0"/>
              </w:numPr>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r>
              <w:rPr>
                <w:rFonts w:hint="default" w:ascii="宋体" w:hAnsi="宋体" w:eastAsia="宋体" w:cs="宋体"/>
                <w:kern w:val="0"/>
                <w:sz w:val="20"/>
                <w:szCs w:val="20"/>
                <w:lang w:val="en-US" w:eastAsia="zh-CN"/>
              </w:rPr>
              <w:t>款式</w:t>
            </w:r>
            <w:r>
              <w:rPr>
                <w:rFonts w:hint="eastAsia" w:ascii="宋体" w:hAnsi="宋体" w:cs="宋体"/>
                <w:kern w:val="0"/>
                <w:sz w:val="20"/>
                <w:szCs w:val="20"/>
                <w:lang w:val="en-US" w:eastAsia="zh-CN"/>
              </w:rPr>
              <w:t>：</w:t>
            </w:r>
          </w:p>
          <w:p w14:paraId="724B86D3">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2.1服装款式、号型符合国家消防救援局最新统型要求。</w:t>
            </w:r>
          </w:p>
          <w:p w14:paraId="343E4C30">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2.2颜色：抢险救援防护服主体颜色为橘红色，肩背部、口袋袋盖为火焰蓝色。</w:t>
            </w:r>
          </w:p>
          <w:p w14:paraId="3F1091D8">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2.3服装面料采用单层织物，为原液染色芳纶、阻燃粘胶纤维等交织而成的双重组织。具有防静电、阻燃、轻便、柔软、弹性、抗拉力强，外层防水拒油里层吸湿排汗等性能。克重：（200±10）g/m2。</w:t>
            </w:r>
          </w:p>
          <w:p w14:paraId="7A56EB29">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2.4拉链：上衣前门襟和裤子前襟处采用了不小于8号的树脂拉链，颜色为橘红色。</w:t>
            </w:r>
          </w:p>
          <w:p w14:paraId="1C9C0FF0">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t>技术要求</w:t>
            </w:r>
            <w:r>
              <w:rPr>
                <w:rFonts w:hint="eastAsia" w:ascii="宋体" w:hAnsi="宋体" w:cs="宋体"/>
                <w:kern w:val="0"/>
                <w:sz w:val="20"/>
                <w:szCs w:val="20"/>
                <w:lang w:val="en-US" w:eastAsia="zh-CN"/>
              </w:rPr>
              <w:t>：</w:t>
            </w:r>
          </w:p>
          <w:p w14:paraId="3F7F6A4F">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3.1阻燃性能: 经纬向损毁长度≤40mm，续燃时间为0s，且无熔融、滴落现象；</w:t>
            </w:r>
          </w:p>
          <w:p w14:paraId="02576A8A">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3.2断裂强力:经向断裂强力≥800N；纬向断裂强力≥800N；</w:t>
            </w:r>
          </w:p>
          <w:p w14:paraId="6D859438">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3.3撕破强力：面料经向撕破强力≥200N、纬向撕破强力≥200N；</w:t>
            </w:r>
          </w:p>
          <w:p w14:paraId="229AD020">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3.4接缝强力：≥700N；</w:t>
            </w:r>
          </w:p>
          <w:p w14:paraId="1DB58DBB">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3.5热稳定性能：经（180±5）°C热稳定性能试验后，沿经、纬方向尺寸变化率≤1%，且试样表面应无明显变化。</w:t>
            </w:r>
          </w:p>
          <w:p w14:paraId="593B4059">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3.7橘红和火焰蓝两种面料色牢度：面料的耐水摩擦色牢度、耐洗沾色色牢度、耐光色牢度不小于4级；</w:t>
            </w:r>
          </w:p>
          <w:p w14:paraId="73E44C89">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3.8针距密度：明暗线≥12针/3cm，包缝线≥9针/3cm；</w:t>
            </w:r>
          </w:p>
          <w:p w14:paraId="522710B3">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3.9防静电性能：≤0.5μC。</w:t>
            </w:r>
          </w:p>
          <w:p w14:paraId="7C96000F">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3.10质量：≤1.2kg</w:t>
            </w:r>
          </w:p>
        </w:tc>
        <w:tc>
          <w:tcPr>
            <w:tcW w:w="624" w:type="dxa"/>
            <w:tcBorders>
              <w:tl2br w:val="nil"/>
              <w:tr2bl w:val="nil"/>
            </w:tcBorders>
            <w:shd w:val="clear" w:color="auto" w:fill="FFFFFF"/>
            <w:noWrap/>
            <w:vAlign w:val="center"/>
          </w:tcPr>
          <w:p w14:paraId="089B8161">
            <w:pPr>
              <w:widowControl/>
              <w:jc w:val="center"/>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套</w:t>
            </w:r>
          </w:p>
        </w:tc>
        <w:tc>
          <w:tcPr>
            <w:tcW w:w="675" w:type="dxa"/>
            <w:tcBorders>
              <w:tl2br w:val="nil"/>
              <w:tr2bl w:val="nil"/>
            </w:tcBorders>
            <w:shd w:val="clear" w:color="auto" w:fill="FFFFFF"/>
            <w:noWrap/>
            <w:vAlign w:val="center"/>
          </w:tcPr>
          <w:p w14:paraId="0A3D440C">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1187" w:type="dxa"/>
            <w:tcBorders>
              <w:tl2br w:val="nil"/>
              <w:tr2bl w:val="nil"/>
            </w:tcBorders>
            <w:shd w:val="clear" w:color="auto" w:fill="FFFFFF"/>
            <w:noWrap/>
            <w:vAlign w:val="center"/>
          </w:tcPr>
          <w:p w14:paraId="0511234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780.00</w:t>
            </w:r>
          </w:p>
        </w:tc>
        <w:tc>
          <w:tcPr>
            <w:tcW w:w="1536" w:type="dxa"/>
            <w:tcBorders>
              <w:tl2br w:val="nil"/>
              <w:tr2bl w:val="nil"/>
            </w:tcBorders>
            <w:shd w:val="clear" w:color="auto" w:fill="FFFFFF"/>
            <w:noWrap/>
            <w:vAlign w:val="center"/>
          </w:tcPr>
          <w:p w14:paraId="1530A1CA">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18720.00</w:t>
            </w:r>
          </w:p>
        </w:tc>
        <w:tc>
          <w:tcPr>
            <w:tcW w:w="984" w:type="dxa"/>
            <w:tcBorders>
              <w:tl2br w:val="nil"/>
              <w:tr2bl w:val="nil"/>
            </w:tcBorders>
            <w:shd w:val="clear" w:color="auto" w:fill="FFFFFF"/>
            <w:noWrap/>
            <w:vAlign w:val="center"/>
          </w:tcPr>
          <w:p w14:paraId="4D918F6B">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5D30ADC3">
            <w:pP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30ABB08C">
            <w:pPr>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drawing>
                <wp:inline distT="0" distB="0" distL="114300" distR="114300">
                  <wp:extent cx="1060450" cy="2311400"/>
                  <wp:effectExtent l="0" t="0" r="6350" b="5080"/>
                  <wp:docPr id="6" name="图片 6" descr="8ac0e353277f08bb1a6e367fbe2a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ac0e353277f08bb1a6e367fbe2a111"/>
                          <pic:cNvPicPr>
                            <a:picLocks noChangeAspect="1"/>
                          </pic:cNvPicPr>
                        </pic:nvPicPr>
                        <pic:blipFill>
                          <a:blip r:embed="rId7"/>
                          <a:stretch>
                            <a:fillRect/>
                          </a:stretch>
                        </pic:blipFill>
                        <pic:spPr>
                          <a:xfrm>
                            <a:off x="0" y="0"/>
                            <a:ext cx="1060450" cy="2311400"/>
                          </a:xfrm>
                          <a:prstGeom prst="rect">
                            <a:avLst/>
                          </a:prstGeom>
                        </pic:spPr>
                      </pic:pic>
                    </a:graphicData>
                  </a:graphic>
                </wp:inline>
              </w:drawing>
            </w:r>
          </w:p>
        </w:tc>
      </w:tr>
      <w:tr w14:paraId="43D8A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4" w:hRule="atLeast"/>
          <w:jc w:val="center"/>
        </w:trPr>
        <w:tc>
          <w:tcPr>
            <w:tcW w:w="507" w:type="dxa"/>
            <w:tcBorders>
              <w:tl2br w:val="nil"/>
              <w:tr2bl w:val="nil"/>
            </w:tcBorders>
            <w:shd w:val="clear" w:color="auto" w:fill="FFFFFF"/>
            <w:vAlign w:val="center"/>
          </w:tcPr>
          <w:p w14:paraId="6900AEC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2191" w:type="dxa"/>
            <w:tcBorders>
              <w:tl2br w:val="nil"/>
              <w:tr2bl w:val="nil"/>
            </w:tcBorders>
            <w:shd w:val="clear" w:color="auto" w:fill="FFFFFF"/>
            <w:vAlign w:val="center"/>
          </w:tcPr>
          <w:p w14:paraId="026206D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杰尔曼抢险救援头盔</w:t>
            </w:r>
          </w:p>
        </w:tc>
        <w:tc>
          <w:tcPr>
            <w:tcW w:w="4489" w:type="dxa"/>
            <w:tcBorders>
              <w:tl2br w:val="nil"/>
              <w:tr2bl w:val="nil"/>
            </w:tcBorders>
            <w:shd w:val="clear" w:color="auto" w:fill="FFFFFF"/>
            <w:vAlign w:val="center"/>
          </w:tcPr>
          <w:p w14:paraId="187CB522">
            <w:pPr>
              <w:widowControl/>
              <w:numPr>
                <w:ilvl w:val="0"/>
                <w:numId w:val="2"/>
              </w:numPr>
              <w:jc w:val="left"/>
              <w:rPr>
                <w:rFonts w:hint="eastAsia"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符合XF633-2006《消防员抢险救援防护服装》标准要求，需提供国家级消防研究所出具的检验报告复印件</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t>结构</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2.1半盔式头盔，颜色：桔红色和红色。</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2.2盔壳采用高强度塑料材料制成，顶部有加强筋，高抗冲击，具有优异的防紫外线功能。</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2.3头盔粘贴有反光标志，头盔指定位置可粘贴标识。</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2.4佩戴装置整体为黑色，能灵活方便地调节大小。帽托和缓冲层形状适体，且不移位，佩戴舒适。顶部为网状衬垫，四周为舒适层。下颏带能灵活方便地调节长短，保证佩戴头盔稳定舒适，解脱方便。</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2.5帽壳两侧有多功能模块化滑轨设计，为阻燃尼龙材质。</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2.6帽箍调节器为旋钮式。</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2.7下颏带插扣为快脱插扣。</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t>技术性能</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3.1冲击吸收性能：高温预处理、低温预处理、浸水预处理，最大冲击力≤2700N。</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3.2耐穿透性能：按标准试验后，钢锥不应与头模接触。</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3.3阻燃性能：火源离开帽壳后，帽壳火焰应在5S内自熄。</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3.4电绝缘性能：≤2.5mA。</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3.5侧向刚性：帽壳最大变形值≤31mm,卸载后变形值≤5 mm。</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3.6下额带抗拉强度：延伸长度≤17 mm。</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3.7质量（不含附件）：≤0.8 kg。</w:t>
            </w:r>
          </w:p>
        </w:tc>
        <w:tc>
          <w:tcPr>
            <w:tcW w:w="624" w:type="dxa"/>
            <w:tcBorders>
              <w:tl2br w:val="nil"/>
              <w:tr2bl w:val="nil"/>
            </w:tcBorders>
            <w:shd w:val="clear" w:color="auto" w:fill="FFFFFF"/>
            <w:noWrap/>
            <w:vAlign w:val="center"/>
          </w:tcPr>
          <w:p w14:paraId="5BB8AFF9">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顶</w:t>
            </w:r>
          </w:p>
        </w:tc>
        <w:tc>
          <w:tcPr>
            <w:tcW w:w="675" w:type="dxa"/>
            <w:tcBorders>
              <w:tl2br w:val="nil"/>
              <w:tr2bl w:val="nil"/>
            </w:tcBorders>
            <w:shd w:val="clear" w:color="auto" w:fill="FFFFFF"/>
            <w:noWrap/>
            <w:vAlign w:val="center"/>
          </w:tcPr>
          <w:p w14:paraId="323BF350">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1187" w:type="dxa"/>
            <w:tcBorders>
              <w:tl2br w:val="nil"/>
              <w:tr2bl w:val="nil"/>
            </w:tcBorders>
            <w:shd w:val="clear" w:color="auto" w:fill="FFFFFF"/>
            <w:noWrap/>
            <w:vAlign w:val="center"/>
          </w:tcPr>
          <w:p w14:paraId="696F7221">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248.00</w:t>
            </w:r>
          </w:p>
        </w:tc>
        <w:tc>
          <w:tcPr>
            <w:tcW w:w="1536" w:type="dxa"/>
            <w:tcBorders>
              <w:tl2br w:val="nil"/>
              <w:tr2bl w:val="nil"/>
            </w:tcBorders>
            <w:shd w:val="clear" w:color="auto" w:fill="FFFFFF"/>
            <w:noWrap/>
            <w:vAlign w:val="center"/>
          </w:tcPr>
          <w:p w14:paraId="531AF2B6">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5952.00</w:t>
            </w:r>
          </w:p>
        </w:tc>
        <w:tc>
          <w:tcPr>
            <w:tcW w:w="984" w:type="dxa"/>
            <w:tcBorders>
              <w:tl2br w:val="nil"/>
              <w:tr2bl w:val="nil"/>
            </w:tcBorders>
            <w:shd w:val="clear" w:color="auto" w:fill="FFFFFF"/>
            <w:noWrap/>
            <w:vAlign w:val="center"/>
          </w:tcPr>
          <w:p w14:paraId="6078D4E0">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165F0324">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2CD34D4A">
            <w:pPr>
              <w:jc w:val="center"/>
              <w:rPr>
                <w:rFonts w:hint="eastAsia" w:eastAsia="宋体"/>
                <w:lang w:eastAsia="zh-CN"/>
              </w:rPr>
            </w:pPr>
            <w:r>
              <w:rPr>
                <w:rFonts w:hint="eastAsia" w:eastAsia="宋体"/>
                <w:lang w:eastAsia="zh-CN"/>
              </w:rPr>
              <w:drawing>
                <wp:inline distT="0" distB="0" distL="114300" distR="114300">
                  <wp:extent cx="1162050" cy="1092200"/>
                  <wp:effectExtent l="0" t="0" r="11430" b="5080"/>
                  <wp:docPr id="8" name="图片 8" descr="9f3a4afc874f8f3d1097c655aaa1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f3a4afc874f8f3d1097c655aaa116e"/>
                          <pic:cNvPicPr>
                            <a:picLocks noChangeAspect="1"/>
                          </pic:cNvPicPr>
                        </pic:nvPicPr>
                        <pic:blipFill>
                          <a:blip r:embed="rId8"/>
                          <a:stretch>
                            <a:fillRect/>
                          </a:stretch>
                        </pic:blipFill>
                        <pic:spPr>
                          <a:xfrm>
                            <a:off x="0" y="0"/>
                            <a:ext cx="1162050" cy="1092200"/>
                          </a:xfrm>
                          <a:prstGeom prst="rect">
                            <a:avLst/>
                          </a:prstGeom>
                        </pic:spPr>
                      </pic:pic>
                    </a:graphicData>
                  </a:graphic>
                </wp:inline>
              </w:drawing>
            </w:r>
          </w:p>
        </w:tc>
      </w:tr>
      <w:tr w14:paraId="43E4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4" w:hRule="atLeast"/>
          <w:jc w:val="center"/>
        </w:trPr>
        <w:tc>
          <w:tcPr>
            <w:tcW w:w="507" w:type="dxa"/>
            <w:tcBorders>
              <w:tl2br w:val="nil"/>
              <w:tr2bl w:val="nil"/>
            </w:tcBorders>
            <w:shd w:val="clear" w:color="auto" w:fill="FFFFFF"/>
            <w:vAlign w:val="center"/>
          </w:tcPr>
          <w:p w14:paraId="1DBC4ED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p>
        </w:tc>
        <w:tc>
          <w:tcPr>
            <w:tcW w:w="2191" w:type="dxa"/>
            <w:tcBorders>
              <w:tl2br w:val="nil"/>
              <w:tr2bl w:val="nil"/>
            </w:tcBorders>
            <w:shd w:val="clear" w:color="auto" w:fill="FFFFFF"/>
            <w:vAlign w:val="center"/>
          </w:tcPr>
          <w:p w14:paraId="49C7EAE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杰尔曼抢险救援手套</w:t>
            </w:r>
          </w:p>
        </w:tc>
        <w:tc>
          <w:tcPr>
            <w:tcW w:w="4489" w:type="dxa"/>
            <w:tcBorders>
              <w:tl2br w:val="nil"/>
              <w:tr2bl w:val="nil"/>
            </w:tcBorders>
            <w:shd w:val="clear" w:color="auto" w:fill="FFFFFF"/>
            <w:vAlign w:val="center"/>
          </w:tcPr>
          <w:p w14:paraId="607AC435">
            <w:pPr>
              <w:widowControl/>
              <w:numPr>
                <w:numId w:val="0"/>
              </w:numPr>
              <w:jc w:val="left"/>
              <w:rPr>
                <w:rFonts w:hint="eastAsia"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1、整体要求</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1.1产品符合XF 633《消防员抢险救援防护服装》标准要求。需提供相关的检测报告。</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2、款式要求</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2.1抢险救援手套为五指分离式，手套本体环形延伸，袖筒长度超出腕骨≥25±2mm，手套口的设计能限制杂物进入手套内，手套与抢险救援服的袖口配合穿戴。</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2.2抢险救援手套主体颜色为橘红色和黑色。</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3、手掌结构符合以下要求：</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3.1分为内层、外层和加强层三层结构设计，外层采用优质反绒头层牛皮，颜色为黑色，手掌指尖一片式翻转手指背，在食指指尖增设触屏功能。内层采用芳纶针织布，颜色为黄色。加强层采用芳纶耐磨布，颜色为黑色，设置于手掌面和虎口处，手掌加强层内侧设置缓冲海绵。</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4、手背结构符合以下要求：</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4.1手背由芳纶双面针织布和TPR防撞条组成。</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4.2芳纶双面针织布外面为橘红色，内面为黄色。</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4.3 TPR防撞条设置在手背、中指、无名指和小指部位，能覆盖手背关节部位和手指指甲以下关节部位，防撞条为整体一片式，关节部位采用分离式设计，便于手背关节部位弯曲，颜色为黑色、橘红色和灰色三色组合。</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4.4食指设计银色反光标记，手背下方设计宽度为1cm的银色反光条。</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4.5手指夹条采用牢固舒适的黑色芳纶针织布，夹条上方采用黑色芳纶耐磨布补强。大拇指手背内层采用芳纶针织布，颜色为黄色，外层采用牢固舒适的黑色毛巾布。</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5、技术要求</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5.1耐磨性能：掌心面材料在(9±0.2) KPa压力下，经8000次循环摩擦后，未被磨穿。</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5.2抗切割性能：掌心面和背面材料的割破力≥10N。</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5.3抗机械刺穿性能：抗刺穿力≥120N。</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5.4阻燃性能：损毁长度≤20mm，续燃时间≤2s，无熔融、滴落现象。</w:t>
            </w:r>
          </w:p>
        </w:tc>
        <w:tc>
          <w:tcPr>
            <w:tcW w:w="624" w:type="dxa"/>
            <w:tcBorders>
              <w:tl2br w:val="nil"/>
              <w:tr2bl w:val="nil"/>
            </w:tcBorders>
            <w:shd w:val="clear" w:color="auto" w:fill="FFFFFF"/>
            <w:noWrap/>
            <w:vAlign w:val="center"/>
          </w:tcPr>
          <w:p w14:paraId="2A326A2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双</w:t>
            </w:r>
          </w:p>
        </w:tc>
        <w:tc>
          <w:tcPr>
            <w:tcW w:w="675" w:type="dxa"/>
            <w:tcBorders>
              <w:tl2br w:val="nil"/>
              <w:tr2bl w:val="nil"/>
            </w:tcBorders>
            <w:shd w:val="clear" w:color="auto" w:fill="FFFFFF"/>
            <w:noWrap/>
            <w:vAlign w:val="center"/>
          </w:tcPr>
          <w:p w14:paraId="278C9687">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1187" w:type="dxa"/>
            <w:tcBorders>
              <w:tl2br w:val="nil"/>
              <w:tr2bl w:val="nil"/>
            </w:tcBorders>
            <w:shd w:val="clear" w:color="auto" w:fill="FFFFFF"/>
            <w:noWrap/>
            <w:vAlign w:val="center"/>
          </w:tcPr>
          <w:p w14:paraId="5570D1E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110.00</w:t>
            </w:r>
          </w:p>
        </w:tc>
        <w:tc>
          <w:tcPr>
            <w:tcW w:w="1536" w:type="dxa"/>
            <w:tcBorders>
              <w:tl2br w:val="nil"/>
              <w:tr2bl w:val="nil"/>
            </w:tcBorders>
            <w:shd w:val="clear" w:color="auto" w:fill="FFFFFF"/>
            <w:noWrap/>
            <w:vAlign w:val="center"/>
          </w:tcPr>
          <w:p w14:paraId="07AF381C">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2640.00</w:t>
            </w:r>
          </w:p>
        </w:tc>
        <w:tc>
          <w:tcPr>
            <w:tcW w:w="984" w:type="dxa"/>
            <w:tcBorders>
              <w:tl2br w:val="nil"/>
              <w:tr2bl w:val="nil"/>
            </w:tcBorders>
            <w:shd w:val="clear" w:color="auto" w:fill="FFFFFF"/>
            <w:noWrap/>
            <w:vAlign w:val="center"/>
          </w:tcPr>
          <w:p w14:paraId="26C22ADD">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7939DA4C">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56D99BF6">
            <w:pPr>
              <w:jc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drawing>
                <wp:inline distT="0" distB="0" distL="114300" distR="114300">
                  <wp:extent cx="1123950" cy="1116330"/>
                  <wp:effectExtent l="0" t="0" r="3810" b="11430"/>
                  <wp:docPr id="9" name="图片 9" descr="fce2869786cef49fd0841d60d834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ce2869786cef49fd0841d60d83439c"/>
                          <pic:cNvPicPr>
                            <a:picLocks noChangeAspect="1"/>
                          </pic:cNvPicPr>
                        </pic:nvPicPr>
                        <pic:blipFill>
                          <a:blip r:embed="rId9"/>
                          <a:stretch>
                            <a:fillRect/>
                          </a:stretch>
                        </pic:blipFill>
                        <pic:spPr>
                          <a:xfrm>
                            <a:off x="0" y="0"/>
                            <a:ext cx="1123950" cy="1116330"/>
                          </a:xfrm>
                          <a:prstGeom prst="rect">
                            <a:avLst/>
                          </a:prstGeom>
                        </pic:spPr>
                      </pic:pic>
                    </a:graphicData>
                  </a:graphic>
                </wp:inline>
              </w:drawing>
            </w:r>
          </w:p>
        </w:tc>
      </w:tr>
      <w:tr w14:paraId="54E5A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4" w:hRule="atLeast"/>
          <w:jc w:val="center"/>
        </w:trPr>
        <w:tc>
          <w:tcPr>
            <w:tcW w:w="507" w:type="dxa"/>
            <w:tcBorders>
              <w:tl2br w:val="nil"/>
              <w:tr2bl w:val="nil"/>
            </w:tcBorders>
            <w:shd w:val="clear" w:color="auto" w:fill="FFFFFF"/>
            <w:vAlign w:val="center"/>
          </w:tcPr>
          <w:p w14:paraId="4D902D6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2191" w:type="dxa"/>
            <w:tcBorders>
              <w:tl2br w:val="nil"/>
              <w:tr2bl w:val="nil"/>
            </w:tcBorders>
            <w:shd w:val="clear" w:color="auto" w:fill="FFFFFF"/>
            <w:vAlign w:val="center"/>
          </w:tcPr>
          <w:p w14:paraId="4FC661C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杰尔曼抢险救援腰带</w:t>
            </w:r>
          </w:p>
        </w:tc>
        <w:tc>
          <w:tcPr>
            <w:tcW w:w="4489" w:type="dxa"/>
            <w:tcBorders>
              <w:tl2br w:val="nil"/>
              <w:tr2bl w:val="nil"/>
            </w:tcBorders>
            <w:shd w:val="clear" w:color="auto" w:fill="FFFFFF"/>
            <w:vAlign w:val="center"/>
          </w:tcPr>
          <w:p w14:paraId="2AFBB759">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适配夏款</w:t>
            </w:r>
            <w:r>
              <w:rPr>
                <w:rFonts w:hint="eastAsia" w:ascii="宋体" w:hAnsi="宋体" w:eastAsia="宋体" w:cs="宋体"/>
                <w:kern w:val="0"/>
                <w:sz w:val="20"/>
                <w:szCs w:val="20"/>
                <w:lang w:val="en-US" w:eastAsia="zh-CN"/>
              </w:rPr>
              <w:t>抢险救援服</w:t>
            </w:r>
          </w:p>
        </w:tc>
        <w:tc>
          <w:tcPr>
            <w:tcW w:w="624" w:type="dxa"/>
            <w:tcBorders>
              <w:tl2br w:val="nil"/>
              <w:tr2bl w:val="nil"/>
            </w:tcBorders>
            <w:shd w:val="clear" w:color="auto" w:fill="FFFFFF"/>
            <w:vAlign w:val="center"/>
          </w:tcPr>
          <w:p w14:paraId="6F032651">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条</w:t>
            </w:r>
          </w:p>
        </w:tc>
        <w:tc>
          <w:tcPr>
            <w:tcW w:w="675" w:type="dxa"/>
            <w:tcBorders>
              <w:tl2br w:val="nil"/>
              <w:tr2bl w:val="nil"/>
            </w:tcBorders>
            <w:shd w:val="clear" w:color="auto" w:fill="FFFFFF"/>
            <w:vAlign w:val="center"/>
          </w:tcPr>
          <w:p w14:paraId="2E0C0825">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1187" w:type="dxa"/>
            <w:tcBorders>
              <w:tl2br w:val="nil"/>
              <w:tr2bl w:val="nil"/>
            </w:tcBorders>
            <w:shd w:val="clear" w:color="auto" w:fill="FFFFFF"/>
            <w:vAlign w:val="center"/>
          </w:tcPr>
          <w:p w14:paraId="4E0850D0">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32.00</w:t>
            </w:r>
          </w:p>
        </w:tc>
        <w:tc>
          <w:tcPr>
            <w:tcW w:w="1536" w:type="dxa"/>
            <w:tcBorders>
              <w:tl2br w:val="nil"/>
              <w:tr2bl w:val="nil"/>
            </w:tcBorders>
            <w:shd w:val="clear" w:color="auto" w:fill="FFFFFF"/>
            <w:noWrap/>
            <w:vAlign w:val="center"/>
          </w:tcPr>
          <w:p w14:paraId="1C694961">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768.00</w:t>
            </w:r>
          </w:p>
        </w:tc>
        <w:tc>
          <w:tcPr>
            <w:tcW w:w="984" w:type="dxa"/>
            <w:tcBorders>
              <w:tl2br w:val="nil"/>
              <w:tr2bl w:val="nil"/>
            </w:tcBorders>
            <w:shd w:val="clear" w:color="auto" w:fill="FFFFFF"/>
            <w:noWrap/>
            <w:vAlign w:val="center"/>
          </w:tcPr>
          <w:p w14:paraId="21BA1327">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10DE3122">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vAlign w:val="center"/>
          </w:tcPr>
          <w:p w14:paraId="1707A209">
            <w:pPr>
              <w:widowControl/>
              <w:jc w:val="center"/>
              <w:rPr>
                <w:rFonts w:hint="default" w:ascii="宋体" w:hAnsi="宋体" w:cs="宋体"/>
                <w:kern w:val="0"/>
                <w:sz w:val="20"/>
                <w:szCs w:val="20"/>
                <w:lang w:val="en-US" w:eastAsia="zh-CN"/>
              </w:rPr>
            </w:pPr>
            <w:r>
              <w:rPr>
                <w:rFonts w:hint="default" w:ascii="宋体" w:hAnsi="宋体" w:cs="宋体"/>
                <w:kern w:val="0"/>
                <w:sz w:val="20"/>
                <w:szCs w:val="20"/>
                <w:lang w:val="en-US" w:eastAsia="zh-CN"/>
              </w:rPr>
              <w:drawing>
                <wp:inline distT="0" distB="0" distL="114300" distR="114300">
                  <wp:extent cx="955675" cy="716915"/>
                  <wp:effectExtent l="0" t="0" r="0" b="0"/>
                  <wp:docPr id="12" name="图片 12" descr="ffc3551a58d22ba67e8ecdbe4b0b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fc3551a58d22ba67e8ecdbe4b0bb5e"/>
                          <pic:cNvPicPr>
                            <a:picLocks noChangeAspect="1"/>
                          </pic:cNvPicPr>
                        </pic:nvPicPr>
                        <pic:blipFill>
                          <a:blip r:embed="rId10"/>
                          <a:stretch>
                            <a:fillRect/>
                          </a:stretch>
                        </pic:blipFill>
                        <pic:spPr>
                          <a:xfrm>
                            <a:off x="0" y="0"/>
                            <a:ext cx="955675" cy="716915"/>
                          </a:xfrm>
                          <a:prstGeom prst="rect">
                            <a:avLst/>
                          </a:prstGeom>
                        </pic:spPr>
                      </pic:pic>
                    </a:graphicData>
                  </a:graphic>
                </wp:inline>
              </w:drawing>
            </w:r>
          </w:p>
        </w:tc>
      </w:tr>
      <w:tr w14:paraId="64E4B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507" w:type="dxa"/>
            <w:tcBorders>
              <w:tl2br w:val="nil"/>
              <w:tr2bl w:val="nil"/>
            </w:tcBorders>
            <w:shd w:val="clear" w:color="auto" w:fill="FFFFFF"/>
            <w:noWrap/>
            <w:vAlign w:val="center"/>
          </w:tcPr>
          <w:p w14:paraId="25FBBCC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2191" w:type="dxa"/>
            <w:tcBorders>
              <w:tl2br w:val="nil"/>
              <w:tr2bl w:val="nil"/>
            </w:tcBorders>
            <w:shd w:val="clear" w:color="auto" w:fill="FFFFFF"/>
            <w:vAlign w:val="center"/>
          </w:tcPr>
          <w:p w14:paraId="34568FD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杰尔曼抢险救援靴</w:t>
            </w:r>
          </w:p>
        </w:tc>
        <w:tc>
          <w:tcPr>
            <w:tcW w:w="4489" w:type="dxa"/>
            <w:tcBorders>
              <w:tl2br w:val="nil"/>
              <w:tr2bl w:val="nil"/>
            </w:tcBorders>
            <w:shd w:val="clear" w:color="auto" w:fill="FFFFFF"/>
            <w:vAlign w:val="center"/>
          </w:tcPr>
          <w:p w14:paraId="01A77386">
            <w:pPr>
              <w:widowControl/>
              <w:numPr>
                <w:numId w:val="0"/>
              </w:numPr>
              <w:jc w:val="left"/>
              <w:rPr>
                <w:rFonts w:hint="default" w:ascii="宋体" w:hAnsi="宋体" w:eastAsia="宋体" w:cs="宋体"/>
                <w:kern w:val="0"/>
                <w:sz w:val="20"/>
                <w:szCs w:val="20"/>
                <w:lang w:val="en-US" w:eastAsia="zh-CN"/>
              </w:rPr>
            </w:pPr>
            <w:r>
              <w:rPr>
                <w:rFonts w:hint="default" w:ascii="宋体" w:hAnsi="宋体" w:eastAsia="宋体" w:cs="宋体"/>
                <w:kern w:val="0"/>
                <w:sz w:val="20"/>
                <w:szCs w:val="20"/>
                <w:lang w:val="en-US" w:eastAsia="zh-CN"/>
              </w:rPr>
              <w:t>1、整体要求：</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1.1符合《消防员抢险救援防护服装试验大纲》标准要求，提供国家认可的检测机构出具的检验报告复印件。</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2、结构及颜色：</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2.1由靴外底、靴跟、带舒适层的靴帮、带防穿刺层的靴内底、鞋垫和靴头等组成。</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2.2内怀设有快速穿脱功能拉链，靴面主体材料为黑色防水阻燃牛皮和防水阻燃帆布，靴底为橡胶一体成型。</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2.3从靴内后跟中央起至靴口最低处的高度≥170mm。</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2.4主体为黑色；反光标志为荧光黄色；鞋带和“消防救援”标志为橘红色。</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3、技术要求：</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3.1靴帮抗穿刺性能：≥190N。</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3.2鞋帮抗热辐射性能：内表面温升≤7℃。</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3.3靴底抗穿刺性能：≥1700N。</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3.4外底耐弯折性能：≤2 mm。</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3.5防滑性能：始滑角＞15°。</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3.6电绝缘性能：泄漏电流≤0.1mA。</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3.7阻燃性能：离火自熄时间0S，损毁长度≤1 mm。</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3.8隔热性能：鞋底内表面温升≤10℃。</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3.9重量≤2.0kg。</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4、其他：</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4.1靴身配有的橘红色鞋带，鞋带长 1800 mm。</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4.2靴身内怀配有两颗单向防水透气眼。</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4.3靴舌上端配有用于隐藏多余鞋带的饰片袋。</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4.4靴筒后部设带反光标志带的提手。</w:t>
            </w:r>
          </w:p>
        </w:tc>
        <w:tc>
          <w:tcPr>
            <w:tcW w:w="624" w:type="dxa"/>
            <w:tcBorders>
              <w:tl2br w:val="nil"/>
              <w:tr2bl w:val="nil"/>
            </w:tcBorders>
            <w:shd w:val="clear" w:color="auto" w:fill="FFFFFF"/>
            <w:noWrap/>
            <w:vAlign w:val="center"/>
          </w:tcPr>
          <w:p w14:paraId="7291C307">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双</w:t>
            </w:r>
          </w:p>
        </w:tc>
        <w:tc>
          <w:tcPr>
            <w:tcW w:w="675" w:type="dxa"/>
            <w:tcBorders>
              <w:tl2br w:val="nil"/>
              <w:tr2bl w:val="nil"/>
            </w:tcBorders>
            <w:shd w:val="clear" w:color="auto" w:fill="FFFFFF"/>
            <w:noWrap/>
            <w:vAlign w:val="center"/>
          </w:tcPr>
          <w:p w14:paraId="5448F2AA">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1187" w:type="dxa"/>
            <w:tcBorders>
              <w:tl2br w:val="nil"/>
              <w:tr2bl w:val="nil"/>
            </w:tcBorders>
            <w:shd w:val="clear" w:color="auto" w:fill="FFFFFF"/>
            <w:noWrap/>
            <w:vAlign w:val="center"/>
          </w:tcPr>
          <w:p w14:paraId="05EA63D1">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230.00</w:t>
            </w:r>
          </w:p>
        </w:tc>
        <w:tc>
          <w:tcPr>
            <w:tcW w:w="1536" w:type="dxa"/>
            <w:tcBorders>
              <w:tl2br w:val="nil"/>
              <w:tr2bl w:val="nil"/>
            </w:tcBorders>
            <w:shd w:val="clear" w:color="auto" w:fill="FFFFFF"/>
            <w:noWrap/>
            <w:vAlign w:val="center"/>
          </w:tcPr>
          <w:p w14:paraId="3ADA949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5520.00</w:t>
            </w:r>
          </w:p>
        </w:tc>
        <w:tc>
          <w:tcPr>
            <w:tcW w:w="984" w:type="dxa"/>
            <w:tcBorders>
              <w:tl2br w:val="nil"/>
              <w:tr2bl w:val="nil"/>
            </w:tcBorders>
            <w:shd w:val="clear" w:color="auto" w:fill="FFFFFF"/>
            <w:noWrap/>
            <w:vAlign w:val="center"/>
          </w:tcPr>
          <w:p w14:paraId="6BE116D3">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31599165">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1D4B2A2A">
            <w:pPr>
              <w:jc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drawing>
                <wp:inline distT="0" distB="0" distL="114300" distR="114300">
                  <wp:extent cx="1066800" cy="1352550"/>
                  <wp:effectExtent l="0" t="0" r="0" b="3810"/>
                  <wp:docPr id="13" name="图片 13" descr="ba82b65e7772ef2c14f2e4debe503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a82b65e7772ef2c14f2e4debe503ab"/>
                          <pic:cNvPicPr>
                            <a:picLocks noChangeAspect="1"/>
                          </pic:cNvPicPr>
                        </pic:nvPicPr>
                        <pic:blipFill>
                          <a:blip r:embed="rId11"/>
                          <a:stretch>
                            <a:fillRect/>
                          </a:stretch>
                        </pic:blipFill>
                        <pic:spPr>
                          <a:xfrm>
                            <a:off x="0" y="0"/>
                            <a:ext cx="1066800" cy="1352550"/>
                          </a:xfrm>
                          <a:prstGeom prst="rect">
                            <a:avLst/>
                          </a:prstGeom>
                        </pic:spPr>
                      </pic:pic>
                    </a:graphicData>
                  </a:graphic>
                </wp:inline>
              </w:drawing>
            </w:r>
          </w:p>
        </w:tc>
      </w:tr>
      <w:tr w14:paraId="40F2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06" w:hRule="atLeast"/>
          <w:jc w:val="center"/>
        </w:trPr>
        <w:tc>
          <w:tcPr>
            <w:tcW w:w="507" w:type="dxa"/>
            <w:tcBorders>
              <w:tl2br w:val="nil"/>
              <w:tr2bl w:val="nil"/>
            </w:tcBorders>
            <w:shd w:val="clear" w:color="auto" w:fill="FFFFFF"/>
            <w:noWrap/>
            <w:vAlign w:val="center"/>
          </w:tcPr>
          <w:p w14:paraId="487395C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c>
          <w:tcPr>
            <w:tcW w:w="2191" w:type="dxa"/>
            <w:tcBorders>
              <w:tl2br w:val="nil"/>
              <w:tr2bl w:val="nil"/>
            </w:tcBorders>
            <w:shd w:val="clear" w:color="auto" w:fill="FFFFFF"/>
            <w:vAlign w:val="center"/>
          </w:tcPr>
          <w:p w14:paraId="7319F7C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杰尔曼护目镜</w:t>
            </w:r>
          </w:p>
        </w:tc>
        <w:tc>
          <w:tcPr>
            <w:tcW w:w="4489" w:type="dxa"/>
            <w:tcBorders>
              <w:tl2br w:val="nil"/>
              <w:tr2bl w:val="nil"/>
            </w:tcBorders>
            <w:shd w:val="clear" w:color="auto" w:fill="FFFFFF"/>
            <w:vAlign w:val="center"/>
          </w:tcPr>
          <w:p w14:paraId="60CE2759">
            <w:pPr>
              <w:widowControl/>
              <w:numPr>
                <w:ilvl w:val="0"/>
                <w:numId w:val="3"/>
              </w:numPr>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符</w:t>
            </w:r>
            <w:r>
              <w:rPr>
                <w:rFonts w:hint="default" w:ascii="宋体" w:hAnsi="宋体" w:eastAsia="宋体" w:cs="宋体"/>
                <w:kern w:val="0"/>
                <w:sz w:val="20"/>
                <w:szCs w:val="20"/>
                <w:lang w:val="en-US" w:eastAsia="zh-CN"/>
              </w:rPr>
              <w:t>合国家GB 14866-2006《个人用眼护具技术要求》标准，需提供相应检验报告复印件。</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2</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t>护目镜与佩戴者皮肤接触的部分不应使用影响健康或安全的材料。</w:t>
            </w:r>
            <w:r>
              <w:rPr>
                <w:rFonts w:hint="default" w:ascii="宋体" w:hAnsi="宋体" w:eastAsia="宋体" w:cs="宋体"/>
                <w:kern w:val="0"/>
                <w:sz w:val="20"/>
                <w:szCs w:val="20"/>
                <w:lang w:val="en-US" w:eastAsia="zh-CN"/>
              </w:rPr>
              <w:br w:type="textWrapping"/>
            </w:r>
            <w:r>
              <w:rPr>
                <w:rFonts w:hint="default" w:ascii="宋体" w:hAnsi="宋体" w:eastAsia="宋体" w:cs="宋体"/>
                <w:kern w:val="0"/>
                <w:sz w:val="20"/>
                <w:szCs w:val="20"/>
                <w:lang w:val="en-US" w:eastAsia="zh-CN"/>
              </w:rPr>
              <w:t>3</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t>护目镜具有良好的透气性。</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4、</w:t>
            </w:r>
            <w:r>
              <w:rPr>
                <w:rFonts w:hint="default" w:ascii="宋体" w:hAnsi="宋体" w:eastAsia="宋体" w:cs="宋体"/>
                <w:kern w:val="0"/>
                <w:sz w:val="20"/>
                <w:szCs w:val="20"/>
                <w:lang w:val="en-US" w:eastAsia="zh-CN"/>
              </w:rPr>
              <w:t>结构及外观要求</w:t>
            </w:r>
            <w:r>
              <w:rPr>
                <w:rFonts w:hint="eastAsia" w:ascii="宋体" w:hAnsi="宋体" w:cs="宋体"/>
                <w:kern w:val="0"/>
                <w:sz w:val="20"/>
                <w:szCs w:val="20"/>
                <w:lang w:val="en-US" w:eastAsia="zh-CN"/>
              </w:rPr>
              <w:t>：</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4</w:t>
            </w:r>
            <w:r>
              <w:rPr>
                <w:rFonts w:hint="default" w:ascii="宋体" w:hAnsi="宋体" w:eastAsia="宋体" w:cs="宋体"/>
                <w:kern w:val="0"/>
                <w:sz w:val="20"/>
                <w:szCs w:val="20"/>
                <w:lang w:val="en-US" w:eastAsia="zh-CN"/>
              </w:rPr>
              <w:t>.1护目镜无突出部位、尖锐边缘或其他缺陷。</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4</w:t>
            </w:r>
            <w:r>
              <w:rPr>
                <w:rFonts w:hint="default" w:ascii="宋体" w:hAnsi="宋体" w:eastAsia="宋体" w:cs="宋体"/>
                <w:kern w:val="0"/>
                <w:sz w:val="20"/>
                <w:szCs w:val="20"/>
                <w:lang w:val="en-US" w:eastAsia="zh-CN"/>
              </w:rPr>
              <w:t>.2可调零件或结构部件应易于调节和更换。</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5、</w:t>
            </w:r>
            <w:r>
              <w:rPr>
                <w:rFonts w:hint="default" w:ascii="宋体" w:hAnsi="宋体" w:eastAsia="宋体" w:cs="宋体"/>
                <w:kern w:val="0"/>
                <w:sz w:val="20"/>
                <w:szCs w:val="20"/>
                <w:lang w:val="en-US" w:eastAsia="zh-CN"/>
              </w:rPr>
              <w:t>技术</w:t>
            </w:r>
            <w:r>
              <w:rPr>
                <w:rFonts w:hint="eastAsia" w:ascii="宋体" w:hAnsi="宋体" w:cs="宋体"/>
                <w:kern w:val="0"/>
                <w:sz w:val="20"/>
                <w:szCs w:val="20"/>
                <w:lang w:val="en-US" w:eastAsia="zh-CN"/>
              </w:rPr>
              <w:t>要求：</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5</w:t>
            </w:r>
            <w:r>
              <w:rPr>
                <w:rFonts w:hint="default" w:ascii="宋体" w:hAnsi="宋体" w:eastAsia="宋体" w:cs="宋体"/>
                <w:kern w:val="0"/>
                <w:sz w:val="20"/>
                <w:szCs w:val="20"/>
                <w:lang w:val="en-US" w:eastAsia="zh-CN"/>
              </w:rPr>
              <w:t>.1护目镜头带用于固定作用的头带应可调节，宽度≥20mm。</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5</w:t>
            </w:r>
            <w:r>
              <w:rPr>
                <w:rFonts w:hint="default" w:ascii="宋体" w:hAnsi="宋体" w:eastAsia="宋体" w:cs="宋体"/>
                <w:kern w:val="0"/>
                <w:sz w:val="20"/>
                <w:szCs w:val="20"/>
                <w:lang w:val="en-US" w:eastAsia="zh-CN"/>
              </w:rPr>
              <w:t>.2镜片规格长*宽尺寸≥200*50mm</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5</w:t>
            </w:r>
            <w:r>
              <w:rPr>
                <w:rFonts w:hint="default" w:ascii="宋体" w:hAnsi="宋体" w:eastAsia="宋体" w:cs="宋体"/>
                <w:kern w:val="0"/>
                <w:sz w:val="20"/>
                <w:szCs w:val="20"/>
                <w:lang w:val="en-US" w:eastAsia="zh-CN"/>
              </w:rPr>
              <w:t>.3抗冲击性能：在经受22 mm、重约45g钢球从1.3米高度自由落体下的冲击，不应出现镜片破损、变形、护具框架破损现象。</w:t>
            </w:r>
            <w:r>
              <w:rPr>
                <w:rFonts w:hint="default" w:ascii="宋体" w:hAnsi="宋体" w:eastAsia="宋体" w:cs="宋体"/>
                <w:kern w:val="0"/>
                <w:sz w:val="20"/>
                <w:szCs w:val="20"/>
                <w:lang w:val="en-US" w:eastAsia="zh-CN"/>
              </w:rPr>
              <w:br w:type="textWrapping"/>
            </w:r>
            <w:r>
              <w:rPr>
                <w:rFonts w:hint="eastAsia" w:ascii="宋体" w:hAnsi="宋体" w:cs="宋体"/>
                <w:kern w:val="0"/>
                <w:sz w:val="20"/>
                <w:szCs w:val="20"/>
                <w:lang w:val="en-US" w:eastAsia="zh-CN"/>
              </w:rPr>
              <w:t>5</w:t>
            </w:r>
            <w:r>
              <w:rPr>
                <w:rFonts w:hint="default" w:ascii="宋体" w:hAnsi="宋体" w:eastAsia="宋体" w:cs="宋体"/>
                <w:kern w:val="0"/>
                <w:sz w:val="20"/>
                <w:szCs w:val="20"/>
                <w:lang w:val="en-US" w:eastAsia="zh-CN"/>
              </w:rPr>
              <w:t>.4镜面做防雾处理。</w:t>
            </w:r>
          </w:p>
        </w:tc>
        <w:tc>
          <w:tcPr>
            <w:tcW w:w="624" w:type="dxa"/>
            <w:tcBorders>
              <w:tl2br w:val="nil"/>
              <w:tr2bl w:val="nil"/>
            </w:tcBorders>
            <w:shd w:val="clear" w:color="auto" w:fill="FFFFFF"/>
            <w:noWrap/>
            <w:vAlign w:val="center"/>
          </w:tcPr>
          <w:p w14:paraId="5779C44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副</w:t>
            </w:r>
          </w:p>
        </w:tc>
        <w:tc>
          <w:tcPr>
            <w:tcW w:w="675" w:type="dxa"/>
            <w:tcBorders>
              <w:tl2br w:val="nil"/>
              <w:tr2bl w:val="nil"/>
            </w:tcBorders>
            <w:shd w:val="clear" w:color="auto" w:fill="FFFFFF"/>
            <w:noWrap/>
            <w:vAlign w:val="center"/>
          </w:tcPr>
          <w:p w14:paraId="1889EF52">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1187" w:type="dxa"/>
            <w:tcBorders>
              <w:tl2br w:val="nil"/>
              <w:tr2bl w:val="nil"/>
            </w:tcBorders>
            <w:shd w:val="clear" w:color="auto" w:fill="FFFFFF"/>
            <w:noWrap/>
            <w:vAlign w:val="center"/>
          </w:tcPr>
          <w:p w14:paraId="2433D84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55.00</w:t>
            </w:r>
          </w:p>
        </w:tc>
        <w:tc>
          <w:tcPr>
            <w:tcW w:w="1536" w:type="dxa"/>
            <w:tcBorders>
              <w:tl2br w:val="nil"/>
              <w:tr2bl w:val="nil"/>
            </w:tcBorders>
            <w:shd w:val="clear" w:color="auto" w:fill="FFFFFF"/>
            <w:noWrap/>
            <w:vAlign w:val="center"/>
          </w:tcPr>
          <w:p w14:paraId="2DF6086D">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1320.00</w:t>
            </w:r>
          </w:p>
        </w:tc>
        <w:tc>
          <w:tcPr>
            <w:tcW w:w="984" w:type="dxa"/>
            <w:tcBorders>
              <w:tl2br w:val="nil"/>
              <w:tr2bl w:val="nil"/>
            </w:tcBorders>
            <w:shd w:val="clear" w:color="auto" w:fill="FFFFFF"/>
            <w:noWrap/>
            <w:vAlign w:val="center"/>
          </w:tcPr>
          <w:p w14:paraId="49CE8FDB">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53CD9C51">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55E6562D">
            <w:pPr>
              <w:jc w:val="center"/>
              <w:rPr>
                <w:rFonts w:hint="eastAsia" w:ascii="新宋体" w:hAnsi="新宋体" w:eastAsia="新宋体" w:cs="新宋体"/>
                <w:i w:val="0"/>
                <w:iCs w:val="0"/>
                <w:color w:val="000000"/>
                <w:sz w:val="16"/>
                <w:szCs w:val="16"/>
                <w:u w:val="none"/>
                <w:lang w:eastAsia="zh-CN"/>
              </w:rPr>
            </w:pPr>
            <w:r>
              <w:rPr>
                <w:rFonts w:hint="eastAsia" w:ascii="新宋体" w:hAnsi="新宋体" w:eastAsia="新宋体" w:cs="新宋体"/>
                <w:i w:val="0"/>
                <w:iCs w:val="0"/>
                <w:color w:val="000000"/>
                <w:sz w:val="16"/>
                <w:szCs w:val="16"/>
                <w:u w:val="none"/>
                <w:lang w:eastAsia="zh-CN"/>
              </w:rPr>
              <w:drawing>
                <wp:inline distT="0" distB="0" distL="114300" distR="114300">
                  <wp:extent cx="1190625" cy="892810"/>
                  <wp:effectExtent l="0" t="0" r="13335" b="6350"/>
                  <wp:docPr id="10" name="图片 10" descr="441a93d780a8571cfd83ca2b55fe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41a93d780a8571cfd83ca2b55fe723"/>
                          <pic:cNvPicPr>
                            <a:picLocks noChangeAspect="1"/>
                          </pic:cNvPicPr>
                        </pic:nvPicPr>
                        <pic:blipFill>
                          <a:blip r:embed="rId12"/>
                          <a:stretch>
                            <a:fillRect/>
                          </a:stretch>
                        </pic:blipFill>
                        <pic:spPr>
                          <a:xfrm>
                            <a:off x="0" y="0"/>
                            <a:ext cx="1190625" cy="892810"/>
                          </a:xfrm>
                          <a:prstGeom prst="rect">
                            <a:avLst/>
                          </a:prstGeom>
                        </pic:spPr>
                      </pic:pic>
                    </a:graphicData>
                  </a:graphic>
                </wp:inline>
              </w:drawing>
            </w:r>
          </w:p>
        </w:tc>
      </w:tr>
      <w:tr w14:paraId="14A79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2" w:hRule="atLeast"/>
          <w:jc w:val="center"/>
        </w:trPr>
        <w:tc>
          <w:tcPr>
            <w:tcW w:w="507" w:type="dxa"/>
            <w:tcBorders>
              <w:tl2br w:val="nil"/>
              <w:tr2bl w:val="nil"/>
            </w:tcBorders>
            <w:shd w:val="clear" w:color="auto" w:fill="FFFFFF"/>
            <w:noWrap/>
            <w:vAlign w:val="center"/>
          </w:tcPr>
          <w:p w14:paraId="672046AB">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w:t>
            </w:r>
          </w:p>
        </w:tc>
        <w:tc>
          <w:tcPr>
            <w:tcW w:w="2191" w:type="dxa"/>
            <w:tcBorders>
              <w:tl2br w:val="nil"/>
              <w:tr2bl w:val="nil"/>
            </w:tcBorders>
            <w:shd w:val="clear" w:color="auto" w:fill="FFFFFF"/>
            <w:vAlign w:val="center"/>
          </w:tcPr>
          <w:p w14:paraId="0BE9DD73">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微型防暴头灯（用于佩戴在</w:t>
            </w:r>
            <w:r>
              <w:rPr>
                <w:rFonts w:hint="eastAsia" w:ascii="宋体" w:hAnsi="宋体" w:eastAsia="宋体" w:cs="宋体"/>
                <w:kern w:val="0"/>
                <w:sz w:val="20"/>
                <w:szCs w:val="20"/>
                <w:lang w:val="en-US" w:eastAsia="zh-CN"/>
              </w:rPr>
              <w:t>杰尔曼抢险救援头盔</w:t>
            </w:r>
            <w:r>
              <w:rPr>
                <w:rFonts w:hint="eastAsia" w:ascii="宋体" w:hAnsi="宋体" w:cs="宋体"/>
                <w:kern w:val="0"/>
                <w:sz w:val="20"/>
                <w:szCs w:val="20"/>
                <w:lang w:val="en-US" w:eastAsia="zh-CN"/>
              </w:rPr>
              <w:t>上试用）</w:t>
            </w:r>
          </w:p>
        </w:tc>
        <w:tc>
          <w:tcPr>
            <w:tcW w:w="4489" w:type="dxa"/>
            <w:tcBorders>
              <w:tl2br w:val="nil"/>
              <w:tr2bl w:val="nil"/>
            </w:tcBorders>
            <w:shd w:val="clear" w:color="auto" w:fill="FFFFFF"/>
            <w:vAlign w:val="center"/>
          </w:tcPr>
          <w:p w14:paraId="7F41CF6F">
            <w:pPr>
              <w:widowControl/>
              <w:numPr>
                <w:ilvl w:val="0"/>
                <w:numId w:val="4"/>
              </w:numPr>
              <w:jc w:val="left"/>
              <w:rPr>
                <w:rFonts w:hint="eastAsia" w:ascii="宋体" w:hAnsi="宋体" w:cs="宋体"/>
                <w:kern w:val="0"/>
                <w:sz w:val="20"/>
                <w:szCs w:val="20"/>
                <w:lang w:val="en-US" w:eastAsia="zh-CN"/>
              </w:rPr>
            </w:pPr>
            <w:r>
              <w:rPr>
                <w:rFonts w:hint="eastAsia" w:ascii="宋体" w:hAnsi="宋体" w:cs="宋体"/>
                <w:kern w:val="0"/>
                <w:sz w:val="20"/>
                <w:szCs w:val="20"/>
                <w:lang w:val="en-US" w:eastAsia="zh-CN"/>
              </w:rPr>
              <w:t>符合消防标准《GB30734-2014消防员照明灯具》，同时满足防爆标准：《GB 3836.1-2010爆炸性环境　第1部分：设备　通用要求》、《GB 38364-2010爆炸性环境　第4部分:由本质安全型“i”保护的设备》，</w:t>
            </w:r>
            <w:r>
              <w:rPr>
                <w:rFonts w:hint="default" w:ascii="宋体" w:hAnsi="宋体" w:eastAsia="宋体" w:cs="宋体"/>
                <w:kern w:val="0"/>
                <w:sz w:val="20"/>
                <w:szCs w:val="20"/>
                <w:lang w:val="en-US" w:eastAsia="zh-CN"/>
              </w:rPr>
              <w:t>需提供相应检验报告复印件</w:t>
            </w:r>
            <w:r>
              <w:rPr>
                <w:rFonts w:hint="eastAsia" w:ascii="宋体" w:hAnsi="宋体" w:cs="宋体"/>
                <w:kern w:val="0"/>
                <w:sz w:val="20"/>
                <w:szCs w:val="20"/>
                <w:lang w:val="en-US" w:eastAsia="zh-CN"/>
              </w:rPr>
              <w:t>。</w:t>
            </w:r>
          </w:p>
          <w:p w14:paraId="778B8A97">
            <w:pPr>
              <w:widowControl/>
              <w:numPr>
                <w:ilvl w:val="0"/>
                <w:numId w:val="4"/>
              </w:numPr>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额定容量：≥1900</w:t>
            </w:r>
            <w:r>
              <w:rPr>
                <w:rFonts w:hint="eastAsia" w:asciiTheme="minorEastAsia" w:hAnsiTheme="minorEastAsia" w:cstheme="minorEastAsia"/>
                <w:kern w:val="0"/>
                <w:sz w:val="20"/>
                <w:szCs w:val="20"/>
              </w:rPr>
              <w:t>mAH</w:t>
            </w:r>
          </w:p>
          <w:p w14:paraId="2E6E71C3">
            <w:pPr>
              <w:widowControl/>
              <w:numPr>
                <w:ilvl w:val="0"/>
                <w:numId w:val="4"/>
              </w:numPr>
              <w:jc w:val="left"/>
              <w:rPr>
                <w:rFonts w:hint="default" w:ascii="宋体" w:hAnsi="宋体" w:cs="宋体"/>
                <w:kern w:val="0"/>
                <w:sz w:val="20"/>
                <w:szCs w:val="20"/>
                <w:lang w:val="en-US" w:eastAsia="zh-CN"/>
              </w:rPr>
            </w:pPr>
            <w:r>
              <w:rPr>
                <w:rFonts w:hint="eastAsia" w:asciiTheme="minorEastAsia" w:hAnsiTheme="minorEastAsia" w:cstheme="minorEastAsia"/>
                <w:kern w:val="0"/>
                <w:sz w:val="20"/>
                <w:szCs w:val="20"/>
                <w:lang w:val="en-US" w:eastAsia="zh-CN"/>
              </w:rPr>
              <w:t>功率：≥3w</w:t>
            </w:r>
          </w:p>
          <w:p w14:paraId="16426EEC">
            <w:pPr>
              <w:widowControl/>
              <w:numPr>
                <w:ilvl w:val="0"/>
                <w:numId w:val="4"/>
              </w:numPr>
              <w:jc w:val="left"/>
              <w:rPr>
                <w:rFonts w:hint="default" w:ascii="宋体" w:hAnsi="宋体" w:cs="宋体"/>
                <w:kern w:val="0"/>
                <w:sz w:val="20"/>
                <w:szCs w:val="20"/>
                <w:lang w:val="en-US" w:eastAsia="zh-CN"/>
              </w:rPr>
            </w:pPr>
            <w:r>
              <w:rPr>
                <w:rFonts w:hint="eastAsia" w:asciiTheme="minorEastAsia" w:hAnsiTheme="minorEastAsia" w:cstheme="minorEastAsia"/>
                <w:kern w:val="0"/>
                <w:sz w:val="20"/>
                <w:szCs w:val="20"/>
                <w:lang w:val="en-US" w:eastAsia="zh-CN"/>
              </w:rPr>
              <w:t>平均使用寿命：≥10万小时</w:t>
            </w:r>
          </w:p>
          <w:p w14:paraId="06C0E7F7">
            <w:pPr>
              <w:widowControl/>
              <w:numPr>
                <w:ilvl w:val="0"/>
                <w:numId w:val="4"/>
              </w:numPr>
              <w:jc w:val="left"/>
              <w:rPr>
                <w:rFonts w:hint="default" w:ascii="宋体" w:hAnsi="宋体" w:cs="宋体"/>
                <w:kern w:val="0"/>
                <w:sz w:val="20"/>
                <w:szCs w:val="20"/>
                <w:lang w:val="en-US" w:eastAsia="zh-CN"/>
              </w:rPr>
            </w:pPr>
            <w:r>
              <w:rPr>
                <w:rFonts w:hint="eastAsia" w:asciiTheme="minorEastAsia" w:hAnsiTheme="minorEastAsia" w:cstheme="minorEastAsia"/>
                <w:kern w:val="0"/>
                <w:sz w:val="20"/>
                <w:szCs w:val="20"/>
                <w:lang w:val="en-US" w:eastAsia="zh-CN"/>
              </w:rPr>
              <w:t>尺寸：</w:t>
            </w:r>
            <w:r>
              <w:rPr>
                <w:rFonts w:hint="eastAsia" w:asciiTheme="minorEastAsia" w:hAnsiTheme="minorEastAsia" w:cstheme="minorEastAsia"/>
                <w:kern w:val="0"/>
                <w:sz w:val="20"/>
                <w:szCs w:val="20"/>
              </w:rPr>
              <w:t>23*121</w:t>
            </w:r>
            <w:r>
              <w:rPr>
                <w:rFonts w:hint="eastAsia" w:asciiTheme="minorEastAsia" w:hAnsiTheme="minorEastAsia" w:cstheme="minorEastAsia"/>
                <w:kern w:val="0"/>
                <w:sz w:val="20"/>
                <w:szCs w:val="20"/>
                <w:lang w:val="en-US" w:eastAsia="zh-CN"/>
              </w:rPr>
              <w:t>mm</w:t>
            </w:r>
          </w:p>
          <w:p w14:paraId="18722AA4">
            <w:pPr>
              <w:widowControl/>
              <w:numPr>
                <w:ilvl w:val="0"/>
                <w:numId w:val="4"/>
              </w:numPr>
              <w:jc w:val="left"/>
              <w:rPr>
                <w:rFonts w:hint="default" w:ascii="宋体" w:hAnsi="宋体" w:cs="宋体"/>
                <w:kern w:val="0"/>
                <w:sz w:val="20"/>
                <w:szCs w:val="20"/>
                <w:lang w:val="en-US" w:eastAsia="zh-CN"/>
              </w:rPr>
            </w:pPr>
            <w:r>
              <w:rPr>
                <w:rFonts w:hint="eastAsia" w:asciiTheme="minorEastAsia" w:hAnsiTheme="minorEastAsia" w:cstheme="minorEastAsia"/>
                <w:kern w:val="0"/>
                <w:sz w:val="20"/>
                <w:szCs w:val="20"/>
                <w:lang w:val="en-US" w:eastAsia="zh-CN"/>
              </w:rPr>
              <w:t>重量≤94g</w:t>
            </w:r>
          </w:p>
          <w:p w14:paraId="01889029">
            <w:pPr>
              <w:widowControl/>
              <w:numPr>
                <w:ilvl w:val="0"/>
                <w:numId w:val="4"/>
              </w:numPr>
              <w:jc w:val="left"/>
              <w:rPr>
                <w:rFonts w:hint="default" w:ascii="宋体" w:hAnsi="宋体" w:cs="宋体"/>
                <w:kern w:val="0"/>
                <w:sz w:val="20"/>
                <w:szCs w:val="20"/>
                <w:lang w:val="en-US" w:eastAsia="zh-CN"/>
              </w:rPr>
            </w:pPr>
            <w:r>
              <w:rPr>
                <w:rFonts w:hint="eastAsia" w:asciiTheme="minorEastAsia" w:hAnsiTheme="minorEastAsia" w:cstheme="minorEastAsia"/>
                <w:kern w:val="0"/>
                <w:sz w:val="20"/>
                <w:szCs w:val="20"/>
                <w:lang w:val="en-US" w:eastAsia="zh-CN"/>
              </w:rPr>
              <w:t>连续放电时长：工作光≥8小时，强光≥4小时</w:t>
            </w:r>
          </w:p>
          <w:p w14:paraId="31A82C4B">
            <w:pPr>
              <w:widowControl/>
              <w:numPr>
                <w:ilvl w:val="0"/>
                <w:numId w:val="4"/>
              </w:numPr>
              <w:jc w:val="left"/>
              <w:rPr>
                <w:rFonts w:hint="default" w:ascii="宋体" w:hAnsi="宋体" w:cs="宋体"/>
                <w:kern w:val="0"/>
                <w:sz w:val="20"/>
                <w:szCs w:val="20"/>
                <w:lang w:val="en-US" w:eastAsia="zh-CN"/>
              </w:rPr>
            </w:pPr>
            <w:r>
              <w:rPr>
                <w:rFonts w:hint="eastAsia" w:asciiTheme="minorEastAsia" w:hAnsiTheme="minorEastAsia" w:cstheme="minorEastAsia"/>
                <w:kern w:val="0"/>
                <w:sz w:val="20"/>
                <w:szCs w:val="20"/>
              </w:rPr>
              <w:t>光通量</w:t>
            </w:r>
            <w:r>
              <w:rPr>
                <w:rFonts w:hint="eastAsia" w:asciiTheme="minorEastAsia" w:hAnsiTheme="minorEastAsia" w:cstheme="minorEastAsia"/>
                <w:kern w:val="0"/>
                <w:sz w:val="20"/>
                <w:szCs w:val="20"/>
                <w:lang w:val="en-US" w:eastAsia="zh-CN"/>
              </w:rPr>
              <w:t>：工作光≥110</w:t>
            </w:r>
            <w:r>
              <w:rPr>
                <w:rFonts w:hint="eastAsia" w:asciiTheme="minorEastAsia" w:hAnsiTheme="minorEastAsia" w:cstheme="minorEastAsia"/>
                <w:kern w:val="0"/>
                <w:sz w:val="20"/>
                <w:szCs w:val="20"/>
              </w:rPr>
              <w:t>lm</w:t>
            </w:r>
            <w:r>
              <w:rPr>
                <w:rFonts w:hint="eastAsia" w:asciiTheme="minorEastAsia" w:hAnsiTheme="minorEastAsia" w:cstheme="minorEastAsia"/>
                <w:kern w:val="0"/>
                <w:sz w:val="20"/>
                <w:szCs w:val="20"/>
                <w:lang w:val="en-US" w:eastAsia="zh-CN"/>
              </w:rPr>
              <w:t>，强光≥330</w:t>
            </w:r>
            <w:r>
              <w:rPr>
                <w:rFonts w:hint="eastAsia" w:asciiTheme="minorEastAsia" w:hAnsiTheme="minorEastAsia" w:cstheme="minorEastAsia"/>
                <w:kern w:val="0"/>
                <w:sz w:val="20"/>
                <w:szCs w:val="20"/>
              </w:rPr>
              <w:t>lm</w:t>
            </w:r>
          </w:p>
        </w:tc>
        <w:tc>
          <w:tcPr>
            <w:tcW w:w="624" w:type="dxa"/>
            <w:tcBorders>
              <w:tl2br w:val="nil"/>
              <w:tr2bl w:val="nil"/>
            </w:tcBorders>
            <w:shd w:val="clear" w:color="auto" w:fill="FFFFFF"/>
            <w:noWrap/>
            <w:vAlign w:val="center"/>
          </w:tcPr>
          <w:p w14:paraId="261480F1">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支</w:t>
            </w:r>
          </w:p>
        </w:tc>
        <w:tc>
          <w:tcPr>
            <w:tcW w:w="675" w:type="dxa"/>
            <w:tcBorders>
              <w:tl2br w:val="nil"/>
              <w:tr2bl w:val="nil"/>
            </w:tcBorders>
            <w:shd w:val="clear" w:color="auto" w:fill="FFFFFF"/>
            <w:noWrap/>
            <w:vAlign w:val="center"/>
          </w:tcPr>
          <w:p w14:paraId="4C1382F5">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24</w:t>
            </w:r>
          </w:p>
        </w:tc>
        <w:tc>
          <w:tcPr>
            <w:tcW w:w="1187" w:type="dxa"/>
            <w:tcBorders>
              <w:tl2br w:val="nil"/>
              <w:tr2bl w:val="nil"/>
            </w:tcBorders>
            <w:shd w:val="clear" w:color="auto" w:fill="FFFFFF"/>
            <w:noWrap/>
            <w:vAlign w:val="center"/>
          </w:tcPr>
          <w:p w14:paraId="155AE3D4">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180.00</w:t>
            </w:r>
          </w:p>
        </w:tc>
        <w:tc>
          <w:tcPr>
            <w:tcW w:w="1536" w:type="dxa"/>
            <w:tcBorders>
              <w:tl2br w:val="nil"/>
              <w:tr2bl w:val="nil"/>
            </w:tcBorders>
            <w:shd w:val="clear" w:color="auto" w:fill="FFFFFF"/>
            <w:noWrap/>
            <w:vAlign w:val="center"/>
          </w:tcPr>
          <w:p w14:paraId="28A30A18">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4320.00</w:t>
            </w:r>
          </w:p>
        </w:tc>
        <w:tc>
          <w:tcPr>
            <w:tcW w:w="984" w:type="dxa"/>
            <w:tcBorders>
              <w:tl2br w:val="nil"/>
              <w:tr2bl w:val="nil"/>
            </w:tcBorders>
            <w:shd w:val="clear" w:color="auto" w:fill="FFFFFF"/>
            <w:noWrap/>
            <w:vAlign w:val="center"/>
          </w:tcPr>
          <w:p w14:paraId="4508FD57">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37C8F1ED">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6C89AA97">
            <w:pPr>
              <w:jc w:val="center"/>
              <w:rPr>
                <w:rFonts w:hint="eastAsia" w:ascii="新宋体" w:hAnsi="新宋体" w:eastAsia="新宋体" w:cs="新宋体"/>
                <w:i w:val="0"/>
                <w:iCs w:val="0"/>
                <w:color w:val="000000"/>
                <w:sz w:val="16"/>
                <w:szCs w:val="16"/>
                <w:u w:val="none"/>
                <w:lang w:eastAsia="zh-CN"/>
              </w:rPr>
            </w:pPr>
            <w:r>
              <w:rPr>
                <w:rFonts w:asciiTheme="minorEastAsia" w:hAnsiTheme="minorEastAsia" w:cstheme="minorEastAsia"/>
                <w:b/>
                <w:bCs/>
                <w:sz w:val="36"/>
                <w:szCs w:val="36"/>
              </w:rPr>
              <w:drawing>
                <wp:inline distT="0" distB="0" distL="0" distR="0">
                  <wp:extent cx="887095" cy="681355"/>
                  <wp:effectExtent l="0" t="0" r="12065" b="4445"/>
                  <wp:docPr id="16" name="图片 9" descr="C:\Documents and Settings\Administrator\Application Data\Tencent\QQ\Temp\%VZ@A5XKKHCD2TK}``6(0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C:\Documents and Settings\Administrator\Application Data\Tencent\QQ\Temp\%VZ@A5XKKHCD2TK}``6(0JT.png"/>
                          <pic:cNvPicPr>
                            <a:picLocks noChangeAspect="1" noChangeArrowheads="1"/>
                          </pic:cNvPicPr>
                        </pic:nvPicPr>
                        <pic:blipFill>
                          <a:blip r:embed="rId13" cstate="print"/>
                          <a:srcRect/>
                          <a:stretch>
                            <a:fillRect/>
                          </a:stretch>
                        </pic:blipFill>
                        <pic:spPr>
                          <a:xfrm>
                            <a:off x="0" y="0"/>
                            <a:ext cx="887095" cy="681355"/>
                          </a:xfrm>
                          <a:prstGeom prst="rect">
                            <a:avLst/>
                          </a:prstGeom>
                          <a:noFill/>
                          <a:ln w="9525">
                            <a:noFill/>
                            <a:miter lim="800000"/>
                            <a:headEnd/>
                            <a:tailEnd/>
                          </a:ln>
                        </pic:spPr>
                      </pic:pic>
                    </a:graphicData>
                  </a:graphic>
                </wp:inline>
              </w:drawing>
            </w:r>
          </w:p>
        </w:tc>
      </w:tr>
      <w:tr w14:paraId="32F3D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6" w:hRule="atLeast"/>
          <w:jc w:val="center"/>
        </w:trPr>
        <w:tc>
          <w:tcPr>
            <w:tcW w:w="507" w:type="dxa"/>
            <w:tcBorders>
              <w:tl2br w:val="nil"/>
              <w:tr2bl w:val="nil"/>
            </w:tcBorders>
            <w:shd w:val="clear" w:color="auto" w:fill="FFFFFF"/>
            <w:noWrap/>
            <w:vAlign w:val="center"/>
          </w:tcPr>
          <w:p w14:paraId="09AB3A61">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c>
          <w:tcPr>
            <w:tcW w:w="2191" w:type="dxa"/>
            <w:tcBorders>
              <w:tl2br w:val="nil"/>
              <w:tr2bl w:val="nil"/>
            </w:tcBorders>
            <w:shd w:val="clear" w:color="auto" w:fill="FFFFFF"/>
            <w:vAlign w:val="center"/>
          </w:tcPr>
          <w:p w14:paraId="1BE0E1A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霍尼韦尔空气呼吸器SCBA805M/XC</w:t>
            </w:r>
            <w:r>
              <w:rPr>
                <w:rFonts w:hint="eastAsia" w:ascii="宋体" w:hAnsi="宋体" w:eastAsia="宋体" w:cs="宋体"/>
                <w:kern w:val="0"/>
                <w:sz w:val="20"/>
                <w:szCs w:val="20"/>
                <w:lang w:val="en-US" w:eastAsia="zh-CN"/>
              </w:rPr>
              <w:t>（含背架、</w:t>
            </w:r>
            <w:r>
              <w:rPr>
                <w:rFonts w:hint="eastAsia" w:ascii="宋体" w:hAnsi="宋体" w:eastAsia="宋体" w:cs="宋体"/>
                <w:kern w:val="0"/>
                <w:sz w:val="20"/>
                <w:szCs w:val="20"/>
                <w:lang w:val="en-US" w:eastAsia="zh-CN"/>
              </w:rPr>
              <w:t>防护罩</w:t>
            </w:r>
            <w:r>
              <w:rPr>
                <w:rFonts w:hint="eastAsia" w:ascii="宋体" w:hAnsi="宋体" w:cs="宋体"/>
                <w:kern w:val="0"/>
                <w:sz w:val="20"/>
                <w:szCs w:val="20"/>
                <w:lang w:val="en-US" w:eastAsia="zh-CN"/>
              </w:rPr>
              <w:t>和</w:t>
            </w:r>
            <w:r>
              <w:rPr>
                <w:rFonts w:hint="eastAsia" w:ascii="宋体" w:hAnsi="宋体" w:eastAsia="宋体" w:cs="宋体"/>
                <w:kern w:val="0"/>
                <w:sz w:val="20"/>
                <w:szCs w:val="20"/>
                <w:lang w:val="en-US" w:eastAsia="zh-CN"/>
              </w:rPr>
              <w:t>通讯</w:t>
            </w:r>
            <w:r>
              <w:rPr>
                <w:rFonts w:hint="eastAsia" w:ascii="宋体" w:hAnsi="宋体" w:cs="宋体"/>
                <w:kern w:val="0"/>
                <w:sz w:val="20"/>
                <w:szCs w:val="20"/>
                <w:lang w:val="en-US" w:eastAsia="zh-CN"/>
              </w:rPr>
              <w:t>系统</w:t>
            </w:r>
            <w:r>
              <w:rPr>
                <w:rFonts w:hint="eastAsia" w:ascii="宋体" w:hAnsi="宋体" w:eastAsia="宋体" w:cs="宋体"/>
                <w:kern w:val="0"/>
                <w:sz w:val="20"/>
                <w:szCs w:val="20"/>
                <w:lang w:val="en-US" w:eastAsia="zh-CN"/>
              </w:rPr>
              <w:t>等）</w:t>
            </w:r>
          </w:p>
        </w:tc>
        <w:tc>
          <w:tcPr>
            <w:tcW w:w="4489" w:type="dxa"/>
            <w:tcBorders>
              <w:tl2br w:val="nil"/>
              <w:tr2bl w:val="nil"/>
            </w:tcBorders>
            <w:shd w:val="clear" w:color="auto" w:fill="FFFFFF"/>
            <w:vAlign w:val="center"/>
          </w:tcPr>
          <w:p w14:paraId="467C33AD">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SCBA805M/XC</w:t>
            </w:r>
            <w:bookmarkStart w:id="0" w:name="_GoBack"/>
            <w:bookmarkEnd w:id="0"/>
          </w:p>
          <w:p w14:paraId="70434AC8">
            <w:pPr>
              <w:widowControl/>
              <w:jc w:val="cente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提供消防认证证书和国家消防装备质量监督检验中心的检测报告</w:t>
            </w:r>
          </w:p>
        </w:tc>
        <w:tc>
          <w:tcPr>
            <w:tcW w:w="624" w:type="dxa"/>
            <w:tcBorders>
              <w:tl2br w:val="nil"/>
              <w:tr2bl w:val="nil"/>
            </w:tcBorders>
            <w:shd w:val="clear" w:color="auto" w:fill="FFFFFF"/>
            <w:noWrap/>
            <w:vAlign w:val="center"/>
          </w:tcPr>
          <w:p w14:paraId="289A111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675" w:type="dxa"/>
            <w:tcBorders>
              <w:tl2br w:val="nil"/>
              <w:tr2bl w:val="nil"/>
            </w:tcBorders>
            <w:shd w:val="clear" w:color="auto" w:fill="FFFFFF"/>
            <w:noWrap/>
            <w:vAlign w:val="center"/>
          </w:tcPr>
          <w:p w14:paraId="0EFEE3E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1187" w:type="dxa"/>
            <w:tcBorders>
              <w:tl2br w:val="nil"/>
              <w:tr2bl w:val="nil"/>
            </w:tcBorders>
            <w:shd w:val="clear" w:color="auto" w:fill="FFFFFF"/>
            <w:noWrap/>
            <w:vAlign w:val="center"/>
          </w:tcPr>
          <w:p w14:paraId="56938254">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9600</w:t>
            </w:r>
            <w:r>
              <w:rPr>
                <w:rFonts w:hint="eastAsia" w:ascii="宋体" w:hAnsi="宋体" w:eastAsia="宋体" w:cs="宋体"/>
                <w:kern w:val="0"/>
                <w:sz w:val="20"/>
                <w:szCs w:val="20"/>
                <w:lang w:val="en-US" w:eastAsia="zh-CN"/>
              </w:rPr>
              <w:t>.00</w:t>
            </w:r>
          </w:p>
        </w:tc>
        <w:tc>
          <w:tcPr>
            <w:tcW w:w="1536" w:type="dxa"/>
            <w:tcBorders>
              <w:tl2br w:val="nil"/>
              <w:tr2bl w:val="nil"/>
            </w:tcBorders>
            <w:shd w:val="clear" w:color="auto" w:fill="FFFFFF"/>
            <w:noWrap/>
            <w:vAlign w:val="center"/>
          </w:tcPr>
          <w:p w14:paraId="0FDAD8F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r>
              <w:rPr>
                <w:rFonts w:hint="eastAsia" w:ascii="宋体" w:hAnsi="宋体" w:cs="宋体"/>
                <w:kern w:val="0"/>
                <w:sz w:val="20"/>
                <w:szCs w:val="20"/>
                <w:lang w:val="en-US" w:eastAsia="zh-CN"/>
              </w:rPr>
              <w:t>8000</w:t>
            </w:r>
            <w:r>
              <w:rPr>
                <w:rFonts w:hint="eastAsia" w:ascii="宋体" w:hAnsi="宋体" w:eastAsia="宋体" w:cs="宋体"/>
                <w:kern w:val="0"/>
                <w:sz w:val="20"/>
                <w:szCs w:val="20"/>
                <w:lang w:val="en-US" w:eastAsia="zh-CN"/>
              </w:rPr>
              <w:t>.00</w:t>
            </w:r>
          </w:p>
        </w:tc>
        <w:tc>
          <w:tcPr>
            <w:tcW w:w="984" w:type="dxa"/>
            <w:tcBorders>
              <w:tl2br w:val="nil"/>
              <w:tr2bl w:val="nil"/>
            </w:tcBorders>
            <w:shd w:val="clear" w:color="auto" w:fill="FFFFFF"/>
            <w:noWrap/>
            <w:vAlign w:val="center"/>
          </w:tcPr>
          <w:p w14:paraId="19A55323">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40DA20C6">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1109CDCB">
            <w:pPr>
              <w:jc w:val="center"/>
              <w:rPr>
                <w:rFonts w:hint="eastAsia" w:ascii="新宋体" w:hAnsi="新宋体" w:eastAsia="新宋体" w:cs="新宋体"/>
                <w:i w:val="0"/>
                <w:iCs w:val="0"/>
                <w:color w:val="000000"/>
                <w:sz w:val="16"/>
                <w:szCs w:val="16"/>
                <w:u w:val="none"/>
                <w:lang w:eastAsia="zh-CN"/>
              </w:rPr>
            </w:pPr>
            <w:r>
              <w:drawing>
                <wp:inline distT="0" distB="0" distL="114300" distR="114300">
                  <wp:extent cx="1209675" cy="1027430"/>
                  <wp:effectExtent l="0" t="0" r="9525" b="889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4"/>
                          <a:stretch>
                            <a:fillRect/>
                          </a:stretch>
                        </pic:blipFill>
                        <pic:spPr>
                          <a:xfrm>
                            <a:off x="0" y="0"/>
                            <a:ext cx="1209675" cy="1027430"/>
                          </a:xfrm>
                          <a:prstGeom prst="rect">
                            <a:avLst/>
                          </a:prstGeom>
                          <a:noFill/>
                          <a:ln>
                            <a:noFill/>
                          </a:ln>
                        </pic:spPr>
                      </pic:pic>
                    </a:graphicData>
                  </a:graphic>
                </wp:inline>
              </w:drawing>
            </w:r>
          </w:p>
        </w:tc>
      </w:tr>
      <w:tr w14:paraId="3F5EE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4" w:hRule="atLeast"/>
          <w:jc w:val="center"/>
        </w:trPr>
        <w:tc>
          <w:tcPr>
            <w:tcW w:w="507" w:type="dxa"/>
            <w:tcBorders>
              <w:tl2br w:val="nil"/>
              <w:tr2bl w:val="nil"/>
            </w:tcBorders>
            <w:shd w:val="clear" w:color="auto" w:fill="FFFFFF"/>
            <w:noWrap/>
            <w:vAlign w:val="center"/>
          </w:tcPr>
          <w:p w14:paraId="7E5F1A6D">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w:t>
            </w:r>
          </w:p>
        </w:tc>
        <w:tc>
          <w:tcPr>
            <w:tcW w:w="2191" w:type="dxa"/>
            <w:tcBorders>
              <w:tl2br w:val="nil"/>
              <w:tr2bl w:val="nil"/>
            </w:tcBorders>
            <w:shd w:val="clear" w:color="auto" w:fill="FFFFFF"/>
            <w:vAlign w:val="center"/>
          </w:tcPr>
          <w:p w14:paraId="1B466A6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霍尼韦尔备用气瓶6.8L</w:t>
            </w:r>
          </w:p>
        </w:tc>
        <w:tc>
          <w:tcPr>
            <w:tcW w:w="4489" w:type="dxa"/>
            <w:tcBorders>
              <w:tl2br w:val="nil"/>
              <w:tr2bl w:val="nil"/>
            </w:tcBorders>
            <w:shd w:val="clear" w:color="auto" w:fill="FFFFFF"/>
            <w:vAlign w:val="center"/>
          </w:tcPr>
          <w:p w14:paraId="60B84B4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6.8L</w:t>
            </w:r>
          </w:p>
        </w:tc>
        <w:tc>
          <w:tcPr>
            <w:tcW w:w="624" w:type="dxa"/>
            <w:tcBorders>
              <w:tl2br w:val="nil"/>
              <w:tr2bl w:val="nil"/>
            </w:tcBorders>
            <w:shd w:val="clear" w:color="auto" w:fill="FFFFFF"/>
            <w:noWrap/>
            <w:vAlign w:val="center"/>
          </w:tcPr>
          <w:p w14:paraId="51E4C5C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瓶</w:t>
            </w:r>
          </w:p>
        </w:tc>
        <w:tc>
          <w:tcPr>
            <w:tcW w:w="675" w:type="dxa"/>
            <w:tcBorders>
              <w:tl2br w:val="nil"/>
              <w:tr2bl w:val="nil"/>
            </w:tcBorders>
            <w:shd w:val="clear" w:color="auto" w:fill="FFFFFF"/>
            <w:noWrap/>
            <w:vAlign w:val="center"/>
          </w:tcPr>
          <w:p w14:paraId="25CE17C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1187" w:type="dxa"/>
            <w:tcBorders>
              <w:tl2br w:val="nil"/>
              <w:tr2bl w:val="nil"/>
            </w:tcBorders>
            <w:shd w:val="clear" w:color="auto" w:fill="FFFFFF"/>
            <w:noWrap/>
            <w:vAlign w:val="center"/>
          </w:tcPr>
          <w:p w14:paraId="4857D5B8">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1995</w:t>
            </w:r>
            <w:r>
              <w:rPr>
                <w:rFonts w:hint="eastAsia" w:ascii="宋体" w:hAnsi="宋体" w:eastAsia="宋体" w:cs="宋体"/>
                <w:kern w:val="0"/>
                <w:sz w:val="20"/>
                <w:szCs w:val="20"/>
                <w:lang w:val="en-US" w:eastAsia="zh-CN"/>
              </w:rPr>
              <w:t>.00</w:t>
            </w:r>
          </w:p>
        </w:tc>
        <w:tc>
          <w:tcPr>
            <w:tcW w:w="1536" w:type="dxa"/>
            <w:tcBorders>
              <w:tl2br w:val="nil"/>
              <w:tr2bl w:val="nil"/>
            </w:tcBorders>
            <w:shd w:val="clear" w:color="auto" w:fill="FFFFFF"/>
            <w:noWrap/>
            <w:vAlign w:val="center"/>
          </w:tcPr>
          <w:p w14:paraId="59D296F7">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9975</w:t>
            </w:r>
            <w:r>
              <w:rPr>
                <w:rFonts w:hint="eastAsia" w:ascii="宋体" w:hAnsi="宋体" w:eastAsia="宋体" w:cs="宋体"/>
                <w:kern w:val="0"/>
                <w:sz w:val="20"/>
                <w:szCs w:val="20"/>
                <w:lang w:val="en-US" w:eastAsia="zh-CN"/>
              </w:rPr>
              <w:t>.00</w:t>
            </w:r>
          </w:p>
        </w:tc>
        <w:tc>
          <w:tcPr>
            <w:tcW w:w="984" w:type="dxa"/>
            <w:tcBorders>
              <w:tl2br w:val="nil"/>
              <w:tr2bl w:val="nil"/>
            </w:tcBorders>
            <w:shd w:val="clear" w:color="auto" w:fill="FFFFFF"/>
            <w:noWrap/>
            <w:vAlign w:val="center"/>
          </w:tcPr>
          <w:p w14:paraId="19AB38D0">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145735D2">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091A3213">
            <w:pPr>
              <w:jc w:val="center"/>
              <w:rPr>
                <w:rFonts w:hint="eastAsia" w:ascii="新宋体" w:hAnsi="新宋体" w:eastAsia="新宋体" w:cs="新宋体"/>
                <w:i w:val="0"/>
                <w:iCs w:val="0"/>
                <w:color w:val="000000"/>
                <w:sz w:val="16"/>
                <w:szCs w:val="16"/>
                <w:u w:val="none"/>
              </w:rPr>
            </w:pPr>
            <w:r>
              <w:drawing>
                <wp:inline distT="0" distB="0" distL="114300" distR="114300">
                  <wp:extent cx="563880" cy="643890"/>
                  <wp:effectExtent l="0" t="0" r="0"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stretch>
                            <a:fillRect/>
                          </a:stretch>
                        </pic:blipFill>
                        <pic:spPr>
                          <a:xfrm>
                            <a:off x="0" y="0"/>
                            <a:ext cx="563880" cy="643890"/>
                          </a:xfrm>
                          <a:prstGeom prst="rect">
                            <a:avLst/>
                          </a:prstGeom>
                          <a:noFill/>
                          <a:ln>
                            <a:noFill/>
                          </a:ln>
                        </pic:spPr>
                      </pic:pic>
                    </a:graphicData>
                  </a:graphic>
                </wp:inline>
              </w:drawing>
            </w:r>
          </w:p>
        </w:tc>
      </w:tr>
      <w:tr w14:paraId="4CB6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4" w:hRule="atLeast"/>
          <w:jc w:val="center"/>
        </w:trPr>
        <w:tc>
          <w:tcPr>
            <w:tcW w:w="507" w:type="dxa"/>
            <w:tcBorders>
              <w:tl2br w:val="nil"/>
              <w:tr2bl w:val="nil"/>
            </w:tcBorders>
            <w:shd w:val="clear" w:color="auto" w:fill="FFFFFF"/>
            <w:noWrap/>
            <w:vAlign w:val="center"/>
          </w:tcPr>
          <w:p w14:paraId="2806BAF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总计</w:t>
            </w:r>
          </w:p>
        </w:tc>
        <w:tc>
          <w:tcPr>
            <w:tcW w:w="2191" w:type="dxa"/>
            <w:tcBorders>
              <w:tl2br w:val="nil"/>
              <w:tr2bl w:val="nil"/>
            </w:tcBorders>
            <w:shd w:val="clear" w:color="auto" w:fill="FFFFFF"/>
            <w:vAlign w:val="center"/>
          </w:tcPr>
          <w:p w14:paraId="3E4C1757">
            <w:pPr>
              <w:widowControl/>
              <w:jc w:val="center"/>
              <w:rPr>
                <w:rFonts w:hint="eastAsia" w:ascii="宋体" w:hAnsi="宋体" w:eastAsia="宋体" w:cs="宋体"/>
                <w:kern w:val="0"/>
                <w:sz w:val="20"/>
                <w:szCs w:val="20"/>
                <w:lang w:val="en-US" w:eastAsia="zh-CN"/>
              </w:rPr>
            </w:pPr>
          </w:p>
        </w:tc>
        <w:tc>
          <w:tcPr>
            <w:tcW w:w="4489" w:type="dxa"/>
            <w:tcBorders>
              <w:tl2br w:val="nil"/>
              <w:tr2bl w:val="nil"/>
            </w:tcBorders>
            <w:shd w:val="clear" w:color="auto" w:fill="FFFFFF"/>
            <w:vAlign w:val="center"/>
          </w:tcPr>
          <w:p w14:paraId="0C59D69A">
            <w:pPr>
              <w:widowControl/>
              <w:jc w:val="center"/>
              <w:rPr>
                <w:rFonts w:hint="eastAsia" w:ascii="宋体" w:hAnsi="宋体" w:eastAsia="宋体" w:cs="宋体"/>
                <w:kern w:val="0"/>
                <w:sz w:val="20"/>
                <w:szCs w:val="20"/>
                <w:lang w:val="en-US" w:eastAsia="zh-CN"/>
              </w:rPr>
            </w:pPr>
          </w:p>
        </w:tc>
        <w:tc>
          <w:tcPr>
            <w:tcW w:w="624" w:type="dxa"/>
            <w:tcBorders>
              <w:tl2br w:val="nil"/>
              <w:tr2bl w:val="nil"/>
            </w:tcBorders>
            <w:shd w:val="clear" w:color="auto" w:fill="FFFFFF"/>
            <w:noWrap/>
            <w:vAlign w:val="center"/>
          </w:tcPr>
          <w:p w14:paraId="0E7A1821">
            <w:pPr>
              <w:widowControl/>
              <w:jc w:val="center"/>
              <w:rPr>
                <w:rFonts w:hint="eastAsia" w:ascii="宋体" w:hAnsi="宋体" w:eastAsia="宋体" w:cs="宋体"/>
                <w:kern w:val="0"/>
                <w:sz w:val="20"/>
                <w:szCs w:val="20"/>
                <w:lang w:val="en-US" w:eastAsia="zh-CN"/>
              </w:rPr>
            </w:pPr>
          </w:p>
        </w:tc>
        <w:tc>
          <w:tcPr>
            <w:tcW w:w="675" w:type="dxa"/>
            <w:tcBorders>
              <w:tl2br w:val="nil"/>
              <w:tr2bl w:val="nil"/>
            </w:tcBorders>
            <w:shd w:val="clear" w:color="auto" w:fill="FFFFFF"/>
            <w:noWrap/>
            <w:vAlign w:val="center"/>
          </w:tcPr>
          <w:p w14:paraId="5712A406">
            <w:pPr>
              <w:widowControl/>
              <w:jc w:val="center"/>
              <w:rPr>
                <w:rFonts w:hint="eastAsia" w:ascii="宋体" w:hAnsi="宋体" w:eastAsia="宋体" w:cs="宋体"/>
                <w:kern w:val="0"/>
                <w:sz w:val="20"/>
                <w:szCs w:val="20"/>
                <w:lang w:val="en-US" w:eastAsia="zh-CN"/>
              </w:rPr>
            </w:pPr>
          </w:p>
        </w:tc>
        <w:tc>
          <w:tcPr>
            <w:tcW w:w="1187" w:type="dxa"/>
            <w:tcBorders>
              <w:tl2br w:val="nil"/>
              <w:tr2bl w:val="nil"/>
            </w:tcBorders>
            <w:shd w:val="clear" w:color="auto" w:fill="FFFFFF"/>
            <w:noWrap/>
            <w:vAlign w:val="center"/>
          </w:tcPr>
          <w:p w14:paraId="5FCD44FE">
            <w:pPr>
              <w:widowControl/>
              <w:jc w:val="center"/>
              <w:rPr>
                <w:rFonts w:hint="eastAsia" w:ascii="宋体" w:hAnsi="宋体" w:eastAsia="宋体" w:cs="宋体"/>
                <w:kern w:val="0"/>
                <w:sz w:val="20"/>
                <w:szCs w:val="20"/>
                <w:lang w:val="en-US" w:eastAsia="zh-CN"/>
              </w:rPr>
            </w:pPr>
          </w:p>
        </w:tc>
        <w:tc>
          <w:tcPr>
            <w:tcW w:w="1536" w:type="dxa"/>
            <w:tcBorders>
              <w:tl2br w:val="nil"/>
              <w:tr2bl w:val="nil"/>
            </w:tcBorders>
            <w:shd w:val="clear" w:color="auto" w:fill="FFFFFF"/>
            <w:noWrap/>
            <w:vAlign w:val="center"/>
          </w:tcPr>
          <w:p w14:paraId="10B534A3">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97215.00</w:t>
            </w:r>
          </w:p>
        </w:tc>
        <w:tc>
          <w:tcPr>
            <w:tcW w:w="984" w:type="dxa"/>
            <w:tcBorders>
              <w:tl2br w:val="nil"/>
              <w:tr2bl w:val="nil"/>
            </w:tcBorders>
            <w:shd w:val="clear" w:color="auto" w:fill="FFFFFF"/>
            <w:noWrap/>
            <w:vAlign w:val="center"/>
          </w:tcPr>
          <w:p w14:paraId="43C5EFCA">
            <w:pPr>
              <w:widowControl/>
              <w:jc w:val="center"/>
              <w:rPr>
                <w:rFonts w:hint="eastAsia" w:ascii="宋体" w:hAnsi="宋体" w:eastAsia="宋体" w:cs="宋体"/>
                <w:kern w:val="0"/>
                <w:sz w:val="20"/>
                <w:szCs w:val="20"/>
                <w:lang w:val="en-US" w:eastAsia="zh-CN"/>
              </w:rPr>
            </w:pPr>
          </w:p>
        </w:tc>
        <w:tc>
          <w:tcPr>
            <w:tcW w:w="1253" w:type="dxa"/>
            <w:tcBorders>
              <w:tl2br w:val="nil"/>
              <w:tr2bl w:val="nil"/>
            </w:tcBorders>
            <w:shd w:val="clear" w:color="auto" w:fill="FFFFFF"/>
            <w:noWrap/>
            <w:vAlign w:val="center"/>
          </w:tcPr>
          <w:p w14:paraId="534830A9">
            <w:pPr>
              <w:jc w:val="center"/>
              <w:rPr>
                <w:rFonts w:hint="eastAsia" w:ascii="新宋体" w:hAnsi="新宋体" w:eastAsia="新宋体" w:cs="新宋体"/>
                <w:i w:val="0"/>
                <w:iCs w:val="0"/>
                <w:color w:val="000000"/>
                <w:sz w:val="16"/>
                <w:szCs w:val="16"/>
                <w:u w:val="none"/>
              </w:rPr>
            </w:pPr>
          </w:p>
        </w:tc>
        <w:tc>
          <w:tcPr>
            <w:tcW w:w="2123" w:type="dxa"/>
            <w:tcBorders>
              <w:tl2br w:val="nil"/>
              <w:tr2bl w:val="nil"/>
            </w:tcBorders>
            <w:shd w:val="clear" w:color="auto" w:fill="FFFFFF"/>
            <w:noWrap/>
            <w:vAlign w:val="center"/>
          </w:tcPr>
          <w:p w14:paraId="078B0F8B">
            <w:pPr>
              <w:jc w:val="center"/>
            </w:pPr>
          </w:p>
        </w:tc>
      </w:tr>
    </w:tbl>
    <w:p w14:paraId="26AF50EB">
      <w:pPr>
        <w:pStyle w:val="13"/>
        <w:jc w:val="left"/>
        <w:rPr>
          <w:rFonts w:hint="eastAsia" w:ascii="仿宋_GB2312" w:hAnsi="宋体" w:eastAsia="仿宋_GB2312" w:cs="宋体"/>
          <w:kern w:val="0"/>
          <w:sz w:val="24"/>
        </w:rPr>
      </w:pPr>
    </w:p>
    <w:p w14:paraId="3CCD3611">
      <w:pPr>
        <w:pStyle w:val="13"/>
        <w:jc w:val="left"/>
        <w:rPr>
          <w:rFonts w:hint="eastAsia" w:hAnsi="宋体" w:cs="宋体"/>
          <w:kern w:val="0"/>
          <w:sz w:val="20"/>
        </w:rPr>
      </w:pPr>
    </w:p>
    <w:p w14:paraId="2349E139">
      <w:pPr>
        <w:pStyle w:val="13"/>
        <w:jc w:val="left"/>
        <w:rPr>
          <w:rFonts w:hint="eastAsia" w:hAnsi="宋体" w:cs="宋体"/>
          <w:kern w:val="0"/>
          <w:sz w:val="20"/>
          <w:lang w:val="en-US" w:eastAsia="zh-CN"/>
        </w:rPr>
      </w:pPr>
      <w:r>
        <w:rPr>
          <w:rFonts w:hint="eastAsia" w:hAnsi="宋体" w:cs="宋体"/>
          <w:kern w:val="0"/>
          <w:sz w:val="20"/>
        </w:rPr>
        <w:t>备注</w:t>
      </w:r>
      <w:r>
        <w:rPr>
          <w:rFonts w:hint="eastAsia" w:hAnsi="宋体" w:cs="宋体"/>
          <w:kern w:val="0"/>
          <w:sz w:val="20"/>
          <w:lang w:eastAsia="zh-CN"/>
        </w:rPr>
        <w:t>：</w:t>
      </w:r>
      <w:r>
        <w:rPr>
          <w:rFonts w:hint="eastAsia" w:hAnsi="宋体" w:cs="宋体"/>
          <w:kern w:val="0"/>
          <w:sz w:val="20"/>
          <w:lang w:val="en-US" w:eastAsia="zh-CN"/>
        </w:rPr>
        <w:t>报价须盖骑缝章。</w:t>
      </w:r>
    </w:p>
    <w:p w14:paraId="06E4E97F">
      <w:pPr>
        <w:pStyle w:val="13"/>
        <w:ind w:left="420" w:leftChars="0" w:firstLine="420" w:firstLineChars="0"/>
        <w:jc w:val="left"/>
        <w:rPr>
          <w:rFonts w:hint="default" w:hAnsi="宋体" w:cs="宋体"/>
          <w:kern w:val="0"/>
          <w:sz w:val="20"/>
          <w:lang w:val="en-US" w:eastAsia="zh-CN"/>
        </w:rPr>
      </w:pPr>
    </w:p>
    <w:p w14:paraId="30B70A45">
      <w:pPr>
        <w:spacing w:line="380" w:lineRule="exact"/>
        <w:ind w:firstLine="9830" w:firstLineChars="4681"/>
        <w:rPr>
          <w:b/>
        </w:rPr>
      </w:pPr>
      <w:r>
        <w:rPr>
          <w:rFonts w:hint="eastAsia"/>
          <w:b/>
        </w:rPr>
        <w:t>报价人盖章：</w:t>
      </w:r>
    </w:p>
    <w:p w14:paraId="5DBA931A">
      <w:pPr>
        <w:spacing w:line="380" w:lineRule="exact"/>
        <w:ind w:firstLine="9830" w:firstLineChars="4681"/>
        <w:rPr>
          <w:b/>
        </w:rPr>
      </w:pPr>
      <w:r>
        <w:rPr>
          <w:rFonts w:hint="eastAsia"/>
          <w:b/>
        </w:rPr>
        <w:t>报价人联系方式：</w:t>
      </w:r>
    </w:p>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F02D">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14:paraId="369EA3C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1505">
    <w:pPr>
      <w:pStyle w:val="5"/>
      <w:framePr w:wrap="around" w:vAnchor="text" w:hAnchor="margin" w:xAlign="center" w:y="1"/>
      <w:rPr>
        <w:rStyle w:val="10"/>
      </w:rPr>
    </w:pPr>
    <w:r>
      <w:fldChar w:fldCharType="begin"/>
    </w:r>
    <w:r>
      <w:rPr>
        <w:rStyle w:val="10"/>
      </w:rPr>
      <w:instrText xml:space="preserve">PAGE  </w:instrText>
    </w:r>
    <w:r>
      <w:fldChar w:fldCharType="end"/>
    </w:r>
  </w:p>
  <w:p w14:paraId="423A483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FE4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4454F"/>
    <w:multiLevelType w:val="singleLevel"/>
    <w:tmpl w:val="B9B4454F"/>
    <w:lvl w:ilvl="0" w:tentative="0">
      <w:start w:val="1"/>
      <w:numFmt w:val="decimal"/>
      <w:suff w:val="nothing"/>
      <w:lvlText w:val="%1、"/>
      <w:lvlJc w:val="left"/>
    </w:lvl>
  </w:abstractNum>
  <w:abstractNum w:abstractNumId="1">
    <w:nsid w:val="D8F93920"/>
    <w:multiLevelType w:val="singleLevel"/>
    <w:tmpl w:val="D8F93920"/>
    <w:lvl w:ilvl="0" w:tentative="0">
      <w:start w:val="1"/>
      <w:numFmt w:val="decimal"/>
      <w:suff w:val="nothing"/>
      <w:lvlText w:val="%1、"/>
      <w:lvlJc w:val="left"/>
    </w:lvl>
  </w:abstractNum>
  <w:abstractNum w:abstractNumId="2">
    <w:nsid w:val="2496F40D"/>
    <w:multiLevelType w:val="singleLevel"/>
    <w:tmpl w:val="2496F40D"/>
    <w:lvl w:ilvl="0" w:tentative="0">
      <w:start w:val="1"/>
      <w:numFmt w:val="decimal"/>
      <w:suff w:val="nothing"/>
      <w:lvlText w:val="%1、"/>
      <w:lvlJc w:val="left"/>
    </w:lvl>
  </w:abstractNum>
  <w:abstractNum w:abstractNumId="3">
    <w:nsid w:val="45A3C384"/>
    <w:multiLevelType w:val="singleLevel"/>
    <w:tmpl w:val="45A3C384"/>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DJiZTljYjE4ZWYxZDkzNWU0ODkxMjQxMWM0ZmEifQ=="/>
  </w:docVars>
  <w:rsids>
    <w:rsidRoot w:val="00E14A0C"/>
    <w:rsid w:val="0000047E"/>
    <w:rsid w:val="0002179C"/>
    <w:rsid w:val="00022C1E"/>
    <w:rsid w:val="0003233C"/>
    <w:rsid w:val="00034FFB"/>
    <w:rsid w:val="0003709E"/>
    <w:rsid w:val="00040356"/>
    <w:rsid w:val="0004578F"/>
    <w:rsid w:val="00063188"/>
    <w:rsid w:val="00066743"/>
    <w:rsid w:val="00070480"/>
    <w:rsid w:val="00071795"/>
    <w:rsid w:val="0007539F"/>
    <w:rsid w:val="00075D64"/>
    <w:rsid w:val="000818C9"/>
    <w:rsid w:val="000842DD"/>
    <w:rsid w:val="00084CBD"/>
    <w:rsid w:val="000930F1"/>
    <w:rsid w:val="00095CA7"/>
    <w:rsid w:val="000A0A5A"/>
    <w:rsid w:val="000A3D43"/>
    <w:rsid w:val="000A5FFB"/>
    <w:rsid w:val="000A7A62"/>
    <w:rsid w:val="000C439B"/>
    <w:rsid w:val="000E007A"/>
    <w:rsid w:val="000E25C4"/>
    <w:rsid w:val="000E488A"/>
    <w:rsid w:val="000E5C55"/>
    <w:rsid w:val="000F337A"/>
    <w:rsid w:val="000F497D"/>
    <w:rsid w:val="001023F7"/>
    <w:rsid w:val="0010385E"/>
    <w:rsid w:val="00123332"/>
    <w:rsid w:val="0012642C"/>
    <w:rsid w:val="00134226"/>
    <w:rsid w:val="00141D43"/>
    <w:rsid w:val="001433A4"/>
    <w:rsid w:val="00143AAB"/>
    <w:rsid w:val="001445C8"/>
    <w:rsid w:val="00152418"/>
    <w:rsid w:val="001548CA"/>
    <w:rsid w:val="00171106"/>
    <w:rsid w:val="001C6C12"/>
    <w:rsid w:val="001D2535"/>
    <w:rsid w:val="001D7914"/>
    <w:rsid w:val="002039C8"/>
    <w:rsid w:val="002275B0"/>
    <w:rsid w:val="00252183"/>
    <w:rsid w:val="0025297D"/>
    <w:rsid w:val="002666BF"/>
    <w:rsid w:val="0028003C"/>
    <w:rsid w:val="00284D3F"/>
    <w:rsid w:val="00285183"/>
    <w:rsid w:val="00295DD8"/>
    <w:rsid w:val="002A1001"/>
    <w:rsid w:val="002A59D9"/>
    <w:rsid w:val="002B2BEA"/>
    <w:rsid w:val="002C65B6"/>
    <w:rsid w:val="002D3808"/>
    <w:rsid w:val="002D773D"/>
    <w:rsid w:val="002E051B"/>
    <w:rsid w:val="002E5941"/>
    <w:rsid w:val="002F2070"/>
    <w:rsid w:val="002F598E"/>
    <w:rsid w:val="003031B0"/>
    <w:rsid w:val="00315AB1"/>
    <w:rsid w:val="0032307B"/>
    <w:rsid w:val="0033414A"/>
    <w:rsid w:val="003504CF"/>
    <w:rsid w:val="00360403"/>
    <w:rsid w:val="00364C26"/>
    <w:rsid w:val="00374776"/>
    <w:rsid w:val="00376129"/>
    <w:rsid w:val="00381944"/>
    <w:rsid w:val="003824A8"/>
    <w:rsid w:val="00386A53"/>
    <w:rsid w:val="003961B7"/>
    <w:rsid w:val="003C16F9"/>
    <w:rsid w:val="003C4F95"/>
    <w:rsid w:val="003D04DB"/>
    <w:rsid w:val="003E273F"/>
    <w:rsid w:val="003E73AA"/>
    <w:rsid w:val="003F014C"/>
    <w:rsid w:val="003F4F7A"/>
    <w:rsid w:val="004016A8"/>
    <w:rsid w:val="00402646"/>
    <w:rsid w:val="00402C0E"/>
    <w:rsid w:val="004072BF"/>
    <w:rsid w:val="00412060"/>
    <w:rsid w:val="004129A1"/>
    <w:rsid w:val="00413C22"/>
    <w:rsid w:val="004142BD"/>
    <w:rsid w:val="00414526"/>
    <w:rsid w:val="00424E45"/>
    <w:rsid w:val="00425638"/>
    <w:rsid w:val="004279C5"/>
    <w:rsid w:val="00436DFD"/>
    <w:rsid w:val="00442742"/>
    <w:rsid w:val="0045031D"/>
    <w:rsid w:val="004524A0"/>
    <w:rsid w:val="00453A90"/>
    <w:rsid w:val="004660DF"/>
    <w:rsid w:val="00481118"/>
    <w:rsid w:val="004949CB"/>
    <w:rsid w:val="004A4101"/>
    <w:rsid w:val="004A6B4C"/>
    <w:rsid w:val="004B626C"/>
    <w:rsid w:val="004B7367"/>
    <w:rsid w:val="004E1143"/>
    <w:rsid w:val="004E2213"/>
    <w:rsid w:val="004E22E7"/>
    <w:rsid w:val="004E40BA"/>
    <w:rsid w:val="00506D76"/>
    <w:rsid w:val="00512544"/>
    <w:rsid w:val="00516CEE"/>
    <w:rsid w:val="005272DC"/>
    <w:rsid w:val="0053132C"/>
    <w:rsid w:val="0054417D"/>
    <w:rsid w:val="00544DD6"/>
    <w:rsid w:val="005458FC"/>
    <w:rsid w:val="00545ECB"/>
    <w:rsid w:val="005466CC"/>
    <w:rsid w:val="00550CD7"/>
    <w:rsid w:val="00552D43"/>
    <w:rsid w:val="0055567E"/>
    <w:rsid w:val="00561207"/>
    <w:rsid w:val="005618F9"/>
    <w:rsid w:val="005626C7"/>
    <w:rsid w:val="005678CB"/>
    <w:rsid w:val="005747F1"/>
    <w:rsid w:val="005842FF"/>
    <w:rsid w:val="005A3D94"/>
    <w:rsid w:val="005B463E"/>
    <w:rsid w:val="005B6D59"/>
    <w:rsid w:val="005C10D6"/>
    <w:rsid w:val="005C2E16"/>
    <w:rsid w:val="005E597E"/>
    <w:rsid w:val="005F2CD3"/>
    <w:rsid w:val="00605101"/>
    <w:rsid w:val="00606549"/>
    <w:rsid w:val="006117B8"/>
    <w:rsid w:val="006147D8"/>
    <w:rsid w:val="00631511"/>
    <w:rsid w:val="00640E5E"/>
    <w:rsid w:val="00641D9F"/>
    <w:rsid w:val="00643230"/>
    <w:rsid w:val="00654FFA"/>
    <w:rsid w:val="00656EC4"/>
    <w:rsid w:val="006628E8"/>
    <w:rsid w:val="006652AA"/>
    <w:rsid w:val="0066765B"/>
    <w:rsid w:val="00667AEF"/>
    <w:rsid w:val="006703FC"/>
    <w:rsid w:val="0067047E"/>
    <w:rsid w:val="00672D29"/>
    <w:rsid w:val="006761EC"/>
    <w:rsid w:val="00680F5E"/>
    <w:rsid w:val="00685AA3"/>
    <w:rsid w:val="006908F7"/>
    <w:rsid w:val="00694841"/>
    <w:rsid w:val="00696996"/>
    <w:rsid w:val="006D05DD"/>
    <w:rsid w:val="006D2B15"/>
    <w:rsid w:val="006E7A7F"/>
    <w:rsid w:val="006F177D"/>
    <w:rsid w:val="0070635E"/>
    <w:rsid w:val="00722F95"/>
    <w:rsid w:val="00726335"/>
    <w:rsid w:val="00734A65"/>
    <w:rsid w:val="00744F6B"/>
    <w:rsid w:val="00754F68"/>
    <w:rsid w:val="007550D8"/>
    <w:rsid w:val="00766061"/>
    <w:rsid w:val="0076676D"/>
    <w:rsid w:val="00771006"/>
    <w:rsid w:val="0077514D"/>
    <w:rsid w:val="00775F49"/>
    <w:rsid w:val="007A5587"/>
    <w:rsid w:val="007A6307"/>
    <w:rsid w:val="007B2A74"/>
    <w:rsid w:val="007B70CE"/>
    <w:rsid w:val="007D3E01"/>
    <w:rsid w:val="007E7BD7"/>
    <w:rsid w:val="007F63B9"/>
    <w:rsid w:val="00800D9E"/>
    <w:rsid w:val="008104DD"/>
    <w:rsid w:val="0082518E"/>
    <w:rsid w:val="0083017B"/>
    <w:rsid w:val="00846453"/>
    <w:rsid w:val="0086690B"/>
    <w:rsid w:val="008671E1"/>
    <w:rsid w:val="008966A3"/>
    <w:rsid w:val="008A7002"/>
    <w:rsid w:val="008B00D9"/>
    <w:rsid w:val="008B69C5"/>
    <w:rsid w:val="008C3113"/>
    <w:rsid w:val="008C7F9E"/>
    <w:rsid w:val="00901A80"/>
    <w:rsid w:val="00916F5C"/>
    <w:rsid w:val="00924FA0"/>
    <w:rsid w:val="00927901"/>
    <w:rsid w:val="00940A6D"/>
    <w:rsid w:val="0095255C"/>
    <w:rsid w:val="00952F29"/>
    <w:rsid w:val="00955A0D"/>
    <w:rsid w:val="00970455"/>
    <w:rsid w:val="009705A8"/>
    <w:rsid w:val="00970B11"/>
    <w:rsid w:val="00970B5B"/>
    <w:rsid w:val="009726E3"/>
    <w:rsid w:val="009756CD"/>
    <w:rsid w:val="009908D6"/>
    <w:rsid w:val="009A7636"/>
    <w:rsid w:val="009B110C"/>
    <w:rsid w:val="009D1F8F"/>
    <w:rsid w:val="009D3928"/>
    <w:rsid w:val="009D5D3F"/>
    <w:rsid w:val="009E385C"/>
    <w:rsid w:val="009F7CC9"/>
    <w:rsid w:val="009F7DFB"/>
    <w:rsid w:val="00A13EE0"/>
    <w:rsid w:val="00A3736A"/>
    <w:rsid w:val="00A55B8B"/>
    <w:rsid w:val="00A57032"/>
    <w:rsid w:val="00A644AF"/>
    <w:rsid w:val="00A66136"/>
    <w:rsid w:val="00A6693F"/>
    <w:rsid w:val="00A71F6A"/>
    <w:rsid w:val="00A73232"/>
    <w:rsid w:val="00A73252"/>
    <w:rsid w:val="00A76AF4"/>
    <w:rsid w:val="00A8030D"/>
    <w:rsid w:val="00A95E86"/>
    <w:rsid w:val="00A95FAA"/>
    <w:rsid w:val="00AA5568"/>
    <w:rsid w:val="00AA659E"/>
    <w:rsid w:val="00AB6FCB"/>
    <w:rsid w:val="00AC1A66"/>
    <w:rsid w:val="00AC3939"/>
    <w:rsid w:val="00AC5136"/>
    <w:rsid w:val="00AC7283"/>
    <w:rsid w:val="00AF25CC"/>
    <w:rsid w:val="00AF3E41"/>
    <w:rsid w:val="00B05027"/>
    <w:rsid w:val="00B12E86"/>
    <w:rsid w:val="00B14E93"/>
    <w:rsid w:val="00B276A3"/>
    <w:rsid w:val="00B42911"/>
    <w:rsid w:val="00B46087"/>
    <w:rsid w:val="00B47905"/>
    <w:rsid w:val="00B87B7A"/>
    <w:rsid w:val="00BA0BA7"/>
    <w:rsid w:val="00BB7B4C"/>
    <w:rsid w:val="00BC5077"/>
    <w:rsid w:val="00BE2B2A"/>
    <w:rsid w:val="00BE4BD5"/>
    <w:rsid w:val="00C05662"/>
    <w:rsid w:val="00C06EA8"/>
    <w:rsid w:val="00C1054B"/>
    <w:rsid w:val="00C13117"/>
    <w:rsid w:val="00C32102"/>
    <w:rsid w:val="00C3358E"/>
    <w:rsid w:val="00C427DA"/>
    <w:rsid w:val="00C55E00"/>
    <w:rsid w:val="00C57716"/>
    <w:rsid w:val="00C727AF"/>
    <w:rsid w:val="00C811B0"/>
    <w:rsid w:val="00C873B8"/>
    <w:rsid w:val="00C909FF"/>
    <w:rsid w:val="00C9775C"/>
    <w:rsid w:val="00C97865"/>
    <w:rsid w:val="00C979A9"/>
    <w:rsid w:val="00C97BA9"/>
    <w:rsid w:val="00CA11B6"/>
    <w:rsid w:val="00CA51C9"/>
    <w:rsid w:val="00CA6678"/>
    <w:rsid w:val="00CA7193"/>
    <w:rsid w:val="00CB2EEA"/>
    <w:rsid w:val="00CB471E"/>
    <w:rsid w:val="00CB5934"/>
    <w:rsid w:val="00CB76B0"/>
    <w:rsid w:val="00CD24F0"/>
    <w:rsid w:val="00CD2DA9"/>
    <w:rsid w:val="00CD488B"/>
    <w:rsid w:val="00CE1942"/>
    <w:rsid w:val="00CE3F55"/>
    <w:rsid w:val="00CF10DC"/>
    <w:rsid w:val="00CF1D72"/>
    <w:rsid w:val="00CF6283"/>
    <w:rsid w:val="00D14CDB"/>
    <w:rsid w:val="00D21AAB"/>
    <w:rsid w:val="00D27F87"/>
    <w:rsid w:val="00D34946"/>
    <w:rsid w:val="00D4619C"/>
    <w:rsid w:val="00D72E00"/>
    <w:rsid w:val="00D8167C"/>
    <w:rsid w:val="00DA3DE6"/>
    <w:rsid w:val="00DA44D4"/>
    <w:rsid w:val="00DA47B7"/>
    <w:rsid w:val="00DB74B8"/>
    <w:rsid w:val="00DD6075"/>
    <w:rsid w:val="00DD701C"/>
    <w:rsid w:val="00DE417C"/>
    <w:rsid w:val="00DF51CF"/>
    <w:rsid w:val="00DF54BD"/>
    <w:rsid w:val="00E02F6B"/>
    <w:rsid w:val="00E041BF"/>
    <w:rsid w:val="00E14A0C"/>
    <w:rsid w:val="00E177BF"/>
    <w:rsid w:val="00E2220C"/>
    <w:rsid w:val="00E2317E"/>
    <w:rsid w:val="00E26109"/>
    <w:rsid w:val="00E34594"/>
    <w:rsid w:val="00E35D41"/>
    <w:rsid w:val="00E36CB7"/>
    <w:rsid w:val="00E41CFB"/>
    <w:rsid w:val="00E46803"/>
    <w:rsid w:val="00E51E8A"/>
    <w:rsid w:val="00E53C1C"/>
    <w:rsid w:val="00E54889"/>
    <w:rsid w:val="00E65ED5"/>
    <w:rsid w:val="00E83FBA"/>
    <w:rsid w:val="00E9000C"/>
    <w:rsid w:val="00E9009C"/>
    <w:rsid w:val="00EA0B65"/>
    <w:rsid w:val="00EB0A6A"/>
    <w:rsid w:val="00EB539D"/>
    <w:rsid w:val="00EC3043"/>
    <w:rsid w:val="00EC3EE3"/>
    <w:rsid w:val="00ED11BD"/>
    <w:rsid w:val="00ED59BB"/>
    <w:rsid w:val="00EF26BE"/>
    <w:rsid w:val="00EF3263"/>
    <w:rsid w:val="00F107F1"/>
    <w:rsid w:val="00F12785"/>
    <w:rsid w:val="00F3664A"/>
    <w:rsid w:val="00F53811"/>
    <w:rsid w:val="00F60388"/>
    <w:rsid w:val="00F72A00"/>
    <w:rsid w:val="00F965E5"/>
    <w:rsid w:val="00FA3BB3"/>
    <w:rsid w:val="00FA624C"/>
    <w:rsid w:val="00FA6A3E"/>
    <w:rsid w:val="00FB1C6F"/>
    <w:rsid w:val="00FC4694"/>
    <w:rsid w:val="00FD3C35"/>
    <w:rsid w:val="00FF68D5"/>
    <w:rsid w:val="048C0506"/>
    <w:rsid w:val="07360ECF"/>
    <w:rsid w:val="0E785D9E"/>
    <w:rsid w:val="11EE7F6F"/>
    <w:rsid w:val="157B7247"/>
    <w:rsid w:val="186E7067"/>
    <w:rsid w:val="1E0C3B5C"/>
    <w:rsid w:val="281F6A3D"/>
    <w:rsid w:val="2A493386"/>
    <w:rsid w:val="2AB47391"/>
    <w:rsid w:val="2E5D38F8"/>
    <w:rsid w:val="30823BAD"/>
    <w:rsid w:val="34855A2C"/>
    <w:rsid w:val="3E5F1BF1"/>
    <w:rsid w:val="3FA01A7E"/>
    <w:rsid w:val="40B13221"/>
    <w:rsid w:val="4C8D3147"/>
    <w:rsid w:val="5AE14981"/>
    <w:rsid w:val="5B2B34AD"/>
    <w:rsid w:val="5BFA0E74"/>
    <w:rsid w:val="60D004FB"/>
    <w:rsid w:val="65E20DEB"/>
    <w:rsid w:val="66EA4752"/>
    <w:rsid w:val="68D836EF"/>
    <w:rsid w:val="6AE525D3"/>
    <w:rsid w:val="6CED4A35"/>
    <w:rsid w:val="6E99525C"/>
    <w:rsid w:val="73A107F5"/>
    <w:rsid w:val="788934AF"/>
    <w:rsid w:val="78941A5F"/>
    <w:rsid w:val="7A621A2C"/>
    <w:rsid w:val="7B3769ED"/>
    <w:rsid w:val="7CB413E5"/>
    <w:rsid w:val="7F89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semiHidden/>
    <w:unhideWhenUsed/>
    <w:qFormat/>
    <w:uiPriority w:val="99"/>
    <w:rPr>
      <w:rFonts w:ascii="宋体" w:hAnsi="Courier New" w:cs="Courier New"/>
      <w:szCs w:val="21"/>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paragraph" w:customStyle="1" w:styleId="13">
    <w:name w:val="样式3"/>
    <w:basedOn w:val="2"/>
    <w:qFormat/>
    <w:uiPriority w:val="0"/>
    <w:pPr>
      <w:spacing w:line="0" w:lineRule="atLeast"/>
      <w:outlineLvl w:val="0"/>
    </w:pPr>
    <w:rPr>
      <w:rFonts w:cs="Times New Roman"/>
      <w:sz w:val="28"/>
      <w:szCs w:val="20"/>
    </w:rPr>
  </w:style>
  <w:style w:type="character" w:customStyle="1" w:styleId="14">
    <w:name w:val="email_list_item"/>
    <w:basedOn w:val="9"/>
    <w:qFormat/>
    <w:uiPriority w:val="0"/>
  </w:style>
  <w:style w:type="character" w:customStyle="1" w:styleId="15">
    <w:name w:val="纯文本 字符"/>
    <w:basedOn w:val="9"/>
    <w:link w:val="2"/>
    <w:semiHidden/>
    <w:qFormat/>
    <w:uiPriority w:val="99"/>
    <w:rPr>
      <w:rFonts w:ascii="宋体" w:hAnsi="Courier New" w:eastAsia="宋体" w:cs="Courier New"/>
      <w:szCs w:val="21"/>
    </w:rPr>
  </w:style>
  <w:style w:type="character" w:customStyle="1" w:styleId="16">
    <w:name w:val="日期 字符"/>
    <w:basedOn w:val="9"/>
    <w:link w:val="3"/>
    <w:semiHidden/>
    <w:qFormat/>
    <w:uiPriority w:val="99"/>
    <w:rPr>
      <w:rFonts w:ascii="Times New Roman" w:hAnsi="Times New Roman"/>
      <w:kern w:val="2"/>
      <w:sz w:val="21"/>
      <w:szCs w:val="24"/>
    </w:rPr>
  </w:style>
  <w:style w:type="paragraph" w:customStyle="1" w:styleId="17">
    <w:name w:val="p0"/>
    <w:basedOn w:val="1"/>
    <w:qFormat/>
    <w:uiPriority w:val="0"/>
    <w:pPr>
      <w:widowControl/>
    </w:pPr>
    <w:rPr>
      <w:kern w:val="0"/>
      <w:szCs w:val="21"/>
    </w:rPr>
  </w:style>
  <w:style w:type="character" w:customStyle="1" w:styleId="18">
    <w:name w:val="文件正文2级 Char"/>
    <w:basedOn w:val="9"/>
    <w:link w:val="19"/>
    <w:qFormat/>
    <w:uiPriority w:val="0"/>
    <w:rPr>
      <w:rFonts w:ascii="仿宋_GB2312" w:hAnsi="仿宋_GB2312" w:eastAsia="仿宋_GB2312" w:cs="宋体"/>
    </w:rPr>
  </w:style>
  <w:style w:type="paragraph" w:customStyle="1" w:styleId="19">
    <w:name w:val="文件正文2级"/>
    <w:basedOn w:val="1"/>
    <w:link w:val="18"/>
    <w:qFormat/>
    <w:uiPriority w:val="0"/>
    <w:pPr>
      <w:spacing w:line="360" w:lineRule="auto"/>
      <w:ind w:left="420" w:leftChars="200" w:firstLine="420" w:firstLineChars="200"/>
    </w:pPr>
    <w:rPr>
      <w:rFonts w:ascii="仿宋_GB2312" w:hAnsi="仿宋_GB2312" w:eastAsia="仿宋_GB2312" w:cs="宋体"/>
      <w:kern w:val="0"/>
      <w:sz w:val="20"/>
      <w:szCs w:val="20"/>
    </w:rPr>
  </w:style>
  <w:style w:type="character" w:customStyle="1" w:styleId="20">
    <w:name w:val="批注框文本 字符"/>
    <w:basedOn w:val="9"/>
    <w:link w:val="4"/>
    <w:semiHidden/>
    <w:qFormat/>
    <w:uiPriority w:val="99"/>
    <w:rPr>
      <w:rFonts w:ascii="Times New Roman" w:hAnsi="Times New Roman"/>
      <w:kern w:val="2"/>
      <w:sz w:val="18"/>
      <w:szCs w:val="18"/>
    </w:rPr>
  </w:style>
  <w:style w:type="character" w:customStyle="1" w:styleId="21">
    <w:name w:val="font71"/>
    <w:basedOn w:val="9"/>
    <w:qFormat/>
    <w:uiPriority w:val="0"/>
    <w:rPr>
      <w:rFonts w:hint="eastAsia" w:ascii="宋体" w:hAnsi="宋体" w:eastAsia="宋体" w:cs="宋体"/>
      <w:color w:val="000000"/>
      <w:sz w:val="18"/>
      <w:szCs w:val="18"/>
      <w:u w:val="none"/>
    </w:rPr>
  </w:style>
  <w:style w:type="character" w:customStyle="1" w:styleId="22">
    <w:name w:val="font01"/>
    <w:basedOn w:val="9"/>
    <w:qFormat/>
    <w:uiPriority w:val="0"/>
    <w:rPr>
      <w:rFonts w:hint="eastAsia" w:ascii="宋体" w:hAnsi="宋体" w:eastAsia="宋体" w:cs="宋体"/>
      <w:color w:val="000000"/>
      <w:sz w:val="12"/>
      <w:szCs w:val="12"/>
      <w:u w:val="none"/>
    </w:rPr>
  </w:style>
  <w:style w:type="character" w:customStyle="1" w:styleId="23">
    <w:name w:val="font81"/>
    <w:basedOn w:val="9"/>
    <w:qFormat/>
    <w:uiPriority w:val="0"/>
    <w:rPr>
      <w:rFonts w:hint="eastAsia" w:ascii="宋体" w:hAnsi="宋体" w:eastAsia="宋体" w:cs="宋体"/>
      <w:color w:val="FF0000"/>
      <w:sz w:val="12"/>
      <w:szCs w:val="12"/>
      <w:u w:val="none"/>
    </w:rPr>
  </w:style>
  <w:style w:type="character" w:customStyle="1" w:styleId="24">
    <w:name w:val="font41"/>
    <w:basedOn w:val="9"/>
    <w:qFormat/>
    <w:uiPriority w:val="0"/>
    <w:rPr>
      <w:rFonts w:hint="eastAsia" w:ascii="宋体" w:hAnsi="宋体" w:eastAsia="宋体" w:cs="宋体"/>
      <w:color w:val="000000"/>
      <w:sz w:val="12"/>
      <w:szCs w:val="12"/>
      <w:u w:val="none"/>
    </w:rPr>
  </w:style>
  <w:style w:type="character" w:customStyle="1" w:styleId="25">
    <w:name w:val="font51"/>
    <w:basedOn w:val="9"/>
    <w:qFormat/>
    <w:uiPriority w:val="0"/>
    <w:rPr>
      <w:rFonts w:hint="eastAsia" w:ascii="宋体" w:hAnsi="宋体" w:eastAsia="宋体" w:cs="宋体"/>
      <w:color w:val="000000"/>
      <w:sz w:val="12"/>
      <w:szCs w:val="12"/>
      <w:u w:val="none"/>
    </w:rPr>
  </w:style>
  <w:style w:type="character" w:customStyle="1" w:styleId="26">
    <w:name w:val="font101"/>
    <w:basedOn w:val="9"/>
    <w:qFormat/>
    <w:uiPriority w:val="0"/>
    <w:rPr>
      <w:rFonts w:hint="eastAsia" w:ascii="新宋体" w:hAnsi="新宋体" w:eastAsia="新宋体" w:cs="新宋体"/>
      <w:color w:val="FF0000"/>
      <w:sz w:val="12"/>
      <w:szCs w:val="12"/>
      <w:u w:val="none"/>
    </w:rPr>
  </w:style>
  <w:style w:type="character" w:customStyle="1" w:styleId="27">
    <w:name w:val="font61"/>
    <w:basedOn w:val="9"/>
    <w:qFormat/>
    <w:uiPriority w:val="0"/>
    <w:rPr>
      <w:rFonts w:hint="eastAsia" w:ascii="新宋体" w:hAnsi="新宋体" w:eastAsia="新宋体" w:cs="新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4821</Words>
  <Characters>5690</Characters>
  <Lines>32</Lines>
  <Paragraphs>9</Paragraphs>
  <TotalTime>7</TotalTime>
  <ScaleCrop>false</ScaleCrop>
  <LinksUpToDate>false</LinksUpToDate>
  <CharactersWithSpaces>5943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2018-12-05T07:53:00Z</dcterms:created>
  <dc:creator>杨志勇</dc:creator>
  <cp:lastModifiedBy>吴诗超</cp:lastModifiedBy>
  <dcterms:modified xsi:type="dcterms:W3CDTF">2025-02-05T08:42:24Z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6BF8301657D141E9961D32B30F7EC7B1_13</vt:lpwstr>
  </property>
  <property fmtid="{D5CDD505-2E9C-101B-9397-08002B2CF9AE}" pid="4" name="KSOTemplateDocerSaveRecord">
    <vt:lpwstr>eyJoZGlkIjoiOGY5M2Q2MzdmZTg3OTM0YWE0MzIyNTdiNjlmYzBiNzUiLCJ1c2VySWQiOiIyNjQ4MDg5MDQifQ==</vt:lpwstr>
  </property>
</Properties>
</file>