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厦门市“十五五”现代化基础设施体系发展专项规划</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CGXM-2025-350201-01847[2025]01037</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[350201]wx[GK]2025043</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厦门市发展和改革委员会</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厦门万翔招标有限公司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2025年12月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厦门万翔招标有限公司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厦门市“十五五”现代化基础设施体系发展专项规划</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CGXM-2025-350201-01847[2025]01037</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[350201]wx[GK]2025043</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关于“财务状况报告”、“依法缴纳税收证明材料”及“依法缴纳社会保障资金证明材料”的补充说明</w:t>
            </w:r>
          </w:p>
        </w:tc>
        <w:tc>
          <w:tcPr>
            <w:tcW w:type="dxa" w:w="4614"/>
          </w:tcPr>
          <w:p>
            <w:pPr>
              <w:pStyle w:val="null3"/>
              <w:jc w:val="both"/>
            </w:pPr>
            <w:r>
              <w:rPr>
                <w:rFonts w:ascii="仿宋_GB2312" w:hAnsi="仿宋_GB2312" w:cs="仿宋_GB2312" w:eastAsia="仿宋_GB2312"/>
              </w:rPr>
              <w:t>（1）投标人上一年度的财务报告尚未完成编制且投标截止时间在每年1月1日至4月30日的，可提供上上年度经审计的年度财务报告。 （2）因相关政策享受缓缴或免缴社保资金、税款的中小企业，无法提供相关社保、税收缴纳证明材料的，提供有关情况说明视同社保、税收缴纳证明材料提交完整。</w:t>
            </w:r>
          </w:p>
        </w:tc>
      </w:tr>
      <w:tr>
        <w:tc>
          <w:tcPr>
            <w:tcW w:type="dxa" w:w="3692"/>
          </w:tcPr>
          <w:p>
            <w:pPr>
              <w:pStyle w:val="null3"/>
              <w:jc w:val="both"/>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both"/>
            </w:pPr>
            <w:r>
              <w:rPr>
                <w:rFonts w:ascii="仿宋_GB2312" w:hAnsi="仿宋_GB2312" w:cs="仿宋_GB2312" w:eastAsia="仿宋_GB2312"/>
              </w:rPr>
              <w:t>1、信用信息查询渠道：资格审查小组通过“信用中国”网站（www.creditchina.gov.cn）、中国政府采购网（www.ccgp.gov.cn）、“信用厦门”网站（credit.xm.gov.cn）查询所有供应商的信用信息。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7.2、在招标文件获取期限内，供应商应通过福建省政府采购网上公开信息系统的注册账号（免费注册）并获取招标文件(登录福建省政府采购网上公开信息系统进行文件获取)，否则投标将被拒绝。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厦门市发展和改革委员会</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福建省厦门市思明区湖滨北路６１号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叶工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0592-2896165</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厦门万翔招标有限公司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中国（福建）自由贸易试验区厦门片区机场北路476号4楼</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361006</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洪晓丹</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0592-5762515</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厦门万翔招标有限公司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1,800,000.00</w:t>
      </w:r>
    </w:p>
    <w:p>
      <w:pPr>
        <w:pStyle w:val="null3"/>
        <w:jc w:val="left"/>
      </w:pPr>
      <w:r>
        <w:rPr>
          <w:rFonts w:ascii="仿宋_GB2312" w:hAnsi="仿宋_GB2312" w:cs="仿宋_GB2312" w:eastAsia="仿宋_GB2312"/>
        </w:rPr>
        <w:t>采购包最高限价（元）: 1,800,000.00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厦门市“十五五”现代化基础设施体系发展专项规划</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1,800,000.00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厦门市“十五五”现代化基础设施体系发展专项规划</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厦门市“十五五”现代化基础设施体系发展专项规划</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厦门市“十五五”现代化基础设施体系发展专项规划</w:t>
            </w:r>
          </w:p>
        </w:tc>
        <w:tc>
          <w:tcPr>
            <w:tcW w:type="dxa" w:w="2076"/>
          </w:tcPr>
          <w:p>
            <w:pPr>
              <w:pStyle w:val="null3"/>
              <w:jc w:val="left"/>
            </w:pPr>
            <w:r>
              <w:rPr>
                <w:rFonts w:ascii="仿宋_GB2312" w:hAnsi="仿宋_GB2312" w:cs="仿宋_GB2312" w:eastAsia="仿宋_GB2312"/>
              </w:rPr>
              <w:t>厦门市“十五五”现代化基础设施体系发展专项规划</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综合得分相同的，按投标报价由低到高顺序排列；综合得分且投标报价相同的，按技术得分由高到低顺序排列；若综合得分、投标报价及技术得分均相同，则由评标委员会进行表决推荐。</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自中标通知书发出之日起20个日历日内。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厦门万翔招标有限公司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厦门市采购监督管理办公室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中标金额(万元)费率；[0―100]1.5%；（100－500]0.8%；（500-1000]0.45%。注：1、代理服务费的收取按差额定率累进法计算,由中标供应商支付。2、中标供应商以转账或汇款方式提交。3、中标供应商为中小企业的，其代理服务费按照上述服务收费标准下浮10%进行支付。4、账户信息：开户名：厦门万翔招标有限公司。开户行：建行厦门自贸试验区航空港支行。账号：35101570201052504219。5、代理服务费事宜联系人：陈小姐0592-5703367。</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（1）登录福建省政府采购网厦门分网http:// 120.41.36.6/(http://ccgp-xiamen.gov.cn/)→【服务专区】 → 【操作指南】，按指导手册指引操作。（2）请投标人及时提前办理CA。（3）不同投标人用同一台电脑或同一IP上传投标文件或同一账户缴交投标保证金的，经系统识别确认情况属实将判定为串通投标。（4）全文中带有“★”的条款为关键性条款，对这些关键性条款的任何负偏离或不满足将导致该投标作无效投标处理。（5）若招标文件第五章所述内容与其它部分的条款发生理解冲突，则以第五章所述内容为准；如招标文件发生变更，则相关条款的解释以更改通知为准。（6）经评标委员会认定要求澄清的证明文件必须在规定的时间内提供，否则其将不具有中标人的资格。</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厦门万翔招标有限公司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厦门万翔招标有限公司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厦门万翔招标有限公司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厦门万翔招标有限公司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厦门万翔招标有限公司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厦门万翔招标有限公司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厦门万翔招标有限公司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厦门万翔招标有限公司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厦门万翔招标有限公司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厦门万翔招标有限公司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厦门万翔招标有限公司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厦门万翔招标有限公司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厦门万翔招标有限公司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厦门万翔招标有限公司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厦门万翔招标有限公司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厦门万翔招标有限公司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厦门万翔招标有限公司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厦门万翔招标有限公司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厦门万翔招标有限公司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厦门万翔招标有限公司</w:t>
      </w:r>
      <w:r>
        <w:rPr>
          <w:rFonts w:ascii="仿宋_GB2312" w:hAnsi="仿宋_GB2312" w:cs="仿宋_GB2312" w:eastAsia="仿宋_GB2312"/>
        </w:rPr>
        <w:t xml:space="preserve"> 提出询问， </w:t>
      </w:r>
      <w:r>
        <w:rPr>
          <w:rFonts w:ascii="仿宋_GB2312" w:hAnsi="仿宋_GB2312" w:cs="仿宋_GB2312" w:eastAsia="仿宋_GB2312"/>
        </w:rPr>
        <w:t>厦门万翔招标有限公司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厦门万翔招标有限公司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厦门万翔招标有限公司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由厦门万翔招标有限公司派出的工作人员至少1人，</w:t>
      </w:r>
      <w:r>
        <w:rPr>
          <w:rFonts w:ascii="仿宋_GB2312" w:hAnsi="仿宋_GB2312" w:cs="仿宋_GB2312" w:eastAsia="仿宋_GB2312"/>
        </w:rPr>
        <w:t>其余1人可为采购人代表或厦门万翔招标有限公司的工作人员。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关于“财务状况报告”、“依法缴纳税收证明材料”及“依法缴纳社会保障资金证明材料”的补充说明</w:t>
            </w:r>
          </w:p>
        </w:tc>
        <w:tc>
          <w:tcPr>
            <w:tcW w:type="dxa" w:w="4614"/>
          </w:tcPr>
          <w:p>
            <w:pPr>
              <w:pStyle w:val="null3"/>
              <w:jc w:val="left"/>
            </w:pPr>
            <w:r>
              <w:rPr>
                <w:rFonts w:ascii="仿宋_GB2312" w:hAnsi="仿宋_GB2312" w:cs="仿宋_GB2312" w:eastAsia="仿宋_GB2312"/>
              </w:rPr>
              <w:t>（1）投标人上一年度的财务报告尚未完成编制且投标截止时间在每年1月1日至4月30日的，可提供上上年度经审计的年度财务报告。 （2）因相关政策享受缓缴或免缴社保资金、税款的中小企业，无法提供相关社保、税收缴纳证明材料的，提供有关情况说明视同社保、税收缴纳证明材料提交完整。</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1、信用信息查询渠道：资格审查小组通过“信用中国”网站（www.creditchina.gov.cn）、中国政府采购网（www.ccgp.gov.cn）、“信用厦门”网站（credit.xm.gov.cn）查询所有供应商的信用信息。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厦门万翔招标有限公司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厦门万翔招标有限公司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厦门万翔招标有限公司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厦门万翔招标有限公司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技术符合性</w:t>
            </w:r>
          </w:p>
        </w:tc>
        <w:tc>
          <w:tcPr>
            <w:tcW w:type="dxa" w:w="4153"/>
          </w:tcPr>
          <w:p>
            <w:pPr>
              <w:pStyle w:val="null3"/>
              <w:jc w:val="left"/>
            </w:pPr>
            <w:r>
              <w:rPr>
                <w:rFonts w:ascii="仿宋_GB2312" w:hAnsi="仿宋_GB2312" w:cs="仿宋_GB2312" w:eastAsia="仿宋_GB2312"/>
              </w:rPr>
              <w:t>★6、服务期：整个项目周期计划自合同签订之日起90个日历日内（3个月）完成，包括1个月提出初审成果，1个月制定评审成果，1个月修改并提交最终成果。供应商须对本项要求提供书面承诺函（格式自拟），否则作无效投标处理。</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商务符合性</w:t>
            </w:r>
          </w:p>
        </w:tc>
        <w:tc>
          <w:tcPr>
            <w:tcW w:type="dxa" w:w="4153"/>
          </w:tcPr>
          <w:p>
            <w:pPr>
              <w:pStyle w:val="null3"/>
              <w:jc w:val="left"/>
            </w:pPr>
            <w:r>
              <w:rPr>
                <w:rFonts w:ascii="仿宋_GB2312" w:hAnsi="仿宋_GB2312" w:cs="仿宋_GB2312" w:eastAsia="仿宋_GB2312"/>
              </w:rPr>
              <w:t>2、报价要求★2.4供应商应以项目所涉及的所有费用进行报价，包含本项目实施过程中的一切人工费、交通费、材料费、调研费、专家咨询评审费、会议费、管理费、规费、技术资料费、税金、售后服务及招标代理服务费等完成本项目所需的一切费用。供应商须对本项要求提供书面承诺函（格式自拟），否则作无效投标处理。</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价格符合性</w:t>
            </w:r>
          </w:p>
        </w:tc>
        <w:tc>
          <w:tcPr>
            <w:tcW w:type="dxa" w:w="4153"/>
          </w:tcPr>
          <w:p>
            <w:pPr>
              <w:pStyle w:val="null3"/>
              <w:jc w:val="left"/>
            </w:pPr>
            <w:r>
              <w:rPr>
                <w:rFonts w:ascii="仿宋_GB2312" w:hAnsi="仿宋_GB2312" w:cs="仿宋_GB2312" w:eastAsia="仿宋_GB2312"/>
              </w:rPr>
              <w:t>2、报价要求★2.1本项目的采购预算为人民币180万元整，采购预算为最高限价，供应商投标报价超过最高限价的均属无效投标。</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技术符合性：无</w:t>
      </w:r>
    </w:p>
    <w:p>
      <w:pPr>
        <w:pStyle w:val="null3"/>
        <w:jc w:val="left"/>
      </w:pPr>
      <w:r>
        <w:rPr>
          <w:rFonts w:ascii="仿宋_GB2312" w:hAnsi="仿宋_GB2312" w:cs="仿宋_GB2312" w:eastAsia="仿宋_GB2312"/>
        </w:rPr>
        <w:t>商务符合性：无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（一）本项目为未预留份额专门面向中小企业采购的服务类采购项目且接受联合体投标，本采购标的对应的中小企业划分标准所属行业为：其他未列明行业。 （二）本项目执行的政府采购优惠政策如下：本项目的服务承接商为小微企业的。对其投标报价给予15%的扣除，扣除后的价格作为该投标人的评标价参与价格评分。 注：1、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监狱企业、残疾人福利性单位视同小型、微型企业。残疾人福利性单位属于小型、微型企业的，不重复享受政策。2、参加政府采购活动的中小企业应当提供《中小企业声明函》(见本文件第七章)；若投标人提供的《中小企业声明函》中填写的行业与招标文件中明确的采购标的对应的中小企业划分标准所属行业不一致，则不予认定为中小企业。3、采购代理机构将在中标、成交结果公告同时公告中标人提交的《中小企业声明函》或《残疾人福利性单位声明函》，接受社会监督。供应商应当对其出具的声明函的真实性负责，如内容不实的，属于提供虚假材料谋取中标、成交，其中标、成交无效，并依照《政府采购法》第七十七条第一款的规定追究法律责任。</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5.00%</w:t>
            </w:r>
          </w:p>
        </w:tc>
        <w:tc>
          <w:tcPr>
            <w:tcW w:type="dxa" w:w="4153"/>
          </w:tcPr>
          <w:p>
            <w:pPr>
              <w:pStyle w:val="null3"/>
              <w:jc w:val="left"/>
            </w:pPr>
            <w:r>
              <w:rPr>
                <w:rFonts w:ascii="仿宋_GB2312" w:hAnsi="仿宋_GB2312" w:cs="仿宋_GB2312" w:eastAsia="仿宋_GB2312"/>
              </w:rPr>
              <w:t>（一）本项目为未预留份额专门面向中小企业采购的服务类采购项目且接受联合体投标，本采购标的对应的中小企业划分标准所属行业为：其他未列明行业。（二）本项目执行的政府采购优惠政策如下：鼓励大中型企业和其他自然人、法人或者其他组织与小型、微型企业组成联合体共同参加非专门面向中小企业的政府采购活动。联合协议或分包意向协议约定小微企业的合同份额占到合同总金额 30%以上的，对联合体或者大中型企业的报价给予 5%的扣除，用扣除后的价格参加评审。注：1、符合财政部、工信部文件（财库〔2020〕46号）规定的小型、微型企业可享受扶持政策（如：预留采购份额、价格评审优惠、优先采购）。联合体各方均为小型、微型企业的，联合体视同为小型、微型企业。2、组成联合体的大中型企业和其他自然人、法人或者其他组织，与小型、微型企业之间不得存在投资关系。3、符合财政部、司法部文件（财库[2014]68号）规定的监狱企业（以下简称：“监狱企业”）亦可享受前述扶持政策。符合财政部、民政部、中国残联文件（财库[2017]141号）规定的残疾人福利性单位（以下简称：“残疾人福利性单位”）亦可享受前述扶持政策。监狱企业、残疾人福利性单位视同小型、微型企业，评审中价格扣除按照小、微企业的扣除比例执行。4、参加政府采购活动的中小企业应当提供《中小企业声明函》(见本文件第七章)；若投标人提供的《中小企业声明函》中填写的行业与招标文件中明确的采购标的对应的中小企业划分标准所属行业不一致，则不予认定为中小企业。5、采购代理机构将在中标、成交结果公告同时公告中标人提交的《中小企业声明函》或《残疾人福利性单位声明函》，接受社会监督。供应商应当对其出具的声明函的真实性负责，如内容不实的，属于提供虚假材料谋取中标、成交，其中标、成交无效，并依照《政府采购法》第七十七条第一款的规定追究法律责任。</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根据供应商对项目背景的分析解读内容进行评价： 包括①分析解读国家层面背景、②分析解读省级层面背景、③分析解读市级层面背景。每提供上述一项内容的得1分。 注：本项满分3分，未提供相关内容或提供的内容不符合本项目要求的不得分。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根据供应商提供的发展规划编制思路进行评价： 包括①工作思路分析、②技术路线图。每提供上述一项内容的得1.5分。 注：本项满分3分，未提供相关内容或提供的内容不符合本项目要求的不得分。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根据供应商对“十四五”时期厦门市基础设施总量规模现状的分析进行评价： 包括①交通设施分析、②能源设施分析、③水利设施分析、④信息设施分析、⑤科技设施分析、⑥生态环境设施分析。每提供上述一项内容的得0.5分。 注：本项满分3分，未提供相关内容或提供的内容不符合本项目要求的不得分。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根据供应商对“十四五”时期厦门市基础设施服务能力现状的分析进行评价： 包括①交通运输服务分析、②能源保障能力分析、③水利利用能力分析、④科技信息服务能力分析、⑤生态环境服务能力分析。能够提供上述内容中2项分析内容的得1分；能够提供上述内容中4项分析内容得2分；能够提供上述内容中全部分析内容的得3分。 注：未提供相关内容或提供的内容不符合本项目要求的不得分。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根据供应商对“十四五”时期厦门市基础设施科技创新能力现状的分析进行评价： 包括①科技设施建设分析、②智慧设施与交通设施融合分析、③智慧设施与能源设施融合分析。每提供上述一项内容的得1分。 注：本项满分3分，未提供相关内容或提供的内容不符合本项目要求的不得分。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根据供应商对“十四五”时期厦门市基础设施安全韧性现状的分析进行评价： 包括①交通安全韧性分析、②能源保障能力分析、③水利安全韧性分析。每提供上述一项内容的得1分。 注：本项满分3分，未提供相关内容或提供的内容不符合本项目要求的不得分。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根据供应商对“十四五”时期厦门市基础设施对支撑高能级区域中心城市发展的问题分析进行评价： 包括①交通基础设施分析、②水利基础设施分析、③新型基础设施分析。每提供上述一项内容的得1分。 注：本项满分3分，未提供相关内容或提供的内容不符合本项目要求的不得分。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根据供应商对“十四五”时期厦门市基础设施结构和安全保障能力的问题分析进行评价： 包括①交通基础设施分析、②能源基础设施分析、③水利基础设施分析。每提供上述一项内容的得1分。 注：本项满分3分，未提供相关内容或提供的内容不符合本项目要求的不得分。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根据供应商对“十四五”时期厦门市基础设施技术创新能力的问题分析进行评价： 包括①传统与新型基础设施融合分析、②科技基础设施分析、③跨部门协同创新能力分析。每提供上述一项内容的得1分。 注：本项满分3分，未提供相关内容或提供的内容不符合本项目要求的不得分。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根据供应商对“十五五”时期厦门市基础设施发展形势的分析进行评价： 包括从①国际视角、②国内视角及③厦门视角分析发展形势。每提供上述一项内容的得1分。 注：本项满分3分，未提供相关内容或提供的内容不符合本项目要求的不得分。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根据供应商对“十五五”时期厦门市现代化基础设施体系总体要求的分析进行评价： 包括①指导思想、②基本原则、③发展目标。每提供上述一项内容的得1分。 注：本项满分3分，未提供相关内容或提供的内容不符合本项目要求的不得分。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根据供应商提供的“十五五”时期厦门市现代化基础设施体系发展指标的设置情况进行评价： ①有提供综合性指标的得1.5分； ②在前项①的基础上，有提供分领域指标的得3分； ③未提供或与项目需求偏差过大或不满足上述要求的不得分。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根据供应商提供的“十五五”时期厦门完善基础设施空间布局的策略进行评价： 包括①交通基础设施布局分析、②能源基础设施网络分析、③水利设施空间格局分析。每提供上述一项内容的得1分。 注：本项满分3分，未提供相关内容或提供的内容不符合本项目要求的不得分。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根据供应商提供的“十五五”时期厦门优化基础设施供给结构的策略进行评价： 包括①新型基础设施建设分析、②绿色低碳转型分析、③供需适配水平分析。每提供上述一项内容的得1分。 注：本项满分3分，未提供相关内容或提供的内容不符合本项目要求的不得分。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根据供应商提供的“十五五”时期厦门提升基础设施功能的策略进行评价： 包括①提升基础设施服务功能分析、②对城镇化支撑和乡村振兴保障功能分析、③对海洋强市支撑功能分析。每提供上述一项内容的得1分。 注：本项满分3分，未提供相关内容或提供的内容不符合本项目要求的不得分。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根据供应商提供的“十五五”时期厦门加强基础设施系统集成的策略进行评价： 包括①同领域基础设施一体化衔接分析、②跨领域基础设施协同融合分析、③新型基础设施对传统基础设施赋能分析。每提供上述一项内容的得1分。 注：本项满分3分，未提供相关内容或提供的内容不符合本项目要求的不得分。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根据供应商提供的“十五五”时期厦门强化基础设施安全保障能力的策略进行评价： 包括①加强安全基础设施建设分析、②推进城市安全韧性建设分析、③增强基础设施本质安全分析。每提供上述一项内容的得1分。 注：本项满分3分，未提供相关内容或提供的内容不符合本项目要求的不得分。</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根据供应商提供的“十五五”时期厦门深化推进体制机制改革创新的策略进行评价： 包括①健全协调机制分析、②推动投融资改革分析、③优化基础设施发展环境分析。每提供上述一项内容的得1分。 注：本项满分3分，未提供相关内容或提供的内容不符合本项目要求的不得分。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根据供应商提供的“十五五”时期实施重大基础设施项目清单情况进行评价： 包括①交通领域项目、②能源领域项目、③水利领域项目、④信息（数字）领域项目、⑤科技领域项目、⑥生态环境等其他领域项目。每提供上述一项内容的得0.5分。 注：本项满分3分，未提供相关内容或提供的内容不符合本项目要求的不得分。</w:t>
            </w:r>
          </w:p>
        </w:tc>
      </w:tr>
      <w:tr>
        <w:tc>
          <w:tcPr>
            <w:tcW w:type="dxa" w:w="3322"/>
          </w:tcPr>
          <w:p>
            <w:pPr>
              <w:pStyle w:val="null3"/>
              <w:jc w:val="both"/>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根据供应商提供的针对本项目实施过程中的重点和难点内容分析进行评价： 包括①研究重点分析、②研究难点分析。每提供上述一项内容的得1.5分。 注：本项满分3分，未提供相关内容或提供的内容不符合本项目要求的不得分。</w:t>
            </w:r>
          </w:p>
        </w:tc>
      </w:tr>
      <w:tr>
        <w:tc>
          <w:tcPr>
            <w:tcW w:type="dxa" w:w="3322"/>
          </w:tcPr>
          <w:p>
            <w:pPr>
              <w:pStyle w:val="null3"/>
              <w:jc w:val="both"/>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根据供应商提供的关于本项目规划编制的创新点进行评价： 包括①研究思路创新、②技术方法创新。每提供上述一项内容的得1.5分。 注：本项满分3分，未提供相关内容或提供的内容不符合本项目要求的不得分。</w:t>
            </w:r>
          </w:p>
        </w:tc>
      </w:tr>
      <w:tr>
        <w:tc>
          <w:tcPr>
            <w:tcW w:type="dxa" w:w="3322"/>
          </w:tcPr>
          <w:p>
            <w:pPr>
              <w:pStyle w:val="null3"/>
              <w:jc w:val="both"/>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根据供应商提供的工作进度计划方案进行评价： 包括①各时间段工作及人员安排、②未达成工作进度安排的解决措施。每提供上述一项内容的得1分。 注：本项满分2分，未提供相关内容或提供的内容不符合本项目要求的不得分。</w:t>
            </w:r>
          </w:p>
        </w:tc>
      </w:tr>
    </w:tbl>
    <w:p>
      <w:pPr>
        <w:pStyle w:val="null3"/>
        <w:jc w:val="both"/>
      </w:pPr>
      <w:r>
        <w:rPr>
          <w:rFonts w:ascii="仿宋_GB2312" w:hAnsi="仿宋_GB2312" w:cs="仿宋_GB2312" w:eastAsia="仿宋_GB2312"/>
        </w:rPr>
        <w:t>商务项（F3×A3）满分为25.0000分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项目负责人专业水平进行评价：具有正高级职称得1分；具有副高级职称的得0.5分。供应商须提供：（1）相关证书或证明材料扫描件；（2）提供供应商为项目负责人缴纳的投标截止时间前六个月（不含投标截止时间的当月）中任一月份的社会保险凭据扫描件。因特殊情况享受缓缴或免缴社保资金，或投标截止当月新成立的企业尚未缴纳社保的，应提供必要的说明，视为社保资料符合要求。未提供社保缴交凭证或说明材料的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项目负责人专业水平进行评价：主持过省级及以上的现代化基础设施体系相关课题研究得2分；主持过副省级或地级的现代化基础设施体系相关课题研究得1分。供应商须提供：（1）主持项目合同文本扫描件；（2）提供供应商为项目负责人缴纳的投标截止时间前六个月（不含投标截止时间的当月）中任一月份的社会保险凭据扫描件。因特殊情况享受缓缴或免缴社保资金，或投标截止当月新成立的企业尚未缴纳社保的，应提供必要的说明，视为社保资料符合要求。未提供社保缴交凭证或说明材料的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项目组主要设计人员（项目负责人除外）配备进行评价：设计人员中每配备1名正高级职称的得1分；每配备1名副高级职称的得0.5分；满分3分。供应商须提供：（1）相关证书或证明材料扫描件；（2）提供供应商为上述人员缴纳的投标截止时间前六个月（不含投标截止时间的当月）中任一月份的社会保险凭据扫描件。因特殊情况享受缓缴或免缴社保资金，或投标截止当月新成立的企业尚未缴纳社保的，应提供必要的说明，视为社保资料符合要求。未提供证明材料的不得分。（3）上述证明材料缺一不可，否则评标委员会将不予采信。</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项目组主要设计人员（项目负责人除外）配备进行评价：每配备1名具备注册规划师的设计人员得1分，满分3分。供应商须提供：（1）相关证书或证明材料扫描件；（2）提供供应商为上述人员缴纳的投标截止时间前六个月（不含投标截止时间的当月）中任一月份的社会保险凭据扫描件。因特殊情况享受缓缴或免缴社保资金，或投标截止当月新成立的企业尚未缴纳社保的，应提供必要的说明，视为社保资料符合要求。未提供证明材料的不得分。（3）上述证明材料缺一不可，否则评标委员会将不予采信。（商务评分2-4、商务评分2-5中人员名单不可重复）</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项目组主要设计人员（项目负责人除外）配备进行评价：每配备1名具备基础设施相关专业的设计人员得1分，满分3分。供应商须提供：（1）相关证书或证明材料扫描件；（2）提供供应商为上述人员缴纳的投标截止时间前六个月（不含投标截止时间的当月）中任一月份的社会保险凭据扫描件。因特殊情况享受缓缴或免缴社保资金，或投标截止当月新成立的企业尚未缴纳社保的，应提供必要的说明，视为社保资料符合要求。未提供证明材料的不得分。（3）上述证明材料缺一不可，否则评标委员会将不予采信。（商务评分2-4、商务评分2-5中人员名单不可重复）</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项目组主要设计人员（项目负责人除外）配备进行评价：主持过省级及以上交通、能源、水利、信息、科技、生态环境等重大基础设施相关课题研究的，每个有效业绩得1分；主持过副省级或地级的交通、能源、水利、信息、科技、生态环境等重大基础设施相关课题研究的，每个有效业绩得0.5分；满分3分。供应商须提供：（1）提供供应商为上述人员缴纳的投标截止时间前六个月（不含投标截止时间的当月）中任一月份的社会保险凭据扫描件。因特殊情况享受缓缴或免缴社保资金，或投标截止当月新成立的企业尚未缴纳社保的，应提供必要的说明，视为社保资料符合要求。未提供证明材料的不得分。（2）相关项目合同文本扫描件。（3）上述证明材料缺一不可，否则评标委员会将不予采信。</w:t>
            </w:r>
          </w:p>
        </w:tc>
      </w:tr>
      <w:tr>
        <w:tc>
          <w:tcPr>
            <w:tcW w:type="dxa" w:w="3322"/>
          </w:tcPr>
          <w:p>
            <w:pPr>
              <w:pStyle w:val="null3"/>
              <w:jc w:val="left"/>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自2016年1月1日至开标当日（以合同签订时间为准）承担过同类业绩（同类业绩指承担过基础设施类或国民经济研究类或高质量发展研究类项目）进行评价：每提供1个有效证明文件得1分，满分3分。有效证明文件包含：①中标(成交)公告(提供相关网站中标（成交）公告的下载网页并注明网址)；②中标通知书；③相关项目合同文本扫描件；④业绩项目已履约完毕的，提供能够证明该业绩项目经验收合格或履约完成的相关证明材料；业绩项目正在履约的，提供履约过程考核合格的相关证明材料。如未按照采购文件要求提供该项业绩完整证明资料的，评标委员会对该项业绩将不予采信。</w:t>
            </w:r>
          </w:p>
        </w:tc>
      </w:tr>
      <w:tr>
        <w:tc>
          <w:tcPr>
            <w:tcW w:type="dxa" w:w="3322"/>
          </w:tcPr>
          <w:p>
            <w:pPr>
              <w:pStyle w:val="null3"/>
              <w:jc w:val="left"/>
            </w:pPr>
            <w:r>
              <w:rPr>
                <w:rFonts w:ascii="仿宋_GB2312" w:hAnsi="仿宋_GB2312" w:cs="仿宋_GB2312" w:eastAsia="仿宋_GB2312"/>
              </w:rPr>
              <w:t>2-8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自2016年1月1日至开标当日（以奖项颁发时间为准）的获得荣誉进行评价：承担过的规划项目获得过国家级奖项的得3分；承担过的规划项目获得过省级奖项的得2分；承担过的规划项目获得过副省级或地级奖项的得1分。备注：需提供相关有效荣誉奖项证书复印件并加盖供应商公章，否则不得分。</w:t>
            </w:r>
          </w:p>
        </w:tc>
      </w:tr>
      <w:tr>
        <w:tc>
          <w:tcPr>
            <w:tcW w:type="dxa" w:w="3322"/>
          </w:tcPr>
          <w:p>
            <w:pPr>
              <w:pStyle w:val="null3"/>
              <w:jc w:val="left"/>
            </w:pPr>
            <w:r>
              <w:rPr>
                <w:rFonts w:ascii="仿宋_GB2312" w:hAnsi="仿宋_GB2312" w:cs="仿宋_GB2312" w:eastAsia="仿宋_GB2312"/>
              </w:rPr>
              <w:t>2-9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本项目的知识产权归属承诺进行评价：完全满足招标要求“3.4本项目成果文件的署名权归编制单位所有，版权归采购人所有。采购人有权在成果文件审批后公开展示本次规划成果，并通过传播媒介、专业杂志、书刊或其它形式介绍、展示及评价规划成果。”的得2分，否则不得分。须提供书面承诺函（格式自拟），未提供不得分。</w:t>
            </w:r>
          </w:p>
        </w:tc>
      </w:tr>
      <w:tr>
        <w:tc>
          <w:tcPr>
            <w:tcW w:type="dxa" w:w="3322"/>
          </w:tcPr>
          <w:p>
            <w:pPr>
              <w:pStyle w:val="null3"/>
              <w:jc w:val="left"/>
            </w:pPr>
            <w:r>
              <w:rPr>
                <w:rFonts w:ascii="仿宋_GB2312" w:hAnsi="仿宋_GB2312" w:cs="仿宋_GB2312" w:eastAsia="仿宋_GB2312"/>
              </w:rPr>
              <w:t>2-10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承诺的后续服务响应时间进行评价：在采购人提出项目相关的服务需求后，①供应商承诺1小时（含）内响应得1分，供应商承诺1-3小时（含）内响应得0.5分；②供应商承诺2小时（含）内到位得1分；2-24小时（含）内到位得0.5分；③供应商承诺3小时以上时间响应或者24小时以上时间到位的不得分。注：须提供书面承诺函（须体现具体响应时间，格式自拟），未提供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1、质疑函要求 供应商提出质疑应当提交质疑函和必要的证明材料。质疑函应当包括下列内容： (一)供应商的姓名或者名称名 称、地址、邮编、联系人及联系电话; (二)质疑项目的名称名 称、编号; (三)具体、明确的质疑事项和与质疑事项相关的请求; (四)事实依据; (五)必要的法律依据; (六)提出质疑的日期。 供应商为自然人的，应当由本人签字;供应商为法人或者其他组织的，应当由法定代表人、主要负责人，或者其授权代表签字或者盖章，并加盖公章。接收质疑：黄经理，负责接收质疑，电话0592-2298125，传真0592-5706660-6969，邮箱hcq@iport.com.cn，通讯地址：厦门市湖里区机场北路476号4楼。质疑函应采用下列方式之一提交：（1）邮件形式：将质疑函原件扫描发送至邮箱：邮箱hcq@iport.com.cn收到质疑函的时间以邮箱显示的收到时间为准。质疑答复过程中需要核对原件的，质疑人应提供原件核查，否则相关资料可能不被认可。（2）快递形式：将质疑函原件快递至厦门市湖里区机场北路476号4楼，收件人：电话0592-2298125，传真0592-5706660-6969。收到质疑函的时间以快递签收时间为准。（3）现场送达：将质疑函原件现场送至厦门市湖里区机场北路476号4楼经办人手中。收到质疑函的时间以前台签收时间为准。 注：提交质疑函须附上系统下载文件登记截图，质疑函须符合第三章第15条质疑的要求。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规划背景：“十五五”时期是我国基本实现社会主义现代化承上启下的关键时期。“十四五”时期，厦门基础设施发展取得了突出成就，设施整体水平实现跨越式提升，有力地支撑保障了经济社会发展。对标国家现代化基础设施体系发展目标和厦门“两高两化”发展要求，厦门基础设施在协调性、系统性和现代化方面仍然存在短板。为落实《中共中央关于制定国民经济和社会发展第十五个五年规划的建议》对“构建现代化基础设施体系”的部署要求，组织开展《厦门市“十五五”现代化基础设施体系发展专项规划》的编制工作。</w:t>
      </w:r>
    </w:p>
    <w:p>
      <w:pPr>
        <w:pStyle w:val="null3"/>
        <w:ind w:firstLine="480"/>
        <w:jc w:val="left"/>
      </w:pPr>
      <w:r>
        <w:rPr>
          <w:rFonts w:ascii="仿宋_GB2312" w:hAnsi="仿宋_GB2312" w:cs="仿宋_GB2312" w:eastAsia="仿宋_GB2312"/>
          <w:sz w:val="24"/>
        </w:rPr>
        <w:t>2、规划目的：落实国家、省市关于现代化基础设施体系相关战略部署，支撑厦门市“十五五”规划纲要，提出“十五五”期间厦门现代化基础设施体系的发展思路、目标以及重大任务，统筹推动全市基础设施高质量发展，促进“十五五”期间厦门市社会经济高质量发展。</w:t>
      </w:r>
    </w:p>
    <w:p>
      <w:pPr>
        <w:pStyle w:val="null3"/>
        <w:ind w:firstLine="480"/>
        <w:jc w:val="left"/>
      </w:pPr>
      <w:r>
        <w:rPr>
          <w:rFonts w:ascii="仿宋_GB2312" w:hAnsi="仿宋_GB2312" w:cs="仿宋_GB2312" w:eastAsia="仿宋_GB2312"/>
          <w:sz w:val="24"/>
        </w:rPr>
        <w:t>3、规划范围：厦门市全市行政区域，规划对象包括交通、能源、水利、信息、科技、生态环境等基础设施。</w:t>
      </w:r>
    </w:p>
    <w:p>
      <w:pPr>
        <w:pStyle w:val="null3"/>
        <w:ind w:firstLine="480"/>
        <w:jc w:val="left"/>
      </w:pPr>
      <w:r>
        <w:rPr>
          <w:rFonts w:ascii="仿宋_GB2312" w:hAnsi="仿宋_GB2312" w:cs="仿宋_GB2312" w:eastAsia="仿宋_GB2312"/>
          <w:sz w:val="24"/>
        </w:rPr>
        <w:t>4、法律规范：本规划应遵守国家、省和厦门市城市规划的有关法规和规范，以及各项规划管理规定的要求。</w:t>
      </w:r>
    </w:p>
    <w:p>
      <w:pPr>
        <w:pStyle w:val="null3"/>
        <w:ind w:firstLine="480"/>
        <w:jc w:val="left"/>
      </w:pPr>
      <w:r>
        <w:rPr>
          <w:rFonts w:ascii="仿宋_GB2312" w:hAnsi="仿宋_GB2312" w:cs="仿宋_GB2312" w:eastAsia="仿宋_GB2312"/>
          <w:sz w:val="24"/>
        </w:rPr>
        <w:t>5、相关规划：本规划应与厦门市交通、能源、水利、信息、科技、生态环境等基础设施领域“十五五”专项规划等相关规划充分衔接。</w:t>
      </w:r>
    </w:p>
    <w:p>
      <w:pPr>
        <w:pStyle w:val="null3"/>
        <w:ind w:firstLine="482"/>
        <w:jc w:val="left"/>
      </w:pPr>
      <w:r>
        <w:rPr>
          <w:rFonts w:ascii="仿宋_GB2312" w:hAnsi="仿宋_GB2312" w:cs="仿宋_GB2312" w:eastAsia="仿宋_GB2312"/>
          <w:sz w:val="24"/>
          <w:b/>
        </w:rPr>
        <w:t>★6、服务期：整个项目周期计划自合同签订之日起90个日历日内（3个月）完成，包括1个月提出初审成果，1个月制定评审成果，1个月修改并提交最终成果。供应商须对本项要求提供书面承诺函（格式自拟），否则作无效投标处理。</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rPr>
        <w:t>（一）规划设计要求</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分析</w:t>
      </w:r>
      <w:r>
        <w:rPr>
          <w:rFonts w:ascii="仿宋_GB2312" w:hAnsi="仿宋_GB2312" w:cs="仿宋_GB2312" w:eastAsia="仿宋_GB2312"/>
          <w:sz w:val="24"/>
        </w:rPr>
        <w:t>“十四五”时期</w:t>
      </w:r>
      <w:r>
        <w:rPr>
          <w:rFonts w:ascii="仿宋_GB2312" w:hAnsi="仿宋_GB2312" w:cs="仿宋_GB2312" w:eastAsia="仿宋_GB2312"/>
          <w:sz w:val="24"/>
        </w:rPr>
        <w:t>厦门市</w:t>
      </w:r>
      <w:r>
        <w:rPr>
          <w:rFonts w:ascii="仿宋_GB2312" w:hAnsi="仿宋_GB2312" w:cs="仿宋_GB2312" w:eastAsia="仿宋_GB2312"/>
          <w:sz w:val="24"/>
        </w:rPr>
        <w:t>现代化</w:t>
      </w:r>
      <w:r>
        <w:rPr>
          <w:rFonts w:ascii="仿宋_GB2312" w:hAnsi="仿宋_GB2312" w:cs="仿宋_GB2312" w:eastAsia="仿宋_GB2312"/>
          <w:sz w:val="24"/>
        </w:rPr>
        <w:t>基础设施</w:t>
      </w:r>
      <w:r>
        <w:rPr>
          <w:rFonts w:ascii="仿宋_GB2312" w:hAnsi="仿宋_GB2312" w:cs="仿宋_GB2312" w:eastAsia="仿宋_GB2312"/>
          <w:sz w:val="24"/>
        </w:rPr>
        <w:t>体系</w:t>
      </w:r>
      <w:r>
        <w:rPr>
          <w:rFonts w:ascii="仿宋_GB2312" w:hAnsi="仿宋_GB2312" w:cs="仿宋_GB2312" w:eastAsia="仿宋_GB2312"/>
          <w:sz w:val="24"/>
        </w:rPr>
        <w:t>发展</w:t>
      </w:r>
      <w:r>
        <w:rPr>
          <w:rFonts w:ascii="仿宋_GB2312" w:hAnsi="仿宋_GB2312" w:cs="仿宋_GB2312" w:eastAsia="仿宋_GB2312"/>
          <w:sz w:val="24"/>
        </w:rPr>
        <w:t>基础</w:t>
      </w:r>
      <w:r>
        <w:rPr>
          <w:rFonts w:ascii="仿宋_GB2312" w:hAnsi="仿宋_GB2312" w:cs="仿宋_GB2312" w:eastAsia="仿宋_GB2312"/>
          <w:sz w:val="24"/>
        </w:rPr>
        <w:t>。深入</w:t>
      </w:r>
      <w:r>
        <w:rPr>
          <w:rFonts w:ascii="仿宋_GB2312" w:hAnsi="仿宋_GB2312" w:cs="仿宋_GB2312" w:eastAsia="仿宋_GB2312"/>
          <w:sz w:val="24"/>
        </w:rPr>
        <w:t>厦门市</w:t>
      </w:r>
      <w:r>
        <w:rPr>
          <w:rFonts w:ascii="仿宋_GB2312" w:hAnsi="仿宋_GB2312" w:cs="仿宋_GB2312" w:eastAsia="仿宋_GB2312"/>
          <w:sz w:val="24"/>
        </w:rPr>
        <w:t>交通、能源、水利、信息、科技、生态环境等领域基础设施发展现状和存在问题，系统梳理厦门基础设施领域</w:t>
      </w:r>
      <w:r>
        <w:rPr>
          <w:rFonts w:ascii="仿宋_GB2312" w:hAnsi="仿宋_GB2312" w:cs="仿宋_GB2312" w:eastAsia="仿宋_GB2312"/>
          <w:sz w:val="24"/>
        </w:rPr>
        <w:t>在网络规模、服务能力、技术创新、安全韧性等方面的现状情况</w:t>
      </w:r>
      <w:r>
        <w:rPr>
          <w:rFonts w:ascii="仿宋_GB2312" w:hAnsi="仿宋_GB2312" w:cs="仿宋_GB2312" w:eastAsia="仿宋_GB2312"/>
          <w:sz w:val="24"/>
        </w:rPr>
        <w:t>，提出基础设施</w:t>
      </w:r>
      <w:r>
        <w:rPr>
          <w:rFonts w:ascii="仿宋_GB2312" w:hAnsi="仿宋_GB2312" w:cs="仿宋_GB2312" w:eastAsia="仿宋_GB2312"/>
          <w:sz w:val="24"/>
        </w:rPr>
        <w:t>在对高能级区域中心城市发展支撑、基础设施结构和安全保障能力、技术创新能力等方面</w:t>
      </w:r>
      <w:r>
        <w:rPr>
          <w:rFonts w:ascii="仿宋_GB2312" w:hAnsi="仿宋_GB2312" w:cs="仿宋_GB2312" w:eastAsia="仿宋_GB2312"/>
          <w:sz w:val="24"/>
        </w:rPr>
        <w:t>存在的问题。</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、分析</w:t>
      </w:r>
      <w:r>
        <w:rPr>
          <w:rFonts w:ascii="仿宋_GB2312" w:hAnsi="仿宋_GB2312" w:cs="仿宋_GB2312" w:eastAsia="仿宋_GB2312"/>
          <w:sz w:val="24"/>
        </w:rPr>
        <w:t>“十五五”时期</w:t>
      </w:r>
      <w:r>
        <w:rPr>
          <w:rFonts w:ascii="仿宋_GB2312" w:hAnsi="仿宋_GB2312" w:cs="仿宋_GB2312" w:eastAsia="仿宋_GB2312"/>
          <w:sz w:val="24"/>
        </w:rPr>
        <w:t>厦门市</w:t>
      </w:r>
      <w:r>
        <w:rPr>
          <w:rFonts w:ascii="仿宋_GB2312" w:hAnsi="仿宋_GB2312" w:cs="仿宋_GB2312" w:eastAsia="仿宋_GB2312"/>
          <w:sz w:val="24"/>
        </w:rPr>
        <w:t>现代化</w:t>
      </w:r>
      <w:r>
        <w:rPr>
          <w:rFonts w:ascii="仿宋_GB2312" w:hAnsi="仿宋_GB2312" w:cs="仿宋_GB2312" w:eastAsia="仿宋_GB2312"/>
          <w:sz w:val="24"/>
        </w:rPr>
        <w:t>基础设施</w:t>
      </w:r>
      <w:r>
        <w:rPr>
          <w:rFonts w:ascii="仿宋_GB2312" w:hAnsi="仿宋_GB2312" w:cs="仿宋_GB2312" w:eastAsia="仿宋_GB2312"/>
          <w:sz w:val="24"/>
        </w:rPr>
        <w:t>体系</w:t>
      </w:r>
      <w:r>
        <w:rPr>
          <w:rFonts w:ascii="仿宋_GB2312" w:hAnsi="仿宋_GB2312" w:cs="仿宋_GB2312" w:eastAsia="仿宋_GB2312"/>
          <w:sz w:val="24"/>
        </w:rPr>
        <w:t>发展</w:t>
      </w:r>
      <w:r>
        <w:rPr>
          <w:rFonts w:ascii="仿宋_GB2312" w:hAnsi="仿宋_GB2312" w:cs="仿宋_GB2312" w:eastAsia="仿宋_GB2312"/>
          <w:sz w:val="24"/>
        </w:rPr>
        <w:t>形势。</w:t>
      </w:r>
      <w:r>
        <w:rPr>
          <w:rFonts w:ascii="仿宋_GB2312" w:hAnsi="仿宋_GB2312" w:cs="仿宋_GB2312" w:eastAsia="仿宋_GB2312"/>
          <w:sz w:val="24"/>
        </w:rPr>
        <w:t>结合国家层面对现代化基础设施的发展要求，研判</w:t>
      </w:r>
      <w:r>
        <w:rPr>
          <w:rFonts w:ascii="仿宋_GB2312" w:hAnsi="仿宋_GB2312" w:cs="仿宋_GB2312" w:eastAsia="仿宋_GB2312"/>
          <w:sz w:val="24"/>
        </w:rPr>
        <w:t>“十五五”时期</w:t>
      </w:r>
      <w:r>
        <w:rPr>
          <w:rFonts w:ascii="仿宋_GB2312" w:hAnsi="仿宋_GB2312" w:cs="仿宋_GB2312" w:eastAsia="仿宋_GB2312"/>
          <w:sz w:val="24"/>
        </w:rPr>
        <w:t>厦门现代化基础设施</w:t>
      </w:r>
      <w:r>
        <w:rPr>
          <w:rFonts w:ascii="仿宋_GB2312" w:hAnsi="仿宋_GB2312" w:cs="仿宋_GB2312" w:eastAsia="仿宋_GB2312"/>
          <w:sz w:val="24"/>
        </w:rPr>
        <w:t>在国际、国内和厦门市</w:t>
      </w:r>
      <w:r>
        <w:rPr>
          <w:rFonts w:ascii="仿宋_GB2312" w:hAnsi="仿宋_GB2312" w:cs="仿宋_GB2312" w:eastAsia="仿宋_GB2312"/>
          <w:sz w:val="24"/>
        </w:rPr>
        <w:t>的发展</w:t>
      </w:r>
      <w:r>
        <w:rPr>
          <w:rFonts w:ascii="仿宋_GB2312" w:hAnsi="仿宋_GB2312" w:cs="仿宋_GB2312" w:eastAsia="仿宋_GB2312"/>
          <w:sz w:val="24"/>
        </w:rPr>
        <w:t>形势</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研究提出</w:t>
      </w:r>
      <w:r>
        <w:rPr>
          <w:rFonts w:ascii="仿宋_GB2312" w:hAnsi="仿宋_GB2312" w:cs="仿宋_GB2312" w:eastAsia="仿宋_GB2312"/>
          <w:sz w:val="24"/>
        </w:rPr>
        <w:t>“十五五”</w:t>
      </w:r>
      <w:r>
        <w:rPr>
          <w:rFonts w:ascii="仿宋_GB2312" w:hAnsi="仿宋_GB2312" w:cs="仿宋_GB2312" w:eastAsia="仿宋_GB2312"/>
          <w:sz w:val="24"/>
        </w:rPr>
        <w:t>厦门市</w:t>
      </w:r>
      <w:r>
        <w:rPr>
          <w:rFonts w:ascii="仿宋_GB2312" w:hAnsi="仿宋_GB2312" w:cs="仿宋_GB2312" w:eastAsia="仿宋_GB2312"/>
          <w:sz w:val="24"/>
        </w:rPr>
        <w:t>现代化</w:t>
      </w:r>
      <w:r>
        <w:rPr>
          <w:rFonts w:ascii="仿宋_GB2312" w:hAnsi="仿宋_GB2312" w:cs="仿宋_GB2312" w:eastAsia="仿宋_GB2312"/>
          <w:sz w:val="24"/>
        </w:rPr>
        <w:t>基础设施</w:t>
      </w:r>
      <w:r>
        <w:rPr>
          <w:rFonts w:ascii="仿宋_GB2312" w:hAnsi="仿宋_GB2312" w:cs="仿宋_GB2312" w:eastAsia="仿宋_GB2312"/>
          <w:sz w:val="24"/>
        </w:rPr>
        <w:t>体系总体要求</w:t>
      </w:r>
      <w:r>
        <w:rPr>
          <w:rFonts w:ascii="仿宋_GB2312" w:hAnsi="仿宋_GB2312" w:cs="仿宋_GB2312" w:eastAsia="仿宋_GB2312"/>
          <w:sz w:val="24"/>
        </w:rPr>
        <w:t>。围绕</w:t>
      </w:r>
      <w:r>
        <w:rPr>
          <w:rFonts w:ascii="仿宋_GB2312" w:hAnsi="仿宋_GB2312" w:cs="仿宋_GB2312" w:eastAsia="仿宋_GB2312"/>
          <w:sz w:val="24"/>
        </w:rPr>
        <w:t>“十五五”</w:t>
      </w:r>
      <w:r>
        <w:rPr>
          <w:rFonts w:ascii="仿宋_GB2312" w:hAnsi="仿宋_GB2312" w:cs="仿宋_GB2312" w:eastAsia="仿宋_GB2312"/>
          <w:sz w:val="24"/>
        </w:rPr>
        <w:t>厦门市基础设施发展</w:t>
      </w:r>
      <w:r>
        <w:rPr>
          <w:rFonts w:ascii="仿宋_GB2312" w:hAnsi="仿宋_GB2312" w:cs="仿宋_GB2312" w:eastAsia="仿宋_GB2312"/>
          <w:sz w:val="24"/>
        </w:rPr>
        <w:t>趋势</w:t>
      </w:r>
      <w:r>
        <w:rPr>
          <w:rFonts w:ascii="仿宋_GB2312" w:hAnsi="仿宋_GB2312" w:cs="仿宋_GB2312" w:eastAsia="仿宋_GB2312"/>
          <w:sz w:val="24"/>
        </w:rPr>
        <w:t>，促进增量和存量、传统和新型基础设施体系融合发展，提出</w:t>
      </w:r>
      <w:r>
        <w:rPr>
          <w:rFonts w:ascii="仿宋_GB2312" w:hAnsi="仿宋_GB2312" w:cs="仿宋_GB2312" w:eastAsia="仿宋_GB2312"/>
          <w:sz w:val="24"/>
        </w:rPr>
        <w:t>“十五五”厦门市</w:t>
      </w:r>
      <w:r>
        <w:rPr>
          <w:rFonts w:ascii="仿宋_GB2312" w:hAnsi="仿宋_GB2312" w:cs="仿宋_GB2312" w:eastAsia="仿宋_GB2312"/>
          <w:sz w:val="24"/>
        </w:rPr>
        <w:t>现代化基础设施体系的</w:t>
      </w:r>
      <w:r>
        <w:rPr>
          <w:rFonts w:ascii="仿宋_GB2312" w:hAnsi="仿宋_GB2312" w:cs="仿宋_GB2312" w:eastAsia="仿宋_GB2312"/>
          <w:sz w:val="24"/>
        </w:rPr>
        <w:t>指导思想、基本原则、</w:t>
      </w:r>
      <w:r>
        <w:rPr>
          <w:rFonts w:ascii="仿宋_GB2312" w:hAnsi="仿宋_GB2312" w:cs="仿宋_GB2312" w:eastAsia="仿宋_GB2312"/>
          <w:sz w:val="24"/>
        </w:rPr>
        <w:t>发展目标及指标体系。</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研究提出</w:t>
      </w:r>
      <w:r>
        <w:rPr>
          <w:rFonts w:ascii="仿宋_GB2312" w:hAnsi="仿宋_GB2312" w:cs="仿宋_GB2312" w:eastAsia="仿宋_GB2312"/>
          <w:sz w:val="24"/>
        </w:rPr>
        <w:t>厦门市</w:t>
      </w:r>
      <w:r>
        <w:rPr>
          <w:rFonts w:ascii="仿宋_GB2312" w:hAnsi="仿宋_GB2312" w:cs="仿宋_GB2312" w:eastAsia="仿宋_GB2312"/>
          <w:sz w:val="24"/>
        </w:rPr>
        <w:t>“十五五”</w:t>
      </w:r>
      <w:r>
        <w:rPr>
          <w:rFonts w:ascii="仿宋_GB2312" w:hAnsi="仿宋_GB2312" w:cs="仿宋_GB2312" w:eastAsia="仿宋_GB2312"/>
          <w:sz w:val="24"/>
        </w:rPr>
        <w:t>现代化基础设施体系</w:t>
      </w:r>
      <w:r>
        <w:rPr>
          <w:rFonts w:ascii="仿宋_GB2312" w:hAnsi="仿宋_GB2312" w:cs="仿宋_GB2312" w:eastAsia="仿宋_GB2312"/>
          <w:sz w:val="24"/>
        </w:rPr>
        <w:t>重点任务</w:t>
      </w:r>
      <w:r>
        <w:rPr>
          <w:rFonts w:ascii="仿宋_GB2312" w:hAnsi="仿宋_GB2312" w:cs="仿宋_GB2312" w:eastAsia="仿宋_GB2312"/>
          <w:sz w:val="24"/>
        </w:rPr>
        <w:t>。结合</w:t>
      </w:r>
      <w:r>
        <w:rPr>
          <w:rFonts w:ascii="仿宋_GB2312" w:hAnsi="仿宋_GB2312" w:cs="仿宋_GB2312" w:eastAsia="仿宋_GB2312"/>
          <w:sz w:val="24"/>
        </w:rPr>
        <w:t>“十五五”厦门市</w:t>
      </w:r>
      <w:r>
        <w:rPr>
          <w:rFonts w:ascii="仿宋_GB2312" w:hAnsi="仿宋_GB2312" w:cs="仿宋_GB2312" w:eastAsia="仿宋_GB2312"/>
          <w:sz w:val="24"/>
        </w:rPr>
        <w:t>现代化基础设施体系的</w:t>
      </w:r>
      <w:r>
        <w:rPr>
          <w:rFonts w:ascii="仿宋_GB2312" w:hAnsi="仿宋_GB2312" w:cs="仿宋_GB2312" w:eastAsia="仿宋_GB2312"/>
          <w:sz w:val="24"/>
        </w:rPr>
        <w:t>发展思路和</w:t>
      </w:r>
      <w:r>
        <w:rPr>
          <w:rFonts w:ascii="仿宋_GB2312" w:hAnsi="仿宋_GB2312" w:cs="仿宋_GB2312" w:eastAsia="仿宋_GB2312"/>
          <w:sz w:val="24"/>
        </w:rPr>
        <w:t>目标，</w:t>
      </w:r>
      <w:r>
        <w:rPr>
          <w:rFonts w:ascii="仿宋_GB2312" w:hAnsi="仿宋_GB2312" w:cs="仿宋_GB2312" w:eastAsia="仿宋_GB2312"/>
          <w:sz w:val="24"/>
        </w:rPr>
        <w:t>研究提出厦门市在</w:t>
      </w:r>
      <w:r>
        <w:rPr>
          <w:rFonts w:ascii="仿宋_GB2312" w:hAnsi="仿宋_GB2312" w:cs="仿宋_GB2312" w:eastAsia="仿宋_GB2312"/>
          <w:sz w:val="24"/>
        </w:rPr>
        <w:t>完善基础设施空间布局</w:t>
      </w:r>
      <w:r>
        <w:rPr>
          <w:rFonts w:ascii="仿宋_GB2312" w:hAnsi="仿宋_GB2312" w:cs="仿宋_GB2312" w:eastAsia="仿宋_GB2312"/>
          <w:sz w:val="24"/>
        </w:rPr>
        <w:t>、优化基础设施供给结构、提升厦门基础设施功能、加强基础设施系统集成、强化基础设施安全保障能力和深化推进体制机制改革创新等方面的重点任务</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加强</w:t>
      </w:r>
      <w:r>
        <w:rPr>
          <w:rFonts w:ascii="仿宋_GB2312" w:hAnsi="仿宋_GB2312" w:cs="仿宋_GB2312" w:eastAsia="仿宋_GB2312"/>
          <w:sz w:val="24"/>
        </w:rPr>
        <w:t>保障</w:t>
      </w:r>
      <w:r>
        <w:rPr>
          <w:rFonts w:ascii="仿宋_GB2312" w:hAnsi="仿宋_GB2312" w:cs="仿宋_GB2312" w:eastAsia="仿宋_GB2312"/>
          <w:sz w:val="24"/>
        </w:rPr>
        <w:t>措施</w:t>
      </w:r>
      <w:r>
        <w:rPr>
          <w:rFonts w:ascii="仿宋_GB2312" w:hAnsi="仿宋_GB2312" w:cs="仿宋_GB2312" w:eastAsia="仿宋_GB2312"/>
          <w:sz w:val="24"/>
        </w:rPr>
        <w:t>。落实基础设施建设要素保障措施、政策保障措施、</w:t>
      </w:r>
      <w:r>
        <w:rPr>
          <w:rFonts w:ascii="仿宋_GB2312" w:hAnsi="仿宋_GB2312" w:cs="仿宋_GB2312" w:eastAsia="仿宋_GB2312"/>
          <w:sz w:val="24"/>
        </w:rPr>
        <w:t>规划实施保障</w:t>
      </w:r>
      <w:r>
        <w:rPr>
          <w:rFonts w:ascii="仿宋_GB2312" w:hAnsi="仿宋_GB2312" w:cs="仿宋_GB2312" w:eastAsia="仿宋_GB2312"/>
          <w:sz w:val="24"/>
        </w:rPr>
        <w:t>、人才队伍建设措施等。</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研究谋划</w:t>
      </w:r>
      <w:r>
        <w:rPr>
          <w:rFonts w:ascii="仿宋_GB2312" w:hAnsi="仿宋_GB2312" w:cs="仿宋_GB2312" w:eastAsia="仿宋_GB2312"/>
          <w:sz w:val="24"/>
        </w:rPr>
        <w:t>“十五五”时期</w:t>
      </w:r>
      <w:r>
        <w:rPr>
          <w:rFonts w:ascii="仿宋_GB2312" w:hAnsi="仿宋_GB2312" w:cs="仿宋_GB2312" w:eastAsia="仿宋_GB2312"/>
          <w:sz w:val="24"/>
        </w:rPr>
        <w:t>厦门市现代化基础设施</w:t>
      </w:r>
      <w:r>
        <w:rPr>
          <w:rFonts w:ascii="仿宋_GB2312" w:hAnsi="仿宋_GB2312" w:cs="仿宋_GB2312" w:eastAsia="仿宋_GB2312"/>
          <w:sz w:val="24"/>
        </w:rPr>
        <w:t>体系</w:t>
      </w:r>
      <w:r>
        <w:rPr>
          <w:rFonts w:ascii="仿宋_GB2312" w:hAnsi="仿宋_GB2312" w:cs="仿宋_GB2312" w:eastAsia="仿宋_GB2312"/>
          <w:sz w:val="24"/>
        </w:rPr>
        <w:t>重大项目。紧密结合</w:t>
      </w:r>
      <w:r>
        <w:rPr>
          <w:rFonts w:ascii="仿宋_GB2312" w:hAnsi="仿宋_GB2312" w:cs="仿宋_GB2312" w:eastAsia="仿宋_GB2312"/>
          <w:sz w:val="24"/>
        </w:rPr>
        <w:t>厦门市</w:t>
      </w:r>
      <w:r>
        <w:rPr>
          <w:rFonts w:ascii="仿宋_GB2312" w:hAnsi="仿宋_GB2312" w:cs="仿宋_GB2312" w:eastAsia="仿宋_GB2312"/>
          <w:sz w:val="24"/>
        </w:rPr>
        <w:t>“十五五”</w:t>
      </w:r>
      <w:r>
        <w:rPr>
          <w:rFonts w:ascii="仿宋_GB2312" w:hAnsi="仿宋_GB2312" w:cs="仿宋_GB2312" w:eastAsia="仿宋_GB2312"/>
          <w:sz w:val="24"/>
        </w:rPr>
        <w:t>经济社会发展的重点领域、重点片区、重点工作，做好</w:t>
      </w:r>
      <w:r>
        <w:rPr>
          <w:rFonts w:ascii="仿宋_GB2312" w:hAnsi="仿宋_GB2312" w:cs="仿宋_GB2312" w:eastAsia="仿宋_GB2312"/>
          <w:sz w:val="24"/>
        </w:rPr>
        <w:t>厦门</w:t>
      </w:r>
      <w:r>
        <w:rPr>
          <w:rFonts w:ascii="仿宋_GB2312" w:hAnsi="仿宋_GB2312" w:cs="仿宋_GB2312" w:eastAsia="仿宋_GB2312"/>
          <w:sz w:val="24"/>
        </w:rPr>
        <w:t>现代化基础设施体系重大项目谋划和储备工作，研究提出</w:t>
      </w:r>
      <w:r>
        <w:rPr>
          <w:rFonts w:ascii="仿宋_GB2312" w:hAnsi="仿宋_GB2312" w:cs="仿宋_GB2312" w:eastAsia="仿宋_GB2312"/>
          <w:sz w:val="24"/>
        </w:rPr>
        <w:t>厦门</w:t>
      </w:r>
      <w:r>
        <w:rPr>
          <w:rFonts w:ascii="仿宋_GB2312" w:hAnsi="仿宋_GB2312" w:cs="仿宋_GB2312" w:eastAsia="仿宋_GB2312"/>
          <w:sz w:val="24"/>
        </w:rPr>
        <w:t>现代化基础设施体系建设项目清单。</w:t>
      </w:r>
    </w:p>
    <w:p>
      <w:pPr>
        <w:pStyle w:val="null3"/>
      </w:pPr>
      <w:r>
        <w:rPr>
          <w:rFonts w:ascii="仿宋_GB2312" w:hAnsi="仿宋_GB2312" w:cs="仿宋_GB2312" w:eastAsia="仿宋_GB2312"/>
          <w:sz w:val="24"/>
          <w:b/>
        </w:rPr>
        <w:t>（二）技术服务要求</w:t>
      </w:r>
    </w:p>
    <w:p>
      <w:pPr>
        <w:pStyle w:val="null3"/>
        <w:ind w:firstLine="480"/>
      </w:pPr>
      <w:r>
        <w:rPr>
          <w:rFonts w:ascii="仿宋_GB2312" w:hAnsi="仿宋_GB2312" w:cs="仿宋_GB2312" w:eastAsia="仿宋_GB2312"/>
          <w:sz w:val="24"/>
        </w:rPr>
        <w:t>1、配合服务要求</w:t>
      </w:r>
    </w:p>
    <w:p>
      <w:pPr>
        <w:pStyle w:val="null3"/>
        <w:ind w:firstLine="480"/>
      </w:pPr>
      <w:r>
        <w:rPr>
          <w:rFonts w:ascii="仿宋_GB2312" w:hAnsi="仿宋_GB2312" w:cs="仿宋_GB2312" w:eastAsia="仿宋_GB2312"/>
          <w:sz w:val="24"/>
        </w:rPr>
        <w:t>1.1 供应商</w:t>
      </w:r>
      <w:r>
        <w:rPr>
          <w:rFonts w:ascii="仿宋_GB2312" w:hAnsi="仿宋_GB2312" w:cs="仿宋_GB2312" w:eastAsia="仿宋_GB2312"/>
          <w:sz w:val="24"/>
        </w:rPr>
        <w:t>成交</w:t>
      </w:r>
      <w:r>
        <w:rPr>
          <w:rFonts w:ascii="仿宋_GB2312" w:hAnsi="仿宋_GB2312" w:cs="仿宋_GB2312" w:eastAsia="仿宋_GB2312"/>
          <w:sz w:val="24"/>
        </w:rPr>
        <w:t>后，在服务过程中须随时配合采购人的要求，并提供相应的技术咨询服务。</w:t>
      </w:r>
    </w:p>
    <w:p>
      <w:pPr>
        <w:pStyle w:val="null3"/>
        <w:ind w:firstLine="480"/>
      </w:pPr>
      <w:r>
        <w:rPr>
          <w:rFonts w:ascii="仿宋_GB2312" w:hAnsi="仿宋_GB2312" w:cs="仿宋_GB2312" w:eastAsia="仿宋_GB2312"/>
          <w:sz w:val="24"/>
        </w:rPr>
        <w:t>1.2 供应商</w:t>
      </w:r>
      <w:r>
        <w:rPr>
          <w:rFonts w:ascii="仿宋_GB2312" w:hAnsi="仿宋_GB2312" w:cs="仿宋_GB2312" w:eastAsia="仿宋_GB2312"/>
          <w:sz w:val="24"/>
        </w:rPr>
        <w:t>成交</w:t>
      </w:r>
      <w:r>
        <w:rPr>
          <w:rFonts w:ascii="仿宋_GB2312" w:hAnsi="仿宋_GB2312" w:cs="仿宋_GB2312" w:eastAsia="仿宋_GB2312"/>
          <w:sz w:val="24"/>
        </w:rPr>
        <w:t>后，在服务过程中须按照城市建设的进度，按采购人要求实时提供技术服务中间成果。</w:t>
      </w:r>
    </w:p>
    <w:p>
      <w:pPr>
        <w:pStyle w:val="null3"/>
        <w:ind w:firstLine="480"/>
      </w:pPr>
      <w:r>
        <w:rPr>
          <w:rFonts w:ascii="仿宋_GB2312" w:hAnsi="仿宋_GB2312" w:cs="仿宋_GB2312" w:eastAsia="仿宋_GB2312"/>
          <w:sz w:val="24"/>
        </w:rPr>
        <w:t>供应商在</w:t>
      </w:r>
      <w:r>
        <w:rPr>
          <w:rFonts w:ascii="仿宋_GB2312" w:hAnsi="仿宋_GB2312" w:cs="仿宋_GB2312" w:eastAsia="仿宋_GB2312"/>
          <w:sz w:val="24"/>
        </w:rPr>
        <w:t>报价</w:t>
      </w:r>
      <w:r>
        <w:rPr>
          <w:rFonts w:ascii="仿宋_GB2312" w:hAnsi="仿宋_GB2312" w:cs="仿宋_GB2312" w:eastAsia="仿宋_GB2312"/>
          <w:sz w:val="24"/>
        </w:rPr>
        <w:t>文件中需提供上述要求的书面承诺函。</w:t>
      </w:r>
    </w:p>
    <w:p>
      <w:pPr>
        <w:pStyle w:val="null3"/>
        <w:ind w:firstLine="480"/>
      </w:pPr>
      <w:r>
        <w:rPr>
          <w:rFonts w:ascii="仿宋_GB2312" w:hAnsi="仿宋_GB2312" w:cs="仿宋_GB2312" w:eastAsia="仿宋_GB2312"/>
          <w:sz w:val="24"/>
        </w:rPr>
        <w:t>2、技术响应要求</w:t>
      </w:r>
    </w:p>
    <w:p>
      <w:pPr>
        <w:pStyle w:val="null3"/>
        <w:ind w:firstLine="480"/>
      </w:pPr>
      <w:r>
        <w:rPr>
          <w:rFonts w:ascii="仿宋_GB2312" w:hAnsi="仿宋_GB2312" w:cs="仿宋_GB2312" w:eastAsia="仿宋_GB2312"/>
          <w:sz w:val="24"/>
        </w:rPr>
        <w:t>2.1 供应商应根据本项目需求提供详细的规划方案，规划方案应包括：规划内容、规划依据、规划工作大纲细化、规划服务人员、工作实施步骤、工作进度计划安排等内容。</w:t>
      </w:r>
    </w:p>
    <w:p>
      <w:pPr>
        <w:pStyle w:val="null3"/>
        <w:ind w:firstLine="480"/>
      </w:pPr>
      <w:r>
        <w:rPr>
          <w:rFonts w:ascii="仿宋_GB2312" w:hAnsi="仿宋_GB2312" w:cs="仿宋_GB2312" w:eastAsia="仿宋_GB2312"/>
          <w:sz w:val="24"/>
        </w:rPr>
        <w:t>2.2 供应商须具备完成本项目必需的项目负责人和主要实施人员，主要人员应具有国家规定的相关职业资格，供应商须提供相关人员的从业经历、相关工作经验、所持相关资质证书等情况说明。</w:t>
      </w:r>
    </w:p>
    <w:p>
      <w:pPr>
        <w:pStyle w:val="null3"/>
        <w:ind w:firstLine="480"/>
      </w:pPr>
      <w:r>
        <w:rPr>
          <w:rFonts w:ascii="仿宋_GB2312" w:hAnsi="仿宋_GB2312" w:cs="仿宋_GB2312" w:eastAsia="仿宋_GB2312"/>
          <w:sz w:val="24"/>
        </w:rPr>
        <w:t>2.3 规划服务人员名单须报备采购人，如需更换须经采购人同意。</w:t>
      </w:r>
    </w:p>
    <w:p>
      <w:pPr>
        <w:pStyle w:val="null3"/>
        <w:ind w:firstLine="480"/>
      </w:pPr>
      <w:r>
        <w:rPr>
          <w:rFonts w:ascii="仿宋_GB2312" w:hAnsi="仿宋_GB2312" w:cs="仿宋_GB2312" w:eastAsia="仿宋_GB2312"/>
          <w:sz w:val="24"/>
        </w:rPr>
        <w:t xml:space="preserve">2.4 </w:t>
      </w:r>
      <w:r>
        <w:rPr>
          <w:rFonts w:ascii="仿宋_GB2312" w:hAnsi="仿宋_GB2312" w:cs="仿宋_GB2312" w:eastAsia="仿宋_GB2312"/>
          <w:sz w:val="24"/>
        </w:rPr>
        <w:t>中标人</w:t>
      </w:r>
      <w:r>
        <w:rPr>
          <w:rFonts w:ascii="仿宋_GB2312" w:hAnsi="仿宋_GB2312" w:cs="仿宋_GB2312" w:eastAsia="仿宋_GB2312"/>
          <w:sz w:val="24"/>
        </w:rPr>
        <w:t>不得将本项目内容部分或全部转包他人，若发现转包，采购人有权取消其</w:t>
      </w:r>
      <w:r>
        <w:rPr>
          <w:rFonts w:ascii="仿宋_GB2312" w:hAnsi="仿宋_GB2312" w:cs="仿宋_GB2312" w:eastAsia="仿宋_GB2312"/>
          <w:sz w:val="24"/>
        </w:rPr>
        <w:t>成交</w:t>
      </w:r>
      <w:r>
        <w:rPr>
          <w:rFonts w:ascii="仿宋_GB2312" w:hAnsi="仿宋_GB2312" w:cs="仿宋_GB2312" w:eastAsia="仿宋_GB2312"/>
          <w:sz w:val="24"/>
        </w:rPr>
        <w:t>资格。</w:t>
      </w:r>
    </w:p>
    <w:p>
      <w:pPr>
        <w:pStyle w:val="null3"/>
        <w:ind w:firstLine="480"/>
        <w:jc w:val="both"/>
      </w:pPr>
      <w:r>
        <w:rPr>
          <w:rFonts w:ascii="仿宋_GB2312" w:hAnsi="仿宋_GB2312" w:cs="仿宋_GB2312" w:eastAsia="仿宋_GB2312"/>
          <w:sz w:val="24"/>
        </w:rPr>
        <w:t xml:space="preserve">2.5 </w:t>
      </w:r>
      <w:r>
        <w:rPr>
          <w:rFonts w:ascii="仿宋_GB2312" w:hAnsi="仿宋_GB2312" w:cs="仿宋_GB2312" w:eastAsia="仿宋_GB2312"/>
          <w:sz w:val="24"/>
        </w:rPr>
        <w:t>供应商应明确所提供的服务与采购需求存在的正负偏离情况。对照磋商文件要求，在《</w:t>
      </w:r>
      <w:r>
        <w:rPr>
          <w:rFonts w:ascii="仿宋_GB2312" w:hAnsi="仿宋_GB2312" w:cs="仿宋_GB2312" w:eastAsia="仿宋_GB2312"/>
          <w:sz w:val="24"/>
        </w:rPr>
        <w:t>技术规格和商务偏离表</w:t>
      </w:r>
      <w:r>
        <w:rPr>
          <w:rFonts w:ascii="仿宋_GB2312" w:hAnsi="仿宋_GB2312" w:cs="仿宋_GB2312" w:eastAsia="仿宋_GB2312"/>
          <w:sz w:val="24"/>
        </w:rPr>
        <w:t>》</w:t>
      </w:r>
      <w:r>
        <w:rPr>
          <w:rFonts w:ascii="仿宋_GB2312" w:hAnsi="仿宋_GB2312" w:cs="仿宋_GB2312" w:eastAsia="仿宋_GB2312"/>
          <w:sz w:val="24"/>
        </w:rPr>
        <w:t>（或点对点应答书，格式可参考第七章）</w:t>
      </w:r>
      <w:r>
        <w:rPr>
          <w:rFonts w:ascii="仿宋_GB2312" w:hAnsi="仿宋_GB2312" w:cs="仿宋_GB2312" w:eastAsia="仿宋_GB2312"/>
          <w:sz w:val="24"/>
        </w:rPr>
        <w:t>中逐条说明所提供的服务对采购需求的响应情况。供应商若未对采购需求进行逐条响应，将可能导致不利的评审后果。</w:t>
      </w:r>
    </w:p>
    <w:p>
      <w:pPr>
        <w:pStyle w:val="null3"/>
        <w:ind w:firstLine="480"/>
      </w:pPr>
      <w:r>
        <w:rPr>
          <w:rFonts w:ascii="仿宋_GB2312" w:hAnsi="仿宋_GB2312" w:cs="仿宋_GB2312" w:eastAsia="仿宋_GB2312"/>
          <w:sz w:val="24"/>
        </w:rPr>
        <w:t>3、知识产权要求</w:t>
      </w:r>
    </w:p>
    <w:p>
      <w:pPr>
        <w:pStyle w:val="null3"/>
        <w:ind w:firstLine="480"/>
      </w:pPr>
      <w:r>
        <w:rPr>
          <w:rFonts w:ascii="仿宋_GB2312" w:hAnsi="仿宋_GB2312" w:cs="仿宋_GB2312" w:eastAsia="仿宋_GB2312"/>
          <w:sz w:val="24"/>
        </w:rPr>
        <w:t xml:space="preserve">3.1 </w:t>
      </w:r>
      <w:r>
        <w:rPr>
          <w:rFonts w:ascii="仿宋_GB2312" w:hAnsi="仿宋_GB2312" w:cs="仿宋_GB2312" w:eastAsia="仿宋_GB2312"/>
          <w:sz w:val="24"/>
        </w:rPr>
        <w:t>供应商基于本项目或采购人提供材料所完成的全部成果所涉及的所有权利</w:t>
      </w:r>
      <w:r>
        <w:rPr>
          <w:rFonts w:ascii="仿宋_GB2312" w:hAnsi="仿宋_GB2312" w:cs="仿宋_GB2312" w:eastAsia="仿宋_GB2312"/>
          <w:sz w:val="24"/>
        </w:rPr>
        <w:t>,包括但不限于知识产权归采购人所有。未经采购人书面授权，供应商不得自行使用，亦不得转让和允许任何第三方使用。</w:t>
      </w:r>
    </w:p>
    <w:p>
      <w:pPr>
        <w:pStyle w:val="null3"/>
        <w:ind w:firstLine="480"/>
      </w:pPr>
      <w:r>
        <w:rPr>
          <w:rFonts w:ascii="仿宋_GB2312" w:hAnsi="仿宋_GB2312" w:cs="仿宋_GB2312" w:eastAsia="仿宋_GB2312"/>
          <w:sz w:val="24"/>
        </w:rPr>
        <w:t xml:space="preserve">3.2 </w:t>
      </w:r>
      <w:r>
        <w:rPr>
          <w:rFonts w:ascii="仿宋_GB2312" w:hAnsi="仿宋_GB2312" w:cs="仿宋_GB2312" w:eastAsia="仿宋_GB2312"/>
          <w:sz w:val="24"/>
        </w:rPr>
        <w:t>中标人</w:t>
      </w:r>
      <w:r>
        <w:rPr>
          <w:rFonts w:ascii="仿宋_GB2312" w:hAnsi="仿宋_GB2312" w:cs="仿宋_GB2312" w:eastAsia="仿宋_GB2312"/>
          <w:sz w:val="24"/>
        </w:rPr>
        <w:t>提供的一切服务成果资料必须是自主研究、自主编制的，并保证采购人在使用过程的任何时候不受到知识产权或版权的纠纷。</w:t>
      </w:r>
      <w:r>
        <w:rPr>
          <w:rFonts w:ascii="仿宋_GB2312" w:hAnsi="仿宋_GB2312" w:cs="仿宋_GB2312" w:eastAsia="仿宋_GB2312"/>
          <w:sz w:val="24"/>
        </w:rPr>
        <w:t>中标人</w:t>
      </w:r>
      <w:r>
        <w:rPr>
          <w:rFonts w:ascii="仿宋_GB2312" w:hAnsi="仿宋_GB2312" w:cs="仿宋_GB2312" w:eastAsia="仿宋_GB2312"/>
          <w:sz w:val="24"/>
        </w:rPr>
        <w:t>应保证采购人在使用该资料或其任何一部分时免受第三方提出侵犯其专利权、商标权等的起诉。否则，由此产生的责任，完全由</w:t>
      </w:r>
      <w:r>
        <w:rPr>
          <w:rFonts w:ascii="仿宋_GB2312" w:hAnsi="仿宋_GB2312" w:cs="仿宋_GB2312" w:eastAsia="仿宋_GB2312"/>
          <w:sz w:val="24"/>
        </w:rPr>
        <w:t>中标人</w:t>
      </w:r>
      <w:r>
        <w:rPr>
          <w:rFonts w:ascii="仿宋_GB2312" w:hAnsi="仿宋_GB2312" w:cs="仿宋_GB2312" w:eastAsia="仿宋_GB2312"/>
          <w:sz w:val="24"/>
        </w:rPr>
        <w:t>承担。</w:t>
      </w:r>
    </w:p>
    <w:p>
      <w:pPr>
        <w:pStyle w:val="null3"/>
        <w:ind w:firstLine="480"/>
      </w:pPr>
      <w:r>
        <w:rPr>
          <w:rFonts w:ascii="仿宋_GB2312" w:hAnsi="仿宋_GB2312" w:cs="仿宋_GB2312" w:eastAsia="仿宋_GB2312"/>
          <w:sz w:val="24"/>
        </w:rPr>
        <w:t xml:space="preserve">3.3 </w:t>
      </w:r>
      <w:r>
        <w:rPr>
          <w:rFonts w:ascii="仿宋_GB2312" w:hAnsi="仿宋_GB2312" w:cs="仿宋_GB2312" w:eastAsia="仿宋_GB2312"/>
          <w:sz w:val="24"/>
        </w:rPr>
        <w:t>中标人</w:t>
      </w:r>
      <w:r>
        <w:rPr>
          <w:rFonts w:ascii="仿宋_GB2312" w:hAnsi="仿宋_GB2312" w:cs="仿宋_GB2312" w:eastAsia="仿宋_GB2312"/>
          <w:sz w:val="24"/>
        </w:rPr>
        <w:t>的服务成果所有权归属采购人所有。</w:t>
      </w:r>
    </w:p>
    <w:p>
      <w:pPr>
        <w:pStyle w:val="null3"/>
        <w:ind w:firstLine="480"/>
      </w:pPr>
      <w:r>
        <w:rPr>
          <w:rFonts w:ascii="仿宋_GB2312" w:hAnsi="仿宋_GB2312" w:cs="仿宋_GB2312" w:eastAsia="仿宋_GB2312"/>
          <w:sz w:val="24"/>
        </w:rPr>
        <w:t>3.4 本项目成果文件的署名权归编制单位所有，版权归采购人所有。采购人有权在成果文件审批后公开展示本次</w:t>
      </w:r>
      <w:r>
        <w:rPr>
          <w:rFonts w:ascii="仿宋_GB2312" w:hAnsi="仿宋_GB2312" w:cs="仿宋_GB2312" w:eastAsia="仿宋_GB2312"/>
          <w:sz w:val="24"/>
        </w:rPr>
        <w:t>规划</w:t>
      </w:r>
      <w:r>
        <w:rPr>
          <w:rFonts w:ascii="仿宋_GB2312" w:hAnsi="仿宋_GB2312" w:cs="仿宋_GB2312" w:eastAsia="仿宋_GB2312"/>
          <w:sz w:val="24"/>
        </w:rPr>
        <w:t>成果，并通过传播媒介、专业杂志、书刊或其它形式介绍、展示及评价</w:t>
      </w:r>
      <w:r>
        <w:rPr>
          <w:rFonts w:ascii="仿宋_GB2312" w:hAnsi="仿宋_GB2312" w:cs="仿宋_GB2312" w:eastAsia="仿宋_GB2312"/>
          <w:sz w:val="24"/>
        </w:rPr>
        <w:t>规划</w:t>
      </w:r>
      <w:r>
        <w:rPr>
          <w:rFonts w:ascii="仿宋_GB2312" w:hAnsi="仿宋_GB2312" w:cs="仿宋_GB2312" w:eastAsia="仿宋_GB2312"/>
          <w:sz w:val="24"/>
        </w:rPr>
        <w:t>成果。</w:t>
      </w:r>
    </w:p>
    <w:p>
      <w:pPr>
        <w:pStyle w:val="null3"/>
        <w:ind w:firstLine="480"/>
      </w:pPr>
      <w:r>
        <w:rPr>
          <w:rFonts w:ascii="仿宋_GB2312" w:hAnsi="仿宋_GB2312" w:cs="仿宋_GB2312" w:eastAsia="仿宋_GB2312"/>
          <w:sz w:val="24"/>
        </w:rPr>
        <w:t>供应商在</w:t>
      </w:r>
      <w:r>
        <w:rPr>
          <w:rFonts w:ascii="仿宋_GB2312" w:hAnsi="仿宋_GB2312" w:cs="仿宋_GB2312" w:eastAsia="仿宋_GB2312"/>
          <w:sz w:val="24"/>
        </w:rPr>
        <w:t>报价</w:t>
      </w:r>
      <w:r>
        <w:rPr>
          <w:rFonts w:ascii="仿宋_GB2312" w:hAnsi="仿宋_GB2312" w:cs="仿宋_GB2312" w:eastAsia="仿宋_GB2312"/>
          <w:sz w:val="24"/>
        </w:rPr>
        <w:t>文件中需提供上述要求的书</w:t>
      </w:r>
      <w:r>
        <w:rPr>
          <w:rFonts w:ascii="仿宋_GB2312" w:hAnsi="仿宋_GB2312" w:cs="仿宋_GB2312" w:eastAsia="仿宋_GB2312"/>
          <w:sz w:val="24"/>
        </w:rPr>
        <w:t>面承诺函。</w:t>
      </w:r>
    </w:p>
    <w:p>
      <w:pPr>
        <w:pStyle w:val="null3"/>
      </w:pPr>
      <w:r>
        <w:rPr>
          <w:rFonts w:ascii="仿宋_GB2312" w:hAnsi="仿宋_GB2312" w:cs="仿宋_GB2312" w:eastAsia="仿宋_GB2312"/>
          <w:sz w:val="24"/>
          <w:b/>
        </w:rPr>
        <w:t>（三）服务要求</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供应商</w:t>
      </w:r>
      <w:r>
        <w:rPr>
          <w:rFonts w:ascii="仿宋_GB2312" w:hAnsi="仿宋_GB2312" w:cs="仿宋_GB2312" w:eastAsia="仿宋_GB2312"/>
          <w:sz w:val="24"/>
        </w:rPr>
        <w:t>须针对本项目要求，制定完整的规划方案实施报告。</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供应商</w:t>
      </w:r>
      <w:r>
        <w:rPr>
          <w:rFonts w:ascii="仿宋_GB2312" w:hAnsi="仿宋_GB2312" w:cs="仿宋_GB2312" w:eastAsia="仿宋_GB2312"/>
          <w:sz w:val="24"/>
        </w:rPr>
        <w:t>认为有利于采购人的其他优惠条款应单独列明。</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供应商</w:t>
      </w:r>
      <w:r>
        <w:rPr>
          <w:rFonts w:ascii="仿宋_GB2312" w:hAnsi="仿宋_GB2312" w:cs="仿宋_GB2312" w:eastAsia="仿宋_GB2312"/>
          <w:sz w:val="24"/>
        </w:rPr>
        <w:t>在项目结束前应做好资料、档案文件等完整资料的整理和移交，情况的现场鉴证。</w:t>
      </w:r>
    </w:p>
    <w:p>
      <w:pPr>
        <w:pStyle w:val="null3"/>
        <w:ind w:firstLine="480"/>
      </w:pPr>
      <w:r>
        <w:rPr>
          <w:rFonts w:ascii="仿宋_GB2312" w:hAnsi="仿宋_GB2312" w:cs="仿宋_GB2312" w:eastAsia="仿宋_GB2312"/>
          <w:sz w:val="24"/>
        </w:rPr>
        <w:t>4、对发现的错漏、不符合质量要求的内容在采购人要求的时间内进行重新提交。</w:t>
      </w:r>
      <w:r>
        <w:rPr>
          <w:rFonts w:ascii="仿宋_GB2312" w:hAnsi="仿宋_GB2312" w:cs="仿宋_GB2312" w:eastAsia="仿宋_GB2312"/>
          <w:sz w:val="24"/>
        </w:rPr>
        <w:t>供应商</w:t>
      </w:r>
      <w:r>
        <w:rPr>
          <w:rFonts w:ascii="仿宋_GB2312" w:hAnsi="仿宋_GB2312" w:cs="仿宋_GB2312" w:eastAsia="仿宋_GB2312"/>
          <w:sz w:val="24"/>
        </w:rPr>
        <w:t>对项目质量、数据、成果，准确</w:t>
      </w:r>
      <w:r>
        <w:rPr>
          <w:rFonts w:ascii="仿宋_GB2312" w:hAnsi="仿宋_GB2312" w:cs="仿宋_GB2312" w:eastAsia="仿宋_GB2312"/>
          <w:sz w:val="24"/>
        </w:rPr>
        <w:t>性负责，免费修改维护。</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供应商</w:t>
      </w:r>
      <w:r>
        <w:rPr>
          <w:rFonts w:ascii="仿宋_GB2312" w:hAnsi="仿宋_GB2312" w:cs="仿宋_GB2312" w:eastAsia="仿宋_GB2312"/>
          <w:sz w:val="24"/>
        </w:rPr>
        <w:t>应具有专业从事同类规划项目工作的经验和业绩项目经验</w:t>
      </w:r>
      <w:r>
        <w:rPr>
          <w:rFonts w:ascii="仿宋_GB2312" w:hAnsi="仿宋_GB2312" w:cs="仿宋_GB2312" w:eastAsia="仿宋_GB2312"/>
          <w:sz w:val="24"/>
        </w:rPr>
        <w:t>,了解和熟悉该领域项目特点，具有专业、成熟的业务流程，应在</w:t>
      </w:r>
      <w:r>
        <w:rPr>
          <w:rFonts w:ascii="仿宋_GB2312" w:hAnsi="仿宋_GB2312" w:cs="仿宋_GB2312" w:eastAsia="仿宋_GB2312"/>
          <w:sz w:val="24"/>
        </w:rPr>
        <w:t>报价</w:t>
      </w:r>
      <w:r>
        <w:rPr>
          <w:rFonts w:ascii="仿宋_GB2312" w:hAnsi="仿宋_GB2312" w:cs="仿宋_GB2312" w:eastAsia="仿宋_GB2312"/>
          <w:sz w:val="24"/>
        </w:rPr>
        <w:t>文件中提供详细明确的流程，以及需要相互配合的工作及事务，费用已包含在报价中。</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保密要求</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必须对采购人提供的资料及与本项目相关的一切资料履行保密责任，未经采购人书面许可，不得向任何第三方复制、转让、使用、引用，</w:t>
      </w:r>
      <w:r>
        <w:rPr>
          <w:rFonts w:ascii="仿宋_GB2312" w:hAnsi="仿宋_GB2312" w:cs="仿宋_GB2312" w:eastAsia="仿宋_GB2312"/>
          <w:sz w:val="24"/>
        </w:rPr>
        <w:t>供应商</w:t>
      </w:r>
      <w:r>
        <w:rPr>
          <w:rFonts w:ascii="仿宋_GB2312" w:hAnsi="仿宋_GB2312" w:cs="仿宋_GB2312" w:eastAsia="仿宋_GB2312"/>
          <w:sz w:val="24"/>
        </w:rPr>
        <w:t>也不得用于其他的任何场合。</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、供应商承担本采购项目下保密义务，应保证经手资料的保密和安全，不得以任何方式泄露工作过程中知悉的资料信息，不得将因本次项目获得的任何信息向任何未经采购人允许的第三人外传。</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、采购人有权将供应商提供的所有资料向其他行政管理部门或有关的非政府机构负责评审的人员或与评审有关的人员披露。</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、供应商与采购人签订合同时，须同时签订保密协议，双方必须对合作过程中涉及的数据、工作秘密、业务需求、协议、各类成果资料等内容和相关事务保密。</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、任何因供应商泄密引起的不良社会影响和法律责任均由供应商承担。</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服务期：整个项目周期计划自合同签订之日起90个日历日内（3个月）完成，包括1个月提出初审成果，1个月制定评审成果，1个月修改并提交最终成果。</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服务地点：厦门市思明区湖滨北路61号。</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按招标文件、合同约定及相关法律法规执行。</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1、期次1，说明：提交专家评审论证文件后，采购人将对交付成果进行验收。</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1、付款条件：合同签订且收到中标人开具的正式发票后，达到付款条件起7日内，支付合同总金额的30.00%</w:t>
            </w:r>
          </w:p>
          <w:p>
            <w:pPr>
              <w:pStyle w:val="null3"/>
              <w:jc w:val="left"/>
            </w:pPr>
            <w:r>
              <w:rPr>
                <w:rFonts w:ascii="仿宋_GB2312" w:hAnsi="仿宋_GB2312" w:cs="仿宋_GB2312" w:eastAsia="仿宋_GB2312"/>
              </w:rPr>
              <w:t>2、付款条件：项目通过评审后，且收到中标人开具的正式发票后，达到付款条件起7日内，支付合同总金额的50.00%</w:t>
            </w:r>
          </w:p>
          <w:p>
            <w:pPr>
              <w:pStyle w:val="null3"/>
              <w:jc w:val="left"/>
            </w:pPr>
            <w:r>
              <w:rPr>
                <w:rFonts w:ascii="仿宋_GB2312" w:hAnsi="仿宋_GB2312" w:cs="仿宋_GB2312" w:eastAsia="仿宋_GB2312"/>
              </w:rPr>
              <w:t>3、付款条件：项目提交最终成果并经采购人验收后，达到付款条件起7日内，支付合同总金额的20.00%</w:t>
            </w:r>
          </w:p>
        </w:tc>
      </w:tr>
      <w:tr>
        <w:tc>
          <w:tcPr>
            <w:tcW w:type="dxa" w:w="2076"/>
          </w:tcPr>
          <w:p>
            <w:pPr>
              <w:pStyle w:val="null3"/>
              <w:jc w:val="left"/>
            </w:pPr>
            <w:r>
              <w:rPr>
                <w:rFonts w:ascii="仿宋_GB2312" w:hAnsi="仿宋_GB2312" w:cs="仿宋_GB2312" w:eastAsia="仿宋_GB2312"/>
              </w:rPr>
              <w:t>7</w:t>
            </w:r>
          </w:p>
        </w:tc>
        <w:tc>
          <w:tcPr>
            <w:tcW w:type="dxa" w:w="2076"/>
          </w:tcP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p>
            <w:pPr>
              <w:pStyle w:val="null3"/>
              <w:jc w:val="left"/>
            </w:pPr>
            <w:r>
              <w:rPr>
                <w:rFonts w:ascii="仿宋_GB2312" w:hAnsi="仿宋_GB2312" w:cs="仿宋_GB2312" w:eastAsia="仿宋_GB2312"/>
              </w:rPr>
              <w:t>缴纳方式：无</w:t>
            </w:r>
          </w:p>
        </w:tc>
      </w:tr>
      <w:tr>
        <w:tc>
          <w:tcPr>
            <w:tcW w:type="dxa" w:w="2076"/>
          </w:tcPr>
          <w:p>
            <w:pPr>
              <w:pStyle w:val="null3"/>
              <w:jc w:val="left"/>
            </w:pPr>
            <w:r>
              <w:rPr>
                <w:rFonts w:ascii="仿宋_GB2312" w:hAnsi="仿宋_GB2312" w:cs="仿宋_GB2312" w:eastAsia="仿宋_GB2312"/>
              </w:rPr>
              <w:t>8</w:t>
            </w:r>
          </w:p>
        </w:tc>
        <w:tc>
          <w:tcPr>
            <w:tcW w:type="dxa" w:w="2076"/>
          </w:tcP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因系统格式固定，合同支付方式中的“日”均更正为“工作日”。</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rPr>
        <w:t>1、验收要求及售后服务</w:t>
      </w:r>
    </w:p>
    <w:p>
      <w:pPr>
        <w:pStyle w:val="null3"/>
        <w:ind w:firstLine="482"/>
      </w:pPr>
      <w:r>
        <w:rPr>
          <w:rFonts w:ascii="仿宋_GB2312" w:hAnsi="仿宋_GB2312" w:cs="仿宋_GB2312" w:eastAsia="仿宋_GB2312"/>
          <w:sz w:val="24"/>
          <w:b/>
        </w:rPr>
        <w:t>1.1验收要求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1）验收条件：服务实施过程的每个阶段完成后，</w:t>
      </w:r>
      <w:r>
        <w:rPr>
          <w:rFonts w:ascii="仿宋_GB2312" w:hAnsi="仿宋_GB2312" w:cs="仿宋_GB2312" w:eastAsia="仿宋_GB2312"/>
          <w:sz w:val="24"/>
        </w:rPr>
        <w:t>中标人</w:t>
      </w:r>
      <w:r>
        <w:rPr>
          <w:rFonts w:ascii="仿宋_GB2312" w:hAnsi="仿宋_GB2312" w:cs="仿宋_GB2312" w:eastAsia="仿宋_GB2312"/>
          <w:sz w:val="24"/>
        </w:rPr>
        <w:t>应及时通知采购人，进行相关事项的讨论，并根据采购人提出的整改意见及时整改。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2）验收依据：</w:t>
      </w:r>
      <w:r>
        <w:rPr>
          <w:rFonts w:ascii="仿宋_GB2312" w:hAnsi="仿宋_GB2312" w:cs="仿宋_GB2312" w:eastAsia="仿宋_GB2312"/>
          <w:sz w:val="24"/>
        </w:rPr>
        <w:t>采购</w:t>
      </w:r>
      <w:r>
        <w:rPr>
          <w:rFonts w:ascii="仿宋_GB2312" w:hAnsi="仿宋_GB2312" w:cs="仿宋_GB2312" w:eastAsia="仿宋_GB2312"/>
          <w:sz w:val="24"/>
        </w:rPr>
        <w:t>文件、</w:t>
      </w:r>
      <w:r>
        <w:rPr>
          <w:rFonts w:ascii="仿宋_GB2312" w:hAnsi="仿宋_GB2312" w:cs="仿宋_GB2312" w:eastAsia="仿宋_GB2312"/>
          <w:sz w:val="24"/>
        </w:rPr>
        <w:t>报价</w:t>
      </w:r>
      <w:r>
        <w:rPr>
          <w:rFonts w:ascii="仿宋_GB2312" w:hAnsi="仿宋_GB2312" w:cs="仿宋_GB2312" w:eastAsia="仿宋_GB2312"/>
          <w:sz w:val="24"/>
        </w:rPr>
        <w:t>文件及国家、省、市有关的标准规定，均为验收依据。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3）采购人与</w:t>
      </w:r>
      <w:r>
        <w:rPr>
          <w:rFonts w:ascii="仿宋_GB2312" w:hAnsi="仿宋_GB2312" w:cs="仿宋_GB2312" w:eastAsia="仿宋_GB2312"/>
          <w:sz w:val="24"/>
        </w:rPr>
        <w:t>中标人</w:t>
      </w:r>
      <w:r>
        <w:rPr>
          <w:rFonts w:ascii="仿宋_GB2312" w:hAnsi="仿宋_GB2312" w:cs="仿宋_GB2312" w:eastAsia="仿宋_GB2312"/>
          <w:sz w:val="24"/>
        </w:rPr>
        <w:t>签订服务合同，根据采购文件规定和</w:t>
      </w:r>
      <w:r>
        <w:rPr>
          <w:rFonts w:ascii="仿宋_GB2312" w:hAnsi="仿宋_GB2312" w:cs="仿宋_GB2312" w:eastAsia="仿宋_GB2312"/>
          <w:sz w:val="24"/>
        </w:rPr>
        <w:t>中标人</w:t>
      </w:r>
      <w:r>
        <w:rPr>
          <w:rFonts w:ascii="仿宋_GB2312" w:hAnsi="仿宋_GB2312" w:cs="仿宋_GB2312" w:eastAsia="仿宋_GB2312"/>
          <w:sz w:val="24"/>
        </w:rPr>
        <w:t>的</w:t>
      </w:r>
      <w:r>
        <w:rPr>
          <w:rFonts w:ascii="仿宋_GB2312" w:hAnsi="仿宋_GB2312" w:cs="仿宋_GB2312" w:eastAsia="仿宋_GB2312"/>
          <w:sz w:val="24"/>
        </w:rPr>
        <w:t>报价</w:t>
      </w:r>
      <w:r>
        <w:rPr>
          <w:rFonts w:ascii="仿宋_GB2312" w:hAnsi="仿宋_GB2312" w:cs="仿宋_GB2312" w:eastAsia="仿宋_GB2312"/>
          <w:sz w:val="24"/>
        </w:rPr>
        <w:t>响应承诺约定具体事项和考核办法，</w:t>
      </w:r>
      <w:r>
        <w:rPr>
          <w:rFonts w:ascii="仿宋_GB2312" w:hAnsi="仿宋_GB2312" w:cs="仿宋_GB2312" w:eastAsia="仿宋_GB2312"/>
          <w:sz w:val="24"/>
        </w:rPr>
        <w:t>中标人</w:t>
      </w:r>
      <w:r>
        <w:rPr>
          <w:rFonts w:ascii="仿宋_GB2312" w:hAnsi="仿宋_GB2312" w:cs="仿宋_GB2312" w:eastAsia="仿宋_GB2312"/>
          <w:sz w:val="24"/>
        </w:rPr>
        <w:t>若发生违约行为或考核不合格，采购人有权终止合同的履行。</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4）验收标准：</w:t>
      </w:r>
      <w:r>
        <w:rPr>
          <w:rFonts w:ascii="仿宋_GB2312" w:hAnsi="仿宋_GB2312" w:cs="仿宋_GB2312" w:eastAsia="仿宋_GB2312"/>
          <w:sz w:val="24"/>
        </w:rPr>
        <w:t>每次</w:t>
      </w:r>
      <w:r>
        <w:rPr>
          <w:rFonts w:ascii="仿宋_GB2312" w:hAnsi="仿宋_GB2312" w:cs="仿宋_GB2312" w:eastAsia="仿宋_GB2312"/>
          <w:sz w:val="24"/>
        </w:rPr>
        <w:t>项目成果报告须经采购人书面签字确认才通过验收。</w:t>
      </w:r>
    </w:p>
    <w:p>
      <w:pPr>
        <w:pStyle w:val="null3"/>
        <w:ind w:firstLine="482"/>
      </w:pPr>
      <w:r>
        <w:rPr>
          <w:rFonts w:ascii="仿宋_GB2312" w:hAnsi="仿宋_GB2312" w:cs="仿宋_GB2312" w:eastAsia="仿宋_GB2312"/>
          <w:sz w:val="24"/>
          <w:b/>
        </w:rPr>
        <w:t>1.2售后服务</w:t>
      </w:r>
    </w:p>
    <w:p>
      <w:pPr>
        <w:pStyle w:val="null3"/>
        <w:ind w:firstLine="480"/>
      </w:pPr>
      <w:r>
        <w:rPr>
          <w:rFonts w:ascii="仿宋_GB2312" w:hAnsi="仿宋_GB2312" w:cs="仿宋_GB2312" w:eastAsia="仿宋_GB2312"/>
          <w:sz w:val="24"/>
        </w:rPr>
        <w:t>供应商</w:t>
      </w:r>
      <w:r>
        <w:rPr>
          <w:rFonts w:ascii="仿宋_GB2312" w:hAnsi="仿宋_GB2312" w:cs="仿宋_GB2312" w:eastAsia="仿宋_GB2312"/>
          <w:sz w:val="24"/>
        </w:rPr>
        <w:t>应根据本项目特点提供切实可行且满足采购人工</w:t>
      </w:r>
      <w:r>
        <w:rPr>
          <w:rFonts w:ascii="仿宋_GB2312" w:hAnsi="仿宋_GB2312" w:cs="仿宋_GB2312" w:eastAsia="仿宋_GB2312"/>
          <w:sz w:val="24"/>
        </w:rPr>
        <w:t>作需要的售后服务，并在</w:t>
      </w:r>
      <w:r>
        <w:rPr>
          <w:rFonts w:ascii="仿宋_GB2312" w:hAnsi="仿宋_GB2312" w:cs="仿宋_GB2312" w:eastAsia="仿宋_GB2312"/>
          <w:sz w:val="24"/>
        </w:rPr>
        <w:t>报价</w:t>
      </w:r>
      <w:r>
        <w:rPr>
          <w:rFonts w:ascii="仿宋_GB2312" w:hAnsi="仿宋_GB2312" w:cs="仿宋_GB2312" w:eastAsia="仿宋_GB2312"/>
          <w:sz w:val="24"/>
        </w:rPr>
        <w:t>文件中提供详细具体的售后服务承诺条款及保证。</w:t>
      </w:r>
    </w:p>
    <w:p>
      <w:pPr>
        <w:pStyle w:val="null3"/>
        <w:ind w:firstLine="482"/>
      </w:pPr>
      <w:r>
        <w:rPr>
          <w:rFonts w:ascii="仿宋_GB2312" w:hAnsi="仿宋_GB2312" w:cs="仿宋_GB2312" w:eastAsia="仿宋_GB2312"/>
          <w:sz w:val="24"/>
          <w:b/>
        </w:rPr>
        <w:t>1.3安全服务</w:t>
      </w:r>
    </w:p>
    <w:p>
      <w:pPr>
        <w:pStyle w:val="null3"/>
        <w:ind w:firstLine="480"/>
      </w:pPr>
      <w:r>
        <w:rPr>
          <w:rFonts w:ascii="仿宋_GB2312" w:hAnsi="仿宋_GB2312" w:cs="仿宋_GB2312" w:eastAsia="仿宋_GB2312"/>
          <w:sz w:val="24"/>
        </w:rPr>
        <w:t>中标人在履约过程中若有出现安全事故，其责任及相应的赔偿均由中标人自行承担，采购人不承担所有责任及义务。</w:t>
      </w:r>
    </w:p>
    <w:p>
      <w:pPr>
        <w:pStyle w:val="null3"/>
      </w:pPr>
      <w:r>
        <w:rPr>
          <w:rFonts w:ascii="仿宋_GB2312" w:hAnsi="仿宋_GB2312" w:cs="仿宋_GB2312" w:eastAsia="仿宋_GB2312"/>
          <w:sz w:val="24"/>
          <w:b/>
        </w:rPr>
        <w:t>2、报价要求</w:t>
      </w:r>
    </w:p>
    <w:p>
      <w:pPr>
        <w:pStyle w:val="null3"/>
        <w:ind w:firstLine="482"/>
      </w:pPr>
      <w:r>
        <w:rPr>
          <w:rFonts w:ascii="仿宋_GB2312" w:hAnsi="仿宋_GB2312" w:cs="仿宋_GB2312" w:eastAsia="仿宋_GB2312"/>
          <w:sz w:val="24"/>
          <w:b/>
        </w:rPr>
        <w:t>★2.1本项目的采购预算为人民币</w:t>
      </w:r>
      <w:r>
        <w:rPr>
          <w:rFonts w:ascii="仿宋_GB2312" w:hAnsi="仿宋_GB2312" w:cs="仿宋_GB2312" w:eastAsia="仿宋_GB2312"/>
          <w:sz w:val="24"/>
          <w:b/>
        </w:rPr>
        <w:t>180</w:t>
      </w:r>
      <w:r>
        <w:rPr>
          <w:rFonts w:ascii="仿宋_GB2312" w:hAnsi="仿宋_GB2312" w:cs="仿宋_GB2312" w:eastAsia="仿宋_GB2312"/>
          <w:sz w:val="24"/>
          <w:b/>
        </w:rPr>
        <w:t>万元整，采购预算为最高限价，</w:t>
      </w:r>
      <w:r>
        <w:rPr>
          <w:rFonts w:ascii="仿宋_GB2312" w:hAnsi="仿宋_GB2312" w:cs="仿宋_GB2312" w:eastAsia="仿宋_GB2312"/>
          <w:sz w:val="24"/>
          <w:b/>
        </w:rPr>
        <w:t>供应商投标</w:t>
      </w:r>
      <w:r>
        <w:rPr>
          <w:rFonts w:ascii="仿宋_GB2312" w:hAnsi="仿宋_GB2312" w:cs="仿宋_GB2312" w:eastAsia="仿宋_GB2312"/>
          <w:sz w:val="24"/>
          <w:b/>
        </w:rPr>
        <w:t>报价超过最高限价的</w:t>
      </w:r>
      <w:r>
        <w:rPr>
          <w:rFonts w:ascii="仿宋_GB2312" w:hAnsi="仿宋_GB2312" w:cs="仿宋_GB2312" w:eastAsia="仿宋_GB2312"/>
          <w:sz w:val="24"/>
          <w:b/>
        </w:rPr>
        <w:t>均</w:t>
      </w:r>
      <w:r>
        <w:rPr>
          <w:rFonts w:ascii="仿宋_GB2312" w:hAnsi="仿宋_GB2312" w:cs="仿宋_GB2312" w:eastAsia="仿宋_GB2312"/>
          <w:sz w:val="24"/>
          <w:b/>
        </w:rPr>
        <w:t>属</w:t>
      </w:r>
      <w:r>
        <w:rPr>
          <w:rFonts w:ascii="仿宋_GB2312" w:hAnsi="仿宋_GB2312" w:cs="仿宋_GB2312" w:eastAsia="仿宋_GB2312"/>
          <w:sz w:val="24"/>
          <w:b/>
        </w:rPr>
        <w:t>无效投标</w:t>
      </w:r>
      <w:r>
        <w:rPr>
          <w:rFonts w:ascii="仿宋_GB2312" w:hAnsi="仿宋_GB2312" w:cs="仿宋_GB2312" w:eastAsia="仿宋_GB2312"/>
          <w:sz w:val="24"/>
          <w:b/>
        </w:rPr>
        <w:t>。</w:t>
      </w:r>
    </w:p>
    <w:p>
      <w:pPr>
        <w:pStyle w:val="null3"/>
        <w:ind w:firstLine="480"/>
      </w:pPr>
      <w:r>
        <w:rPr>
          <w:rFonts w:ascii="仿宋_GB2312" w:hAnsi="仿宋_GB2312" w:cs="仿宋_GB2312" w:eastAsia="仿宋_GB2312"/>
          <w:sz w:val="24"/>
        </w:rPr>
        <w:t>2.2</w:t>
      </w:r>
      <w:r>
        <w:rPr>
          <w:rFonts w:ascii="仿宋_GB2312" w:hAnsi="仿宋_GB2312" w:cs="仿宋_GB2312" w:eastAsia="仿宋_GB2312"/>
          <w:sz w:val="24"/>
        </w:rPr>
        <w:t>供应商</w:t>
      </w:r>
      <w:r>
        <w:rPr>
          <w:rFonts w:ascii="仿宋_GB2312" w:hAnsi="仿宋_GB2312" w:cs="仿宋_GB2312" w:eastAsia="仿宋_GB2312"/>
          <w:sz w:val="24"/>
        </w:rPr>
        <w:t>必须对采购的服务进行完整报价响应。拆分报价或不完整响应的将视为</w:t>
      </w:r>
      <w:r>
        <w:rPr>
          <w:rFonts w:ascii="仿宋_GB2312" w:hAnsi="仿宋_GB2312" w:cs="仿宋_GB2312" w:eastAsia="仿宋_GB2312"/>
          <w:sz w:val="24"/>
        </w:rPr>
        <w:t>无效投标</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2.3</w:t>
      </w:r>
      <w:r>
        <w:rPr>
          <w:rFonts w:ascii="仿宋_GB2312" w:hAnsi="仿宋_GB2312" w:cs="仿宋_GB2312" w:eastAsia="仿宋_GB2312"/>
          <w:sz w:val="24"/>
        </w:rPr>
        <w:t>本项目</w:t>
      </w:r>
      <w:r>
        <w:rPr>
          <w:rFonts w:ascii="仿宋_GB2312" w:hAnsi="仿宋_GB2312" w:cs="仿宋_GB2312" w:eastAsia="仿宋_GB2312"/>
          <w:sz w:val="24"/>
        </w:rPr>
        <w:t>报价以人民币为货币单位，以包干总价进行报价。</w:t>
      </w:r>
    </w:p>
    <w:p>
      <w:pPr>
        <w:pStyle w:val="null3"/>
        <w:ind w:firstLine="482"/>
      </w:pPr>
      <w:r>
        <w:rPr>
          <w:rFonts w:ascii="仿宋_GB2312" w:hAnsi="仿宋_GB2312" w:cs="仿宋_GB2312" w:eastAsia="仿宋_GB2312"/>
          <w:sz w:val="24"/>
          <w:b/>
        </w:rPr>
        <w:t>★2.4</w:t>
      </w:r>
      <w:r>
        <w:rPr>
          <w:rFonts w:ascii="仿宋_GB2312" w:hAnsi="仿宋_GB2312" w:cs="仿宋_GB2312" w:eastAsia="仿宋_GB2312"/>
          <w:sz w:val="24"/>
          <w:b/>
        </w:rPr>
        <w:t>供应商</w:t>
      </w:r>
      <w:r>
        <w:rPr>
          <w:rFonts w:ascii="仿宋_GB2312" w:hAnsi="仿宋_GB2312" w:cs="仿宋_GB2312" w:eastAsia="仿宋_GB2312"/>
          <w:sz w:val="24"/>
          <w:b/>
        </w:rPr>
        <w:t>应以项目所涉及的所有费用进行报价，包含本项目实施过程中的一切人工费、交通费、材料费、调研费、专家咨询评审费、会议费、管理费、规费、技术资料费、税金、售后服务及招标代理服务费等完成本项目所需的一切费用。</w:t>
      </w:r>
      <w:r>
        <w:rPr>
          <w:rFonts w:ascii="仿宋_GB2312" w:hAnsi="仿宋_GB2312" w:cs="仿宋_GB2312" w:eastAsia="仿宋_GB2312"/>
          <w:sz w:val="24"/>
          <w:b/>
        </w:rPr>
        <w:t>供应商</w:t>
      </w:r>
      <w:r>
        <w:rPr>
          <w:rFonts w:ascii="仿宋_GB2312" w:hAnsi="仿宋_GB2312" w:cs="仿宋_GB2312" w:eastAsia="仿宋_GB2312"/>
          <w:sz w:val="24"/>
          <w:b/>
        </w:rPr>
        <w:t>须对本项要求提供书面承诺函（格式自拟）</w:t>
      </w:r>
      <w:r>
        <w:rPr>
          <w:rFonts w:ascii="仿宋_GB2312" w:hAnsi="仿宋_GB2312" w:cs="仿宋_GB2312" w:eastAsia="仿宋_GB2312"/>
          <w:sz w:val="24"/>
          <w:b/>
        </w:rPr>
        <w:t>，</w:t>
      </w:r>
      <w:r>
        <w:rPr>
          <w:rFonts w:ascii="仿宋_GB2312" w:hAnsi="仿宋_GB2312" w:cs="仿宋_GB2312" w:eastAsia="仿宋_GB2312"/>
          <w:sz w:val="24"/>
          <w:b/>
        </w:rPr>
        <w:t>否则作无效投标处理。</w:t>
      </w:r>
    </w:p>
    <w:p>
      <w:pPr>
        <w:pStyle w:val="null3"/>
        <w:ind w:firstLine="480"/>
      </w:pPr>
      <w:r>
        <w:rPr>
          <w:rFonts w:ascii="仿宋_GB2312" w:hAnsi="仿宋_GB2312" w:cs="仿宋_GB2312" w:eastAsia="仿宋_GB2312"/>
          <w:sz w:val="24"/>
        </w:rPr>
        <w:t>2.5</w:t>
      </w:r>
      <w:r>
        <w:rPr>
          <w:rFonts w:ascii="仿宋_GB2312" w:hAnsi="仿宋_GB2312" w:cs="仿宋_GB2312" w:eastAsia="仿宋_GB2312"/>
          <w:sz w:val="24"/>
        </w:rPr>
        <w:t>供应商</w:t>
      </w:r>
      <w:r>
        <w:rPr>
          <w:rFonts w:ascii="仿宋_GB2312" w:hAnsi="仿宋_GB2312" w:cs="仿宋_GB2312" w:eastAsia="仿宋_GB2312"/>
          <w:sz w:val="24"/>
        </w:rPr>
        <w:t>对本项目服务只能有一个报价，采购人不接受有选择的报价。</w:t>
      </w:r>
    </w:p>
    <w:p>
      <w:pPr>
        <w:pStyle w:val="null3"/>
        <w:ind w:firstLine="480"/>
      </w:pPr>
      <w:r>
        <w:rPr>
          <w:rFonts w:ascii="仿宋_GB2312" w:hAnsi="仿宋_GB2312" w:cs="仿宋_GB2312" w:eastAsia="仿宋_GB2312"/>
          <w:sz w:val="24"/>
        </w:rPr>
        <w:t>2.6</w:t>
      </w:r>
      <w:r>
        <w:rPr>
          <w:rFonts w:ascii="仿宋_GB2312" w:hAnsi="仿宋_GB2312" w:cs="仿宋_GB2312" w:eastAsia="仿宋_GB2312"/>
          <w:sz w:val="24"/>
        </w:rPr>
        <w:t>供应商</w:t>
      </w:r>
      <w:r>
        <w:rPr>
          <w:rFonts w:ascii="仿宋_GB2312" w:hAnsi="仿宋_GB2312" w:cs="仿宋_GB2312" w:eastAsia="仿宋_GB2312"/>
          <w:sz w:val="24"/>
        </w:rPr>
        <w:t>所报价格在合同实施过程中应保持不变，不因市场或政策价格的调整而增减。</w:t>
      </w:r>
    </w:p>
    <w:p>
      <w:pPr>
        <w:pStyle w:val="null3"/>
        <w:ind w:firstLine="480"/>
      </w:pPr>
      <w:r>
        <w:rPr>
          <w:rFonts w:ascii="仿宋_GB2312" w:hAnsi="仿宋_GB2312" w:cs="仿宋_GB2312" w:eastAsia="仿宋_GB2312"/>
          <w:sz w:val="24"/>
        </w:rPr>
        <w:t>2.7</w:t>
      </w:r>
      <w:r>
        <w:rPr>
          <w:rFonts w:ascii="仿宋_GB2312" w:hAnsi="仿宋_GB2312" w:cs="仿宋_GB2312" w:eastAsia="仿宋_GB2312"/>
          <w:sz w:val="24"/>
        </w:rPr>
        <w:t>供应商</w:t>
      </w:r>
      <w:r>
        <w:rPr>
          <w:rFonts w:ascii="仿宋_GB2312" w:hAnsi="仿宋_GB2312" w:cs="仿宋_GB2312" w:eastAsia="仿宋_GB2312"/>
          <w:sz w:val="24"/>
        </w:rPr>
        <w:t>漏报的单价或每单价报价中漏报、少报的费用，视为此项费用已隐含在</w:t>
      </w:r>
      <w:r>
        <w:rPr>
          <w:rFonts w:ascii="仿宋_GB2312" w:hAnsi="仿宋_GB2312" w:cs="仿宋_GB2312" w:eastAsia="仿宋_GB2312"/>
          <w:sz w:val="24"/>
        </w:rPr>
        <w:t>报价</w:t>
      </w:r>
      <w:r>
        <w:rPr>
          <w:rFonts w:ascii="仿宋_GB2312" w:hAnsi="仿宋_GB2312" w:cs="仿宋_GB2312" w:eastAsia="仿宋_GB2312"/>
          <w:sz w:val="24"/>
        </w:rPr>
        <w:t>文件中，</w:t>
      </w:r>
      <w:r>
        <w:rPr>
          <w:rFonts w:ascii="仿宋_GB2312" w:hAnsi="仿宋_GB2312" w:cs="仿宋_GB2312" w:eastAsia="仿宋_GB2312"/>
          <w:sz w:val="24"/>
        </w:rPr>
        <w:t>中标</w:t>
      </w:r>
      <w:r>
        <w:rPr>
          <w:rFonts w:ascii="仿宋_GB2312" w:hAnsi="仿宋_GB2312" w:cs="仿宋_GB2312" w:eastAsia="仿宋_GB2312"/>
          <w:sz w:val="24"/>
        </w:rPr>
        <w:t>过后不得再向</w:t>
      </w:r>
      <w:r>
        <w:rPr>
          <w:rFonts w:ascii="仿宋_GB2312" w:hAnsi="仿宋_GB2312" w:cs="仿宋_GB2312" w:eastAsia="仿宋_GB2312"/>
          <w:sz w:val="24"/>
        </w:rPr>
        <w:t>采购人</w:t>
      </w:r>
      <w:r>
        <w:rPr>
          <w:rFonts w:ascii="仿宋_GB2312" w:hAnsi="仿宋_GB2312" w:cs="仿宋_GB2312" w:eastAsia="仿宋_GB2312"/>
          <w:sz w:val="24"/>
        </w:rPr>
        <w:t>收取任何费用。</w:t>
      </w:r>
    </w:p>
    <w:p>
      <w:pPr>
        <w:pStyle w:val="null3"/>
      </w:pPr>
      <w:r>
        <w:rPr>
          <w:rFonts w:ascii="仿宋_GB2312" w:hAnsi="仿宋_GB2312" w:cs="仿宋_GB2312" w:eastAsia="仿宋_GB2312"/>
          <w:sz w:val="24"/>
          <w:b/>
        </w:rPr>
        <w:t>3、合同签订</w:t>
      </w:r>
    </w:p>
    <w:p>
      <w:pPr>
        <w:pStyle w:val="null3"/>
        <w:ind w:firstLine="480"/>
      </w:pPr>
      <w:r>
        <w:rPr>
          <w:rFonts w:ascii="仿宋_GB2312" w:hAnsi="仿宋_GB2312" w:cs="仿宋_GB2312" w:eastAsia="仿宋_GB2312"/>
          <w:sz w:val="24"/>
        </w:rPr>
        <w:t>3.1</w:t>
      </w:r>
      <w:r>
        <w:rPr>
          <w:rFonts w:ascii="仿宋_GB2312" w:hAnsi="仿宋_GB2312" w:cs="仿宋_GB2312" w:eastAsia="仿宋_GB2312"/>
          <w:sz w:val="24"/>
        </w:rPr>
        <w:t>中标人</w:t>
      </w:r>
      <w:r>
        <w:rPr>
          <w:rFonts w:ascii="仿宋_GB2312" w:hAnsi="仿宋_GB2312" w:cs="仿宋_GB2312" w:eastAsia="仿宋_GB2312"/>
          <w:sz w:val="24"/>
        </w:rPr>
        <w:t>接到《</w:t>
      </w:r>
      <w:r>
        <w:rPr>
          <w:rFonts w:ascii="仿宋_GB2312" w:hAnsi="仿宋_GB2312" w:cs="仿宋_GB2312" w:eastAsia="仿宋_GB2312"/>
          <w:sz w:val="24"/>
        </w:rPr>
        <w:t>中标</w:t>
      </w:r>
      <w:r>
        <w:rPr>
          <w:rFonts w:ascii="仿宋_GB2312" w:hAnsi="仿宋_GB2312" w:cs="仿宋_GB2312" w:eastAsia="仿宋_GB2312"/>
          <w:sz w:val="24"/>
        </w:rPr>
        <w:t>通知书》后</w:t>
      </w:r>
      <w:r>
        <w:rPr>
          <w:rFonts w:ascii="仿宋_GB2312" w:hAnsi="仿宋_GB2312" w:cs="仿宋_GB2312" w:eastAsia="仿宋_GB2312"/>
          <w:sz w:val="24"/>
        </w:rPr>
        <w:t>20个日历日内，持《</w:t>
      </w:r>
      <w:r>
        <w:rPr>
          <w:rFonts w:ascii="仿宋_GB2312" w:hAnsi="仿宋_GB2312" w:cs="仿宋_GB2312" w:eastAsia="仿宋_GB2312"/>
          <w:sz w:val="24"/>
        </w:rPr>
        <w:t>中标</w:t>
      </w:r>
      <w:r>
        <w:rPr>
          <w:rFonts w:ascii="仿宋_GB2312" w:hAnsi="仿宋_GB2312" w:cs="仿宋_GB2312" w:eastAsia="仿宋_GB2312"/>
          <w:sz w:val="24"/>
        </w:rPr>
        <w:t>通知书》与采购人联系合同签订等相关事宜。</w:t>
      </w:r>
      <w:r>
        <w:rPr>
          <w:rFonts w:ascii="仿宋_GB2312" w:hAnsi="仿宋_GB2312" w:cs="仿宋_GB2312" w:eastAsia="仿宋_GB2312"/>
          <w:sz w:val="24"/>
        </w:rPr>
        <w:t>采购</w:t>
      </w:r>
      <w:r>
        <w:rPr>
          <w:rFonts w:ascii="仿宋_GB2312" w:hAnsi="仿宋_GB2312" w:cs="仿宋_GB2312" w:eastAsia="仿宋_GB2312"/>
          <w:sz w:val="24"/>
        </w:rPr>
        <w:t>文件条款、</w:t>
      </w:r>
      <w:r>
        <w:rPr>
          <w:rFonts w:ascii="仿宋_GB2312" w:hAnsi="仿宋_GB2312" w:cs="仿宋_GB2312" w:eastAsia="仿宋_GB2312"/>
          <w:sz w:val="24"/>
        </w:rPr>
        <w:t>供应商</w:t>
      </w:r>
      <w:r>
        <w:rPr>
          <w:rFonts w:ascii="仿宋_GB2312" w:hAnsi="仿宋_GB2312" w:cs="仿宋_GB2312" w:eastAsia="仿宋_GB2312"/>
          <w:sz w:val="24"/>
        </w:rPr>
        <w:t>的</w:t>
      </w:r>
      <w:r>
        <w:rPr>
          <w:rFonts w:ascii="仿宋_GB2312" w:hAnsi="仿宋_GB2312" w:cs="仿宋_GB2312" w:eastAsia="仿宋_GB2312"/>
          <w:sz w:val="24"/>
        </w:rPr>
        <w:t>报价</w:t>
      </w:r>
      <w:r>
        <w:rPr>
          <w:rFonts w:ascii="仿宋_GB2312" w:hAnsi="仿宋_GB2312" w:cs="仿宋_GB2312" w:eastAsia="仿宋_GB2312"/>
          <w:sz w:val="24"/>
        </w:rPr>
        <w:t>文件内容均为合同签订的基础。</w:t>
      </w:r>
    </w:p>
    <w:p>
      <w:pPr>
        <w:pStyle w:val="null3"/>
        <w:ind w:firstLine="480"/>
      </w:pPr>
      <w:r>
        <w:rPr>
          <w:rFonts w:ascii="仿宋_GB2312" w:hAnsi="仿宋_GB2312" w:cs="仿宋_GB2312" w:eastAsia="仿宋_GB2312"/>
          <w:sz w:val="24"/>
        </w:rPr>
        <w:t>3.2</w:t>
      </w:r>
      <w:r>
        <w:rPr>
          <w:rFonts w:ascii="仿宋_GB2312" w:hAnsi="仿宋_GB2312" w:cs="仿宋_GB2312" w:eastAsia="仿宋_GB2312"/>
          <w:sz w:val="24"/>
        </w:rPr>
        <w:t>中标人</w:t>
      </w:r>
      <w:r>
        <w:rPr>
          <w:rFonts w:ascii="仿宋_GB2312" w:hAnsi="仿宋_GB2312" w:cs="仿宋_GB2312" w:eastAsia="仿宋_GB2312"/>
          <w:sz w:val="24"/>
        </w:rPr>
        <w:t>与采购人签订合同后，须及时凭合同有效复印件及招标代理服务费缴交凭证办理投标保证金退还手续</w:t>
      </w:r>
      <w:r>
        <w:rPr>
          <w:rFonts w:ascii="仿宋_GB2312" w:hAnsi="仿宋_GB2312" w:cs="仿宋_GB2312" w:eastAsia="仿宋_GB2312"/>
          <w:sz w:val="24"/>
        </w:rPr>
        <w:t>（</w:t>
      </w:r>
      <w:r>
        <w:rPr>
          <w:rFonts w:ascii="仿宋_GB2312" w:hAnsi="仿宋_GB2312" w:cs="仿宋_GB2312" w:eastAsia="仿宋_GB2312"/>
          <w:sz w:val="24"/>
        </w:rPr>
        <w:t>若有</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3.3</w:t>
      </w:r>
      <w:r>
        <w:rPr>
          <w:rFonts w:ascii="仿宋_GB2312" w:hAnsi="仿宋_GB2312" w:cs="仿宋_GB2312" w:eastAsia="仿宋_GB2312"/>
          <w:sz w:val="24"/>
        </w:rPr>
        <w:t>中标人</w:t>
      </w:r>
      <w:r>
        <w:rPr>
          <w:rFonts w:ascii="仿宋_GB2312" w:hAnsi="仿宋_GB2312" w:cs="仿宋_GB2312" w:eastAsia="仿宋_GB2312"/>
          <w:sz w:val="24"/>
        </w:rPr>
        <w:t>如</w:t>
      </w:r>
      <w:r>
        <w:rPr>
          <w:rFonts w:ascii="仿宋_GB2312" w:hAnsi="仿宋_GB2312" w:cs="仿宋_GB2312" w:eastAsia="仿宋_GB2312"/>
          <w:sz w:val="24"/>
        </w:rPr>
        <w:t>未在规定时间内签订</w:t>
      </w:r>
      <w:r>
        <w:rPr>
          <w:rFonts w:ascii="仿宋_GB2312" w:hAnsi="仿宋_GB2312" w:cs="仿宋_GB2312" w:eastAsia="仿宋_GB2312"/>
          <w:sz w:val="24"/>
        </w:rPr>
        <w:t>合同的，视为自动放弃</w:t>
      </w:r>
      <w:r>
        <w:rPr>
          <w:rFonts w:ascii="仿宋_GB2312" w:hAnsi="仿宋_GB2312" w:cs="仿宋_GB2312" w:eastAsia="仿宋_GB2312"/>
          <w:sz w:val="24"/>
        </w:rPr>
        <w:t>中标</w:t>
      </w:r>
      <w:r>
        <w:rPr>
          <w:rFonts w:ascii="仿宋_GB2312" w:hAnsi="仿宋_GB2312" w:cs="仿宋_GB2312" w:eastAsia="仿宋_GB2312"/>
          <w:sz w:val="24"/>
        </w:rPr>
        <w:t>资格，投标保证金将被没收，且应承担因违约造成的采购人的损失，并上报财政监管部门。</w:t>
      </w:r>
    </w:p>
    <w:p>
      <w:pPr>
        <w:pStyle w:val="null3"/>
        <w:ind w:firstLine="480"/>
        <w:jc w:val="left"/>
      </w:pPr>
      <w:r>
        <w:rPr>
          <w:rFonts w:ascii="仿宋_GB2312" w:hAnsi="仿宋_GB2312" w:cs="仿宋_GB2312" w:eastAsia="仿宋_GB2312"/>
          <w:sz w:val="24"/>
        </w:rPr>
        <w:t>3.4</w:t>
      </w:r>
      <w:r>
        <w:rPr>
          <w:rFonts w:ascii="仿宋_GB2312" w:hAnsi="仿宋_GB2312" w:cs="仿宋_GB2312" w:eastAsia="仿宋_GB2312"/>
          <w:sz w:val="24"/>
        </w:rPr>
        <w:t>合同内容不得对招标文件、投标人的投标文件内容做实质性修改。</w:t>
      </w:r>
    </w:p>
    <w:p>
      <w:pPr>
        <w:pStyle w:val="null3"/>
        <w:ind w:firstLine="480"/>
      </w:pPr>
      <w:r>
        <w:rPr>
          <w:rFonts w:ascii="仿宋_GB2312" w:hAnsi="仿宋_GB2312" w:cs="仿宋_GB2312" w:eastAsia="仿宋_GB2312"/>
          <w:sz w:val="24"/>
        </w:rPr>
        <w:t>3.5</w:t>
      </w:r>
      <w:r>
        <w:rPr>
          <w:rFonts w:ascii="仿宋_GB2312" w:hAnsi="仿宋_GB2312" w:cs="仿宋_GB2312" w:eastAsia="仿宋_GB2312"/>
          <w:sz w:val="24"/>
        </w:rPr>
        <w:t>采购人在合同签订前，将通过</w:t>
      </w:r>
      <w:r>
        <w:rPr>
          <w:rFonts w:ascii="仿宋_GB2312" w:hAnsi="仿宋_GB2312" w:cs="仿宋_GB2312" w:eastAsia="仿宋_GB2312"/>
          <w:sz w:val="24"/>
        </w:rPr>
        <w:t>“国家企业信用公示信息系统”查询</w:t>
      </w:r>
      <w:r>
        <w:rPr>
          <w:rFonts w:ascii="仿宋_GB2312" w:hAnsi="仿宋_GB2312" w:cs="仿宋_GB2312" w:eastAsia="仿宋_GB2312"/>
          <w:sz w:val="24"/>
        </w:rPr>
        <w:t>中标人</w:t>
      </w:r>
      <w:r>
        <w:rPr>
          <w:rFonts w:ascii="仿宋_GB2312" w:hAnsi="仿宋_GB2312" w:cs="仿宋_GB2312" w:eastAsia="仿宋_GB2312"/>
          <w:sz w:val="24"/>
        </w:rPr>
        <w:t>的信用记录，若发现供应商在近三年存在重大违法记录的，将进行核实并向政府采购监管部门提请监督检查。如核查发现</w:t>
      </w:r>
      <w:r>
        <w:rPr>
          <w:rFonts w:ascii="仿宋_GB2312" w:hAnsi="仿宋_GB2312" w:cs="仿宋_GB2312" w:eastAsia="仿宋_GB2312"/>
          <w:sz w:val="24"/>
        </w:rPr>
        <w:t>中标人</w:t>
      </w:r>
      <w:r>
        <w:rPr>
          <w:rFonts w:ascii="仿宋_GB2312" w:hAnsi="仿宋_GB2312" w:cs="仿宋_GB2312" w:eastAsia="仿宋_GB2312"/>
          <w:sz w:val="24"/>
        </w:rPr>
        <w:t>确实存在重大违法记录情形的，将按政府采购相关规定执行。</w:t>
      </w:r>
    </w:p>
    <w:p>
      <w:pPr>
        <w:pStyle w:val="null3"/>
        <w:ind w:firstLine="480"/>
      </w:pPr>
      <w:r>
        <w:rPr>
          <w:rFonts w:ascii="仿宋_GB2312" w:hAnsi="仿宋_GB2312" w:cs="仿宋_GB2312" w:eastAsia="仿宋_GB2312"/>
          <w:sz w:val="24"/>
        </w:rPr>
        <w:t>3.6</w:t>
      </w:r>
      <w:r>
        <w:rPr>
          <w:rFonts w:ascii="仿宋_GB2312" w:hAnsi="仿宋_GB2312" w:cs="仿宋_GB2312" w:eastAsia="仿宋_GB2312"/>
          <w:sz w:val="24"/>
        </w:rPr>
        <w:t>在福建省政府采购信息系统发起合同流程，签订</w:t>
      </w:r>
      <w:r>
        <w:rPr>
          <w:rFonts w:ascii="仿宋_GB2312" w:hAnsi="仿宋_GB2312" w:cs="仿宋_GB2312" w:eastAsia="仿宋_GB2312"/>
          <w:sz w:val="24"/>
        </w:rPr>
        <w:t>“电子合同”，合同应在规定时间内（中标通知书发出之日起20个日历日内）在福建省政府采购信息系统公告。</w:t>
      </w:r>
    </w:p>
    <w:p>
      <w:pPr>
        <w:pStyle w:val="null3"/>
        <w:ind w:firstLine="480"/>
      </w:pPr>
      <w:r>
        <w:rPr>
          <w:rFonts w:ascii="仿宋_GB2312" w:hAnsi="仿宋_GB2312" w:cs="仿宋_GB2312" w:eastAsia="仿宋_GB2312"/>
          <w:sz w:val="24"/>
        </w:rPr>
        <w:t>3.7</w:t>
      </w:r>
      <w:r>
        <w:rPr>
          <w:rFonts w:ascii="仿宋_GB2312" w:hAnsi="仿宋_GB2312" w:cs="仿宋_GB2312" w:eastAsia="仿宋_GB2312"/>
          <w:sz w:val="24"/>
        </w:rPr>
        <w:t>据营商环境的要求，所有的政府采购项目均应当签订</w:t>
      </w:r>
      <w:r>
        <w:rPr>
          <w:rFonts w:ascii="仿宋_GB2312" w:hAnsi="仿宋_GB2312" w:cs="仿宋_GB2312" w:eastAsia="仿宋_GB2312"/>
          <w:sz w:val="24"/>
        </w:rPr>
        <w:t>“电子合同”。需识别当前系统操作属于哪一种流程，若发起的是纸质合同，请及时撤回并重新发起电子合同流程。</w:t>
      </w:r>
    </w:p>
    <w:p>
      <w:pPr>
        <w:pStyle w:val="null3"/>
      </w:pPr>
      <w:r>
        <w:rPr>
          <w:rFonts w:ascii="仿宋_GB2312" w:hAnsi="仿宋_GB2312" w:cs="仿宋_GB2312" w:eastAsia="仿宋_GB2312"/>
          <w:sz w:val="24"/>
          <w:b/>
        </w:rPr>
        <w:t>4、违约终止合同</w:t>
      </w:r>
    </w:p>
    <w:p>
      <w:pPr>
        <w:pStyle w:val="null3"/>
        <w:ind w:firstLine="480"/>
      </w:pPr>
      <w:r>
        <w:rPr>
          <w:rFonts w:ascii="仿宋_GB2312" w:hAnsi="仿宋_GB2312" w:cs="仿宋_GB2312" w:eastAsia="仿宋_GB2312"/>
          <w:sz w:val="24"/>
        </w:rPr>
        <w:t>4.1在补救违约而采取的任何其他措施未能实现的情况下，即在采购人发出的违约通知后30天内（或经采购人书面确认的更长时间内）仍未纠正其下述任何一种违约行为，采购人有权向</w:t>
      </w:r>
      <w:r>
        <w:rPr>
          <w:rFonts w:ascii="仿宋_GB2312" w:hAnsi="仿宋_GB2312" w:cs="仿宋_GB2312" w:eastAsia="仿宋_GB2312"/>
          <w:sz w:val="24"/>
        </w:rPr>
        <w:t>中标人</w:t>
      </w:r>
      <w:r>
        <w:rPr>
          <w:rFonts w:ascii="仿宋_GB2312" w:hAnsi="仿宋_GB2312" w:cs="仿宋_GB2312" w:eastAsia="仿宋_GB2312"/>
          <w:sz w:val="24"/>
        </w:rPr>
        <w:t>发出书面违约通知，并承担违约责任。</w:t>
      </w:r>
    </w:p>
    <w:p>
      <w:pPr>
        <w:pStyle w:val="null3"/>
        <w:ind w:firstLine="480"/>
      </w:pPr>
      <w:r>
        <w:rPr>
          <w:rFonts w:ascii="仿宋_GB2312" w:hAnsi="仿宋_GB2312" w:cs="仿宋_GB2312" w:eastAsia="仿宋_GB2312"/>
          <w:sz w:val="24"/>
        </w:rPr>
        <w:t>4.1.1如果</w:t>
      </w:r>
      <w:r>
        <w:rPr>
          <w:rFonts w:ascii="仿宋_GB2312" w:hAnsi="仿宋_GB2312" w:cs="仿宋_GB2312" w:eastAsia="仿宋_GB2312"/>
          <w:sz w:val="24"/>
        </w:rPr>
        <w:t>中标人</w:t>
      </w:r>
      <w:r>
        <w:rPr>
          <w:rFonts w:ascii="仿宋_GB2312" w:hAnsi="仿宋_GB2312" w:cs="仿宋_GB2312" w:eastAsia="仿宋_GB2312"/>
          <w:sz w:val="24"/>
        </w:rPr>
        <w:t>未能在合同规定的期限内或时间内交付合同约定的服务。</w:t>
      </w:r>
    </w:p>
    <w:p>
      <w:pPr>
        <w:pStyle w:val="null3"/>
        <w:ind w:firstLine="480"/>
      </w:pPr>
      <w:r>
        <w:rPr>
          <w:rFonts w:ascii="仿宋_GB2312" w:hAnsi="仿宋_GB2312" w:cs="仿宋_GB2312" w:eastAsia="仿宋_GB2312"/>
          <w:sz w:val="24"/>
        </w:rPr>
        <w:t>4.1.2双方因延期交付谈判失败而无法达成延期协定。</w:t>
      </w:r>
    </w:p>
    <w:p>
      <w:pPr>
        <w:pStyle w:val="null3"/>
        <w:ind w:firstLine="480"/>
      </w:pPr>
      <w:r>
        <w:rPr>
          <w:rFonts w:ascii="仿宋_GB2312" w:hAnsi="仿宋_GB2312" w:cs="仿宋_GB2312" w:eastAsia="仿宋_GB2312"/>
          <w:sz w:val="24"/>
        </w:rPr>
        <w:t>4.1.3</w:t>
      </w:r>
      <w:r>
        <w:rPr>
          <w:rFonts w:ascii="仿宋_GB2312" w:hAnsi="仿宋_GB2312" w:cs="仿宋_GB2312" w:eastAsia="仿宋_GB2312"/>
          <w:sz w:val="24"/>
        </w:rPr>
        <w:t>中标人</w:t>
      </w:r>
      <w:r>
        <w:rPr>
          <w:rFonts w:ascii="仿宋_GB2312" w:hAnsi="仿宋_GB2312" w:cs="仿宋_GB2312" w:eastAsia="仿宋_GB2312"/>
          <w:sz w:val="24"/>
        </w:rPr>
        <w:t>未能履行合同项下的任何其它义务。</w:t>
      </w:r>
    </w:p>
    <w:p>
      <w:pPr>
        <w:pStyle w:val="null3"/>
        <w:jc w:val="both"/>
      </w:pPr>
      <w:r>
        <w:rPr>
          <w:rFonts w:ascii="仿宋_GB2312" w:hAnsi="仿宋_GB2312" w:cs="仿宋_GB2312" w:eastAsia="仿宋_GB2312"/>
          <w:sz w:val="24"/>
          <w:b/>
        </w:rPr>
        <w:t>5、其他注意事项：</w:t>
      </w:r>
    </w:p>
    <w:p>
      <w:pPr>
        <w:pStyle w:val="null3"/>
        <w:jc w:val="left"/>
      </w:pPr>
      <w:r>
        <w:rPr>
          <w:rFonts w:ascii="仿宋_GB2312" w:hAnsi="仿宋_GB2312" w:cs="仿宋_GB2312" w:eastAsia="仿宋_GB2312"/>
          <w:sz w:val="24"/>
          <w:b/>
        </w:rPr>
        <w:t>5.1</w:t>
      </w:r>
      <w:r>
        <w:rPr>
          <w:rFonts w:ascii="仿宋_GB2312" w:hAnsi="仿宋_GB2312" w:cs="仿宋_GB2312" w:eastAsia="仿宋_GB2312"/>
          <w:sz w:val="24"/>
        </w:rPr>
        <w:t>本项目支持供应商办理政府采购合同融资（即政采贷），具体相关政策详见《关于促进中小企业政府采购合同融资健康开展的通知》（闽财购函〔</w:t>
      </w:r>
      <w:r>
        <w:rPr>
          <w:rFonts w:ascii="仿宋_GB2312" w:hAnsi="仿宋_GB2312" w:cs="仿宋_GB2312" w:eastAsia="仿宋_GB2312"/>
          <w:sz w:val="24"/>
        </w:rPr>
        <w:t>2019〕16 号）等政策，供应商成交后如需融资，可通过“福建省政府采购合同融资信息服务平台”（网址：http://120.35.30.176/zcdproject/home）办理“政采贷”。</w:t>
      </w:r>
    </w:p>
    <w:p>
      <w:pPr>
        <w:pStyle w:val="null3"/>
        <w:jc w:val="left"/>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2</w:t>
      </w:r>
      <w:r>
        <w:rPr>
          <w:rFonts w:ascii="仿宋_GB2312" w:hAnsi="仿宋_GB2312" w:cs="仿宋_GB2312" w:eastAsia="仿宋_GB2312"/>
          <w:sz w:val="24"/>
          <w:b/>
          <w:color w:val="000000"/>
        </w:rPr>
        <w:t>附件</w:t>
      </w:r>
      <w:r>
        <w:rPr>
          <w:rFonts w:ascii="仿宋_GB2312" w:hAnsi="仿宋_GB2312" w:cs="仿宋_GB2312" w:eastAsia="仿宋_GB2312"/>
          <w:sz w:val="24"/>
          <w:b/>
          <w:color w:val="000000"/>
        </w:rPr>
        <w:t>1</w:t>
      </w:r>
    </w:p>
    <w:p>
      <w:pPr>
        <w:pStyle w:val="null3"/>
        <w:ind w:firstLine="3120"/>
      </w:pPr>
      <w:r>
        <w:rPr>
          <w:rFonts w:ascii="仿宋_GB2312" w:hAnsi="仿宋_GB2312" w:cs="仿宋_GB2312" w:eastAsia="仿宋_GB2312"/>
          <w:sz w:val="24"/>
          <w:b/>
        </w:rPr>
        <w:t>采购文件远程开标事项</w:t>
      </w:r>
    </w:p>
    <w:p>
      <w:pPr>
        <w:pStyle w:val="null3"/>
        <w:ind w:firstLine="480"/>
      </w:pPr>
      <w:r>
        <w:rPr>
          <w:rFonts w:ascii="仿宋_GB2312" w:hAnsi="仿宋_GB2312" w:cs="仿宋_GB2312" w:eastAsia="仿宋_GB2312"/>
        </w:rPr>
        <w:t xml:space="preserve"> </w:t>
      </w:r>
    </w:p>
    <w:p>
      <w:pPr>
        <w:pStyle w:val="null3"/>
        <w:ind w:firstLine="480"/>
      </w:pPr>
      <w:r>
        <w:rPr>
          <w:rFonts w:ascii="仿宋_GB2312" w:hAnsi="仿宋_GB2312" w:cs="仿宋_GB2312" w:eastAsia="仿宋_GB2312"/>
          <w:sz w:val="24"/>
        </w:rPr>
        <w:t>一、本项目采用</w:t>
      </w:r>
      <w:r>
        <w:rPr>
          <w:rFonts w:ascii="仿宋_GB2312" w:hAnsi="仿宋_GB2312" w:cs="仿宋_GB2312" w:eastAsia="仿宋_GB2312"/>
          <w:sz w:val="24"/>
        </w:rPr>
        <w:t>“远程开标”，投标人可到开标现场，也可不到开标现场，由投标人自行决定。</w:t>
      </w:r>
    </w:p>
    <w:p>
      <w:pPr>
        <w:pStyle w:val="null3"/>
        <w:ind w:firstLine="480"/>
      </w:pPr>
      <w:r>
        <w:rPr>
          <w:rFonts w:ascii="仿宋_GB2312" w:hAnsi="仿宋_GB2312" w:cs="仿宋_GB2312" w:eastAsia="仿宋_GB2312"/>
          <w:sz w:val="24"/>
        </w:rPr>
        <w:t>二、投标人不到开标现场的，请在福建省政府采购网厦门分网</w:t>
      </w:r>
      <w:r>
        <w:rPr>
          <w:rFonts w:ascii="仿宋_GB2312" w:hAnsi="仿宋_GB2312" w:cs="仿宋_GB2312" w:eastAsia="仿宋_GB2312"/>
          <w:sz w:val="24"/>
        </w:rPr>
        <w:t>“服务专区/下载专区/资料下载”中，下载《远程开标操作手册》，在开标时自行登录采购系统，线上观看开标过程，并按要求在开标时段对投标文件进行远程解密、远程签章。</w:t>
      </w:r>
    </w:p>
    <w:p>
      <w:pPr>
        <w:pStyle w:val="null3"/>
        <w:ind w:firstLine="480"/>
      </w:pPr>
      <w:r>
        <w:rPr>
          <w:rFonts w:ascii="仿宋_GB2312" w:hAnsi="仿宋_GB2312" w:cs="仿宋_GB2312" w:eastAsia="仿宋_GB2312"/>
          <w:sz w:val="24"/>
        </w:rPr>
        <w:t>三、投标人应确保自身设施、设备、网络状况良好，提请了解熟悉远程开标流程，因投标人自身原因造成无法正常观看开标过程、远程解密或签章的，后果由投标人自行承担。</w:t>
      </w:r>
    </w:p>
    <w:p>
      <w:pPr>
        <w:pStyle w:val="null3"/>
        <w:ind w:firstLine="480"/>
      </w:pPr>
      <w:r>
        <w:rPr>
          <w:rFonts w:ascii="仿宋_GB2312" w:hAnsi="仿宋_GB2312" w:cs="仿宋_GB2312" w:eastAsia="仿宋_GB2312"/>
          <w:sz w:val="24"/>
        </w:rPr>
        <w:t>四、在规定的时间内正确提交电子投标文件的投标人在开标时将由系统判断签到情况，具体信息以福建省政府采购网上公开信息系统所示为准。</w:t>
      </w:r>
    </w:p>
    <w:p>
      <w:pPr>
        <w:pStyle w:val="null3"/>
        <w:ind w:firstLine="480"/>
      </w:pPr>
      <w:r>
        <w:rPr>
          <w:rFonts w:ascii="仿宋_GB2312" w:hAnsi="仿宋_GB2312" w:cs="仿宋_GB2312" w:eastAsia="仿宋_GB2312"/>
          <w:sz w:val="24"/>
        </w:rPr>
        <w:t>五、投标人应在远程解密开启后在规定时间内使用</w:t>
      </w:r>
      <w:r>
        <w:rPr>
          <w:rFonts w:ascii="仿宋_GB2312" w:hAnsi="仿宋_GB2312" w:cs="仿宋_GB2312" w:eastAsia="仿宋_GB2312"/>
          <w:sz w:val="24"/>
        </w:rPr>
        <w:t>CA数字证书（应与投标文件加密时所用CA证书一致）进行投标文件的解密操作，逾期未解密的视为放弃投标。</w:t>
      </w:r>
    </w:p>
    <w:p>
      <w:pPr>
        <w:pStyle w:val="null3"/>
        <w:ind w:firstLine="480"/>
      </w:pPr>
      <w:r>
        <w:rPr>
          <w:rFonts w:ascii="仿宋_GB2312" w:hAnsi="仿宋_GB2312" w:cs="仿宋_GB2312" w:eastAsia="仿宋_GB2312"/>
          <w:sz w:val="24"/>
        </w:rPr>
        <w:t>六、唱标结束后，投标人可对开标结果进行签章，并在远程签章开放后规定时间内完成，逾期未签章的视同认可开标结果。</w:t>
      </w:r>
    </w:p>
    <w:p>
      <w:pPr>
        <w:pStyle w:val="null3"/>
        <w:ind w:firstLine="480"/>
      </w:pPr>
      <w:r>
        <w:rPr>
          <w:rFonts w:ascii="仿宋_GB2312" w:hAnsi="仿宋_GB2312" w:cs="仿宋_GB2312" w:eastAsia="仿宋_GB2312"/>
          <w:sz w:val="24"/>
        </w:rPr>
        <w:t>七、开、评标期间，投标人代表应保证采购系统中预留的联系方式畅通，以便随时接收并答复评标委员会发起的澄清等事项。</w:t>
      </w:r>
    </w:p>
    <w:p>
      <w:pPr>
        <w:pStyle w:val="null3"/>
        <w:ind w:firstLine="480"/>
      </w:pPr>
      <w:r>
        <w:rPr>
          <w:rFonts w:ascii="仿宋_GB2312" w:hAnsi="仿宋_GB2312" w:cs="仿宋_GB2312" w:eastAsia="仿宋_GB2312"/>
          <w:sz w:val="24"/>
        </w:rPr>
        <w:t>八、在操作过程中如有疑问请咨询技术人员（</w:t>
      </w:r>
      <w:r>
        <w:rPr>
          <w:rFonts w:ascii="仿宋_GB2312" w:hAnsi="仿宋_GB2312" w:cs="仿宋_GB2312" w:eastAsia="仿宋_GB2312"/>
          <w:sz w:val="24"/>
        </w:rPr>
        <w:t>400-1612-666、0592-2858142）或采购代 理机构工作人员。</w:t>
      </w:r>
    </w:p>
    <w:p>
      <w:pPr>
        <w:pStyle w:val="null3"/>
        <w:jc w:val="left"/>
      </w:pPr>
      <w:r>
        <w:rPr>
          <w:rFonts w:ascii="仿宋_GB2312" w:hAnsi="仿宋_GB2312" w:cs="仿宋_GB2312" w:eastAsia="仿宋_GB2312"/>
          <w:sz w:val="24"/>
          <w:b/>
        </w:rPr>
        <w:t>5</w:t>
      </w:r>
      <w:r>
        <w:rPr>
          <w:rFonts w:ascii="仿宋_GB2312" w:hAnsi="仿宋_GB2312" w:cs="仿宋_GB2312" w:eastAsia="仿宋_GB2312"/>
          <w:sz w:val="24"/>
          <w:b/>
        </w:rPr>
        <w:t>.3附件2：</w:t>
      </w:r>
    </w:p>
    <w:p>
      <w:pPr>
        <w:pStyle w:val="null3"/>
        <w:ind w:firstLine="645"/>
        <w:jc w:val="center"/>
      </w:pPr>
      <w:r>
        <w:rPr>
          <w:rFonts w:ascii="仿宋_GB2312" w:hAnsi="仿宋_GB2312" w:cs="仿宋_GB2312" w:eastAsia="仿宋_GB2312"/>
          <w:sz w:val="24"/>
          <w:b/>
        </w:rPr>
        <w:t>关于串标情形及后果的告知函</w:t>
      </w:r>
    </w:p>
    <w:p>
      <w:pPr>
        <w:pStyle w:val="null3"/>
        <w:jc w:val="left"/>
      </w:pPr>
      <w:r>
        <w:rPr>
          <w:rFonts w:ascii="仿宋_GB2312" w:hAnsi="仿宋_GB2312" w:cs="仿宋_GB2312" w:eastAsia="仿宋_GB2312"/>
          <w:sz w:val="24"/>
          <w:b/>
        </w:rPr>
        <w:t>致各投标人：</w:t>
      </w:r>
    </w:p>
    <w:p>
      <w:pPr>
        <w:pStyle w:val="null3"/>
        <w:jc w:val="left"/>
      </w:pPr>
      <w:r>
        <w:rPr>
          <w:rFonts w:ascii="仿宋_GB2312" w:hAnsi="仿宋_GB2312" w:cs="仿宋_GB2312" w:eastAsia="仿宋_GB2312"/>
          <w:sz w:val="24"/>
        </w:rPr>
        <w:t xml:space="preserve">  根据《厦门市财政局关于加强涉嫌串通投标情形处理的通知》要求，现将有关恶意串通、视为串通情形及供 应商需承担的后果列明如下，请各供 应商仔细阅读，如在参与本项目采购活动中存在串通投标情形，将依法承担相应责任：</w:t>
      </w:r>
    </w:p>
    <w:p>
      <w:pPr>
        <w:pStyle w:val="null3"/>
        <w:jc w:val="left"/>
      </w:pPr>
      <w:r>
        <w:rPr>
          <w:rFonts w:ascii="仿宋_GB2312" w:hAnsi="仿宋_GB2312" w:cs="仿宋_GB2312" w:eastAsia="仿宋_GB2312"/>
          <w:sz w:val="24"/>
          <w:b/>
        </w:rPr>
        <w:t>一、恶意串通情形</w:t>
      </w:r>
    </w:p>
    <w:p>
      <w:pPr>
        <w:pStyle w:val="null3"/>
        <w:ind w:firstLine="315"/>
        <w:jc w:val="left"/>
      </w:pPr>
      <w:r>
        <w:rPr>
          <w:rFonts w:ascii="仿宋_GB2312" w:hAnsi="仿宋_GB2312" w:cs="仿宋_GB2312" w:eastAsia="仿宋_GB2312"/>
          <w:sz w:val="24"/>
          <w:b/>
        </w:rPr>
        <w:t>《政府采购法实施条例》第七十四条：有下列情形之一的，属于恶意串通：</w:t>
      </w:r>
    </w:p>
    <w:p>
      <w:pPr>
        <w:pStyle w:val="null3"/>
        <w:ind w:firstLine="315"/>
        <w:jc w:val="left"/>
      </w:pPr>
      <w:r>
        <w:rPr>
          <w:rFonts w:ascii="仿宋_GB2312" w:hAnsi="仿宋_GB2312" w:cs="仿宋_GB2312" w:eastAsia="仿宋_GB2312"/>
          <w:sz w:val="24"/>
        </w:rPr>
        <w:t>（一）供</w:t>
      </w:r>
      <w:r>
        <w:rPr>
          <w:rFonts w:ascii="仿宋_GB2312" w:hAnsi="仿宋_GB2312" w:cs="仿宋_GB2312" w:eastAsia="仿宋_GB2312"/>
          <w:sz w:val="24"/>
        </w:rPr>
        <w:t xml:space="preserve"> 应商直接或者间接从采购人或者采购代 理机构处获得其他供 应商的相关情况并修改其投标文件或者响应文件；</w:t>
      </w:r>
    </w:p>
    <w:p>
      <w:pPr>
        <w:pStyle w:val="null3"/>
        <w:ind w:firstLine="315"/>
        <w:jc w:val="left"/>
      </w:pPr>
      <w:r>
        <w:rPr>
          <w:rFonts w:ascii="仿宋_GB2312" w:hAnsi="仿宋_GB2312" w:cs="仿宋_GB2312" w:eastAsia="仿宋_GB2312"/>
          <w:sz w:val="24"/>
        </w:rPr>
        <w:t>（二）供</w:t>
      </w:r>
      <w:r>
        <w:rPr>
          <w:rFonts w:ascii="仿宋_GB2312" w:hAnsi="仿宋_GB2312" w:cs="仿宋_GB2312" w:eastAsia="仿宋_GB2312"/>
          <w:sz w:val="24"/>
        </w:rPr>
        <w:t xml:space="preserve"> 应商按照采购人或者采购代 理机构的授意撤换、修改投标文件或者响应文件；</w:t>
      </w:r>
    </w:p>
    <w:p>
      <w:pPr>
        <w:pStyle w:val="null3"/>
        <w:ind w:firstLine="315"/>
        <w:jc w:val="left"/>
      </w:pPr>
      <w:r>
        <w:rPr>
          <w:rFonts w:ascii="仿宋_GB2312" w:hAnsi="仿宋_GB2312" w:cs="仿宋_GB2312" w:eastAsia="仿宋_GB2312"/>
          <w:sz w:val="24"/>
        </w:rPr>
        <w:t>（三）供</w:t>
      </w:r>
      <w:r>
        <w:rPr>
          <w:rFonts w:ascii="仿宋_GB2312" w:hAnsi="仿宋_GB2312" w:cs="仿宋_GB2312" w:eastAsia="仿宋_GB2312"/>
          <w:sz w:val="24"/>
        </w:rPr>
        <w:t xml:space="preserve"> 应商之间协商报价、技术方案等投标文件或者响应文件的实质性内容；</w:t>
      </w:r>
    </w:p>
    <w:p>
      <w:pPr>
        <w:pStyle w:val="null3"/>
        <w:ind w:firstLine="315"/>
        <w:jc w:val="left"/>
      </w:pPr>
      <w:r>
        <w:rPr>
          <w:rFonts w:ascii="仿宋_GB2312" w:hAnsi="仿宋_GB2312" w:cs="仿宋_GB2312" w:eastAsia="仿宋_GB2312"/>
          <w:sz w:val="24"/>
        </w:rPr>
        <w:t>（四）属于同一集团、协会、商会等组织成员的供</w:t>
      </w:r>
      <w:r>
        <w:rPr>
          <w:rFonts w:ascii="仿宋_GB2312" w:hAnsi="仿宋_GB2312" w:cs="仿宋_GB2312" w:eastAsia="仿宋_GB2312"/>
          <w:sz w:val="24"/>
        </w:rPr>
        <w:t xml:space="preserve"> 应商按照该组织要求协同参加政府采购活动；</w:t>
      </w:r>
    </w:p>
    <w:p>
      <w:pPr>
        <w:pStyle w:val="null3"/>
        <w:ind w:firstLine="315"/>
        <w:jc w:val="left"/>
      </w:pPr>
      <w:r>
        <w:rPr>
          <w:rFonts w:ascii="仿宋_GB2312" w:hAnsi="仿宋_GB2312" w:cs="仿宋_GB2312" w:eastAsia="仿宋_GB2312"/>
          <w:sz w:val="24"/>
        </w:rPr>
        <w:t>（五）供应</w:t>
      </w:r>
      <w:r>
        <w:rPr>
          <w:rFonts w:ascii="仿宋_GB2312" w:hAnsi="仿宋_GB2312" w:cs="仿宋_GB2312" w:eastAsia="仿宋_GB2312"/>
          <w:sz w:val="24"/>
        </w:rPr>
        <w:t>商之间事先约定由某一特定供</w:t>
      </w:r>
      <w:r>
        <w:rPr>
          <w:rFonts w:ascii="仿宋_GB2312" w:hAnsi="仿宋_GB2312" w:cs="仿宋_GB2312" w:eastAsia="仿宋_GB2312"/>
          <w:sz w:val="24"/>
        </w:rPr>
        <w:t xml:space="preserve"> 应商中标、成交；</w:t>
      </w:r>
    </w:p>
    <w:p>
      <w:pPr>
        <w:pStyle w:val="null3"/>
        <w:ind w:firstLine="315"/>
        <w:jc w:val="left"/>
      </w:pPr>
      <w:r>
        <w:rPr>
          <w:rFonts w:ascii="仿宋_GB2312" w:hAnsi="仿宋_GB2312" w:cs="仿宋_GB2312" w:eastAsia="仿宋_GB2312"/>
          <w:sz w:val="24"/>
        </w:rPr>
        <w:t>（六）供应</w:t>
      </w:r>
      <w:r>
        <w:rPr>
          <w:rFonts w:ascii="仿宋_GB2312" w:hAnsi="仿宋_GB2312" w:cs="仿宋_GB2312" w:eastAsia="仿宋_GB2312"/>
          <w:sz w:val="24"/>
        </w:rPr>
        <w:t>商之间商定部分供</w:t>
      </w:r>
      <w:r>
        <w:rPr>
          <w:rFonts w:ascii="仿宋_GB2312" w:hAnsi="仿宋_GB2312" w:cs="仿宋_GB2312" w:eastAsia="仿宋_GB2312"/>
          <w:sz w:val="24"/>
        </w:rPr>
        <w:t xml:space="preserve"> 应商放弃参加政府采购活动或者放弃中标、成交；</w:t>
      </w:r>
    </w:p>
    <w:p>
      <w:pPr>
        <w:pStyle w:val="null3"/>
        <w:ind w:firstLine="315"/>
        <w:jc w:val="left"/>
      </w:pPr>
      <w:r>
        <w:rPr>
          <w:rFonts w:ascii="仿宋_GB2312" w:hAnsi="仿宋_GB2312" w:cs="仿宋_GB2312" w:eastAsia="仿宋_GB2312"/>
          <w:sz w:val="24"/>
        </w:rPr>
        <w:t>（七）供应</w:t>
      </w:r>
      <w:r>
        <w:rPr>
          <w:rFonts w:ascii="仿宋_GB2312" w:hAnsi="仿宋_GB2312" w:cs="仿宋_GB2312" w:eastAsia="仿宋_GB2312"/>
          <w:sz w:val="24"/>
        </w:rPr>
        <w:t>商与采购人或者采购代</w:t>
      </w:r>
      <w:r>
        <w:rPr>
          <w:rFonts w:ascii="仿宋_GB2312" w:hAnsi="仿宋_GB2312" w:cs="仿宋_GB2312" w:eastAsia="仿宋_GB2312"/>
          <w:sz w:val="24"/>
        </w:rPr>
        <w:t xml:space="preserve"> 理机构之间、供 应商相互之间，为谋求特定供 应商中标、成交或者排斥其他供 应商的其他串通行为。</w:t>
      </w:r>
    </w:p>
    <w:p>
      <w:pPr>
        <w:pStyle w:val="null3"/>
        <w:jc w:val="left"/>
      </w:pPr>
      <w:r>
        <w:rPr>
          <w:rFonts w:ascii="仿宋_GB2312" w:hAnsi="仿宋_GB2312" w:cs="仿宋_GB2312" w:eastAsia="仿宋_GB2312"/>
          <w:sz w:val="24"/>
          <w:b/>
        </w:rPr>
        <w:t>二、视为串通情形</w:t>
      </w:r>
    </w:p>
    <w:p>
      <w:pPr>
        <w:pStyle w:val="null3"/>
        <w:ind w:firstLine="315"/>
        <w:jc w:val="left"/>
      </w:pPr>
      <w:r>
        <w:rPr>
          <w:rFonts w:ascii="仿宋_GB2312" w:hAnsi="仿宋_GB2312" w:cs="仿宋_GB2312" w:eastAsia="仿宋_GB2312"/>
          <w:sz w:val="24"/>
          <w:b/>
        </w:rPr>
        <w:t>《政府采购货物和服务招标投标管理办法》（财政部令第</w:t>
      </w:r>
      <w:r>
        <w:rPr>
          <w:rFonts w:ascii="仿宋_GB2312" w:hAnsi="仿宋_GB2312" w:cs="仿宋_GB2312" w:eastAsia="仿宋_GB2312"/>
          <w:sz w:val="24"/>
          <w:b/>
        </w:rPr>
        <w:t>87号）第三十七条：有下列情形之一的，视为投标人串通投标，其投标无效：</w:t>
      </w:r>
    </w:p>
    <w:p>
      <w:pPr>
        <w:pStyle w:val="null3"/>
        <w:ind w:firstLine="315"/>
        <w:jc w:val="left"/>
      </w:pPr>
      <w:r>
        <w:rPr>
          <w:rFonts w:ascii="仿宋_GB2312" w:hAnsi="仿宋_GB2312" w:cs="仿宋_GB2312" w:eastAsia="仿宋_GB2312"/>
          <w:sz w:val="24"/>
        </w:rPr>
        <w:t>（一）不同投标人的投标文件由同一单位或者个人编制；</w:t>
      </w:r>
    </w:p>
    <w:p>
      <w:pPr>
        <w:pStyle w:val="null3"/>
        <w:ind w:firstLine="315"/>
        <w:jc w:val="left"/>
      </w:pPr>
      <w:r>
        <w:rPr>
          <w:rFonts w:ascii="仿宋_GB2312" w:hAnsi="仿宋_GB2312" w:cs="仿宋_GB2312" w:eastAsia="仿宋_GB2312"/>
          <w:sz w:val="24"/>
        </w:rPr>
        <w:t>（二）不同投标人委托同一单位或者个人办理投标事宜；</w:t>
      </w:r>
    </w:p>
    <w:p>
      <w:pPr>
        <w:pStyle w:val="null3"/>
        <w:jc w:val="left"/>
      </w:pPr>
      <w:r>
        <w:rPr>
          <w:rFonts w:ascii="仿宋_GB2312" w:hAnsi="仿宋_GB2312" w:cs="仿宋_GB2312" w:eastAsia="仿宋_GB2312"/>
          <w:sz w:val="24"/>
        </w:rPr>
        <w:t xml:space="preserve"> （三）不同投标人的投标文件载明的项目管理成员或者联系人员为同一人； </w:t>
      </w:r>
      <w:r>
        <w:br/>
      </w:r>
      <w:r>
        <w:rPr>
          <w:rFonts w:ascii="仿宋_GB2312" w:hAnsi="仿宋_GB2312" w:cs="仿宋_GB2312" w:eastAsia="仿宋_GB2312"/>
          <w:sz w:val="24"/>
        </w:rPr>
        <w:t xml:space="preserve"> （四）不同投标人的投标文件异常一致或者投标报价呈规律性差异；</w:t>
      </w:r>
    </w:p>
    <w:p>
      <w:pPr>
        <w:pStyle w:val="null3"/>
        <w:jc w:val="left"/>
      </w:pPr>
      <w:r>
        <w:rPr>
          <w:rFonts w:ascii="仿宋_GB2312" w:hAnsi="仿宋_GB2312" w:cs="仿宋_GB2312" w:eastAsia="仿宋_GB2312"/>
          <w:sz w:val="24"/>
        </w:rPr>
        <w:t xml:space="preserve"> （五）不同投标人的投标文件相互混装；</w:t>
      </w:r>
    </w:p>
    <w:p>
      <w:pPr>
        <w:pStyle w:val="null3"/>
        <w:jc w:val="left"/>
      </w:pPr>
      <w:r>
        <w:rPr>
          <w:rFonts w:ascii="仿宋_GB2312" w:hAnsi="仿宋_GB2312" w:cs="仿宋_GB2312" w:eastAsia="仿宋_GB2312"/>
          <w:sz w:val="24"/>
        </w:rPr>
        <w:t xml:space="preserve"> （六）不同投标人的投标保证金从同一单位或者个人的账户转出。</w:t>
      </w:r>
    </w:p>
    <w:p>
      <w:pPr>
        <w:pStyle w:val="null3"/>
        <w:ind w:firstLine="315"/>
        <w:jc w:val="left"/>
      </w:pPr>
      <w:r>
        <w:rPr>
          <w:rFonts w:ascii="仿宋_GB2312" w:hAnsi="仿宋_GB2312" w:cs="仿宋_GB2312" w:eastAsia="仿宋_GB2312"/>
          <w:sz w:val="24"/>
          <w:b/>
        </w:rPr>
        <w:t>《福建省财政厅关于电子化政府采购项目中视为串标情形认定与处理的指导意见》（闽财购〔</w:t>
      </w:r>
      <w:r>
        <w:rPr>
          <w:rFonts w:ascii="仿宋_GB2312" w:hAnsi="仿宋_GB2312" w:cs="仿宋_GB2312" w:eastAsia="仿宋_GB2312"/>
          <w:sz w:val="24"/>
          <w:b/>
        </w:rPr>
        <w:t>2018〕30号）</w:t>
      </w:r>
    </w:p>
    <w:p>
      <w:pPr>
        <w:pStyle w:val="null3"/>
        <w:ind w:firstLine="315"/>
        <w:jc w:val="left"/>
      </w:pPr>
      <w:r>
        <w:rPr>
          <w:rFonts w:ascii="仿宋_GB2312" w:hAnsi="仿宋_GB2312" w:cs="仿宋_GB2312" w:eastAsia="仿宋_GB2312"/>
          <w:sz w:val="24"/>
        </w:rPr>
        <w:t>（一）电子化招标项目视为串通情形的认定</w:t>
      </w:r>
    </w:p>
    <w:p>
      <w:pPr>
        <w:pStyle w:val="null3"/>
        <w:ind w:firstLine="315"/>
        <w:jc w:val="left"/>
      </w:pPr>
      <w:r>
        <w:rPr>
          <w:rFonts w:ascii="仿宋_GB2312" w:hAnsi="仿宋_GB2312" w:cs="仿宋_GB2312" w:eastAsia="仿宋_GB2312"/>
          <w:sz w:val="24"/>
        </w:rPr>
        <w:t>1、保证金验核阶段 不同投标人的投标保证金转出账户的银行账户名 称相同的，属于《政府采购货物和服务招标投标管理办法》（财政部令第87号）第三十七条第（六）项“不同投标人的投标保证金从同一单位或者个人的账户转出”的情形。</w:t>
      </w:r>
    </w:p>
    <w:p>
      <w:pPr>
        <w:pStyle w:val="null3"/>
        <w:ind w:firstLine="315"/>
        <w:jc w:val="left"/>
      </w:pPr>
      <w:r>
        <w:rPr>
          <w:rFonts w:ascii="仿宋_GB2312" w:hAnsi="仿宋_GB2312" w:cs="仿宋_GB2312" w:eastAsia="仿宋_GB2312"/>
          <w:sz w:val="24"/>
        </w:rPr>
        <w:t>2、电子响应文件解密阶段 电子响应文件的个性特征与本采购项目的其他响应人存在雷同的，按照以下方式进行认定：</w:t>
      </w:r>
    </w:p>
    <w:p>
      <w:pPr>
        <w:pStyle w:val="null3"/>
        <w:ind w:firstLine="315"/>
        <w:jc w:val="left"/>
      </w:pPr>
      <w:r>
        <w:rPr>
          <w:rFonts w:ascii="仿宋_GB2312" w:hAnsi="仿宋_GB2312" w:cs="仿宋_GB2312" w:eastAsia="仿宋_GB2312"/>
          <w:sz w:val="24"/>
        </w:rPr>
        <w:t>（</w:t>
      </w:r>
      <w:r>
        <w:rPr>
          <w:rFonts w:ascii="仿宋_GB2312" w:hAnsi="仿宋_GB2312" w:cs="仿宋_GB2312" w:eastAsia="仿宋_GB2312"/>
          <w:sz w:val="24"/>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ind w:firstLine="315"/>
        <w:jc w:val="left"/>
      </w:pPr>
      <w:r>
        <w:rPr>
          <w:rFonts w:ascii="仿宋_GB2312" w:hAnsi="仿宋_GB2312" w:cs="仿宋_GB2312" w:eastAsia="仿宋_GB2312"/>
          <w:sz w:val="24"/>
        </w:rPr>
        <w:t>（</w:t>
      </w:r>
      <w:r>
        <w:rPr>
          <w:rFonts w:ascii="仿宋_GB2312" w:hAnsi="仿宋_GB2312" w:cs="仿宋_GB2312" w:eastAsia="仿宋_GB2312"/>
          <w:sz w:val="24"/>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ind w:firstLine="315"/>
        <w:jc w:val="left"/>
      </w:pPr>
      <w:r>
        <w:rPr>
          <w:rFonts w:ascii="仿宋_GB2312" w:hAnsi="仿宋_GB2312" w:cs="仿宋_GB2312" w:eastAsia="仿宋_GB2312"/>
          <w:sz w:val="24"/>
        </w:rPr>
        <w:t>（</w:t>
      </w:r>
      <w:r>
        <w:rPr>
          <w:rFonts w:ascii="仿宋_GB2312" w:hAnsi="仿宋_GB2312" w:cs="仿宋_GB2312" w:eastAsia="仿宋_GB2312"/>
          <w:sz w:val="24"/>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ind w:firstLine="315"/>
        <w:jc w:val="left"/>
      </w:pPr>
      <w:r>
        <w:rPr>
          <w:rFonts w:ascii="仿宋_GB2312" w:hAnsi="仿宋_GB2312" w:cs="仿宋_GB2312" w:eastAsia="仿宋_GB2312"/>
          <w:sz w:val="24"/>
        </w:rPr>
        <w:t>（二）电子化非招标项目视为串通情形的认定</w:t>
      </w:r>
    </w:p>
    <w:p>
      <w:pPr>
        <w:pStyle w:val="null3"/>
        <w:ind w:firstLine="315"/>
        <w:jc w:val="left"/>
      </w:pPr>
      <w:r>
        <w:rPr>
          <w:rFonts w:ascii="仿宋_GB2312" w:hAnsi="仿宋_GB2312" w:cs="仿宋_GB2312" w:eastAsia="仿宋_GB2312"/>
          <w:sz w:val="24"/>
        </w:rPr>
        <w:t>电子化非招标项目（包括竞争性谈判、竞争性磋商、询价）中出现本意见第一点所列情形的，属于《中华人民共和国政府采购法实施条例》第七十四条第（七）项</w:t>
      </w:r>
      <w:r>
        <w:rPr>
          <w:rFonts w:ascii="仿宋_GB2312" w:hAnsi="仿宋_GB2312" w:cs="仿宋_GB2312" w:eastAsia="仿宋_GB2312"/>
          <w:sz w:val="24"/>
        </w:rPr>
        <w:t>“供 应商与采购人或者采购代 理机构之间、供 应商相互之间，为谋求特定供 应商中标、成交或者排斥其他供 应商的其他串通行为”。</w:t>
      </w:r>
    </w:p>
    <w:p>
      <w:pPr>
        <w:pStyle w:val="null3"/>
        <w:ind w:firstLine="240"/>
        <w:jc w:val="left"/>
      </w:pPr>
      <w:r>
        <w:rPr>
          <w:rFonts w:ascii="仿宋_GB2312" w:hAnsi="仿宋_GB2312" w:cs="仿宋_GB2312" w:eastAsia="仿宋_GB2312"/>
          <w:sz w:val="24"/>
          <w:b/>
        </w:rPr>
        <w:t>《福建省财政厅关于福建省省</w:t>
      </w:r>
      <w:r>
        <w:rPr>
          <w:rFonts w:ascii="仿宋_GB2312" w:hAnsi="仿宋_GB2312" w:cs="仿宋_GB2312" w:eastAsia="仿宋_GB2312"/>
          <w:sz w:val="24"/>
          <w:b/>
        </w:rPr>
        <w:t xml:space="preserve"> 级政府采购货物和服务项目招标文件编制指引和实施指引的补充通知（三）》（闽财购〔2010〕28号）</w:t>
      </w:r>
    </w:p>
    <w:p>
      <w:pPr>
        <w:pStyle w:val="null3"/>
        <w:jc w:val="left"/>
      </w:pPr>
      <w:r>
        <w:rPr>
          <w:rFonts w:ascii="仿宋_GB2312" w:hAnsi="仿宋_GB2312" w:cs="仿宋_GB2312" w:eastAsia="仿宋_GB2312"/>
          <w:sz w:val="24"/>
        </w:rPr>
        <w:t>评标委员会在评标过程中发现投标人存在下列情形之一的，可认定其有串通</w:t>
      </w:r>
    </w:p>
    <w:p>
      <w:pPr>
        <w:pStyle w:val="null3"/>
        <w:jc w:val="left"/>
      </w:pPr>
      <w:r>
        <w:rPr>
          <w:rFonts w:ascii="仿宋_GB2312" w:hAnsi="仿宋_GB2312" w:cs="仿宋_GB2312" w:eastAsia="仿宋_GB2312"/>
          <w:sz w:val="24"/>
        </w:rPr>
        <w:t>投标行为，并做出其投标无效的决定：</w:t>
      </w:r>
    </w:p>
    <w:p>
      <w:pPr>
        <w:pStyle w:val="null3"/>
        <w:jc w:val="left"/>
      </w:pPr>
      <w:r>
        <w:rPr>
          <w:rFonts w:ascii="仿宋_GB2312" w:hAnsi="仿宋_GB2312" w:cs="仿宋_GB2312" w:eastAsia="仿宋_GB2312"/>
          <w:sz w:val="24"/>
        </w:rPr>
        <w:t>（一）不同投标人的投标文件错、漏之处一致或雷同，且不能合理解释的；</w:t>
      </w:r>
    </w:p>
    <w:p>
      <w:pPr>
        <w:pStyle w:val="null3"/>
        <w:jc w:val="left"/>
      </w:pPr>
      <w:r>
        <w:rPr>
          <w:rFonts w:ascii="仿宋_GB2312" w:hAnsi="仿宋_GB2312" w:cs="仿宋_GB2312" w:eastAsia="仿宋_GB2312"/>
          <w:sz w:val="24"/>
        </w:rPr>
        <w:t>（二）不同的投标人的法定代表人、委托代</w:t>
      </w:r>
      <w:r>
        <w:rPr>
          <w:rFonts w:ascii="仿宋_GB2312" w:hAnsi="仿宋_GB2312" w:cs="仿宋_GB2312" w:eastAsia="仿宋_GB2312"/>
          <w:sz w:val="24"/>
        </w:rPr>
        <w:t xml:space="preserve"> 理人等由同一个单位缴纳社会保险的；</w:t>
      </w:r>
    </w:p>
    <w:p>
      <w:pPr>
        <w:pStyle w:val="null3"/>
        <w:jc w:val="left"/>
      </w:pPr>
      <w:r>
        <w:rPr>
          <w:rFonts w:ascii="仿宋_GB2312" w:hAnsi="仿宋_GB2312" w:cs="仿宋_GB2312" w:eastAsia="仿宋_GB2312"/>
          <w:sz w:val="24"/>
        </w:rPr>
        <w:t>（三）由同一人或分别由几个有利害关系人携带两个以上（含两个）投标人的企业资料参与资格审查、领取招标资料，或代表两个以上（含两个）投标人参加招标答疑会、交纳或退还投标保证金、开标的；</w:t>
      </w:r>
    </w:p>
    <w:p>
      <w:pPr>
        <w:pStyle w:val="null3"/>
        <w:jc w:val="left"/>
      </w:pPr>
      <w:r>
        <w:rPr>
          <w:rFonts w:ascii="仿宋_GB2312" w:hAnsi="仿宋_GB2312" w:cs="仿宋_GB2312" w:eastAsia="仿宋_GB2312"/>
          <w:sz w:val="24"/>
        </w:rPr>
        <w:t>（四）有关法律、法规或规章规定的其他串通投标行为。</w:t>
      </w:r>
    </w:p>
    <w:p>
      <w:pPr>
        <w:pStyle w:val="null3"/>
        <w:jc w:val="left"/>
      </w:pPr>
      <w:r>
        <w:rPr>
          <w:rFonts w:ascii="仿宋_GB2312" w:hAnsi="仿宋_GB2312" w:cs="仿宋_GB2312" w:eastAsia="仿宋_GB2312"/>
          <w:sz w:val="24"/>
          <w:b/>
        </w:rPr>
        <w:t>三、供</w:t>
      </w:r>
      <w:r>
        <w:rPr>
          <w:rFonts w:ascii="仿宋_GB2312" w:hAnsi="仿宋_GB2312" w:cs="仿宋_GB2312" w:eastAsia="仿宋_GB2312"/>
          <w:sz w:val="24"/>
          <w:b/>
        </w:rPr>
        <w:t xml:space="preserve"> 应商需承担的后果</w:t>
      </w:r>
    </w:p>
    <w:p>
      <w:pPr>
        <w:pStyle w:val="null3"/>
        <w:ind w:firstLine="480"/>
        <w:jc w:val="left"/>
      </w:pPr>
      <w:r>
        <w:rPr>
          <w:rFonts w:ascii="仿宋_GB2312" w:hAnsi="仿宋_GB2312" w:cs="仿宋_GB2312" w:eastAsia="仿宋_GB2312"/>
          <w:sz w:val="24"/>
        </w:rPr>
        <w:t>1、《政府采购法》第七十七条：供 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（三）与采购人、其他供 应商或者采购代 理机构恶意串通的； 供 应商有前款第（一）至（五）项情形之一的，中标、成交无效。</w:t>
      </w:r>
    </w:p>
    <w:p>
      <w:pPr>
        <w:pStyle w:val="null3"/>
        <w:ind w:firstLine="480"/>
        <w:jc w:val="left"/>
      </w:pPr>
      <w:r>
        <w:rPr>
          <w:rFonts w:ascii="仿宋_GB2312" w:hAnsi="仿宋_GB2312" w:cs="仿宋_GB2312" w:eastAsia="仿宋_GB2312"/>
          <w:sz w:val="24"/>
        </w:rPr>
        <w:t>2、《政府采购非招标采购方式管理办法》（财政部令第74号）第二十条：有下列情形之一的，保证金不予退还： （四）供 应商与采购人、其他供 应商或者采购代 理机构恶意串通的；</w:t>
      </w:r>
    </w:p>
    <w:p>
      <w:pPr>
        <w:pStyle w:val="null3"/>
        <w:ind w:firstLine="315"/>
        <w:jc w:val="left"/>
      </w:pPr>
      <w:r>
        <w:rPr>
          <w:rFonts w:ascii="仿宋_GB2312" w:hAnsi="仿宋_GB2312" w:cs="仿宋_GB2312" w:eastAsia="仿宋_GB2312"/>
          <w:sz w:val="24"/>
        </w:rPr>
        <w:t>3、《政府采购竞争性磋商采购方式管理暂行办法》（财库〔2014〕214号）第三十一条：有下列情形之一的，磋商保证金不予退还： （四）供 应商与采购人、其他供 应商或者采购代 理机构恶意串通的；</w:t>
      </w:r>
    </w:p>
    <w:p>
      <w:pPr>
        <w:pStyle w:val="null3"/>
        <w:jc w:val="left"/>
      </w:pPr>
      <w:r>
        <w:rPr>
          <w:rFonts w:ascii="仿宋_GB2312" w:hAnsi="仿宋_GB2312" w:cs="仿宋_GB2312" w:eastAsia="仿宋_GB2312"/>
          <w:sz w:val="24"/>
        </w:rPr>
        <w:t>4、《福建省财政厅关于电子化政府采购项目中视为串标情形认定与处理的指导意见》（闽财购〔2018〕30号） 在开标过程中，发现投标（响应）人有上述情形的，采购人、采购代 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jc w:val="left"/>
      </w:pPr>
      <w:r>
        <w:rPr>
          <w:rFonts w:ascii="仿宋_GB2312" w:hAnsi="仿宋_GB2312" w:cs="仿宋_GB2312" w:eastAsia="仿宋_GB2312"/>
          <w:sz w:val="24"/>
          <w:b/>
          <w:shd w:fill="FFFFFF" w:val="clear"/>
        </w:rPr>
        <w:t xml:space="preserve"> </w:t>
      </w:r>
    </w:p>
    <w:p>
      <w:pPr>
        <w:pStyle w:val="null3"/>
        <w:jc w:val="left"/>
      </w:pPr>
      <w:r>
        <w:rPr>
          <w:rFonts w:ascii="仿宋_GB2312" w:hAnsi="仿宋_GB2312" w:cs="仿宋_GB2312" w:eastAsia="仿宋_GB2312"/>
          <w:sz w:val="24"/>
          <w:b/>
        </w:rPr>
        <w:t>5</w:t>
      </w:r>
      <w:r>
        <w:rPr>
          <w:rFonts w:ascii="仿宋_GB2312" w:hAnsi="仿宋_GB2312" w:cs="仿宋_GB2312" w:eastAsia="仿宋_GB2312"/>
          <w:sz w:val="24"/>
          <w:b/>
        </w:rPr>
        <w:t>.4</w:t>
      </w:r>
      <w:r>
        <w:rPr>
          <w:rFonts w:ascii="仿宋_GB2312" w:hAnsi="仿宋_GB2312" w:cs="仿宋_GB2312" w:eastAsia="仿宋_GB2312"/>
          <w:sz w:val="24"/>
        </w:rPr>
        <w:t>本项目不允许中标人以任何名义和理由在中标后将中标项目的主体、非主体、关键性工作、非关键性工作进行转包、分包，在履行合同过程中如有发现，采购人有权单方终止合同，并没收履约保证金。视为中标人违约，中标人违约对采购人造成的损失的，需另行支付相应的赔偿，并追究相关法律责任。</w:t>
      </w:r>
    </w:p>
    <w:p>
      <w:pPr>
        <w:pStyle w:val="null3"/>
        <w:jc w:val="left"/>
      </w:pP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b/>
        </w:rPr>
        <w:t>5</w:t>
      </w:r>
      <w:r>
        <w:rPr>
          <w:rFonts w:ascii="仿宋_GB2312" w:hAnsi="仿宋_GB2312" w:cs="仿宋_GB2312" w:eastAsia="仿宋_GB2312"/>
          <w:sz w:val="24"/>
          <w:b/>
        </w:rPr>
        <w:t>.5</w:t>
      </w:r>
      <w:r>
        <w:rPr>
          <w:rFonts w:ascii="仿宋_GB2312" w:hAnsi="仿宋_GB2312" w:cs="仿宋_GB2312" w:eastAsia="仿宋_GB2312"/>
          <w:sz w:val="24"/>
        </w:rPr>
        <w:t>本采购文件未明确的其它约定事项或条款，待采购人与中标人签订合同时，由双方协商订立。</w:t>
      </w:r>
    </w:p>
    <w:p>
      <w:pPr>
        <w:pStyle w:val="null3"/>
        <w:jc w:val="left"/>
      </w:pPr>
      <w:r>
        <w:rPr>
          <w:rFonts w:ascii="仿宋_GB2312" w:hAnsi="仿宋_GB2312" w:cs="仿宋_GB2312" w:eastAsia="仿宋_GB2312"/>
          <w:sz w:val="21"/>
        </w:rPr>
        <w:t xml:space="preserve"> </w:t>
      </w:r>
    </w:p>
    <w:p>
      <w:pPr>
        <w:pStyle w:val="null3"/>
        <w:ind w:firstLine="480"/>
      </w:pPr>
      <w:r>
        <w:rPr>
          <w:rFonts w:ascii="仿宋_GB2312" w:hAnsi="仿宋_GB2312" w:cs="仿宋_GB2312" w:eastAsia="仿宋_GB2312"/>
          <w:sz w:val="24"/>
          <w:b/>
        </w:rPr>
        <w:t>6</w:t>
      </w:r>
      <w:r>
        <w:rPr>
          <w:rFonts w:ascii="仿宋_GB2312" w:hAnsi="仿宋_GB2312" w:cs="仿宋_GB2312" w:eastAsia="仿宋_GB2312"/>
          <w:sz w:val="24"/>
          <w:b/>
        </w:rPr>
        <w:t>、</w:t>
      </w:r>
      <w:r>
        <w:rPr>
          <w:rFonts w:ascii="仿宋_GB2312" w:hAnsi="仿宋_GB2312" w:cs="仿宋_GB2312" w:eastAsia="仿宋_GB2312"/>
          <w:sz w:val="24"/>
        </w:rPr>
        <w:t>投标人应在投标文件中提供带</w:t>
      </w:r>
      <w:r>
        <w:rPr>
          <w:rFonts w:ascii="仿宋_GB2312" w:hAnsi="仿宋_GB2312" w:cs="仿宋_GB2312" w:eastAsia="仿宋_GB2312"/>
          <w:sz w:val="24"/>
        </w:rPr>
        <w:t>“★”号条款逐条响应情况表及技术规格和商务偏离表（或点对点应答书，格式可参考第七章），未按要求提供带“★”号条款逐条响应情况表及技术规格和商务偏离表（或点对点应答书，格式可参考第七章）的，评标委员会可能对投标人做出不利的评审。</w:t>
      </w:r>
    </w:p>
    <w:p>
      <w:pPr>
        <w:pStyle w:val="null3"/>
        <w:ind w:firstLine="480"/>
      </w:pPr>
      <w:r>
        <w:rPr>
          <w:rFonts w:ascii="仿宋_GB2312" w:hAnsi="仿宋_GB2312" w:cs="仿宋_GB2312" w:eastAsia="仿宋_GB2312"/>
        </w:rPr>
        <w:t xml:space="preserve"> </w:t>
      </w:r>
    </w:p>
    <w:p>
      <w:pPr>
        <w:pStyle w:val="null3"/>
        <w:ind w:firstLine="480"/>
        <w:jc w:val="center"/>
      </w:pPr>
      <w:r>
        <w:rPr>
          <w:rFonts w:ascii="仿宋_GB2312" w:hAnsi="仿宋_GB2312" w:cs="仿宋_GB2312" w:eastAsia="仿宋_GB2312"/>
          <w:sz w:val="30"/>
          <w:b/>
        </w:rPr>
        <w:t>带</w:t>
      </w:r>
      <w:r>
        <w:rPr>
          <w:rFonts w:ascii="仿宋_GB2312" w:hAnsi="仿宋_GB2312" w:cs="仿宋_GB2312" w:eastAsia="仿宋_GB2312"/>
          <w:sz w:val="30"/>
          <w:b/>
        </w:rPr>
        <w:t>“★”号条款逐条响应情况表</w:t>
      </w:r>
    </w:p>
    <w:tbl>
      <w:tblPr>
        <w:tblW w:w="0" w:type="auto"/>
        <w:tblBorders>
          <w:top w:val="none" w:color="000000" w:sz="4"/>
          <w:left w:val="none" w:color="000000" w:sz="4"/>
          <w:bottom w:val="none" w:color="000000" w:sz="4"/>
          <w:right w:val="none" w:color="000000" w:sz="4"/>
          <w:insideH w:val="none"/>
          <w:insideV w:val="none"/>
        </w:tblBorders>
      </w:tblPr>
      <w:tblGrid>
        <w:gridCol w:w="946"/>
        <w:gridCol w:w="3815"/>
        <w:gridCol w:w="3545"/>
      </w:tblGrid>
      <w:tr>
        <w:tc>
          <w:tcPr>
            <w:tcW w:type="dxa" w:w="946"/>
            <w:tcBorders>
              <w:top w:val="double" w:color="000000" w:sz="32"/>
              <w:left w:val="double" w:color="000000" w:sz="32"/>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条款号</w:t>
            </w:r>
          </w:p>
        </w:tc>
        <w:tc>
          <w:tcPr>
            <w:tcW w:type="dxa" w:w="3815"/>
            <w:tcBorders>
              <w:top w:val="double" w:color="000000" w:sz="32"/>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招标文件中带</w:t>
            </w:r>
            <w:r>
              <w:rPr>
                <w:rFonts w:ascii="仿宋_GB2312" w:hAnsi="仿宋_GB2312" w:cs="仿宋_GB2312" w:eastAsia="仿宋_GB2312"/>
                <w:sz w:val="24"/>
              </w:rPr>
              <w:t>“★”号的条款汇总</w:t>
            </w:r>
          </w:p>
        </w:tc>
        <w:tc>
          <w:tcPr>
            <w:tcW w:type="dxa" w:w="3545"/>
            <w:tcBorders>
              <w:top w:val="double" w:color="000000" w:sz="32"/>
              <w:left w:val="none" w:color="000000" w:sz="4"/>
              <w:bottom w:val="single" w:color="000000" w:sz="4"/>
              <w:right w:val="double" w:color="000000" w:sz="32"/>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投标响应内容</w:t>
            </w:r>
          </w:p>
        </w:tc>
      </w:tr>
      <w:tr>
        <w:tc>
          <w:tcPr>
            <w:tcW w:type="dxa" w:w="946"/>
            <w:tcBorders>
              <w:top w:val="none" w:color="000000" w:sz="4"/>
              <w:left w:val="double" w:color="000000" w:sz="32"/>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545"/>
            <w:tcBorders>
              <w:top w:val="none" w:color="000000" w:sz="4"/>
              <w:left w:val="none" w:color="000000" w:sz="4"/>
              <w:bottom w:val="single" w:color="000000" w:sz="4"/>
              <w:right w:val="double" w:color="000000" w:sz="32"/>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946"/>
            <w:tcBorders>
              <w:top w:val="none" w:color="000000" w:sz="4"/>
              <w:left w:val="double" w:color="000000" w:sz="32"/>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545"/>
            <w:tcBorders>
              <w:top w:val="none" w:color="000000" w:sz="4"/>
              <w:left w:val="none" w:color="000000" w:sz="4"/>
              <w:bottom w:val="single" w:color="000000" w:sz="4"/>
              <w:right w:val="double" w:color="000000" w:sz="32"/>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946"/>
            <w:tcBorders>
              <w:top w:val="none" w:color="000000" w:sz="4"/>
              <w:left w:val="double" w:color="000000" w:sz="32"/>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545"/>
            <w:tcBorders>
              <w:top w:val="none" w:color="000000" w:sz="4"/>
              <w:left w:val="none" w:color="000000" w:sz="4"/>
              <w:bottom w:val="single" w:color="000000" w:sz="4"/>
              <w:right w:val="double" w:color="000000" w:sz="32"/>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946"/>
            <w:tcBorders>
              <w:top w:val="none" w:color="000000" w:sz="4"/>
              <w:left w:val="double" w:color="000000" w:sz="32"/>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545"/>
            <w:tcBorders>
              <w:top w:val="none" w:color="000000" w:sz="4"/>
              <w:left w:val="none" w:color="000000" w:sz="4"/>
              <w:bottom w:val="single" w:color="000000" w:sz="4"/>
              <w:right w:val="double" w:color="000000" w:sz="32"/>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946"/>
            <w:tcBorders>
              <w:top w:val="none" w:color="000000" w:sz="4"/>
              <w:left w:val="double" w:color="000000" w:sz="32"/>
              <w:bottom w:val="double" w:color="000000" w:sz="32"/>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15"/>
            <w:tcBorders>
              <w:top w:val="none" w:color="000000" w:sz="4"/>
              <w:left w:val="none" w:color="000000" w:sz="4"/>
              <w:bottom w:val="double" w:color="000000" w:sz="32"/>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545"/>
            <w:tcBorders>
              <w:top w:val="none" w:color="000000" w:sz="4"/>
              <w:left w:val="none" w:color="000000" w:sz="4"/>
              <w:bottom w:val="double" w:color="000000" w:sz="32"/>
              <w:right w:val="double" w:color="000000" w:sz="32"/>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bl>
    <w:p>
      <w:pPr>
        <w:pStyle w:val="null3"/>
        <w:ind w:firstLine="4200"/>
      </w:pPr>
      <w:r>
        <w:rPr>
          <w:rFonts w:ascii="仿宋_GB2312" w:hAnsi="仿宋_GB2312" w:cs="仿宋_GB2312" w:eastAsia="仿宋_GB2312"/>
          <w:sz w:val="24"/>
        </w:rPr>
        <w:t>投标人：（全称并加盖单位公章）</w:t>
      </w:r>
    </w:p>
    <w:p>
      <w:pPr>
        <w:pStyle w:val="null3"/>
        <w:ind w:firstLine="4200"/>
      </w:pPr>
      <w:r>
        <w:rPr>
          <w:rFonts w:ascii="仿宋_GB2312" w:hAnsi="仿宋_GB2312" w:cs="仿宋_GB2312" w:eastAsia="仿宋_GB2312"/>
          <w:sz w:val="24"/>
        </w:rPr>
        <w:t>投标人代表签字：</w:t>
      </w:r>
    </w:p>
    <w:p>
      <w:pPr>
        <w:pStyle w:val="null3"/>
        <w:ind w:firstLine="4200"/>
      </w:pPr>
      <w:r>
        <w:rPr>
          <w:rFonts w:ascii="仿宋_GB2312" w:hAnsi="仿宋_GB2312" w:cs="仿宋_GB2312" w:eastAsia="仿宋_GB2312"/>
          <w:sz w:val="24"/>
        </w:rPr>
        <w:t>日期：</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ind w:firstLine="480"/>
      </w:pPr>
      <w:r>
        <w:rPr>
          <w:rFonts w:ascii="仿宋_GB2312" w:hAnsi="仿宋_GB2312" w:cs="仿宋_GB2312" w:eastAsia="仿宋_GB2312"/>
        </w:rPr>
        <w:t xml:space="preserve"> </w:t>
      </w:r>
    </w:p>
    <w:p>
      <w:pPr>
        <w:pStyle w:val="null3"/>
        <w:ind w:firstLine="480"/>
      </w:pPr>
      <w:r>
        <w:rPr>
          <w:rFonts w:ascii="仿宋_GB2312" w:hAnsi="仿宋_GB2312" w:cs="仿宋_GB2312" w:eastAsia="仿宋_GB2312"/>
          <w:sz w:val="24"/>
          <w:u w:val="single"/>
          <w:shd w:fill="FFFFFF" w:val="clear"/>
        </w:rPr>
        <w:t>为避免遗漏，请投标人在投标文件技术商务部分提供</w:t>
      </w:r>
      <w:r>
        <w:rPr>
          <w:rFonts w:ascii="仿宋_GB2312" w:hAnsi="仿宋_GB2312" w:cs="仿宋_GB2312" w:eastAsia="仿宋_GB2312"/>
          <w:sz w:val="24"/>
          <w:u w:val="single"/>
          <w:shd w:fill="FFFFFF" w:val="clear"/>
        </w:rPr>
        <w:t>“评标条款响应对照表”，并在目录中体现该格式标题</w:t>
      </w:r>
      <w:r>
        <w:rPr>
          <w:rFonts w:ascii="仿宋_GB2312" w:hAnsi="仿宋_GB2312" w:cs="仿宋_GB2312" w:eastAsia="仿宋_GB2312"/>
          <w:sz w:val="24"/>
          <w:shd w:fill="FFFFFF" w:val="clear"/>
        </w:rPr>
        <w:t>。</w:t>
      </w:r>
    </w:p>
    <w:p>
      <w:pPr>
        <w:pStyle w:val="null3"/>
        <w:ind w:firstLine="480"/>
        <w:jc w:val="center"/>
      </w:pPr>
      <w:r>
        <w:rPr>
          <w:rFonts w:ascii="仿宋_GB2312" w:hAnsi="仿宋_GB2312" w:cs="仿宋_GB2312" w:eastAsia="仿宋_GB2312"/>
          <w:sz w:val="30"/>
          <w:b/>
        </w:rPr>
        <w:t>评标条款响应对照表</w:t>
      </w:r>
    </w:p>
    <w:tbl>
      <w:tblPr>
        <w:tblW w:w="0" w:type="auto"/>
        <w:tblBorders>
          <w:top w:val="none" w:color="000000" w:sz="4"/>
          <w:left w:val="none" w:color="000000" w:sz="4"/>
          <w:bottom w:val="none" w:color="000000" w:sz="4"/>
          <w:right w:val="none" w:color="000000" w:sz="4"/>
          <w:insideH w:val="none"/>
          <w:insideV w:val="none"/>
        </w:tblBorders>
      </w:tblPr>
      <w:tblGrid>
        <w:gridCol w:w="1163"/>
        <w:gridCol w:w="2462"/>
        <w:gridCol w:w="3262"/>
        <w:gridCol w:w="1420"/>
      </w:tblGrid>
      <w:tr>
        <w:tc>
          <w:tcPr>
            <w:tcW w:type="dxa" w:w="1163"/>
            <w:tcBorders>
              <w:top w:val="double" w:color="000000" w:sz="32"/>
              <w:left w:val="double" w:color="000000" w:sz="32"/>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条款号</w:t>
            </w:r>
          </w:p>
        </w:tc>
        <w:tc>
          <w:tcPr>
            <w:tcW w:type="dxa" w:w="2462"/>
            <w:tcBorders>
              <w:top w:val="double" w:color="000000" w:sz="32"/>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招标文件评标条款</w:t>
            </w:r>
          </w:p>
        </w:tc>
        <w:tc>
          <w:tcPr>
            <w:tcW w:type="dxa" w:w="3262"/>
            <w:tcBorders>
              <w:top w:val="double" w:color="000000" w:sz="32"/>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投标响应内容</w:t>
            </w:r>
          </w:p>
        </w:tc>
        <w:tc>
          <w:tcPr>
            <w:tcW w:type="dxa" w:w="1420"/>
            <w:tcBorders>
              <w:top w:val="double" w:color="000000" w:sz="32"/>
              <w:left w:val="none" w:color="000000" w:sz="4"/>
              <w:bottom w:val="single" w:color="000000" w:sz="4"/>
              <w:right w:val="double" w:color="000000" w:sz="32"/>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对应投标文件页码</w:t>
            </w:r>
          </w:p>
        </w:tc>
      </w:tr>
      <w:tr>
        <w:tc>
          <w:tcPr>
            <w:tcW w:type="dxa" w:w="1163"/>
            <w:tcBorders>
              <w:top w:val="none" w:color="000000" w:sz="4"/>
              <w:left w:val="double" w:color="000000" w:sz="32"/>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420"/>
            <w:tcBorders>
              <w:top w:val="none" w:color="000000" w:sz="4"/>
              <w:left w:val="none" w:color="000000" w:sz="4"/>
              <w:bottom w:val="single" w:color="000000" w:sz="4"/>
              <w:right w:val="double" w:color="000000" w:sz="32"/>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163"/>
            <w:tcBorders>
              <w:top w:val="none" w:color="000000" w:sz="4"/>
              <w:left w:val="double" w:color="000000" w:sz="32"/>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420"/>
            <w:tcBorders>
              <w:top w:val="none" w:color="000000" w:sz="4"/>
              <w:left w:val="none" w:color="000000" w:sz="4"/>
              <w:bottom w:val="single" w:color="000000" w:sz="4"/>
              <w:right w:val="double" w:color="000000" w:sz="32"/>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163"/>
            <w:tcBorders>
              <w:top w:val="none" w:color="000000" w:sz="4"/>
              <w:left w:val="double" w:color="000000" w:sz="32"/>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420"/>
            <w:tcBorders>
              <w:top w:val="none" w:color="000000" w:sz="4"/>
              <w:left w:val="none" w:color="000000" w:sz="4"/>
              <w:bottom w:val="single" w:color="000000" w:sz="4"/>
              <w:right w:val="double" w:color="000000" w:sz="32"/>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163"/>
            <w:tcBorders>
              <w:top w:val="none" w:color="000000" w:sz="4"/>
              <w:left w:val="double" w:color="000000" w:sz="32"/>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420"/>
            <w:tcBorders>
              <w:top w:val="none" w:color="000000" w:sz="4"/>
              <w:left w:val="none" w:color="000000" w:sz="4"/>
              <w:bottom w:val="single" w:color="000000" w:sz="4"/>
              <w:right w:val="double" w:color="000000" w:sz="32"/>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163"/>
            <w:tcBorders>
              <w:top w:val="none" w:color="000000" w:sz="4"/>
              <w:left w:val="double" w:color="000000" w:sz="32"/>
              <w:bottom w:val="double" w:color="000000" w:sz="32"/>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62"/>
            <w:tcBorders>
              <w:top w:val="none" w:color="000000" w:sz="4"/>
              <w:left w:val="none" w:color="000000" w:sz="4"/>
              <w:bottom w:val="double" w:color="000000" w:sz="32"/>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262"/>
            <w:tcBorders>
              <w:top w:val="none" w:color="000000" w:sz="4"/>
              <w:left w:val="none" w:color="000000" w:sz="4"/>
              <w:bottom w:val="double" w:color="000000" w:sz="32"/>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420"/>
            <w:tcBorders>
              <w:top w:val="none" w:color="000000" w:sz="4"/>
              <w:left w:val="none" w:color="000000" w:sz="4"/>
              <w:bottom w:val="double" w:color="000000" w:sz="32"/>
              <w:right w:val="double" w:color="000000" w:sz="32"/>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bl>
    <w:p>
      <w:pPr>
        <w:pStyle w:val="null3"/>
        <w:ind w:firstLine="4200"/>
      </w:pPr>
      <w:r>
        <w:rPr>
          <w:rFonts w:ascii="仿宋_GB2312" w:hAnsi="仿宋_GB2312" w:cs="仿宋_GB2312" w:eastAsia="仿宋_GB2312"/>
          <w:sz w:val="24"/>
        </w:rPr>
        <w:t>投标人：（全称并加盖单位公章）</w:t>
      </w:r>
    </w:p>
    <w:p>
      <w:pPr>
        <w:pStyle w:val="null3"/>
        <w:ind w:firstLine="4200"/>
      </w:pPr>
      <w:r>
        <w:rPr>
          <w:rFonts w:ascii="仿宋_GB2312" w:hAnsi="仿宋_GB2312" w:cs="仿宋_GB2312" w:eastAsia="仿宋_GB2312"/>
          <w:sz w:val="24"/>
        </w:rPr>
        <w:t>投标人代表签字：</w:t>
      </w:r>
    </w:p>
    <w:p>
      <w:pPr>
        <w:pStyle w:val="null3"/>
        <w:ind w:firstLine="4200"/>
      </w:pPr>
      <w:r>
        <w:rPr>
          <w:rFonts w:ascii="仿宋_GB2312" w:hAnsi="仿宋_GB2312" w:cs="仿宋_GB2312" w:eastAsia="仿宋_GB2312"/>
          <w:sz w:val="24"/>
        </w:rPr>
        <w:t>日期：</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ind w:firstLine="4200"/>
        <w:jc w:val="left"/>
      </w:pPr>
      <w:r>
        <w:rPr>
          <w:rFonts w:ascii="仿宋_GB2312" w:hAnsi="仿宋_GB2312" w:cs="仿宋_GB2312" w:eastAsia="仿宋_GB2312"/>
          <w:sz w:val="24"/>
          <w:b/>
        </w:rPr>
        <w:t>7、</w:t>
      </w:r>
      <w:r>
        <w:rPr>
          <w:rFonts w:ascii="仿宋_GB2312" w:hAnsi="仿宋_GB2312" w:cs="仿宋_GB2312" w:eastAsia="仿宋_GB2312"/>
          <w:sz w:val="24"/>
          <w:b/>
        </w:rPr>
        <w:t>投标人应在投标文件中提供拟投入本项目人员的</w:t>
      </w:r>
      <w:r>
        <w:rPr>
          <w:rFonts w:ascii="仿宋_GB2312" w:hAnsi="仿宋_GB2312" w:cs="仿宋_GB2312" w:eastAsia="仿宋_GB2312"/>
          <w:sz w:val="24"/>
          <w:b/>
        </w:rPr>
        <w:t>“</w:t>
      </w:r>
      <w:r>
        <w:rPr>
          <w:rFonts w:ascii="仿宋_GB2312" w:hAnsi="仿宋_GB2312" w:cs="仿宋_GB2312" w:eastAsia="仿宋_GB2312"/>
          <w:sz w:val="24"/>
          <w:b/>
        </w:rPr>
        <w:t>规划服务人员表</w:t>
      </w:r>
      <w:r>
        <w:rPr>
          <w:rFonts w:ascii="仿宋_GB2312" w:hAnsi="仿宋_GB2312" w:cs="仿宋_GB2312" w:eastAsia="仿宋_GB2312"/>
          <w:sz w:val="24"/>
          <w:b/>
        </w:rPr>
        <w:t>”</w:t>
      </w:r>
    </w:p>
    <w:p>
      <w:pPr>
        <w:pStyle w:val="null3"/>
        <w:ind w:firstLine="480"/>
        <w:jc w:val="center"/>
      </w:pPr>
      <w:r>
        <w:rPr>
          <w:rFonts w:ascii="仿宋_GB2312" w:hAnsi="仿宋_GB2312" w:cs="仿宋_GB2312" w:eastAsia="仿宋_GB2312"/>
          <w:sz w:val="24"/>
          <w:b/>
        </w:rPr>
        <w:t>规划服务人员表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61"/>
        <w:gridCol w:w="1046"/>
        <w:gridCol w:w="615"/>
        <w:gridCol w:w="1231"/>
        <w:gridCol w:w="754"/>
        <w:gridCol w:w="646"/>
        <w:gridCol w:w="723"/>
        <w:gridCol w:w="569"/>
        <w:gridCol w:w="954"/>
        <w:gridCol w:w="1307"/>
      </w:tblGrid>
      <w:tr>
        <w:tc>
          <w:tcPr>
            <w:tcW w:type="dxa" w:w="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10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岗位名称</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姓名</w:t>
            </w:r>
          </w:p>
        </w:tc>
        <w:tc>
          <w:tcPr>
            <w:tcW w:type="dxa" w:w="1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年龄（周岁）</w:t>
            </w:r>
          </w:p>
        </w:tc>
        <w:tc>
          <w:tcPr>
            <w:tcW w:type="dxa" w:w="7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联系方式</w:t>
            </w:r>
          </w:p>
        </w:tc>
        <w:tc>
          <w:tcPr>
            <w:tcW w:type="dxa" w:w="6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职称</w:t>
            </w:r>
          </w:p>
        </w:tc>
        <w:tc>
          <w:tcPr>
            <w:tcW w:type="dxa" w:w="7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毕业专业</w:t>
            </w:r>
          </w:p>
        </w:tc>
        <w:tc>
          <w:tcPr>
            <w:tcW w:type="dxa" w:w="5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学历</w:t>
            </w:r>
          </w:p>
        </w:tc>
        <w:tc>
          <w:tcPr>
            <w:tcW w:type="dxa" w:w="9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同类工作经验</w:t>
            </w:r>
          </w:p>
        </w:tc>
        <w:tc>
          <w:tcPr>
            <w:tcW w:type="dxa" w:w="1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同类工作经验年限</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本项目采用“远程开标”，投标人可到开标现场，也可不到开标现场，由投标人自行决定。投标人选择到开标现场开标的，请在系统规定时间内将CA证书送达厦门市行政服务中心4层本项目指定开标厅进行解密及签章。投标人不到开标现场的，请下载《远程开标操作手册》，在开标时自行登录采购系统，线上观看开标过程，并按要求在解密规定时间内对投标文件进行远程解密、远程签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[350201]wx[GK]2025043</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厦门市“十五五”现代化基础设施体系发展专项规划</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1(厦门市“十五五”现代化基础设施体系发展专项规划)</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厦门市“十五五”现代化基础设施体系发展专项规划</w:t>
            </w:r>
          </w:p>
        </w:tc>
        <w:tc>
          <w:tcPr>
            <w:tcW w:type="dxa" w:w="1661"/>
          </w:tcPr>
          <w:p>
            <w:pPr>
              <w:pStyle w:val="null3"/>
              <w:jc w:val="left"/>
            </w:pPr>
            <w:r>
              <w:rPr>
                <w:rFonts w:ascii="仿宋_GB2312" w:hAnsi="仿宋_GB2312" w:cs="仿宋_GB2312" w:eastAsia="仿宋_GB2312"/>
              </w:rPr>
              <w:t xml:space="preserve"> 1800000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[350201]wx[GK]2025043</w:t>
      </w:r>
    </w:p>
    <w:p>
      <w:pPr>
        <w:pStyle w:val="null3"/>
        <w:jc w:val="left"/>
      </w:pPr>
      <w:r>
        <w:rPr>
          <w:rFonts w:ascii="仿宋_GB2312" w:hAnsi="仿宋_GB2312" w:cs="仿宋_GB2312" w:eastAsia="仿宋_GB2312"/>
        </w:rPr>
        <w:t>项目名称：</w:t>
      </w:r>
      <w:r>
        <w:rPr>
          <w:rFonts w:ascii="仿宋_GB2312" w:hAnsi="仿宋_GB2312" w:cs="仿宋_GB2312" w:eastAsia="仿宋_GB2312"/>
        </w:rPr>
        <w:t>厦门市“十五五”现代化基础设施体系发展专项规划</w:t>
      </w:r>
    </w:p>
    <w:p>
      <w:pPr>
        <w:pStyle w:val="null3"/>
        <w:jc w:val="left"/>
      </w:pPr>
      <w:r>
        <w:rPr>
          <w:rFonts w:ascii="仿宋_GB2312" w:hAnsi="仿宋_GB2312" w:cs="仿宋_GB2312" w:eastAsia="仿宋_GB2312"/>
        </w:rPr>
        <w:t>采购包：</w:t>
      </w:r>
      <w:r>
        <w:rPr>
          <w:rFonts w:ascii="仿宋_GB2312" w:hAnsi="仿宋_GB2312" w:cs="仿宋_GB2312" w:eastAsia="仿宋_GB2312"/>
        </w:rPr>
        <w:t>厦门市“十五五”现代化基础设施体系发展专项规划</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厦门市“十五五”现代化基础设施体系发展专项规划</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厦门市“十五五”现代化基础设施体系发展专项规划</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3、电子投标文件中涉及“投标标的”、“数量”、“规格”、“来源地”的内容若不一致，以投标客户端的投标（响应）报价明细表为准。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