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ScienceDirect数据库租用服务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CGXM-2025-350201-01699[2025]00916</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[350201]wx[GK]2025039</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集美大学</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厦门万翔招标有限公司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2025年10月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厦门万翔招标有限公司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ScienceDirect数据库租用服务</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CGXM-2025-350201-01699[2025]00916</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[350201]wx[GK]2025039</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both"/>
            </w:pPr>
            <w:r>
              <w:rPr>
                <w:rFonts w:ascii="仿宋_GB2312" w:hAnsi="仿宋_GB2312" w:cs="仿宋_GB2312" w:eastAsia="仿宋_GB2312"/>
              </w:rPr>
              <w:t>1、信用信息查询渠道：资格审查小组通过“信用中国”网站（www.creditchina.gov.cn）、中国政府采购网（www.ccgp.gov.cn）、“信用中国(福建厦门)网站（credit.xm.gov.cn）查询所有供应商的信用信息。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7.2、在招标文件获取期限内，供应商应通过福建省政府采购网上公开信息系统的注册账号（免费注册）并获取招标文件(登录福建省政府采购网上公开信息系统进行文件获取)，否则投标将被拒绝。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集美大学</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福建省厦门市集美区银江路１８５号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章老师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0592-6181406</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厦门万翔招标有限公司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中国（福建）自由贸易试验区厦门片区机场北路476号4楼</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游先生</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15394420205</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厦门万翔招标有限公司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3,445,000.00</w:t>
      </w:r>
    </w:p>
    <w:p>
      <w:pPr>
        <w:pStyle w:val="null3"/>
        <w:jc w:val="left"/>
      </w:pPr>
      <w:r>
        <w:rPr>
          <w:rFonts w:ascii="仿宋_GB2312" w:hAnsi="仿宋_GB2312" w:cs="仿宋_GB2312" w:eastAsia="仿宋_GB2312"/>
        </w:rPr>
        <w:t>采购包最高限价（元）: 3,445,000.00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ScienceDirect数据库租用服务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3,445,000.00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软件和信息技术服务业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ScienceDirect数据库租用服务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ScienceDirect数据库租用服务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ScienceDirect数据库租用服务</w:t>
            </w:r>
          </w:p>
        </w:tc>
        <w:tc>
          <w:tcPr>
            <w:tcW w:type="dxa" w:w="2076"/>
          </w:tcPr>
          <w:p>
            <w:pPr>
              <w:pStyle w:val="null3"/>
              <w:jc w:val="left"/>
            </w:pPr>
            <w:r>
              <w:rPr>
                <w:rFonts w:ascii="仿宋_GB2312" w:hAnsi="仿宋_GB2312" w:cs="仿宋_GB2312" w:eastAsia="仿宋_GB2312"/>
              </w:rPr>
              <w:t>ScienceDirect数据库租用服务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3,445,000.00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由评标委员会进行表决推荐。</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厦门万翔招标有限公司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厦门市采购监督管理办公室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中标金额(万元)费率；[0―100]1.5%；（100－500]0.8%；（500-1000]0.45%；（1000-5000]0.25%；（5000-10000]0.1%;（10000-50000]0.05%。注：1、代理服务费的收取按差额定率累进法计算,由中标人支付。2、中标人以转账或汇款方式提交。3、中标人为中小企业的，其代理服务费按照上述服务收费标准下浮10%进行支付。4、账户信息：开户名：厦门万翔招标有限公司。开户行：建行厦门自贸试验区航空港支行。账号：35101570201052504219。5、代理服务费事宜联系人：陈小姐0592-5703367。6、因供应商自身原因导致最终无法承接项目的，代理服务费不予退还。</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（1）登录福建省政府采购网厦门分网http:// 120.41.36.6/ → 【办事指南】→ 下载【供 应商操作手册】，按手册指引操作。（2）请投标人及时提前办理CA。（3）不同投标人用同一台电脑或同一IP上传投标文件或同一账户缴交投标保证金的，经系统识别确认情况属实将判定为串通投标。（4）全文中带有“★”的条款为关键性条款，对这些关键性条款的任何负偏离或不满足将导致该投标作无效投标处理。（5）若招标文件第五章所述内容与其它部分的条款发生理解冲突，则以第五章所述内容为准；如招标文件发生变更，则相关条款的解释以更改通知为准。 （6）关于虚假投标的风险提示。《政府采购法》第七十七条规定：“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提供虚假材料谋取中标的违法行为的执法力度。相关行政处罚案件，供应商可登陆中国政府采购网的“政府采购严重违法失信行为记录名单”查询，望引以为戒。　　 （7）对 ①一般资格证明文件：依法缴纳社会保障资金证明材料及依法缴纳税收证明材料要求的补充说明：因政策享受缓缴或免缴社会保障资金、税收的企业，无法提供相关社会保障资金、税收缴纳证明材料的，提供有关佐证视同社会保障资金、税收缴纳证明材料提交完整。</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厦门万翔招标有限公司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厦门万翔招标有限公司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厦门万翔招标有限公司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厦门万翔招标有限公司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厦门万翔招标有限公司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厦门万翔招标有限公司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厦门万翔招标有限公司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厦门万翔招标有限公司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厦门万翔招标有限公司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厦门万翔招标有限公司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厦门万翔招标有限公司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厦门万翔招标有限公司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厦门万翔招标有限公司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厦门万翔招标有限公司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厦门万翔招标有限公司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厦门万翔招标有限公司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厦门万翔招标有限公司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厦门万翔招标有限公司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厦门万翔招标有限公司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厦门万翔招标有限公司</w:t>
      </w:r>
      <w:r>
        <w:rPr>
          <w:rFonts w:ascii="仿宋_GB2312" w:hAnsi="仿宋_GB2312" w:cs="仿宋_GB2312" w:eastAsia="仿宋_GB2312"/>
        </w:rPr>
        <w:t xml:space="preserve"> 提出询问， </w:t>
      </w:r>
      <w:r>
        <w:rPr>
          <w:rFonts w:ascii="仿宋_GB2312" w:hAnsi="仿宋_GB2312" w:cs="仿宋_GB2312" w:eastAsia="仿宋_GB2312"/>
        </w:rPr>
        <w:t>厦门万翔招标有限公司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厦门万翔招标有限公司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厦门万翔招标有限公司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由厦门万翔招标有限公司派出的工作人员至少1人，</w:t>
      </w:r>
      <w:r>
        <w:rPr>
          <w:rFonts w:ascii="仿宋_GB2312" w:hAnsi="仿宋_GB2312" w:cs="仿宋_GB2312" w:eastAsia="仿宋_GB2312"/>
        </w:rPr>
        <w:t>其余1人可为采购人代表或厦门万翔招标有限公司的工作人员。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1、信用信息查询渠道：资格审查小组通过“信用中国”网站（www.creditchina.gov.cn）、中国政府采购网（www.ccgp.gov.cn）、“信用中国(福建厦门)网站（credit.xm.gov.cn）查询所有供应商的信用信息。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厦门万翔招标有限公司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厦门万翔招标有限公司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厦门万翔招标有限公司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厦门万翔招标有限公司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采购文件中规定的无效响应条款</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采购文件中规定的无效响应条款</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采购文件中规定的无效响应条款</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采购文件中规定的无效响应条款</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情形</w:t>
            </w:r>
          </w:p>
        </w:tc>
        <w:tc>
          <w:tcPr>
            <w:tcW w:type="dxa" w:w="4614"/>
          </w:tcPr>
          <w:p>
            <w:pPr>
              <w:pStyle w:val="null3"/>
              <w:jc w:val="left"/>
            </w:pPr>
            <w:r>
              <w:rPr>
                <w:rFonts w:ascii="仿宋_GB2312" w:hAnsi="仿宋_GB2312" w:cs="仿宋_GB2312" w:eastAsia="仿宋_GB2312"/>
              </w:rPr>
              <w:t xml:space="preserve"> 明细</w:t>
            </w:r>
          </w:p>
        </w:tc>
      </w:tr>
      <w:tr>
        <w:tc>
          <w:tcPr>
            <w:tcW w:type="dxa" w:w="3692"/>
          </w:tcPr>
          <w:p>
            <w:pPr>
              <w:pStyle w:val="null3"/>
              <w:jc w:val="left"/>
            </w:pPr>
            <w:r>
              <w:rPr>
                <w:rFonts w:ascii="仿宋_GB2312" w:hAnsi="仿宋_GB2312" w:cs="仿宋_GB2312" w:eastAsia="仿宋_GB2312"/>
              </w:rPr>
              <w:t>其他情形</w:t>
            </w:r>
          </w:p>
        </w:tc>
        <w:tc>
          <w:tcPr>
            <w:tcW w:type="dxa" w:w="4614"/>
          </w:tcPr>
          <w:p>
            <w:pPr>
              <w:pStyle w:val="null3"/>
              <w:jc w:val="left"/>
            </w:pPr>
            <w:r>
              <w:rPr>
                <w:rFonts w:ascii="仿宋_GB2312" w:hAnsi="仿宋_GB2312" w:cs="仿宋_GB2312" w:eastAsia="仿宋_GB2312"/>
              </w:rPr>
              <w:t>采购文件中规定的无效响应条款</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采购包1：最低评标价法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采购包1：最低评标价法</w:t>
      </w:r>
    </w:p>
    <w:p>
      <w:pPr>
        <w:pStyle w:val="null3"/>
        <w:jc w:val="both"/>
      </w:pPr>
      <w:r>
        <w:rPr>
          <w:rFonts w:ascii="仿宋_GB2312" w:hAnsi="仿宋_GB2312" w:cs="仿宋_GB2312" w:eastAsia="仿宋_GB2312"/>
        </w:rPr>
        <w:t>投标文件满足招标文件全部实质性要求，且投标报价最低的投标人为中标候选人。</w:t>
      </w:r>
    </w:p>
    <w:p>
      <w:pPr>
        <w:pStyle w:val="null3"/>
        <w:jc w:val="both"/>
      </w:pPr>
      <w:r>
        <w:rPr>
          <w:rFonts w:ascii="仿宋_GB2312" w:hAnsi="仿宋_GB2312" w:cs="仿宋_GB2312" w:eastAsia="仿宋_GB2312"/>
        </w:rPr>
        <w:t>价格扣除的规则如下：</w:t>
      </w:r>
    </w:p>
    <w:p>
      <w:pPr>
        <w:pStyle w:val="null3"/>
        <w:jc w:val="both"/>
      </w:pPr>
      <w:r>
        <w:rPr>
          <w:rFonts w:ascii="仿宋_GB2312" w:hAnsi="仿宋_GB2312" w:cs="仿宋_GB2312" w:eastAsia="仿宋_GB2312"/>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both"/>
            </w:pPr>
            <w:r>
              <w:rPr>
                <w:rFonts w:ascii="仿宋_GB2312" w:hAnsi="仿宋_GB2312" w:cs="仿宋_GB2312" w:eastAsia="仿宋_GB2312"/>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a.按照评标价（即价格扣除后的投标报价）由低到高顺序排列。</w:t>
      </w:r>
    </w:p>
    <w:p>
      <w:pPr>
        <w:pStyle w:val="null3"/>
        <w:jc w:val="both"/>
      </w:pPr>
      <w:r>
        <w:rPr>
          <w:rFonts w:ascii="仿宋_GB2312" w:hAnsi="仿宋_GB2312" w:cs="仿宋_GB2312" w:eastAsia="仿宋_GB2312"/>
        </w:rPr>
        <w:t>b.评标价相同的并列。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1、质疑函要求 供应商提出质疑应当提交质疑函和必要的证明材料。质疑函应当包括下列内容： (一)供应商的姓名或者名称名 称、地址、邮编、联系人及联系电话; (二)质疑项目的名称名 称、编号; (三)具体、明确的质疑事项和与质疑事项相关的请求; (四)事实依据; (五)必要的法律依据; (六)提出质疑的日期。 供应商为自然人的，应当由本人签字;供应商为法人或者其他组织的，应当由法定代表人、主要负责人，或者其授权代表签字或者盖章，并加盖公章。接收质疑：黄经理，负责接收质疑，电话0592-2298125，传真0592-5706660-6969，邮箱hcq@iport.com.cn，通讯地址：厦门市湖里区机场北路476号4楼。质疑函应采用下列方式之一提交：（1）邮件形式：将质疑函原件扫描发送至邮箱：邮箱hcq@iport.com.cn收到质疑函的时间以邮箱显示的收到时间为准。质疑答复过程中需要核对原件的，质疑人应提供原件核查，否则相关资料可能不被认可。（2）快递形式：将质疑函原件快递至厦门市湖里区机场北路476号4楼，收件人：电话0592-2298125，传真0592-5706660-6969。收到质疑函的时间以快递签收时间为准。（3）现场送达：将质疑函原件现场送至厦门市湖里区机场北路476号4楼经办人手中。收到质疑函的时间以前台签收时间为准。 注：提交质疑函须附上系统下载文件登记截图，质疑函须符合第三章第15条质疑的要求。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1.1 本项目为集美大学图书馆ScienceDirect数据库租用服务。</w:t>
      </w:r>
    </w:p>
    <w:p>
      <w:pPr>
        <w:pStyle w:val="null3"/>
        <w:ind w:firstLine="480"/>
        <w:jc w:val="both"/>
      </w:pPr>
      <w:r>
        <w:rPr>
          <w:rFonts w:ascii="仿宋_GB2312" w:hAnsi="仿宋_GB2312" w:cs="仿宋_GB2312" w:eastAsia="仿宋_GB2312"/>
          <w:sz w:val="24"/>
        </w:rPr>
        <w:t>1.2 采购项目一览表：</w:t>
      </w:r>
    </w:p>
    <w:tbl>
      <w:tblPr>
        <w:tblW w:w="0" w:type="auto"/>
        <w:tblInd w:type="dxa" w:w="180"/>
        <w:tblBorders>
          <w:top w:val="none" w:color="000000" w:sz="4"/>
          <w:left w:val="none" w:color="000000" w:sz="4"/>
          <w:bottom w:val="none" w:color="000000" w:sz="4"/>
          <w:right w:val="none" w:color="000000" w:sz="4"/>
          <w:insideH w:val="none"/>
          <w:insideV w:val="none"/>
        </w:tblBorders>
      </w:tblPr>
      <w:tblGrid>
        <w:gridCol w:w="789"/>
        <w:gridCol w:w="987"/>
        <w:gridCol w:w="1875"/>
        <w:gridCol w:w="973"/>
        <w:gridCol w:w="1212"/>
        <w:gridCol w:w="2439"/>
      </w:tblGrid>
      <w:tr>
        <w:tc>
          <w:tcPr>
            <w:tcW w:type="dxa" w:w="78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rPr>
              <w:t>采购包</w:t>
            </w:r>
          </w:p>
        </w:tc>
        <w:tc>
          <w:tcPr>
            <w:tcW w:type="dxa" w:w="98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rPr>
              <w:t>采购类别</w:t>
            </w:r>
          </w:p>
        </w:tc>
        <w:tc>
          <w:tcPr>
            <w:tcW w:type="dxa" w:w="187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rPr>
              <w:t>采购标的名称</w:t>
            </w:r>
          </w:p>
        </w:tc>
        <w:tc>
          <w:tcPr>
            <w:tcW w:type="dxa" w:w="97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rPr>
              <w:t>单位</w:t>
            </w:r>
          </w:p>
        </w:tc>
        <w:tc>
          <w:tcPr>
            <w:tcW w:type="dxa" w:w="121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rPr>
              <w:t>数量</w:t>
            </w:r>
          </w:p>
        </w:tc>
        <w:tc>
          <w:tcPr>
            <w:tcW w:type="dxa" w:w="243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rPr>
              <w:t>采购标的对应中小企业划分标准所属行业</w:t>
            </w:r>
          </w:p>
        </w:tc>
      </w:tr>
      <w:tr>
        <w:tc>
          <w:tcPr>
            <w:tcW w:type="dxa" w:w="7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480"/>
              <w:jc w:val="both"/>
            </w:pPr>
            <w:r>
              <w:rPr>
                <w:rFonts w:ascii="仿宋_GB2312" w:hAnsi="仿宋_GB2312" w:cs="仿宋_GB2312" w:eastAsia="仿宋_GB2312"/>
                <w:sz w:val="24"/>
              </w:rPr>
              <w:t>1</w:t>
            </w:r>
          </w:p>
        </w:tc>
        <w:tc>
          <w:tcPr>
            <w:tcW w:type="dxa" w:w="9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both"/>
            </w:pPr>
            <w:r>
              <w:rPr>
                <w:rFonts w:ascii="仿宋_GB2312" w:hAnsi="仿宋_GB2312" w:cs="仿宋_GB2312" w:eastAsia="仿宋_GB2312"/>
                <w:sz w:val="24"/>
              </w:rPr>
              <w:t>服务类</w:t>
            </w:r>
          </w:p>
        </w:tc>
        <w:tc>
          <w:tcPr>
            <w:tcW w:type="dxa" w:w="18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both"/>
            </w:pPr>
            <w:r>
              <w:rPr>
                <w:rFonts w:ascii="仿宋_GB2312" w:hAnsi="仿宋_GB2312" w:cs="仿宋_GB2312" w:eastAsia="仿宋_GB2312"/>
                <w:sz w:val="24"/>
              </w:rPr>
              <w:t>ScienceDirect数据库租用服务</w:t>
            </w:r>
          </w:p>
        </w:tc>
        <w:tc>
          <w:tcPr>
            <w:tcW w:type="dxa" w:w="9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80"/>
              <w:jc w:val="both"/>
            </w:pPr>
            <w:r>
              <w:rPr>
                <w:rFonts w:ascii="仿宋_GB2312" w:hAnsi="仿宋_GB2312" w:cs="仿宋_GB2312" w:eastAsia="仿宋_GB2312"/>
                <w:sz w:val="24"/>
              </w:rPr>
              <w:t>项</w:t>
            </w:r>
          </w:p>
        </w:tc>
        <w:tc>
          <w:tcPr>
            <w:tcW w:type="dxa" w:w="1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80"/>
              <w:jc w:val="both"/>
            </w:pPr>
            <w:r>
              <w:rPr>
                <w:rFonts w:ascii="仿宋_GB2312" w:hAnsi="仿宋_GB2312" w:cs="仿宋_GB2312" w:eastAsia="仿宋_GB2312"/>
                <w:sz w:val="24"/>
              </w:rPr>
              <w:t>1</w:t>
            </w:r>
          </w:p>
        </w:tc>
        <w:tc>
          <w:tcPr>
            <w:tcW w:type="dxa" w:w="24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both"/>
            </w:pPr>
            <w:r>
              <w:rPr>
                <w:rFonts w:ascii="仿宋_GB2312" w:hAnsi="仿宋_GB2312" w:cs="仿宋_GB2312" w:eastAsia="仿宋_GB2312"/>
                <w:sz w:val="24"/>
              </w:rPr>
              <w:t>软件和信息技术服务业</w:t>
            </w:r>
          </w:p>
        </w:tc>
      </w:tr>
    </w:tbl>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技术要求</w:t>
      </w:r>
    </w:p>
    <w:p>
      <w:pPr>
        <w:pStyle w:val="null3"/>
        <w:ind w:firstLine="480"/>
        <w:jc w:val="both"/>
      </w:pPr>
      <w:r>
        <w:rPr>
          <w:rFonts w:ascii="仿宋_GB2312" w:hAnsi="仿宋_GB2312" w:cs="仿宋_GB2312" w:eastAsia="仿宋_GB2312"/>
          <w:sz w:val="24"/>
          <w:b/>
        </w:rPr>
        <w:t>ScienceDirect数据库（简称SD，曾用名Elsevier Science）是荷兰爱思唯尔（Elsevier）集团生产的科学文献全文数据库。爱思唯尔秉承严格的出版标准，遵循国际同行评议制度，提供全球顶尖的学术研究文章。此次订购该库的8个期刊专题，包括：1.Agricultural Biological Science、2.Biochemistry, Genetics and Molecular Biology、3.Energy、4. Engineering、5.Environmental Science、6.Mathematics Core、7.Immunology and Microbiology、8.Computer Science。</w:t>
      </w:r>
    </w:p>
    <w:p>
      <w:pPr>
        <w:pStyle w:val="null3"/>
        <w:ind w:firstLine="480"/>
        <w:jc w:val="both"/>
      </w:pPr>
      <w:r>
        <w:rPr>
          <w:rFonts w:ascii="仿宋_GB2312" w:hAnsi="仿宋_GB2312" w:cs="仿宋_GB2312" w:eastAsia="仿宋_GB2312"/>
          <w:sz w:val="24"/>
          <w:b/>
        </w:rPr>
        <w:t>ScienceDirect平台为用户提供便捷的科研体验：</w:t>
      </w:r>
    </w:p>
    <w:p>
      <w:pPr>
        <w:pStyle w:val="null3"/>
        <w:numPr>
          <w:ilvl w:val="0"/>
          <w:numId w:val="1"/>
        </w:numPr>
        <w:ind w:left="180"/>
        <w:jc w:val="both"/>
      </w:pPr>
      <w:r>
        <w:rPr>
          <w:rFonts w:ascii="仿宋_GB2312" w:hAnsi="仿宋_GB2312" w:cs="仿宋_GB2312" w:eastAsia="仿宋_GB2312"/>
          <w:sz w:val="24"/>
          <w:b/>
        </w:rPr>
        <w:t>网页采用响应式设计，实现在电脑、平板、手机等多种设备随时查阅资源；</w:t>
      </w:r>
    </w:p>
    <w:p>
      <w:pPr>
        <w:pStyle w:val="null3"/>
        <w:numPr>
          <w:ilvl w:val="0"/>
          <w:numId w:val="1"/>
        </w:numPr>
        <w:ind w:left="180"/>
        <w:jc w:val="both"/>
      </w:pPr>
      <w:r>
        <w:rPr>
          <w:rFonts w:ascii="仿宋_GB2312" w:hAnsi="仿宋_GB2312" w:cs="仿宋_GB2312" w:eastAsia="仿宋_GB2312"/>
          <w:sz w:val="24"/>
          <w:b/>
        </w:rPr>
        <w:t>无</w:t>
      </w:r>
      <w:r>
        <w:rPr>
          <w:rFonts w:ascii="仿宋_GB2312" w:hAnsi="仿宋_GB2312" w:cs="仿宋_GB2312" w:eastAsia="仿宋_GB2312"/>
          <w:sz w:val="24"/>
          <w:b/>
        </w:rPr>
        <w:t>DRM限制，可下载、存储、打印或与同事共享多份文件；</w:t>
      </w:r>
    </w:p>
    <w:p>
      <w:pPr>
        <w:pStyle w:val="null3"/>
        <w:ind w:left="420"/>
        <w:jc w:val="both"/>
      </w:pPr>
      <w:r>
        <w:rPr>
          <w:rFonts w:ascii="仿宋_GB2312" w:hAnsi="仿宋_GB2312" w:cs="仿宋_GB2312" w:eastAsia="仿宋_GB2312"/>
          <w:sz w:val="24"/>
          <w:b/>
        </w:rPr>
        <w:t>3. 提供Topics Page专业术语的解释词条，促进跨学科领域研究与交流；</w:t>
      </w:r>
    </w:p>
    <w:p>
      <w:pPr>
        <w:pStyle w:val="null3"/>
        <w:ind w:left="420"/>
        <w:jc w:val="both"/>
      </w:pPr>
      <w:r>
        <w:rPr>
          <w:rFonts w:ascii="仿宋_GB2312" w:hAnsi="仿宋_GB2312" w:cs="仿宋_GB2312" w:eastAsia="仿宋_GB2312"/>
          <w:sz w:val="24"/>
          <w:b/>
        </w:rPr>
        <w:t>4. 支持远程访问，用户可以通过学校域名邮箱在线注册激活；</w:t>
      </w:r>
    </w:p>
    <w:p>
      <w:pPr>
        <w:pStyle w:val="null3"/>
        <w:ind w:left="420"/>
        <w:jc w:val="both"/>
      </w:pPr>
      <w:r>
        <w:rPr>
          <w:rFonts w:ascii="仿宋_GB2312" w:hAnsi="仿宋_GB2312" w:cs="仿宋_GB2312" w:eastAsia="仿宋_GB2312"/>
          <w:sz w:val="24"/>
          <w:b/>
        </w:rPr>
        <w:t>ScienceDirect平台提供多种检索方式，帮助科研工作者轻松地发现所需内容</w:t>
      </w:r>
    </w:p>
    <w:p>
      <w:pPr>
        <w:pStyle w:val="null3"/>
        <w:numPr>
          <w:ilvl w:val="0"/>
          <w:numId w:val="1"/>
        </w:numPr>
        <w:ind w:left="180"/>
        <w:jc w:val="both"/>
      </w:pPr>
      <w:r>
        <w:rPr>
          <w:rFonts w:ascii="仿宋_GB2312" w:hAnsi="仿宋_GB2312" w:cs="仿宋_GB2312" w:eastAsia="仿宋_GB2312"/>
          <w:sz w:val="24"/>
          <w:b/>
        </w:rPr>
        <w:t>快速检索（</w:t>
      </w:r>
      <w:r>
        <w:rPr>
          <w:rFonts w:ascii="仿宋_GB2312" w:hAnsi="仿宋_GB2312" w:cs="仿宋_GB2312" w:eastAsia="仿宋_GB2312"/>
          <w:sz w:val="24"/>
          <w:b/>
        </w:rPr>
        <w:t>Quick Search）可以按期刊的题名、卷期和页码等进行检索；</w:t>
      </w:r>
    </w:p>
    <w:p>
      <w:pPr>
        <w:pStyle w:val="null3"/>
        <w:numPr>
          <w:ilvl w:val="0"/>
          <w:numId w:val="1"/>
        </w:numPr>
        <w:ind w:left="180"/>
        <w:jc w:val="both"/>
      </w:pPr>
      <w:r>
        <w:rPr>
          <w:rFonts w:ascii="仿宋_GB2312" w:hAnsi="仿宋_GB2312" w:cs="仿宋_GB2312" w:eastAsia="仿宋_GB2312"/>
          <w:sz w:val="24"/>
          <w:b/>
        </w:rPr>
        <w:t>高级检索（</w:t>
      </w:r>
      <w:r>
        <w:rPr>
          <w:rFonts w:ascii="仿宋_GB2312" w:hAnsi="仿宋_GB2312" w:cs="仿宋_GB2312" w:eastAsia="仿宋_GB2312"/>
          <w:sz w:val="24"/>
          <w:b/>
        </w:rPr>
        <w:t>Advanced Search）可以限定出版年度、作者名称、作者单位、参考文献、ISSN、ISBN和全文范围等条件检索；</w:t>
      </w:r>
    </w:p>
    <w:p>
      <w:pPr>
        <w:pStyle w:val="null3"/>
        <w:numPr>
          <w:ilvl w:val="0"/>
          <w:numId w:val="1"/>
        </w:numPr>
        <w:ind w:left="180"/>
        <w:jc w:val="both"/>
      </w:pPr>
      <w:r>
        <w:rPr>
          <w:rFonts w:ascii="仿宋_GB2312" w:hAnsi="仿宋_GB2312" w:cs="仿宋_GB2312" w:eastAsia="仿宋_GB2312"/>
          <w:sz w:val="24"/>
          <w:b/>
        </w:rPr>
        <w:t>支持逻辑运算（</w:t>
      </w:r>
      <w:r>
        <w:rPr>
          <w:rFonts w:ascii="仿宋_GB2312" w:hAnsi="仿宋_GB2312" w:cs="仿宋_GB2312" w:eastAsia="仿宋_GB2312"/>
          <w:sz w:val="24"/>
          <w:b/>
        </w:rPr>
        <w:t>AND\OR\NOT）进行复杂检索；</w:t>
      </w:r>
    </w:p>
    <w:p>
      <w:pPr>
        <w:pStyle w:val="null3"/>
        <w:numPr>
          <w:ilvl w:val="0"/>
          <w:numId w:val="1"/>
        </w:numPr>
        <w:ind w:left="180"/>
        <w:jc w:val="both"/>
      </w:pPr>
      <w:r>
        <w:rPr>
          <w:rFonts w:ascii="仿宋_GB2312" w:hAnsi="仿宋_GB2312" w:cs="仿宋_GB2312" w:eastAsia="仿宋_GB2312"/>
          <w:sz w:val="24"/>
          <w:b/>
        </w:rPr>
        <w:t>定制检索提醒，可以免费注册个人账号，定制期刊</w:t>
      </w:r>
      <w:r>
        <w:rPr>
          <w:rFonts w:ascii="仿宋_GB2312" w:hAnsi="仿宋_GB2312" w:cs="仿宋_GB2312" w:eastAsia="仿宋_GB2312"/>
          <w:sz w:val="24"/>
          <w:b/>
        </w:rPr>
        <w:t>/图书/自定义检索推送；</w:t>
      </w:r>
    </w:p>
    <w:p>
      <w:pPr>
        <w:pStyle w:val="null3"/>
        <w:ind w:left="780"/>
        <w:jc w:val="both"/>
      </w:pPr>
      <w:r>
        <w:rPr>
          <w:rFonts w:ascii="仿宋_GB2312" w:hAnsi="仿宋_GB2312" w:cs="仿宋_GB2312" w:eastAsia="仿宋_GB2312"/>
          <w:sz w:val="24"/>
          <w:b/>
        </w:rPr>
        <w:t>ScienceDirect提供2700余种期刊的官方首页，方便科研工作者选刊投稿：</w:t>
      </w:r>
    </w:p>
    <w:p>
      <w:pPr>
        <w:pStyle w:val="null3"/>
        <w:ind w:firstLine="480"/>
        <w:jc w:val="both"/>
      </w:pPr>
      <w:r>
        <w:rPr>
          <w:rFonts w:ascii="仿宋_GB2312" w:hAnsi="仿宋_GB2312" w:cs="仿宋_GB2312" w:eastAsia="仿宋_GB2312"/>
          <w:sz w:val="24"/>
          <w:b/>
        </w:rPr>
        <w:t>• 提供每本期刊的介绍、编委信息、稿件主题/类型、收录指标等信息，支持关注</w:t>
      </w:r>
    </w:p>
    <w:p>
      <w:pPr>
        <w:pStyle w:val="null3"/>
        <w:ind w:firstLine="480"/>
        <w:jc w:val="both"/>
      </w:pPr>
      <w:r>
        <w:rPr>
          <w:rFonts w:ascii="仿宋_GB2312" w:hAnsi="仿宋_GB2312" w:cs="仿宋_GB2312" w:eastAsia="仿宋_GB2312"/>
          <w:sz w:val="24"/>
          <w:b/>
        </w:rPr>
        <w:t>• 提供每本期刊的投稿指南Guide for Author，为手稿撰写提供明确参考</w:t>
      </w:r>
    </w:p>
    <w:p>
      <w:pPr>
        <w:pStyle w:val="null3"/>
        <w:ind w:firstLine="480"/>
        <w:jc w:val="both"/>
      </w:pPr>
      <w:r>
        <w:rPr>
          <w:rFonts w:ascii="仿宋_GB2312" w:hAnsi="仿宋_GB2312" w:cs="仿宋_GB2312" w:eastAsia="仿宋_GB2312"/>
          <w:sz w:val="24"/>
          <w:b/>
        </w:rPr>
        <w:t>• 提供每本期刊的投稿系统链接，方便追踪稿件进展状态</w:t>
      </w:r>
    </w:p>
    <w:p>
      <w:pPr>
        <w:pStyle w:val="null3"/>
        <w:ind w:firstLine="480"/>
        <w:jc w:val="both"/>
      </w:pPr>
      <w:r>
        <w:rPr>
          <w:rFonts w:ascii="仿宋_GB2312" w:hAnsi="仿宋_GB2312" w:cs="仿宋_GB2312" w:eastAsia="仿宋_GB2312"/>
          <w:sz w:val="24"/>
          <w:b/>
        </w:rPr>
        <w:t>平台内容每天更新。提供</w:t>
      </w:r>
      <w:r>
        <w:rPr>
          <w:rFonts w:ascii="仿宋_GB2312" w:hAnsi="仿宋_GB2312" w:cs="仿宋_GB2312" w:eastAsia="仿宋_GB2312"/>
          <w:sz w:val="24"/>
          <w:b/>
        </w:rPr>
        <w:t>CERNET专线访问，不需要支付国际流量费，通过IP地址控制，无并发用户限制。提供校外远程访问：联盟访问（基于校园身份验证）、机构域名邮箱。</w:t>
      </w:r>
    </w:p>
    <w:p>
      <w:pPr>
        <w:pStyle w:val="null3"/>
        <w:ind w:firstLine="480"/>
        <w:jc w:val="both"/>
      </w:pPr>
      <w:r>
        <w:rPr>
          <w:rFonts w:ascii="仿宋_GB2312" w:hAnsi="仿宋_GB2312" w:cs="仿宋_GB2312" w:eastAsia="仿宋_GB2312"/>
          <w:sz w:val="24"/>
          <w:b/>
        </w:rPr>
        <w:t>提供使用统计查询帐号，下载符合</w:t>
      </w:r>
      <w:r>
        <w:rPr>
          <w:rFonts w:ascii="仿宋_GB2312" w:hAnsi="仿宋_GB2312" w:cs="仿宋_GB2312" w:eastAsia="仿宋_GB2312"/>
          <w:sz w:val="24"/>
          <w:b/>
        </w:rPr>
        <w:t>COUNTER 标准的使用统计报告。</w:t>
      </w:r>
    </w:p>
    <w:p>
      <w:pPr>
        <w:pStyle w:val="null3"/>
        <w:ind w:firstLine="480"/>
        <w:jc w:val="both"/>
      </w:pPr>
      <w:r>
        <w:rPr>
          <w:rFonts w:ascii="仿宋_GB2312" w:hAnsi="仿宋_GB2312" w:cs="仿宋_GB2312" w:eastAsia="仿宋_GB2312"/>
          <w:sz w:val="24"/>
          <w:b/>
        </w:rPr>
        <w:t>服务期限为一年。</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）投标要求</w:t>
      </w:r>
    </w:p>
    <w:p>
      <w:pPr>
        <w:pStyle w:val="null3"/>
        <w:ind w:firstLine="480"/>
        <w:jc w:val="left"/>
      </w:pPr>
      <w:r>
        <w:rPr>
          <w:rFonts w:ascii="仿宋_GB2312" w:hAnsi="仿宋_GB2312" w:cs="仿宋_GB2312" w:eastAsia="仿宋_GB2312"/>
          <w:sz w:val="24"/>
          <w:b/>
        </w:rPr>
        <w:t>2</w:t>
      </w:r>
      <w:r>
        <w:rPr>
          <w:rFonts w:ascii="仿宋_GB2312" w:hAnsi="仿宋_GB2312" w:cs="仿宋_GB2312" w:eastAsia="仿宋_GB2312"/>
          <w:sz w:val="24"/>
          <w:b/>
        </w:rPr>
        <w:t>.1 投标人所提供的数字资源产品内容、执行标准及技术规范必须符合国家相关标准或规范要求，来源渠道正规；保证所提供的引进数据库根据国家新闻出版总署等相关部门规定执行了进口报批。</w:t>
      </w:r>
    </w:p>
    <w:p>
      <w:pPr>
        <w:pStyle w:val="null3"/>
        <w:ind w:firstLine="480"/>
        <w:jc w:val="left"/>
      </w:pPr>
      <w:r>
        <w:rPr>
          <w:rFonts w:ascii="仿宋_GB2312" w:hAnsi="仿宋_GB2312" w:cs="仿宋_GB2312" w:eastAsia="仿宋_GB2312"/>
          <w:sz w:val="24"/>
          <w:b/>
        </w:rPr>
        <w:t>2</w:t>
      </w:r>
      <w:r>
        <w:rPr>
          <w:rFonts w:ascii="仿宋_GB2312" w:hAnsi="仿宋_GB2312" w:cs="仿宋_GB2312" w:eastAsia="仿宋_GB2312"/>
          <w:sz w:val="24"/>
          <w:b/>
        </w:rPr>
        <w:t>.2 合作期间，投标人必须负责数据库内容的动态审读，及时处理不适当资源，确保数据库内容的意识形态和文化安全；</w:t>
      </w:r>
      <w:r>
        <w:rPr>
          <w:rFonts w:ascii="仿宋_GB2312" w:hAnsi="仿宋_GB2312" w:cs="仿宋_GB2312" w:eastAsia="仿宋_GB2312"/>
          <w:sz w:val="24"/>
          <w:b/>
        </w:rPr>
        <w:t>保证所供应数据库的合法性，合法解决版权。</w:t>
      </w:r>
    </w:p>
    <w:p>
      <w:pPr>
        <w:pStyle w:val="null3"/>
        <w:ind w:firstLine="480"/>
        <w:jc w:val="left"/>
      </w:pPr>
      <w:r>
        <w:rPr>
          <w:rFonts w:ascii="仿宋_GB2312" w:hAnsi="仿宋_GB2312" w:cs="仿宋_GB2312" w:eastAsia="仿宋_GB2312"/>
          <w:sz w:val="24"/>
          <w:b/>
        </w:rPr>
        <w:t>2</w:t>
      </w:r>
      <w:r>
        <w:rPr>
          <w:rFonts w:ascii="仿宋_GB2312" w:hAnsi="仿宋_GB2312" w:cs="仿宋_GB2312" w:eastAsia="仿宋_GB2312"/>
          <w:sz w:val="24"/>
          <w:b/>
        </w:rPr>
        <w:t>.3 投标人需为采购人提供技术支持和售后服务，以确保采购人正常平稳地使用数字资源产品。在合同期限内如遇到产品平台升级，中标后应当为采购人提供免费升级更新服务，确保采购人对产品的正常使用。</w:t>
      </w:r>
    </w:p>
    <w:p>
      <w:pPr>
        <w:pStyle w:val="null3"/>
        <w:ind w:firstLine="480"/>
        <w:jc w:val="left"/>
      </w:pPr>
      <w:r>
        <w:rPr>
          <w:rFonts w:ascii="仿宋_GB2312" w:hAnsi="仿宋_GB2312" w:cs="仿宋_GB2312" w:eastAsia="仿宋_GB2312"/>
          <w:sz w:val="24"/>
          <w:b/>
        </w:rPr>
        <w:t>2</w:t>
      </w:r>
      <w:r>
        <w:rPr>
          <w:rFonts w:ascii="仿宋_GB2312" w:hAnsi="仿宋_GB2312" w:cs="仿宋_GB2312" w:eastAsia="仿宋_GB2312"/>
          <w:sz w:val="24"/>
          <w:b/>
        </w:rPr>
        <w:t>.4 在合同期内，如学校的IP地址发生变化，</w:t>
      </w:r>
      <w:r>
        <w:rPr>
          <w:rFonts w:ascii="仿宋_GB2312" w:hAnsi="仿宋_GB2312" w:cs="仿宋_GB2312" w:eastAsia="仿宋_GB2312"/>
          <w:sz w:val="24"/>
          <w:b/>
        </w:rPr>
        <w:t>中标供应商</w:t>
      </w:r>
      <w:r>
        <w:rPr>
          <w:rFonts w:ascii="仿宋_GB2312" w:hAnsi="仿宋_GB2312" w:cs="仿宋_GB2312" w:eastAsia="仿宋_GB2312"/>
          <w:sz w:val="24"/>
          <w:b/>
        </w:rPr>
        <w:t>应在收到采购人更改</w:t>
      </w:r>
      <w:r>
        <w:rPr>
          <w:rFonts w:ascii="仿宋_GB2312" w:hAnsi="仿宋_GB2312" w:cs="仿宋_GB2312" w:eastAsia="仿宋_GB2312"/>
          <w:sz w:val="24"/>
          <w:b/>
        </w:rPr>
        <w:t>IP地址的请求后立即做出响应，并在5个工作日内完成IP段的更改（不可抗力因素除外）。</w:t>
      </w:r>
    </w:p>
    <w:p>
      <w:pPr>
        <w:pStyle w:val="null3"/>
        <w:ind w:firstLine="480"/>
        <w:jc w:val="left"/>
      </w:pPr>
      <w:r>
        <w:rPr>
          <w:rFonts w:ascii="仿宋_GB2312" w:hAnsi="仿宋_GB2312" w:cs="仿宋_GB2312" w:eastAsia="仿宋_GB2312"/>
          <w:sz w:val="24"/>
          <w:b/>
        </w:rPr>
        <w:t>2</w:t>
      </w:r>
      <w:r>
        <w:rPr>
          <w:rFonts w:ascii="仿宋_GB2312" w:hAnsi="仿宋_GB2312" w:cs="仿宋_GB2312" w:eastAsia="仿宋_GB2312"/>
          <w:sz w:val="24"/>
          <w:b/>
        </w:rPr>
        <w:t>.5 投标人须承诺保证采购人的合法用户（持证读者、注册用户等）可通过采购人所有的软件平台（包括现有平台及未来部署的平台）访问所提供的数字资源产品。</w:t>
      </w:r>
    </w:p>
    <w:p>
      <w:pPr>
        <w:pStyle w:val="null3"/>
        <w:ind w:firstLine="480"/>
        <w:jc w:val="left"/>
      </w:pPr>
      <w:r>
        <w:rPr>
          <w:rFonts w:ascii="仿宋_GB2312" w:hAnsi="仿宋_GB2312" w:cs="仿宋_GB2312" w:eastAsia="仿宋_GB2312"/>
          <w:sz w:val="24"/>
          <w:b/>
        </w:rPr>
        <w:t>2</w:t>
      </w:r>
      <w:r>
        <w:rPr>
          <w:rFonts w:ascii="仿宋_GB2312" w:hAnsi="仿宋_GB2312" w:cs="仿宋_GB2312" w:eastAsia="仿宋_GB2312"/>
          <w:sz w:val="24"/>
          <w:b/>
        </w:rPr>
        <w:t>.6 投标人须承诺所提供的数据库资源不包含任何泄露国家秘密、危害国家安全及国家禁止的反动、色情、迷信以及任何具有攻击性等各类非法信息。</w:t>
      </w:r>
    </w:p>
    <w:p>
      <w:pPr>
        <w:pStyle w:val="null3"/>
        <w:ind w:firstLine="480"/>
        <w:jc w:val="left"/>
      </w:pPr>
      <w:r>
        <w:rPr>
          <w:rFonts w:ascii="仿宋_GB2312" w:hAnsi="仿宋_GB2312" w:cs="仿宋_GB2312" w:eastAsia="仿宋_GB2312"/>
          <w:sz w:val="24"/>
          <w:b/>
        </w:rPr>
        <w:t>2</w:t>
      </w:r>
      <w:r>
        <w:rPr>
          <w:rFonts w:ascii="仿宋_GB2312" w:hAnsi="仿宋_GB2312" w:cs="仿宋_GB2312" w:eastAsia="仿宋_GB2312"/>
          <w:sz w:val="24"/>
          <w:b/>
        </w:rPr>
        <w:t>.7 投标人负责向采购人提供电话、电子邮件等方式的免费支持服务，在合同期内若出现访问故障，</w:t>
      </w:r>
      <w:r>
        <w:rPr>
          <w:rFonts w:ascii="仿宋_GB2312" w:hAnsi="仿宋_GB2312" w:cs="仿宋_GB2312" w:eastAsia="仿宋_GB2312"/>
          <w:sz w:val="24"/>
          <w:b/>
        </w:rPr>
        <w:t>中标供应商</w:t>
      </w:r>
      <w:r>
        <w:rPr>
          <w:rFonts w:ascii="仿宋_GB2312" w:hAnsi="仿宋_GB2312" w:cs="仿宋_GB2312" w:eastAsia="仿宋_GB2312"/>
          <w:sz w:val="24"/>
          <w:b/>
        </w:rPr>
        <w:t>应实时响应；若远程支持无法解决，必须派人现场解决的问题，</w:t>
      </w:r>
      <w:r>
        <w:rPr>
          <w:rFonts w:ascii="仿宋_GB2312" w:hAnsi="仿宋_GB2312" w:cs="仿宋_GB2312" w:eastAsia="仿宋_GB2312"/>
          <w:sz w:val="24"/>
          <w:b/>
        </w:rPr>
        <w:t>中标供应商</w:t>
      </w:r>
      <w:r>
        <w:rPr>
          <w:rFonts w:ascii="仿宋_GB2312" w:hAnsi="仿宋_GB2312" w:cs="仿宋_GB2312" w:eastAsia="仿宋_GB2312"/>
          <w:sz w:val="24"/>
          <w:b/>
        </w:rPr>
        <w:t>应在收到现场服务通知后，</w:t>
      </w:r>
      <w:r>
        <w:rPr>
          <w:rFonts w:ascii="仿宋_GB2312" w:hAnsi="仿宋_GB2312" w:cs="仿宋_GB2312" w:eastAsia="仿宋_GB2312"/>
          <w:sz w:val="24"/>
          <w:b/>
        </w:rPr>
        <w:t>10小时内到达现场，24小时内解决故障。</w:t>
      </w:r>
    </w:p>
    <w:p>
      <w:pPr>
        <w:pStyle w:val="null3"/>
        <w:ind w:firstLine="480"/>
        <w:jc w:val="left"/>
      </w:pPr>
      <w:r>
        <w:rPr>
          <w:rFonts w:ascii="仿宋_GB2312" w:hAnsi="仿宋_GB2312" w:cs="仿宋_GB2312" w:eastAsia="仿宋_GB2312"/>
          <w:sz w:val="24"/>
          <w:b/>
        </w:rPr>
        <w:t>2</w:t>
      </w:r>
      <w:r>
        <w:rPr>
          <w:rFonts w:ascii="仿宋_GB2312" w:hAnsi="仿宋_GB2312" w:cs="仿宋_GB2312" w:eastAsia="仿宋_GB2312"/>
          <w:sz w:val="24"/>
          <w:b/>
        </w:rPr>
        <w:t>.8 投标人须根据采购人需求，提供客观公正的各类统计数据。</w:t>
      </w:r>
    </w:p>
    <w:p>
      <w:pPr>
        <w:pStyle w:val="null3"/>
        <w:ind w:firstLine="480"/>
        <w:jc w:val="left"/>
      </w:pPr>
      <w:r>
        <w:rPr>
          <w:rFonts w:ascii="仿宋_GB2312" w:hAnsi="仿宋_GB2312" w:cs="仿宋_GB2312" w:eastAsia="仿宋_GB2312"/>
          <w:sz w:val="24"/>
          <w:b/>
        </w:rPr>
        <w:t>2</w:t>
      </w:r>
      <w:r>
        <w:rPr>
          <w:rFonts w:ascii="仿宋_GB2312" w:hAnsi="仿宋_GB2312" w:cs="仿宋_GB2312" w:eastAsia="仿宋_GB2312"/>
          <w:sz w:val="24"/>
          <w:b/>
        </w:rPr>
        <w:t>.9 本项目不允许</w:t>
      </w:r>
      <w:r>
        <w:rPr>
          <w:rFonts w:ascii="仿宋_GB2312" w:hAnsi="仿宋_GB2312" w:cs="仿宋_GB2312" w:eastAsia="仿宋_GB2312"/>
          <w:sz w:val="24"/>
          <w:b/>
        </w:rPr>
        <w:t>中标供应商</w:t>
      </w:r>
      <w:r>
        <w:rPr>
          <w:rFonts w:ascii="仿宋_GB2312" w:hAnsi="仿宋_GB2312" w:cs="仿宋_GB2312" w:eastAsia="仿宋_GB2312"/>
          <w:sz w:val="24"/>
          <w:b/>
        </w:rPr>
        <w:t>以任何名义和理由进行转包，如有发现，采购人有权单方终止合同，视为</w:t>
      </w:r>
      <w:r>
        <w:rPr>
          <w:rFonts w:ascii="仿宋_GB2312" w:hAnsi="仿宋_GB2312" w:cs="仿宋_GB2312" w:eastAsia="仿宋_GB2312"/>
          <w:sz w:val="24"/>
          <w:b/>
        </w:rPr>
        <w:t>中标供应商</w:t>
      </w:r>
      <w:r>
        <w:rPr>
          <w:rFonts w:ascii="仿宋_GB2312" w:hAnsi="仿宋_GB2312" w:cs="仿宋_GB2312" w:eastAsia="仿宋_GB2312"/>
          <w:sz w:val="24"/>
          <w:b/>
        </w:rPr>
        <w:t>违约。如</w:t>
      </w:r>
      <w:r>
        <w:rPr>
          <w:rFonts w:ascii="仿宋_GB2312" w:hAnsi="仿宋_GB2312" w:cs="仿宋_GB2312" w:eastAsia="仿宋_GB2312"/>
          <w:sz w:val="24"/>
          <w:b/>
        </w:rPr>
        <w:t>中标供应商</w:t>
      </w:r>
      <w:r>
        <w:rPr>
          <w:rFonts w:ascii="仿宋_GB2312" w:hAnsi="仿宋_GB2312" w:cs="仿宋_GB2312" w:eastAsia="仿宋_GB2312"/>
          <w:sz w:val="24"/>
          <w:b/>
        </w:rPr>
        <w:t>违约对采购人造成的损失的，</w:t>
      </w:r>
      <w:r>
        <w:rPr>
          <w:rFonts w:ascii="仿宋_GB2312" w:hAnsi="仿宋_GB2312" w:cs="仿宋_GB2312" w:eastAsia="仿宋_GB2312"/>
          <w:sz w:val="24"/>
          <w:b/>
        </w:rPr>
        <w:t>中标供应商</w:t>
      </w:r>
      <w:r>
        <w:rPr>
          <w:rFonts w:ascii="仿宋_GB2312" w:hAnsi="仿宋_GB2312" w:cs="仿宋_GB2312" w:eastAsia="仿宋_GB2312"/>
          <w:sz w:val="24"/>
          <w:b/>
        </w:rPr>
        <w:t>还需另行支付相应的赔偿。</w:t>
      </w:r>
    </w:p>
    <w:p>
      <w:pPr>
        <w:pStyle w:val="null3"/>
        <w:ind w:firstLine="480"/>
        <w:jc w:val="left"/>
      </w:pPr>
      <w:r>
        <w:rPr>
          <w:rFonts w:ascii="仿宋_GB2312" w:hAnsi="仿宋_GB2312" w:cs="仿宋_GB2312" w:eastAsia="仿宋_GB2312"/>
          <w:sz w:val="24"/>
          <w:b/>
        </w:rPr>
        <w:t>2</w:t>
      </w:r>
      <w:r>
        <w:rPr>
          <w:rFonts w:ascii="仿宋_GB2312" w:hAnsi="仿宋_GB2312" w:cs="仿宋_GB2312" w:eastAsia="仿宋_GB2312"/>
          <w:sz w:val="24"/>
          <w:b/>
        </w:rPr>
        <w:t>.10 投标人应严格依据投标文件所做承诺履行职责，如有违约，采购人有权根据协议合同，采取措施保证本次采购项目的顺利进行，并相应追究违约方的违约责任。</w:t>
      </w:r>
    </w:p>
    <w:p>
      <w:pPr>
        <w:pStyle w:val="null3"/>
        <w:ind w:firstLine="480"/>
        <w:jc w:val="left"/>
      </w:pPr>
      <w:r>
        <w:rPr>
          <w:rFonts w:ascii="仿宋_GB2312" w:hAnsi="仿宋_GB2312" w:cs="仿宋_GB2312" w:eastAsia="仿宋_GB2312"/>
          <w:sz w:val="24"/>
          <w:b/>
        </w:rPr>
        <w:t>2</w:t>
      </w:r>
      <w:r>
        <w:rPr>
          <w:rFonts w:ascii="仿宋_GB2312" w:hAnsi="仿宋_GB2312" w:cs="仿宋_GB2312" w:eastAsia="仿宋_GB2312"/>
          <w:sz w:val="24"/>
          <w:b/>
        </w:rPr>
        <w:t xml:space="preserve">.11 </w:t>
      </w:r>
      <w:r>
        <w:rPr>
          <w:rFonts w:ascii="仿宋_GB2312" w:hAnsi="仿宋_GB2312" w:cs="仿宋_GB2312" w:eastAsia="仿宋_GB2312"/>
          <w:sz w:val="24"/>
          <w:b/>
        </w:rPr>
        <w:t>中标供应商</w:t>
      </w:r>
      <w:r>
        <w:rPr>
          <w:rFonts w:ascii="仿宋_GB2312" w:hAnsi="仿宋_GB2312" w:cs="仿宋_GB2312" w:eastAsia="仿宋_GB2312"/>
          <w:sz w:val="24"/>
          <w:b/>
        </w:rPr>
        <w:t>如存在以下行为的，除应承担相应的法律责任外，采购人有权随时中止合同，一切损失由</w:t>
      </w:r>
      <w:r>
        <w:rPr>
          <w:rFonts w:ascii="仿宋_GB2312" w:hAnsi="仿宋_GB2312" w:cs="仿宋_GB2312" w:eastAsia="仿宋_GB2312"/>
          <w:sz w:val="24"/>
          <w:b/>
        </w:rPr>
        <w:t>中标供应商</w:t>
      </w:r>
      <w:r>
        <w:rPr>
          <w:rFonts w:ascii="仿宋_GB2312" w:hAnsi="仿宋_GB2312" w:cs="仿宋_GB2312" w:eastAsia="仿宋_GB2312"/>
          <w:sz w:val="24"/>
          <w:b/>
        </w:rPr>
        <w:t>自负。（</w:t>
      </w:r>
      <w:r>
        <w:rPr>
          <w:rFonts w:ascii="仿宋_GB2312" w:hAnsi="仿宋_GB2312" w:cs="仿宋_GB2312" w:eastAsia="仿宋_GB2312"/>
          <w:sz w:val="24"/>
          <w:b/>
        </w:rPr>
        <w:t>1）无法按合同规定时间准时提供服务的；（2）租用渠道非法、不规范、不正当的；（3）其他严重违法、违规、违约行为的。</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自合同签订之日起7个工作日内交付。服务期1年。</w:t>
            </w:r>
          </w:p>
        </w:tc>
      </w:tr>
      <w:tr>
        <w:tc>
          <w:tcPr>
            <w:tcW w:type="dxa" w:w="2076"/>
          </w:tcPr>
          <w:p>
            <w:pPr>
              <w:pStyle w:val="null3"/>
              <w:jc w:val="left"/>
            </w:pPr>
            <w:r>
              <w:rPr>
                <w:rFonts w:ascii="仿宋_GB2312" w:hAnsi="仿宋_GB2312" w:cs="仿宋_GB2312" w:eastAsia="仿宋_GB2312"/>
              </w:rPr>
              <w:t>2</w:t>
            </w:r>
          </w:p>
        </w:tc>
        <w:tc>
          <w:tcPr>
            <w:tcW w:type="dxa" w:w="2076"/>
          </w:tcP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服务地点：厦门市行政区域范围内，采购人指定地点区域</w:t>
            </w:r>
          </w:p>
        </w:tc>
      </w:tr>
      <w:tr>
        <w:tc>
          <w:tcPr>
            <w:tcW w:type="dxa" w:w="2076"/>
          </w:tcPr>
          <w:p>
            <w:pPr>
              <w:pStyle w:val="null3"/>
              <w:jc w:val="left"/>
            </w:pPr>
            <w:r>
              <w:rPr>
                <w:rFonts w:ascii="仿宋_GB2312" w:hAnsi="仿宋_GB2312" w:cs="仿宋_GB2312" w:eastAsia="仿宋_GB2312"/>
              </w:rPr>
              <w:t>3</w:t>
            </w:r>
          </w:p>
        </w:tc>
        <w:tc>
          <w:tcPr>
            <w:tcW w:type="dxa" w:w="2076"/>
          </w:tcP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根据招标文件、投标文件、合同及有关标准和规范实施。</w:t>
            </w:r>
          </w:p>
        </w:tc>
      </w:tr>
      <w:tr>
        <w:tc>
          <w:tcPr>
            <w:tcW w:type="dxa" w:w="2076"/>
          </w:tcPr>
          <w:p>
            <w:pPr>
              <w:pStyle w:val="null3"/>
              <w:jc w:val="left"/>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1）验收依据：招标文件、投标文件、合同及国家有关质量标准规定，均为验收依据；（2）中标供应商各项服务质量应符合采购人要求的各项指标；（3）验收时中标供应商必须派代表参加；（4）验收过程所发生的一切费用由中标供应商承担。</w:t>
            </w:r>
          </w:p>
        </w:tc>
      </w:tr>
      <w:tr>
        <w:tc>
          <w:tcPr>
            <w:tcW w:type="dxa" w:w="2076"/>
          </w:tcPr>
          <w:p>
            <w:pPr>
              <w:pStyle w:val="null3"/>
              <w:jc w:val="left"/>
            </w:pPr>
            <w:r>
              <w:rPr>
                <w:rFonts w:ascii="仿宋_GB2312" w:hAnsi="仿宋_GB2312" w:cs="仿宋_GB2312" w:eastAsia="仿宋_GB2312"/>
              </w:rPr>
              <w:t>6</w:t>
            </w:r>
          </w:p>
        </w:tc>
        <w:tc>
          <w:tcPr>
            <w:tcW w:type="dxa" w:w="2076"/>
          </w:tcP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1、具体内容详见8其他支付方式，达到付款条件起9日内，支付合同总金额的100.00%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本采购包履约保证金为合同金额的3%</w:t>
            </w:r>
          </w:p>
          <w:p>
            <w:pPr>
              <w:pStyle w:val="null3"/>
              <w:jc w:val="left"/>
            </w:pPr>
            <w:r>
              <w:rPr>
                <w:rFonts w:ascii="仿宋_GB2312" w:hAnsi="仿宋_GB2312" w:cs="仿宋_GB2312" w:eastAsia="仿宋_GB2312"/>
              </w:rPr>
              <w:t>缴纳方式：银行转账，支票/汇票/本票，保函/保险</w:t>
            </w:r>
          </w:p>
          <w:p>
            <w:pPr>
              <w:pStyle w:val="null3"/>
              <w:jc w:val="left"/>
            </w:pPr>
            <w:r>
              <w:rPr>
                <w:rFonts w:ascii="仿宋_GB2312" w:hAnsi="仿宋_GB2312" w:cs="仿宋_GB2312" w:eastAsia="仿宋_GB2312"/>
              </w:rPr>
              <w:t>说明：中标供应商在交货时向采购人指定的账户交付合同总金额的3%（人民币：（RMB：）【或履约保函或支票汇票本票】作为履约保证金；在中标供应商提供全部产品开通使用并验收通过后并且过了远程服务时限，采购人将退回履约保证金给中标供应商。（中标供应商为中小企业的，按合同总金额的1.5%收取） 采购人账户信息如下： 户名：集美大学开户行：中国工商银行厦门集美支行账号：4100020109024916664</w:t>
            </w:r>
          </w:p>
        </w:tc>
      </w:tr>
      <w:tr>
        <w:tc>
          <w:tcPr>
            <w:tcW w:type="dxa" w:w="2076"/>
          </w:tcPr>
          <w:p>
            <w:pPr>
              <w:pStyle w:val="null3"/>
              <w:jc w:val="left"/>
            </w:pPr>
            <w:r>
              <w:rPr>
                <w:rFonts w:ascii="仿宋_GB2312" w:hAnsi="仿宋_GB2312" w:cs="仿宋_GB2312" w:eastAsia="仿宋_GB2312"/>
              </w:rPr>
              <w:t>8</w:t>
            </w:r>
          </w:p>
        </w:tc>
        <w:tc>
          <w:tcPr>
            <w:tcW w:type="dxa" w:w="2076"/>
          </w:tcP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合同支付方式以此条为准：1.全部产品开通使用并经验收合格后，采购人凭产品的验收凭证和产品验收合格文件等材料以转账方式向中标供应商一次性支付100%合同价款。 2. 现场交货条件下，中标供应商要求付款应提交下列单证和文件。 a.金额为有关合同服务产品价格 100%的正式发票。 b.采购人已收讫服务产品的验收凭证，采购人签发的验收合格文件。</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本次项目为整体采购，不得转包和分包。</w:t>
      </w:r>
    </w:p>
    <w:p>
      <w:pPr>
        <w:pStyle w:val="null3"/>
        <w:ind w:firstLine="480"/>
      </w:pPr>
      <w:r>
        <w:rPr>
          <w:rFonts w:ascii="仿宋_GB2312" w:hAnsi="仿宋_GB2312" w:cs="仿宋_GB2312" w:eastAsia="仿宋_GB2312"/>
          <w:sz w:val="24"/>
        </w:rPr>
        <w:t>10.投标人</w:t>
      </w:r>
      <w:r>
        <w:rPr>
          <w:rFonts w:ascii="仿宋_GB2312" w:hAnsi="仿宋_GB2312" w:cs="仿宋_GB2312" w:eastAsia="仿宋_GB2312"/>
          <w:sz w:val="24"/>
        </w:rPr>
        <w:t>应仔细阅读</w:t>
      </w:r>
      <w:r>
        <w:rPr>
          <w:rFonts w:ascii="仿宋_GB2312" w:hAnsi="仿宋_GB2312" w:cs="仿宋_GB2312" w:eastAsia="仿宋_GB2312"/>
          <w:sz w:val="24"/>
        </w:rPr>
        <w:t>招标</w:t>
      </w:r>
      <w:r>
        <w:rPr>
          <w:rFonts w:ascii="仿宋_GB2312" w:hAnsi="仿宋_GB2312" w:cs="仿宋_GB2312" w:eastAsia="仿宋_GB2312"/>
          <w:sz w:val="24"/>
        </w:rPr>
        <w:t>文件的所有内容，按</w:t>
      </w:r>
      <w:r>
        <w:rPr>
          <w:rFonts w:ascii="仿宋_GB2312" w:hAnsi="仿宋_GB2312" w:cs="仿宋_GB2312" w:eastAsia="仿宋_GB2312"/>
          <w:sz w:val="24"/>
        </w:rPr>
        <w:t>招标</w:t>
      </w:r>
      <w:r>
        <w:rPr>
          <w:rFonts w:ascii="仿宋_GB2312" w:hAnsi="仿宋_GB2312" w:cs="仿宋_GB2312" w:eastAsia="仿宋_GB2312"/>
          <w:sz w:val="24"/>
        </w:rPr>
        <w:t>文件的要求提交</w:t>
      </w:r>
      <w:r>
        <w:rPr>
          <w:rFonts w:ascii="仿宋_GB2312" w:hAnsi="仿宋_GB2312" w:cs="仿宋_GB2312" w:eastAsia="仿宋_GB2312"/>
          <w:sz w:val="24"/>
        </w:rPr>
        <w:t>投标</w:t>
      </w:r>
      <w:r>
        <w:rPr>
          <w:rFonts w:ascii="仿宋_GB2312" w:hAnsi="仿宋_GB2312" w:cs="仿宋_GB2312" w:eastAsia="仿宋_GB2312"/>
          <w:sz w:val="24"/>
        </w:rPr>
        <w:t>文件，并保证所提供的全部资料的真实性，以使其对</w:t>
      </w:r>
      <w:r>
        <w:rPr>
          <w:rFonts w:ascii="仿宋_GB2312" w:hAnsi="仿宋_GB2312" w:cs="仿宋_GB2312" w:eastAsia="仿宋_GB2312"/>
          <w:sz w:val="24"/>
        </w:rPr>
        <w:t>招标</w:t>
      </w:r>
      <w:r>
        <w:rPr>
          <w:rFonts w:ascii="仿宋_GB2312" w:hAnsi="仿宋_GB2312" w:cs="仿宋_GB2312" w:eastAsia="仿宋_GB2312"/>
          <w:sz w:val="24"/>
        </w:rPr>
        <w:t>文件做出实质性响应，否则其</w:t>
      </w:r>
      <w:r>
        <w:rPr>
          <w:rFonts w:ascii="仿宋_GB2312" w:hAnsi="仿宋_GB2312" w:cs="仿宋_GB2312" w:eastAsia="仿宋_GB2312"/>
          <w:sz w:val="24"/>
        </w:rPr>
        <w:t>投标</w:t>
      </w:r>
      <w:r>
        <w:rPr>
          <w:rFonts w:ascii="仿宋_GB2312" w:hAnsi="仿宋_GB2312" w:cs="仿宋_GB2312" w:eastAsia="仿宋_GB2312"/>
          <w:sz w:val="24"/>
        </w:rPr>
        <w:t>可能被拒绝。</w:t>
      </w:r>
    </w:p>
    <w:p>
      <w:pPr>
        <w:pStyle w:val="null3"/>
        <w:ind w:firstLine="480"/>
      </w:pPr>
      <w:r>
        <w:rPr>
          <w:rFonts w:ascii="仿宋_GB2312" w:hAnsi="仿宋_GB2312" w:cs="仿宋_GB2312" w:eastAsia="仿宋_GB2312"/>
          <w:sz w:val="24"/>
        </w:rPr>
        <w:t>11.报价要求</w:t>
      </w:r>
    </w:p>
    <w:p>
      <w:pPr>
        <w:pStyle w:val="null3"/>
        <w:ind w:firstLine="480"/>
        <w:jc w:val="both"/>
      </w:pPr>
      <w:r>
        <w:rPr>
          <w:rFonts w:ascii="仿宋_GB2312" w:hAnsi="仿宋_GB2312" w:cs="仿宋_GB2312" w:eastAsia="仿宋_GB2312"/>
          <w:sz w:val="24"/>
        </w:rPr>
        <w:t>11.1本次采购为整体采购，投标人必须对所有服务要求进行响应。</w:t>
      </w:r>
    </w:p>
    <w:p>
      <w:pPr>
        <w:pStyle w:val="null3"/>
        <w:ind w:firstLine="480"/>
      </w:pPr>
      <w:r>
        <w:rPr>
          <w:rFonts w:ascii="仿宋_GB2312" w:hAnsi="仿宋_GB2312" w:cs="仿宋_GB2312" w:eastAsia="仿宋_GB2312"/>
          <w:sz w:val="24"/>
        </w:rPr>
        <w:t>11.2 本项目报价为总包干价，报价中应包含员工工资、五险一金、按规定提取的福利费、加班费、培训费、税收、本项目的采购代理服务费以及由项目开展而产生的其它费用等。</w:t>
      </w:r>
    </w:p>
    <w:p>
      <w:pPr>
        <w:pStyle w:val="null3"/>
        <w:ind w:firstLine="480"/>
      </w:pPr>
      <w:r>
        <w:rPr>
          <w:rFonts w:ascii="仿宋_GB2312" w:hAnsi="仿宋_GB2312" w:cs="仿宋_GB2312" w:eastAsia="仿宋_GB2312"/>
          <w:sz w:val="24"/>
        </w:rPr>
        <w:t>11.3投标人报价中漏报、少报的费用，视为此项费用已隐含在响应报价中，中标之后不得再向采购人收取任何费用。</w:t>
      </w:r>
    </w:p>
    <w:p>
      <w:pPr>
        <w:pStyle w:val="null3"/>
        <w:ind w:firstLine="480"/>
      </w:pPr>
      <w:r>
        <w:rPr>
          <w:rFonts w:ascii="仿宋_GB2312" w:hAnsi="仿宋_GB2312" w:cs="仿宋_GB2312" w:eastAsia="仿宋_GB2312"/>
          <w:sz w:val="24"/>
        </w:rPr>
        <w:t>12.验收条件及标准</w:t>
      </w:r>
    </w:p>
    <w:p>
      <w:pPr>
        <w:pStyle w:val="null3"/>
        <w:ind w:firstLine="480"/>
      </w:pPr>
      <w:r>
        <w:rPr>
          <w:rFonts w:ascii="仿宋_GB2312" w:hAnsi="仿宋_GB2312" w:cs="仿宋_GB2312" w:eastAsia="仿宋_GB2312"/>
          <w:sz w:val="24"/>
        </w:rPr>
        <w:t>12.1验收依据：招标文件、投标文件、国家和相关主管部门有关的质量标准规定，均为验收依据。</w:t>
      </w:r>
    </w:p>
    <w:p>
      <w:pPr>
        <w:pStyle w:val="null3"/>
        <w:ind w:firstLine="480"/>
      </w:pPr>
      <w:r>
        <w:rPr>
          <w:rFonts w:ascii="仿宋_GB2312" w:hAnsi="仿宋_GB2312" w:cs="仿宋_GB2312" w:eastAsia="仿宋_GB2312"/>
          <w:sz w:val="24"/>
        </w:rPr>
        <w:t>12.2 中标供应商需负责组织相关的产品数据信息，并负责安装、调试，并对采购人的操作人员进行培训；由采购人组织有关人员对项目进行验收。</w:t>
      </w:r>
    </w:p>
    <w:p>
      <w:pPr>
        <w:pStyle w:val="null3"/>
        <w:ind w:firstLine="480"/>
      </w:pPr>
      <w:r>
        <w:rPr>
          <w:rFonts w:ascii="仿宋_GB2312" w:hAnsi="仿宋_GB2312" w:cs="仿宋_GB2312" w:eastAsia="仿宋_GB2312"/>
          <w:sz w:val="24"/>
        </w:rPr>
        <w:t>12.3 采购人有权委托我国相关具有检验资质的部门、单位、机构针对数字资源产品的性能进行检验。其检验结果将作为验收标准的组成部分之一。</w:t>
      </w:r>
    </w:p>
    <w:p>
      <w:pPr>
        <w:pStyle w:val="null3"/>
        <w:ind w:firstLine="480"/>
      </w:pPr>
      <w:r>
        <w:rPr>
          <w:rFonts w:ascii="仿宋_GB2312" w:hAnsi="仿宋_GB2312" w:cs="仿宋_GB2312" w:eastAsia="仿宋_GB2312"/>
          <w:sz w:val="24"/>
        </w:rPr>
        <w:t>12.4 验收时中标供应商必须派代表参加。</w:t>
      </w:r>
    </w:p>
    <w:p>
      <w:pPr>
        <w:pStyle w:val="null3"/>
        <w:ind w:firstLine="480"/>
      </w:pPr>
      <w:r>
        <w:rPr>
          <w:rFonts w:ascii="仿宋_GB2312" w:hAnsi="仿宋_GB2312" w:cs="仿宋_GB2312" w:eastAsia="仿宋_GB2312"/>
          <w:sz w:val="24"/>
        </w:rPr>
        <w:t>12.5 验收过程所发生的一切费用由中标供应商承担。</w:t>
      </w:r>
    </w:p>
    <w:p>
      <w:pPr>
        <w:pStyle w:val="null3"/>
        <w:ind w:firstLine="480"/>
      </w:pPr>
      <w:r>
        <w:rPr>
          <w:rFonts w:ascii="仿宋_GB2312" w:hAnsi="仿宋_GB2312" w:cs="仿宋_GB2312" w:eastAsia="仿宋_GB2312"/>
          <w:sz w:val="24"/>
        </w:rPr>
        <w:t>13.其他服务要求</w:t>
      </w:r>
    </w:p>
    <w:p>
      <w:pPr>
        <w:pStyle w:val="null3"/>
        <w:ind w:firstLine="480"/>
      </w:pPr>
      <w:r>
        <w:rPr>
          <w:rFonts w:ascii="仿宋_GB2312" w:hAnsi="仿宋_GB2312" w:cs="仿宋_GB2312" w:eastAsia="仿宋_GB2312"/>
          <w:sz w:val="24"/>
        </w:rPr>
        <w:t>13.1 中标供应商在合同期内应配合采购人对数据库产品进行培训。为采购人提供数据库的操作、使用和维护的技术培训服务。应采购人需求，每年每个数据库产品至少提供一次现场培训，具体培训时间由采购人决定。所有产生的培训费用（含培训资料费等）由中标供应商承担。</w:t>
      </w:r>
    </w:p>
    <w:p>
      <w:pPr>
        <w:pStyle w:val="null3"/>
        <w:ind w:firstLine="480"/>
      </w:pPr>
      <w:r>
        <w:rPr>
          <w:rFonts w:ascii="仿宋_GB2312" w:hAnsi="仿宋_GB2312" w:cs="仿宋_GB2312" w:eastAsia="仿宋_GB2312"/>
          <w:sz w:val="24"/>
        </w:rPr>
        <w:t>13.2 中标供应商须随时配合学校举办读书月或其它数据库宣传活动。</w:t>
      </w:r>
    </w:p>
    <w:p>
      <w:pPr>
        <w:pStyle w:val="null3"/>
        <w:ind w:firstLine="480"/>
      </w:pPr>
      <w:r>
        <w:rPr>
          <w:rFonts w:ascii="仿宋_GB2312" w:hAnsi="仿宋_GB2312" w:cs="仿宋_GB2312" w:eastAsia="仿宋_GB2312"/>
          <w:sz w:val="24"/>
        </w:rPr>
        <w:t>13.3 投标人须在投标文件中提供详细的产品质量保证及售后服务方案承诺，并加盖投标人公章。</w:t>
      </w:r>
    </w:p>
    <w:p>
      <w:pPr>
        <w:pStyle w:val="null3"/>
        <w:ind w:firstLine="480"/>
      </w:pPr>
      <w:r>
        <w:rPr>
          <w:rFonts w:ascii="仿宋_GB2312" w:hAnsi="仿宋_GB2312" w:cs="仿宋_GB2312" w:eastAsia="仿宋_GB2312"/>
          <w:sz w:val="24"/>
        </w:rPr>
        <w:t>13.4投标人认为有利于采购人的其他优惠条款应单独列明。</w:t>
      </w:r>
    </w:p>
    <w:p>
      <w:pPr>
        <w:pStyle w:val="null3"/>
        <w:ind w:firstLine="480"/>
        <w:jc w:val="both"/>
      </w:pPr>
      <w:r>
        <w:rPr>
          <w:rFonts w:ascii="仿宋_GB2312" w:hAnsi="仿宋_GB2312" w:cs="仿宋_GB2312" w:eastAsia="仿宋_GB2312"/>
          <w:sz w:val="24"/>
        </w:rPr>
        <w:t>14.知识产权</w:t>
      </w:r>
    </w:p>
    <w:p>
      <w:pPr>
        <w:pStyle w:val="null3"/>
        <w:ind w:firstLine="480"/>
        <w:jc w:val="both"/>
      </w:pPr>
      <w:r>
        <w:rPr>
          <w:rFonts w:ascii="仿宋_GB2312" w:hAnsi="仿宋_GB2312" w:cs="仿宋_GB2312" w:eastAsia="仿宋_GB2312"/>
          <w:sz w:val="24"/>
        </w:rPr>
        <w:t>中标供应商</w:t>
      </w:r>
      <w:r>
        <w:rPr>
          <w:rFonts w:ascii="仿宋_GB2312" w:hAnsi="仿宋_GB2312" w:cs="仿宋_GB2312" w:eastAsia="仿宋_GB2312"/>
          <w:sz w:val="24"/>
        </w:rPr>
        <w:t>应当保证其所提供的产品及服务符合国家知识产权法律法规要求，</w:t>
      </w:r>
      <w:r>
        <w:rPr>
          <w:rFonts w:ascii="仿宋_GB2312" w:hAnsi="仿宋_GB2312" w:cs="仿宋_GB2312" w:eastAsia="仿宋_GB2312"/>
          <w:sz w:val="24"/>
        </w:rPr>
        <w:t>中标供应商</w:t>
      </w:r>
      <w:r>
        <w:rPr>
          <w:rFonts w:ascii="仿宋_GB2312" w:hAnsi="仿宋_GB2312" w:cs="仿宋_GB2312" w:eastAsia="仿宋_GB2312"/>
          <w:sz w:val="24"/>
        </w:rPr>
        <w:t>须保障采购人在使用其所提供的与本项目相关的软件、硬件或其任何一部分时不受到第三方关于侵犯知识产权的指控。如果任何第三方提出侵权指控与采购人无关，</w:t>
      </w:r>
      <w:r>
        <w:rPr>
          <w:rFonts w:ascii="仿宋_GB2312" w:hAnsi="仿宋_GB2312" w:cs="仿宋_GB2312" w:eastAsia="仿宋_GB2312"/>
          <w:sz w:val="24"/>
        </w:rPr>
        <w:t>中标供应商</w:t>
      </w:r>
      <w:r>
        <w:rPr>
          <w:rFonts w:ascii="仿宋_GB2312" w:hAnsi="仿宋_GB2312" w:cs="仿宋_GB2312" w:eastAsia="仿宋_GB2312"/>
          <w:sz w:val="24"/>
        </w:rPr>
        <w:t>须与第三方交涉并承担可能发生的责任与一切费用。如采购人因此而遭致损失的，</w:t>
      </w:r>
      <w:r>
        <w:rPr>
          <w:rFonts w:ascii="仿宋_GB2312" w:hAnsi="仿宋_GB2312" w:cs="仿宋_GB2312" w:eastAsia="仿宋_GB2312"/>
          <w:sz w:val="24"/>
        </w:rPr>
        <w:t>中标供应商</w:t>
      </w:r>
      <w:r>
        <w:rPr>
          <w:rFonts w:ascii="仿宋_GB2312" w:hAnsi="仿宋_GB2312" w:cs="仿宋_GB2312" w:eastAsia="仿宋_GB2312"/>
          <w:sz w:val="24"/>
        </w:rPr>
        <w:t>应赔偿该损失。</w:t>
      </w:r>
    </w:p>
    <w:p>
      <w:pPr>
        <w:pStyle w:val="null3"/>
        <w:ind w:firstLine="480"/>
        <w:jc w:val="both"/>
      </w:pPr>
      <w:r>
        <w:rPr>
          <w:rFonts w:ascii="仿宋_GB2312" w:hAnsi="仿宋_GB2312" w:cs="仿宋_GB2312" w:eastAsia="仿宋_GB2312"/>
          <w:sz w:val="24"/>
          <w:b/>
          <w:shd w:fill="FFFFFF" w:val="clear"/>
        </w:rPr>
        <w:t>附件</w:t>
      </w:r>
      <w:r>
        <w:rPr>
          <w:rFonts w:ascii="仿宋_GB2312" w:hAnsi="仿宋_GB2312" w:cs="仿宋_GB2312" w:eastAsia="仿宋_GB2312"/>
          <w:sz w:val="24"/>
          <w:b/>
          <w:shd w:fill="FFFFFF" w:val="clear"/>
        </w:rPr>
        <w:t>1：</w:t>
      </w:r>
    </w:p>
    <w:p>
      <w:pPr>
        <w:pStyle w:val="null3"/>
        <w:ind w:firstLine="480"/>
        <w:jc w:val="left"/>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 </w:t>
      </w:r>
    </w:p>
    <w:p>
      <w:pPr>
        <w:pStyle w:val="null3"/>
        <w:ind w:firstLine="645"/>
        <w:jc w:val="center"/>
      </w:pPr>
      <w:r>
        <w:rPr>
          <w:rFonts w:ascii="仿宋_GB2312" w:hAnsi="仿宋_GB2312" w:cs="仿宋_GB2312" w:eastAsia="仿宋_GB2312"/>
          <w:sz w:val="24"/>
          <w:b/>
          <w:shd w:fill="FFFFFF" w:val="clear"/>
        </w:rPr>
        <w:t>关于串标情形及后果的告知函</w:t>
      </w:r>
    </w:p>
    <w:p>
      <w:pPr>
        <w:pStyle w:val="null3"/>
        <w:spacing w:after="150"/>
        <w:ind w:firstLine="480"/>
        <w:jc w:val="both"/>
      </w:pPr>
      <w:r>
        <w:rPr>
          <w:rFonts w:ascii="仿宋_GB2312" w:hAnsi="仿宋_GB2312" w:cs="仿宋_GB2312" w:eastAsia="仿宋_GB2312"/>
          <w:sz w:val="24"/>
          <w:b/>
          <w:shd w:fill="FFFFFF" w:val="clear"/>
        </w:rPr>
        <w:t>致各投标人：</w:t>
      </w:r>
    </w:p>
    <w:p>
      <w:pPr>
        <w:pStyle w:val="null3"/>
        <w:spacing w:after="150"/>
        <w:ind w:firstLine="480"/>
        <w:jc w:val="both"/>
      </w:pPr>
      <w:r>
        <w:rPr>
          <w:rFonts w:ascii="仿宋_GB2312" w:hAnsi="仿宋_GB2312" w:cs="仿宋_GB2312" w:eastAsia="仿宋_GB2312"/>
          <w:sz w:val="24"/>
          <w:b/>
          <w:shd w:fill="FFFFFF" w:val="clear"/>
        </w:rPr>
        <w:t xml:space="preserve"> </w:t>
      </w:r>
      <w:r>
        <w:rPr>
          <w:rFonts w:ascii="仿宋_GB2312" w:hAnsi="仿宋_GB2312" w:cs="仿宋_GB2312" w:eastAsia="仿宋_GB2312"/>
          <w:sz w:val="24"/>
          <w:b/>
          <w:shd w:fill="FFFFFF" w:val="clear"/>
        </w:rPr>
        <w:t>根据《厦门市财政局关于加强涉嫌串通投标情形处理的通知》要求，现将有关恶意串通、视为串通情形及供应商需承担的后果列明如下，请各供应商仔细阅读，如在参与本项目采购活动中存在串通投标情形，将依法承担相应责任：</w:t>
      </w:r>
    </w:p>
    <w:p>
      <w:pPr>
        <w:pStyle w:val="null3"/>
        <w:spacing w:after="150"/>
        <w:ind w:firstLine="480"/>
        <w:jc w:val="both"/>
      </w:pPr>
      <w:r>
        <w:rPr>
          <w:rFonts w:ascii="仿宋_GB2312" w:hAnsi="仿宋_GB2312" w:cs="仿宋_GB2312" w:eastAsia="仿宋_GB2312"/>
          <w:sz w:val="24"/>
          <w:b/>
          <w:shd w:fill="FFFFFF" w:val="clear"/>
        </w:rPr>
        <w:t>一、恶意串通情形</w:t>
      </w:r>
    </w:p>
    <w:p>
      <w:pPr>
        <w:pStyle w:val="null3"/>
        <w:spacing w:after="150"/>
        <w:ind w:firstLine="315"/>
        <w:jc w:val="both"/>
      </w:pPr>
      <w:r>
        <w:rPr>
          <w:rFonts w:ascii="仿宋_GB2312" w:hAnsi="仿宋_GB2312" w:cs="仿宋_GB2312" w:eastAsia="仿宋_GB2312"/>
          <w:sz w:val="24"/>
          <w:b/>
          <w:shd w:fill="FFFFFF" w:val="clear"/>
        </w:rPr>
        <w:t>《政府采购法实施条例》第七十四条：有下列情形之一的，属于恶意串通：</w:t>
      </w:r>
    </w:p>
    <w:p>
      <w:pPr>
        <w:pStyle w:val="null3"/>
        <w:spacing w:after="150"/>
        <w:ind w:firstLine="315"/>
        <w:jc w:val="both"/>
      </w:pPr>
      <w:r>
        <w:rPr>
          <w:rFonts w:ascii="仿宋_GB2312" w:hAnsi="仿宋_GB2312" w:cs="仿宋_GB2312" w:eastAsia="仿宋_GB2312"/>
          <w:sz w:val="24"/>
          <w:b/>
          <w:shd w:fill="FFFFFF" w:val="clear"/>
        </w:rPr>
        <w:t>（一）供应商直接或者间接从采购人或者采购代理机构处获得其他供应商的相关情况并修改其投标文件或者响应文件；</w:t>
      </w:r>
    </w:p>
    <w:p>
      <w:pPr>
        <w:pStyle w:val="null3"/>
        <w:spacing w:after="150"/>
        <w:ind w:firstLine="315"/>
        <w:jc w:val="both"/>
      </w:pPr>
      <w:r>
        <w:rPr>
          <w:rFonts w:ascii="仿宋_GB2312" w:hAnsi="仿宋_GB2312" w:cs="仿宋_GB2312" w:eastAsia="仿宋_GB2312"/>
          <w:sz w:val="24"/>
          <w:b/>
          <w:shd w:fill="FFFFFF" w:val="clear"/>
        </w:rPr>
        <w:t>（二）供应商按照采购人或者采购代理机构的授意撤换、修改投标文件或者响应文件；</w:t>
      </w:r>
    </w:p>
    <w:p>
      <w:pPr>
        <w:pStyle w:val="null3"/>
        <w:spacing w:after="150"/>
        <w:ind w:firstLine="315"/>
        <w:jc w:val="both"/>
      </w:pPr>
      <w:r>
        <w:rPr>
          <w:rFonts w:ascii="仿宋_GB2312" w:hAnsi="仿宋_GB2312" w:cs="仿宋_GB2312" w:eastAsia="仿宋_GB2312"/>
          <w:sz w:val="24"/>
          <w:b/>
          <w:shd w:fill="FFFFFF" w:val="clear"/>
        </w:rPr>
        <w:t>（三）供应商之间协商报价、技术方案等投标文件或者响应文件的实质性内容；</w:t>
      </w:r>
    </w:p>
    <w:p>
      <w:pPr>
        <w:pStyle w:val="null3"/>
        <w:spacing w:after="150"/>
        <w:ind w:firstLine="315"/>
        <w:jc w:val="both"/>
      </w:pPr>
      <w:r>
        <w:rPr>
          <w:rFonts w:ascii="仿宋_GB2312" w:hAnsi="仿宋_GB2312" w:cs="仿宋_GB2312" w:eastAsia="仿宋_GB2312"/>
          <w:sz w:val="24"/>
          <w:b/>
          <w:shd w:fill="FFFFFF" w:val="clear"/>
        </w:rPr>
        <w:t>（四）属于同一集团、协会、商会等组织成员的供应商按照该组织要求协同参加政府采购活动；</w:t>
      </w:r>
    </w:p>
    <w:p>
      <w:pPr>
        <w:pStyle w:val="null3"/>
        <w:spacing w:after="150"/>
        <w:ind w:firstLine="315"/>
        <w:jc w:val="both"/>
      </w:pPr>
      <w:r>
        <w:rPr>
          <w:rFonts w:ascii="仿宋_GB2312" w:hAnsi="仿宋_GB2312" w:cs="仿宋_GB2312" w:eastAsia="仿宋_GB2312"/>
          <w:sz w:val="24"/>
          <w:b/>
          <w:shd w:fill="FFFFFF" w:val="clear"/>
        </w:rPr>
        <w:t>（五）供应商之间事先约定由某一特定供应商中标、成交；</w:t>
      </w:r>
    </w:p>
    <w:p>
      <w:pPr>
        <w:pStyle w:val="null3"/>
        <w:spacing w:after="150"/>
        <w:ind w:firstLine="315"/>
        <w:jc w:val="both"/>
      </w:pPr>
      <w:r>
        <w:rPr>
          <w:rFonts w:ascii="仿宋_GB2312" w:hAnsi="仿宋_GB2312" w:cs="仿宋_GB2312" w:eastAsia="仿宋_GB2312"/>
          <w:sz w:val="24"/>
          <w:b/>
          <w:shd w:fill="FFFFFF" w:val="clear"/>
        </w:rPr>
        <w:t>（六）供应商之间商定部分供应商放弃参加政府采购活动或者放弃中标、成交；</w:t>
      </w:r>
    </w:p>
    <w:p>
      <w:pPr>
        <w:pStyle w:val="null3"/>
        <w:spacing w:after="150"/>
        <w:ind w:firstLine="315"/>
        <w:jc w:val="both"/>
      </w:pPr>
      <w:r>
        <w:rPr>
          <w:rFonts w:ascii="仿宋_GB2312" w:hAnsi="仿宋_GB2312" w:cs="仿宋_GB2312" w:eastAsia="仿宋_GB2312"/>
          <w:sz w:val="24"/>
          <w:b/>
          <w:shd w:fill="FFFFFF" w:val="clear"/>
        </w:rPr>
        <w:t>（七）供应商与采购人或者采购代理机构之间、供应商相互之间，为谋求特定供应商中标、成交或者排斥其他供应商的其他串通行为。</w:t>
      </w:r>
    </w:p>
    <w:p>
      <w:pPr>
        <w:pStyle w:val="null3"/>
        <w:spacing w:after="150"/>
        <w:ind w:firstLine="480"/>
        <w:jc w:val="both"/>
      </w:pPr>
      <w:r>
        <w:rPr>
          <w:rFonts w:ascii="仿宋_GB2312" w:hAnsi="仿宋_GB2312" w:cs="仿宋_GB2312" w:eastAsia="仿宋_GB2312"/>
          <w:sz w:val="24"/>
          <w:b/>
          <w:shd w:fill="FFFFFF" w:val="clear"/>
        </w:rPr>
        <w:t>二、视为串通情形</w:t>
      </w:r>
    </w:p>
    <w:p>
      <w:pPr>
        <w:pStyle w:val="null3"/>
        <w:spacing w:after="150"/>
        <w:ind w:firstLine="315"/>
        <w:jc w:val="both"/>
      </w:pPr>
      <w:r>
        <w:rPr>
          <w:rFonts w:ascii="仿宋_GB2312" w:hAnsi="仿宋_GB2312" w:cs="仿宋_GB2312" w:eastAsia="仿宋_GB2312"/>
          <w:sz w:val="24"/>
          <w:b/>
          <w:shd w:fill="FFFFFF" w:val="clear"/>
        </w:rPr>
        <w:t>《政府采购货物和服务招标投标管理办法》（财政部令第</w:t>
      </w:r>
      <w:r>
        <w:rPr>
          <w:rFonts w:ascii="仿宋_GB2312" w:hAnsi="仿宋_GB2312" w:cs="仿宋_GB2312" w:eastAsia="仿宋_GB2312"/>
          <w:sz w:val="24"/>
          <w:b/>
          <w:shd w:fill="FFFFFF" w:val="clear"/>
        </w:rPr>
        <w:t>87号）第三十七条：有下列情形之一的，视为投标人串通投标，其投标无效：</w:t>
      </w:r>
    </w:p>
    <w:p>
      <w:pPr>
        <w:pStyle w:val="null3"/>
        <w:spacing w:after="150"/>
        <w:ind w:firstLine="315"/>
        <w:jc w:val="both"/>
      </w:pPr>
      <w:r>
        <w:rPr>
          <w:rFonts w:ascii="仿宋_GB2312" w:hAnsi="仿宋_GB2312" w:cs="仿宋_GB2312" w:eastAsia="仿宋_GB2312"/>
          <w:sz w:val="24"/>
          <w:b/>
          <w:shd w:fill="FFFFFF" w:val="clear"/>
        </w:rPr>
        <w:t>（一）不同投标人的投标文件由同一单位或者个人编制；</w:t>
      </w:r>
    </w:p>
    <w:p>
      <w:pPr>
        <w:pStyle w:val="null3"/>
        <w:spacing w:after="150"/>
        <w:ind w:firstLine="315"/>
        <w:jc w:val="both"/>
      </w:pPr>
      <w:r>
        <w:rPr>
          <w:rFonts w:ascii="仿宋_GB2312" w:hAnsi="仿宋_GB2312" w:cs="仿宋_GB2312" w:eastAsia="仿宋_GB2312"/>
          <w:sz w:val="24"/>
          <w:b/>
          <w:shd w:fill="FFFFFF" w:val="clear"/>
        </w:rPr>
        <w:t>（二）不同投标人委托同一单位或者个人办理投标事宜；</w:t>
      </w:r>
    </w:p>
    <w:p>
      <w:pPr>
        <w:pStyle w:val="null3"/>
        <w:spacing w:after="150"/>
        <w:ind w:firstLine="480"/>
        <w:jc w:val="both"/>
      </w:pPr>
      <w:r>
        <w:rPr>
          <w:rFonts w:ascii="仿宋_GB2312" w:hAnsi="仿宋_GB2312" w:cs="仿宋_GB2312" w:eastAsia="仿宋_GB2312"/>
          <w:sz w:val="24"/>
          <w:b/>
          <w:shd w:fill="FFFFFF" w:val="clear"/>
        </w:rPr>
        <w:t>（三）不同投标人的投标文件载明的项目管理成员或者联系人员为同一人；（四）不同投标人的投标文件异常一致或者投标报价呈规律性差异；</w:t>
      </w:r>
    </w:p>
    <w:p>
      <w:pPr>
        <w:pStyle w:val="null3"/>
        <w:spacing w:after="150"/>
        <w:ind w:firstLine="480"/>
        <w:jc w:val="both"/>
      </w:pPr>
      <w:r>
        <w:rPr>
          <w:rFonts w:ascii="仿宋_GB2312" w:hAnsi="仿宋_GB2312" w:cs="仿宋_GB2312" w:eastAsia="仿宋_GB2312"/>
          <w:sz w:val="24"/>
          <w:b/>
          <w:shd w:fill="FFFFFF" w:val="clear"/>
        </w:rPr>
        <w:t>（五）不同投标人的投标文件相互混装；</w:t>
      </w:r>
    </w:p>
    <w:p>
      <w:pPr>
        <w:pStyle w:val="null3"/>
        <w:spacing w:after="150"/>
        <w:ind w:firstLine="480"/>
        <w:jc w:val="both"/>
      </w:pPr>
      <w:r>
        <w:rPr>
          <w:rFonts w:ascii="仿宋_GB2312" w:hAnsi="仿宋_GB2312" w:cs="仿宋_GB2312" w:eastAsia="仿宋_GB2312"/>
          <w:sz w:val="24"/>
          <w:b/>
          <w:shd w:fill="FFFFFF" w:val="clear"/>
        </w:rPr>
        <w:t>（六）不同投标人的投标保证金从同一单位或者个人的账户转出。</w:t>
      </w:r>
    </w:p>
    <w:p>
      <w:pPr>
        <w:pStyle w:val="null3"/>
        <w:spacing w:after="150"/>
        <w:ind w:firstLine="315"/>
        <w:jc w:val="both"/>
      </w:pPr>
      <w:r>
        <w:rPr>
          <w:rFonts w:ascii="仿宋_GB2312" w:hAnsi="仿宋_GB2312" w:cs="仿宋_GB2312" w:eastAsia="仿宋_GB2312"/>
          <w:sz w:val="24"/>
          <w:b/>
          <w:shd w:fill="FFFFFF" w:val="clear"/>
        </w:rPr>
        <w:t>《福建省财政厅关于电子化政府采购项目中视为串标情形认定与处理的指导意见》（闽财购〔</w:t>
      </w:r>
      <w:r>
        <w:rPr>
          <w:rFonts w:ascii="仿宋_GB2312" w:hAnsi="仿宋_GB2312" w:cs="仿宋_GB2312" w:eastAsia="仿宋_GB2312"/>
          <w:sz w:val="24"/>
          <w:b/>
          <w:shd w:fill="FFFFFF" w:val="clear"/>
        </w:rPr>
        <w:t>2018〕30号）</w:t>
      </w:r>
    </w:p>
    <w:p>
      <w:pPr>
        <w:pStyle w:val="null3"/>
        <w:spacing w:after="150"/>
        <w:ind w:firstLine="315"/>
        <w:jc w:val="both"/>
      </w:pPr>
      <w:r>
        <w:rPr>
          <w:rFonts w:ascii="仿宋_GB2312" w:hAnsi="仿宋_GB2312" w:cs="仿宋_GB2312" w:eastAsia="仿宋_GB2312"/>
          <w:sz w:val="24"/>
          <w:b/>
          <w:shd w:fill="FFFFFF" w:val="clear"/>
        </w:rPr>
        <w:t>（一）电子化招标项目视为串通情形的认定</w:t>
      </w:r>
    </w:p>
    <w:p>
      <w:pPr>
        <w:pStyle w:val="null3"/>
        <w:spacing w:after="150"/>
        <w:ind w:firstLine="315"/>
        <w:jc w:val="both"/>
      </w:pPr>
      <w:r>
        <w:rPr>
          <w:rFonts w:ascii="仿宋_GB2312" w:hAnsi="仿宋_GB2312" w:cs="仿宋_GB2312" w:eastAsia="仿宋_GB2312"/>
          <w:sz w:val="24"/>
          <w:b/>
          <w:shd w:fill="FFFFFF" w:val="clear"/>
        </w:rPr>
        <w:t>1、保证金验核阶段 不同投标人的投标保证金转出账户的银行账户名 称相同的，属于《政府采购货物和服务招标投标管理办法》（财政部令第87号）第三十七条第（六）项“不同投标人的投标保证金从同一单位或者个人的账户转出”的情形。</w:t>
      </w:r>
    </w:p>
    <w:p>
      <w:pPr>
        <w:pStyle w:val="null3"/>
        <w:spacing w:after="150"/>
        <w:ind w:firstLine="315"/>
        <w:jc w:val="both"/>
      </w:pPr>
      <w:r>
        <w:rPr>
          <w:rFonts w:ascii="仿宋_GB2312" w:hAnsi="仿宋_GB2312" w:cs="仿宋_GB2312" w:eastAsia="仿宋_GB2312"/>
          <w:sz w:val="24"/>
          <w:b/>
          <w:shd w:fill="FFFFFF" w:val="clear"/>
        </w:rPr>
        <w:t>2、电子响应文件解密阶段 电子响应文件的个性特征与本采购项目的其他响应人存在雷同的，按照以下方式进行认定：</w:t>
      </w:r>
    </w:p>
    <w:p>
      <w:pPr>
        <w:pStyle w:val="null3"/>
        <w:spacing w:after="150"/>
        <w:ind w:firstLine="315"/>
        <w:jc w:val="both"/>
      </w:pP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spacing w:after="150"/>
        <w:ind w:firstLine="315"/>
        <w:jc w:val="both"/>
      </w:pP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spacing w:after="150"/>
        <w:ind w:firstLine="315"/>
        <w:jc w:val="both"/>
      </w:pP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spacing w:after="150"/>
        <w:ind w:firstLine="315"/>
        <w:jc w:val="both"/>
      </w:pPr>
      <w:r>
        <w:rPr>
          <w:rFonts w:ascii="仿宋_GB2312" w:hAnsi="仿宋_GB2312" w:cs="仿宋_GB2312" w:eastAsia="仿宋_GB2312"/>
          <w:sz w:val="24"/>
          <w:b/>
          <w:shd w:fill="FFFFFF" w:val="clear"/>
        </w:rPr>
        <w:t>（二）电子化非招标项目视为串通情形的认定</w:t>
      </w:r>
    </w:p>
    <w:p>
      <w:pPr>
        <w:pStyle w:val="null3"/>
        <w:spacing w:after="150"/>
        <w:ind w:firstLine="315"/>
        <w:jc w:val="both"/>
      </w:pPr>
      <w:r>
        <w:rPr>
          <w:rFonts w:ascii="仿宋_GB2312" w:hAnsi="仿宋_GB2312" w:cs="仿宋_GB2312" w:eastAsia="仿宋_GB2312"/>
          <w:sz w:val="24"/>
          <w:b/>
          <w:shd w:fill="FFFFFF" w:val="clear"/>
        </w:rPr>
        <w:t>电子化非招标项目（包括竞争性谈判、竞争性磋商、询价）中出现本意见第一点所列情形的，属于《中华人民共和国政府采购法实施条例》第七十四条第（七）项</w:t>
      </w:r>
      <w:r>
        <w:rPr>
          <w:rFonts w:ascii="仿宋_GB2312" w:hAnsi="仿宋_GB2312" w:cs="仿宋_GB2312" w:eastAsia="仿宋_GB2312"/>
          <w:sz w:val="24"/>
          <w:b/>
          <w:shd w:fill="FFFFFF" w:val="clear"/>
        </w:rPr>
        <w:t>“供 应商与采购人或者采购代 理机构之间、供 应商相互之间，为谋求特定供 应商中标、成交或者排斥其他供 应商的其他串通行为”。</w:t>
      </w:r>
    </w:p>
    <w:p>
      <w:pPr>
        <w:pStyle w:val="null3"/>
        <w:spacing w:after="150"/>
        <w:ind w:firstLine="240"/>
        <w:jc w:val="both"/>
      </w:pPr>
      <w:r>
        <w:rPr>
          <w:rFonts w:ascii="仿宋_GB2312" w:hAnsi="仿宋_GB2312" w:cs="仿宋_GB2312" w:eastAsia="仿宋_GB2312"/>
          <w:sz w:val="24"/>
          <w:b/>
          <w:shd w:fill="FFFFFF" w:val="clear"/>
        </w:rPr>
        <w:t>《福建省财政厅关于福建省省级政府采购货物和服务项目招标文件编制指引和实施指引的补充通知（三）》（闽财购〔</w:t>
      </w:r>
      <w:r>
        <w:rPr>
          <w:rFonts w:ascii="仿宋_GB2312" w:hAnsi="仿宋_GB2312" w:cs="仿宋_GB2312" w:eastAsia="仿宋_GB2312"/>
          <w:sz w:val="24"/>
          <w:b/>
          <w:shd w:fill="FFFFFF" w:val="clear"/>
        </w:rPr>
        <w:t>2010〕28号）</w:t>
      </w:r>
    </w:p>
    <w:p>
      <w:pPr>
        <w:pStyle w:val="null3"/>
        <w:spacing w:after="150"/>
        <w:ind w:firstLine="480"/>
        <w:jc w:val="both"/>
      </w:pPr>
      <w:r>
        <w:rPr>
          <w:rFonts w:ascii="仿宋_GB2312" w:hAnsi="仿宋_GB2312" w:cs="仿宋_GB2312" w:eastAsia="仿宋_GB2312"/>
          <w:sz w:val="24"/>
          <w:b/>
          <w:shd w:fill="FFFFFF" w:val="clear"/>
        </w:rPr>
        <w:t>评标委员会在评标过程中发现投标人存在下列情形之一的，可认定其有串通</w:t>
      </w:r>
    </w:p>
    <w:p>
      <w:pPr>
        <w:pStyle w:val="null3"/>
        <w:spacing w:after="150"/>
        <w:ind w:firstLine="480"/>
        <w:jc w:val="both"/>
      </w:pPr>
      <w:r>
        <w:rPr>
          <w:rFonts w:ascii="仿宋_GB2312" w:hAnsi="仿宋_GB2312" w:cs="仿宋_GB2312" w:eastAsia="仿宋_GB2312"/>
          <w:sz w:val="24"/>
          <w:b/>
          <w:shd w:fill="FFFFFF" w:val="clear"/>
        </w:rPr>
        <w:t>投标行为，并做出其投标无效的决定：</w:t>
      </w:r>
    </w:p>
    <w:p>
      <w:pPr>
        <w:pStyle w:val="null3"/>
        <w:spacing w:after="150"/>
        <w:ind w:firstLine="480"/>
        <w:jc w:val="both"/>
      </w:pPr>
      <w:r>
        <w:rPr>
          <w:rFonts w:ascii="仿宋_GB2312" w:hAnsi="仿宋_GB2312" w:cs="仿宋_GB2312" w:eastAsia="仿宋_GB2312"/>
          <w:sz w:val="24"/>
          <w:b/>
          <w:shd w:fill="FFFFFF" w:val="clear"/>
        </w:rPr>
        <w:t>（一）不同投标人的投标文件错、漏之处一致或雷同，且不能合理解释的；</w:t>
      </w:r>
    </w:p>
    <w:p>
      <w:pPr>
        <w:pStyle w:val="null3"/>
        <w:spacing w:after="150"/>
        <w:ind w:firstLine="480"/>
        <w:jc w:val="both"/>
      </w:pPr>
      <w:r>
        <w:rPr>
          <w:rFonts w:ascii="仿宋_GB2312" w:hAnsi="仿宋_GB2312" w:cs="仿宋_GB2312" w:eastAsia="仿宋_GB2312"/>
          <w:sz w:val="24"/>
          <w:b/>
          <w:shd w:fill="FFFFFF" w:val="clear"/>
        </w:rPr>
        <w:t>（二）不同的投标人的法定代表人、委托代理人等由同一个单位缴纳社会保险的；</w:t>
      </w:r>
    </w:p>
    <w:p>
      <w:pPr>
        <w:pStyle w:val="null3"/>
        <w:spacing w:after="150"/>
        <w:ind w:firstLine="480"/>
        <w:jc w:val="both"/>
      </w:pPr>
      <w:r>
        <w:rPr>
          <w:rFonts w:ascii="仿宋_GB2312" w:hAnsi="仿宋_GB2312" w:cs="仿宋_GB2312" w:eastAsia="仿宋_GB2312"/>
          <w:sz w:val="24"/>
          <w:b/>
          <w:shd w:fill="FFFFFF" w:val="clear"/>
        </w:rPr>
        <w:t>（三）由同一人或分别由几个有利害关系人携带两个以上（含两个）投标人的企业资料参与资格审查、领取招标资料，或代表两个以上（含两个）投标人参加招标答疑会、交纳或退还投标保证金、开标的；</w:t>
      </w:r>
    </w:p>
    <w:p>
      <w:pPr>
        <w:pStyle w:val="null3"/>
        <w:spacing w:after="150"/>
        <w:ind w:firstLine="480"/>
        <w:jc w:val="both"/>
      </w:pPr>
      <w:r>
        <w:rPr>
          <w:rFonts w:ascii="仿宋_GB2312" w:hAnsi="仿宋_GB2312" w:cs="仿宋_GB2312" w:eastAsia="仿宋_GB2312"/>
          <w:sz w:val="24"/>
          <w:b/>
          <w:shd w:fill="FFFFFF" w:val="clear"/>
        </w:rPr>
        <w:t>（四）有关法律、法规或规章规定的其他串通投标行为。</w:t>
      </w:r>
    </w:p>
    <w:p>
      <w:pPr>
        <w:pStyle w:val="null3"/>
        <w:spacing w:after="150"/>
        <w:ind w:firstLine="480"/>
        <w:jc w:val="both"/>
      </w:pPr>
      <w:r>
        <w:rPr>
          <w:rFonts w:ascii="仿宋_GB2312" w:hAnsi="仿宋_GB2312" w:cs="仿宋_GB2312" w:eastAsia="仿宋_GB2312"/>
          <w:sz w:val="24"/>
          <w:b/>
          <w:shd w:fill="FFFFFF" w:val="clear"/>
        </w:rPr>
        <w:t>三、供应商需承担的后果</w:t>
      </w:r>
    </w:p>
    <w:p>
      <w:pPr>
        <w:pStyle w:val="null3"/>
        <w:spacing w:after="150"/>
        <w:ind w:firstLine="480"/>
        <w:jc w:val="both"/>
      </w:pPr>
      <w:r>
        <w:rPr>
          <w:rFonts w:ascii="仿宋_GB2312" w:hAnsi="仿宋_GB2312" w:cs="仿宋_GB2312" w:eastAsia="仿宋_GB2312"/>
          <w:sz w:val="24"/>
          <w:b/>
          <w:shd w:fill="FFFFFF" w:val="clear"/>
        </w:rPr>
        <w:t>1、《政府采购法》第七十七条：供 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（三）与采购人、其他供 应商或者采购代 理机构恶意串通的； 供 应商有前款第（一）至（五）项情形之一的，中标、成交无效。</w:t>
      </w:r>
    </w:p>
    <w:p>
      <w:pPr>
        <w:pStyle w:val="null3"/>
        <w:spacing w:after="150"/>
        <w:ind w:firstLine="480"/>
        <w:jc w:val="both"/>
      </w:pPr>
      <w:r>
        <w:rPr>
          <w:rFonts w:ascii="仿宋_GB2312" w:hAnsi="仿宋_GB2312" w:cs="仿宋_GB2312" w:eastAsia="仿宋_GB2312"/>
          <w:sz w:val="24"/>
          <w:b/>
          <w:shd w:fill="FFFFFF" w:val="clear"/>
        </w:rPr>
        <w:t>2、《政府采购非招标采购方式管理办法》（财政部令第74号）第二十条：有下列情形之一的，保证金不予退还： （四）供 应商与采购人、其他供 应商或者采购代 理机构恶意串通的；</w:t>
      </w:r>
    </w:p>
    <w:p>
      <w:pPr>
        <w:pStyle w:val="null3"/>
        <w:spacing w:after="150"/>
        <w:ind w:firstLine="315"/>
        <w:jc w:val="both"/>
      </w:pPr>
      <w:r>
        <w:rPr>
          <w:rFonts w:ascii="仿宋_GB2312" w:hAnsi="仿宋_GB2312" w:cs="仿宋_GB2312" w:eastAsia="仿宋_GB2312"/>
          <w:sz w:val="24"/>
          <w:b/>
          <w:shd w:fill="FFFFFF" w:val="clear"/>
        </w:rPr>
        <w:t>3、《政府采购竞争性磋商采购方式管理暂行办法》（财库〔2014〕214号）第三十一条：有下列情形之一的，磋商保证金不予退还： （四）供 应商与采购人、其他供 应商或者采购代 理机构恶意串通的；</w:t>
      </w:r>
    </w:p>
    <w:p>
      <w:pPr>
        <w:pStyle w:val="null3"/>
        <w:spacing w:after="150"/>
        <w:ind w:firstLine="480"/>
        <w:jc w:val="both"/>
      </w:pPr>
      <w:r>
        <w:rPr>
          <w:rFonts w:ascii="仿宋_GB2312" w:hAnsi="仿宋_GB2312" w:cs="仿宋_GB2312" w:eastAsia="仿宋_GB2312"/>
          <w:sz w:val="24"/>
          <w:b/>
          <w:shd w:fill="FFFFFF" w:val="clear"/>
        </w:rPr>
        <w:t>4、《福建省财政厅关于电子化政府采购项目中视为串标情形认定与处理的指导意见》（闽财购〔2018〕30号） 在开标过程中，发现投标（响应）人有上述情形的，采购人、采购代 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p>
      <w:pPr>
        <w:pStyle w:val="null3"/>
        <w:spacing w:after="150"/>
        <w:ind w:firstLine="480"/>
        <w:jc w:val="both"/>
      </w:pPr>
      <w:r>
        <w:rPr>
          <w:rFonts w:ascii="仿宋_GB2312" w:hAnsi="仿宋_GB2312" w:cs="仿宋_GB2312" w:eastAsia="仿宋_GB2312"/>
          <w:b/>
        </w:rPr>
        <w:t xml:space="preserve"> </w:t>
      </w:r>
    </w:p>
    <w:p>
      <w:pPr>
        <w:pStyle w:val="null3"/>
        <w:spacing w:after="150"/>
        <w:ind w:firstLine="480"/>
        <w:jc w:val="both"/>
      </w:pPr>
      <w:r>
        <w:rPr>
          <w:rFonts w:ascii="仿宋_GB2312" w:hAnsi="仿宋_GB2312" w:cs="仿宋_GB2312" w:eastAsia="仿宋_GB2312"/>
          <w:sz w:val="24"/>
          <w:b/>
          <w:shd w:fill="FFFFFF" w:val="clear"/>
        </w:rPr>
        <w:t xml:space="preserve"> </w:t>
      </w:r>
      <w:r>
        <w:rPr>
          <w:rFonts w:ascii="仿宋_GB2312" w:hAnsi="仿宋_GB2312" w:cs="仿宋_GB2312" w:eastAsia="仿宋_GB2312"/>
          <w:sz w:val="24"/>
          <w:b/>
          <w:shd w:fill="FFFFFF" w:val="clear"/>
        </w:rPr>
        <w:t>附件</w:t>
      </w:r>
      <w:r>
        <w:rPr>
          <w:rFonts w:ascii="仿宋_GB2312" w:hAnsi="仿宋_GB2312" w:cs="仿宋_GB2312" w:eastAsia="仿宋_GB2312"/>
          <w:sz w:val="24"/>
          <w:b/>
          <w:shd w:fill="FFFFFF" w:val="clear"/>
        </w:rPr>
        <w:t>2：</w:t>
      </w:r>
    </w:p>
    <w:p>
      <w:pPr>
        <w:pStyle w:val="null3"/>
        <w:spacing w:after="150"/>
        <w:ind w:firstLine="3120"/>
        <w:jc w:val="both"/>
      </w:pPr>
      <w:r>
        <w:rPr>
          <w:rFonts w:ascii="仿宋_GB2312" w:hAnsi="仿宋_GB2312" w:cs="仿宋_GB2312" w:eastAsia="仿宋_GB2312"/>
          <w:sz w:val="24"/>
          <w:b/>
          <w:shd w:fill="FFFFFF" w:val="clear"/>
        </w:rPr>
        <w:t>采购文件远程开标事项</w:t>
      </w:r>
    </w:p>
    <w:p>
      <w:pPr>
        <w:pStyle w:val="null3"/>
        <w:spacing w:after="150"/>
        <w:ind w:firstLine="480"/>
        <w:jc w:val="both"/>
      </w:pPr>
      <w:r>
        <w:rPr>
          <w:rFonts w:ascii="仿宋_GB2312" w:hAnsi="仿宋_GB2312" w:cs="仿宋_GB2312" w:eastAsia="仿宋_GB2312"/>
          <w:b/>
        </w:rPr>
        <w:t xml:space="preserve"> </w:t>
      </w:r>
    </w:p>
    <w:p>
      <w:pPr>
        <w:pStyle w:val="null3"/>
        <w:spacing w:after="150"/>
        <w:ind w:firstLine="480"/>
        <w:jc w:val="both"/>
      </w:pPr>
      <w:r>
        <w:rPr>
          <w:rFonts w:ascii="仿宋_GB2312" w:hAnsi="仿宋_GB2312" w:cs="仿宋_GB2312" w:eastAsia="仿宋_GB2312"/>
          <w:sz w:val="24"/>
          <w:b/>
          <w:shd w:fill="FFFFFF" w:val="clear"/>
        </w:rPr>
        <w:t>一、本项目采用</w:t>
      </w:r>
      <w:r>
        <w:rPr>
          <w:rFonts w:ascii="仿宋_GB2312" w:hAnsi="仿宋_GB2312" w:cs="仿宋_GB2312" w:eastAsia="仿宋_GB2312"/>
          <w:sz w:val="24"/>
          <w:b/>
          <w:shd w:fill="FFFFFF" w:val="clear"/>
        </w:rPr>
        <w:t>“远程开标”，投标人可到开标现场，也可不到开标现场，由投标人自行决定。</w:t>
      </w:r>
    </w:p>
    <w:p>
      <w:pPr>
        <w:pStyle w:val="null3"/>
        <w:spacing w:after="150"/>
        <w:ind w:firstLine="480"/>
        <w:jc w:val="both"/>
      </w:pPr>
      <w:r>
        <w:rPr>
          <w:rFonts w:ascii="仿宋_GB2312" w:hAnsi="仿宋_GB2312" w:cs="仿宋_GB2312" w:eastAsia="仿宋_GB2312"/>
          <w:sz w:val="24"/>
          <w:b/>
          <w:shd w:fill="FFFFFF" w:val="clear"/>
        </w:rPr>
        <w:t>二、投标人不到开标现场的，请在福建省政府采购网厦门分网</w:t>
      </w:r>
      <w:r>
        <w:rPr>
          <w:rFonts w:ascii="仿宋_GB2312" w:hAnsi="仿宋_GB2312" w:cs="仿宋_GB2312" w:eastAsia="仿宋_GB2312"/>
          <w:sz w:val="24"/>
          <w:b/>
          <w:shd w:fill="FFFFFF" w:val="clear"/>
        </w:rPr>
        <w:t>“服务专区/下载专区/资料下载”中，下载《远程开标操作手册》，在开标时自行登录采购系统，线上观看开标过程，并按要求在开标时段对投标文件进行远程解密、远程签章。</w:t>
      </w:r>
    </w:p>
    <w:p>
      <w:pPr>
        <w:pStyle w:val="null3"/>
        <w:spacing w:after="150"/>
        <w:ind w:firstLine="480"/>
        <w:jc w:val="both"/>
      </w:pPr>
      <w:r>
        <w:rPr>
          <w:rFonts w:ascii="仿宋_GB2312" w:hAnsi="仿宋_GB2312" w:cs="仿宋_GB2312" w:eastAsia="仿宋_GB2312"/>
          <w:sz w:val="24"/>
          <w:b/>
          <w:shd w:fill="FFFFFF" w:val="clear"/>
        </w:rPr>
        <w:t>三、投标人应确保自身设施、设备、网络状况良好，提请了解熟悉远程开标流程，因投标人自身原因造成无法正常观看开标过程、远程解密或签章的，后果由投标人自行承担。</w:t>
      </w:r>
    </w:p>
    <w:p>
      <w:pPr>
        <w:pStyle w:val="null3"/>
        <w:spacing w:after="150"/>
        <w:ind w:firstLine="480"/>
        <w:jc w:val="both"/>
      </w:pPr>
      <w:r>
        <w:rPr>
          <w:rFonts w:ascii="仿宋_GB2312" w:hAnsi="仿宋_GB2312" w:cs="仿宋_GB2312" w:eastAsia="仿宋_GB2312"/>
          <w:sz w:val="24"/>
          <w:b/>
          <w:shd w:fill="FFFFFF" w:val="clear"/>
        </w:rPr>
        <w:t>四、在规定的时间内正确提交电子投标文件的投标人在开标时将由系统判断签到情况，具体信息以福建省政府采购网上公开信息系统所示为准。</w:t>
      </w:r>
    </w:p>
    <w:p>
      <w:pPr>
        <w:pStyle w:val="null3"/>
        <w:spacing w:after="150"/>
        <w:ind w:firstLine="480"/>
        <w:jc w:val="both"/>
      </w:pPr>
      <w:r>
        <w:rPr>
          <w:rFonts w:ascii="仿宋_GB2312" w:hAnsi="仿宋_GB2312" w:cs="仿宋_GB2312" w:eastAsia="仿宋_GB2312"/>
          <w:sz w:val="24"/>
          <w:b/>
          <w:shd w:fill="FFFFFF" w:val="clear"/>
        </w:rPr>
        <w:t>五、投标人应在远程解密开启后在规定时间内使用</w:t>
      </w:r>
      <w:r>
        <w:rPr>
          <w:rFonts w:ascii="仿宋_GB2312" w:hAnsi="仿宋_GB2312" w:cs="仿宋_GB2312" w:eastAsia="仿宋_GB2312"/>
          <w:sz w:val="24"/>
          <w:b/>
          <w:shd w:fill="FFFFFF" w:val="clear"/>
        </w:rPr>
        <w:t>CA数字证书（应与投标文件加密时所用CA证书一致）进行投标文件的解密操作，逾期未解密的视为放弃投标。</w:t>
      </w:r>
    </w:p>
    <w:p>
      <w:pPr>
        <w:pStyle w:val="null3"/>
        <w:spacing w:after="150"/>
        <w:ind w:firstLine="480"/>
        <w:jc w:val="both"/>
      </w:pPr>
      <w:r>
        <w:rPr>
          <w:rFonts w:ascii="仿宋_GB2312" w:hAnsi="仿宋_GB2312" w:cs="仿宋_GB2312" w:eastAsia="仿宋_GB2312"/>
          <w:sz w:val="24"/>
          <w:b/>
          <w:shd w:fill="FFFFFF" w:val="clear"/>
        </w:rPr>
        <w:t>六、唱标结束后，投标人可对开标结果进行签章，并在远程签章开放后规定时间内完成，逾期未签章的视同认可开标结果。</w:t>
      </w:r>
    </w:p>
    <w:p>
      <w:pPr>
        <w:pStyle w:val="null3"/>
        <w:spacing w:after="150"/>
        <w:ind w:firstLine="480"/>
        <w:jc w:val="both"/>
      </w:pPr>
      <w:r>
        <w:rPr>
          <w:rFonts w:ascii="仿宋_GB2312" w:hAnsi="仿宋_GB2312" w:cs="仿宋_GB2312" w:eastAsia="仿宋_GB2312"/>
          <w:sz w:val="24"/>
          <w:b/>
          <w:shd w:fill="FFFFFF" w:val="clear"/>
        </w:rPr>
        <w:t>七、开、评标期间，投标人代表应保证采购系统中预留的联系方式畅通，以便随时接收并答复评标委员会发起的澄清等事项。</w:t>
      </w:r>
    </w:p>
    <w:p>
      <w:pPr>
        <w:pStyle w:val="null3"/>
        <w:jc w:val="both"/>
      </w:pPr>
      <w:r>
        <w:rPr>
          <w:rFonts w:ascii="仿宋_GB2312" w:hAnsi="仿宋_GB2312" w:cs="仿宋_GB2312" w:eastAsia="仿宋_GB2312"/>
          <w:sz w:val="24"/>
          <w:b/>
          <w:shd w:fill="FFFFFF" w:val="clear"/>
        </w:rPr>
        <w:t>八、在操作过程中如有疑问请咨询技术人员（</w:t>
      </w:r>
      <w:r>
        <w:rPr>
          <w:rFonts w:ascii="仿宋_GB2312" w:hAnsi="仿宋_GB2312" w:cs="仿宋_GB2312" w:eastAsia="仿宋_GB2312"/>
          <w:sz w:val="24"/>
          <w:b/>
          <w:shd w:fill="FFFFFF" w:val="clear"/>
        </w:rPr>
        <w:t>400-1612-666、0592-2858142）或采购代 理机构工作人员。</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2.1本项目支持供应 商办理政府采购合同融资（即政采贷），具体相关政策详见《关于促进中小企业政府采购合同融资健康开展的通知》（闽财购函〔2019〕16 号）等政策，投标人中 标 后如需融资，可通过“福建省政府采购合同融资信息服务平台”（网址：http://120.35.30.176/zcdproject/home）办理“政采贷”。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[350201]wx[GK]2025039</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ScienceDirect数据库租用服务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1(ScienceDirect数据库租用服务)</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ScienceDirect数据库租用服务</w:t>
            </w:r>
          </w:p>
        </w:tc>
        <w:tc>
          <w:tcPr>
            <w:tcW w:type="dxa" w:w="1661"/>
          </w:tcPr>
          <w:p>
            <w:pPr>
              <w:pStyle w:val="null3"/>
              <w:jc w:val="left"/>
            </w:pPr>
            <w:r>
              <w:rPr>
                <w:rFonts w:ascii="仿宋_GB2312" w:hAnsi="仿宋_GB2312" w:cs="仿宋_GB2312" w:eastAsia="仿宋_GB2312"/>
              </w:rPr>
              <w:t xml:space="preserve"> 3445000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[350201]wx[GK]2025039</w:t>
      </w:r>
    </w:p>
    <w:p>
      <w:pPr>
        <w:pStyle w:val="null3"/>
        <w:jc w:val="left"/>
      </w:pPr>
      <w:r>
        <w:rPr>
          <w:rFonts w:ascii="仿宋_GB2312" w:hAnsi="仿宋_GB2312" w:cs="仿宋_GB2312" w:eastAsia="仿宋_GB2312"/>
        </w:rPr>
        <w:t>项目名称：</w:t>
      </w:r>
      <w:r>
        <w:rPr>
          <w:rFonts w:ascii="仿宋_GB2312" w:hAnsi="仿宋_GB2312" w:cs="仿宋_GB2312" w:eastAsia="仿宋_GB2312"/>
        </w:rPr>
        <w:t>ScienceDirect数据库租用服务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ScienceDirect数据库租用服务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ScienceDirect数据库租用服务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ScienceDirect数据库租用服务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3445000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3、电子投标文件中涉及“投标标的”、“数量”、“规格”、“来源地”的内容若不一致，以投标客户端的投标（响应）报价明细表为准。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