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EFCE7">
      <w:pPr>
        <w:spacing w:line="360" w:lineRule="auto"/>
        <w:rPr>
          <w:rFonts w:hint="eastAsia" w:ascii="宋体" w:hAnsi="宋体"/>
          <w:b/>
          <w:color w:val="000000" w:themeColor="text1"/>
          <w:sz w:val="52"/>
          <w:szCs w:val="52"/>
          <w:highlight w:val="none"/>
          <w14:textFill>
            <w14:solidFill>
              <w14:schemeClr w14:val="tx1"/>
            </w14:solidFill>
          </w14:textFill>
        </w:rPr>
      </w:pPr>
    </w:p>
    <w:p w14:paraId="3B18DE04">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4596D2D">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2A00E4E6">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5B5E0C75">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7CA54B27">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5416A447">
      <w:pPr>
        <w:spacing w:line="360" w:lineRule="auto"/>
        <w:rPr>
          <w:rFonts w:hint="eastAsia" w:ascii="宋体" w:hAnsi="宋体"/>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lang w:eastAsia="zh-CN"/>
          <w14:textFill>
            <w14:solidFill>
              <w14:schemeClr w14:val="tx1"/>
            </w14:solidFill>
          </w14:textFill>
        </w:rPr>
        <w:t>XM2025-TZ0488</w:t>
      </w:r>
    </w:p>
    <w:p w14:paraId="5A2F6510">
      <w:pPr>
        <w:spacing w:line="360" w:lineRule="auto"/>
        <w:ind w:left="0" w:leftChars="0" w:firstLine="361" w:firstLineChars="100"/>
        <w:jc w:val="left"/>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w:t>
      </w:r>
      <w:r>
        <w:rPr>
          <w:rFonts w:hint="eastAsia" w:ascii="宋体" w:hAnsi="宋体"/>
          <w:b/>
          <w:color w:val="000000" w:themeColor="text1"/>
          <w:sz w:val="36"/>
          <w:szCs w:val="36"/>
          <w:highlight w:val="none"/>
          <w:lang w:eastAsia="zh-CN"/>
          <w14:textFill>
            <w14:solidFill>
              <w14:schemeClr w14:val="tx1"/>
            </w14:solidFill>
          </w14:textFill>
        </w:rPr>
        <w:t>厦门市海洋生态环境承载力评估项目</w:t>
      </w:r>
    </w:p>
    <w:p w14:paraId="48F3D43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B3D7F0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013349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3B4B4A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BF33A5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76C0DED">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：厦门市生态环境局</w:t>
      </w:r>
    </w:p>
    <w:p w14:paraId="41BBE8F8">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2687E9D2">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4219DF2">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2016654">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63B7F745">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667B57BD">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22CCDE0A">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22CBE44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7B11591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7753F0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BE862F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41EB86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11F1F17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609689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05B3EC47">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w:t>
      </w:r>
      <w:r>
        <w:rPr>
          <w:rFonts w:hint="eastAsia" w:ascii="宋体" w:hAnsi="宋体" w:cs="宋体"/>
          <w:color w:val="000000" w:themeColor="text1"/>
          <w:sz w:val="24"/>
          <w:szCs w:val="24"/>
          <w:highlight w:val="none"/>
          <w:lang w:eastAsia="zh-CN"/>
          <w14:textFill>
            <w14:solidFill>
              <w14:schemeClr w14:val="tx1"/>
            </w14:solidFill>
          </w14:textFill>
        </w:rPr>
        <w:t>27.8</w:t>
      </w:r>
      <w:r>
        <w:rPr>
          <w:rFonts w:hint="eastAsia" w:ascii="宋体" w:hAnsi="宋体" w:eastAsia="宋体" w:cs="宋体"/>
          <w:color w:val="000000" w:themeColor="text1"/>
          <w:sz w:val="24"/>
          <w:szCs w:val="24"/>
          <w:highlight w:val="none"/>
          <w14:textFill>
            <w14:solidFill>
              <w14:schemeClr w14:val="tx1"/>
            </w14:solidFill>
          </w14:textFill>
        </w:rPr>
        <w:t>0；朱姗姗   2991131、18050082825</w:t>
      </w:r>
    </w:p>
    <w:p w14:paraId="23103B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6C797C3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984E3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434FED16">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35CE42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3BFA2B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08B73E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5A7C2A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34EFDE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E25E25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14A1A1F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72F0B41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3C9BC14">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C090B1F">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7F7837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2C9B615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19A0BAD">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3A66B9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第二章 </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36F0CBDB">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须知前附表1 ........................... ...</w:t>
      </w:r>
    </w:p>
    <w:p w14:paraId="41F9A6B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 ...................... ...... .</w:t>
      </w:r>
    </w:p>
    <w:p w14:paraId="28855129">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须知前附表3 .................... ...... ...</w:t>
      </w:r>
    </w:p>
    <w:p w14:paraId="5A93BF9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须知前附表4..................... ...... ...</w:t>
      </w:r>
    </w:p>
    <w:p w14:paraId="687F5DA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356B26F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77D21809">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的编写.......................... .......</w:t>
      </w:r>
    </w:p>
    <w:p w14:paraId="78536B06">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的提交.................................</w:t>
      </w:r>
    </w:p>
    <w:p w14:paraId="6B18EC4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的评估和比较...................... ..</w:t>
      </w:r>
    </w:p>
    <w:p w14:paraId="4E7A0508">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231D2FE8">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4970ED43">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E4DAE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 xml:space="preserve">第五章 </w:t>
      </w:r>
      <w:r>
        <w:rPr>
          <w:rFonts w:hint="eastAsia" w:ascii="宋体" w:hAnsi="宋体" w:cs="宋体"/>
          <w:b/>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
          <w:color w:val="000000" w:themeColor="text1"/>
          <w:sz w:val="24"/>
          <w:szCs w:val="24"/>
          <w:highlight w:val="none"/>
          <w14:textFill>
            <w14:solidFill>
              <w14:schemeClr w14:val="tx1"/>
            </w14:solidFill>
          </w14:textFill>
        </w:rPr>
        <w:t>（格式）</w:t>
      </w:r>
      <w:r>
        <w:rPr>
          <w:rFonts w:hint="eastAsia" w:ascii="宋体" w:hAnsi="宋体" w:eastAsia="宋体" w:cs="宋体"/>
          <w:color w:val="000000" w:themeColor="text1"/>
          <w:sz w:val="24"/>
          <w:szCs w:val="24"/>
          <w:highlight w:val="none"/>
          <w14:textFill>
            <w14:solidFill>
              <w14:schemeClr w14:val="tx1"/>
            </w14:solidFill>
          </w14:textFill>
        </w:rPr>
        <w:t>.............................. ......</w:t>
      </w:r>
    </w:p>
    <w:p w14:paraId="3A42BE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6870136">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57105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A4071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EB112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B88D6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611C03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8E767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AA3A6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CB74E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6C56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EA460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DAFF9D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32E0AF7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C257A4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81ACFA">
      <w:pPr>
        <w:tabs>
          <w:tab w:val="left" w:pos="900"/>
        </w:tabs>
        <w:spacing w:line="360" w:lineRule="auto"/>
        <w:ind w:firstLine="482" w:firstLineChars="200"/>
        <w:rPr>
          <w:rFonts w:hint="eastAsia" w:ascii="宋体" w:hAnsi="宋体" w:eastAsia="宋体" w:cs="宋体"/>
          <w:b/>
          <w:bCs/>
          <w:color w:val="000000" w:themeColor="text1"/>
          <w:sz w:val="21"/>
          <w:szCs w:val="21"/>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14:textFill>
            <w14:solidFill>
              <w14:schemeClr w14:val="tx1"/>
            </w14:solidFill>
          </w14:textFill>
        </w:rPr>
        <w:t>厦门市生态环境局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color w:val="000000" w:themeColor="text1"/>
          <w:sz w:val="24"/>
          <w:szCs w:val="24"/>
          <w:highlight w:val="none"/>
          <w:lang w:eastAsia="zh-CN"/>
          <w14:textFill>
            <w14:solidFill>
              <w14:schemeClr w14:val="tx1"/>
            </w14:solidFill>
          </w14:textFill>
        </w:rPr>
        <w:t>厦门市海洋生态环境承载力评估项目</w:t>
      </w:r>
      <w:r>
        <w:rPr>
          <w:rFonts w:hint="eastAsia" w:ascii="宋体" w:hAnsi="宋体" w:eastAsia="宋体" w:cs="宋体"/>
          <w:bCs/>
          <w:color w:val="000000" w:themeColor="text1"/>
          <w:sz w:val="21"/>
          <w:szCs w:val="21"/>
          <w:highlight w:val="none"/>
          <w14:textFill>
            <w14:solidFill>
              <w14:schemeClr w14:val="tx1"/>
            </w14:solidFill>
          </w14:textFill>
        </w:rPr>
        <w:t>的采购</w:t>
      </w:r>
      <w:r>
        <w:rPr>
          <w:rFonts w:hint="eastAsia" w:ascii="宋体" w:hAnsi="宋体" w:eastAsia="宋体" w:cs="宋体"/>
          <w:color w:val="000000" w:themeColor="text1"/>
          <w:sz w:val="21"/>
          <w:szCs w:val="21"/>
          <w:highlight w:val="none"/>
          <w14:textFill>
            <w14:solidFill>
              <w14:schemeClr w14:val="tx1"/>
            </w14:solidFill>
          </w14:textFill>
        </w:rPr>
        <w:t>采用</w:t>
      </w:r>
      <w:r>
        <w:rPr>
          <w:rFonts w:hint="eastAsia" w:ascii="宋体" w:hAnsi="宋体" w:eastAsia="宋体" w:cs="宋体"/>
          <w:b/>
          <w:color w:val="000000" w:themeColor="text1"/>
          <w:sz w:val="21"/>
          <w:szCs w:val="21"/>
          <w:highlight w:val="none"/>
          <w:u w:val="single"/>
          <w14:textFill>
            <w14:solidFill>
              <w14:schemeClr w14:val="tx1"/>
            </w14:solidFill>
          </w14:textFill>
        </w:rPr>
        <w:t>竞争性磋商方式</w:t>
      </w:r>
      <w:r>
        <w:rPr>
          <w:rFonts w:hint="eastAsia" w:ascii="宋体" w:hAnsi="宋体" w:eastAsia="宋体" w:cs="宋体"/>
          <w:color w:val="000000" w:themeColor="text1"/>
          <w:sz w:val="21"/>
          <w:szCs w:val="21"/>
          <w:highlight w:val="none"/>
          <w14:textFill>
            <w14:solidFill>
              <w14:schemeClr w14:val="tx1"/>
            </w14:solidFill>
          </w14:textFill>
        </w:rPr>
        <w:t>进行。现欢迎国内合格</w:t>
      </w:r>
      <w:r>
        <w:rPr>
          <w:rFonts w:hint="eastAsia" w:ascii="宋体" w:hAnsi="宋体" w:cs="宋体"/>
          <w:color w:val="000000" w:themeColor="text1"/>
          <w:sz w:val="21"/>
          <w:szCs w:val="21"/>
          <w:highlight w:val="none"/>
          <w:lang w:eastAsia="zh-CN"/>
          <w14:textFill>
            <w14:solidFill>
              <w14:schemeClr w14:val="tx1"/>
            </w14:solidFill>
          </w14:textFill>
        </w:rPr>
        <w:t>供应商</w:t>
      </w:r>
      <w:r>
        <w:rPr>
          <w:rFonts w:hint="eastAsia" w:ascii="宋体" w:hAnsi="宋体" w:eastAsia="宋体" w:cs="宋体"/>
          <w:color w:val="000000" w:themeColor="text1"/>
          <w:sz w:val="21"/>
          <w:szCs w:val="21"/>
          <w:highlight w:val="none"/>
          <w14:textFill>
            <w14:solidFill>
              <w14:schemeClr w14:val="tx1"/>
            </w14:solidFill>
          </w14:textFill>
        </w:rPr>
        <w:t>密封提交</w:t>
      </w:r>
      <w:r>
        <w:rPr>
          <w:rFonts w:hint="eastAsia" w:ascii="宋体" w:hAnsi="宋体" w:cs="宋体"/>
          <w:color w:val="000000" w:themeColor="text1"/>
          <w:sz w:val="21"/>
          <w:szCs w:val="21"/>
          <w:highlight w:val="none"/>
          <w:lang w:eastAsia="zh-CN"/>
          <w14:textFill>
            <w14:solidFill>
              <w14:schemeClr w14:val="tx1"/>
            </w14:solidFill>
          </w14:textFill>
        </w:rPr>
        <w:t>磋商响应文件</w:t>
      </w:r>
      <w:r>
        <w:rPr>
          <w:rFonts w:hint="eastAsia" w:ascii="宋体" w:hAnsi="宋体" w:eastAsia="宋体" w:cs="宋体"/>
          <w:color w:val="000000" w:themeColor="text1"/>
          <w:sz w:val="21"/>
          <w:szCs w:val="21"/>
          <w:highlight w:val="none"/>
          <w14:textFill>
            <w14:solidFill>
              <w14:schemeClr w14:val="tx1"/>
            </w14:solidFill>
          </w14:textFill>
        </w:rPr>
        <w:t>。</w:t>
      </w:r>
    </w:p>
    <w:p w14:paraId="3AEA32C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XM2025-TZ0488</w:t>
      </w:r>
      <w:r>
        <w:rPr>
          <w:rFonts w:hint="eastAsia" w:ascii="宋体" w:hAnsi="宋体" w:eastAsia="宋体" w:cs="宋体"/>
          <w:color w:val="000000" w:themeColor="text1"/>
          <w:sz w:val="24"/>
          <w:szCs w:val="24"/>
          <w:highlight w:val="none"/>
          <w14:textFill>
            <w14:solidFill>
              <w14:schemeClr w14:val="tx1"/>
            </w14:solidFill>
          </w14:textFill>
        </w:rPr>
        <w:t>。</w:t>
      </w:r>
    </w:p>
    <w:p w14:paraId="260290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61EE249C">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12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 xml:space="preserve">11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24</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183418BC">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58F90235">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2</w:t>
      </w:r>
      <w:bookmarkStart w:id="4" w:name="_GoBack"/>
      <w:bookmarkEnd w:id="4"/>
      <w:r>
        <w:rPr>
          <w:rFonts w:hint="eastAsia" w:ascii="宋体" w:hAnsi="宋体" w:cs="宋体"/>
          <w:color w:val="000000" w:themeColor="text1"/>
          <w:sz w:val="24"/>
          <w:szCs w:val="24"/>
          <w:highlight w:val="none"/>
          <w:lang w:val="en-US" w:eastAsia="zh-CN"/>
          <w14:textFill>
            <w14:solidFill>
              <w14:schemeClr w14:val="tx1"/>
            </w14:solidFill>
          </w14:textFill>
        </w:rPr>
        <w:t xml:space="preserve">5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应在截止时间前将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将被拒绝。</w:t>
      </w:r>
    </w:p>
    <w:p w14:paraId="5AEA525D">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25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63F8CF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对本次磋商活动事项如有疑问的，请在磋商截止时间5日之前，以书面形式与采购代理机构联系。</w:t>
      </w:r>
    </w:p>
    <w:p w14:paraId="49FBAE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lang w:val="en-US" w:eastAsia="zh-CN"/>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关注。</w:t>
      </w:r>
    </w:p>
    <w:p w14:paraId="7FA032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520FBBF1">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7"/>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3BE4C6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vAlign w:val="center"/>
          </w:tcPr>
          <w:p w14:paraId="7E0BFED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vAlign w:val="center"/>
          </w:tcPr>
          <w:p w14:paraId="1B98AFC2">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vAlign w:val="center"/>
          </w:tcPr>
          <w:p w14:paraId="032BB4E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vAlign w:val="center"/>
          </w:tcPr>
          <w:p w14:paraId="255854B4">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vAlign w:val="center"/>
          </w:tcPr>
          <w:p w14:paraId="57F0C7D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E2FF1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1FF0924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vAlign w:val="center"/>
          </w:tcPr>
          <w:p w14:paraId="2C7B0C0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vAlign w:val="center"/>
          </w:tcPr>
          <w:p w14:paraId="75ED2E2E">
            <w:pPr>
              <w:spacing w:line="360" w:lineRule="auto"/>
              <w:ind w:firstLine="240" w:firstLineChars="100"/>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vAlign w:val="center"/>
          </w:tcPr>
          <w:p w14:paraId="126FDD25">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vAlign w:val="center"/>
          </w:tcPr>
          <w:p w14:paraId="05D0E3E9">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7B0152E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7D95E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5FE0767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vAlign w:val="center"/>
          </w:tcPr>
          <w:p w14:paraId="24DEA2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vAlign w:val="center"/>
          </w:tcPr>
          <w:p w14:paraId="11E0032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745AF5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vAlign w:val="center"/>
          </w:tcPr>
          <w:p w14:paraId="3EEDE2A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545F1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4CF259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vAlign w:val="center"/>
          </w:tcPr>
          <w:p w14:paraId="2A74AAB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vAlign w:val="center"/>
          </w:tcPr>
          <w:p w14:paraId="66A0810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vAlign w:val="center"/>
          </w:tcPr>
          <w:p w14:paraId="7AE370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vAlign w:val="center"/>
          </w:tcPr>
          <w:p w14:paraId="6881947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182BE3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3DC4038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vAlign w:val="center"/>
          </w:tcPr>
          <w:p w14:paraId="51EF0407">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vAlign w:val="center"/>
          </w:tcPr>
          <w:p w14:paraId="01B8C57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2C9F0E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vAlign w:val="center"/>
          </w:tcPr>
          <w:p w14:paraId="6BF04CB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02B429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17386F8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vAlign w:val="center"/>
          </w:tcPr>
          <w:p w14:paraId="69AE57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vAlign w:val="center"/>
          </w:tcPr>
          <w:p w14:paraId="64F7816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3EEE9D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vAlign w:val="center"/>
          </w:tcPr>
          <w:p w14:paraId="54D65B8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8EBCC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750C2F5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vAlign w:val="center"/>
          </w:tcPr>
          <w:p w14:paraId="5D0479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vAlign w:val="center"/>
          </w:tcPr>
          <w:p w14:paraId="498E63E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439C40A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vAlign w:val="center"/>
          </w:tcPr>
          <w:p w14:paraId="065DA7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0573C4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F21D0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45BD15C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1CA3EC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vAlign w:val="center"/>
          </w:tcPr>
          <w:p w14:paraId="3116C51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vAlign w:val="center"/>
          </w:tcPr>
          <w:p w14:paraId="4C5D46C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vAlign w:val="center"/>
          </w:tcPr>
          <w:p w14:paraId="249E61D5">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vAlign w:val="center"/>
          </w:tcPr>
          <w:p w14:paraId="7DBF4AE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vAlign w:val="center"/>
          </w:tcPr>
          <w:p w14:paraId="6960C448">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0ACDE3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146AFD9">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7"/>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0B6C2E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vAlign w:val="center"/>
          </w:tcPr>
          <w:p w14:paraId="1E04245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vAlign w:val="center"/>
          </w:tcPr>
          <w:p w14:paraId="20934A6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vAlign w:val="center"/>
          </w:tcPr>
          <w:p w14:paraId="6E7F82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09770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303811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vAlign w:val="center"/>
          </w:tcPr>
          <w:p w14:paraId="44DCA0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vAlign w:val="center"/>
          </w:tcPr>
          <w:p w14:paraId="7A723D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19B0EF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07667E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vAlign w:val="center"/>
          </w:tcPr>
          <w:p w14:paraId="33DB5A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vAlign w:val="center"/>
          </w:tcPr>
          <w:p w14:paraId="0C9D5F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5C6B4D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vAlign w:val="center"/>
          </w:tcPr>
          <w:p w14:paraId="3D52FA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vAlign w:val="center"/>
          </w:tcPr>
          <w:p w14:paraId="31C1D7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573352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须将相关的费用缴交至上表对应的账号，缴错账号而产生的一切后果由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69AD576C">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7E0B8D0E">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2B92C96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619E64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563B9F25">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1C9C4B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75B5A2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3873B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75BEFAE8">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45B86C2A">
      <w:pPr>
        <w:pStyle w:val="7"/>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575C276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7"/>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1075"/>
        <w:gridCol w:w="1845"/>
        <w:gridCol w:w="610"/>
        <w:gridCol w:w="1950"/>
        <w:gridCol w:w="1260"/>
        <w:gridCol w:w="960"/>
      </w:tblGrid>
      <w:tr w14:paraId="53C5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Align w:val="center"/>
          </w:tcPr>
          <w:p w14:paraId="030F60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75" w:type="dxa"/>
            <w:vAlign w:val="center"/>
          </w:tcPr>
          <w:p w14:paraId="2E582F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845" w:type="dxa"/>
            <w:vAlign w:val="center"/>
          </w:tcPr>
          <w:p w14:paraId="37D3B8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610" w:type="dxa"/>
            <w:vAlign w:val="center"/>
          </w:tcPr>
          <w:p w14:paraId="513692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950" w:type="dxa"/>
            <w:vAlign w:val="center"/>
          </w:tcPr>
          <w:p w14:paraId="417DD5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260" w:type="dxa"/>
            <w:vAlign w:val="center"/>
          </w:tcPr>
          <w:p w14:paraId="2F37713A">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960" w:type="dxa"/>
            <w:vAlign w:val="center"/>
          </w:tcPr>
          <w:p w14:paraId="08B451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7EECF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265" w:type="dxa"/>
            <w:vAlign w:val="center"/>
          </w:tcPr>
          <w:p w14:paraId="5A09D5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75" w:type="dxa"/>
            <w:vAlign w:val="center"/>
          </w:tcPr>
          <w:p w14:paraId="270037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845" w:type="dxa"/>
            <w:vAlign w:val="center"/>
          </w:tcPr>
          <w:p w14:paraId="713A0E5D">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厦门市海洋生态环境承载力评估项目</w:t>
            </w:r>
          </w:p>
        </w:tc>
        <w:tc>
          <w:tcPr>
            <w:tcW w:w="610" w:type="dxa"/>
            <w:vAlign w:val="center"/>
          </w:tcPr>
          <w:p w14:paraId="67CD00C2">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950" w:type="dxa"/>
            <w:vAlign w:val="center"/>
          </w:tcPr>
          <w:p w14:paraId="523D48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260" w:type="dxa"/>
            <w:vAlign w:val="center"/>
          </w:tcPr>
          <w:p w14:paraId="6708D8A5">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960" w:type="dxa"/>
            <w:vAlign w:val="center"/>
          </w:tcPr>
          <w:p w14:paraId="49956D4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4C7A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265" w:type="dxa"/>
            <w:vAlign w:val="center"/>
          </w:tcPr>
          <w:p w14:paraId="28B915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700" w:type="dxa"/>
            <w:gridSpan w:val="6"/>
            <w:vAlign w:val="center"/>
          </w:tcPr>
          <w:p w14:paraId="308810DE">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13634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265" w:type="dxa"/>
            <w:vAlign w:val="center"/>
          </w:tcPr>
          <w:p w14:paraId="7E9F71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700" w:type="dxa"/>
            <w:gridSpan w:val="6"/>
            <w:vAlign w:val="center"/>
          </w:tcPr>
          <w:p w14:paraId="6A9D461A">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7014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265" w:type="dxa"/>
            <w:vAlign w:val="center"/>
          </w:tcPr>
          <w:p w14:paraId="79A235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700" w:type="dxa"/>
            <w:gridSpan w:val="6"/>
            <w:vAlign w:val="center"/>
          </w:tcPr>
          <w:p w14:paraId="6506DD5B">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54C7721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14CE66E">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必须对合同包内所有内容进行完整报价。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可按合同包响应，评审与成交以合同包为单位。</w:t>
      </w:r>
    </w:p>
    <w:p w14:paraId="2E81DB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6A8D08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32679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3AE67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D7264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6DD9638">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4B63587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51C975DD">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0A10EA6">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30392392">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6737762">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D049FD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52E4769">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5AAE9E5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4645EA2">
      <w:pPr>
        <w:pStyle w:val="69"/>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5EF902A5">
      <w:pPr>
        <w:pStyle w:val="69"/>
        <w:spacing w:line="360" w:lineRule="auto"/>
        <w:rPr>
          <w:rFonts w:hint="eastAsia" w:hAnsi="宋体" w:eastAsia="宋体" w:cs="宋体"/>
          <w:color w:val="000000" w:themeColor="text1"/>
          <w:highlight w:val="none"/>
          <w14:textFill>
            <w14:solidFill>
              <w14:schemeClr w14:val="tx1"/>
            </w14:solidFill>
          </w14:textFill>
        </w:rPr>
      </w:pPr>
    </w:p>
    <w:p w14:paraId="18650DC6">
      <w:pPr>
        <w:pStyle w:val="69"/>
        <w:spacing w:line="360" w:lineRule="auto"/>
        <w:rPr>
          <w:rFonts w:hint="eastAsia" w:hAnsi="宋体" w:eastAsia="宋体" w:cs="宋体"/>
          <w:color w:val="000000" w:themeColor="text1"/>
          <w:highlight w:val="none"/>
          <w14:textFill>
            <w14:solidFill>
              <w14:schemeClr w14:val="tx1"/>
            </w14:solidFill>
          </w14:textFill>
        </w:rPr>
      </w:pPr>
    </w:p>
    <w:p w14:paraId="1868AB1D">
      <w:pPr>
        <w:pStyle w:val="69"/>
        <w:spacing w:line="360" w:lineRule="auto"/>
        <w:rPr>
          <w:rFonts w:hint="eastAsia" w:hAnsi="宋体" w:eastAsia="宋体" w:cs="宋体"/>
          <w:color w:val="000000" w:themeColor="text1"/>
          <w:highlight w:val="none"/>
          <w14:textFill>
            <w14:solidFill>
              <w14:schemeClr w14:val="tx1"/>
            </w14:solidFill>
          </w14:textFill>
        </w:rPr>
      </w:pPr>
    </w:p>
    <w:tbl>
      <w:tblPr>
        <w:tblStyle w:val="27"/>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7BA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tcPr>
          <w:p w14:paraId="05CBD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0430420">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须知》应载明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准备</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所必须的信息，以及递交</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 xml:space="preserve">、评审和签订合同等有关规定。 </w:t>
            </w:r>
          </w:p>
          <w:p w14:paraId="743266B7">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7EEF3E0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811E3B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066C6A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1EDCD8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5A4AC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0F336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6952C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D7BB6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FC463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DBE8A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F03F0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2AD2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C90171A">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EEF05A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1833E9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837E6C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ED1289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56497B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2F9C7CB">
      <w:pPr>
        <w:pStyle w:val="26"/>
        <w:rPr>
          <w:rFonts w:hint="eastAsia" w:ascii="宋体" w:hAnsi="宋体" w:eastAsia="宋体" w:cs="宋体"/>
          <w:b/>
          <w:bCs/>
          <w:color w:val="000000" w:themeColor="text1"/>
          <w:sz w:val="32"/>
          <w:szCs w:val="32"/>
          <w:highlight w:val="none"/>
          <w14:textFill>
            <w14:solidFill>
              <w14:schemeClr w14:val="tx1"/>
            </w14:solidFill>
          </w14:textFill>
        </w:rPr>
      </w:pPr>
    </w:p>
    <w:p w14:paraId="219DAEE6">
      <w:pPr>
        <w:pStyle w:val="25"/>
        <w:rPr>
          <w:rFonts w:hint="eastAsia"/>
          <w:color w:val="000000" w:themeColor="text1"/>
          <w:highlight w:val="none"/>
          <w14:textFill>
            <w14:solidFill>
              <w14:schemeClr w14:val="tx1"/>
            </w14:solidFill>
          </w14:textFill>
        </w:rPr>
      </w:pPr>
    </w:p>
    <w:p w14:paraId="1194B86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须知前附表1</w:t>
      </w:r>
    </w:p>
    <w:p w14:paraId="0930B619">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须知》中条款的项号相对应的。如果有矛盾的话，应以本附表为准。 </w:t>
      </w:r>
    </w:p>
    <w:tbl>
      <w:tblPr>
        <w:tblStyle w:val="27"/>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53E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tcPr>
          <w:p w14:paraId="4F05F4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tcPr>
          <w:p w14:paraId="26249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tcPr>
          <w:p w14:paraId="7DCF18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6DB8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68EFEF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vAlign w:val="center"/>
          </w:tcPr>
          <w:p w14:paraId="7A28D5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vAlign w:val="center"/>
          </w:tcPr>
          <w:p w14:paraId="3619C3C8">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lang w:eastAsia="zh-CN"/>
                <w14:textFill>
                  <w14:solidFill>
                    <w14:schemeClr w14:val="tx1"/>
                  </w14:solidFill>
                </w14:textFill>
              </w:rPr>
              <w:t>厦门市海洋生态环境承载力评估项目</w:t>
            </w:r>
          </w:p>
          <w:p w14:paraId="00712386">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采购人名称：厦门市生态环境局</w:t>
            </w:r>
          </w:p>
          <w:p w14:paraId="6D613DC2">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采购人地址：厦门市思明区鹭江街道小学路158号                   </w:t>
            </w:r>
          </w:p>
          <w:p w14:paraId="0A661ADE">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lang w:eastAsia="zh-CN"/>
                <w14:textFill>
                  <w14:solidFill>
                    <w14:schemeClr w14:val="tx1"/>
                  </w14:solidFill>
                </w14:textFill>
              </w:rPr>
              <w:t>厦门市海洋生态环境承载力评估项目</w:t>
            </w:r>
            <w:r>
              <w:rPr>
                <w:rFonts w:hint="eastAsia" w:ascii="宋体" w:hAnsi="宋体" w:cs="宋体"/>
                <w:color w:val="000000" w:themeColor="text1"/>
                <w:sz w:val="24"/>
                <w:szCs w:val="24"/>
                <w:highlight w:val="none"/>
                <w14:textFill>
                  <w14:solidFill>
                    <w14:schemeClr w14:val="tx1"/>
                  </w14:solidFill>
                </w14:textFill>
              </w:rPr>
              <w:t xml:space="preserve">                     </w:t>
            </w:r>
          </w:p>
          <w:p w14:paraId="40CF895B">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lang w:eastAsia="zh-CN"/>
                <w14:textFill>
                  <w14:solidFill>
                    <w14:schemeClr w14:val="tx1"/>
                  </w14:solidFill>
                </w14:textFill>
              </w:rPr>
              <w:t>XM2025-TZ0488</w:t>
            </w:r>
          </w:p>
        </w:tc>
      </w:tr>
      <w:tr w14:paraId="06EC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637253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vAlign w:val="center"/>
          </w:tcPr>
          <w:p w14:paraId="269C2E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7BC784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55728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60EB70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vAlign w:val="center"/>
          </w:tcPr>
          <w:p w14:paraId="1104E2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vAlign w:val="center"/>
          </w:tcPr>
          <w:p w14:paraId="774AB7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6BB379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价须知》第3条，以及第三章《采购内容及要求》有关内容。</w:t>
            </w:r>
          </w:p>
        </w:tc>
      </w:tr>
      <w:tr w14:paraId="0E62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4025A3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vAlign w:val="center"/>
          </w:tcPr>
          <w:p w14:paraId="2EA061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vAlign w:val="center"/>
          </w:tcPr>
          <w:p w14:paraId="0643B5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420DA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7A6E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316DEE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vAlign w:val="center"/>
          </w:tcPr>
          <w:p w14:paraId="50888D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55AC1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37CC40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422B6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提交截止时间：详见磋商邀请。</w:t>
            </w:r>
          </w:p>
        </w:tc>
      </w:tr>
      <w:tr w14:paraId="5AA56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100B01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vAlign w:val="center"/>
          </w:tcPr>
          <w:p w14:paraId="798643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vAlign w:val="center"/>
          </w:tcPr>
          <w:p w14:paraId="66FB7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3EEE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vAlign w:val="center"/>
          </w:tcPr>
          <w:p w14:paraId="6FEF34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vAlign w:val="center"/>
          </w:tcPr>
          <w:p w14:paraId="156A16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tcPr>
          <w:p w14:paraId="1718DF1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06E957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w:t>
            </w:r>
            <w:r>
              <w:rPr>
                <w:rFonts w:hint="eastAsia" w:ascii="宋体" w:hAnsi="宋体" w:cs="宋体"/>
                <w:color w:val="000000" w:themeColor="text1"/>
                <w:sz w:val="24"/>
                <w:szCs w:val="24"/>
                <w:highlight w:val="none"/>
                <w:u w:val="singl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14:textFill>
                  <w14:solidFill>
                    <w14:schemeClr w14:val="tx1"/>
                  </w14:solidFill>
                </w14:textFill>
              </w:rPr>
              <w:t>须知前附表3》；</w:t>
            </w:r>
          </w:p>
        </w:tc>
      </w:tr>
      <w:tr w14:paraId="406F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vAlign w:val="center"/>
          </w:tcPr>
          <w:p w14:paraId="6364A5F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vAlign w:val="center"/>
          </w:tcPr>
          <w:p w14:paraId="06D8595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vAlign w:val="center"/>
          </w:tcPr>
          <w:p w14:paraId="4363D6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DE06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tcPr>
                <w:p w14:paraId="1C0381B1">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tcPr>
                <w:p w14:paraId="46C47DCE">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3A6F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2DDF4B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tcPr>
                <w:p w14:paraId="04A63E8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527EB5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58FE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0E316B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6B78A14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684BB4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A83D1A8">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4、若按上述标准计算后不足3000元的，按3000元收取。</w:t>
            </w:r>
          </w:p>
          <w:p w14:paraId="7667C0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FEF633D">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须知前附表2:资格性、符合性检查表</w:t>
      </w:r>
    </w:p>
    <w:p w14:paraId="0C7D2F0F">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的报价是否有效的重要依据。</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17229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734D3F0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374C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4C5AF7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4AC04D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38AEB6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7527CD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7C3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C3C39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tcPr>
          <w:p w14:paraId="367143A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57CBB4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tcPr>
          <w:p w14:paraId="16E35F2D">
            <w:pPr>
              <w:pStyle w:val="1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w:t>
            </w:r>
            <w:r>
              <w:rPr>
                <w:rFonts w:hint="eastAsia" w:hAnsi="宋体" w:cs="宋体"/>
                <w:b/>
                <w:color w:val="000000" w:themeColor="text1"/>
                <w:sz w:val="24"/>
                <w:szCs w:val="24"/>
                <w:highlight w:val="none"/>
                <w:lang w:val="en-US" w:eastAsia="zh-CN"/>
                <w14:textFill>
                  <w14:solidFill>
                    <w14:schemeClr w14:val="tx1"/>
                  </w14:solidFill>
                </w14:textFill>
              </w:rPr>
              <w:t>供应商</w:t>
            </w:r>
          </w:p>
          <w:p w14:paraId="5561A5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497C1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26EF0C7B">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66BD76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706637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1F5CAC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147AA7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17B2E9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99608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8FD8A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FED20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22618C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669569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629686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303548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616AF2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66DF64B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57B077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07FA71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7AEAF4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17506E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697DD9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6F6F7F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2C2C86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3C36EF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A8052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5BCD82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0AE547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799D9A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19680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43003B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2D0BDC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6D74A9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39338B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4E66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1A099E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tcPr>
          <w:p w14:paraId="557E04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4E09D0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76803449">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w:t>
            </w:r>
            <w:r>
              <w:rPr>
                <w:rFonts w:hint="eastAsia" w:ascii="宋体" w:hAnsi="宋体" w:cs="宋体"/>
                <w:color w:val="000000" w:themeColor="text1"/>
                <w:sz w:val="24"/>
                <w:szCs w:val="24"/>
                <w:highlight w:val="none"/>
                <w:lang w:eastAsia="zh-CN"/>
                <w14:textFill>
                  <w14:solidFill>
                    <w14:schemeClr w14:val="tx1"/>
                  </w14:solidFill>
                </w14:textFill>
              </w:rPr>
              <w:t>信用中国(福建厦门)（credit.xm.gov.cn）</w:t>
            </w:r>
            <w:r>
              <w:rPr>
                <w:rFonts w:hint="eastAsia" w:ascii="宋体" w:hAnsi="宋体" w:eastAsia="宋体" w:cs="宋体"/>
                <w:color w:val="000000" w:themeColor="text1"/>
                <w:sz w:val="24"/>
                <w:szCs w:val="24"/>
                <w:highlight w:val="none"/>
                <w14:textFill>
                  <w14:solidFill>
                    <w14:schemeClr w14:val="tx1"/>
                  </w14:solidFill>
                </w14:textFill>
              </w:rPr>
              <w:t>查询并打印</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信用记录（以下简称：“评审专家的查询结果”）。②查询结果存在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存在不良信用记录应被拒绝参与政府采购活动相关信息的，其资格审查不合格。</w:t>
            </w:r>
          </w:p>
        </w:tc>
      </w:tr>
      <w:tr w14:paraId="7959C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28E5CB6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614E5C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07C61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52960D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3C2864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038751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6AF01E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A91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6670B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vAlign w:val="center"/>
          </w:tcPr>
          <w:p w14:paraId="5D164C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vAlign w:val="center"/>
          </w:tcPr>
          <w:p w14:paraId="2850B8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tcPr>
          <w:p w14:paraId="33C5E9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未按规定的响应截止时间之前提交的，其响应将被拒绝。</w:t>
            </w:r>
          </w:p>
        </w:tc>
      </w:tr>
      <w:tr w14:paraId="7F857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0B099B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vAlign w:val="center"/>
          </w:tcPr>
          <w:p w14:paraId="402954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239D7D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tcPr>
          <w:p w14:paraId="34DCD48A">
            <w:pPr>
              <w:pStyle w:val="1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0A7261D7">
            <w:pPr>
              <w:pStyle w:val="13"/>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可被作响应无效处理。</w:t>
            </w:r>
          </w:p>
          <w:p w14:paraId="20A43A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tc>
      </w:tr>
      <w:tr w14:paraId="27154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164FF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vAlign w:val="center"/>
          </w:tcPr>
          <w:p w14:paraId="390B3F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69464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tcPr>
          <w:p w14:paraId="39AF4E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有效期：</w:t>
            </w:r>
          </w:p>
          <w:p w14:paraId="165C4D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5A933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5596E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357586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vAlign w:val="center"/>
          </w:tcPr>
          <w:p w14:paraId="25A16B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3DA77B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tcPr>
          <w:p w14:paraId="22C9DFF1">
            <w:pPr>
              <w:pStyle w:val="1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6FE3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05B24E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vAlign w:val="center"/>
          </w:tcPr>
          <w:p w14:paraId="77DDE8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51F885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tcPr>
          <w:p w14:paraId="63862927">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字迹模糊不清的，其磋商响应将被拒绝。</w:t>
            </w:r>
          </w:p>
        </w:tc>
      </w:tr>
      <w:tr w14:paraId="2CE1B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06777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vAlign w:val="center"/>
          </w:tcPr>
          <w:p w14:paraId="3FCD32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1C0A4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tcPr>
          <w:p w14:paraId="7383C171">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14.1 </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应将</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名称、采购项目名称及“正本”或“副本”。</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未密封可导致其磋商被拒绝。</w:t>
            </w:r>
          </w:p>
          <w:p w14:paraId="67F63889">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为无效</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，将被拒绝。</w:t>
            </w:r>
          </w:p>
          <w:p w14:paraId="6FBE03C0">
            <w:pPr>
              <w:pStyle w:val="71"/>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在磋商响应截止期后不得修改、撤回</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在报价截止期后修改</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的，其磋商响应将被拒绝。</w:t>
            </w:r>
          </w:p>
        </w:tc>
      </w:tr>
      <w:tr w14:paraId="6D5CE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60B39D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vAlign w:val="center"/>
          </w:tcPr>
          <w:p w14:paraId="7805BB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70D984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tcPr>
          <w:p w14:paraId="33C3FF8F">
            <w:pPr>
              <w:pStyle w:val="1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w:t>
            </w:r>
            <w:r>
              <w:rPr>
                <w:rFonts w:hint="eastAsia" w:hAnsi="宋体" w:cs="宋体"/>
                <w:b/>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b/>
                <w:color w:val="000000" w:themeColor="text1"/>
                <w:sz w:val="24"/>
                <w:szCs w:val="24"/>
                <w:highlight w:val="none"/>
                <w:lang w:val="en-US" w:eastAsia="zh-CN"/>
                <w14:textFill>
                  <w14:solidFill>
                    <w14:schemeClr w14:val="tx1"/>
                  </w14:solidFill>
                </w14:textFill>
              </w:rPr>
              <w:t>的初审</w:t>
            </w:r>
          </w:p>
          <w:p w14:paraId="11A9C3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5B639A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27EDA0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7A075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4EC8FC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7E40C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59BC21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D6938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587A5BF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758894B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24C8B2E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2507B09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1D4656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7E17FE6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6FB400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41C2D0C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3328506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6C7BA63">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0529E735">
            <w:pPr>
              <w:pStyle w:val="1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提交的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将给予保密，但不予退回。</w:t>
            </w:r>
          </w:p>
          <w:p w14:paraId="0F1814C5">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w:t>
            </w:r>
            <w:r>
              <w:rPr>
                <w:rFonts w:hint="eastAsia" w:cs="宋体"/>
                <w:color w:val="000000" w:themeColor="text1"/>
                <w:sz w:val="24"/>
                <w:szCs w:val="24"/>
                <w:highlight w:val="none"/>
                <w:lang w:val="en-US" w:eastAsia="zh-CN"/>
                <w14:textFill>
                  <w14:solidFill>
                    <w14:schemeClr w14:val="tx1"/>
                  </w14:solidFill>
                </w14:textFill>
              </w:rPr>
              <w:t>供应商</w:t>
            </w:r>
            <w:r>
              <w:rPr>
                <w:rFonts w:hint="eastAsia" w:eastAsia="宋体" w:cs="宋体"/>
                <w:color w:val="000000" w:themeColor="text1"/>
                <w:sz w:val="24"/>
                <w:szCs w:val="24"/>
                <w:highlight w:val="none"/>
                <w:lang w:val="en-US" w:eastAsia="zh-CN"/>
                <w14:textFill>
                  <w14:solidFill>
                    <w14:schemeClr w14:val="tx1"/>
                  </w14:solidFill>
                </w14:textFill>
              </w:rPr>
              <w:t>资格和报价产品均必须满足中华人民共和国相关法律法规及行业的强制性要求，否则将作无效响应处理。</w:t>
            </w:r>
          </w:p>
        </w:tc>
      </w:tr>
      <w:tr w14:paraId="7F90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2ED9A7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vAlign w:val="center"/>
          </w:tcPr>
          <w:p w14:paraId="27F53DC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39819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tcPr>
          <w:p w14:paraId="416E87FC">
            <w:pPr>
              <w:pStyle w:val="1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应按磋商小组要求作出书面说明并提供相关证明材料，不能合理说明或不能提供相关证明材料的，可作无效报价处理。</w:t>
            </w:r>
          </w:p>
        </w:tc>
      </w:tr>
      <w:tr w14:paraId="7583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6C7E1FA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tcPr>
          <w:p w14:paraId="6376FD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79644F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16A79371">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应符合“资格性要求”部分做资格审查，没有提供相关证明文件或文件未按规定签署盖章者将导致报价无效。</w:t>
            </w:r>
          </w:p>
        </w:tc>
      </w:tr>
      <w:tr w14:paraId="499B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0D6EB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tcPr>
          <w:p w14:paraId="16CB79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tcPr>
          <w:p w14:paraId="43A505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tcPr>
          <w:p w14:paraId="7F6BC3C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对这些关键性条款还存在任何负偏离或不满足将导致报价无效。</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必须自行承担责任。</w:t>
            </w:r>
          </w:p>
        </w:tc>
      </w:tr>
      <w:tr w14:paraId="5CFE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7E4439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tcPr>
          <w:p w14:paraId="16C9E43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6E53A6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6DACAFDF">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应按照采购文件格式要求在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为联合体的，联合体各方均应提供《廉洁承诺书》原件），否则作无效报价处理。</w:t>
            </w:r>
          </w:p>
        </w:tc>
      </w:tr>
      <w:tr w14:paraId="20144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8B0DC51">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tcPr>
          <w:p w14:paraId="54893E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3D6354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0566EB3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060A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59E0186E">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tcPr>
          <w:p w14:paraId="3650E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493FA4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73FEB8F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7BCB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395F79B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tcPr>
          <w:p w14:paraId="0A20B7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2B20132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024CC88F">
            <w:pPr>
              <w:spacing w:line="360" w:lineRule="auto"/>
              <w:ind w:left="69"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w:t>
            </w:r>
            <w:r>
              <w:rPr>
                <w:rFonts w:hint="eastAsia" w:ascii="宋体" w:hAnsi="宋体" w:cs="宋体"/>
                <w:b/>
                <w:bCs/>
                <w:color w:val="000000" w:themeColor="text1"/>
                <w:kern w:val="0"/>
                <w:sz w:val="24"/>
                <w:szCs w:val="24"/>
                <w:highlight w:val="none"/>
                <w:lang w:val="en-US" w:eastAsia="zh-CN"/>
                <w14:textFill>
                  <w14:solidFill>
                    <w14:schemeClr w14:val="tx1"/>
                  </w14:solidFill>
                </w14:textFill>
              </w:rPr>
              <w:t>6.5</w:t>
            </w:r>
            <w:r>
              <w:rPr>
                <w:rFonts w:hint="eastAsia" w:ascii="宋体" w:hAnsi="宋体" w:cs="宋体"/>
                <w:b/>
                <w:bCs/>
                <w:color w:val="000000" w:themeColor="text1"/>
                <w:kern w:val="0"/>
                <w:sz w:val="24"/>
                <w:szCs w:val="24"/>
                <w:highlight w:val="none"/>
                <w14:textFill>
                  <w14:solidFill>
                    <w14:schemeClr w14:val="tx1"/>
                  </w14:solidFill>
                </w14:textFill>
              </w:rPr>
              <w:t>本采购项目的采购预算为人民币</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49</w:t>
            </w:r>
            <w:r>
              <w:rPr>
                <w:rFonts w:hint="eastAsia" w:ascii="宋体" w:hAnsi="宋体" w:cs="宋体"/>
                <w:b/>
                <w:bCs/>
                <w:color w:val="000000" w:themeColor="text1"/>
                <w:kern w:val="0"/>
                <w:sz w:val="24"/>
                <w:szCs w:val="24"/>
                <w:highlight w:val="none"/>
                <w14:textFill>
                  <w14:solidFill>
                    <w14:schemeClr w14:val="tx1"/>
                  </w14:solidFill>
                </w14:textFill>
              </w:rPr>
              <w:t>万元整，采购预算为供应商任一轮报价（包括但不限于响应文件中的报价以及供应商提交的最后报价）的最高限价，供应商任一轮报价超过采购预算的，其响应文件将作无效报价处理。</w:t>
            </w:r>
          </w:p>
        </w:tc>
      </w:tr>
    </w:tbl>
    <w:p w14:paraId="510D3D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2E1B5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9362B9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73DE8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B1A8D9">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B7C9BF6">
      <w:pPr>
        <w:spacing w:line="360" w:lineRule="auto"/>
        <w:ind w:left="0" w:firstLine="0" w:firstLineChars="0"/>
        <w:rPr>
          <w:rStyle w:val="30"/>
          <w:rFonts w:hint="eastAsia" w:ascii="宋体" w:hAnsi="宋体" w:eastAsia="宋体" w:cs="宋体"/>
          <w:bCs w:val="0"/>
          <w:color w:val="000000" w:themeColor="text1"/>
          <w:sz w:val="24"/>
          <w:szCs w:val="24"/>
          <w:highlight w:val="none"/>
          <w14:textFill>
            <w14:solidFill>
              <w14:schemeClr w14:val="tx1"/>
            </w14:solidFill>
          </w14:textFill>
        </w:rPr>
      </w:pPr>
    </w:p>
    <w:p w14:paraId="3D51B81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9E0D0B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7927A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F0D9E1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5383FA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E665FCF">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u w:val="single"/>
          <w14:textFill>
            <w14:solidFill>
              <w14:schemeClr w14:val="tx1"/>
            </w14:solidFill>
          </w14:textFill>
        </w:rPr>
        <w:t>须知前附表3：磋商规则、评审标准</w:t>
      </w:r>
    </w:p>
    <w:tbl>
      <w:tblPr>
        <w:tblStyle w:val="2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1DD9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2EE3C5A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087F4F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按照采购文件规定提交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044368A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进行资格性和符合性审查，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”条款要求，不进入磋商程序；磋商小组在对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的有效性、完整性和响应程度进行审查时，可以要求</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中含义不明确、同类问题表述不一致或者有明显文字和计算错误的内容等作出必要的澄清、说明或者更正。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需以书面形式作出澄清、说明或者更正，但澄清、说明或者更正不得超出</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的范围或者改变</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的实质性内容，同时也不接受</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主动澄清。符合实质性响应要求的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进入磋商程序。 </w:t>
            </w:r>
          </w:p>
          <w:p w14:paraId="2E84FE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分别进行磋商，磋商顺序采用随机抽取的方法确认。</w:t>
            </w:r>
          </w:p>
          <w:p w14:paraId="630DB3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提出重点的磋商内容，根据采购文件及有关规定，磋商小组与进入磋商程序的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进行一轮或多轮磋商。</w:t>
            </w:r>
          </w:p>
          <w:p w14:paraId="1E8048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下一轮磋商时间。</w:t>
            </w:r>
          </w:p>
          <w:p w14:paraId="3E538D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34AF21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62B581EA">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递交的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澄清、更正等文件、最终报价应予密封并交至采购代理机构指定人员，报价部分单独密封。采购代理机构工作人员在收齐全部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材料后，统一送达磋商小组。</w:t>
            </w:r>
          </w:p>
          <w:p w14:paraId="1795F15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后，由磋商小组采用综合评分法对提交最后报价的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和最后报价进行综合评分。</w:t>
            </w:r>
          </w:p>
          <w:p w14:paraId="18826F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签署</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的应该是采购文件要求的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代表，磋商时应出示身份证原件。</w:t>
            </w:r>
          </w:p>
          <w:p w14:paraId="076D3C2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5A15E7FD">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692FBE9B">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281D789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3A7F6CCD">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40661C61">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.采用竞争性磋商采购方式的政府购买服务项目，在采购过程中符合要求的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只有1家的，应当终止竞争性采购活动，发布终止公告并说明原因，重新开展采购活动。 </w:t>
            </w:r>
          </w:p>
        </w:tc>
      </w:tr>
      <w:tr w14:paraId="5BA99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705FC53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560944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708767E5">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1F0F50E">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57F18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trPr>
        <w:tc>
          <w:tcPr>
            <w:tcW w:w="8613" w:type="dxa"/>
          </w:tcPr>
          <w:p w14:paraId="7EE154A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2ACC8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170C0D3E">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0D45CB9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64FBADBC">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313DD89">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3D2D5216">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39D38F91">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1F663E44">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60</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7"/>
        <w:tblW w:w="9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7168"/>
        <w:gridCol w:w="1278"/>
      </w:tblGrid>
      <w:tr w14:paraId="7325D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ABC8D10">
            <w:pPr>
              <w:pStyle w:val="74"/>
              <w:spacing w:line="360" w:lineRule="auto"/>
              <w:jc w:val="center"/>
              <w:rPr>
                <w:rFonts w:hint="eastAsia" w:ascii="宋体" w:hAnsi="宋体" w:eastAsia="宋体" w:cs="宋体"/>
                <w:color w:val="000000" w:themeColor="text1"/>
                <w:kern w:val="1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7168" w:type="dxa"/>
            <w:noWrap w:val="0"/>
            <w:vAlign w:val="center"/>
          </w:tcPr>
          <w:p w14:paraId="2DDCC5D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评分界定</w:t>
            </w:r>
          </w:p>
        </w:tc>
        <w:tc>
          <w:tcPr>
            <w:tcW w:w="1278" w:type="dxa"/>
            <w:noWrap w:val="0"/>
            <w:vAlign w:val="center"/>
          </w:tcPr>
          <w:p w14:paraId="4852A07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满分分值</w:t>
            </w:r>
          </w:p>
        </w:tc>
      </w:tr>
      <w:tr w14:paraId="02D1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D6D30AC">
            <w:pPr>
              <w:pStyle w:val="74"/>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7168" w:type="dxa"/>
            <w:noWrap w:val="0"/>
            <w:vAlign w:val="top"/>
          </w:tcPr>
          <w:p w14:paraId="10105812">
            <w:pPr>
              <w:spacing w:line="460" w:lineRule="exact"/>
              <w:ind w:left="0" w:leftChars="0"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2"/>
                <w:sz w:val="24"/>
                <w:szCs w:val="22"/>
                <w:highlight w:val="none"/>
                <w:lang w:val="en-US" w:eastAsia="zh-CN" w:bidi="ar-SA"/>
                <w14:textFill>
                  <w14:solidFill>
                    <w14:schemeClr w14:val="tx1"/>
                  </w14:solidFill>
                </w14:textFill>
              </w:rPr>
              <w:t>供应商完全满足采购文件</w:t>
            </w:r>
            <w:r>
              <w:rPr>
                <w:rFonts w:hint="eastAsia" w:ascii="宋体" w:hAnsi="宋体" w:eastAsia="宋体" w:cs="宋体"/>
                <w:color w:val="000000" w:themeColor="text1"/>
                <w:kern w:val="0"/>
                <w:sz w:val="24"/>
                <w:szCs w:val="24"/>
                <w:highlight w:val="none"/>
                <w14:textFill>
                  <w14:solidFill>
                    <w14:schemeClr w14:val="tx1"/>
                  </w14:solidFill>
                </w14:textFill>
              </w:rPr>
              <w:t>“第三章</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磋商内容及要求</w:t>
            </w:r>
            <w:r>
              <w:rPr>
                <w:rFonts w:hint="eastAsia" w:ascii="宋体" w:hAnsi="宋体" w:eastAsia="宋体" w:cs="宋体"/>
                <w:color w:val="000000" w:themeColor="text1"/>
                <w:sz w:val="24"/>
                <w:szCs w:val="24"/>
                <w:highlight w:val="none"/>
                <w14:textFill>
                  <w14:solidFill>
                    <w14:schemeClr w14:val="tx1"/>
                  </w14:solidFill>
                </w14:textFill>
              </w:rPr>
              <w:t>中的</w:t>
            </w:r>
            <w:r>
              <w:rPr>
                <w:rFonts w:hint="eastAsia" w:ascii="宋体" w:hAnsi="宋体" w:cs="宋体"/>
                <w:color w:val="000000" w:themeColor="text1"/>
                <w:kern w:val="2"/>
                <w:sz w:val="24"/>
                <w:szCs w:val="22"/>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1）梳理国内外海洋生态环境承载力评价方法，构建适用于厦门海域的海洋生态环境承载力评估测度技术；</w:t>
            </w:r>
            <w:r>
              <w:rPr>
                <w:rFonts w:hint="eastAsia" w:ascii="宋体" w:hAnsi="宋体" w:cs="宋体"/>
                <w:color w:val="000000" w:themeColor="text1"/>
                <w:kern w:val="2"/>
                <w:sz w:val="24"/>
                <w:szCs w:val="22"/>
                <w:highlight w:val="none"/>
                <w:lang w:val="en-US" w:eastAsia="zh-CN" w:bidi="ar-SA"/>
                <w14:textFill>
                  <w14:solidFill>
                    <w14:schemeClr w14:val="tx1"/>
                  </w14:solidFill>
                </w14:textFill>
              </w:rPr>
              <w:t>”要求的得2分，供应商需提供书面承诺（格式自拟），否则不得分。</w:t>
            </w:r>
          </w:p>
        </w:tc>
        <w:tc>
          <w:tcPr>
            <w:tcW w:w="1278" w:type="dxa"/>
            <w:noWrap w:val="0"/>
            <w:vAlign w:val="center"/>
          </w:tcPr>
          <w:p w14:paraId="339B648E">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r>
      <w:tr w14:paraId="2A4B2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5D541BA8">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c>
          <w:tcPr>
            <w:tcW w:w="7168" w:type="dxa"/>
            <w:noWrap w:val="0"/>
            <w:vAlign w:val="top"/>
          </w:tcPr>
          <w:p w14:paraId="4C63ED25">
            <w:pPr>
              <w:spacing w:line="460" w:lineRule="exact"/>
              <w:ind w:left="0" w:leftChars="0" w:firstLine="0" w:firstLineChars="0"/>
              <w:rPr>
                <w:rFonts w:hint="eastAsia" w:ascii="宋体" w:hAnsi="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2"/>
                <w:sz w:val="24"/>
                <w:szCs w:val="22"/>
                <w:highlight w:val="none"/>
                <w:lang w:val="en-US" w:eastAsia="zh-CN" w:bidi="ar-SA"/>
                <w14:textFill>
                  <w14:solidFill>
                    <w14:schemeClr w14:val="tx1"/>
                  </w14:solidFill>
                </w14:textFill>
              </w:rPr>
              <w:t>供应商完全满足采购文件</w:t>
            </w:r>
            <w:r>
              <w:rPr>
                <w:rFonts w:hint="eastAsia" w:ascii="宋体" w:hAnsi="宋体" w:eastAsia="宋体" w:cs="宋体"/>
                <w:color w:val="000000" w:themeColor="text1"/>
                <w:kern w:val="0"/>
                <w:sz w:val="24"/>
                <w:szCs w:val="24"/>
                <w:highlight w:val="none"/>
                <w14:textFill>
                  <w14:solidFill>
                    <w14:schemeClr w14:val="tx1"/>
                  </w14:solidFill>
                </w14:textFill>
              </w:rPr>
              <w:t>“第三章</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磋商内容及要求</w:t>
            </w:r>
            <w:r>
              <w:rPr>
                <w:rFonts w:hint="eastAsia" w:ascii="宋体" w:hAnsi="宋体" w:eastAsia="宋体" w:cs="宋体"/>
                <w:color w:val="000000" w:themeColor="text1"/>
                <w:sz w:val="24"/>
                <w:szCs w:val="24"/>
                <w:highlight w:val="none"/>
                <w14:textFill>
                  <w14:solidFill>
                    <w14:schemeClr w14:val="tx1"/>
                  </w14:solidFill>
                </w14:textFill>
              </w:rPr>
              <w:t>中的</w:t>
            </w:r>
            <w:r>
              <w:rPr>
                <w:rFonts w:hint="eastAsia" w:ascii="宋体" w:hAnsi="宋体" w:cs="宋体"/>
                <w:color w:val="000000" w:themeColor="text1"/>
                <w:sz w:val="24"/>
                <w:highlight w:val="none"/>
                <w14:textFill>
                  <w14:solidFill>
                    <w14:schemeClr w14:val="tx1"/>
                  </w14:solidFill>
                </w14:textFill>
              </w:rPr>
              <w:t>（2）基于厦门市海洋生态环境现状及历史监测数据，根据海水水质、沉积物、海洋生物多样性、典型海洋生态系统及生物生境质量等，评估厦门海洋生态环境健康质量和生态环境服务功能供给量；</w:t>
            </w:r>
            <w:r>
              <w:rPr>
                <w:rFonts w:hint="eastAsia" w:ascii="宋体" w:hAnsi="宋体" w:cs="宋体"/>
                <w:color w:val="000000" w:themeColor="text1"/>
                <w:kern w:val="2"/>
                <w:sz w:val="24"/>
                <w:szCs w:val="22"/>
                <w:highlight w:val="none"/>
                <w:lang w:val="en-US" w:eastAsia="zh-CN" w:bidi="ar-SA"/>
                <w14:textFill>
                  <w14:solidFill>
                    <w14:schemeClr w14:val="tx1"/>
                  </w14:solidFill>
                </w14:textFill>
              </w:rPr>
              <w:t>”要求的得2分，供应商需提供书面承诺（格式自拟），否则不得分。</w:t>
            </w:r>
          </w:p>
        </w:tc>
        <w:tc>
          <w:tcPr>
            <w:tcW w:w="1278" w:type="dxa"/>
            <w:noWrap w:val="0"/>
            <w:vAlign w:val="center"/>
          </w:tcPr>
          <w:p w14:paraId="2EC73E83">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r>
      <w:tr w14:paraId="6F0B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55794BD">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tc>
        <w:tc>
          <w:tcPr>
            <w:tcW w:w="7168" w:type="dxa"/>
            <w:noWrap w:val="0"/>
            <w:vAlign w:val="top"/>
          </w:tcPr>
          <w:p w14:paraId="4B4599B6">
            <w:pPr>
              <w:spacing w:line="460" w:lineRule="exact"/>
              <w:ind w:left="0" w:leftChars="0" w:firstLine="0" w:firstLineChars="0"/>
              <w:rPr>
                <w:rFonts w:hint="eastAsia" w:ascii="宋体" w:hAnsi="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2"/>
                <w:sz w:val="24"/>
                <w:szCs w:val="22"/>
                <w:highlight w:val="none"/>
                <w:lang w:val="en-US" w:eastAsia="zh-CN" w:bidi="ar-SA"/>
                <w14:textFill>
                  <w14:solidFill>
                    <w14:schemeClr w14:val="tx1"/>
                  </w14:solidFill>
                </w14:textFill>
              </w:rPr>
              <w:t>供应商完全满足采购文件</w:t>
            </w:r>
            <w:r>
              <w:rPr>
                <w:rFonts w:hint="eastAsia" w:ascii="宋体" w:hAnsi="宋体" w:eastAsia="宋体" w:cs="宋体"/>
                <w:color w:val="000000" w:themeColor="text1"/>
                <w:kern w:val="0"/>
                <w:sz w:val="24"/>
                <w:szCs w:val="24"/>
                <w:highlight w:val="none"/>
                <w14:textFill>
                  <w14:solidFill>
                    <w14:schemeClr w14:val="tx1"/>
                  </w14:solidFill>
                </w14:textFill>
              </w:rPr>
              <w:t>“第三章</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磋商内容及要求</w:t>
            </w:r>
            <w:r>
              <w:rPr>
                <w:rFonts w:hint="eastAsia" w:ascii="宋体" w:hAnsi="宋体" w:eastAsia="宋体" w:cs="宋体"/>
                <w:color w:val="000000" w:themeColor="text1"/>
                <w:sz w:val="24"/>
                <w:szCs w:val="24"/>
                <w:highlight w:val="none"/>
                <w14:textFill>
                  <w14:solidFill>
                    <w14:schemeClr w14:val="tx1"/>
                  </w14:solidFill>
                </w14:textFill>
              </w:rPr>
              <w:t>中的</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（3）根据厦门市海洋经济发展水平，海洋资源开发利用现状、海域、岸线及海岛开发利用情况以及陆源、海源等污染物排放情况等评估厦门市海洋生态环境总需求量和依赖水平</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kern w:val="2"/>
                <w:sz w:val="24"/>
                <w:szCs w:val="22"/>
                <w:highlight w:val="none"/>
                <w:lang w:val="en-US" w:eastAsia="zh-CN" w:bidi="ar-SA"/>
                <w14:textFill>
                  <w14:solidFill>
                    <w14:schemeClr w14:val="tx1"/>
                  </w14:solidFill>
                </w14:textFill>
              </w:rPr>
              <w:t>”要求的得2分，供应商需提供书面承诺（格式自拟），否则不得分。</w:t>
            </w:r>
          </w:p>
        </w:tc>
        <w:tc>
          <w:tcPr>
            <w:tcW w:w="1278" w:type="dxa"/>
            <w:noWrap w:val="0"/>
            <w:vAlign w:val="center"/>
          </w:tcPr>
          <w:p w14:paraId="5539E960">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r>
      <w:tr w14:paraId="48DCE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790ECA7">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p>
        </w:tc>
        <w:tc>
          <w:tcPr>
            <w:tcW w:w="7168" w:type="dxa"/>
            <w:noWrap w:val="0"/>
            <w:vAlign w:val="top"/>
          </w:tcPr>
          <w:p w14:paraId="4643605C">
            <w:pPr>
              <w:spacing w:line="460" w:lineRule="exact"/>
              <w:ind w:left="0" w:leftChars="0" w:firstLine="0" w:firstLineChars="0"/>
              <w:rPr>
                <w:rFonts w:hint="eastAsia" w:ascii="宋体" w:hAnsi="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2"/>
                <w:sz w:val="24"/>
                <w:szCs w:val="22"/>
                <w:highlight w:val="none"/>
                <w:lang w:val="en-US" w:eastAsia="zh-CN" w:bidi="ar-SA"/>
                <w14:textFill>
                  <w14:solidFill>
                    <w14:schemeClr w14:val="tx1"/>
                  </w14:solidFill>
                </w14:textFill>
              </w:rPr>
              <w:t>供应商完全满足采购文件</w:t>
            </w:r>
            <w:r>
              <w:rPr>
                <w:rFonts w:hint="eastAsia" w:ascii="宋体" w:hAnsi="宋体" w:eastAsia="宋体" w:cs="宋体"/>
                <w:color w:val="000000" w:themeColor="text1"/>
                <w:kern w:val="0"/>
                <w:sz w:val="24"/>
                <w:szCs w:val="24"/>
                <w:highlight w:val="none"/>
                <w14:textFill>
                  <w14:solidFill>
                    <w14:schemeClr w14:val="tx1"/>
                  </w14:solidFill>
                </w14:textFill>
              </w:rPr>
              <w:t>“第三章</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磋商内容及要求</w:t>
            </w:r>
            <w:r>
              <w:rPr>
                <w:rFonts w:hint="eastAsia" w:ascii="宋体" w:hAnsi="宋体" w:eastAsia="宋体" w:cs="宋体"/>
                <w:color w:val="000000" w:themeColor="text1"/>
                <w:sz w:val="24"/>
                <w:szCs w:val="24"/>
                <w:highlight w:val="none"/>
                <w14:textFill>
                  <w14:solidFill>
                    <w14:schemeClr w14:val="tx1"/>
                  </w14:solidFill>
                </w14:textFill>
              </w:rPr>
              <w:t>中的</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（4）基于厦门市海洋生态环境总供给量和总需求量分析结果，分别以湾区和厦门近岸海域为评价单元，进行海洋生态环境承载力测度评估，划分可载、临界超载和超载三种状态，并提出指导性政策建议。</w:t>
            </w:r>
            <w:r>
              <w:rPr>
                <w:rFonts w:hint="eastAsia" w:ascii="宋体" w:hAnsi="宋体" w:cs="宋体"/>
                <w:color w:val="000000" w:themeColor="text1"/>
                <w:kern w:val="2"/>
                <w:sz w:val="24"/>
                <w:szCs w:val="22"/>
                <w:highlight w:val="none"/>
                <w:lang w:val="en-US" w:eastAsia="zh-CN" w:bidi="ar-SA"/>
                <w14:textFill>
                  <w14:solidFill>
                    <w14:schemeClr w14:val="tx1"/>
                  </w14:solidFill>
                </w14:textFill>
              </w:rPr>
              <w:t>”要求的得2分，供应商需提供书面承诺（格式自拟），否则不得分。</w:t>
            </w:r>
          </w:p>
        </w:tc>
        <w:tc>
          <w:tcPr>
            <w:tcW w:w="1278" w:type="dxa"/>
            <w:noWrap w:val="0"/>
            <w:vAlign w:val="center"/>
          </w:tcPr>
          <w:p w14:paraId="5722D5ED">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r>
      <w:tr w14:paraId="5A788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2" w:hRule="atLeast"/>
          <w:jc w:val="center"/>
        </w:trPr>
        <w:tc>
          <w:tcPr>
            <w:tcW w:w="782" w:type="dxa"/>
            <w:noWrap w:val="0"/>
            <w:vAlign w:val="center"/>
          </w:tcPr>
          <w:p w14:paraId="0D961B74">
            <w:pPr>
              <w:pStyle w:val="74"/>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p>
        </w:tc>
        <w:tc>
          <w:tcPr>
            <w:tcW w:w="7168" w:type="dxa"/>
            <w:noWrap w:val="0"/>
            <w:vAlign w:val="center"/>
          </w:tcPr>
          <w:p w14:paraId="455B8B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根据供应商通过分析本项目评估的重点、难点，提出有效的解决方案并给出的合理化建议进行评价：对项目工作重点、难点的分析全面、具体、透彻的，解决对策十分合理可行的，得6分；对项目工作重点、难点的分析较全面、具体、透彻的，解决对策相对合理可行的得4分；对项目工作重点、难点的分析不够全面、具体、透彻的，解决对策较为一般的得2分；若对于该要点表述不清或不可行则该要点或未提供不得分。</w:t>
            </w:r>
          </w:p>
        </w:tc>
        <w:tc>
          <w:tcPr>
            <w:tcW w:w="1278" w:type="dxa"/>
            <w:noWrap w:val="0"/>
            <w:vAlign w:val="center"/>
          </w:tcPr>
          <w:p w14:paraId="08F7FAB6">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p>
        </w:tc>
      </w:tr>
      <w:tr w14:paraId="01F9B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C67FEE2">
            <w:pPr>
              <w:pStyle w:val="74"/>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p>
        </w:tc>
        <w:tc>
          <w:tcPr>
            <w:tcW w:w="7168" w:type="dxa"/>
            <w:noWrap w:val="0"/>
            <w:vAlign w:val="center"/>
          </w:tcPr>
          <w:p w14:paraId="4491804D">
            <w:pPr>
              <w:widowControl/>
              <w:adjustRightInd w:val="0"/>
              <w:snapToGrid/>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w:t>
            </w:r>
            <w:bookmarkStart w:id="0" w:name="OLE_LINK1"/>
            <w:r>
              <w:rPr>
                <w:rFonts w:hint="eastAsia" w:ascii="宋体" w:hAnsi="宋体" w:eastAsia="宋体" w:cs="宋体"/>
                <w:color w:val="000000" w:themeColor="text1"/>
                <w:sz w:val="24"/>
                <w:szCs w:val="24"/>
                <w:highlight w:val="none"/>
                <w14:textFill>
                  <w14:solidFill>
                    <w14:schemeClr w14:val="tx1"/>
                  </w14:solidFill>
                </w14:textFill>
              </w:rPr>
              <w:t>供应商</w:t>
            </w:r>
            <w:bookmarkEnd w:id="0"/>
            <w:r>
              <w:rPr>
                <w:rFonts w:hint="eastAsia" w:ascii="宋体" w:hAnsi="宋体" w:eastAsia="宋体" w:cs="宋体"/>
                <w:color w:val="000000" w:themeColor="text1"/>
                <w:sz w:val="24"/>
                <w:szCs w:val="24"/>
                <w:highlight w:val="none"/>
                <w14:textFill>
                  <w14:solidFill>
                    <w14:schemeClr w14:val="tx1"/>
                  </w14:solidFill>
                </w14:textFill>
              </w:rPr>
              <w:t>针对本项目的</w:t>
            </w:r>
            <w:r>
              <w:rPr>
                <w:rFonts w:hint="eastAsia" w:ascii="宋体" w:hAnsi="宋体" w:cs="宋体"/>
                <w:color w:val="000000" w:themeColor="text1"/>
                <w:sz w:val="24"/>
                <w:szCs w:val="24"/>
                <w:highlight w:val="none"/>
                <w:lang w:val="en-US" w:eastAsia="zh-CN"/>
                <w14:textFill>
                  <w14:solidFill>
                    <w14:schemeClr w14:val="tx1"/>
                  </w14:solidFill>
                </w14:textFill>
              </w:rPr>
              <w:t>实施</w:t>
            </w:r>
            <w:r>
              <w:rPr>
                <w:rFonts w:hint="eastAsia" w:ascii="宋体" w:hAnsi="宋体" w:eastAsia="宋体" w:cs="宋体"/>
                <w:color w:val="000000" w:themeColor="text1"/>
                <w:sz w:val="24"/>
                <w:szCs w:val="24"/>
                <w:highlight w:val="none"/>
                <w14:textFill>
                  <w14:solidFill>
                    <w14:schemeClr w14:val="tx1"/>
                  </w14:solidFill>
                </w14:textFill>
              </w:rPr>
              <w:t>方案进行评分：</w:t>
            </w:r>
          </w:p>
          <w:p w14:paraId="4DAB6E08">
            <w:pPr>
              <w:spacing w:line="360" w:lineRule="auto"/>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供应商提供</w:t>
            </w:r>
            <w:r>
              <w:rPr>
                <w:rFonts w:hint="eastAsia" w:ascii="宋体" w:hAnsi="宋体" w:cs="宋体"/>
                <w:color w:val="000000" w:themeColor="text1"/>
                <w:sz w:val="24"/>
                <w:szCs w:val="24"/>
                <w:highlight w:val="none"/>
                <w:lang w:val="en-US" w:eastAsia="zh-CN"/>
                <w14:textFill>
                  <w14:solidFill>
                    <w14:schemeClr w14:val="tx1"/>
                  </w14:solidFill>
                </w14:textFill>
              </w:rPr>
              <w:t>实施</w:t>
            </w:r>
            <w:r>
              <w:rPr>
                <w:rFonts w:hint="eastAsia" w:ascii="宋体" w:hAnsi="宋体" w:eastAsia="宋体" w:cs="宋体"/>
                <w:color w:val="000000" w:themeColor="text1"/>
                <w:sz w:val="24"/>
                <w:szCs w:val="24"/>
                <w:highlight w:val="none"/>
                <w14:textFill>
                  <w14:solidFill>
                    <w14:schemeClr w14:val="tx1"/>
                  </w14:solidFill>
                </w14:textFill>
              </w:rPr>
              <w:t>方案，项目实施方案中的工作内容全面，阐述十分完整且深入，完全符合项目需求的得</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分；项目实施方案中的工作内容较为全面</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较</w:t>
            </w:r>
            <w:r>
              <w:rPr>
                <w:rFonts w:hint="eastAsia" w:ascii="宋体" w:hAnsi="宋体" w:eastAsia="宋体" w:cs="宋体"/>
                <w:color w:val="000000" w:themeColor="text1"/>
                <w:sz w:val="24"/>
                <w:szCs w:val="24"/>
                <w:highlight w:val="none"/>
                <w14:textFill>
                  <w14:solidFill>
                    <w14:schemeClr w14:val="tx1"/>
                  </w14:solidFill>
                </w14:textFill>
              </w:rPr>
              <w:t>符合项目需求的得</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分；项目实施方案中的工作内容阐述不够完整且</w:t>
            </w:r>
            <w:r>
              <w:rPr>
                <w:rFonts w:hint="eastAsia" w:ascii="宋体" w:hAnsi="宋体" w:eastAsia="宋体" w:cs="宋体"/>
                <w:color w:val="000000" w:themeColor="text1"/>
                <w:sz w:val="24"/>
                <w:szCs w:val="24"/>
                <w:highlight w:val="none"/>
                <w:lang w:val="en-US" w:eastAsia="zh-CN"/>
                <w14:textFill>
                  <w14:solidFill>
                    <w14:schemeClr w14:val="tx1"/>
                  </w14:solidFill>
                </w14:textFill>
              </w:rPr>
              <w:t>存在</w:t>
            </w:r>
            <w:r>
              <w:rPr>
                <w:rFonts w:hint="eastAsia" w:ascii="宋体" w:hAnsi="宋体" w:eastAsia="宋体" w:cs="宋体"/>
                <w:color w:val="000000" w:themeColor="text1"/>
                <w:sz w:val="24"/>
                <w:szCs w:val="24"/>
                <w:highlight w:val="none"/>
                <w14:textFill>
                  <w14:solidFill>
                    <w14:schemeClr w14:val="tx1"/>
                  </w14:solidFill>
                </w14:textFill>
              </w:rPr>
              <w:t>不足的得</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分；内容缺漏，不符合本项目实施需要或无实质内容</w:t>
            </w:r>
            <w:r>
              <w:rPr>
                <w:rFonts w:hint="eastAsia" w:ascii="宋体" w:hAnsi="宋体" w:cs="宋体"/>
                <w:color w:val="000000" w:themeColor="text1"/>
                <w:sz w:val="24"/>
                <w:szCs w:val="24"/>
                <w:highlight w:val="none"/>
                <w:lang w:val="en-US" w:eastAsia="zh-CN"/>
                <w14:textFill>
                  <w14:solidFill>
                    <w14:schemeClr w14:val="tx1"/>
                  </w14:solidFill>
                </w14:textFill>
              </w:rPr>
              <w:t>或未提供</w:t>
            </w:r>
            <w:r>
              <w:rPr>
                <w:rFonts w:hint="eastAsia" w:ascii="宋体" w:hAnsi="宋体" w:eastAsia="宋体" w:cs="宋体"/>
                <w:color w:val="000000" w:themeColor="text1"/>
                <w:sz w:val="24"/>
                <w:szCs w:val="24"/>
                <w:highlight w:val="none"/>
                <w14:textFill>
                  <w14:solidFill>
                    <w14:schemeClr w14:val="tx1"/>
                  </w14:solidFill>
                </w14:textFill>
              </w:rPr>
              <w:t>的不得分</w:t>
            </w:r>
            <w:r>
              <w:rPr>
                <w:rFonts w:hint="eastAsia" w:ascii="宋体" w:hAnsi="宋体" w:cs="宋体"/>
                <w:color w:val="000000" w:themeColor="text1"/>
                <w:sz w:val="24"/>
                <w:szCs w:val="24"/>
                <w:highlight w:val="none"/>
                <w:lang w:val="en-US" w:eastAsia="zh-CN"/>
                <w14:textFill>
                  <w14:solidFill>
                    <w14:schemeClr w14:val="tx1"/>
                  </w14:solidFill>
                </w14:textFill>
              </w:rPr>
              <w:t>。</w:t>
            </w:r>
          </w:p>
        </w:tc>
        <w:tc>
          <w:tcPr>
            <w:tcW w:w="1278" w:type="dxa"/>
            <w:noWrap w:val="0"/>
            <w:vAlign w:val="center"/>
          </w:tcPr>
          <w:p w14:paraId="086D2CE1">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p>
        </w:tc>
      </w:tr>
      <w:tr w14:paraId="76E39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0798C15">
            <w:pPr>
              <w:pStyle w:val="74"/>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p>
        </w:tc>
        <w:tc>
          <w:tcPr>
            <w:tcW w:w="7168" w:type="dxa"/>
            <w:noWrap w:val="0"/>
            <w:vAlign w:val="center"/>
          </w:tcPr>
          <w:p w14:paraId="7116A169">
            <w:pPr>
              <w:spacing w:line="360" w:lineRule="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w:t>
            </w: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提供</w:t>
            </w:r>
            <w:r>
              <w:rPr>
                <w:rFonts w:hint="eastAsia" w:ascii="宋体" w:hAnsi="宋体"/>
                <w:color w:val="000000" w:themeColor="text1"/>
                <w:sz w:val="24"/>
                <w:highlight w:val="none"/>
                <w14:textFill>
                  <w14:solidFill>
                    <w14:schemeClr w14:val="tx1"/>
                  </w14:solidFill>
                </w14:textFill>
              </w:rPr>
              <w:t>的服务质量保障措施进行评价：有制定相应的服务质量保障措施，对服务过程中的关键节点有具体质量控制措施，有相应的人力、物力投入安排，能够确保服务质量的，得</w:t>
            </w:r>
            <w:r>
              <w:rPr>
                <w:rFonts w:hint="eastAsia" w:ascii="宋体" w:hAnsi="宋体"/>
                <w:color w:val="000000" w:themeColor="text1"/>
                <w:sz w:val="24"/>
                <w:highlight w:val="none"/>
                <w:lang w:val="en-US" w:eastAsia="zh-CN"/>
                <w14:textFill>
                  <w14:solidFill>
                    <w14:schemeClr w14:val="tx1"/>
                  </w14:solidFill>
                </w14:textFill>
              </w:rPr>
              <w:t>10</w:t>
            </w:r>
            <w:r>
              <w:rPr>
                <w:rFonts w:hint="eastAsia" w:ascii="宋体" w:hAnsi="宋体"/>
                <w:color w:val="000000" w:themeColor="text1"/>
                <w:sz w:val="24"/>
                <w:highlight w:val="none"/>
                <w14:textFill>
                  <w14:solidFill>
                    <w14:schemeClr w14:val="tx1"/>
                  </w14:solidFill>
                </w14:textFill>
              </w:rPr>
              <w:t>分；服务质量保障措施较为简单，对服务过程中的关键节点有提出基本的质量控制措施的，得</w:t>
            </w:r>
            <w:r>
              <w:rPr>
                <w:rFonts w:hint="eastAsia" w:ascii="宋体" w:hAnsi="宋体"/>
                <w:color w:val="000000" w:themeColor="text1"/>
                <w:sz w:val="24"/>
                <w:highlight w:val="none"/>
                <w:lang w:val="en-US" w:eastAsia="zh-CN"/>
                <w14:textFill>
                  <w14:solidFill>
                    <w14:schemeClr w14:val="tx1"/>
                  </w14:solidFill>
                </w14:textFill>
              </w:rPr>
              <w:t>6</w:t>
            </w:r>
            <w:r>
              <w:rPr>
                <w:rFonts w:hint="eastAsia" w:ascii="宋体" w:hAnsi="宋体"/>
                <w:color w:val="000000" w:themeColor="text1"/>
                <w:sz w:val="24"/>
                <w:highlight w:val="none"/>
                <w14:textFill>
                  <w14:solidFill>
                    <w14:schemeClr w14:val="tx1"/>
                  </w14:solidFill>
                </w14:textFill>
              </w:rPr>
              <w:t>分；未提供措施或者措施不可行或不符合项目需求的不得分。</w:t>
            </w:r>
          </w:p>
        </w:tc>
        <w:tc>
          <w:tcPr>
            <w:tcW w:w="1278" w:type="dxa"/>
            <w:noWrap w:val="0"/>
            <w:vAlign w:val="center"/>
          </w:tcPr>
          <w:p w14:paraId="0D030D1C">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p>
        </w:tc>
      </w:tr>
      <w:tr w14:paraId="6BD3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90801C0">
            <w:pPr>
              <w:pStyle w:val="74"/>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p>
        </w:tc>
        <w:tc>
          <w:tcPr>
            <w:tcW w:w="7168" w:type="dxa"/>
            <w:noWrap w:val="0"/>
            <w:vAlign w:val="center"/>
          </w:tcPr>
          <w:p w14:paraId="242DC3CB">
            <w:pPr>
              <w:tabs>
                <w:tab w:val="left" w:pos="2041"/>
                <w:tab w:val="left" w:pos="5907"/>
                <w:tab w:val="left" w:pos="9344"/>
              </w:tabs>
              <w:spacing w:line="360" w:lineRule="auto"/>
              <w:contextualSpacing/>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供应商拟投入本</w:t>
            </w:r>
            <w:r>
              <w:rPr>
                <w:rFonts w:hint="eastAsia" w:ascii="宋体" w:hAnsi="宋体" w:eastAsia="宋体" w:cs="宋体"/>
                <w:color w:val="000000" w:themeColor="text1"/>
                <w:sz w:val="24"/>
                <w:szCs w:val="24"/>
                <w:highlight w:val="none"/>
                <w:lang w:val="zh-CN" w:bidi="ar"/>
                <w14:textFill>
                  <w14:solidFill>
                    <w14:schemeClr w14:val="tx1"/>
                  </w14:solidFill>
                </w14:textFill>
              </w:rPr>
              <w:t>项目总负责人须具有环境</w:t>
            </w:r>
            <w:r>
              <w:rPr>
                <w:rFonts w:hint="eastAsia" w:ascii="宋体" w:hAnsi="宋体" w:cs="宋体"/>
                <w:color w:val="000000" w:themeColor="text1"/>
                <w:sz w:val="24"/>
                <w:szCs w:val="24"/>
                <w:highlight w:val="none"/>
                <w:lang w:val="en-US" w:eastAsia="zh-CN" w:bidi="ar"/>
                <w14:textFill>
                  <w14:solidFill>
                    <w14:schemeClr w14:val="tx1"/>
                  </w14:solidFill>
                </w14:textFill>
              </w:rPr>
              <w:t>类</w:t>
            </w:r>
            <w:r>
              <w:rPr>
                <w:rFonts w:hint="eastAsia" w:ascii="宋体" w:hAnsi="宋体" w:eastAsia="宋体" w:cs="宋体"/>
                <w:color w:val="000000" w:themeColor="text1"/>
                <w:sz w:val="24"/>
                <w:szCs w:val="24"/>
                <w:highlight w:val="none"/>
                <w:lang w:val="zh-CN" w:bidi="ar"/>
                <w14:textFill>
                  <w14:solidFill>
                    <w14:schemeClr w14:val="tx1"/>
                  </w14:solidFill>
                </w14:textFill>
              </w:rPr>
              <w:t>相关专业高级或以上职称的得</w:t>
            </w:r>
            <w:r>
              <w:rPr>
                <w:rFonts w:hint="eastAsia" w:ascii="宋体" w:hAnsi="宋体" w:eastAsia="宋体" w:cs="宋体"/>
                <w:color w:val="000000" w:themeColor="text1"/>
                <w:sz w:val="24"/>
                <w:szCs w:val="24"/>
                <w:highlight w:val="none"/>
                <w:lang w:bidi="ar"/>
                <w14:textFill>
                  <w14:solidFill>
                    <w14:schemeClr w14:val="tx1"/>
                  </w14:solidFill>
                </w14:textFill>
              </w:rPr>
              <w:t>3</w:t>
            </w:r>
            <w:r>
              <w:rPr>
                <w:rFonts w:hint="eastAsia" w:ascii="宋体" w:hAnsi="宋体" w:eastAsia="宋体" w:cs="宋体"/>
                <w:color w:val="000000" w:themeColor="text1"/>
                <w:sz w:val="24"/>
                <w:szCs w:val="24"/>
                <w:highlight w:val="none"/>
                <w:lang w:val="zh-CN" w:bidi="ar"/>
                <w14:textFill>
                  <w14:solidFill>
                    <w14:schemeClr w14:val="tx1"/>
                  </w14:solidFill>
                </w14:textFill>
              </w:rPr>
              <w:t>分。</w:t>
            </w:r>
            <w:r>
              <w:rPr>
                <w:rFonts w:hint="eastAsia" w:ascii="宋体" w:hAnsi="宋体" w:eastAsia="宋体" w:cs="宋体"/>
                <w:color w:val="000000" w:themeColor="text1"/>
                <w:kern w:val="0"/>
                <w:sz w:val="24"/>
                <w:szCs w:val="24"/>
                <w:highlight w:val="none"/>
                <w14:textFill>
                  <w14:solidFill>
                    <w14:schemeClr w14:val="tx1"/>
                  </w14:solidFill>
                </w14:textFill>
              </w:rPr>
              <w:t>须提供</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以下材料</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01F8A428">
            <w:pPr>
              <w:pStyle w:val="26"/>
              <w:spacing w:line="360" w:lineRule="auto"/>
              <w:ind w:left="0" w:leftChars="0" w:firstLine="0" w:firstLineChars="0"/>
              <w:rPr>
                <w:rFonts w:hint="eastAsia" w:ascii="宋体" w:hAnsi="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①职称证书复印件；②在磋商截止时间前六个月内（不含磋商截止时间当月）任意一个月在供应商单位缴交社保的证明材料，</w:t>
            </w:r>
            <w:r>
              <w:rPr>
                <w:rFonts w:hint="eastAsia" w:ascii="宋体" w:hAnsi="宋体" w:eastAsia="宋体" w:cs="宋体"/>
                <w:color w:val="000000" w:themeColor="text1"/>
                <w:kern w:val="0"/>
                <w:sz w:val="24"/>
                <w:highlight w:val="none"/>
                <w:lang w:eastAsia="zh-CN"/>
                <w14:textFill>
                  <w14:solidFill>
                    <w14:schemeClr w14:val="tx1"/>
                  </w14:solidFill>
                </w14:textFill>
              </w:rPr>
              <w:t>以上材料缺一不可</w:t>
            </w:r>
            <w:r>
              <w:rPr>
                <w:rFonts w:hint="eastAsia" w:ascii="宋体" w:hAnsi="宋体" w:eastAsia="宋体" w:cs="宋体"/>
                <w:color w:val="000000" w:themeColor="text1"/>
                <w:kern w:val="0"/>
                <w:sz w:val="24"/>
                <w:highlight w:val="none"/>
                <w14:textFill>
                  <w14:solidFill>
                    <w14:schemeClr w14:val="tx1"/>
                  </w14:solidFill>
                </w14:textFill>
              </w:rPr>
              <w:t>，复印件加盖供应商公章</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未提供不得分。</w:t>
            </w:r>
          </w:p>
        </w:tc>
        <w:tc>
          <w:tcPr>
            <w:tcW w:w="1278" w:type="dxa"/>
            <w:noWrap w:val="0"/>
            <w:vAlign w:val="center"/>
          </w:tcPr>
          <w:p w14:paraId="40385324">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tc>
      </w:tr>
      <w:tr w14:paraId="3238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5BC73ED">
            <w:pPr>
              <w:pStyle w:val="74"/>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p>
        </w:tc>
        <w:tc>
          <w:tcPr>
            <w:tcW w:w="7168" w:type="dxa"/>
            <w:shd w:val="clear" w:color="auto" w:fill="auto"/>
            <w:noWrap w:val="0"/>
            <w:vAlign w:val="center"/>
          </w:tcPr>
          <w:p w14:paraId="2AAFFE7B">
            <w:pPr>
              <w:widowControl/>
              <w:adjustRightInd w:val="0"/>
              <w:snapToGrid/>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lang w:bidi="ar"/>
                <w14:textFill>
                  <w14:solidFill>
                    <w14:schemeClr w14:val="tx1"/>
                  </w14:solidFill>
                </w14:textFill>
              </w:rPr>
              <w:t>拟</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为</w:t>
            </w:r>
            <w:r>
              <w:rPr>
                <w:rFonts w:hint="eastAsia" w:ascii="宋体" w:hAnsi="宋体" w:eastAsia="宋体" w:cs="宋体"/>
                <w:color w:val="000000" w:themeColor="text1"/>
                <w:kern w:val="0"/>
                <w:sz w:val="24"/>
                <w:szCs w:val="24"/>
                <w:highlight w:val="none"/>
                <w14:textFill>
                  <w14:solidFill>
                    <w14:schemeClr w14:val="tx1"/>
                  </w14:solidFill>
                </w14:textFill>
              </w:rPr>
              <w:t>本项目配备的技术人员（不含项目负责人）具有环境类</w:t>
            </w:r>
            <w:r>
              <w:rPr>
                <w:rFonts w:hint="eastAsia" w:ascii="宋体" w:hAnsi="宋体" w:cs="宋体"/>
                <w:color w:val="000000" w:themeColor="text1"/>
                <w:kern w:val="0"/>
                <w:sz w:val="24"/>
                <w:szCs w:val="24"/>
                <w:highlight w:val="none"/>
                <w:lang w:val="en-US" w:eastAsia="zh-CN"/>
                <w14:textFill>
                  <w14:solidFill>
                    <w14:schemeClr w14:val="tx1"/>
                  </w14:solidFill>
                </w14:textFill>
              </w:rPr>
              <w:t>或海洋类</w:t>
            </w:r>
            <w:r>
              <w:rPr>
                <w:rFonts w:hint="eastAsia" w:ascii="宋体" w:hAnsi="宋体" w:eastAsia="宋体" w:cs="宋体"/>
                <w:color w:val="000000" w:themeColor="text1"/>
                <w:sz w:val="24"/>
                <w:szCs w:val="24"/>
                <w:highlight w:val="none"/>
                <w:lang w:val="zh-CN" w:bidi="ar"/>
                <w14:textFill>
                  <w14:solidFill>
                    <w14:schemeClr w14:val="tx1"/>
                  </w14:solidFill>
                </w14:textFill>
              </w:rPr>
              <w:t>相关专业</w:t>
            </w:r>
            <w:r>
              <w:rPr>
                <w:rFonts w:hint="eastAsia" w:ascii="宋体" w:hAnsi="宋体" w:eastAsia="宋体" w:cs="宋体"/>
                <w:color w:val="000000" w:themeColor="text1"/>
                <w:kern w:val="0"/>
                <w:sz w:val="24"/>
                <w:szCs w:val="24"/>
                <w:highlight w:val="none"/>
                <w14:textFill>
                  <w14:solidFill>
                    <w14:schemeClr w14:val="tx1"/>
                  </w14:solidFill>
                </w14:textFill>
              </w:rPr>
              <w:t>中级工程师或以上职称的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每提供1个满足上述要求的人员</w:t>
            </w:r>
            <w:r>
              <w:rPr>
                <w:rFonts w:hint="eastAsia" w:ascii="宋体" w:hAnsi="宋体" w:eastAsia="宋体" w:cs="宋体"/>
                <w:color w:val="000000" w:themeColor="text1"/>
                <w:kern w:val="0"/>
                <w:sz w:val="24"/>
                <w:szCs w:val="24"/>
                <w:highlight w:val="none"/>
                <w14:textFill>
                  <w14:solidFill>
                    <w14:schemeClr w14:val="tx1"/>
                  </w14:solidFill>
                </w14:textFill>
              </w:rPr>
              <w:t>得</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分，满分</w:t>
            </w:r>
            <w:r>
              <w:rPr>
                <w:rFonts w:hint="eastAsia" w:ascii="宋体" w:hAnsi="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分。</w:t>
            </w:r>
          </w:p>
          <w:p w14:paraId="0C13CFB4">
            <w:pPr>
              <w:spacing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须提供</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以下材料</w:t>
            </w:r>
            <w:r>
              <w:rPr>
                <w:rFonts w:hint="eastAsia" w:ascii="宋体" w:hAnsi="宋体" w:eastAsia="宋体" w:cs="宋体"/>
                <w:color w:val="000000" w:themeColor="text1"/>
                <w:kern w:val="0"/>
                <w:sz w:val="24"/>
                <w:szCs w:val="24"/>
                <w:highlight w:val="none"/>
                <w14:textFill>
                  <w14:solidFill>
                    <w14:schemeClr w14:val="tx1"/>
                  </w14:solidFill>
                </w14:textFill>
              </w:rPr>
              <w:t>：①职称证书复印件；②在磋商截止时间前六个月内（不含磋商截止时间当月）任意一个月在供应商单位缴交社保的证明材料，</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以上材料缺一不可</w:t>
            </w:r>
            <w:r>
              <w:rPr>
                <w:rFonts w:hint="eastAsia" w:ascii="宋体" w:hAnsi="宋体" w:eastAsia="宋体" w:cs="宋体"/>
                <w:color w:val="000000" w:themeColor="text1"/>
                <w:kern w:val="0"/>
                <w:sz w:val="24"/>
                <w:szCs w:val="24"/>
                <w:highlight w:val="none"/>
                <w14:textFill>
                  <w14:solidFill>
                    <w14:schemeClr w14:val="tx1"/>
                  </w14:solidFill>
                </w14:textFill>
              </w:rPr>
              <w:t>，复印件加盖供应商公章，同一个人不重复累计计算</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未提供不得分</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w:t>
            </w:r>
          </w:p>
        </w:tc>
        <w:tc>
          <w:tcPr>
            <w:tcW w:w="1278" w:type="dxa"/>
            <w:noWrap w:val="0"/>
            <w:vAlign w:val="center"/>
          </w:tcPr>
          <w:p w14:paraId="563B6701">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p>
        </w:tc>
      </w:tr>
      <w:tr w14:paraId="17E0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D2691AE">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p>
        </w:tc>
        <w:tc>
          <w:tcPr>
            <w:tcW w:w="7168" w:type="dxa"/>
            <w:shd w:val="clear" w:color="auto" w:fill="auto"/>
            <w:noWrap w:val="0"/>
            <w:vAlign w:val="center"/>
          </w:tcPr>
          <w:p w14:paraId="5AADDAA2">
            <w:pPr>
              <w:spacing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有为本项目制定</w:t>
            </w:r>
            <w:r>
              <w:rPr>
                <w:rFonts w:hint="eastAsia" w:ascii="宋体" w:hAnsi="宋体" w:eastAsia="宋体" w:cs="宋体"/>
                <w:color w:val="000000" w:themeColor="text1"/>
                <w:kern w:val="0"/>
                <w:sz w:val="24"/>
                <w:szCs w:val="24"/>
                <w:highlight w:val="none"/>
                <w14:textFill>
                  <w14:solidFill>
                    <w14:schemeClr w14:val="tx1"/>
                  </w14:solidFill>
                </w14:textFill>
              </w:rPr>
              <w:t>保密</w:t>
            </w:r>
            <w:r>
              <w:rPr>
                <w:rFonts w:hint="eastAsia" w:ascii="宋体" w:hAnsi="宋体" w:cs="宋体"/>
                <w:color w:val="000000" w:themeColor="text1"/>
                <w:kern w:val="0"/>
                <w:sz w:val="24"/>
                <w:szCs w:val="24"/>
                <w:highlight w:val="none"/>
                <w:lang w:val="en-US" w:eastAsia="zh-CN"/>
                <w14:textFill>
                  <w14:solidFill>
                    <w14:schemeClr w14:val="tx1"/>
                  </w14:solidFill>
                </w14:textFill>
              </w:rPr>
              <w:t>方案</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方案具有针对性，</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有</w:t>
            </w:r>
            <w:r>
              <w:rPr>
                <w:rFonts w:hint="eastAsia" w:ascii="宋体" w:hAnsi="宋体" w:eastAsia="宋体" w:cs="宋体"/>
                <w:color w:val="000000" w:themeColor="text1"/>
                <w:kern w:val="0"/>
                <w:sz w:val="24"/>
                <w:szCs w:val="24"/>
                <w:highlight w:val="none"/>
                <w14:textFill>
                  <w14:solidFill>
                    <w14:schemeClr w14:val="tx1"/>
                  </w14:solidFill>
                </w14:textFill>
              </w:rPr>
              <w:t>根据项目需求情况提出详细、具体</w:t>
            </w:r>
            <w:r>
              <w:rPr>
                <w:rFonts w:hint="eastAsia" w:ascii="宋体" w:hAnsi="宋体" w:cs="宋体"/>
                <w:color w:val="000000" w:themeColor="text1"/>
                <w:kern w:val="0"/>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szCs w:val="24"/>
                <w:highlight w:val="none"/>
                <w14:textFill>
                  <w14:solidFill>
                    <w14:schemeClr w14:val="tx1"/>
                  </w14:solidFill>
                </w14:textFill>
              </w:rPr>
              <w:t>保密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措施</w:t>
            </w:r>
            <w:r>
              <w:rPr>
                <w:rFonts w:hint="eastAsia" w:ascii="宋体" w:hAnsi="宋体" w:eastAsia="宋体" w:cs="宋体"/>
                <w:color w:val="000000" w:themeColor="text1"/>
                <w:kern w:val="0"/>
                <w:sz w:val="24"/>
                <w:szCs w:val="24"/>
                <w:highlight w:val="none"/>
                <w14:textFill>
                  <w14:solidFill>
                    <w14:schemeClr w14:val="tx1"/>
                  </w14:solidFill>
                </w14:textFill>
              </w:rPr>
              <w:t>等的得</w:t>
            </w:r>
            <w:r>
              <w:rPr>
                <w:rFonts w:hint="eastAsia" w:ascii="宋体" w:hAnsi="宋体" w:cs="宋体"/>
                <w:color w:val="000000" w:themeColor="text1"/>
                <w:kern w:val="0"/>
                <w:sz w:val="24"/>
                <w:szCs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szCs w:val="24"/>
                <w:highlight w:val="none"/>
                <w14:textFill>
                  <w14:solidFill>
                    <w14:schemeClr w14:val="tx1"/>
                  </w14:solidFill>
                </w14:textFill>
              </w:rPr>
              <w:t>分；保密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措施</w:t>
            </w:r>
            <w:r>
              <w:rPr>
                <w:rFonts w:hint="eastAsia" w:ascii="宋体" w:hAnsi="宋体" w:cs="宋体"/>
                <w:color w:val="000000" w:themeColor="text1"/>
                <w:kern w:val="0"/>
                <w:sz w:val="24"/>
                <w:szCs w:val="24"/>
                <w:highlight w:val="none"/>
                <w:lang w:val="en-US" w:eastAsia="zh-CN"/>
                <w14:textFill>
                  <w14:solidFill>
                    <w14:schemeClr w14:val="tx1"/>
                  </w14:solidFill>
                </w14:textFill>
              </w:rPr>
              <w:t>比较简单</w:t>
            </w:r>
            <w:r>
              <w:rPr>
                <w:rFonts w:hint="eastAsia" w:ascii="宋体" w:hAnsi="宋体" w:eastAsia="宋体" w:cs="宋体"/>
                <w:color w:val="000000" w:themeColor="text1"/>
                <w:kern w:val="0"/>
                <w:sz w:val="24"/>
                <w:szCs w:val="24"/>
                <w:highlight w:val="none"/>
                <w14:textFill>
                  <w14:solidFill>
                    <w14:schemeClr w14:val="tx1"/>
                  </w14:solidFill>
                </w14:textFill>
              </w:rPr>
              <w:t>的得</w:t>
            </w:r>
            <w:r>
              <w:rPr>
                <w:rFonts w:hint="eastAsia" w:ascii="宋体" w:hAnsi="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szCs w:val="24"/>
                <w:highlight w:val="none"/>
                <w14:textFill>
                  <w14:solidFill>
                    <w14:schemeClr w14:val="tx1"/>
                  </w14:solidFill>
                </w14:textFill>
              </w:rPr>
              <w:t>分</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未提供方案或者方案不可行或不符合项目需求的不得分。</w:t>
            </w:r>
          </w:p>
        </w:tc>
        <w:tc>
          <w:tcPr>
            <w:tcW w:w="1278" w:type="dxa"/>
            <w:noWrap w:val="0"/>
            <w:vAlign w:val="center"/>
          </w:tcPr>
          <w:p w14:paraId="47C25CA1">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p>
        </w:tc>
      </w:tr>
      <w:tr w14:paraId="1A8F9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7FC6587">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11</w:t>
            </w:r>
          </w:p>
        </w:tc>
        <w:tc>
          <w:tcPr>
            <w:tcW w:w="7168" w:type="dxa"/>
            <w:noWrap w:val="0"/>
            <w:vAlign w:val="center"/>
          </w:tcPr>
          <w:p w14:paraId="20048326">
            <w:pPr>
              <w:pStyle w:val="25"/>
              <w:spacing w:line="360" w:lineRule="auto"/>
              <w:ind w:firstLine="0" w:firstLineChars="0"/>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根据供应商针对本项目</w:t>
            </w:r>
            <w:r>
              <w:rPr>
                <w:rFonts w:hint="eastAsia" w:ascii="宋体" w:hAnsi="宋体" w:cs="宋体"/>
                <w:color w:val="000000" w:themeColor="text1"/>
                <w:sz w:val="24"/>
                <w:szCs w:val="24"/>
                <w:highlight w:val="none"/>
                <w:lang w:val="en-US" w:eastAsia="zh-CN"/>
                <w14:textFill>
                  <w14:solidFill>
                    <w14:schemeClr w14:val="tx1"/>
                  </w14:solidFill>
                </w14:textFill>
              </w:rPr>
              <w:t>提供的</w:t>
            </w:r>
            <w:r>
              <w:rPr>
                <w:rFonts w:hint="eastAsia" w:ascii="宋体" w:hAnsi="宋体" w:cs="宋体"/>
                <w:color w:val="000000" w:themeColor="text1"/>
                <w:sz w:val="24"/>
                <w:szCs w:val="24"/>
                <w:highlight w:val="none"/>
                <w:lang w:eastAsia="zh-CN"/>
                <w14:textFill>
                  <w14:solidFill>
                    <w14:schemeClr w14:val="tx1"/>
                  </w14:solidFill>
                </w14:textFill>
              </w:rPr>
              <w:t>进度保障方案（包含进度安排计划和进度保障措施）进行评价：方案有</w:t>
            </w:r>
            <w:r>
              <w:rPr>
                <w:rFonts w:hint="eastAsia" w:ascii="宋体" w:hAnsi="宋体" w:cs="宋体"/>
                <w:color w:val="000000" w:themeColor="text1"/>
                <w:sz w:val="24"/>
                <w:szCs w:val="24"/>
                <w:highlight w:val="none"/>
                <w:lang w:val="en-US" w:eastAsia="zh-CN"/>
                <w14:textFill>
                  <w14:solidFill>
                    <w14:schemeClr w14:val="tx1"/>
                  </w14:solidFill>
                </w14:textFill>
              </w:rPr>
              <w:t>具体</w:t>
            </w:r>
            <w:r>
              <w:rPr>
                <w:rFonts w:hint="eastAsia" w:ascii="宋体" w:hAnsi="宋体" w:cs="宋体"/>
                <w:color w:val="000000" w:themeColor="text1"/>
                <w:sz w:val="24"/>
                <w:szCs w:val="24"/>
                <w:highlight w:val="none"/>
                <w:lang w:eastAsia="zh-CN"/>
                <w14:textFill>
                  <w14:solidFill>
                    <w14:schemeClr w14:val="tx1"/>
                  </w14:solidFill>
                </w14:textFill>
              </w:rPr>
              <w:t>的进度计划和保障措施，</w:t>
            </w:r>
            <w:r>
              <w:rPr>
                <w:rFonts w:hint="eastAsia" w:ascii="宋体" w:hAnsi="宋体" w:cs="宋体"/>
                <w:color w:val="000000" w:themeColor="text1"/>
                <w:sz w:val="24"/>
                <w:szCs w:val="24"/>
                <w:highlight w:val="none"/>
                <w:lang w:val="en-US" w:eastAsia="zh-CN"/>
                <w14:textFill>
                  <w14:solidFill>
                    <w14:schemeClr w14:val="tx1"/>
                  </w14:solidFill>
                </w14:textFill>
              </w:rPr>
              <w:t>有针对性</w:t>
            </w:r>
            <w:r>
              <w:rPr>
                <w:rFonts w:hint="eastAsia" w:ascii="宋体" w:hAnsi="宋体" w:cs="宋体"/>
                <w:color w:val="000000" w:themeColor="text1"/>
                <w:sz w:val="24"/>
                <w:szCs w:val="24"/>
                <w:highlight w:val="none"/>
                <w:lang w:eastAsia="zh-CN"/>
                <w14:textFill>
                  <w14:solidFill>
                    <w14:schemeClr w14:val="tx1"/>
                  </w14:solidFill>
                </w14:textFill>
              </w:rPr>
              <w:t>的得</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分；方案有</w:t>
            </w:r>
            <w:r>
              <w:rPr>
                <w:rFonts w:hint="eastAsia" w:ascii="宋体" w:hAnsi="宋体" w:cs="宋体"/>
                <w:color w:val="000000" w:themeColor="text1"/>
                <w:sz w:val="24"/>
                <w:szCs w:val="24"/>
                <w:highlight w:val="none"/>
                <w:lang w:val="en-US" w:eastAsia="zh-CN"/>
                <w14:textFill>
                  <w14:solidFill>
                    <w14:schemeClr w14:val="tx1"/>
                  </w14:solidFill>
                </w14:textFill>
              </w:rPr>
              <w:t>具体</w:t>
            </w:r>
            <w:r>
              <w:rPr>
                <w:rFonts w:hint="eastAsia" w:ascii="宋体" w:hAnsi="宋体" w:cs="宋体"/>
                <w:color w:val="000000" w:themeColor="text1"/>
                <w:sz w:val="24"/>
                <w:szCs w:val="24"/>
                <w:highlight w:val="none"/>
                <w:lang w:eastAsia="zh-CN"/>
                <w14:textFill>
                  <w14:solidFill>
                    <w14:schemeClr w14:val="tx1"/>
                  </w14:solidFill>
                </w14:textFill>
              </w:rPr>
              <w:t>的进度计划和保障措施，方案</w:t>
            </w:r>
            <w:r>
              <w:rPr>
                <w:rFonts w:hint="eastAsia" w:ascii="宋体" w:hAnsi="宋体" w:cs="宋体"/>
                <w:color w:val="000000" w:themeColor="text1"/>
                <w:sz w:val="24"/>
                <w:szCs w:val="24"/>
                <w:highlight w:val="none"/>
                <w:lang w:val="en-US" w:eastAsia="zh-CN"/>
                <w14:textFill>
                  <w14:solidFill>
                    <w14:schemeClr w14:val="tx1"/>
                  </w14:solidFill>
                </w14:textFill>
              </w:rPr>
              <w:t>比较简单</w:t>
            </w:r>
            <w:r>
              <w:rPr>
                <w:rFonts w:hint="eastAsia" w:ascii="宋体" w:hAnsi="宋体" w:cs="宋体"/>
                <w:color w:val="000000" w:themeColor="text1"/>
                <w:sz w:val="24"/>
                <w:szCs w:val="24"/>
                <w:highlight w:val="none"/>
                <w:lang w:eastAsia="zh-CN"/>
                <w14:textFill>
                  <w14:solidFill>
                    <w14:schemeClr w14:val="tx1"/>
                  </w14:solidFill>
                </w14:textFill>
              </w:rPr>
              <w:t>的得2分；</w:t>
            </w:r>
            <w:r>
              <w:rPr>
                <w:rFonts w:hint="eastAsia" w:ascii="宋体" w:hAnsi="宋体" w:eastAsia="宋体" w:cs="宋体"/>
                <w:color w:val="000000" w:themeColor="text1"/>
                <w:kern w:val="0"/>
                <w:sz w:val="24"/>
                <w:szCs w:val="24"/>
                <w:highlight w:val="none"/>
                <w14:textFill>
                  <w14:solidFill>
                    <w14:schemeClr w14:val="tx1"/>
                  </w14:solidFill>
                </w14:textFill>
              </w:rPr>
              <w:t>未提供方案或者方案不可行或不符合项目需求的不得分。</w:t>
            </w:r>
          </w:p>
        </w:tc>
        <w:tc>
          <w:tcPr>
            <w:tcW w:w="1278" w:type="dxa"/>
            <w:noWrap w:val="0"/>
            <w:vAlign w:val="center"/>
          </w:tcPr>
          <w:p w14:paraId="39622A32">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p>
        </w:tc>
      </w:tr>
      <w:tr w14:paraId="74B3D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5403C3F">
            <w:pPr>
              <w:pStyle w:val="74"/>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7168" w:type="dxa"/>
            <w:noWrap w:val="0"/>
            <w:vAlign w:val="center"/>
          </w:tcPr>
          <w:p w14:paraId="3EB5B29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根据</w:t>
            </w: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提供的售后服务方案进行</w:t>
            </w:r>
            <w:r>
              <w:rPr>
                <w:rFonts w:hint="eastAsia" w:ascii="宋体" w:hAnsi="宋体" w:eastAsia="宋体" w:cs="宋体"/>
                <w:color w:val="000000" w:themeColor="text1"/>
                <w:kern w:val="0"/>
                <w:sz w:val="24"/>
                <w:szCs w:val="24"/>
                <w:highlight w:val="none"/>
                <w14:textFill>
                  <w14:solidFill>
                    <w14:schemeClr w14:val="tx1"/>
                  </w14:solidFill>
                </w14:textFill>
              </w:rPr>
              <w:t>评分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14:paraId="58D16816">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有制定相应的</w:t>
            </w:r>
            <w:r>
              <w:rPr>
                <w:rFonts w:hint="eastAsia" w:ascii="宋体" w:hAnsi="宋体"/>
                <w:color w:val="000000" w:themeColor="text1"/>
                <w:sz w:val="24"/>
                <w:highlight w:val="none"/>
                <w:lang w:val="en-US" w:eastAsia="zh-CN"/>
                <w14:textFill>
                  <w14:solidFill>
                    <w14:schemeClr w14:val="tx1"/>
                  </w14:solidFill>
                </w14:textFill>
              </w:rPr>
              <w:t>售后</w:t>
            </w:r>
            <w:r>
              <w:rPr>
                <w:rFonts w:hint="eastAsia" w:ascii="宋体" w:hAnsi="宋体"/>
                <w:color w:val="000000" w:themeColor="text1"/>
                <w:sz w:val="24"/>
                <w:highlight w:val="none"/>
                <w14:textFill>
                  <w14:solidFill>
                    <w14:schemeClr w14:val="tx1"/>
                  </w14:solidFill>
                </w14:textFill>
              </w:rPr>
              <w:t>服务保障措施，有相应的人力、物力投入安排，</w:t>
            </w:r>
            <w:r>
              <w:rPr>
                <w:rFonts w:hint="eastAsia" w:ascii="宋体" w:hAnsi="宋体"/>
                <w:color w:val="000000" w:themeColor="text1"/>
                <w:sz w:val="24"/>
                <w:highlight w:val="none"/>
                <w:lang w:val="en-US" w:eastAsia="zh-CN"/>
                <w14:textFill>
                  <w14:solidFill>
                    <w14:schemeClr w14:val="tx1"/>
                  </w14:solidFill>
                </w14:textFill>
              </w:rPr>
              <w:t>方案有针对性</w:t>
            </w:r>
            <w:r>
              <w:rPr>
                <w:rFonts w:hint="eastAsia" w:ascii="宋体" w:hAnsi="宋体"/>
                <w:color w:val="000000" w:themeColor="text1"/>
                <w:sz w:val="24"/>
                <w:highlight w:val="none"/>
                <w14:textFill>
                  <w14:solidFill>
                    <w14:schemeClr w14:val="tx1"/>
                  </w14:solidFill>
                </w14:textFill>
              </w:rPr>
              <w:t>的，得</w:t>
            </w:r>
            <w:r>
              <w:rPr>
                <w:rFonts w:hint="eastAsia" w:ascii="宋体" w:hAnsi="宋体"/>
                <w:color w:val="000000" w:themeColor="text1"/>
                <w:sz w:val="24"/>
                <w:highlight w:val="none"/>
                <w:lang w:val="en-US" w:eastAsia="zh-CN"/>
                <w14:textFill>
                  <w14:solidFill>
                    <w14:schemeClr w14:val="tx1"/>
                  </w14:solidFill>
                </w14:textFill>
              </w:rPr>
              <w:t>6</w:t>
            </w:r>
            <w:r>
              <w:rPr>
                <w:rFonts w:hint="eastAsia" w:ascii="宋体" w:hAnsi="宋体"/>
                <w:color w:val="000000" w:themeColor="text1"/>
                <w:sz w:val="24"/>
                <w:highlight w:val="none"/>
                <w14:textFill>
                  <w14:solidFill>
                    <w14:schemeClr w14:val="tx1"/>
                  </w14:solidFill>
                </w14:textFill>
              </w:rPr>
              <w:t>分；有人力、物力投入安排</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售后</w:t>
            </w:r>
            <w:r>
              <w:rPr>
                <w:rFonts w:hint="eastAsia" w:ascii="宋体" w:hAnsi="宋体"/>
                <w:color w:val="000000" w:themeColor="text1"/>
                <w:sz w:val="24"/>
                <w:highlight w:val="none"/>
                <w14:textFill>
                  <w14:solidFill>
                    <w14:schemeClr w14:val="tx1"/>
                  </w14:solidFill>
                </w14:textFill>
              </w:rPr>
              <w:t>服务保障措施较为简单得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分；未提供措施或者措施不可行或不符合项目需求的不得分。</w:t>
            </w:r>
          </w:p>
        </w:tc>
        <w:tc>
          <w:tcPr>
            <w:tcW w:w="1278" w:type="dxa"/>
            <w:noWrap w:val="0"/>
            <w:vAlign w:val="center"/>
          </w:tcPr>
          <w:p w14:paraId="733A2A2E">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p>
        </w:tc>
      </w:tr>
      <w:tr w14:paraId="24B93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9228" w:type="dxa"/>
            <w:gridSpan w:val="3"/>
            <w:noWrap w:val="0"/>
            <w:vAlign w:val="center"/>
          </w:tcPr>
          <w:p w14:paraId="5BC8B65B">
            <w:pPr>
              <w:spacing w:line="360" w:lineRule="auto"/>
              <w:ind w:firstLine="480" w:firstLineChars="200"/>
              <w:jc w:val="left"/>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应提供证明材料并标注对应关系，未按要求提供证明材料的，认定该项指标不得分；</w:t>
            </w:r>
            <w:r>
              <w:rPr>
                <w:rFonts w:hint="eastAsia" w:ascii="宋体" w:hAnsi="宋体" w:eastAsia="宋体" w:cs="宋体"/>
                <w:color w:val="000000" w:themeColor="text1"/>
                <w:sz w:val="24"/>
                <w:szCs w:val="24"/>
                <w:highlight w:val="none"/>
                <w14:textFill>
                  <w14:solidFill>
                    <w14:schemeClr w14:val="tx1"/>
                  </w14:solidFill>
                </w14:textFill>
              </w:rPr>
              <w:t>如</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复制采购文件的磋商内容作为其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组成内容的，磋商小组将对其作出不利的评审。</w:t>
            </w:r>
          </w:p>
        </w:tc>
      </w:tr>
    </w:tbl>
    <w:p w14:paraId="5633055C">
      <w:pPr>
        <w:pStyle w:val="3"/>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F56E1A5">
      <w:pPr>
        <w:rPr>
          <w:rFonts w:hint="eastAsia" w:ascii="宋体" w:hAnsi="宋体" w:eastAsia="宋体" w:cs="宋体"/>
          <w:color w:val="000000" w:themeColor="text1"/>
          <w:sz w:val="24"/>
          <w:szCs w:val="24"/>
          <w:highlight w:val="none"/>
          <w14:textFill>
            <w14:solidFill>
              <w14:schemeClr w14:val="tx1"/>
            </w14:solidFill>
          </w14:textFill>
        </w:rPr>
      </w:pPr>
    </w:p>
    <w:p w14:paraId="5EBBD72E">
      <w:pPr>
        <w:rPr>
          <w:rFonts w:hint="eastAsia" w:ascii="宋体" w:hAnsi="宋体" w:eastAsia="宋体" w:cs="宋体"/>
          <w:color w:val="000000" w:themeColor="text1"/>
          <w:sz w:val="24"/>
          <w:szCs w:val="24"/>
          <w:highlight w:val="none"/>
          <w14:textFill>
            <w14:solidFill>
              <w14:schemeClr w14:val="tx1"/>
            </w14:solidFill>
          </w14:textFill>
        </w:rPr>
      </w:pPr>
    </w:p>
    <w:p w14:paraId="7D2D9E2E">
      <w:pPr>
        <w:rPr>
          <w:rFonts w:hint="eastAsia" w:ascii="宋体" w:hAnsi="宋体" w:eastAsia="宋体" w:cs="宋体"/>
          <w:color w:val="000000" w:themeColor="text1"/>
          <w:sz w:val="24"/>
          <w:szCs w:val="24"/>
          <w:highlight w:val="none"/>
          <w14:textFill>
            <w14:solidFill>
              <w14:schemeClr w14:val="tx1"/>
            </w14:solidFill>
          </w14:textFill>
        </w:rPr>
      </w:pPr>
    </w:p>
    <w:p w14:paraId="5B2FDAE9">
      <w:pPr>
        <w:rPr>
          <w:rFonts w:hint="eastAsia" w:ascii="宋体" w:hAnsi="宋体" w:eastAsia="宋体" w:cs="宋体"/>
          <w:color w:val="000000" w:themeColor="text1"/>
          <w:sz w:val="24"/>
          <w:szCs w:val="24"/>
          <w:highlight w:val="none"/>
          <w14:textFill>
            <w14:solidFill>
              <w14:schemeClr w14:val="tx1"/>
            </w14:solidFill>
          </w14:textFill>
        </w:rPr>
      </w:pPr>
    </w:p>
    <w:p w14:paraId="21FF1902">
      <w:pPr>
        <w:rPr>
          <w:rFonts w:hint="eastAsia" w:ascii="宋体" w:hAnsi="宋体" w:eastAsia="宋体" w:cs="宋体"/>
          <w:color w:val="000000" w:themeColor="text1"/>
          <w:sz w:val="24"/>
          <w:szCs w:val="24"/>
          <w:highlight w:val="none"/>
          <w14:textFill>
            <w14:solidFill>
              <w14:schemeClr w14:val="tx1"/>
            </w14:solidFill>
          </w14:textFill>
        </w:rPr>
      </w:pPr>
    </w:p>
    <w:p w14:paraId="5712B16B">
      <w:pPr>
        <w:rPr>
          <w:rFonts w:hint="eastAsia" w:ascii="宋体" w:hAnsi="宋体" w:eastAsia="宋体" w:cs="宋体"/>
          <w:color w:val="000000" w:themeColor="text1"/>
          <w:sz w:val="24"/>
          <w:szCs w:val="24"/>
          <w:highlight w:val="none"/>
          <w14:textFill>
            <w14:solidFill>
              <w14:schemeClr w14:val="tx1"/>
            </w14:solidFill>
          </w14:textFill>
        </w:rPr>
      </w:pPr>
    </w:p>
    <w:p w14:paraId="0EBC127E">
      <w:pPr>
        <w:rPr>
          <w:rFonts w:hint="eastAsia" w:ascii="宋体" w:hAnsi="宋体" w:eastAsia="宋体" w:cs="宋体"/>
          <w:color w:val="000000" w:themeColor="text1"/>
          <w:sz w:val="24"/>
          <w:szCs w:val="24"/>
          <w:highlight w:val="none"/>
          <w14:textFill>
            <w14:solidFill>
              <w14:schemeClr w14:val="tx1"/>
            </w14:solidFill>
          </w14:textFill>
        </w:rPr>
      </w:pPr>
    </w:p>
    <w:p w14:paraId="691D4A1C">
      <w:pPr>
        <w:rPr>
          <w:rFonts w:hint="eastAsia" w:ascii="宋体" w:hAnsi="宋体" w:eastAsia="宋体" w:cs="宋体"/>
          <w:color w:val="000000" w:themeColor="text1"/>
          <w:sz w:val="24"/>
          <w:szCs w:val="24"/>
          <w:highlight w:val="none"/>
          <w14:textFill>
            <w14:solidFill>
              <w14:schemeClr w14:val="tx1"/>
            </w14:solidFill>
          </w14:textFill>
        </w:rPr>
      </w:pPr>
    </w:p>
    <w:p w14:paraId="24F52FFC">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7"/>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7312"/>
        <w:gridCol w:w="1185"/>
      </w:tblGrid>
      <w:tr w14:paraId="24B8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741" w:type="dxa"/>
            <w:noWrap w:val="0"/>
            <w:vAlign w:val="center"/>
          </w:tcPr>
          <w:p w14:paraId="4A4FA8C0">
            <w:pPr>
              <w:pStyle w:val="66"/>
              <w:spacing w:line="360" w:lineRule="auto"/>
              <w:jc w:val="center"/>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kern w:val="2"/>
                <w:sz w:val="24"/>
                <w:szCs w:val="24"/>
                <w:highlight w:val="none"/>
                <w14:textFill>
                  <w14:solidFill>
                    <w14:schemeClr w14:val="tx1"/>
                  </w14:solidFill>
                </w14:textFill>
              </w:rPr>
              <w:t>序号</w:t>
            </w:r>
          </w:p>
        </w:tc>
        <w:tc>
          <w:tcPr>
            <w:tcW w:w="7312" w:type="dxa"/>
            <w:noWrap w:val="0"/>
            <w:vAlign w:val="center"/>
          </w:tcPr>
          <w:p w14:paraId="192A9D0E">
            <w:pPr>
              <w:pStyle w:val="66"/>
              <w:spacing w:line="360" w:lineRule="auto"/>
              <w:jc w:val="center"/>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kern w:val="2"/>
                <w:sz w:val="24"/>
                <w:szCs w:val="24"/>
                <w:highlight w:val="none"/>
                <w14:textFill>
                  <w14:solidFill>
                    <w14:schemeClr w14:val="tx1"/>
                  </w14:solidFill>
                </w14:textFill>
              </w:rPr>
              <w:t>评分界定</w:t>
            </w:r>
          </w:p>
        </w:tc>
        <w:tc>
          <w:tcPr>
            <w:tcW w:w="1185" w:type="dxa"/>
            <w:noWrap w:val="0"/>
            <w:vAlign w:val="center"/>
          </w:tcPr>
          <w:p w14:paraId="226097D1">
            <w:pPr>
              <w:pStyle w:val="66"/>
              <w:spacing w:line="360" w:lineRule="auto"/>
              <w:jc w:val="left"/>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kern w:val="2"/>
                <w:sz w:val="24"/>
                <w:szCs w:val="24"/>
                <w:highlight w:val="none"/>
                <w14:textFill>
                  <w14:solidFill>
                    <w14:schemeClr w14:val="tx1"/>
                  </w14:solidFill>
                </w14:textFill>
              </w:rPr>
              <w:t>满分分值</w:t>
            </w:r>
          </w:p>
        </w:tc>
      </w:tr>
      <w:tr w14:paraId="62E97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741" w:type="dxa"/>
            <w:noWrap w:val="0"/>
            <w:vAlign w:val="center"/>
          </w:tcPr>
          <w:p w14:paraId="3A200586">
            <w:pPr>
              <w:pStyle w:val="66"/>
              <w:spacing w:line="360" w:lineRule="auto"/>
              <w:ind w:firstLine="240" w:firstLineChars="100"/>
              <w:jc w:val="left"/>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kern w:val="2"/>
                <w:sz w:val="24"/>
                <w:szCs w:val="24"/>
                <w:highlight w:val="none"/>
                <w14:textFill>
                  <w14:solidFill>
                    <w14:schemeClr w14:val="tx1"/>
                  </w14:solidFill>
                </w14:textFill>
              </w:rPr>
              <w:t>1</w:t>
            </w:r>
          </w:p>
        </w:tc>
        <w:tc>
          <w:tcPr>
            <w:tcW w:w="7312" w:type="dxa"/>
            <w:noWrap w:val="0"/>
            <w:vAlign w:val="center"/>
          </w:tcPr>
          <w:p w14:paraId="63BC7128">
            <w:pPr>
              <w:pStyle w:val="66"/>
              <w:spacing w:line="360" w:lineRule="auto"/>
              <w:jc w:val="left"/>
              <w:rPr>
                <w:rFonts w:hint="default" w:ascii="宋体" w:hAnsi="宋体"/>
                <w:b w:val="0"/>
                <w:bCs w:val="0"/>
                <w:color w:val="000000" w:themeColor="text1"/>
                <w:sz w:val="24"/>
                <w:szCs w:val="24"/>
                <w:highlight w:val="none"/>
                <w:lang w:val="en-US" w:eastAsia="zh-CN"/>
                <w14:textFill>
                  <w14:solidFill>
                    <w14:schemeClr w14:val="tx1"/>
                  </w14:solidFill>
                </w14:textFill>
              </w:rPr>
            </w:pPr>
            <w:r>
              <w:rPr>
                <w:rFonts w:hint="default" w:ascii="宋体" w:hAnsi="宋体"/>
                <w:b w:val="0"/>
                <w:bCs w:val="0"/>
                <w:color w:val="000000" w:themeColor="text1"/>
                <w:sz w:val="24"/>
                <w:szCs w:val="24"/>
                <w:highlight w:val="none"/>
                <w:lang w:val="en-US" w:eastAsia="zh-CN"/>
                <w14:textFill>
                  <w14:solidFill>
                    <w14:schemeClr w14:val="tx1"/>
                  </w14:solidFill>
                </w14:textFill>
              </w:rPr>
              <w:t>供应商具备在有效期内的检验检测机构资质认定证书(CMA)（附表含有：海水水质、海洋沉积物、海洋生物体、海洋生态生物、渔业生态环境）</w:t>
            </w:r>
            <w:r>
              <w:rPr>
                <w:rFonts w:hint="eastAsia" w:ascii="宋体" w:hAnsi="宋体"/>
                <w:b w:val="0"/>
                <w:bCs w:val="0"/>
                <w:color w:val="000000" w:themeColor="text1"/>
                <w:sz w:val="24"/>
                <w:szCs w:val="24"/>
                <w:highlight w:val="none"/>
                <w:lang w:val="en-US" w:eastAsia="zh-CN"/>
                <w14:textFill>
                  <w14:solidFill>
                    <w14:schemeClr w14:val="tx1"/>
                  </w14:solidFill>
                </w14:textFill>
              </w:rPr>
              <w:t>的得2分，需提供有效期内的证书复印件，否则不得分。</w:t>
            </w:r>
          </w:p>
        </w:tc>
        <w:tc>
          <w:tcPr>
            <w:tcW w:w="1185" w:type="dxa"/>
            <w:noWrap w:val="0"/>
            <w:vAlign w:val="center"/>
          </w:tcPr>
          <w:p w14:paraId="7E185D1F">
            <w:pPr>
              <w:pStyle w:val="66"/>
              <w:spacing w:line="360" w:lineRule="auto"/>
              <w:rPr>
                <w:rFonts w:hint="default" w:ascii="宋体" w:hAnsi="宋体" w:eastAsia="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2</w:t>
            </w:r>
          </w:p>
        </w:tc>
      </w:tr>
      <w:tr w14:paraId="18FF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41" w:type="dxa"/>
            <w:noWrap w:val="0"/>
            <w:vAlign w:val="center"/>
          </w:tcPr>
          <w:p w14:paraId="288C0EF4">
            <w:pPr>
              <w:pStyle w:val="66"/>
              <w:spacing w:line="360" w:lineRule="auto"/>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kern w:val="2"/>
                <w:sz w:val="24"/>
                <w:szCs w:val="24"/>
                <w:highlight w:val="none"/>
                <w14:textFill>
                  <w14:solidFill>
                    <w14:schemeClr w14:val="tx1"/>
                  </w14:solidFill>
                </w14:textFill>
              </w:rPr>
              <w:t>2</w:t>
            </w:r>
          </w:p>
        </w:tc>
        <w:tc>
          <w:tcPr>
            <w:tcW w:w="7312" w:type="dxa"/>
            <w:noWrap w:val="0"/>
            <w:vAlign w:val="center"/>
          </w:tcPr>
          <w:p w14:paraId="17813BE6">
            <w:pPr>
              <w:pStyle w:val="66"/>
              <w:numPr>
                <w:ilvl w:val="-1"/>
                <w:numId w:val="0"/>
              </w:numPr>
              <w:spacing w:line="360" w:lineRule="auto"/>
              <w:jc w:val="left"/>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vertAlign w:val="baseline"/>
                <w:lang w:val="en-US" w:eastAsia="zh-CN"/>
                <w14:textFill>
                  <w14:solidFill>
                    <w14:schemeClr w14:val="tx1"/>
                  </w14:solidFill>
                </w14:textFill>
              </w:rPr>
              <w:t>自2022年1月1日至响应文件递交截止时间止</w:t>
            </w:r>
            <w:r>
              <w:rPr>
                <w:rFonts w:hint="eastAsia" w:ascii="宋体" w:hAnsi="宋体" w:eastAsia="宋体" w:cs="宋体"/>
                <w:b w:val="0"/>
                <w:bCs w:val="0"/>
                <w:color w:val="000000" w:themeColor="text1"/>
                <w:sz w:val="24"/>
                <w:szCs w:val="24"/>
                <w:highlight w:val="none"/>
                <w14:textFill>
                  <w14:solidFill>
                    <w14:schemeClr w14:val="tx1"/>
                  </w14:solidFill>
                </w14:textFill>
              </w:rPr>
              <w:t>(以合同签订时间为准)获得</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与本项目同类</w:t>
            </w:r>
            <w:r>
              <w:rPr>
                <w:rFonts w:hint="eastAsia" w:ascii="宋体" w:hAnsi="宋体" w:eastAsia="宋体" w:cs="宋体"/>
                <w:b w:val="0"/>
                <w:bCs w:val="0"/>
                <w:color w:val="000000" w:themeColor="text1"/>
                <w:sz w:val="24"/>
                <w:szCs w:val="24"/>
                <w:highlight w:val="none"/>
                <w14:textFill>
                  <w14:solidFill>
                    <w14:schemeClr w14:val="tx1"/>
                  </w14:solidFill>
                </w14:textFill>
              </w:rPr>
              <w:t>工作项目</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采购人</w:t>
            </w:r>
            <w:r>
              <w:rPr>
                <w:rFonts w:hint="eastAsia" w:ascii="宋体" w:hAnsi="宋体" w:eastAsia="宋体" w:cs="宋体"/>
                <w:b w:val="0"/>
                <w:bCs w:val="0"/>
                <w:color w:val="000000" w:themeColor="text1"/>
                <w:sz w:val="24"/>
                <w:szCs w:val="24"/>
                <w:highlight w:val="none"/>
                <w14:textFill>
                  <w14:solidFill>
                    <w14:schemeClr w14:val="tx1"/>
                  </w14:solidFill>
                </w14:textFill>
              </w:rPr>
              <w:t>出具的客户满意度评价为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优秀</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好</w:t>
            </w:r>
            <w:r>
              <w:rPr>
                <w:rFonts w:hint="eastAsia" w:ascii="宋体" w:hAnsi="宋体" w:eastAsia="宋体" w:cs="宋体"/>
                <w:b w:val="0"/>
                <w:bCs w:val="0"/>
                <w:color w:val="000000" w:themeColor="text1"/>
                <w:sz w:val="24"/>
                <w:szCs w:val="24"/>
                <w:highlight w:val="none"/>
                <w14:textFill>
                  <w14:solidFill>
                    <w14:schemeClr w14:val="tx1"/>
                  </w14:solidFill>
                </w14:textFill>
              </w:rPr>
              <w:t>、满意肯定性质</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或</w:t>
            </w:r>
            <w:r>
              <w:rPr>
                <w:rFonts w:hint="eastAsia" w:ascii="宋体" w:hAnsi="宋体" w:cs="宋体"/>
                <w:b w:val="0"/>
                <w:color w:val="000000" w:themeColor="text1"/>
                <w:sz w:val="24"/>
                <w:szCs w:val="24"/>
                <w:highlight w:val="none"/>
                <w14:textFill>
                  <w14:solidFill>
                    <w14:schemeClr w14:val="tx1"/>
                  </w14:solidFill>
                </w14:textFill>
              </w:rPr>
              <w:t>采用打分制</w:t>
            </w: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cs="宋体"/>
                <w:b w:val="0"/>
                <w:color w:val="000000" w:themeColor="text1"/>
                <w:sz w:val="24"/>
                <w:szCs w:val="24"/>
                <w:highlight w:val="none"/>
                <w:lang w:val="en-US" w:eastAsia="zh-CN"/>
                <w14:textFill>
                  <w14:solidFill>
                    <w14:schemeClr w14:val="tx1"/>
                  </w14:solidFill>
                </w14:textFill>
              </w:rPr>
              <w:t>满分100分</w:t>
            </w: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80分（含</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80</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分）以上</w:t>
            </w:r>
            <w:r>
              <w:rPr>
                <w:rFonts w:hint="eastAsia" w:ascii="宋体" w:hAnsi="宋体" w:eastAsia="宋体" w:cs="宋体"/>
                <w:b w:val="0"/>
                <w:bCs w:val="0"/>
                <w:color w:val="000000" w:themeColor="text1"/>
                <w:sz w:val="24"/>
                <w:szCs w:val="24"/>
                <w:highlight w:val="none"/>
                <w14:textFill>
                  <w14:solidFill>
                    <w14:schemeClr w14:val="tx1"/>
                  </w14:solidFill>
                </w14:textFill>
              </w:rPr>
              <w:t>的满意度证明材料或感谢信等表扬性证明材料，每提供一份完整证明材料的得</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14:textFill>
                  <w14:solidFill>
                    <w14:schemeClr w14:val="tx1"/>
                  </w14:solidFill>
                </w14:textFill>
              </w:rPr>
              <w:t>分，满分</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9</w:t>
            </w:r>
            <w:r>
              <w:rPr>
                <w:rFonts w:hint="eastAsia" w:ascii="宋体" w:hAnsi="宋体" w:eastAsia="宋体" w:cs="宋体"/>
                <w:b w:val="0"/>
                <w:bCs w:val="0"/>
                <w:color w:val="000000" w:themeColor="text1"/>
                <w:sz w:val="24"/>
                <w:szCs w:val="24"/>
                <w:highlight w:val="none"/>
                <w14:textFill>
                  <w14:solidFill>
                    <w14:schemeClr w14:val="tx1"/>
                  </w14:solidFill>
                </w14:textFill>
              </w:rPr>
              <w:t>分。</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须提供采购</w:t>
            </w:r>
            <w:r>
              <w:rPr>
                <w:rFonts w:hint="eastAsia" w:ascii="宋体" w:hAnsi="宋体" w:eastAsia="宋体" w:cs="宋体"/>
                <w:b w:val="0"/>
                <w:bCs w:val="0"/>
                <w:color w:val="000000" w:themeColor="text1"/>
                <w:sz w:val="24"/>
                <w:szCs w:val="24"/>
                <w:highlight w:val="none"/>
                <w14:textFill>
                  <w14:solidFill>
                    <w14:schemeClr w14:val="tx1"/>
                  </w14:solidFill>
                </w14:textFill>
              </w:rPr>
              <w:t>合同、</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采购人</w:t>
            </w:r>
            <w:r>
              <w:rPr>
                <w:rFonts w:hint="eastAsia" w:ascii="宋体" w:hAnsi="宋体" w:eastAsia="宋体" w:cs="宋体"/>
                <w:b w:val="0"/>
                <w:bCs w:val="0"/>
                <w:color w:val="000000" w:themeColor="text1"/>
                <w:sz w:val="24"/>
                <w:szCs w:val="24"/>
                <w:highlight w:val="none"/>
                <w14:textFill>
                  <w14:solidFill>
                    <w14:schemeClr w14:val="tx1"/>
                  </w14:solidFill>
                </w14:textFill>
              </w:rPr>
              <w:t>满意度评价表</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b w:val="0"/>
                <w:bCs w:val="0"/>
                <w:color w:val="000000" w:themeColor="text1"/>
                <w:sz w:val="24"/>
                <w:szCs w:val="24"/>
                <w:highlight w:val="none"/>
                <w14:textFill>
                  <w14:solidFill>
                    <w14:schemeClr w14:val="tx1"/>
                  </w14:solidFill>
                </w14:textFill>
              </w:rPr>
              <w:t>感谢信等表扬性证明材料复印件</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并加盖公章</w:t>
            </w:r>
            <w:r>
              <w:rPr>
                <w:rFonts w:hint="eastAsia" w:ascii="宋体" w:hAnsi="宋体" w:eastAsia="宋体" w:cs="宋体"/>
                <w:b w:val="0"/>
                <w:bCs w:val="0"/>
                <w:color w:val="000000" w:themeColor="text1"/>
                <w:sz w:val="24"/>
                <w:szCs w:val="24"/>
                <w:highlight w:val="none"/>
                <w14:textFill>
                  <w14:solidFill>
                    <w14:schemeClr w14:val="tx1"/>
                  </w14:solidFill>
                </w14:textFill>
              </w:rPr>
              <w:t>，未提供</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或材料不齐全的不得分</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vertAlign w:val="baseline"/>
                <w:lang w:val="en-US" w:eastAsia="zh-CN"/>
                <w14:textFill>
                  <w14:solidFill>
                    <w14:schemeClr w14:val="tx1"/>
                  </w14:solidFill>
                </w14:textFill>
              </w:rPr>
              <w:t>同类业绩指：海洋环境质量监测、近岸海域监测或采样类。</w:t>
            </w:r>
          </w:p>
        </w:tc>
        <w:tc>
          <w:tcPr>
            <w:tcW w:w="1185" w:type="dxa"/>
            <w:noWrap w:val="0"/>
            <w:vAlign w:val="center"/>
          </w:tcPr>
          <w:p w14:paraId="4A57E5C3">
            <w:pPr>
              <w:pStyle w:val="66"/>
              <w:spacing w:line="360" w:lineRule="auto"/>
              <w:rPr>
                <w:rFonts w:hint="default" w:ascii="宋体" w:hAnsi="宋体" w:eastAsia="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9</w:t>
            </w:r>
          </w:p>
        </w:tc>
      </w:tr>
      <w:tr w14:paraId="01BC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741" w:type="dxa"/>
            <w:noWrap w:val="0"/>
            <w:vAlign w:val="center"/>
          </w:tcPr>
          <w:p w14:paraId="5878E088">
            <w:pPr>
              <w:pStyle w:val="66"/>
              <w:spacing w:line="360" w:lineRule="auto"/>
              <w:rPr>
                <w:rFonts w:hint="eastAsia" w:ascii="宋体" w:hAnsi="宋体" w:eastAsia="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3</w:t>
            </w:r>
          </w:p>
        </w:tc>
        <w:tc>
          <w:tcPr>
            <w:tcW w:w="7312" w:type="dxa"/>
            <w:noWrap w:val="0"/>
            <w:vAlign w:val="center"/>
          </w:tcPr>
          <w:p w14:paraId="0CF09C13">
            <w:pPr>
              <w:pStyle w:val="66"/>
              <w:spacing w:line="360" w:lineRule="auto"/>
              <w:jc w:val="left"/>
              <w:rPr>
                <w:rFonts w:hint="eastAsia" w:ascii="宋体" w:hAnsi="宋体" w:eastAsia="宋体" w:cs="宋体"/>
                <w:b w:val="0"/>
                <w:bCs w:val="0"/>
                <w:color w:val="000000" w:themeColor="text1"/>
                <w:kern w:val="2"/>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供应商</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承诺为本项目能提供3小时内应急响应时间并且到达响应地点</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（采购人地址）</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的得5分，4小时内的得2分，5小时内的得1分，超过5小时的不得分（需提供承诺函及佐证材料）。</w:t>
            </w:r>
          </w:p>
        </w:tc>
        <w:tc>
          <w:tcPr>
            <w:tcW w:w="1185" w:type="dxa"/>
            <w:noWrap w:val="0"/>
            <w:vAlign w:val="center"/>
          </w:tcPr>
          <w:p w14:paraId="260146B6">
            <w:pPr>
              <w:pStyle w:val="66"/>
              <w:spacing w:line="360" w:lineRule="auto"/>
              <w:rPr>
                <w:rFonts w:hint="eastAsia" w:ascii="宋体" w:hAnsi="宋体" w:eastAsia="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5</w:t>
            </w:r>
          </w:p>
        </w:tc>
      </w:tr>
      <w:tr w14:paraId="0902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741" w:type="dxa"/>
            <w:noWrap w:val="0"/>
            <w:vAlign w:val="center"/>
          </w:tcPr>
          <w:p w14:paraId="2B517293">
            <w:pPr>
              <w:pStyle w:val="66"/>
              <w:spacing w:line="360" w:lineRule="auto"/>
              <w:rPr>
                <w:rFonts w:hint="default" w:ascii="宋体" w:hAnsi="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4</w:t>
            </w:r>
          </w:p>
        </w:tc>
        <w:tc>
          <w:tcPr>
            <w:tcW w:w="7312" w:type="dxa"/>
            <w:noWrap w:val="0"/>
            <w:vAlign w:val="center"/>
          </w:tcPr>
          <w:p w14:paraId="26F16D88">
            <w:pPr>
              <w:pStyle w:val="66"/>
              <w:spacing w:line="360" w:lineRule="auto"/>
              <w:jc w:val="left"/>
              <w:rPr>
                <w:rFonts w:hint="eastAsia" w:ascii="宋体" w:hAnsi="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供应商</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自2022</w:t>
            </w:r>
            <w:r>
              <w:rPr>
                <w:rFonts w:hint="eastAsia" w:ascii="宋体" w:hAnsi="宋体" w:eastAsia="宋体" w:cs="宋体"/>
                <w:b w:val="0"/>
                <w:bCs w:val="0"/>
                <w:color w:val="000000" w:themeColor="text1"/>
                <w:sz w:val="24"/>
                <w:szCs w:val="24"/>
                <w:highlight w:val="none"/>
                <w14:textFill>
                  <w14:solidFill>
                    <w14:schemeClr w14:val="tx1"/>
                  </w14:solidFill>
                </w14:textFill>
              </w:rPr>
              <w:t>年1月1日</w:t>
            </w:r>
            <w:r>
              <w:rPr>
                <w:rFonts w:hint="eastAsia" w:ascii="宋体" w:hAnsi="宋体" w:eastAsia="宋体" w:cs="宋体"/>
                <w:b w:val="0"/>
                <w:bCs w:val="0"/>
                <w:color w:val="000000" w:themeColor="text1"/>
                <w:sz w:val="24"/>
                <w:szCs w:val="24"/>
                <w:highlight w:val="none"/>
                <w:vertAlign w:val="baseline"/>
                <w:lang w:val="en-US" w:eastAsia="zh-CN"/>
                <w14:textFill>
                  <w14:solidFill>
                    <w14:schemeClr w14:val="tx1"/>
                  </w14:solidFill>
                </w14:textFill>
              </w:rPr>
              <w:t>至响应文件递交截止时间止</w:t>
            </w:r>
            <w:r>
              <w:rPr>
                <w:rFonts w:hint="eastAsia" w:ascii="宋体" w:hAnsi="宋体" w:eastAsia="宋体" w:cs="宋体"/>
                <w:b w:val="0"/>
                <w:bCs w:val="0"/>
                <w:color w:val="000000" w:themeColor="text1"/>
                <w:sz w:val="24"/>
                <w:szCs w:val="24"/>
                <w:highlight w:val="none"/>
                <w14:textFill>
                  <w14:solidFill>
                    <w14:schemeClr w14:val="tx1"/>
                  </w14:solidFill>
                </w14:textFill>
              </w:rPr>
              <w:t>(以合同签订时间为准)</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每</w:t>
            </w:r>
            <w:r>
              <w:rPr>
                <w:rFonts w:hint="eastAsia" w:ascii="宋体" w:hAnsi="宋体" w:eastAsia="宋体" w:cs="宋体"/>
                <w:b w:val="0"/>
                <w:bCs w:val="0"/>
                <w:color w:val="000000" w:themeColor="text1"/>
                <w:sz w:val="24"/>
                <w:szCs w:val="24"/>
                <w:highlight w:val="none"/>
                <w14:textFill>
                  <w14:solidFill>
                    <w14:schemeClr w14:val="tx1"/>
                  </w14:solidFill>
                </w14:textFill>
              </w:rPr>
              <w:t>承</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接</w:t>
            </w:r>
            <w:r>
              <w:rPr>
                <w:rFonts w:hint="eastAsia" w:ascii="宋体" w:hAnsi="宋体" w:eastAsia="宋体" w:cs="宋体"/>
                <w:b w:val="0"/>
                <w:bCs w:val="0"/>
                <w:color w:val="000000" w:themeColor="text1"/>
                <w:sz w:val="24"/>
                <w:szCs w:val="24"/>
                <w:highlight w:val="none"/>
                <w14:textFill>
                  <w14:solidFill>
                    <w14:schemeClr w14:val="tx1"/>
                  </w14:solidFill>
                </w14:textFill>
              </w:rPr>
              <w:t>过</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1个</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与本项目同类</w:t>
            </w:r>
            <w:r>
              <w:rPr>
                <w:rFonts w:hint="eastAsia" w:ascii="宋体" w:hAnsi="宋体" w:eastAsia="宋体" w:cs="宋体"/>
                <w:b w:val="0"/>
                <w:bCs w:val="0"/>
                <w:color w:val="000000" w:themeColor="text1"/>
                <w:sz w:val="24"/>
                <w:szCs w:val="24"/>
                <w:highlight w:val="none"/>
                <w14:textFill>
                  <w14:solidFill>
                    <w14:schemeClr w14:val="tx1"/>
                  </w14:solidFill>
                </w14:textFill>
              </w:rPr>
              <w:t>工作</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 w:val="0"/>
                <w:bCs w:val="0"/>
                <w:color w:val="000000" w:themeColor="text1"/>
                <w:sz w:val="24"/>
                <w:szCs w:val="24"/>
                <w:highlight w:val="none"/>
                <w14:textFill>
                  <w14:solidFill>
                    <w14:schemeClr w14:val="tx1"/>
                  </w14:solidFill>
                </w14:textFill>
              </w:rPr>
              <w:t>的得</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14:textFill>
                  <w14:solidFill>
                    <w14:schemeClr w14:val="tx1"/>
                  </w14:solidFill>
                </w14:textFill>
              </w:rPr>
              <w:t>分，满分</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9</w:t>
            </w:r>
            <w:r>
              <w:rPr>
                <w:rFonts w:hint="eastAsia" w:ascii="宋体" w:hAnsi="宋体" w:eastAsia="宋体" w:cs="宋体"/>
                <w:b w:val="0"/>
                <w:bCs w:val="0"/>
                <w:color w:val="000000" w:themeColor="text1"/>
                <w:sz w:val="24"/>
                <w:szCs w:val="24"/>
                <w:highlight w:val="none"/>
                <w14:textFill>
                  <w14:solidFill>
                    <w14:schemeClr w14:val="tx1"/>
                  </w14:solidFill>
                </w14:textFill>
              </w:rPr>
              <w:t>分。须提供该业绩项目的中标</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或成交</w:t>
            </w:r>
            <w:r>
              <w:rPr>
                <w:rFonts w:hint="eastAsia" w:ascii="宋体" w:hAnsi="宋体" w:eastAsia="宋体" w:cs="宋体"/>
                <w:b w:val="0"/>
                <w:bCs w:val="0"/>
                <w:color w:val="000000" w:themeColor="text1"/>
                <w:sz w:val="24"/>
                <w:szCs w:val="24"/>
                <w:highlight w:val="none"/>
                <w14:textFill>
                  <w14:solidFill>
                    <w14:schemeClr w14:val="tx1"/>
                  </w14:solidFill>
                </w14:textFill>
              </w:rPr>
              <w:t>公告（提供相关网站中标</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或成交</w:t>
            </w:r>
            <w:r>
              <w:rPr>
                <w:rFonts w:hint="eastAsia" w:ascii="宋体" w:hAnsi="宋体" w:eastAsia="宋体" w:cs="宋体"/>
                <w:b w:val="0"/>
                <w:bCs w:val="0"/>
                <w:color w:val="000000" w:themeColor="text1"/>
                <w:sz w:val="24"/>
                <w:szCs w:val="24"/>
                <w:highlight w:val="none"/>
                <w14:textFill>
                  <w14:solidFill>
                    <w14:schemeClr w14:val="tx1"/>
                  </w14:solidFill>
                </w14:textFill>
              </w:rPr>
              <w:t>公告的下载网页并注明网址）、中标</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或成交</w:t>
            </w:r>
            <w:r>
              <w:rPr>
                <w:rFonts w:hint="eastAsia" w:ascii="宋体" w:hAnsi="宋体" w:eastAsia="宋体" w:cs="宋体"/>
                <w:b w:val="0"/>
                <w:bCs w:val="0"/>
                <w:color w:val="000000" w:themeColor="text1"/>
                <w:sz w:val="24"/>
                <w:szCs w:val="24"/>
                <w:highlight w:val="none"/>
                <w14:textFill>
                  <w14:solidFill>
                    <w14:schemeClr w14:val="tx1"/>
                  </w14:solidFill>
                </w14:textFill>
              </w:rPr>
              <w:t>通知书复印件、采购合同文本复印件、以及能够证明该业绩项目已经采购人验收合格的相关证明文件复印件，所有</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以上材料缺一不可</w:t>
            </w:r>
            <w:r>
              <w:rPr>
                <w:rFonts w:hint="eastAsia" w:ascii="宋体" w:hAnsi="宋体" w:eastAsia="宋体" w:cs="宋体"/>
                <w:b w:val="0"/>
                <w:bCs w:val="0"/>
                <w:color w:val="000000" w:themeColor="text1"/>
                <w:sz w:val="24"/>
                <w:szCs w:val="24"/>
                <w:highlight w:val="none"/>
                <w14:textFill>
                  <w14:solidFill>
                    <w14:schemeClr w14:val="tx1"/>
                  </w14:solidFill>
                </w14:textFill>
              </w:rPr>
              <w:t>并加盖供应商公章，否则不得分。</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同一项目业绩</w:t>
            </w:r>
            <w:r>
              <w:rPr>
                <w:rFonts w:hint="eastAsia" w:ascii="宋体" w:hAnsi="宋体" w:eastAsia="宋体" w:cs="宋体"/>
                <w:b w:val="0"/>
                <w:bCs w:val="0"/>
                <w:color w:val="000000" w:themeColor="text1"/>
                <w:sz w:val="24"/>
                <w:szCs w:val="24"/>
                <w:highlight w:val="none"/>
                <w14:textFill>
                  <w14:solidFill>
                    <w14:schemeClr w14:val="tx1"/>
                  </w14:solidFill>
                </w14:textFill>
              </w:rPr>
              <w:t>不重复计分。</w:t>
            </w:r>
            <w:r>
              <w:rPr>
                <w:rFonts w:hint="eastAsia" w:ascii="宋体" w:hAnsi="宋体" w:eastAsia="宋体" w:cs="宋体"/>
                <w:b w:val="0"/>
                <w:bCs w:val="0"/>
                <w:color w:val="000000" w:themeColor="text1"/>
                <w:sz w:val="24"/>
                <w:szCs w:val="24"/>
                <w:highlight w:val="none"/>
                <w:vertAlign w:val="baseline"/>
                <w:lang w:val="en-US" w:eastAsia="zh-CN"/>
                <w14:textFill>
                  <w14:solidFill>
                    <w14:schemeClr w14:val="tx1"/>
                  </w14:solidFill>
                </w14:textFill>
              </w:rPr>
              <w:t>同类业绩指：海洋环境质量监测、近岸海域监测或采样类。</w:t>
            </w:r>
          </w:p>
        </w:tc>
        <w:tc>
          <w:tcPr>
            <w:tcW w:w="1185" w:type="dxa"/>
            <w:noWrap w:val="0"/>
            <w:vAlign w:val="center"/>
          </w:tcPr>
          <w:p w14:paraId="746BC161">
            <w:pPr>
              <w:pStyle w:val="66"/>
              <w:spacing w:line="360" w:lineRule="auto"/>
              <w:rPr>
                <w:rFonts w:hint="default" w:ascii="宋体" w:hAnsi="宋体" w:cs="宋体"/>
                <w:b w:val="0"/>
                <w:bCs w:val="0"/>
                <w:color w:val="000000" w:themeColor="text1"/>
                <w:kern w:val="2"/>
                <w:sz w:val="24"/>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9</w:t>
            </w:r>
          </w:p>
        </w:tc>
      </w:tr>
    </w:tbl>
    <w:p w14:paraId="5F9DFF94">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b/>
          <w:color w:val="000000" w:themeColor="text1"/>
          <w:sz w:val="24"/>
          <w:szCs w:val="24"/>
          <w:highlight w:val="none"/>
          <w14:textFill>
            <w14:solidFill>
              <w14:schemeClr w14:val="tx1"/>
            </w14:solidFill>
          </w14:textFill>
        </w:rPr>
        <w:t>分）：</w:t>
      </w:r>
    </w:p>
    <w:p w14:paraId="3853DE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的价格为磋商基准价，其价格分为满分。其他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×磋商基准价/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的评审价</w:t>
      </w:r>
    </w:p>
    <w:p w14:paraId="4C930F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321AC489">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供应商</w:t>
      </w:r>
      <w:r>
        <w:rPr>
          <w:rFonts w:hint="eastAsia" w:ascii="宋体" w:hAnsi="宋体" w:eastAsia="宋体" w:cs="宋体"/>
          <w:color w:val="000000" w:themeColor="text1"/>
          <w:sz w:val="32"/>
          <w:szCs w:val="32"/>
          <w:highlight w:val="none"/>
          <w14:textFill>
            <w14:solidFill>
              <w14:schemeClr w14:val="tx1"/>
            </w14:solidFill>
          </w14:textFill>
        </w:rPr>
        <w:t>须知前附表4：中小企业及监狱企业优惠办法</w:t>
      </w:r>
    </w:p>
    <w:tbl>
      <w:tblPr>
        <w:tblStyle w:val="2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C86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jc w:val="center"/>
        </w:trPr>
        <w:tc>
          <w:tcPr>
            <w:tcW w:w="900" w:type="dxa"/>
            <w:vAlign w:val="center"/>
          </w:tcPr>
          <w:p w14:paraId="538218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vAlign w:val="center"/>
          </w:tcPr>
          <w:p w14:paraId="207E2D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vAlign w:val="center"/>
          </w:tcPr>
          <w:p w14:paraId="4A2481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5F0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vAlign w:val="center"/>
          </w:tcPr>
          <w:p w14:paraId="0F9031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vAlign w:val="center"/>
          </w:tcPr>
          <w:p w14:paraId="3CF22EC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vAlign w:val="center"/>
          </w:tcPr>
          <w:p w14:paraId="763BB414">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12058D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860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vAlign w:val="center"/>
          </w:tcPr>
          <w:p w14:paraId="2F093CB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vAlign w:val="center"/>
          </w:tcPr>
          <w:p w14:paraId="72087C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tcPr>
          <w:p w14:paraId="6EA090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7503EB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3C0F3D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A97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vAlign w:val="center"/>
          </w:tcPr>
          <w:p w14:paraId="2BA26019">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vAlign w:val="center"/>
          </w:tcPr>
          <w:p w14:paraId="048E1D3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tcPr>
          <w:p w14:paraId="78270A5A">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为中小企业（含中型、小型、微型企业，下同）：</w:t>
            </w:r>
          </w:p>
          <w:p w14:paraId="4F0E76D8">
            <w:pPr>
              <w:spacing w:line="360" w:lineRule="auto"/>
              <w:ind w:left="0" w:firstLine="464" w:firstLineChars="200"/>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cs="宋体"/>
                <w:color w:val="000000" w:themeColor="text1"/>
                <w:spacing w:val="-4"/>
                <w:sz w:val="24"/>
                <w:szCs w:val="24"/>
                <w:highlight w:val="none"/>
                <w:lang w:val="en-US" w:eastAsia="zh-CN"/>
                <w14:textFill>
                  <w14:solidFill>
                    <w14:schemeClr w14:val="tx1"/>
                  </w14:solidFill>
                </w14:textFill>
              </w:rPr>
              <w:t>全免</w:t>
            </w:r>
          </w:p>
          <w:p w14:paraId="570E7D6B">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2D631099">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4827C113">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13750C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136E1183">
            <w:pPr>
              <w:pStyle w:val="26"/>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199311DC">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6B459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0D6964F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vAlign w:val="center"/>
          </w:tcPr>
          <w:p w14:paraId="79D6037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其他未列明行业</w:t>
            </w:r>
            <w:r>
              <w:rPr>
                <w:rFonts w:hint="eastAsia" w:ascii="宋体" w:hAnsi="宋体" w:eastAsia="宋体" w:cs="宋体"/>
                <w:color w:val="000000" w:themeColor="text1"/>
                <w:sz w:val="24"/>
                <w:szCs w:val="24"/>
                <w:highlight w:val="none"/>
                <w:u w:val="single"/>
                <w14:textFill>
                  <w14:solidFill>
                    <w14:schemeClr w14:val="tx1"/>
                  </w14:solidFill>
                </w14:textFill>
              </w:rPr>
              <w:t>。</w:t>
            </w:r>
          </w:p>
        </w:tc>
        <w:tc>
          <w:tcPr>
            <w:tcW w:w="6256" w:type="dxa"/>
            <w:tcBorders>
              <w:bottom w:val="single" w:color="auto" w:sz="4" w:space="0"/>
            </w:tcBorders>
          </w:tcPr>
          <w:p w14:paraId="44E02A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142F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06FD674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vAlign w:val="center"/>
          </w:tcPr>
          <w:p w14:paraId="1049E794">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tcPr>
          <w:p w14:paraId="4ED43A3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将不被视为中小企业：</w:t>
            </w:r>
          </w:p>
          <w:p w14:paraId="106F95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不符合“工信部联企业[2011]300号”规定的中小企业标准的；</w:t>
            </w:r>
          </w:p>
          <w:p w14:paraId="4909CA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586774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中标明的中小企业产品的制造商不符合“工信部联企业[2011]300号”规定的中小企业标准的；</w:t>
            </w:r>
          </w:p>
          <w:p w14:paraId="652C15BE">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1481ADEE">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还应承担由此引起的其他经济、法律责任。出现此种情形时，采购人、采购代理机构将有关情况上报政府采购监管部门，由监管部门按有关规定对其进行相应处罚。</w:t>
            </w:r>
          </w:p>
          <w:p w14:paraId="2B1F29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列入不良行为记录名单，在一至三年内禁止该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参加政府采购活动并予以通报。</w:t>
            </w:r>
            <w:r>
              <w:rPr>
                <w:rFonts w:hint="eastAsia" w:ascii="宋体" w:hAnsi="宋体" w:eastAsia="宋体" w:cs="宋体"/>
                <w:b w:val="0"/>
                <w:bCs/>
                <w:i w:val="0"/>
                <w:iCs/>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w:t>
            </w:r>
            <w:r>
              <w:rPr>
                <w:rFonts w:hint="eastAsia" w:ascii="宋体" w:hAnsi="宋体" w:cs="宋体"/>
                <w:b w:val="0"/>
                <w:bCs/>
                <w:i w:val="0"/>
                <w:iCs/>
                <w:color w:val="000000" w:themeColor="text1"/>
                <w:kern w:val="0"/>
                <w:sz w:val="24"/>
                <w:szCs w:val="24"/>
                <w:highlight w:val="none"/>
                <w:u w:val="single"/>
                <w:lang w:eastAsia="zh-CN"/>
                <w14:textFill>
                  <w14:solidFill>
                    <w14:schemeClr w14:val="tx1"/>
                  </w14:solidFill>
                </w14:textFill>
              </w:rPr>
              <w:t>供应商</w:t>
            </w:r>
            <w:r>
              <w:rPr>
                <w:rFonts w:hint="eastAsia" w:ascii="宋体" w:hAnsi="宋体" w:eastAsia="宋体" w:cs="宋体"/>
                <w:b w:val="0"/>
                <w:bCs/>
                <w:i w:val="0"/>
                <w:iCs/>
                <w:color w:val="000000" w:themeColor="text1"/>
                <w:kern w:val="0"/>
                <w:sz w:val="24"/>
                <w:szCs w:val="24"/>
                <w:highlight w:val="none"/>
                <w:u w:val="single"/>
                <w14:textFill>
                  <w14:solidFill>
                    <w14:schemeClr w14:val="tx1"/>
                  </w14:solidFill>
                </w14:textFill>
              </w:rPr>
              <w:t>自行承担。）</w:t>
            </w:r>
          </w:p>
        </w:tc>
      </w:tr>
    </w:tbl>
    <w:p w14:paraId="6DB89AA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489B7A3">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55916D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FFBF7E9">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6EF86803">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7AEB648">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5C2EA8B">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0461CCF">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3C413F0">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2268224">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B8F774F">
      <w:pPr>
        <w:pStyle w:val="13"/>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78B8E243">
      <w:pPr>
        <w:pStyle w:val="13"/>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0BE84A">
      <w:pPr>
        <w:pStyle w:val="13"/>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790190B9">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4C1A89DE">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786EFA2F">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378715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18E90D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1A2A92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07D93D0C">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”系指购买了本采购文件，且已经提交或准备提交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的服务商或承包商。</w:t>
      </w:r>
    </w:p>
    <w:p w14:paraId="6F19BE5D">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“货物”系指各种形态和种类的物品，包括原材料、燃料、设备、产品等。</w:t>
      </w:r>
    </w:p>
    <w:p w14:paraId="4FCD8566">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72D32734">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5DCBCA37">
      <w:pPr>
        <w:pStyle w:val="13"/>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w:t>
      </w:r>
      <w:r>
        <w:rPr>
          <w:rFonts w:hint="eastAsia" w:hAnsi="宋体" w:cs="宋体"/>
          <w:b/>
          <w:color w:val="000000" w:themeColor="text1"/>
          <w:sz w:val="24"/>
          <w:szCs w:val="24"/>
          <w:highlight w:val="none"/>
          <w:lang w:eastAsia="zh-CN"/>
          <w14:textFill>
            <w14:solidFill>
              <w14:schemeClr w14:val="tx1"/>
            </w14:solidFill>
          </w14:textFill>
        </w:rPr>
        <w:t>供应商</w:t>
      </w:r>
    </w:p>
    <w:p w14:paraId="603872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826D0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0F47C2DC">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6A947F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79A58A7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06B7C0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4FB24A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093868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7202C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AE66E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47645E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4E4D1F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3348D4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23CB54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6DFA83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0BC4B0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70ED075B">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6015FA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1F5FC9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78BD78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21E485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0DA5CD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151CEE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3E91E3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20FF8E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33437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322264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76BF89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653AEC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3C4FA9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4CE13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534619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2D0D8F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0490A5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368EBF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B344ACE">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6E10FA60">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应承担其准备与参加磋商所涉及的一切费用。</w:t>
      </w:r>
    </w:p>
    <w:p w14:paraId="54FFC8F1">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231D5A27">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5.1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承担。</w:t>
      </w:r>
    </w:p>
    <w:p w14:paraId="7EEA0C8A">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不拥有相应的知识产权，则在报价中必须包括合法获取该知识产权的相关费用。</w:t>
      </w:r>
    </w:p>
    <w:p w14:paraId="1177CDA1">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20391CD2">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529C4747">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7C7019C5">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7CB2BBC1">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3501C1EF">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411AC1E4">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5393BE9B">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w:t>
      </w:r>
    </w:p>
    <w:p w14:paraId="68FEDA6D">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4D14E6FD">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7E5ED118">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格式</w:t>
      </w:r>
    </w:p>
    <w:p w14:paraId="58C205DF">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767F2E91">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366DBA7F">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36B1666">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在准备</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时有合理的时间考虑</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的修改，采购代理机构可酌情推迟磋商响应截止时间，但应当至少在截止时间3个工作日前将变更时间以书面形式通知所有获取采购文件的</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，该修改内容为采购文件的组成部分。在此情况下，采购人和</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受磋商响应截止期制约的所有权利和义务均应延长至新的截止日期。</w:t>
      </w:r>
    </w:p>
    <w:p w14:paraId="0829F8D6">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69DEF9BE">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w:t>
      </w:r>
      <w:r>
        <w:rPr>
          <w:rFonts w:hint="eastAsia" w:cs="宋体"/>
          <w:b/>
          <w:color w:val="000000" w:themeColor="text1"/>
          <w:sz w:val="32"/>
          <w:szCs w:val="32"/>
          <w:highlight w:val="none"/>
          <w:lang w:eastAsia="zh-CN"/>
          <w14:textFill>
            <w14:solidFill>
              <w14:schemeClr w14:val="tx1"/>
            </w14:solidFill>
          </w14:textFill>
        </w:rPr>
        <w:t>磋商响应文件</w:t>
      </w:r>
      <w:r>
        <w:rPr>
          <w:rFonts w:hint="eastAsia" w:eastAsia="宋体" w:cs="宋体"/>
          <w:b/>
          <w:color w:val="000000" w:themeColor="text1"/>
          <w:sz w:val="32"/>
          <w:szCs w:val="32"/>
          <w:highlight w:val="none"/>
          <w14:textFill>
            <w14:solidFill>
              <w14:schemeClr w14:val="tx1"/>
            </w14:solidFill>
          </w14:textFill>
        </w:rPr>
        <w:t>的编写</w:t>
      </w:r>
    </w:p>
    <w:p w14:paraId="05D9E71D">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12BC2719">
      <w:pPr>
        <w:pStyle w:val="13"/>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可被作响应无效处理。</w:t>
      </w:r>
    </w:p>
    <w:p w14:paraId="3F3C7771">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p w14:paraId="48B29370">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语言及报价要求</w:t>
      </w:r>
    </w:p>
    <w:p w14:paraId="7747F422">
      <w:pPr>
        <w:pStyle w:val="13"/>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中所附或所引用的原件不是中文时，应附中文译文。各种计量单位及符号应采用国际上统一使用的公制计量单位和符号。</w:t>
      </w:r>
    </w:p>
    <w:p w14:paraId="1BEB0138">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的组成</w:t>
      </w:r>
    </w:p>
    <w:p w14:paraId="3AE65876">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应包括下列部分：</w:t>
      </w:r>
    </w:p>
    <w:p w14:paraId="651CC2B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10272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094524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2A5B57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6F407F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610A9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8D529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资格证明文件</w:t>
      </w:r>
    </w:p>
    <w:p w14:paraId="39AACA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22D20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23857BC1">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应交的其他资料</w:t>
      </w:r>
    </w:p>
    <w:p w14:paraId="0EA9FEDC">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519E2D88">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从</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被拒绝。</w:t>
      </w:r>
    </w:p>
    <w:p w14:paraId="6F83D9F8">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11.2特殊情况下采购代理机构可于磋商有效期满之前书面要求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同意延长有效期，</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应在采购代理机构规定的期限内以书面形式予以答复。</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可以拒绝上述要求而其磋商保证金可按规定予以退还。</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答复不明确或者逾期未答复的，均视为拒绝上述要求。对于接受该要求的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，既不要求也不允许其修改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，但将要求其相应延长磋商保证金有效期，有关退还和不予退还磋商保证金的规定在报价有效期延长期内继续有效。      </w:t>
      </w:r>
    </w:p>
    <w:p w14:paraId="551B191B">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1D5E43C1">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的组成部分之一。</w:t>
      </w:r>
    </w:p>
    <w:p w14:paraId="5BABD332">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应在提交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之前向采购代理机构指定的政府采购保证金专户缴交</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须知前附表要求的磋商保证金。联合体参加磋商的，可以由联合体中的一方或者共同提交磋商保证金，以一方名义提交磋商保证金的，对联合体各方均具有约束力。</w:t>
      </w:r>
    </w:p>
    <w:p w14:paraId="11F71D4C">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的行为而引起的风险。</w:t>
      </w:r>
    </w:p>
    <w:p w14:paraId="1552A7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09AD15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3DA38893">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17077C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为中小企业的，其磋商保证金</w:t>
      </w:r>
      <w:r>
        <w:rPr>
          <w:rFonts w:hint="eastAsia" w:ascii="宋体" w:hAnsi="宋体" w:cs="宋体"/>
          <w:color w:val="000000" w:themeColor="text1"/>
          <w:sz w:val="24"/>
          <w:szCs w:val="24"/>
          <w:highlight w:val="none"/>
          <w:lang w:val="en-US"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中提供《中小企业声明函》的，其磋商响应作无效响应处理。</w:t>
      </w:r>
    </w:p>
    <w:p w14:paraId="72C4C8D9">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2351ABD7">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65C3F113">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40FA1D93">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w:t>
      </w:r>
    </w:p>
    <w:p w14:paraId="162A8EB7">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7BB0B31E">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在提交最后报价后，撤回磋商响应；</w:t>
      </w:r>
    </w:p>
    <w:p w14:paraId="7C7AB994">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6E34DD5D">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9647021">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750675B5">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中提供虚假材料的；</w:t>
      </w:r>
    </w:p>
    <w:p w14:paraId="6051450A">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33C89404">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p>
    <w:p w14:paraId="367140E4">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7CF7844F">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或者采购代理机构恶意串通的；</w:t>
      </w:r>
    </w:p>
    <w:p w14:paraId="5FC80B4E">
      <w:pPr>
        <w:pStyle w:val="1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52576367">
      <w:pPr>
        <w:pStyle w:val="13"/>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08A727BC">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的格式</w:t>
      </w:r>
    </w:p>
    <w:p w14:paraId="5938229D">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须编制由本须知第10条规定文件组成的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4F7D0C44">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的法定代表人或授权代表签字并加盖公章，如由后者签字，应提供“单位授权委托书”。</w:t>
      </w:r>
    </w:p>
    <w:p w14:paraId="572A6CEC">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54352C1B">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应提交证明其拟供货物、服务、工程符合采购文件要求的技术</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，该文件可以是文字资料、图纸和数据，并须提供货物、服务、工程主要技术性能的详细描述。</w:t>
      </w:r>
    </w:p>
    <w:p w14:paraId="334B9CAD">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21E3063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应无涂改和行间插字，除非这些改动是根据采购代理机构的指示进行的，或者是为改正</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造成的必须修改的错误而进行的。有改动时，修改处应由法定代表人或授权代表签字证明或加盖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0ECC360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字迹模糊不清的，其磋商响应将被拒绝。</w:t>
      </w:r>
    </w:p>
    <w:p w14:paraId="46A39F7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47F9EF80">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应将上述文件按顺序装订成册、打印页码，并编列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被误读或漏读，该磋商响应可能被视为无效响应或承担不利的评审结果。</w:t>
      </w:r>
    </w:p>
    <w:p w14:paraId="04FEC4C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E732BF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6B7A072">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05BAF7DC">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的提交</w:t>
      </w:r>
    </w:p>
    <w:p w14:paraId="2D921F0E">
      <w:pPr>
        <w:pStyle w:val="71"/>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的密封、标记和递交</w:t>
      </w:r>
    </w:p>
    <w:p w14:paraId="1F81700A">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名称、采购项目名称及“正本”或“副本”。</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未密封可导致其磋商被拒绝。</w:t>
      </w:r>
    </w:p>
    <w:p w14:paraId="46B9388D">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之前（指磋商邀请中规定的磋商日期及时间）不准启封”的字样，并加盖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公章或由磋商代表签字。     </w:t>
      </w:r>
    </w:p>
    <w:p w14:paraId="3676F8CE">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由邮局或专人送交，</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按第14.1条至14.2条中的规定进行密封和标记后，按磋商邀请函注明的地址送至接收人。</w:t>
      </w:r>
    </w:p>
    <w:p w14:paraId="62E4C026">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的误投或提前拆封的责任。</w:t>
      </w:r>
    </w:p>
    <w:p w14:paraId="3D5C3C9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为无效</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，将被拒绝。</w:t>
      </w:r>
    </w:p>
    <w:p w14:paraId="488DC259">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在磋商响应截止时间前，可以对所提交的采购文件进行修改或者撤回，并书面通知采购代理机构。修改的内容和撤回通知应当按本须知要求签署、盖章、密封，并作为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w:t>
      </w:r>
    </w:p>
    <w:p w14:paraId="77A06DB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在磋商响应截止期后不得修改、撤回</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在报价截止期后修改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的，其磋商响应将被拒绝。</w:t>
      </w:r>
    </w:p>
    <w:p w14:paraId="028FB23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可以为2家。属于政府购买服务项目的，在采购过程中符合要求的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只有1家的，应当终止采购活动，发布项目终止公告并说明原因，重新开展采购活动。</w:t>
      </w:r>
    </w:p>
    <w:p w14:paraId="6ECF0E1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D605ABF">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66677A2">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D6593A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C92131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7C2B1D4">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的评估和比较</w:t>
      </w:r>
    </w:p>
    <w:p w14:paraId="4D114B51">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44EAC144">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须知前附表中所规定的时间、地点磋商（如有推迟情形，以推迟后的时间、地点为准）。</w:t>
      </w:r>
    </w:p>
    <w:p w14:paraId="2297762B">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和有关方面代表参加。</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一般应派授权代表参加磋商，并办理签到手续。</w:t>
      </w:r>
    </w:p>
    <w:p w14:paraId="3F485D3F">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35F919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进行审查、质疑、评估和比较，进行磋商并做出授予合同的建议。</w:t>
      </w:r>
    </w:p>
    <w:p w14:paraId="257538A6">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的初审</w:t>
      </w:r>
    </w:p>
    <w:p w14:paraId="7A0AE8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的评估，都采用相同的程序和标准。评议过程将严格按照采购文件的要求和条件进行。</w:t>
      </w:r>
    </w:p>
    <w:p w14:paraId="17C97A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的审查、澄清、评估和比较以及推荐成交候选人的一切情况都不得透露给任一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660684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684387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29F2E0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1D55C28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69EAD5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1786E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694AD7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BA47C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092A60AA">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3AC06DB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4DCD59A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7A11A07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3343811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35D2030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8A0379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241B11F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1691BDE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5D9774D7">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6EBCF1EA">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提交的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将给予保密，但不予退回。</w:t>
      </w:r>
    </w:p>
    <w:p w14:paraId="736DB002">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资格和报价产品均必须满足中华人民共和国相关法律法规及行业的强制性要求，否则将作无效响应处理。</w:t>
      </w:r>
    </w:p>
    <w:p w14:paraId="0543059E">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1F6B4207">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作出必要的澄清、说明或者纠正。</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的澄清、说明或者补正应当在磋商小组规定的时间内以书面形式作出，由其法定代表人或者授权代表签字，并不得超出</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的范围或者改变</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的实质性内容。</w:t>
      </w:r>
    </w:p>
    <w:p w14:paraId="0D48CD2C">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712B201E">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须知前附表3所述评审方法与标准，对资格性检查和符合性检查合格的采购文件进行商务和技术评估，综合比较与评价。</w:t>
      </w:r>
    </w:p>
    <w:p w14:paraId="34CE4BE5">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该项最高报价加入漏（缺）报人的磋商响应报价进行评审。对多报及赠送项的价格评审时不予核减，全部进入评审价评议。</w:t>
      </w:r>
    </w:p>
    <w:p w14:paraId="75AB8C83">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应按磋商小组要求作出书面说明并提供相关证明材料，不能合理说明或不能提供相关证明材料的，可作无效报价处理。</w:t>
      </w:r>
    </w:p>
    <w:p w14:paraId="7C1C2DDB">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01A6108">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6ABC8D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98CDE86">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4EE1F0D">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15F57D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F36C516">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D5B0E07">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830142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1C88A583">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B8A727A">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5502F81">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82E22BB">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52BB1E4D">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07673817">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符合采购文件要求，按采购文件确定评审方法、标准，经磋商小组评审并推荐成交候选人。 </w:t>
      </w:r>
    </w:p>
    <w:p w14:paraId="3454B8EB">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4843BE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409071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2515B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64DB62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退还其磋商保证金（含保函）。在合同签订后5个工作日内，以原缴交方式退还成交供应商的磋商保证金。</w:t>
      </w:r>
    </w:p>
    <w:p w14:paraId="395977C0">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BA40BDE">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w:t>
      </w: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0日内，根据采购文件确定的事项和成交供应商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，参照本采购文件第四章的《合同》文本签订合同。双方所签订的合同不得对采购文件和成交供应商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77E2D094">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、补充或修改的文件及澄清或承诺文件等，均为双方签订合同的组成部分，并与合同一并作为本采购文件所列采购项目的互补性法律文件，与合同具有同等法律效力。</w:t>
      </w:r>
    </w:p>
    <w:p w14:paraId="41745A4A">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038A42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5044C477">
      <w:pPr>
        <w:pStyle w:val="13"/>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55CD995B">
      <w:pPr>
        <w:pStyle w:val="1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3B94B5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06AB0A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2D608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378CBE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F4D63E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06F560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2C9A8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1D552A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62A32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216898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568160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B065B8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7E029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D76DC8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A16034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2D17C5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CE64FE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CE6F5C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D59CC3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0062E0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B557BB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D9E519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E10F2F">
      <w:pPr>
        <w:numPr>
          <w:ilvl w:val="0"/>
          <w:numId w:val="1"/>
        </w:num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 磋商内容及要求</w:t>
      </w:r>
    </w:p>
    <w:p w14:paraId="72A65F48">
      <w:pPr>
        <w:numPr>
          <w:ilvl w:val="0"/>
          <w:numId w:val="0"/>
        </w:num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6056106">
      <w:pPr>
        <w:keepNext/>
        <w:keepLines/>
        <w:widowControl w:val="0"/>
        <w:adjustRightInd w:val="0"/>
        <w:spacing w:before="120" w:beforeLines="50" w:after="120" w:afterLines="50" w:line="240" w:lineRule="auto"/>
        <w:ind w:firstLine="0" w:firstLineChars="0"/>
        <w:jc w:val="left"/>
        <w:textAlignment w:val="baseline"/>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一、项目需求</w:t>
      </w:r>
    </w:p>
    <w:p w14:paraId="7503EEBE">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中共十八大以来，习近平总书记对海洋生态环境保护作出一系列重要论述，强调“要像对待生命一样关爱海洋”。厦门是习近平生态文明思想的重要孕育地和先行实践地，《中国的海洋生态环境保护》白皮书中多次提及厦门，介绍厦门在海洋生态环境保护领域的先进经验和做法。十五五即将开局，厦门仍需坚持以习近平生态文明思想为指导，持续稳步推进海洋生态环境综合治理工作，保障全市海洋经济高质量发展，提升人民群众临海亲海的获得感和幸福感。</w:t>
      </w:r>
    </w:p>
    <w:p w14:paraId="1D35D2EE">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中央深化改革领导小组将建立资源环境承载能力监测预警机制列为中央全面深化改革的一项重大任务，通过科学识别资源环境承载能力状况，将各类开发活动限制在资源环境承载能力允许的范围之内。《厦门经济特区海洋经济促进规定》以加快建设海洋强市、打造国际特色海洋中心城市为目标，必然加大厦门海洋资源环境承载压力。开展厦门海洋生态环境承载能力评估是制定十五五海洋生态环境保护规划、实施海洋分区精准管控、提升海洋生态环境质量的工作基础，也是稳步推进海洋生态环境综合治理工作的重要参考依据。</w:t>
      </w:r>
    </w:p>
    <w:p w14:paraId="3723B153">
      <w:pPr>
        <w:keepNext/>
        <w:keepLines/>
        <w:widowControl w:val="0"/>
        <w:adjustRightInd w:val="0"/>
        <w:spacing w:before="120" w:beforeLines="50" w:after="120" w:afterLines="50" w:line="240" w:lineRule="auto"/>
        <w:ind w:firstLine="0" w:firstLineChars="0"/>
        <w:jc w:val="left"/>
        <w:textAlignment w:val="baseline"/>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二、项目目标</w:t>
      </w:r>
    </w:p>
    <w:p w14:paraId="09128E7D">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结合厦门市海洋开发利用方式与保护治理现状，构建海洋生态环境承载力评估指标技术体系，开展厦门市海洋生态环境承载能力评估。</w:t>
      </w:r>
    </w:p>
    <w:p w14:paraId="18693CB9">
      <w:pPr>
        <w:keepNext/>
        <w:keepLines/>
        <w:widowControl w:val="0"/>
        <w:adjustRightInd w:val="0"/>
        <w:spacing w:before="120" w:beforeLines="50" w:after="120" w:afterLines="50" w:line="240" w:lineRule="auto"/>
        <w:ind w:firstLine="0" w:firstLineChars="0"/>
        <w:jc w:val="left"/>
        <w:textAlignment w:val="baseline"/>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三、工作内容</w:t>
      </w:r>
    </w:p>
    <w:p w14:paraId="14EAF6AE">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（1）梳理国内外海洋生态环境承载力评价方法，构建适用于厦门海域的海洋生态环境承载力评估测度技术；</w:t>
      </w:r>
    </w:p>
    <w:p w14:paraId="09642651">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（2）基于厦门市海洋生态环境现状及历史监测数据，根据海水水质、沉积物、海洋生物多样性、典型海洋生态系统及生物生境质量等，评估厦门海洋生态环境健康质量和生态环境服务功能供给量；</w:t>
      </w:r>
    </w:p>
    <w:p w14:paraId="167C5386">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（3）根据厦门市海洋经济发展水平，海洋资源开发利用现状、海域、岸线及海岛开发利用情况以及陆源、海源等污染物排放情况等评估厦门市海洋生态环境总需求量和依赖水平；</w:t>
      </w:r>
    </w:p>
    <w:p w14:paraId="359FBA85">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（4）基于厦门市海洋生态环境总供给量和总需求量分析结果，分别以湾区和厦门近岸海域为评价单元，进行海洋生态环境承载力测度评估，划分可载、临界超载和超载三种状态，并提出指导性政策建议。</w:t>
      </w:r>
    </w:p>
    <w:p w14:paraId="21535E8A">
      <w:pPr>
        <w:keepNext/>
        <w:keepLines/>
        <w:widowControl w:val="0"/>
        <w:adjustRightInd w:val="0"/>
        <w:spacing w:before="120" w:beforeLines="50" w:after="120" w:afterLines="50" w:line="240" w:lineRule="auto"/>
        <w:ind w:firstLine="0" w:firstLineChars="0"/>
        <w:jc w:val="left"/>
        <w:textAlignment w:val="baseline"/>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四、预期成果</w:t>
      </w:r>
    </w:p>
    <w:p w14:paraId="62C5ACBB">
      <w:pPr>
        <w:widowControl w:val="0"/>
        <w:spacing w:line="460" w:lineRule="exact"/>
        <w:ind w:firstLine="480" w:firstLineChars="200"/>
        <w:jc w:val="both"/>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t>提交《厦门市海洋生态环境承载力评估报告》。</w:t>
      </w:r>
    </w:p>
    <w:p w14:paraId="6C4DDF60">
      <w:pPr>
        <w:pStyle w:val="5"/>
        <w:spacing w:line="360" w:lineRule="auto"/>
        <w:ind w:firstLine="0" w:firstLineChars="0"/>
        <w:jc w:val="left"/>
        <w:rPr>
          <w:rFonts w:hint="eastAsia" w:eastAsia="宋体" w:cs="宋体"/>
          <w:b/>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五</w:t>
      </w:r>
      <w:r>
        <w:rPr>
          <w:rFonts w:hint="eastAsia" w:eastAsia="宋体" w:cs="宋体"/>
          <w:b/>
          <w:color w:val="000000" w:themeColor="text1"/>
          <w:sz w:val="24"/>
          <w:szCs w:val="24"/>
          <w:highlight w:val="none"/>
          <w14:textFill>
            <w14:solidFill>
              <w14:schemeClr w14:val="tx1"/>
            </w14:solidFill>
          </w14:textFill>
        </w:rPr>
        <w:t>、商务要求</w:t>
      </w:r>
    </w:p>
    <w:p w14:paraId="437ED172">
      <w:pPr>
        <w:spacing w:line="360" w:lineRule="auto"/>
        <w:ind w:firstLine="0"/>
        <w:jc w:val="left"/>
        <w:rPr>
          <w:rFonts w:asciiTheme="minorEastAsia" w:hAnsiTheme="minorEastAsia" w:eastAsiaTheme="minorEastAsia"/>
          <w:b/>
          <w:bCs/>
          <w:color w:val="000000" w:themeColor="text1"/>
          <w:sz w:val="24"/>
          <w:highlight w:val="none"/>
          <w14:textFill>
            <w14:solidFill>
              <w14:schemeClr w14:val="tx1"/>
            </w14:solidFill>
          </w14:textFill>
        </w:rPr>
      </w:pPr>
      <w:r>
        <w:rPr>
          <w:rFonts w:hint="eastAsia" w:asciiTheme="minorEastAsia" w:hAnsiTheme="minorEastAsia" w:eastAsiaTheme="minorEastAsia"/>
          <w:b/>
          <w:bCs/>
          <w:color w:val="000000" w:themeColor="text1"/>
          <w:sz w:val="24"/>
          <w:highlight w:val="none"/>
          <w14:textFill>
            <w14:solidFill>
              <w14:schemeClr w14:val="tx1"/>
            </w14:solidFill>
          </w14:textFill>
        </w:rPr>
        <w:t>1.服务地点</w:t>
      </w:r>
    </w:p>
    <w:p w14:paraId="0637ED73">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厦门区域内采购人指定地点。</w:t>
      </w:r>
    </w:p>
    <w:p w14:paraId="7BABE2A5">
      <w:pPr>
        <w:spacing w:line="360" w:lineRule="auto"/>
        <w:ind w:firstLine="0"/>
        <w:rPr>
          <w:rFonts w:asciiTheme="minorEastAsia" w:hAnsiTheme="minorEastAsia" w:eastAsiaTheme="minorEastAsia"/>
          <w:b/>
          <w:bCs/>
          <w:color w:val="000000" w:themeColor="text1"/>
          <w:sz w:val="24"/>
          <w:highlight w:val="none"/>
          <w14:textFill>
            <w14:solidFill>
              <w14:schemeClr w14:val="tx1"/>
            </w14:solidFill>
          </w14:textFill>
        </w:rPr>
      </w:pPr>
      <w:r>
        <w:rPr>
          <w:rFonts w:hint="eastAsia" w:asciiTheme="minorEastAsia" w:hAnsiTheme="minorEastAsia" w:eastAsiaTheme="minorEastAsia"/>
          <w:b/>
          <w:bCs/>
          <w:color w:val="000000" w:themeColor="text1"/>
          <w:sz w:val="24"/>
          <w:highlight w:val="none"/>
          <w14:textFill>
            <w14:solidFill>
              <w14:schemeClr w14:val="tx1"/>
            </w14:solidFill>
          </w14:textFill>
        </w:rPr>
        <w:t>2.服务时间</w:t>
      </w:r>
    </w:p>
    <w:p w14:paraId="452B4E4D">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lang w:val="en-US" w:eastAsia="zh-CN"/>
          <w14:textFill>
            <w14:solidFill>
              <w14:schemeClr w14:val="tx1"/>
            </w14:solidFill>
          </w14:textFill>
        </w:rPr>
        <w:t>一年</w:t>
      </w:r>
      <w:r>
        <w:rPr>
          <w:rFonts w:hint="eastAsia" w:asciiTheme="minorEastAsia" w:hAnsiTheme="minorEastAsia" w:eastAsiaTheme="minorEastAsia"/>
          <w:color w:val="000000" w:themeColor="text1"/>
          <w:sz w:val="24"/>
          <w:highlight w:val="none"/>
          <w14:textFill>
            <w14:solidFill>
              <w14:schemeClr w14:val="tx1"/>
            </w14:solidFill>
          </w14:textFill>
        </w:rPr>
        <w:t>。</w:t>
      </w:r>
    </w:p>
    <w:p w14:paraId="51DDC491">
      <w:pPr>
        <w:spacing w:line="360" w:lineRule="auto"/>
        <w:ind w:firstLine="0"/>
        <w:rPr>
          <w:rFonts w:asciiTheme="minorEastAsia" w:hAnsiTheme="minorEastAsia" w:eastAsiaTheme="minorEastAsia"/>
          <w:b/>
          <w:bCs/>
          <w:color w:val="000000" w:themeColor="text1"/>
          <w:sz w:val="24"/>
          <w:highlight w:val="none"/>
          <w14:textFill>
            <w14:solidFill>
              <w14:schemeClr w14:val="tx1"/>
            </w14:solidFill>
          </w14:textFill>
        </w:rPr>
      </w:pPr>
      <w:r>
        <w:rPr>
          <w:rFonts w:hint="eastAsia" w:asciiTheme="minorEastAsia" w:hAnsiTheme="minorEastAsia" w:eastAsiaTheme="minorEastAsia"/>
          <w:b/>
          <w:bCs/>
          <w:color w:val="000000" w:themeColor="text1"/>
          <w:sz w:val="24"/>
          <w:highlight w:val="none"/>
          <w14:textFill>
            <w14:solidFill>
              <w14:schemeClr w14:val="tx1"/>
            </w14:solidFill>
          </w14:textFill>
        </w:rPr>
        <w:t>3.履约保证金</w:t>
      </w:r>
    </w:p>
    <w:p w14:paraId="29D60884">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是否收取履约保证金：否。</w:t>
      </w:r>
    </w:p>
    <w:p w14:paraId="4AD08205">
      <w:pPr>
        <w:spacing w:line="360" w:lineRule="auto"/>
        <w:ind w:firstLine="0"/>
        <w:rPr>
          <w:rFonts w:asciiTheme="minorEastAsia" w:hAnsiTheme="minorEastAsia" w:eastAsiaTheme="minorEastAsia"/>
          <w:b/>
          <w:bCs/>
          <w:color w:val="000000" w:themeColor="text1"/>
          <w:sz w:val="24"/>
          <w:highlight w:val="none"/>
          <w14:textFill>
            <w14:solidFill>
              <w14:schemeClr w14:val="tx1"/>
            </w14:solidFill>
          </w14:textFill>
        </w:rPr>
      </w:pPr>
      <w:r>
        <w:rPr>
          <w:rFonts w:hint="eastAsia" w:asciiTheme="minorEastAsia" w:hAnsiTheme="minorEastAsia" w:eastAsiaTheme="minorEastAsia"/>
          <w:b/>
          <w:bCs/>
          <w:color w:val="000000" w:themeColor="text1"/>
          <w:sz w:val="24"/>
          <w:highlight w:val="none"/>
          <w14:textFill>
            <w14:solidFill>
              <w14:schemeClr w14:val="tx1"/>
            </w14:solidFill>
          </w14:textFill>
        </w:rPr>
        <w:t>4</w:t>
      </w:r>
      <w:r>
        <w:rPr>
          <w:rFonts w:asciiTheme="minorEastAsia" w:hAnsiTheme="minorEastAsia" w:eastAsiaTheme="minorEastAsia"/>
          <w:b/>
          <w:bCs/>
          <w:color w:val="000000" w:themeColor="text1"/>
          <w:sz w:val="24"/>
          <w:highlight w:val="none"/>
          <w14:textFill>
            <w14:solidFill>
              <w14:schemeClr w14:val="tx1"/>
            </w14:solidFill>
          </w14:textFill>
        </w:rPr>
        <w:t>.</w:t>
      </w:r>
      <w:r>
        <w:rPr>
          <w:rFonts w:hint="eastAsia" w:asciiTheme="minorEastAsia" w:hAnsiTheme="minorEastAsia" w:eastAsiaTheme="minorEastAsia"/>
          <w:b/>
          <w:bCs/>
          <w:color w:val="000000" w:themeColor="text1"/>
          <w:sz w:val="24"/>
          <w:highlight w:val="none"/>
          <w14:textFill>
            <w14:solidFill>
              <w14:schemeClr w14:val="tx1"/>
            </w14:solidFill>
          </w14:textFill>
        </w:rPr>
        <w:t>验收方式数据表格</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1"/>
        <w:gridCol w:w="7137"/>
      </w:tblGrid>
      <w:tr w14:paraId="2C26B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4DFC9387">
            <w:pPr>
              <w:spacing w:line="360" w:lineRule="auto"/>
              <w:jc w:val="center"/>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验收期次</w:t>
            </w:r>
          </w:p>
        </w:tc>
        <w:tc>
          <w:tcPr>
            <w:tcW w:w="7310" w:type="dxa"/>
            <w:vAlign w:val="center"/>
          </w:tcPr>
          <w:p w14:paraId="114ADF75">
            <w:pPr>
              <w:spacing w:line="360" w:lineRule="auto"/>
              <w:jc w:val="center"/>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验收期次说明</w:t>
            </w:r>
          </w:p>
        </w:tc>
      </w:tr>
      <w:tr w14:paraId="5E64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5C97E5B0">
            <w:pPr>
              <w:spacing w:line="360" w:lineRule="auto"/>
              <w:jc w:val="center"/>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1</w:t>
            </w:r>
          </w:p>
        </w:tc>
        <w:tc>
          <w:tcPr>
            <w:tcW w:w="7310" w:type="dxa"/>
            <w:vAlign w:val="center"/>
          </w:tcPr>
          <w:p w14:paraId="739F10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1.验收条件：</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进行过程的每个阶段完成后，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应及时通知采购人，进行相关事项的讨论，并根据采购人提出的整改意见及时整改。</w:t>
            </w:r>
          </w:p>
          <w:p w14:paraId="4E4841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2.验收依据：采购文件、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及国家、省、市有关的标准规定，均为验收依据。</w:t>
            </w:r>
          </w:p>
          <w:p w14:paraId="6A05B7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3.采购人与成交供应商签订</w:t>
            </w:r>
            <w:r>
              <w:rPr>
                <w:rFonts w:hint="eastAsia" w:ascii="宋体" w:hAnsi="宋体" w:eastAsia="宋体" w:cs="宋体"/>
                <w:color w:val="000000" w:themeColor="text1"/>
                <w:sz w:val="24"/>
                <w:szCs w:val="24"/>
                <w:highlight w:val="none"/>
                <w:lang w:val="en-US" w:eastAsia="zh-CN"/>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合同，根据采购文件规定和成交供应商的磋商响应承诺约定具体事项和考核办法，成交供应商若发生违约行为或考核不合格，采购人有权终止合同的履行。</w:t>
            </w:r>
          </w:p>
          <w:p w14:paraId="504867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4.验收时成交供应商必须派代表参加。</w:t>
            </w:r>
          </w:p>
          <w:p w14:paraId="0D9A11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5.验收过程所发生的一切费用由成交供应商承担。</w:t>
            </w:r>
          </w:p>
          <w:p w14:paraId="11054968">
            <w:pPr>
              <w:spacing w:line="360" w:lineRule="auto"/>
              <w:ind w:firstLine="480" w:firstLineChars="200"/>
              <w:rPr>
                <w:rFonts w:hint="eastAsia" w:asciiTheme="minorEastAsia" w:hAnsiTheme="minorEastAsia" w:eastAsiaTheme="minorEastAsia"/>
                <w:color w:val="000000" w:themeColor="text1"/>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6.成交供应商在履约过程中若有出现安全事故，其责任及相应的赔偿均由成交供应商自行承担，采购人不承担所有责任及义务。</w:t>
            </w:r>
          </w:p>
        </w:tc>
      </w:tr>
    </w:tbl>
    <w:p w14:paraId="3F0E78E1">
      <w:pPr>
        <w:spacing w:line="360" w:lineRule="auto"/>
        <w:ind w:firstLine="420"/>
        <w:rPr>
          <w:rFonts w:hint="eastAsia" w:asciiTheme="minorEastAsia" w:hAnsiTheme="minorEastAsia" w:eastAsiaTheme="minorEastAsia"/>
          <w:b/>
          <w:bCs/>
          <w:color w:val="000000" w:themeColor="text1"/>
          <w:sz w:val="24"/>
          <w:highlight w:val="none"/>
          <w14:textFill>
            <w14:solidFill>
              <w14:schemeClr w14:val="tx1"/>
            </w14:solidFill>
          </w14:textFill>
        </w:rPr>
      </w:pPr>
    </w:p>
    <w:p w14:paraId="2C394A59">
      <w:pPr>
        <w:spacing w:line="360" w:lineRule="auto"/>
        <w:ind w:firstLine="0"/>
        <w:rPr>
          <w:rFonts w:hint="eastAsia" w:asciiTheme="minorEastAsia" w:hAnsiTheme="minorEastAsia" w:eastAsiaTheme="minorEastAsia"/>
          <w:b/>
          <w:bCs/>
          <w:color w:val="000000" w:themeColor="text1"/>
          <w:sz w:val="24"/>
          <w:highlight w:val="none"/>
          <w:lang w:eastAsia="zh-CN"/>
          <w14:textFill>
            <w14:solidFill>
              <w14:schemeClr w14:val="tx1"/>
            </w14:solidFill>
          </w14:textFill>
        </w:rPr>
      </w:pPr>
      <w:r>
        <w:rPr>
          <w:rFonts w:hint="eastAsia" w:asciiTheme="minorEastAsia" w:hAnsiTheme="minorEastAsia" w:eastAsiaTheme="minorEastAsia"/>
          <w:b/>
          <w:bCs/>
          <w:color w:val="000000" w:themeColor="text1"/>
          <w:sz w:val="24"/>
          <w:highlight w:val="none"/>
          <w14:textFill>
            <w14:solidFill>
              <w14:schemeClr w14:val="tx1"/>
            </w14:solidFill>
          </w14:textFill>
        </w:rPr>
        <w:t>5.付款方式</w:t>
      </w:r>
    </w:p>
    <w:p w14:paraId="5D8BB9CD">
      <w:pPr>
        <w:spacing w:line="360" w:lineRule="auto"/>
        <w:ind w:firstLine="420"/>
        <w:rPr>
          <w:rFonts w:hint="eastAsia" w:eastAsia="宋体" w:cs="宋体" w:asciiTheme="minorEastAsia" w:hAnsi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cs="宋体"/>
          <w:color w:val="000000" w:themeColor="text1"/>
          <w:sz w:val="24"/>
          <w:szCs w:val="24"/>
          <w:highlight w:val="none"/>
          <w:lang w:val="en-US" w:eastAsia="zh-CN"/>
          <w14:textFill>
            <w14:solidFill>
              <w14:schemeClr w14:val="tx1"/>
            </w14:solidFill>
          </w14:textFill>
        </w:rPr>
        <w:t>与</w:t>
      </w:r>
      <w:r>
        <w:rPr>
          <w:rFonts w:hint="eastAsia" w:ascii="宋体" w:hAnsi="宋体" w:eastAsia="宋体" w:cs="宋体"/>
          <w:color w:val="000000" w:themeColor="text1"/>
          <w:sz w:val="24"/>
          <w:szCs w:val="24"/>
          <w:highlight w:val="none"/>
          <w14:textFill>
            <w14:solidFill>
              <w14:schemeClr w14:val="tx1"/>
            </w14:solidFill>
          </w14:textFill>
        </w:rPr>
        <w:t>成交供应商合同</w:t>
      </w:r>
      <w:r>
        <w:rPr>
          <w:rFonts w:hint="eastAsia" w:ascii="宋体" w:hAnsi="宋体" w:cs="宋体"/>
          <w:color w:val="000000" w:themeColor="text1"/>
          <w:sz w:val="24"/>
          <w:szCs w:val="24"/>
          <w:highlight w:val="none"/>
          <w:lang w:val="en-US" w:eastAsia="zh-CN"/>
          <w14:textFill>
            <w14:solidFill>
              <w14:schemeClr w14:val="tx1"/>
            </w14:solidFill>
          </w14:textFill>
        </w:rPr>
        <w:t>另行</w:t>
      </w:r>
      <w:r>
        <w:rPr>
          <w:rFonts w:hint="eastAsia" w:ascii="宋体" w:hAnsi="宋体" w:eastAsia="宋体" w:cs="宋体"/>
          <w:color w:val="000000" w:themeColor="text1"/>
          <w:sz w:val="24"/>
          <w:szCs w:val="24"/>
          <w:highlight w:val="none"/>
          <w14:textFill>
            <w14:solidFill>
              <w14:schemeClr w14:val="tx1"/>
            </w14:solidFill>
          </w14:textFill>
        </w:rPr>
        <w:t>约定。</w:t>
      </w:r>
    </w:p>
    <w:p w14:paraId="1AA8164F">
      <w:pPr>
        <w:spacing w:line="360" w:lineRule="auto"/>
        <w:ind w:firstLine="0"/>
        <w:rPr>
          <w:rFonts w:cs="宋体" w:asciiTheme="minorEastAsia" w:hAnsiTheme="minorEastAsia" w:eastAsiaTheme="minorEastAsia"/>
          <w:b/>
          <w:bCs/>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6.报价要求</w:t>
      </w:r>
    </w:p>
    <w:p w14:paraId="578B27E6">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sz w:val="24"/>
          <w:szCs w:val="24"/>
          <w:highlight w:val="none"/>
          <w14:textFill>
            <w14:solidFill>
              <w14:schemeClr w14:val="tx1"/>
            </w14:solidFill>
          </w14:textFill>
        </w:rPr>
        <w:t>6.1总报价为完成服务所有可能发生的一切费用</w:t>
      </w:r>
      <w:r>
        <w:rPr>
          <w:rFonts w:hint="eastAsia" w:cs="宋体"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包括人工费、保险费、聘请专家费、报告费、差旅费、文印费、验收、税金、采购代理服务费以及售后服务等费用。</w:t>
      </w:r>
    </w:p>
    <w:p w14:paraId="6E146381">
      <w:pPr>
        <w:spacing w:line="360" w:lineRule="auto"/>
        <w:ind w:firstLine="480" w:firstLineChars="200"/>
        <w:rPr>
          <w:rFonts w:cs="宋体" w:asciiTheme="minorEastAsia" w:hAnsiTheme="minorEastAsia" w:eastAsiaTheme="minorEastAsia"/>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sz w:val="24"/>
          <w:szCs w:val="24"/>
          <w:highlight w:val="none"/>
          <w14:textFill>
            <w14:solidFill>
              <w14:schemeClr w14:val="tx1"/>
            </w14:solidFill>
          </w14:textFill>
        </w:rPr>
        <w:t>6.2供应商对</w:t>
      </w:r>
      <w:r>
        <w:rPr>
          <w:rFonts w:hint="eastAsia" w:cs="宋体" w:asciiTheme="minorEastAsia" w:hAnsiTheme="minorEastAsia" w:eastAsiaTheme="minorEastAsia"/>
          <w:color w:val="000000" w:themeColor="text1"/>
          <w:sz w:val="24"/>
          <w:szCs w:val="24"/>
          <w:highlight w:val="none"/>
          <w:lang w:val="en-US" w:eastAsia="zh-CN"/>
          <w14:textFill>
            <w14:solidFill>
              <w14:schemeClr w14:val="tx1"/>
            </w14:solidFill>
          </w14:textFill>
        </w:rPr>
        <w:t>本项目</w:t>
      </w:r>
      <w:r>
        <w:rPr>
          <w:rFonts w:hint="eastAsia" w:cs="宋体" w:asciiTheme="minorEastAsia" w:hAnsiTheme="minorEastAsia" w:eastAsiaTheme="minorEastAsia"/>
          <w:color w:val="000000" w:themeColor="text1"/>
          <w:sz w:val="24"/>
          <w:szCs w:val="24"/>
          <w:highlight w:val="none"/>
          <w14:textFill>
            <w14:solidFill>
              <w14:schemeClr w14:val="tx1"/>
            </w14:solidFill>
          </w14:textFill>
        </w:rPr>
        <w:t>只允许有一个报价，并且在合同履行过程中是固定不变的，不得以任何理由予以变更。以可变动价格提交的报价将被认为是非实质响应而被否决。</w:t>
      </w:r>
    </w:p>
    <w:p w14:paraId="26131F8A">
      <w:pPr>
        <w:spacing w:line="360" w:lineRule="auto"/>
        <w:ind w:firstLine="480" w:firstLineChars="200"/>
        <w:rPr>
          <w:rFonts w:hint="eastAsia" w:cs="宋体" w:asciiTheme="minorEastAsia" w:hAnsiTheme="minorEastAsia" w:eastAsiaTheme="minorEastAsia"/>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sz w:val="24"/>
          <w:szCs w:val="24"/>
          <w:highlight w:val="none"/>
          <w14:textFill>
            <w14:solidFill>
              <w14:schemeClr w14:val="tx1"/>
            </w14:solidFill>
          </w14:textFill>
        </w:rPr>
        <w:t>6.3供应商在最后报价中未提供分项报价的，则按同一比率(μ)调整各分项价格(μ=最后总报价÷响应文件的总报价，调整后的分项价格＝响应文件的分项报价×μ)。</w:t>
      </w:r>
    </w:p>
    <w:p w14:paraId="3D5B82F6">
      <w:pPr>
        <w:widowControl/>
        <w:spacing w:line="360" w:lineRule="auto"/>
        <w:ind w:firstLine="480" w:firstLineChars="200"/>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 xml:space="preserve"> 报价须以人民币为货币单位，应分单价、小计和总价。</w:t>
      </w:r>
    </w:p>
    <w:p w14:paraId="7D9B86B3">
      <w:pPr>
        <w:spacing w:line="360" w:lineRule="auto"/>
        <w:ind w:firstLine="482" w:firstLineChars="200"/>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★6.</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5</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本采购项目的采购预算为人民币</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49万</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元整，采购预算为供应商任一轮报价（包括但不限于响应文件中的报价以及供应商提交的最后报价）的最高限价，供应商任一轮报价超过采购预算的，其响应文件将作无效报价处理。</w:t>
      </w:r>
    </w:p>
    <w:p w14:paraId="469B2889">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6</w:t>
      </w:r>
      <w:r>
        <w:rPr>
          <w:rFonts w:hint="eastAsia" w:ascii="宋体" w:hAnsi="宋体" w:cs="宋体"/>
          <w:color w:val="000000" w:themeColor="text1"/>
          <w:kern w:val="0"/>
          <w:sz w:val="24"/>
          <w:szCs w:val="24"/>
          <w:highlight w:val="none"/>
          <w14:textFill>
            <w14:solidFill>
              <w14:schemeClr w14:val="tx1"/>
            </w14:solidFill>
          </w14:textFill>
        </w:rPr>
        <w:t xml:space="preserve"> 本项目为整体采购，供应商必须对采购项目的所有内容及服务进行完整报价响应。</w:t>
      </w:r>
    </w:p>
    <w:p w14:paraId="59AEE318">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7</w:t>
      </w:r>
      <w:r>
        <w:rPr>
          <w:rFonts w:hint="eastAsia" w:ascii="宋体" w:hAnsi="宋体" w:cs="宋体"/>
          <w:color w:val="000000" w:themeColor="text1"/>
          <w:kern w:val="0"/>
          <w:sz w:val="24"/>
          <w:szCs w:val="24"/>
          <w:highlight w:val="none"/>
          <w14:textFill>
            <w14:solidFill>
              <w14:schemeClr w14:val="tx1"/>
            </w14:solidFill>
          </w14:textFill>
        </w:rPr>
        <w:t>供应商应依据项目特点自行核算成本并作出报价，如供应商成交后发现未预见事宜，可能需要增加的费用全部由成交供应商自行解决，采购人将不再追加价款。</w:t>
      </w:r>
    </w:p>
    <w:p w14:paraId="37E53569">
      <w:pPr>
        <w:widowControl/>
        <w:spacing w:line="360" w:lineRule="auto"/>
        <w:ind w:firstLine="480" w:firstLineChars="200"/>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8</w:t>
      </w:r>
      <w:r>
        <w:rPr>
          <w:rFonts w:hint="eastAsia" w:ascii="宋体" w:hAnsi="宋体" w:cs="宋体"/>
          <w:color w:val="000000" w:themeColor="text1"/>
          <w:kern w:val="0"/>
          <w:sz w:val="24"/>
          <w:szCs w:val="24"/>
          <w:highlight w:val="none"/>
          <w14:textFill>
            <w14:solidFill>
              <w14:schemeClr w14:val="tx1"/>
            </w14:solidFill>
          </w14:textFill>
        </w:rPr>
        <w:t>供应商应在采购文件中明确需要相互配合的工作及交接的事务，磋商响应文件未提及，项目实施过程中涉及的事务均由供应商自行解决，且费用已包含在报价中。</w:t>
      </w:r>
    </w:p>
    <w:p w14:paraId="306BA109">
      <w:pPr>
        <w:widowControl/>
        <w:wordWrap w:val="0"/>
        <w:snapToGrid/>
        <w:spacing w:after="0" w:afterLines="0" w:line="360" w:lineRule="auto"/>
        <w:ind w:firstLine="0" w:firstLineChars="0"/>
        <w:textAlignment w:val="baseline"/>
        <w:outlineLvl w:val="1"/>
        <w:rPr>
          <w:rFonts w:asciiTheme="minorEastAsia" w:hAnsiTheme="minorEastAsia" w:eastAsiaTheme="minorEastAsia"/>
          <w:b/>
          <w:bCs/>
          <w:color w:val="000000" w:themeColor="text1"/>
          <w:sz w:val="24"/>
          <w:highlight w:val="none"/>
          <w14:textFill>
            <w14:solidFill>
              <w14:schemeClr w14:val="tx1"/>
            </w14:solidFill>
          </w14:textFill>
        </w:rPr>
      </w:pPr>
      <w:bookmarkStart w:id="1" w:name="_Toc190340330"/>
      <w:r>
        <w:rPr>
          <w:rFonts w:hint="eastAsia" w:asciiTheme="minorEastAsia" w:hAnsiTheme="minorEastAsia" w:eastAsiaTheme="minorEastAsia"/>
          <w:b/>
          <w:bCs/>
          <w:color w:val="000000" w:themeColor="text1"/>
          <w:sz w:val="24"/>
          <w:highlight w:val="none"/>
          <w:lang w:val="en-US" w:eastAsia="zh-CN"/>
          <w14:textFill>
            <w14:solidFill>
              <w14:schemeClr w14:val="tx1"/>
            </w14:solidFill>
          </w14:textFill>
        </w:rPr>
        <w:t>六</w:t>
      </w:r>
      <w:r>
        <w:rPr>
          <w:rFonts w:hint="eastAsia" w:asciiTheme="minorEastAsia" w:hAnsiTheme="minorEastAsia" w:eastAsiaTheme="minorEastAsia"/>
          <w:b/>
          <w:bCs/>
          <w:color w:val="000000" w:themeColor="text1"/>
          <w:sz w:val="24"/>
          <w:highlight w:val="none"/>
          <w14:textFill>
            <w14:solidFill>
              <w14:schemeClr w14:val="tx1"/>
            </w14:solidFill>
          </w14:textFill>
        </w:rPr>
        <w:t>、其他事项</w:t>
      </w:r>
      <w:bookmarkEnd w:id="1"/>
    </w:p>
    <w:p w14:paraId="1937F0DD">
      <w:pPr>
        <w:widowControl/>
        <w:spacing w:line="360" w:lineRule="auto"/>
        <w:ind w:firstLine="480" w:firstLineChars="200"/>
        <w:jc w:val="left"/>
        <w:rPr>
          <w:rFonts w:cs="宋体" w:asciiTheme="minorEastAsia" w:hAnsiTheme="minorEastAsia" w:eastAsiaTheme="minorEastAsia"/>
          <w:color w:val="000000" w:themeColor="text1"/>
          <w:kern w:val="0"/>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1.除磋商文件另有规定外，若出现有关法律、法规和规章有强制性规定但磋商文件未列明的情形，则供应商应按照有关法律、法规和规章强制性规定执行。</w:t>
      </w:r>
    </w:p>
    <w:p w14:paraId="1FA2B978">
      <w:pPr>
        <w:spacing w:line="360" w:lineRule="auto"/>
        <w:ind w:firstLine="480" w:firstLineChars="200"/>
        <w:rPr>
          <w:rFonts w:cs="宋体" w:asciiTheme="minorEastAsia" w:hAnsiTheme="minorEastAsia" w:eastAsiaTheme="minorEastAsia"/>
          <w:color w:val="000000" w:themeColor="text1"/>
          <w:kern w:val="0"/>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2.其他：</w:t>
      </w:r>
    </w:p>
    <w:p w14:paraId="1AD40ED8">
      <w:pPr>
        <w:spacing w:line="360" w:lineRule="auto"/>
        <w:ind w:firstLine="480" w:firstLineChars="200"/>
        <w:rPr>
          <w:rFonts w:cs="宋体" w:asciiTheme="minorEastAsia" w:hAnsiTheme="minorEastAsia" w:eastAsiaTheme="minorEastAsia"/>
          <w:color w:val="000000" w:themeColor="text1"/>
          <w:kern w:val="0"/>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5C18B628">
      <w:pPr>
        <w:ind w:firstLine="480" w:firstLineChars="200"/>
        <w:rPr>
          <w:rFonts w:hint="eastAsia" w:eastAsia="宋体" w:cs="宋体"/>
          <w:b/>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2.2本磋商文件未明确的其它约定事项或条款，待采购人与成交供应商签订合同时，由双方协商订立。</w:t>
      </w:r>
    </w:p>
    <w:p w14:paraId="4873D61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2" w:name="_Toc268599010"/>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257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tcPr>
          <w:p w14:paraId="18FE22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1331D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的实质性内容相背离。</w:t>
            </w:r>
          </w:p>
        </w:tc>
      </w:tr>
    </w:tbl>
    <w:p w14:paraId="68028981">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A6B00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225EF0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0064DD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033A1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及有关法律、法规、规章规定的内容，双方达成如下协议：</w:t>
      </w:r>
    </w:p>
    <w:p w14:paraId="6579BC3B">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7"/>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1270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vAlign w:val="center"/>
          </w:tcPr>
          <w:p w14:paraId="2A060C6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vAlign w:val="center"/>
          </w:tcPr>
          <w:p w14:paraId="18AD522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vAlign w:val="center"/>
          </w:tcPr>
          <w:p w14:paraId="46BA316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vAlign w:val="center"/>
          </w:tcPr>
          <w:p w14:paraId="4500FE7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vAlign w:val="center"/>
          </w:tcPr>
          <w:p w14:paraId="2AA9C96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vAlign w:val="center"/>
          </w:tcPr>
          <w:p w14:paraId="60989D57">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0014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2921149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F0D13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602865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645F4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282AAD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71C033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3228AA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1ED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00A716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D11EB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5F8F56D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6E26B0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3962553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56B79D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764710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3A2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0B9E95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2464A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6E878A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72E565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4FDA83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746A281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39DFFE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A38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5578D4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7EEC9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1684F9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FC840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0756482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5A541D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4D9C10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0476D0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46B929B2">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1CA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1775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CF5A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9E8A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3960070C">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635AB940">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C89976">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9FEAB8">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03085B08">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7690BE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6C0CD2C4">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cs="宋体"/>
          <w:color w:val="000000" w:themeColor="text1"/>
          <w:sz w:val="24"/>
          <w:szCs w:val="24"/>
          <w:highlight w:val="none"/>
          <w:u w:val="none"/>
          <w:lang w:val="en-US" w:eastAsia="zh-CN"/>
          <w14:textFill>
            <w14:solidFill>
              <w14:schemeClr w14:val="tx1"/>
            </w14:solidFill>
          </w14:textFill>
        </w:rPr>
        <w:t xml:space="preserve"> 万</w:t>
      </w:r>
      <w:r>
        <w:rPr>
          <w:rFonts w:hint="eastAsia" w:ascii="宋体" w:hAnsi="宋体" w:eastAsia="宋体" w:cs="宋体"/>
          <w:color w:val="000000" w:themeColor="text1"/>
          <w:sz w:val="24"/>
          <w:szCs w:val="24"/>
          <w:highlight w:val="none"/>
          <w:u w:val="none"/>
          <w14:textFill>
            <w14:solidFill>
              <w14:schemeClr w14:val="tx1"/>
            </w14:solidFill>
          </w14:textFill>
        </w:rPr>
        <w:t>。</w:t>
      </w:r>
    </w:p>
    <w:p w14:paraId="6772EA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042BDC02">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7FED65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770100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2AFA27C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14980B0C">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B53057">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5AEB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67C784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52E08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AB9C7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61B536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02FA46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92E6C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3BFAF2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248DD9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4C8EE0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105CDAC1">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（含修正和补充文件）以及相关的澄清确认函件（如有）均为本合同组成文件。</w:t>
      </w:r>
    </w:p>
    <w:p w14:paraId="222899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240A5D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02ECD5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66F4AC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3A95D7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95A4A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69F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541DD2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16CB1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09CEAB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783023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67B70E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60A64CE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2"/>
      <w:bookmarkStart w:id="3" w:name="_Toc268599011"/>
    </w:p>
    <w:p w14:paraId="1793F7D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930114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E73E5D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AB6905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C6E9FF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BFD7C4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FF8075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72A16B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224905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E816013">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0A8C61D">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ED4989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BC41FF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A6F638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3A074A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91AB4C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7D4C74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9FC7AC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0C2632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2F7EE1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6090B7AA">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BEB104E">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7F8B03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D689694">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23F5C05">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9F465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w:t>
      </w:r>
      <w:r>
        <w:rPr>
          <w:rFonts w:hint="eastAsia" w:ascii="宋体" w:hAnsi="宋体" w:cs="宋体"/>
          <w:b/>
          <w:bCs/>
          <w:color w:val="000000" w:themeColor="text1"/>
          <w:sz w:val="32"/>
          <w:szCs w:val="32"/>
          <w:highlight w:val="none"/>
          <w:lang w:eastAsia="zh-CN"/>
          <w14:textFill>
            <w14:solidFill>
              <w14:schemeClr w14:val="tx1"/>
            </w14:solidFill>
          </w14:textFill>
        </w:rPr>
        <w:t>磋商响应文件</w:t>
      </w:r>
      <w:r>
        <w:rPr>
          <w:rFonts w:hint="eastAsia" w:ascii="宋体" w:hAnsi="宋体" w:eastAsia="宋体" w:cs="宋体"/>
          <w:b/>
          <w:bCs/>
          <w:color w:val="000000" w:themeColor="text1"/>
          <w:sz w:val="32"/>
          <w:szCs w:val="32"/>
          <w:highlight w:val="none"/>
          <w14:textFill>
            <w14:solidFill>
              <w14:schemeClr w14:val="tx1"/>
            </w14:solidFill>
          </w14:textFill>
        </w:rPr>
        <w:t>格式</w:t>
      </w:r>
      <w:bookmarkEnd w:id="3"/>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3EC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5324F8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1CD5E3CA">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格式》是</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的部分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格式和签订合同时所需文件的格式。</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应参照这些格式文件制作</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tc>
      </w:tr>
    </w:tbl>
    <w:p w14:paraId="0325470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D06011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5F6A04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FE2539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21DBB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AE3627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7C753BF">
      <w:pPr>
        <w:spacing w:line="360" w:lineRule="auto"/>
        <w:jc w:val="center"/>
        <w:rPr>
          <w:rFonts w:hint="eastAsia" w:ascii="宋体" w:hAnsi="宋体"/>
          <w:b/>
          <w:color w:val="000000" w:themeColor="text1"/>
          <w:sz w:val="72"/>
          <w:highlight w:val="none"/>
          <w14:textFill>
            <w14:solidFill>
              <w14:schemeClr w14:val="tx1"/>
            </w14:solidFill>
          </w14:textFill>
        </w:rPr>
      </w:pPr>
    </w:p>
    <w:p w14:paraId="009FA060">
      <w:pPr>
        <w:spacing w:line="360" w:lineRule="auto"/>
        <w:jc w:val="center"/>
        <w:rPr>
          <w:rFonts w:hint="eastAsia" w:ascii="宋体" w:hAnsi="宋体"/>
          <w:b/>
          <w:color w:val="000000" w:themeColor="text1"/>
          <w:sz w:val="72"/>
          <w:highlight w:val="none"/>
          <w14:textFill>
            <w14:solidFill>
              <w14:schemeClr w14:val="tx1"/>
            </w14:solidFill>
          </w14:textFill>
        </w:rPr>
      </w:pPr>
    </w:p>
    <w:p w14:paraId="2519B28B">
      <w:pPr>
        <w:spacing w:line="360" w:lineRule="auto"/>
        <w:jc w:val="center"/>
        <w:rPr>
          <w:rFonts w:hint="eastAsia" w:ascii="宋体" w:hAnsi="宋体"/>
          <w:b/>
          <w:color w:val="000000" w:themeColor="text1"/>
          <w:sz w:val="72"/>
          <w:highlight w:val="none"/>
          <w14:textFill>
            <w14:solidFill>
              <w14:schemeClr w14:val="tx1"/>
            </w14:solidFill>
          </w14:textFill>
        </w:rPr>
      </w:pPr>
    </w:p>
    <w:p w14:paraId="7818D750">
      <w:pPr>
        <w:spacing w:line="360" w:lineRule="auto"/>
        <w:jc w:val="center"/>
        <w:rPr>
          <w:rFonts w:hint="eastAsia" w:ascii="宋体" w:hAnsi="宋体"/>
          <w:b/>
          <w:color w:val="000000" w:themeColor="text1"/>
          <w:sz w:val="72"/>
          <w:highlight w:val="none"/>
          <w14:textFill>
            <w14:solidFill>
              <w14:schemeClr w14:val="tx1"/>
            </w14:solidFill>
          </w14:textFill>
        </w:rPr>
      </w:pPr>
    </w:p>
    <w:p w14:paraId="64EEE1D0">
      <w:pPr>
        <w:spacing w:line="360" w:lineRule="auto"/>
        <w:jc w:val="center"/>
        <w:rPr>
          <w:rFonts w:hint="eastAsia" w:ascii="宋体" w:hAnsi="宋体"/>
          <w:b/>
          <w:color w:val="000000" w:themeColor="text1"/>
          <w:sz w:val="72"/>
          <w:highlight w:val="none"/>
          <w14:textFill>
            <w14:solidFill>
              <w14:schemeClr w14:val="tx1"/>
            </w14:solidFill>
          </w14:textFill>
        </w:rPr>
      </w:pPr>
    </w:p>
    <w:p w14:paraId="0ACB9BF3">
      <w:pPr>
        <w:spacing w:line="360" w:lineRule="auto"/>
        <w:jc w:val="center"/>
        <w:rPr>
          <w:rFonts w:hint="eastAsia" w:ascii="宋体" w:hAnsi="宋体"/>
          <w:b/>
          <w:color w:val="000000" w:themeColor="text1"/>
          <w:sz w:val="72"/>
          <w:highlight w:val="none"/>
          <w14:textFill>
            <w14:solidFill>
              <w14:schemeClr w14:val="tx1"/>
            </w14:solidFill>
          </w14:textFill>
        </w:rPr>
      </w:pPr>
    </w:p>
    <w:p w14:paraId="1E681704">
      <w:pPr>
        <w:spacing w:line="360" w:lineRule="auto"/>
        <w:jc w:val="center"/>
        <w:rPr>
          <w:rFonts w:hint="eastAsia" w:ascii="宋体" w:hAnsi="宋体"/>
          <w:b/>
          <w:color w:val="000000" w:themeColor="text1"/>
          <w:sz w:val="72"/>
          <w:highlight w:val="none"/>
          <w14:textFill>
            <w14:solidFill>
              <w14:schemeClr w14:val="tx1"/>
            </w14:solidFill>
          </w14:textFill>
        </w:rPr>
      </w:pPr>
    </w:p>
    <w:p w14:paraId="164C323E">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60D58083">
      <w:pPr>
        <w:spacing w:line="360" w:lineRule="auto"/>
        <w:jc w:val="center"/>
        <w:rPr>
          <w:rFonts w:hint="eastAsia" w:ascii="宋体" w:hAnsi="宋体" w:eastAsia="宋体"/>
          <w:b/>
          <w:color w:val="000000" w:themeColor="text1"/>
          <w:sz w:val="72"/>
          <w:highlight w:val="none"/>
          <w:lang w:eastAsia="zh-CN"/>
          <w14:textFill>
            <w14:solidFill>
              <w14:schemeClr w14:val="tx1"/>
            </w14:solidFill>
          </w14:textFill>
        </w:rPr>
      </w:pPr>
      <w:r>
        <w:rPr>
          <w:rFonts w:hint="eastAsia" w:ascii="宋体" w:hAnsi="宋体"/>
          <w:b/>
          <w:color w:val="000000" w:themeColor="text1"/>
          <w:sz w:val="72"/>
          <w:highlight w:val="none"/>
          <w:lang w:eastAsia="zh-CN"/>
          <w14:textFill>
            <w14:solidFill>
              <w14:schemeClr w14:val="tx1"/>
            </w14:solidFill>
          </w14:textFill>
        </w:rPr>
        <w:t>磋商响应文件</w:t>
      </w:r>
    </w:p>
    <w:p w14:paraId="3118F362">
      <w:pPr>
        <w:spacing w:line="360" w:lineRule="auto"/>
        <w:rPr>
          <w:rFonts w:hint="eastAsia" w:ascii="宋体" w:hAnsi="宋体"/>
          <w:b/>
          <w:color w:val="000000" w:themeColor="text1"/>
          <w:sz w:val="36"/>
          <w:highlight w:val="none"/>
          <w14:textFill>
            <w14:solidFill>
              <w14:schemeClr w14:val="tx1"/>
            </w14:solidFill>
          </w14:textFill>
        </w:rPr>
      </w:pPr>
    </w:p>
    <w:p w14:paraId="671C9AD1">
      <w:pPr>
        <w:spacing w:line="360" w:lineRule="auto"/>
        <w:jc w:val="center"/>
        <w:rPr>
          <w:rFonts w:hint="eastAsia" w:ascii="宋体" w:hAnsi="宋体"/>
          <w:b/>
          <w:color w:val="000000" w:themeColor="text1"/>
          <w:sz w:val="36"/>
          <w:highlight w:val="none"/>
          <w14:textFill>
            <w14:solidFill>
              <w14:schemeClr w14:val="tx1"/>
            </w14:solidFill>
          </w14:textFill>
        </w:rPr>
      </w:pPr>
    </w:p>
    <w:p w14:paraId="4A67DC70">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04586F1A">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7865BF46">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5B49FA6C">
      <w:pPr>
        <w:spacing w:line="360" w:lineRule="auto"/>
        <w:rPr>
          <w:rFonts w:hint="eastAsia" w:ascii="宋体" w:hAnsi="宋体"/>
          <w:b/>
          <w:color w:val="000000" w:themeColor="text1"/>
          <w:sz w:val="36"/>
          <w:highlight w:val="none"/>
          <w14:textFill>
            <w14:solidFill>
              <w14:schemeClr w14:val="tx1"/>
            </w14:solidFill>
          </w14:textFill>
        </w:rPr>
      </w:pPr>
    </w:p>
    <w:p w14:paraId="4713D98D">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lang w:eastAsia="zh-CN"/>
          <w14:textFill>
            <w14:solidFill>
              <w14:schemeClr w14:val="tx1"/>
            </w14:solidFill>
          </w14:textFill>
        </w:rPr>
        <w:t>供应商</w:t>
      </w:r>
      <w:r>
        <w:rPr>
          <w:rFonts w:hint="eastAsia" w:ascii="宋体" w:hAnsi="宋体"/>
          <w:b/>
          <w:color w:val="000000" w:themeColor="text1"/>
          <w:sz w:val="36"/>
          <w:highlight w:val="none"/>
          <w14:textFill>
            <w14:solidFill>
              <w14:schemeClr w14:val="tx1"/>
            </w14:solidFill>
          </w14:textFill>
        </w:rPr>
        <w:t>名称 ：</w:t>
      </w:r>
      <w:r>
        <w:rPr>
          <w:rFonts w:hint="eastAsia" w:ascii="宋体" w:hAnsi="宋体"/>
          <w:b/>
          <w:color w:val="000000" w:themeColor="text1"/>
          <w:sz w:val="36"/>
          <w:highlight w:val="none"/>
          <w:u w:val="single"/>
          <w14:textFill>
            <w14:solidFill>
              <w14:schemeClr w14:val="tx1"/>
            </w14:solidFill>
          </w14:textFill>
        </w:rPr>
        <w:t xml:space="preserve">               </w:t>
      </w:r>
    </w:p>
    <w:p w14:paraId="12F49C5D">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426F3A2E">
      <w:pPr>
        <w:spacing w:line="360" w:lineRule="auto"/>
        <w:rPr>
          <w:rFonts w:hint="eastAsia" w:ascii="宋体" w:hAnsi="宋体"/>
          <w:b/>
          <w:color w:val="000000" w:themeColor="text1"/>
          <w:sz w:val="36"/>
          <w:highlight w:val="none"/>
          <w14:textFill>
            <w14:solidFill>
              <w14:schemeClr w14:val="tx1"/>
            </w14:solidFill>
          </w14:textFill>
        </w:rPr>
      </w:pPr>
    </w:p>
    <w:p w14:paraId="729396F0">
      <w:pPr>
        <w:spacing w:line="360" w:lineRule="auto"/>
        <w:rPr>
          <w:rFonts w:hint="eastAsia" w:ascii="宋体" w:hAnsi="宋体"/>
          <w:b/>
          <w:color w:val="000000" w:themeColor="text1"/>
          <w:sz w:val="36"/>
          <w:highlight w:val="none"/>
          <w14:textFill>
            <w14:solidFill>
              <w14:schemeClr w14:val="tx1"/>
            </w14:solidFill>
          </w14:textFill>
        </w:rPr>
      </w:pPr>
    </w:p>
    <w:p w14:paraId="3DC8D405">
      <w:pPr>
        <w:spacing w:line="360" w:lineRule="auto"/>
        <w:rPr>
          <w:rFonts w:hint="eastAsia" w:ascii="宋体" w:hAnsi="宋体"/>
          <w:b/>
          <w:color w:val="000000" w:themeColor="text1"/>
          <w:sz w:val="36"/>
          <w:highlight w:val="none"/>
          <w14:textFill>
            <w14:solidFill>
              <w14:schemeClr w14:val="tx1"/>
            </w14:solidFill>
          </w14:textFill>
        </w:rPr>
      </w:pPr>
    </w:p>
    <w:p w14:paraId="13204AEC">
      <w:pPr>
        <w:spacing w:line="360" w:lineRule="auto"/>
        <w:rPr>
          <w:rFonts w:hint="eastAsia" w:ascii="宋体" w:hAnsi="宋体"/>
          <w:b/>
          <w:color w:val="000000" w:themeColor="text1"/>
          <w:sz w:val="36"/>
          <w:highlight w:val="none"/>
          <w14:textFill>
            <w14:solidFill>
              <w14:schemeClr w14:val="tx1"/>
            </w14:solidFill>
          </w14:textFill>
        </w:rPr>
      </w:pPr>
    </w:p>
    <w:p w14:paraId="54401007">
      <w:pPr>
        <w:spacing w:line="360" w:lineRule="auto"/>
        <w:rPr>
          <w:rFonts w:hint="eastAsia" w:ascii="宋体" w:hAnsi="宋体"/>
          <w:b/>
          <w:color w:val="000000" w:themeColor="text1"/>
          <w:sz w:val="36"/>
          <w:highlight w:val="none"/>
          <w14:textFill>
            <w14:solidFill>
              <w14:schemeClr w14:val="tx1"/>
            </w14:solidFill>
          </w14:textFill>
        </w:rPr>
      </w:pPr>
    </w:p>
    <w:p w14:paraId="15F26F56">
      <w:pPr>
        <w:spacing w:line="360" w:lineRule="auto"/>
        <w:rPr>
          <w:rFonts w:hint="eastAsia" w:ascii="宋体" w:hAnsi="宋体"/>
          <w:b/>
          <w:color w:val="000000" w:themeColor="text1"/>
          <w:sz w:val="36"/>
          <w:highlight w:val="none"/>
          <w14:textFill>
            <w14:solidFill>
              <w14:schemeClr w14:val="tx1"/>
            </w14:solidFill>
          </w14:textFill>
        </w:rPr>
      </w:pPr>
    </w:p>
    <w:p w14:paraId="3B18D139">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34255B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6EB3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47BB4B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2453A7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724C0B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075E6B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559EDD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36D3BDD1">
      <w:pPr>
        <w:pStyle w:val="23"/>
        <w:jc w:val="left"/>
        <w:rPr>
          <w:rFonts w:hint="eastAsia"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服务人员配备表</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服务人员履历表</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服务承诺质量承诺书</w:t>
      </w:r>
    </w:p>
    <w:p w14:paraId="5B3F165D">
      <w:pPr>
        <w:pStyle w:val="23"/>
        <w:rPr>
          <w:rFonts w:hint="eastAsia"/>
          <w:color w:val="000000" w:themeColor="text1"/>
          <w:highlight w:val="none"/>
          <w14:textFill>
            <w14:solidFill>
              <w14:schemeClr w14:val="tx1"/>
            </w14:solidFill>
          </w14:textFill>
        </w:rPr>
      </w:pPr>
    </w:p>
    <w:p w14:paraId="3B9305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的资格证明文件</w:t>
      </w:r>
    </w:p>
    <w:p w14:paraId="60159E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406A0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466CD6DE">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22DD9B5C">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282DBA62">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40E17A6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E6D277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22CAE6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2DF28A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3D05111">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6B9CA4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D1D449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93525C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01AD78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7FF8A35">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C1ACE30">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A7B3232">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6A570D4">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6753E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93C7E0C">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607C35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F71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6DE6A46E">
      <w:pPr>
        <w:pStyle w:val="7"/>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BB663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795D1DA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704C3C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59EBFBD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780A25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52B8BFF5">
      <w:pPr>
        <w:pStyle w:val="23"/>
        <w:spacing w:line="360" w:lineRule="auto"/>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服务人员配备表、服务人员履历表、服务承诺质量承诺书</w:t>
      </w:r>
    </w:p>
    <w:p w14:paraId="02F893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资格证明文件</w:t>
      </w:r>
    </w:p>
    <w:p w14:paraId="43791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C400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2A573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77988195">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074FED5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已详细审查全部采购文件，包括修改文件（如有的话）以及全部参考资料和有关附件，将自行承担因对全部采购文件理解不正确或误解而产生的相应后果。</w:t>
      </w:r>
    </w:p>
    <w:p w14:paraId="1F7F2451">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5AE9027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将按采购文件的规定履行合同责任和义务。</w:t>
      </w:r>
    </w:p>
    <w:p w14:paraId="4F57E2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报价有效期：在采购文件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须知前附表所规定的期限内保持有效。</w:t>
      </w:r>
    </w:p>
    <w:p w14:paraId="5C7125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须知第12条所述情况，则同意采购代理机构不予退还磋商保证金。</w:t>
      </w:r>
    </w:p>
    <w:p w14:paraId="7AF44E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同意按照采购单位要求提供与其磋商响应有关的一切数据或资料，完全理解贵方不一定要接受最低的报价或收到的任何磋商响应。</w:t>
      </w:r>
    </w:p>
    <w:p w14:paraId="09BFD9BD">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24288E6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D26E0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D844D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810297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493D5E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043ABFAD">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6ABAB89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0C18F12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009064C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B04320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D0F1C4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856E6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9AC1F9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8A56EA9">
      <w:pPr>
        <w:pStyle w:val="71"/>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365406DE">
      <w:pPr>
        <w:pStyle w:val="71"/>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5307E8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               采购项目编号∶                       货币单位：</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32E4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vAlign w:val="center"/>
          </w:tcPr>
          <w:p w14:paraId="0B8CC7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vAlign w:val="center"/>
          </w:tcPr>
          <w:p w14:paraId="0CC03B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7ED623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vAlign w:val="center"/>
          </w:tcPr>
          <w:p w14:paraId="5BDA86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vAlign w:val="center"/>
          </w:tcPr>
          <w:p w14:paraId="5F1332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vAlign w:val="center"/>
          </w:tcPr>
          <w:p w14:paraId="44FA38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vAlign w:val="center"/>
          </w:tcPr>
          <w:p w14:paraId="56E6C2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3BF6CD5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D248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588DDC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7EBBE9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F70F3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12C9DC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0D9EDE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6D4ABC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60FC8D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0CBE9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30D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36D6BF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6D0E41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83E7F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06C5C4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5EBB7B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3F75D8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44751B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4E944F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5C1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27DE4E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tcPr>
          <w:p w14:paraId="676A67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B31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2ADC46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tcPr>
          <w:p w14:paraId="2B0B25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5B98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4AB435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tcPr>
          <w:p w14:paraId="1B4A45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C57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6E88D0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tcPr>
          <w:p w14:paraId="0F6AEA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2F356C3">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正本和磋商保证金凭证复印件一同装在一单独的信封内密封。</w:t>
      </w:r>
    </w:p>
    <w:p w14:paraId="0A8D7B16">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6FB1C194">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应计算出该合同包的合计价。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0FBB02">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EF1E1C3">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3E321E0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28BB9557">
      <w:pPr>
        <w:pStyle w:val="13"/>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970B044">
      <w:pPr>
        <w:pStyle w:val="1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790C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tcPr>
          <w:p w14:paraId="5A1053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tcPr>
          <w:p w14:paraId="06491E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tcPr>
          <w:p w14:paraId="763C971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36C944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DC6A0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48646D1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2972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tcPr>
          <w:p w14:paraId="381582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tcPr>
          <w:p w14:paraId="5E77B2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1FC577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2DA1499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FA03B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552E79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25B5E2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843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4A8414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tcPr>
          <w:p w14:paraId="141564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tcPr>
          <w:p w14:paraId="3EF36F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6F8AC2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AD03D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03EB691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3A5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E9EE6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tcPr>
          <w:p w14:paraId="102CC0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tcPr>
          <w:p w14:paraId="527B72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4C9440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50B7010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1CA058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459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77D69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tcPr>
          <w:p w14:paraId="5DF2E96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tcPr>
          <w:p w14:paraId="07B9F5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E17203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27E28C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12EA03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72A8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220BD8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tcPr>
          <w:p w14:paraId="7B23410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tcPr>
          <w:p w14:paraId="6D1677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468D9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6CA2D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7CF4E65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639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011ECA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tcPr>
          <w:p w14:paraId="13FB8D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tcPr>
          <w:p w14:paraId="7DC11F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307982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1E954A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31CB50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A24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0260BF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tcPr>
          <w:p w14:paraId="5BF034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tcPr>
          <w:p w14:paraId="1B1DBA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6CEDCA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28B7B0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52D65C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114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4BE98F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vAlign w:val="center"/>
          </w:tcPr>
          <w:p w14:paraId="0D640D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vAlign w:val="center"/>
          </w:tcPr>
          <w:p w14:paraId="420A61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36D2A37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336CB2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6B2A529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B3E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045459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vAlign w:val="center"/>
          </w:tcPr>
          <w:p w14:paraId="6A0B08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vAlign w:val="center"/>
          </w:tcPr>
          <w:p w14:paraId="5AA0FCD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69B640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0B3453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2E00BD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9669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364AA6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vAlign w:val="center"/>
          </w:tcPr>
          <w:p w14:paraId="4A68AD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vAlign w:val="center"/>
          </w:tcPr>
          <w:p w14:paraId="2D0DCF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59BB89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7A10E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2AA0801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64892248">
      <w:pPr>
        <w:spacing w:line="360" w:lineRule="auto"/>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val="en-US" w:eastAsia="zh-CN"/>
          <w14:textFill>
            <w14:solidFill>
              <w14:schemeClr w14:val="tx1"/>
            </w14:solidFill>
          </w14:textFill>
        </w:rPr>
        <w:t>供应商可以按照上述格式进行分项报价，也可以自行拟定格式进行分项报价。</w:t>
      </w:r>
    </w:p>
    <w:p w14:paraId="12366854">
      <w:pPr>
        <w:pStyle w:val="71"/>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3095F5C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22D8B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2B2167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6CCC97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7C04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                                    采购项目编号∶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40D6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vAlign w:val="center"/>
          </w:tcPr>
          <w:p w14:paraId="368FA5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vAlign w:val="center"/>
          </w:tcPr>
          <w:p w14:paraId="2C2E00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vAlign w:val="center"/>
          </w:tcPr>
          <w:p w14:paraId="6B14EC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vAlign w:val="center"/>
          </w:tcPr>
          <w:p w14:paraId="28834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vAlign w:val="center"/>
          </w:tcPr>
          <w:p w14:paraId="01CBFC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vAlign w:val="center"/>
          </w:tcPr>
          <w:p w14:paraId="1668B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vAlign w:val="center"/>
          </w:tcPr>
          <w:p w14:paraId="5A0E0F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tcPr>
          <w:p w14:paraId="74D9A7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61E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tcPr>
          <w:p w14:paraId="40DBE4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3A7868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730619">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09613AD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295760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213BDC77">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4FAE586C">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3E6CFDB6">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5AB17DC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DA038A9">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892FF6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6096D6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08DC8E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63553D0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3B8D398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71807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vAlign w:val="center"/>
          </w:tcPr>
          <w:p w14:paraId="44E059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vAlign w:val="center"/>
          </w:tcPr>
          <w:p w14:paraId="14D6EA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3121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vAlign w:val="center"/>
          </w:tcPr>
          <w:p w14:paraId="07AD1D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vAlign w:val="center"/>
          </w:tcPr>
          <w:p w14:paraId="0D1BBF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vAlign w:val="center"/>
          </w:tcPr>
          <w:p w14:paraId="75C2BC2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vAlign w:val="center"/>
          </w:tcPr>
          <w:p w14:paraId="4F4F72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vAlign w:val="center"/>
          </w:tcPr>
          <w:p w14:paraId="328BC5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vAlign w:val="center"/>
          </w:tcPr>
          <w:p w14:paraId="46699A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vAlign w:val="center"/>
          </w:tcPr>
          <w:p w14:paraId="2F55C7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41B5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778BD3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D914F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01B91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4F1F55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0AC793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71EC74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6CD1FE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08B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7074C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0B57B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21425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404645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60D9CE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4BA4F8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5A6C99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A81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5C07C6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CFF6E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F89A9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6F43FC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6CE1CC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4A4859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2803C1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8A34C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根据采购要求逐条说明磋商响应情况。</w:t>
      </w:r>
    </w:p>
    <w:p w14:paraId="1D6D1EB3">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必须自行承担责任</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597AEC4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F1832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B727B49">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6975304F">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4CF50E7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0A100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vAlign w:val="center"/>
          </w:tcPr>
          <w:p w14:paraId="76659462">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vAlign w:val="center"/>
          </w:tcPr>
          <w:p w14:paraId="238A7D3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vAlign w:val="center"/>
          </w:tcPr>
          <w:p w14:paraId="3F03004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1579FC1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AF0AE6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0274236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vAlign w:val="center"/>
          </w:tcPr>
          <w:p w14:paraId="2E0A229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vAlign w:val="center"/>
          </w:tcPr>
          <w:p w14:paraId="6664C06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6C2810B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9BC1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vAlign w:val="center"/>
          </w:tcPr>
          <w:p w14:paraId="3CF0B58A">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vAlign w:val="center"/>
          </w:tcPr>
          <w:p w14:paraId="1D457562">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vAlign w:val="center"/>
          </w:tcPr>
          <w:p w14:paraId="45874D3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5FCEA91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46477D34">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2C2F386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vAlign w:val="center"/>
          </w:tcPr>
          <w:p w14:paraId="453A8F4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3062CA4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vAlign w:val="center"/>
          </w:tcPr>
          <w:p w14:paraId="78E98C7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2C2CC5E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vAlign w:val="center"/>
          </w:tcPr>
          <w:p w14:paraId="34CE163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vAlign w:val="center"/>
          </w:tcPr>
          <w:p w14:paraId="0EA51C6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7B2ED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412948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21654A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10BD2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58F11E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765CB3D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11728A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34B63B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0C9E453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01F2C6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150FCC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9923C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47D0F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712349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46712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46A635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7A2835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3A634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063CF98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4E08842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6C7C28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171110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031E2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tcPr>
          <w:p w14:paraId="291C204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tcPr>
          <w:p w14:paraId="19EBD6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0D4E10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188DD72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63135F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5D7DA3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5FE2B5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2D0819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tcPr>
          <w:p w14:paraId="7351CAB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tcPr>
          <w:p w14:paraId="127D1F2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0457F076">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B9804F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5BC583E">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2547851C">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7C64F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vAlign w:val="center"/>
          </w:tcPr>
          <w:p w14:paraId="4A69E86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vAlign w:val="center"/>
          </w:tcPr>
          <w:p w14:paraId="7929EE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vAlign w:val="center"/>
          </w:tcPr>
          <w:p w14:paraId="49D492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vAlign w:val="center"/>
          </w:tcPr>
          <w:p w14:paraId="04DBC2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vAlign w:val="center"/>
          </w:tcPr>
          <w:p w14:paraId="405E10A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vAlign w:val="center"/>
          </w:tcPr>
          <w:p w14:paraId="5EEC0A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09782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EA6AC1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4EE9D4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7497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23748A4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762421D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4B237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37ECD4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46DCD6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012F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A0C2E2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vAlign w:val="center"/>
          </w:tcPr>
          <w:p w14:paraId="5F8B6C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437D2C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vAlign w:val="center"/>
          </w:tcPr>
          <w:p w14:paraId="7149E62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vAlign w:val="center"/>
          </w:tcPr>
          <w:p w14:paraId="30DF3B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vAlign w:val="center"/>
          </w:tcPr>
          <w:p w14:paraId="3F88F0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4F9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vAlign w:val="center"/>
          </w:tcPr>
          <w:p w14:paraId="5AFD39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vAlign w:val="center"/>
          </w:tcPr>
          <w:p w14:paraId="5B3E1DA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49844B6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vAlign w:val="center"/>
          </w:tcPr>
          <w:p w14:paraId="0ED1DE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vAlign w:val="center"/>
          </w:tcPr>
          <w:p w14:paraId="1AE119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vAlign w:val="center"/>
          </w:tcPr>
          <w:p w14:paraId="3BCAC3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102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vAlign w:val="center"/>
          </w:tcPr>
          <w:p w14:paraId="328856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740D38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8557F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EC770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F4303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F02DE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4F6153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3805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206E1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5EA66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470B4D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A4127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EE7CF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C678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vAlign w:val="center"/>
          </w:tcPr>
          <w:p w14:paraId="41D97D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vAlign w:val="center"/>
          </w:tcPr>
          <w:p w14:paraId="5210DB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D7698A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58EF8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A26B387">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1C59FD4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14:textFill>
            <w14:solidFill>
              <w14:schemeClr w14:val="tx1"/>
            </w14:solidFill>
          </w14:textFill>
        </w:rPr>
        <w:t>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5ABA8C3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B1CF0F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59EAA55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D22D71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B565D5C">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1029D0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vAlign w:val="center"/>
          </w:tcPr>
          <w:p w14:paraId="15ED9C62">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vAlign w:val="center"/>
          </w:tcPr>
          <w:p w14:paraId="5D715A79">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vAlign w:val="center"/>
          </w:tcPr>
          <w:p w14:paraId="79323DF7">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5504A4BE">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vAlign w:val="center"/>
          </w:tcPr>
          <w:p w14:paraId="4545605C">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19BCE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D9A9D60">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71FB4B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tcPr>
          <w:p w14:paraId="3DC449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5CC2B6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1CB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7DA3C86">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5B861A4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tcPr>
          <w:p w14:paraId="2476FF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7C07CA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CE1A8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573D849">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0DABAC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tcPr>
          <w:p w14:paraId="642B9E4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7AC39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9FC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1677F6EB">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60C95E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tcPr>
          <w:p w14:paraId="0BB8DE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CF9A0F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17E3E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27895BF">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vAlign w:val="center"/>
          </w:tcPr>
          <w:p w14:paraId="30A59E18">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tcPr>
          <w:p w14:paraId="4144B5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45037D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B184F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619B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24583C0A">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1AFEAA68">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226FC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10764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A4EB80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DD1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4C18E172">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49FF75C7">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3186E0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463066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71DCC3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0F71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912AD1C">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6CE9AA57">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23BC1D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5D7BE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726BE2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C4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247C8D0B">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6DFEECD6">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6F0838F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BFBE8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11EE828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36FA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tcPr>
          <w:p w14:paraId="73BC6CB1">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5BA01DE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tcPr>
          <w:p w14:paraId="73531B1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76F01D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tcPr>
          <w:p w14:paraId="317917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63B93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7702B358">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DDF1AF">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57FE5B">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4FA2C2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1CF2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9C61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F467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7BAC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E53B08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2D15FA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F695FB8">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44579B0A">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0DF2B42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33DB83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Cs/>
          <w:color w:val="000000" w:themeColor="text1"/>
          <w:sz w:val="32"/>
          <w:szCs w:val="32"/>
          <w:highlight w:val="none"/>
          <w14:textFill>
            <w14:solidFill>
              <w14:schemeClr w14:val="tx1"/>
            </w14:solidFill>
          </w14:textFill>
        </w:rPr>
        <w:t>的资格证明文件</w:t>
      </w:r>
    </w:p>
    <w:p w14:paraId="7872EAC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62EAD4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178B3F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561E86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84019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中所有提交的文件和材料是真实的、准确的。</w:t>
      </w:r>
    </w:p>
    <w:p w14:paraId="1289F6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一同递交。</w:t>
      </w:r>
    </w:p>
    <w:p w14:paraId="69DE0E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D3848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D5F98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2C32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B21E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8644912">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0BD50E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D8F5BA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2FF796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0A0317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4ABA74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14:textFill>
            <w14:solidFill>
              <w14:schemeClr w14:val="tx1"/>
            </w14:solidFill>
          </w14:textFill>
        </w:rPr>
        <w:t>的资格声明</w:t>
      </w:r>
    </w:p>
    <w:p w14:paraId="4459E8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4A5D6A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概况：                                   </w:t>
      </w:r>
    </w:p>
    <w:p w14:paraId="2324BF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687741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4F39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66520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2A05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20D5CAA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5BF6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0CD2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54A47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A1347A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16D05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03DC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66F2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B59E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12C495A9">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B3D66A0">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57686C">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26407B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资格且我方的磋商保证金将不予退还。</w:t>
      </w:r>
    </w:p>
    <w:p w14:paraId="47E9AD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0E3A86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5670A1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518A84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0E1602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5CD09A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F7E20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7582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35623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tcPr>
          <w:p w14:paraId="4890A7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tcPr>
          <w:p w14:paraId="35FF78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tcPr>
          <w:p w14:paraId="25EB92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tcPr>
          <w:p w14:paraId="23A80F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1DDDE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1C810F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5A0C6F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2E4541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5A5B8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34365A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647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C158C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54E20C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600115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0881E0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11C63D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F86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D8A0B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0310C8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4F2447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1C32DF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7D3CE0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A3F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1A184C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62C5C8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59DF57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342A99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6986CF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6E73C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088F3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591F95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675F0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15ED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4623FC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66786C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1F4E3D2">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51A3AA5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42FB0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367473AE">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69C230">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6C9F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C6C1A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31325DF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8E119F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22F97D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71E1FA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7A7A0A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4EC9B0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091C9A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E40C52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78CB97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69016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6463CC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4A32B1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3D5DD8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F55004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BCC34E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6C58A8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5FA4DE1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7AD7E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5CAA29C9">
      <w:pPr>
        <w:pStyle w:val="13"/>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；（2）签署并重新提交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及报价；（3）退出磋商；（4）签订合同和处理有关事宜。</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代表在采购过程中所签署的一切文件和处理与之有关的一切事务，本公司均予以认可并对此承担责任。</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3BC5824D">
      <w:pPr>
        <w:pStyle w:val="13"/>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114F62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5BCA8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CA8262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29F2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9EFA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1C450B10">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23B03FF7">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411EB0">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37FBDDD">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A62A33E">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828F9E">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72FEE09">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4B704E1">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C1A29BC">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5406B18">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AFCF12A">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4F0CAAF">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7FC1E9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E194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ABE5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3E05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1FA90C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5DE762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B5ACB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37BB6E">
      <w:pPr>
        <w:pStyle w:val="7"/>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36F527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9197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7F6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8952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2390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459DB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B240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7DF462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9F01C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8225E7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B40DBC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530143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362AA4C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3DF85A6">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83E06B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D44188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96C3E5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D939E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3AEFD30B">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F35B4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675C2D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CCEA9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070D52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DFE3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D09F3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BB2F6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60BF5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3B09E2">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B9863E">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02626D5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61C4DF">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7D002DD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7BCFC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DB0F7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F5E677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E1294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295AB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BC855B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3D17E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7D7AF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B2A2F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7F842D8F">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13BE49D5">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0637AB2B">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14B575A6">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FB40AE">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6CB3F6B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4"/>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19D2E9D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18B24C4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6C4901BC">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名称（盖章）：</w:t>
      </w:r>
    </w:p>
    <w:p w14:paraId="6C554375">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2CD9385C">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1DF16FE9">
      <w:pPr>
        <w:spacing w:line="360" w:lineRule="auto"/>
        <w:ind w:left="69" w:firstLine="460" w:firstLineChars="192"/>
        <w:rPr>
          <w:rStyle w:val="30"/>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5CA1C8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6BAF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1A65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16AE6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5507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0397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E057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0E14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77C4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39EE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5CD9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6AA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3856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D4FB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3BA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BACD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2E7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D7C4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F299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0EB4F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21BC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1068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9B787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D31F9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26ADB3">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74149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51C53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tc>
        <w:tc>
          <w:tcPr>
            <w:tcW w:w="4742" w:type="dxa"/>
          </w:tcPr>
          <w:p w14:paraId="7370EEE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989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729D92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tcPr>
          <w:p w14:paraId="13C2D78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4E6E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1BBFB8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tcPr>
          <w:p w14:paraId="5D9F5A0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75DA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59FA98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tcPr>
          <w:p w14:paraId="1EBBB53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251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4AC5B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tcPr>
          <w:p w14:paraId="7F3677F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07F1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00EF0B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tcPr>
          <w:p w14:paraId="6E3FDE7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C43E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4D931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tcPr>
          <w:p w14:paraId="0860066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B404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62C43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tcPr>
          <w:p w14:paraId="029AA73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859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F0709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tcPr>
          <w:p w14:paraId="1AD5B9A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0B43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3A6A7B2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tcPr>
          <w:p w14:paraId="35A6AE8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E05FB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自行负责。</w:t>
      </w:r>
    </w:p>
    <w:p w14:paraId="18AE39C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636B5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名称，加盖公章）</w:t>
      </w:r>
    </w:p>
    <w:p w14:paraId="18E46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6B8FD2C">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13ECFE7F">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74C23C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3ED1396">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0901FAD">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D7F3FAD">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1F131B3B">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57C7D4C0">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64181001">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227AAFF2">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20544117">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DED6498">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39292807">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0C4EC167">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12EC97B1">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11FB8E9E">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7C0EF60B">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2783976A">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A1AC90">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BF01E8">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F319532">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21CD0AB">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1AEBA15">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143F8E1">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60C1865">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02C3F4A">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9D13B20">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BFC1D67">
      <w:pPr>
        <w:pStyle w:val="22"/>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7"/>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E1DB19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94A001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vAlign w:val="center"/>
          </w:tcPr>
          <w:p w14:paraId="13D94E6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vAlign w:val="center"/>
          </w:tcPr>
          <w:p w14:paraId="5AB958E5">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vAlign w:val="center"/>
          </w:tcPr>
          <w:p w14:paraId="460A695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vAlign w:val="center"/>
          </w:tcPr>
          <w:p w14:paraId="500BCF9E">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3B2FF60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1BE5F1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tcPr>
          <w:p w14:paraId="330FB5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F780C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2D2B9E7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F20A92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604A5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6A390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tcPr>
          <w:p w14:paraId="149940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7273403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2B849D0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BD5062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00998C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43EC05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tcPr>
          <w:p w14:paraId="599353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6A48C6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6F4155B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72FB68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F2DE75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837916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tcPr>
          <w:p w14:paraId="199F4FB5">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46743D9">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70E9EDB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ADBD7EB">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3D008C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1B00FA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tcPr>
          <w:p w14:paraId="504139A1">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FEFC4FD">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4B779BB2">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1C18C7A">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644FD054">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8B2AD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C94005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5C0AC1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956A73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C07EA9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CF9C3B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28D472">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F83DF0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9A6DDF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B77C2B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576FA6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6C12AB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498BB1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7EBED3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1D1873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4F4BF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3E86AA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163922A">
      <w:pPr>
        <w:pStyle w:val="76"/>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733F76D5">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0F0145E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09A6C15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05C78EB4">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1070F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76A24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tcPr>
          <w:p w14:paraId="024BDBF0">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0D563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16B1F24">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tcPr>
          <w:p w14:paraId="2822E05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tcPr>
          <w:p w14:paraId="0AF9B09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tcPr>
          <w:p w14:paraId="12EFD24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tcPr>
          <w:p w14:paraId="50AAE551">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tcPr>
          <w:p w14:paraId="79E5DFC3">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tcPr>
          <w:p w14:paraId="01E8685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1B34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565AC58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1F9DD2A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tcPr>
          <w:p w14:paraId="5D2AC7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65944A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3FEE7E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426250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150240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B90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39A83E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15D0392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29DFCC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7FAED8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57C3E8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01C1AE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7EFE26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28D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E4D4EE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tcPr>
          <w:p w14:paraId="14C16350">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5F1B9BD">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735CB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2646E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tcPr>
          <w:p w14:paraId="18F7C860">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5A714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F13987B">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tcPr>
          <w:p w14:paraId="6F29B5B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tcPr>
          <w:p w14:paraId="796A89E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tcPr>
          <w:p w14:paraId="05356A0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tcPr>
          <w:p w14:paraId="6A55942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tcPr>
          <w:p w14:paraId="0EA4352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tcPr>
          <w:p w14:paraId="048E2834">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75F99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2165B0B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047FAB18">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tcPr>
          <w:p w14:paraId="0D7B51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4A6164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653E1F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2B53D5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370BDE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6D72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3DD2AA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2882AA43">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783C77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017078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017DDB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7A780E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41369C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702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B9A80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tcPr>
          <w:p w14:paraId="5AFC2EB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F53FEE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3EE5C09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001E3AE">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6F48460B">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6B95C109">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6863DCC4">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39D9332C">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71160F5E">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6D40EB32">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1797914B">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E414C08">
      <w:pPr>
        <w:pStyle w:val="76"/>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6FED05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318A7391">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32D623E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44747B7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136A4866">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8D04D8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E2B514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AAB08C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31CBFC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297462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2C1CAC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32E47065">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C157DF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CE090D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137663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025BD3F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2BC344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page"/>
      </w:r>
    </w:p>
    <w:p w14:paraId="72859D2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77ABA80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485EF6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DC0797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86FF77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15DB9EC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AB3BF7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09ECA5C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5E20676">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76EE49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0717008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35DAB34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A16407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p>
    <w:p w14:paraId="5E8B194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787AD5F">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0145FF54">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5899E9B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3E8540F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为监狱企业的，根据其提供的由省级以上监狱管理局、戒毒管理局（含新疆生产建设兵团）出具的属于监狱企业的证明文件进行认定，监狱企业视同小型、微型企业。</w:t>
      </w:r>
    </w:p>
    <w:p w14:paraId="5621870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为残疾人福利性单位的，根据其提供的《残疾人福利性单位声明函》（格式附后）进行认定，残疾人福利性单位视同小型、微型企业。残疾人福利性单位属于小型、微型企业的，不重复享受政策。</w:t>
      </w:r>
    </w:p>
    <w:p w14:paraId="5E386D2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77D599D5">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5F60D7F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参加贵单位的（填写“项目名称”）项目采购活动：</w:t>
      </w:r>
    </w:p>
    <w:p w14:paraId="2FF3FB0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w:t>
      </w:r>
    </w:p>
    <w:p w14:paraId="6AEE296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承建的（填写“所投采购包、品目号”）工程</w:t>
      </w:r>
    </w:p>
    <w:p w14:paraId="74B19A7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承接的（填写“所投采购包、品目号”）服务；</w:t>
      </w:r>
    </w:p>
    <w:p w14:paraId="1893D74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对上述声明的真实性负责。如有虚假，将依法承担相应责任。</w:t>
      </w:r>
    </w:p>
    <w:p w14:paraId="173F36B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42137F1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按照实际情况编制填写本声明函，并在相应的（）中打“√”。</w:t>
      </w:r>
    </w:p>
    <w:p w14:paraId="57845BC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35799679">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7C491E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453434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5EF906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5FF79AB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41FDA390">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中提供省级以上监狱管理局、戒毒管理局（含新疆生产建设兵团）出具的属于监狱企业的证明文件。</w:t>
      </w:r>
    </w:p>
    <w:p w14:paraId="0054136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274F462">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73741186">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2DD5F3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51FE645A">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F98FB2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690174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3A2A13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DB5BD6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E1F822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35B7AB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202414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AE9796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3F8E6D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2C734B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E5A24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91C72F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F79AC6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F445F9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806382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B56F4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275B71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9D8651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39133B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F1B486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229D4014">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51A385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1F1C49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0F2E7A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cs="宋体"/>
          <w:color w:val="000000" w:themeColor="text1"/>
          <w:sz w:val="24"/>
          <w:szCs w:val="24"/>
          <w:highlight w:val="none"/>
          <w:lang w:val="en-US"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71E32456">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7DA2D8E7">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17765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640EA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1F82A0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6A7D69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6C0A8C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3E6527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3EC77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BAA65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0000014">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6D23D9EC">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DC45B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3CF471D">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509A23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EF3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8C3A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7E33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1A8BD9">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6D056964">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25334B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695754F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4182B6C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66FE543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212DCF3C">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726EC18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06BA14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56E506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4DB7BF2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6755349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0C99561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0FD3646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68700F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23D701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3E4BD31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7C90D3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4A14AC42">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4FE216C">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1D9F16BB">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768168B3">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F347F8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04F0199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C10CC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的资格及资信文件，按资格审查不通过处理。</w:t>
      </w:r>
    </w:p>
    <w:p w14:paraId="33DACD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B26E9">
    <w:pPr>
      <w:pStyle w:val="17"/>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D8599">
    <w:pPr>
      <w:pStyle w:val="17"/>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72</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02FB3">
    <w:pPr>
      <w:pStyle w:val="17"/>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1802A36">
    <w:pPr>
      <w:pStyle w:val="1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7E34D">
    <w:pPr>
      <w:pStyle w:val="17"/>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9FB50">
    <w:pPr>
      <w:pStyle w:val="17"/>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FF6F7">
    <w:pPr>
      <w:pStyle w:val="17"/>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85C8A54">
    <w:pPr>
      <w:pStyle w:val="17"/>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7242E">
    <w:pPr>
      <w:pStyle w:val="17"/>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0B8E0958">
    <w:pPr>
      <w:pStyle w:val="17"/>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E9817">
    <w:pPr>
      <w:pStyle w:val="17"/>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413DC93">
    <w:pPr>
      <w:pStyle w:val="17"/>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6D1AE">
    <w:pPr>
      <w:pStyle w:val="17"/>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69</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0D32C">
    <w:pPr>
      <w:pStyle w:val="1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16632">
    <w:pPr>
      <w:pStyle w:val="1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231D3">
    <w:pPr>
      <w:pStyle w:val="17"/>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70</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64A8">
    <w:pPr>
      <w:pStyle w:val="18"/>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3AAE7">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505F3">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06426">
    <w:pPr>
      <w:pStyle w:val="1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03C3F">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EDA8A8"/>
    <w:multiLevelType w:val="singleLevel"/>
    <w:tmpl w:val="C0EDA8A8"/>
    <w:lvl w:ilvl="0" w:tentative="0">
      <w:start w:val="3"/>
      <w:numFmt w:val="chineseCounting"/>
      <w:suff w:val="space"/>
      <w:lvlText w:val="第%1章"/>
      <w:lvlJc w:val="left"/>
      <w:rPr>
        <w:rFonts w:hint="eastAsia"/>
      </w:rPr>
    </w:lvl>
  </w:abstractNum>
  <w:abstractNum w:abstractNumId="1">
    <w:nsid w:val="00000000"/>
    <w:multiLevelType w:val="multilevel"/>
    <w:tmpl w:val="0000000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D6656"/>
    <w:rsid w:val="00C50B26"/>
    <w:rsid w:val="010333FC"/>
    <w:rsid w:val="01311D17"/>
    <w:rsid w:val="016519C1"/>
    <w:rsid w:val="020411DA"/>
    <w:rsid w:val="02867E41"/>
    <w:rsid w:val="02AA0674"/>
    <w:rsid w:val="03076A5B"/>
    <w:rsid w:val="034C5A9C"/>
    <w:rsid w:val="04581CB1"/>
    <w:rsid w:val="057E74F5"/>
    <w:rsid w:val="05E337FC"/>
    <w:rsid w:val="067A4160"/>
    <w:rsid w:val="068055AE"/>
    <w:rsid w:val="06BA27AF"/>
    <w:rsid w:val="07E86EA8"/>
    <w:rsid w:val="083B347B"/>
    <w:rsid w:val="0A2A37A7"/>
    <w:rsid w:val="0A3679AB"/>
    <w:rsid w:val="0AAA2B3A"/>
    <w:rsid w:val="0B057D70"/>
    <w:rsid w:val="0B46328B"/>
    <w:rsid w:val="0C300E1D"/>
    <w:rsid w:val="0CB832EC"/>
    <w:rsid w:val="0CCC5B09"/>
    <w:rsid w:val="0CD143AE"/>
    <w:rsid w:val="0CDF2F6F"/>
    <w:rsid w:val="0D4032E2"/>
    <w:rsid w:val="0D7A67F4"/>
    <w:rsid w:val="0DF90060"/>
    <w:rsid w:val="0EB035B9"/>
    <w:rsid w:val="0F317386"/>
    <w:rsid w:val="1045758D"/>
    <w:rsid w:val="11203B56"/>
    <w:rsid w:val="12160FDF"/>
    <w:rsid w:val="12A83E03"/>
    <w:rsid w:val="13223BB5"/>
    <w:rsid w:val="13D749A0"/>
    <w:rsid w:val="13E62E35"/>
    <w:rsid w:val="148E4EF7"/>
    <w:rsid w:val="156A53A0"/>
    <w:rsid w:val="15BE749A"/>
    <w:rsid w:val="15C03212"/>
    <w:rsid w:val="15DB629E"/>
    <w:rsid w:val="174D6D27"/>
    <w:rsid w:val="17F453F5"/>
    <w:rsid w:val="1838357A"/>
    <w:rsid w:val="18624A54"/>
    <w:rsid w:val="194D300E"/>
    <w:rsid w:val="1A2975D8"/>
    <w:rsid w:val="1A444411"/>
    <w:rsid w:val="1A4B1C44"/>
    <w:rsid w:val="1AD559B1"/>
    <w:rsid w:val="1B446693"/>
    <w:rsid w:val="1BB235FD"/>
    <w:rsid w:val="1C146065"/>
    <w:rsid w:val="1C746B04"/>
    <w:rsid w:val="1CCC06EE"/>
    <w:rsid w:val="1D62290C"/>
    <w:rsid w:val="1DF763AA"/>
    <w:rsid w:val="1E171E3D"/>
    <w:rsid w:val="1E340C78"/>
    <w:rsid w:val="1F0C029E"/>
    <w:rsid w:val="1FB65DB1"/>
    <w:rsid w:val="1FDC333E"/>
    <w:rsid w:val="20036B1D"/>
    <w:rsid w:val="20597C69"/>
    <w:rsid w:val="20713A86"/>
    <w:rsid w:val="211A411E"/>
    <w:rsid w:val="21DE339D"/>
    <w:rsid w:val="22261E7F"/>
    <w:rsid w:val="222F3BF9"/>
    <w:rsid w:val="23211167"/>
    <w:rsid w:val="23906919"/>
    <w:rsid w:val="23B02B18"/>
    <w:rsid w:val="24661428"/>
    <w:rsid w:val="25D36F91"/>
    <w:rsid w:val="25E44CFA"/>
    <w:rsid w:val="25EE7927"/>
    <w:rsid w:val="2613702C"/>
    <w:rsid w:val="26325A66"/>
    <w:rsid w:val="271B0BF0"/>
    <w:rsid w:val="278C5D0A"/>
    <w:rsid w:val="27AA5AD0"/>
    <w:rsid w:val="28920A3E"/>
    <w:rsid w:val="28D65624"/>
    <w:rsid w:val="29003DF6"/>
    <w:rsid w:val="290D6316"/>
    <w:rsid w:val="298E7457"/>
    <w:rsid w:val="29A547A1"/>
    <w:rsid w:val="2AD57308"/>
    <w:rsid w:val="2B4C581C"/>
    <w:rsid w:val="2B9351F9"/>
    <w:rsid w:val="2C7514AC"/>
    <w:rsid w:val="2CEB696E"/>
    <w:rsid w:val="2DD4291F"/>
    <w:rsid w:val="2E1E4B22"/>
    <w:rsid w:val="2E393B11"/>
    <w:rsid w:val="2E743721"/>
    <w:rsid w:val="30A00269"/>
    <w:rsid w:val="311741DE"/>
    <w:rsid w:val="311F752F"/>
    <w:rsid w:val="31232B7B"/>
    <w:rsid w:val="317F46AB"/>
    <w:rsid w:val="31B00187"/>
    <w:rsid w:val="32364B30"/>
    <w:rsid w:val="32894C60"/>
    <w:rsid w:val="32D54349"/>
    <w:rsid w:val="33134E71"/>
    <w:rsid w:val="3350577D"/>
    <w:rsid w:val="33615BDC"/>
    <w:rsid w:val="34692F9B"/>
    <w:rsid w:val="34D0301A"/>
    <w:rsid w:val="34D36666"/>
    <w:rsid w:val="34E56399"/>
    <w:rsid w:val="353335A8"/>
    <w:rsid w:val="35935DF5"/>
    <w:rsid w:val="359E6C74"/>
    <w:rsid w:val="36286942"/>
    <w:rsid w:val="3747333B"/>
    <w:rsid w:val="37757EA8"/>
    <w:rsid w:val="38163439"/>
    <w:rsid w:val="38A345A1"/>
    <w:rsid w:val="397D1296"/>
    <w:rsid w:val="398C7429"/>
    <w:rsid w:val="3A145757"/>
    <w:rsid w:val="3A15327D"/>
    <w:rsid w:val="3AA54601"/>
    <w:rsid w:val="3AB02FA5"/>
    <w:rsid w:val="3AD4227F"/>
    <w:rsid w:val="3B0F33C0"/>
    <w:rsid w:val="3B381919"/>
    <w:rsid w:val="3B4A51A8"/>
    <w:rsid w:val="3C313564"/>
    <w:rsid w:val="3C926667"/>
    <w:rsid w:val="3CA3103C"/>
    <w:rsid w:val="3CDE029E"/>
    <w:rsid w:val="3D9D3CB5"/>
    <w:rsid w:val="3E38578C"/>
    <w:rsid w:val="3F604F9A"/>
    <w:rsid w:val="3FA70E1B"/>
    <w:rsid w:val="40AB493B"/>
    <w:rsid w:val="40AE7F87"/>
    <w:rsid w:val="417F715C"/>
    <w:rsid w:val="422C5607"/>
    <w:rsid w:val="42916059"/>
    <w:rsid w:val="430D71E7"/>
    <w:rsid w:val="43B6162D"/>
    <w:rsid w:val="470B1C8F"/>
    <w:rsid w:val="477A0BC3"/>
    <w:rsid w:val="49804BB7"/>
    <w:rsid w:val="49D94296"/>
    <w:rsid w:val="49E30CA1"/>
    <w:rsid w:val="4A007AA5"/>
    <w:rsid w:val="4A080708"/>
    <w:rsid w:val="4A0D5D1E"/>
    <w:rsid w:val="4AD056CA"/>
    <w:rsid w:val="4AF64A04"/>
    <w:rsid w:val="4B977F95"/>
    <w:rsid w:val="4C111031"/>
    <w:rsid w:val="4C115F9A"/>
    <w:rsid w:val="4C6A7458"/>
    <w:rsid w:val="4CB130F5"/>
    <w:rsid w:val="4D2E7F63"/>
    <w:rsid w:val="4D50664E"/>
    <w:rsid w:val="4D9E1AAF"/>
    <w:rsid w:val="4DE84AD8"/>
    <w:rsid w:val="4E04568A"/>
    <w:rsid w:val="4E1C29D4"/>
    <w:rsid w:val="4F5D055B"/>
    <w:rsid w:val="4FBC79EA"/>
    <w:rsid w:val="502913D8"/>
    <w:rsid w:val="50600FC3"/>
    <w:rsid w:val="51B64D1E"/>
    <w:rsid w:val="52F757BE"/>
    <w:rsid w:val="52FE08FA"/>
    <w:rsid w:val="53C51418"/>
    <w:rsid w:val="53CE651E"/>
    <w:rsid w:val="54823168"/>
    <w:rsid w:val="5612303A"/>
    <w:rsid w:val="572C372A"/>
    <w:rsid w:val="57831D16"/>
    <w:rsid w:val="584E559C"/>
    <w:rsid w:val="58FE1B0E"/>
    <w:rsid w:val="59A541C5"/>
    <w:rsid w:val="59E711F8"/>
    <w:rsid w:val="5A3612C1"/>
    <w:rsid w:val="5A7616BE"/>
    <w:rsid w:val="5B481061"/>
    <w:rsid w:val="5BAE3877"/>
    <w:rsid w:val="5C3830CF"/>
    <w:rsid w:val="5C645C72"/>
    <w:rsid w:val="5C6A5252"/>
    <w:rsid w:val="5CDF354A"/>
    <w:rsid w:val="5D170F36"/>
    <w:rsid w:val="5DE0757A"/>
    <w:rsid w:val="5E162F9C"/>
    <w:rsid w:val="5E6B14C7"/>
    <w:rsid w:val="5E8819C0"/>
    <w:rsid w:val="5EE906B0"/>
    <w:rsid w:val="5F145B8A"/>
    <w:rsid w:val="5FBE38EB"/>
    <w:rsid w:val="6062071A"/>
    <w:rsid w:val="6115578D"/>
    <w:rsid w:val="6138147B"/>
    <w:rsid w:val="6147444D"/>
    <w:rsid w:val="61655970"/>
    <w:rsid w:val="61903065"/>
    <w:rsid w:val="619F599E"/>
    <w:rsid w:val="62013F63"/>
    <w:rsid w:val="62A416CB"/>
    <w:rsid w:val="62D60F4C"/>
    <w:rsid w:val="63860BC4"/>
    <w:rsid w:val="64D4770D"/>
    <w:rsid w:val="64E57B6C"/>
    <w:rsid w:val="65476131"/>
    <w:rsid w:val="658D45AD"/>
    <w:rsid w:val="66770C98"/>
    <w:rsid w:val="66CD2666"/>
    <w:rsid w:val="68BB130F"/>
    <w:rsid w:val="69737AA3"/>
    <w:rsid w:val="69A55B1C"/>
    <w:rsid w:val="69C42CCF"/>
    <w:rsid w:val="6A352277"/>
    <w:rsid w:val="6A876FCF"/>
    <w:rsid w:val="6B735ED1"/>
    <w:rsid w:val="6C0C3A23"/>
    <w:rsid w:val="6C8C6B1F"/>
    <w:rsid w:val="6D5D4AF8"/>
    <w:rsid w:val="6D6D06FE"/>
    <w:rsid w:val="6D7372F8"/>
    <w:rsid w:val="6D747CDF"/>
    <w:rsid w:val="6D910891"/>
    <w:rsid w:val="6DCF760B"/>
    <w:rsid w:val="6E0E1EE1"/>
    <w:rsid w:val="6EA3334F"/>
    <w:rsid w:val="6EA939B8"/>
    <w:rsid w:val="6F06705D"/>
    <w:rsid w:val="6F0B01CF"/>
    <w:rsid w:val="6FDB2297"/>
    <w:rsid w:val="70075616"/>
    <w:rsid w:val="70294DB1"/>
    <w:rsid w:val="708F2DE4"/>
    <w:rsid w:val="71237A52"/>
    <w:rsid w:val="71DC5E53"/>
    <w:rsid w:val="71F15DA2"/>
    <w:rsid w:val="72A66B8C"/>
    <w:rsid w:val="72FD0776"/>
    <w:rsid w:val="734B3290"/>
    <w:rsid w:val="73893DB8"/>
    <w:rsid w:val="74624D35"/>
    <w:rsid w:val="746833B5"/>
    <w:rsid w:val="748C3B60"/>
    <w:rsid w:val="75846F2D"/>
    <w:rsid w:val="76156B2A"/>
    <w:rsid w:val="762D4ECF"/>
    <w:rsid w:val="762F6E99"/>
    <w:rsid w:val="763E310C"/>
    <w:rsid w:val="76452218"/>
    <w:rsid w:val="77A85155"/>
    <w:rsid w:val="78252301"/>
    <w:rsid w:val="78B35B5F"/>
    <w:rsid w:val="7AA428A5"/>
    <w:rsid w:val="7BBB4D2B"/>
    <w:rsid w:val="7C9B7203"/>
    <w:rsid w:val="7D2C0B09"/>
    <w:rsid w:val="7D31799A"/>
    <w:rsid w:val="7D5947FB"/>
    <w:rsid w:val="7ECB34D7"/>
    <w:rsid w:val="7ED14F91"/>
    <w:rsid w:val="7F121106"/>
    <w:rsid w:val="7F6732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Autospacing="0" w:after="330" w:afterAutospacing="0" w:line="576" w:lineRule="auto"/>
      <w:jc w:val="center"/>
      <w:outlineLvl w:val="0"/>
    </w:pPr>
    <w:rPr>
      <w:b/>
      <w:kern w:val="44"/>
      <w:sz w:val="36"/>
      <w:szCs w:val="20"/>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7"/>
    <w:qFormat/>
    <w:uiPriority w:val="9"/>
    <w:pPr>
      <w:keepNext/>
      <w:keepLines/>
      <w:spacing w:before="260" w:after="260" w:line="416" w:lineRule="auto"/>
      <w:outlineLvl w:val="2"/>
    </w:pPr>
    <w:rPr>
      <w:b/>
      <w:bCs/>
      <w:sz w:val="32"/>
      <w:szCs w:val="32"/>
    </w:rPr>
  </w:style>
  <w:style w:type="character" w:default="1" w:styleId="29">
    <w:name w:val="Default Paragraph Font"/>
    <w:qFormat/>
    <w:uiPriority w:val="1"/>
  </w:style>
  <w:style w:type="table" w:default="1" w:styleId="27">
    <w:name w:val="Normal Table"/>
    <w:qFormat/>
    <w:uiPriority w:val="99"/>
    <w:tblPr>
      <w:tblCellMar>
        <w:top w:w="0" w:type="dxa"/>
        <w:left w:w="108" w:type="dxa"/>
        <w:bottom w:w="0" w:type="dxa"/>
        <w:right w:w="108" w:type="dxa"/>
      </w:tblCellMar>
    </w:tblPr>
  </w:style>
  <w:style w:type="paragraph" w:styleId="5">
    <w:name w:val="Normal Indent"/>
    <w:basedOn w:val="1"/>
    <w:link w:val="38"/>
    <w:qFormat/>
    <w:uiPriority w:val="0"/>
    <w:pPr>
      <w:ind w:firstLine="420"/>
    </w:pPr>
    <w:rPr>
      <w:rFonts w:ascii="宋体" w:hAnsi="宋体"/>
      <w:kern w:val="0"/>
      <w:sz w:val="20"/>
      <w:szCs w:val="20"/>
    </w:rPr>
  </w:style>
  <w:style w:type="paragraph" w:styleId="6">
    <w:name w:val="annotation text"/>
    <w:basedOn w:val="1"/>
    <w:link w:val="39"/>
    <w:qFormat/>
    <w:uiPriority w:val="99"/>
    <w:pPr>
      <w:jc w:val="left"/>
    </w:pPr>
  </w:style>
  <w:style w:type="paragraph" w:styleId="7">
    <w:name w:val="Body Text"/>
    <w:basedOn w:val="1"/>
    <w:next w:val="8"/>
    <w:link w:val="40"/>
    <w:qFormat/>
    <w:uiPriority w:val="0"/>
    <w:pPr>
      <w:spacing w:after="120"/>
    </w:pPr>
    <w:rPr>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next w:val="12"/>
    <w:link w:val="41"/>
    <w:qFormat/>
    <w:uiPriority w:val="0"/>
    <w:pPr>
      <w:spacing w:after="120"/>
      <w:ind w:left="420" w:leftChars="200"/>
    </w:pPr>
    <w:rPr>
      <w:szCs w:val="24"/>
    </w:rPr>
  </w:style>
  <w:style w:type="paragraph" w:styleId="12">
    <w:name w:val="envelope return"/>
    <w:basedOn w:val="1"/>
    <w:qFormat/>
    <w:uiPriority w:val="0"/>
    <w:pPr>
      <w:snapToGrid w:val="0"/>
      <w:spacing w:beforeLines="50" w:afterLines="50" w:line="360" w:lineRule="auto"/>
      <w:ind w:firstLine="480" w:firstLineChars="200"/>
    </w:pPr>
    <w:rPr>
      <w:rFonts w:ascii="Arial" w:hAnsi="Arial" w:cs="Arial"/>
      <w:sz w:val="24"/>
    </w:rPr>
  </w:style>
  <w:style w:type="paragraph" w:styleId="13">
    <w:name w:val="Plain Text"/>
    <w:basedOn w:val="1"/>
    <w:link w:val="42"/>
    <w:qFormat/>
    <w:uiPriority w:val="0"/>
    <w:rPr>
      <w:rFonts w:ascii="宋体" w:hAnsi="Courier New"/>
      <w:kern w:val="0"/>
      <w:sz w:val="20"/>
      <w:szCs w:val="20"/>
    </w:rPr>
  </w:style>
  <w:style w:type="paragraph" w:styleId="14">
    <w:name w:val="Date"/>
    <w:basedOn w:val="1"/>
    <w:next w:val="1"/>
    <w:link w:val="43"/>
    <w:qFormat/>
    <w:uiPriority w:val="0"/>
    <w:pPr>
      <w:ind w:left="100" w:leftChars="2500"/>
    </w:pPr>
  </w:style>
  <w:style w:type="paragraph" w:styleId="15">
    <w:name w:val="Body Text Indent 2"/>
    <w:basedOn w:val="1"/>
    <w:link w:val="44"/>
    <w:qFormat/>
    <w:uiPriority w:val="0"/>
    <w:pPr>
      <w:spacing w:after="120" w:line="480" w:lineRule="auto"/>
      <w:ind w:left="420" w:leftChars="200"/>
    </w:pPr>
    <w:rPr>
      <w:szCs w:val="24"/>
    </w:rPr>
  </w:style>
  <w:style w:type="paragraph" w:styleId="16">
    <w:name w:val="Balloon Text"/>
    <w:basedOn w:val="1"/>
    <w:link w:val="45"/>
    <w:qFormat/>
    <w:uiPriority w:val="0"/>
    <w:rPr>
      <w:kern w:val="0"/>
      <w:sz w:val="18"/>
      <w:szCs w:val="18"/>
    </w:rPr>
  </w:style>
  <w:style w:type="paragraph" w:styleId="17">
    <w:name w:val="footer"/>
    <w:basedOn w:val="1"/>
    <w:link w:val="46"/>
    <w:qFormat/>
    <w:uiPriority w:val="0"/>
    <w:pPr>
      <w:tabs>
        <w:tab w:val="center" w:pos="4153"/>
        <w:tab w:val="right" w:pos="8306"/>
      </w:tabs>
      <w:snapToGrid w:val="0"/>
      <w:jc w:val="left"/>
    </w:pPr>
    <w:rPr>
      <w:sz w:val="18"/>
      <w:szCs w:val="18"/>
    </w:rPr>
  </w:style>
  <w:style w:type="paragraph" w:styleId="18">
    <w:name w:val="header"/>
    <w:basedOn w:val="1"/>
    <w:link w:val="47"/>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rPr>
      <w:rFonts w:ascii="Times New Roman" w:hAnsi="Times New Roman"/>
      <w:szCs w:val="24"/>
    </w:rPr>
  </w:style>
  <w:style w:type="paragraph" w:styleId="20">
    <w:name w:val="toc 2"/>
    <w:basedOn w:val="1"/>
    <w:next w:val="1"/>
    <w:qFormat/>
    <w:uiPriority w:val="39"/>
    <w:pPr>
      <w:ind w:left="420" w:leftChars="200"/>
    </w:pPr>
    <w:rPr>
      <w:rFonts w:ascii="Times New Roman" w:hAnsi="Times New Roman"/>
      <w:szCs w:val="20"/>
    </w:rPr>
  </w:style>
  <w:style w:type="paragraph" w:styleId="21">
    <w:name w:val="HTML Preformatted"/>
    <w:basedOn w:val="1"/>
    <w:link w:val="4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2">
    <w:name w:val="Normal (Web)"/>
    <w:basedOn w:val="1"/>
    <w:qFormat/>
    <w:uiPriority w:val="99"/>
    <w:rPr>
      <w:rFonts w:ascii="Times New Roman" w:hAnsi="Times New Roman"/>
      <w:sz w:val="24"/>
      <w:szCs w:val="24"/>
    </w:rPr>
  </w:style>
  <w:style w:type="paragraph" w:styleId="23">
    <w:name w:val="Title"/>
    <w:basedOn w:val="1"/>
    <w:next w:val="13"/>
    <w:qFormat/>
    <w:uiPriority w:val="0"/>
    <w:pPr>
      <w:jc w:val="center"/>
      <w:outlineLvl w:val="0"/>
    </w:pPr>
    <w:rPr>
      <w:rFonts w:ascii="Arial" w:hAnsi="Arial" w:cs="Arial"/>
      <w:b/>
      <w:bCs/>
      <w:szCs w:val="32"/>
    </w:rPr>
  </w:style>
  <w:style w:type="paragraph" w:styleId="24">
    <w:name w:val="annotation subject"/>
    <w:basedOn w:val="6"/>
    <w:next w:val="6"/>
    <w:link w:val="49"/>
    <w:qFormat/>
    <w:uiPriority w:val="99"/>
    <w:rPr>
      <w:b/>
      <w:bCs/>
    </w:rPr>
  </w:style>
  <w:style w:type="paragraph" w:styleId="25">
    <w:name w:val="Body Text First Indent"/>
    <w:basedOn w:val="7"/>
    <w:next w:val="26"/>
    <w:qFormat/>
    <w:uiPriority w:val="0"/>
    <w:pPr>
      <w:spacing w:after="120"/>
      <w:ind w:firstLine="420" w:firstLineChars="100"/>
      <w:jc w:val="both"/>
    </w:pPr>
    <w:rPr>
      <w:rFonts w:ascii="Times New Roman" w:hAnsi="Times New Roman" w:eastAsia="宋体"/>
      <w:kern w:val="2"/>
      <w:sz w:val="21"/>
      <w:szCs w:val="24"/>
    </w:rPr>
  </w:style>
  <w:style w:type="paragraph" w:styleId="26">
    <w:name w:val="Body Text First Indent 2"/>
    <w:basedOn w:val="11"/>
    <w:next w:val="25"/>
    <w:qFormat/>
    <w:uiPriority w:val="0"/>
    <w:pPr>
      <w:ind w:firstLine="420" w:firstLineChars="200"/>
    </w:p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22"/>
    <w:rPr>
      <w:b/>
      <w:bCs/>
    </w:rPr>
  </w:style>
  <w:style w:type="character" w:styleId="31">
    <w:name w:val="page number"/>
    <w:basedOn w:val="29"/>
    <w:qFormat/>
    <w:uiPriority w:val="0"/>
  </w:style>
  <w:style w:type="character" w:styleId="32">
    <w:name w:val="FollowedHyperlink"/>
    <w:basedOn w:val="29"/>
    <w:qFormat/>
    <w:uiPriority w:val="99"/>
    <w:rPr>
      <w:color w:val="800080"/>
      <w:u w:val="single"/>
    </w:rPr>
  </w:style>
  <w:style w:type="character" w:styleId="33">
    <w:name w:val="Emphasis"/>
    <w:basedOn w:val="29"/>
    <w:qFormat/>
    <w:uiPriority w:val="20"/>
    <w:rPr>
      <w:i/>
      <w:iCs/>
    </w:rPr>
  </w:style>
  <w:style w:type="character" w:styleId="34">
    <w:name w:val="Hyperlink"/>
    <w:basedOn w:val="29"/>
    <w:qFormat/>
    <w:uiPriority w:val="99"/>
    <w:rPr>
      <w:color w:val="0000FF"/>
      <w:u w:val="single"/>
    </w:rPr>
  </w:style>
  <w:style w:type="character" w:styleId="35">
    <w:name w:val="annotation reference"/>
    <w:basedOn w:val="29"/>
    <w:qFormat/>
    <w:uiPriority w:val="99"/>
    <w:rPr>
      <w:sz w:val="21"/>
      <w:szCs w:val="21"/>
    </w:rPr>
  </w:style>
  <w:style w:type="character" w:customStyle="1" w:styleId="36">
    <w:name w:val="标题 2 Char"/>
    <w:basedOn w:val="29"/>
    <w:link w:val="3"/>
    <w:qFormat/>
    <w:uiPriority w:val="0"/>
    <w:rPr>
      <w:rFonts w:ascii="Arial" w:hAnsi="Arial" w:eastAsia="黑体"/>
      <w:b/>
      <w:bCs/>
      <w:kern w:val="2"/>
      <w:sz w:val="30"/>
      <w:szCs w:val="32"/>
    </w:rPr>
  </w:style>
  <w:style w:type="character" w:customStyle="1" w:styleId="37">
    <w:name w:val="标题 3 Char"/>
    <w:basedOn w:val="29"/>
    <w:link w:val="4"/>
    <w:qFormat/>
    <w:uiPriority w:val="9"/>
    <w:rPr>
      <w:b/>
      <w:bCs/>
      <w:kern w:val="2"/>
      <w:sz w:val="32"/>
      <w:szCs w:val="32"/>
    </w:rPr>
  </w:style>
  <w:style w:type="character" w:customStyle="1" w:styleId="38">
    <w:name w:val="正文缩进 Char"/>
    <w:link w:val="5"/>
    <w:qFormat/>
    <w:uiPriority w:val="0"/>
    <w:rPr>
      <w:rFonts w:ascii="宋体" w:hAnsi="宋体"/>
    </w:rPr>
  </w:style>
  <w:style w:type="character" w:customStyle="1" w:styleId="39">
    <w:name w:val="批注文字 Char"/>
    <w:basedOn w:val="29"/>
    <w:link w:val="6"/>
    <w:qFormat/>
    <w:uiPriority w:val="99"/>
    <w:rPr>
      <w:kern w:val="2"/>
      <w:sz w:val="21"/>
      <w:szCs w:val="22"/>
    </w:rPr>
  </w:style>
  <w:style w:type="character" w:customStyle="1" w:styleId="40">
    <w:name w:val="正文文本 Char"/>
    <w:link w:val="7"/>
    <w:qFormat/>
    <w:uiPriority w:val="0"/>
    <w:rPr>
      <w:kern w:val="2"/>
      <w:sz w:val="21"/>
      <w:szCs w:val="24"/>
    </w:rPr>
  </w:style>
  <w:style w:type="character" w:customStyle="1" w:styleId="41">
    <w:name w:val="正文文本缩进 Char"/>
    <w:link w:val="11"/>
    <w:qFormat/>
    <w:uiPriority w:val="0"/>
    <w:rPr>
      <w:kern w:val="2"/>
      <w:sz w:val="21"/>
      <w:szCs w:val="24"/>
    </w:rPr>
  </w:style>
  <w:style w:type="character" w:customStyle="1" w:styleId="42">
    <w:name w:val="纯文本 Char"/>
    <w:link w:val="13"/>
    <w:qFormat/>
    <w:uiPriority w:val="0"/>
    <w:rPr>
      <w:rFonts w:ascii="宋体" w:hAnsi="Courier New"/>
    </w:rPr>
  </w:style>
  <w:style w:type="character" w:customStyle="1" w:styleId="43">
    <w:name w:val="日期 Char"/>
    <w:basedOn w:val="29"/>
    <w:link w:val="14"/>
    <w:qFormat/>
    <w:uiPriority w:val="0"/>
    <w:rPr>
      <w:kern w:val="2"/>
      <w:sz w:val="21"/>
      <w:szCs w:val="22"/>
    </w:rPr>
  </w:style>
  <w:style w:type="character" w:customStyle="1" w:styleId="44">
    <w:name w:val="正文文本缩进 2 Char"/>
    <w:link w:val="15"/>
    <w:qFormat/>
    <w:uiPriority w:val="0"/>
    <w:rPr>
      <w:kern w:val="2"/>
      <w:sz w:val="21"/>
      <w:szCs w:val="24"/>
    </w:rPr>
  </w:style>
  <w:style w:type="character" w:customStyle="1" w:styleId="45">
    <w:name w:val="批注框文本 Char"/>
    <w:link w:val="16"/>
    <w:qFormat/>
    <w:uiPriority w:val="0"/>
    <w:rPr>
      <w:sz w:val="18"/>
      <w:szCs w:val="18"/>
    </w:rPr>
  </w:style>
  <w:style w:type="character" w:customStyle="1" w:styleId="46">
    <w:name w:val="页脚 Char"/>
    <w:basedOn w:val="29"/>
    <w:link w:val="17"/>
    <w:qFormat/>
    <w:uiPriority w:val="0"/>
    <w:rPr>
      <w:sz w:val="18"/>
      <w:szCs w:val="18"/>
    </w:rPr>
  </w:style>
  <w:style w:type="character" w:customStyle="1" w:styleId="47">
    <w:name w:val="页眉 Char"/>
    <w:basedOn w:val="29"/>
    <w:link w:val="18"/>
    <w:qFormat/>
    <w:uiPriority w:val="0"/>
    <w:rPr>
      <w:sz w:val="18"/>
      <w:szCs w:val="18"/>
    </w:rPr>
  </w:style>
  <w:style w:type="character" w:customStyle="1" w:styleId="48">
    <w:name w:val="HTML 预设格式 Char"/>
    <w:basedOn w:val="29"/>
    <w:link w:val="21"/>
    <w:qFormat/>
    <w:uiPriority w:val="99"/>
    <w:rPr>
      <w:rFonts w:ascii="宋体" w:hAnsi="宋体" w:cs="宋体"/>
      <w:sz w:val="24"/>
      <w:szCs w:val="24"/>
    </w:rPr>
  </w:style>
  <w:style w:type="character" w:customStyle="1" w:styleId="49">
    <w:name w:val="批注主题 Char"/>
    <w:basedOn w:val="39"/>
    <w:link w:val="24"/>
    <w:qFormat/>
    <w:uiPriority w:val="99"/>
    <w:rPr>
      <w:b/>
      <w:bCs/>
    </w:rPr>
  </w:style>
  <w:style w:type="character" w:customStyle="1" w:styleId="50">
    <w:name w:val="批注主题 Char1"/>
    <w:basedOn w:val="51"/>
    <w:qFormat/>
    <w:uiPriority w:val="99"/>
    <w:rPr>
      <w:b/>
      <w:bCs/>
    </w:rPr>
  </w:style>
  <w:style w:type="character" w:customStyle="1" w:styleId="51">
    <w:name w:val="批注文字 Char1"/>
    <w:basedOn w:val="29"/>
    <w:qFormat/>
    <w:uiPriority w:val="99"/>
    <w:rPr>
      <w:kern w:val="2"/>
      <w:sz w:val="21"/>
      <w:szCs w:val="22"/>
    </w:rPr>
  </w:style>
  <w:style w:type="character" w:customStyle="1" w:styleId="52">
    <w:name w:val="sp_dash"/>
    <w:basedOn w:val="29"/>
    <w:qFormat/>
    <w:uiPriority w:val="0"/>
  </w:style>
  <w:style w:type="character" w:customStyle="1" w:styleId="53">
    <w:name w:val="正文文本缩进 2 Char1"/>
    <w:basedOn w:val="29"/>
    <w:qFormat/>
    <w:uiPriority w:val="99"/>
    <w:rPr>
      <w:kern w:val="2"/>
      <w:sz w:val="21"/>
      <w:szCs w:val="22"/>
    </w:rPr>
  </w:style>
  <w:style w:type="character" w:customStyle="1" w:styleId="54">
    <w:name w:val="prc_air"/>
    <w:basedOn w:val="29"/>
    <w:qFormat/>
    <w:uiPriority w:val="0"/>
  </w:style>
  <w:style w:type="character" w:customStyle="1" w:styleId="55">
    <w:name w:val="正文文本缩进 Char1"/>
    <w:basedOn w:val="29"/>
    <w:qFormat/>
    <w:uiPriority w:val="99"/>
    <w:rPr>
      <w:kern w:val="2"/>
      <w:sz w:val="21"/>
      <w:szCs w:val="22"/>
    </w:rPr>
  </w:style>
  <w:style w:type="character" w:customStyle="1" w:styleId="56">
    <w:name w:val="批注框文本 Char1"/>
    <w:basedOn w:val="29"/>
    <w:qFormat/>
    <w:uiPriority w:val="99"/>
    <w:rPr>
      <w:kern w:val="2"/>
      <w:sz w:val="18"/>
      <w:szCs w:val="18"/>
    </w:rPr>
  </w:style>
  <w:style w:type="character" w:customStyle="1" w:styleId="57">
    <w:name w:val="正文文本 Char1"/>
    <w:basedOn w:val="29"/>
    <w:qFormat/>
    <w:uiPriority w:val="99"/>
    <w:rPr>
      <w:kern w:val="2"/>
      <w:sz w:val="21"/>
      <w:szCs w:val="22"/>
    </w:rPr>
  </w:style>
  <w:style w:type="character" w:customStyle="1" w:styleId="58">
    <w:name w:val="纯文本 Char1"/>
    <w:basedOn w:val="29"/>
    <w:qFormat/>
    <w:uiPriority w:val="99"/>
    <w:rPr>
      <w:rFonts w:ascii="宋体" w:hAnsi="Courier New" w:cs="Courier New"/>
      <w:kern w:val="2"/>
      <w:sz w:val="21"/>
      <w:szCs w:val="21"/>
    </w:rPr>
  </w:style>
  <w:style w:type="character" w:customStyle="1" w:styleId="59">
    <w:name w:val=" Char Char5"/>
    <w:qFormat/>
    <w:uiPriority w:val="0"/>
    <w:rPr>
      <w:rFonts w:eastAsia="宋体"/>
      <w:kern w:val="2"/>
      <w:sz w:val="18"/>
      <w:szCs w:val="18"/>
      <w:lang w:val="en-US" w:eastAsia="zh-CN" w:bidi="ar-SA"/>
    </w:rPr>
  </w:style>
  <w:style w:type="character" w:customStyle="1" w:styleId="60">
    <w:name w:val="apple-converted-space"/>
    <w:basedOn w:val="29"/>
    <w:qFormat/>
    <w:uiPriority w:val="0"/>
  </w:style>
  <w:style w:type="paragraph" w:customStyle="1" w:styleId="61">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正文+宋体"/>
    <w:basedOn w:val="22"/>
    <w:qFormat/>
    <w:uiPriority w:val="0"/>
    <w:pPr>
      <w:widowControl/>
      <w:shd w:val="clear" w:color="auto" w:fill="FFFFFF"/>
      <w:ind w:firstLine="480" w:firstLineChars="200"/>
      <w:jc w:val="left"/>
    </w:pPr>
    <w:rPr>
      <w:rFonts w:ascii="宋体" w:hAnsi="宋体" w:cs="宋体"/>
    </w:rPr>
  </w:style>
  <w:style w:type="paragraph" w:customStyle="1" w:styleId="63">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4">
    <w:name w:val="_Style 54"/>
    <w:qFormat/>
    <w:uiPriority w:val="99"/>
    <w:rPr>
      <w:rFonts w:ascii="Calibri" w:hAnsi="Calibri" w:eastAsia="宋体" w:cs="Times New Roman"/>
      <w:kern w:val="2"/>
      <w:sz w:val="21"/>
      <w:szCs w:val="22"/>
      <w:lang w:val="en-US" w:eastAsia="zh-CN" w:bidi="ar-SA"/>
    </w:rPr>
  </w:style>
  <w:style w:type="paragraph" w:customStyle="1" w:styleId="65">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7">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默认段落字体 Char"/>
    <w:basedOn w:val="1"/>
    <w:qFormat/>
    <w:uiPriority w:val="0"/>
    <w:rPr>
      <w:rFonts w:ascii="Times New Roman" w:hAnsi="Times New Roman"/>
      <w:szCs w:val="24"/>
    </w:rPr>
  </w:style>
  <w:style w:type="paragraph" w:customStyle="1" w:styleId="6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70">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71">
    <w:name w:val="样式3"/>
    <w:basedOn w:val="13"/>
    <w:qFormat/>
    <w:uiPriority w:val="0"/>
    <w:pPr>
      <w:spacing w:line="0" w:lineRule="atLeast"/>
      <w:outlineLvl w:val="0"/>
    </w:pPr>
    <w:rPr>
      <w:sz w:val="28"/>
    </w:rPr>
  </w:style>
  <w:style w:type="paragraph" w:customStyle="1" w:styleId="72">
    <w:name w:val=" Char Char Char"/>
    <w:basedOn w:val="1"/>
    <w:qFormat/>
    <w:uiPriority w:val="0"/>
    <w:rPr>
      <w:rFonts w:ascii="Tahoma" w:hAnsi="Tahoma"/>
      <w:sz w:val="24"/>
      <w:szCs w:val="20"/>
    </w:rPr>
  </w:style>
  <w:style w:type="paragraph" w:customStyle="1" w:styleId="73">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4">
    <w:name w:val=" Char Char Char Char Char Char Char"/>
    <w:basedOn w:val="1"/>
    <w:qFormat/>
    <w:uiPriority w:val="0"/>
    <w:rPr>
      <w:rFonts w:ascii="Times New Roman" w:hAnsi="Times New Roman"/>
      <w:szCs w:val="24"/>
    </w:rPr>
  </w:style>
  <w:style w:type="paragraph" w:customStyle="1" w:styleId="75">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6">
    <w:name w:val="null3"/>
    <w:qFormat/>
    <w:uiPriority w:val="0"/>
    <w:rPr>
      <w:rFonts w:hint="eastAsia" w:ascii="Calibri" w:hAnsi="Calibri" w:eastAsia="宋体" w:cs="Times New Roman"/>
      <w:lang w:val="en-US" w:eastAsia="zh-CN" w:bidi="ar-SA"/>
    </w:rPr>
  </w:style>
  <w:style w:type="paragraph" w:customStyle="1" w:styleId="77">
    <w:name w:val="Char Char Char Char Char Char Char5"/>
    <w:basedOn w:val="1"/>
    <w:qFormat/>
    <w:uiPriority w:val="0"/>
    <w:rPr>
      <w:rFonts w:eastAsia="宋体" w:cs="Times New Roman"/>
      <w:szCs w:val="24"/>
    </w:rPr>
  </w:style>
  <w:style w:type="paragraph" w:customStyle="1" w:styleId="78">
    <w:name w:val="列出段落2"/>
    <w:qFormat/>
    <w:uiPriority w:val="0"/>
    <w:pPr>
      <w:ind w:firstLine="420" w:firstLineChars="200"/>
    </w:pPr>
    <w:rPr>
      <w:rFonts w:ascii="Times New Roman" w:hAnsi="Times New Roman" w:eastAsia="宋体" w:cs="Times New Roman"/>
      <w:szCs w:val="22"/>
      <w:lang w:val="en-US" w:eastAsia="zh-CN" w:bidi="ar-SA"/>
    </w:rPr>
  </w:style>
  <w:style w:type="paragraph" w:customStyle="1" w:styleId="79">
    <w:name w:val="a"/>
    <w:basedOn w:val="1"/>
    <w:qFormat/>
    <w:uiPriority w:val="0"/>
    <w:pPr>
      <w:widowControl/>
      <w:jc w:val="left"/>
    </w:pPr>
    <w:rPr>
      <w:rFonts w:ascii="宋体" w:hAnsi="宋体" w:eastAsia="宋体" w:cs="宋体"/>
      <w:kern w:val="0"/>
      <w:sz w:val="24"/>
      <w:szCs w:val="24"/>
    </w:rPr>
  </w:style>
  <w:style w:type="paragraph" w:customStyle="1" w:styleId="80">
    <w:name w:val="Normal_320e80dd-3243-4c23-a04a-ab2cfe35fcdc"/>
    <w:qFormat/>
    <w:uiPriority w:val="0"/>
    <w:pPr>
      <w:jc w:val="both"/>
    </w:pPr>
    <w:rPr>
      <w:rFonts w:ascii="Times New Roman" w:hAnsi="Times New Roman" w:eastAsia="宋体" w:cs="Times New Roman"/>
      <w:kern w:val="2"/>
      <w:sz w:val="21"/>
      <w:szCs w:val="21"/>
      <w:lang w:val="en-US" w:eastAsia="zh-CN" w:bidi="ar-SA"/>
    </w:rPr>
  </w:style>
  <w:style w:type="paragraph" w:customStyle="1" w:styleId="81">
    <w:name w:val="正文1"/>
    <w:basedOn w:val="1"/>
    <w:qFormat/>
    <w:uiPriority w:val="0"/>
    <w:pPr>
      <w:spacing w:line="360" w:lineRule="auto"/>
      <w:ind w:left="1260" w:leftChars="600" w:firstLine="540" w:firstLineChars="257"/>
    </w:pPr>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4d2b7c5a-d271-4663-bc1d-6fa179fda24d}">
  <ds:schemaRefs/>
</ds:datastoreItem>
</file>

<file path=customXml/itemProps2.xml><?xml version="1.0" encoding="utf-8"?>
<ds:datastoreItem xmlns:ds="http://schemas.openxmlformats.org/officeDocument/2006/customXml" ds:itemID="{1a6b1f1d-9404-4f91-bb60-f95baceb03ac}">
  <ds:schemaRefs/>
</ds:datastoreItem>
</file>

<file path=docProps/app.xml><?xml version="1.0" encoding="utf-8"?>
<Properties xmlns="http://schemas.openxmlformats.org/officeDocument/2006/extended-properties" xmlns:vt="http://schemas.openxmlformats.org/officeDocument/2006/docPropsVTypes">
  <Template>Normal</Template>
  <Pages>79</Pages>
  <Words>9636</Words>
  <Characters>10823</Characters>
  <Paragraphs>2518</Paragraphs>
  <TotalTime>7</TotalTime>
  <ScaleCrop>false</ScaleCrop>
  <LinksUpToDate>false</LinksUpToDate>
  <CharactersWithSpaces>11169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2015-01-03T12:40:00Z</dcterms:created>
  <dc:creator>黄超群</dc:creator>
  <cp:lastModifiedBy>小胖妞</cp:lastModifiedBy>
  <dcterms:modified xsi:type="dcterms:W3CDTF">2025-11-12T01:45:15Z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b21fcb2f7f114e6a857371d9856fc05c_23</vt:lpwstr>
  </property>
  <property fmtid="{D5CDD505-2E9C-101B-9397-08002B2CF9AE}" pid="4" name="KSOTemplateDocerSaveRecord">
    <vt:lpwstr>eyJoZGlkIjoiNDY5Y2UyNTEyZTJmZDVkOGRjYjRkZWE1NzIyMDA5MDciLCJ1c2VySWQiOiI4NDc2ODc3NDYifQ==</vt:lpwstr>
  </property>
</Properties>
</file>