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79" w:lineRule="exact"/>
        <w:jc w:val="center"/>
        <w:textAlignment w:val="auto"/>
        <w:outlineLvl w:val="0"/>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w:t>
      </w:r>
      <w:r>
        <w:rPr>
          <w:rFonts w:hint="eastAsia" w:ascii="宋体" w:hAnsi="宋体" w:eastAsia="宋体" w:cs="宋体"/>
          <w:b w:val="0"/>
          <w:bCs w:val="0"/>
          <w:sz w:val="24"/>
          <w:szCs w:val="24"/>
          <w:highlight w:val="none"/>
          <w:lang w:eastAsia="zh-CN"/>
        </w:rPr>
        <w:t>厦门国际银行</w:t>
      </w:r>
      <w:r>
        <w:rPr>
          <w:rFonts w:hint="eastAsia" w:ascii="宋体" w:hAnsi="宋体" w:cs="宋体"/>
          <w:b w:val="0"/>
          <w:bCs w:val="0"/>
          <w:sz w:val="24"/>
          <w:szCs w:val="24"/>
          <w:highlight w:val="none"/>
          <w:lang w:val="en-US" w:eastAsia="zh-CN"/>
        </w:rPr>
        <w:t>财资管理</w:t>
      </w:r>
      <w:r>
        <w:rPr>
          <w:rFonts w:hint="eastAsia" w:ascii="宋体" w:hAnsi="宋体" w:eastAsia="宋体" w:cs="宋体"/>
          <w:b w:val="0"/>
          <w:bCs w:val="0"/>
          <w:sz w:val="24"/>
          <w:szCs w:val="24"/>
          <w:highlight w:val="none"/>
          <w:lang w:eastAsia="zh-CN"/>
        </w:rPr>
        <w:t>系统建设项目</w:t>
      </w:r>
      <w:r>
        <w:rPr>
          <w:rFonts w:hint="eastAsia" w:ascii="宋体" w:hAnsi="宋体" w:eastAsia="宋体" w:cs="宋体"/>
          <w:b/>
          <w:sz w:val="24"/>
          <w:szCs w:val="24"/>
          <w:lang w:val="en-US" w:eastAsia="zh-CN"/>
        </w:rPr>
        <w:t>》供应商征集反馈材料-公司名称（全称）</w:t>
      </w:r>
    </w:p>
    <w:p>
      <w:pPr>
        <w:ind w:left="0" w:leftChars="0" w:firstLine="0" w:firstLineChars="0"/>
        <w:jc w:val="center"/>
        <w:rPr>
          <w:rFonts w:hint="eastAsia" w:ascii="宋体" w:hAnsi="宋体" w:eastAsia="宋体" w:cs="宋体"/>
          <w:b/>
          <w:bCs/>
          <w:sz w:val="24"/>
          <w:szCs w:val="24"/>
          <w:lang w:val="en-US" w:eastAsia="zh-CN"/>
        </w:rPr>
      </w:pPr>
    </w:p>
    <w:p>
      <w:pPr>
        <w:ind w:left="0" w:leftChars="0" w:firstLine="0" w:firstLineChars="0"/>
        <w:jc w:val="center"/>
        <w:outlineLvl w:val="0"/>
        <w:rPr>
          <w:rFonts w:hint="eastAsia" w:ascii="宋体" w:hAnsi="宋体" w:eastAsia="宋体" w:cs="宋体"/>
          <w:b/>
          <w:bCs/>
          <w:color w:val="FF0000"/>
          <w:sz w:val="24"/>
          <w:szCs w:val="24"/>
          <w:highlight w:val="none"/>
          <w:lang w:val="en-US" w:eastAsia="zh-CN"/>
        </w:rPr>
      </w:pPr>
      <w:r>
        <w:rPr>
          <w:rFonts w:hint="eastAsia" w:ascii="宋体" w:hAnsi="宋体" w:eastAsia="宋体" w:cs="宋体"/>
          <w:b/>
          <w:bCs/>
          <w:sz w:val="24"/>
          <w:szCs w:val="24"/>
          <w:lang w:val="en-US" w:eastAsia="zh-CN"/>
        </w:rPr>
        <w:t>目录指引</w:t>
      </w:r>
      <w:r>
        <w:rPr>
          <w:rFonts w:hint="eastAsia" w:ascii="宋体" w:hAnsi="宋体" w:eastAsia="宋体" w:cs="宋体"/>
          <w:b/>
          <w:bCs/>
          <w:color w:val="FF0000"/>
          <w:sz w:val="24"/>
          <w:szCs w:val="24"/>
          <w:highlight w:val="none"/>
          <w:lang w:val="en-US" w:eastAsia="zh-CN"/>
        </w:rPr>
        <w:t>（请报名供应商据实修改）</w:t>
      </w:r>
    </w:p>
    <w:p>
      <w:pPr>
        <w:pStyle w:val="7"/>
        <w:keepNext w:val="0"/>
        <w:keepLines w:val="0"/>
        <w:pageBreakBefore w:val="0"/>
        <w:widowControl w:val="0"/>
        <w:tabs>
          <w:tab w:val="left" w:pos="992"/>
        </w:tabs>
        <w:kinsoku/>
        <w:wordWrap/>
        <w:overflowPunct/>
        <w:topLinePunct/>
        <w:autoSpaceDE/>
        <w:autoSpaceDN/>
        <w:bidi w:val="0"/>
        <w:adjustRightInd/>
        <w:snapToGrid/>
        <w:ind w:left="0" w:leftChars="0" w:firstLine="0" w:firstLineChars="0"/>
        <w:jc w:val="center"/>
        <w:textAlignment w:val="auto"/>
        <w:outlineLvl w:val="0"/>
        <w:rPr>
          <w:rFonts w:hint="eastAsia" w:ascii="宋体" w:hAnsi="宋体" w:eastAsia="宋体" w:cs="宋体"/>
          <w:b/>
          <w:bCs/>
          <w:color w:val="FF0000"/>
          <w:kern w:val="2"/>
          <w:sz w:val="24"/>
          <w:szCs w:val="24"/>
          <w:highlight w:val="none"/>
          <w:lang w:val="en-US" w:eastAsia="zh-CN" w:bidi="ar-SA"/>
        </w:rPr>
      </w:pPr>
      <w:r>
        <w:rPr>
          <w:rFonts w:hint="eastAsia" w:ascii="宋体" w:hAnsi="宋体" w:eastAsia="宋体" w:cs="宋体"/>
          <w:b/>
          <w:bCs/>
          <w:color w:val="FF0000"/>
          <w:kern w:val="2"/>
          <w:sz w:val="24"/>
          <w:szCs w:val="24"/>
          <w:highlight w:val="none"/>
          <w:lang w:val="en-US" w:eastAsia="zh-CN" w:bidi="ar-SA"/>
        </w:rPr>
        <w:t>第一部分 对应页码P1-P20</w:t>
      </w:r>
    </w:p>
    <w:p>
      <w:pPr>
        <w:pStyle w:val="7"/>
        <w:tabs>
          <w:tab w:val="left" w:pos="992"/>
        </w:tabs>
        <w:ind w:left="0" w:leftChars="0" w:firstLine="0" w:firstLineChars="0"/>
        <w:jc w:val="center"/>
        <w:outlineLvl w:val="0"/>
        <w:rPr>
          <w:rFonts w:hint="eastAsia" w:ascii="宋体" w:hAnsi="宋体" w:eastAsia="宋体" w:cs="宋体"/>
          <w:b/>
          <w:bCs/>
          <w:color w:val="FF0000"/>
          <w:kern w:val="2"/>
          <w:sz w:val="24"/>
          <w:szCs w:val="24"/>
          <w:highlight w:val="none"/>
          <w:lang w:val="en-US" w:eastAsia="zh-CN" w:bidi="ar-SA"/>
        </w:rPr>
      </w:pPr>
      <w:r>
        <w:rPr>
          <w:rFonts w:hint="eastAsia" w:ascii="宋体" w:hAnsi="宋体" w:eastAsia="宋体" w:cs="宋体"/>
          <w:b/>
          <w:bCs/>
          <w:color w:val="FF0000"/>
          <w:kern w:val="2"/>
          <w:sz w:val="24"/>
          <w:szCs w:val="24"/>
          <w:highlight w:val="none"/>
          <w:lang w:val="en-US" w:eastAsia="zh-CN" w:bidi="ar-SA"/>
        </w:rPr>
        <w:t>第二部分 对应页码P21-P30</w:t>
      </w:r>
    </w:p>
    <w:p>
      <w:pPr>
        <w:pStyle w:val="7"/>
        <w:tabs>
          <w:tab w:val="left" w:pos="992"/>
        </w:tabs>
        <w:ind w:left="0" w:leftChars="0" w:firstLine="0" w:firstLineChars="0"/>
        <w:jc w:val="center"/>
        <w:outlineLvl w:val="0"/>
        <w:rPr>
          <w:rFonts w:hint="eastAsia" w:ascii="宋体" w:hAnsi="宋体" w:eastAsia="宋体" w:cs="宋体"/>
          <w:b/>
          <w:bCs/>
          <w:color w:val="FF0000"/>
          <w:kern w:val="2"/>
          <w:sz w:val="24"/>
          <w:szCs w:val="24"/>
          <w:highlight w:val="none"/>
          <w:lang w:val="en-US" w:eastAsia="zh-CN" w:bidi="ar-SA"/>
        </w:rPr>
      </w:pPr>
      <w:r>
        <w:rPr>
          <w:rFonts w:hint="eastAsia" w:ascii="宋体" w:hAnsi="宋体" w:eastAsia="宋体" w:cs="宋体"/>
          <w:b/>
          <w:bCs/>
          <w:color w:val="FF0000"/>
          <w:kern w:val="2"/>
          <w:sz w:val="24"/>
          <w:szCs w:val="24"/>
          <w:highlight w:val="none"/>
          <w:lang w:val="en-US" w:eastAsia="zh-CN" w:bidi="ar-SA"/>
        </w:rPr>
        <w:t>第三部分 对应页码P31-P40</w:t>
      </w:r>
    </w:p>
    <w:p>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一、供应商报名基础信息材料</w:t>
      </w:r>
    </w:p>
    <w:p>
      <w:pPr>
        <w:numPr>
          <w:ilvl w:val="0"/>
          <w:numId w:val="0"/>
        </w:numPr>
        <w:outlineLvl w:val="1"/>
        <w:rPr>
          <w:rFonts w:hint="eastAsia" w:ascii="宋体" w:hAnsi="宋体" w:eastAsia="宋体" w:cs="宋体"/>
          <w:color w:val="auto"/>
          <w:sz w:val="24"/>
          <w:szCs w:val="24"/>
          <w:highlight w:val="none"/>
          <w:lang w:val="en-US" w:eastAsia="zh-CN"/>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1.营业执照（事业单位法人证书或类似执业许可证）</w:t>
      </w:r>
    </w:p>
    <w:p>
      <w:pPr>
        <w:rPr>
          <w:rFonts w:hint="eastAsia" w:ascii="宋体" w:hAnsi="宋体" w:eastAsia="宋体" w:cs="宋体"/>
          <w:sz w:val="24"/>
          <w:szCs w:val="24"/>
        </w:rPr>
      </w:pPr>
    </w:p>
    <w:p>
      <w:pPr>
        <w:rPr>
          <w:rFonts w:hint="eastAsia" w:ascii="宋体" w:hAnsi="宋体" w:eastAsia="宋体" w:cs="宋体"/>
          <w:sz w:val="24"/>
          <w:szCs w:val="24"/>
        </w:rPr>
      </w:pPr>
    </w:p>
    <w:p>
      <w:pPr>
        <w:pStyle w:val="6"/>
        <w:rPr>
          <w:rFonts w:hint="eastAsia" w:ascii="宋体" w:hAnsi="宋体" w:eastAsia="宋体" w:cs="宋体"/>
          <w:sz w:val="24"/>
          <w:szCs w:val="24"/>
        </w:rPr>
      </w:pPr>
    </w:p>
    <w:p>
      <w:pPr>
        <w:pStyle w:val="7"/>
        <w:rPr>
          <w:rFonts w:hint="eastAsia"/>
        </w:rPr>
      </w:pPr>
    </w:p>
    <w:p>
      <w:pPr>
        <w:pStyle w:val="7"/>
        <w:rPr>
          <w:rFonts w:hint="eastAsia" w:ascii="宋体" w:hAnsi="宋体" w:eastAsia="宋体" w:cs="宋体"/>
          <w:sz w:val="24"/>
          <w:szCs w:val="24"/>
        </w:rPr>
      </w:pPr>
    </w:p>
    <w:p>
      <w:pPr>
        <w:pStyle w:val="7"/>
        <w:rPr>
          <w:rFonts w:hint="eastAsia" w:ascii="宋体" w:hAnsi="宋体" w:eastAsia="宋体" w:cs="宋体"/>
          <w:sz w:val="24"/>
          <w:szCs w:val="24"/>
        </w:rPr>
      </w:pPr>
    </w:p>
    <w:p>
      <w:pPr>
        <w:pStyle w:val="7"/>
        <w:rPr>
          <w:rFonts w:hint="eastAsia"/>
        </w:rPr>
      </w:pPr>
    </w:p>
    <w:p>
      <w:pPr>
        <w:pStyle w:val="7"/>
        <w:rPr>
          <w:rFonts w:hint="eastAsia"/>
        </w:rPr>
      </w:pPr>
    </w:p>
    <w:p>
      <w:pPr>
        <w:pStyle w:val="7"/>
        <w:rPr>
          <w:rFonts w:hint="eastAsia"/>
        </w:rPr>
        <w:sectPr>
          <w:pgSz w:w="11906" w:h="16838"/>
          <w:pgMar w:top="1440" w:right="1800" w:bottom="1440" w:left="1800" w:header="851" w:footer="992" w:gutter="0"/>
          <w:cols w:space="425" w:num="1"/>
          <w:docGrid w:type="lines" w:linePitch="312" w:charSpace="0"/>
        </w:sectPr>
      </w:pPr>
    </w:p>
    <w:p>
      <w:pPr>
        <w:pStyle w:val="7"/>
        <w:rPr>
          <w:rFonts w:hint="eastAsia" w:ascii="宋体" w:hAnsi="宋体" w:eastAsia="宋体" w:cs="宋体"/>
          <w:sz w:val="24"/>
          <w:szCs w:val="24"/>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.近三年经公司内部审核流程审定的财务会计报表（资产负债表、现金流量表和利润表）原件扫描件或有效的企业资信证明材料（证明材料不全不予认可）。</w:t>
      </w:r>
    </w:p>
    <w:p>
      <w:pPr>
        <w:pStyle w:val="6"/>
        <w:widowControl w:val="0"/>
        <w:numPr>
          <w:ilvl w:val="0"/>
          <w:numId w:val="0"/>
        </w:numPr>
        <w:topLinePunct/>
        <w:autoSpaceDE w:val="0"/>
        <w:autoSpaceDN w:val="0"/>
        <w:adjustRightInd w:val="0"/>
        <w:spacing w:after="120" w:line="312" w:lineRule="atLeast"/>
        <w:jc w:val="both"/>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sectPr>
          <w:pgSz w:w="11906" w:h="16838"/>
          <w:pgMar w:top="1440" w:right="1800" w:bottom="1440" w:left="1800" w:header="851" w:footer="992" w:gutter="0"/>
          <w:cols w:space="425" w:num="1"/>
          <w:docGrid w:type="lines" w:linePitch="312" w:charSpace="0"/>
        </w:sect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pStyle w:val="7"/>
        <w:rPr>
          <w:rFonts w:hint="eastAsia" w:ascii="宋体" w:hAnsi="宋体" w:eastAsia="宋体" w:cs="宋体"/>
          <w:sz w:val="24"/>
          <w:szCs w:val="24"/>
          <w:lang w:eastAsia="zh-CN"/>
        </w:rPr>
      </w:pPr>
    </w:p>
    <w:p>
      <w:pPr>
        <w:numPr>
          <w:ilvl w:val="0"/>
          <w:numId w:val="0"/>
        </w:numPr>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.未被“信用中国”网列入“重大税收违法失信主体”</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https://www.creditchina.gov.cn/）</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numPr>
          <w:ilvl w:val="0"/>
          <w:numId w:val="0"/>
        </w:numPr>
        <w:ind w:leftChars="200"/>
        <w:outlineLvl w:val="9"/>
        <w:rPr>
          <w:rFonts w:hint="eastAsia" w:ascii="宋体" w:hAnsi="宋体" w:eastAsia="宋体" w:cs="宋体"/>
          <w:color w:val="auto"/>
          <w:sz w:val="24"/>
          <w:szCs w:val="24"/>
          <w:highlight w:val="none"/>
          <w:lang w:val="en-US" w:eastAsia="zh-CN"/>
        </w:rPr>
      </w:pPr>
      <w:r>
        <w:rPr>
          <w:rFonts w:hint="eastAsia" w:ascii="宋体" w:hAnsi="宋体" w:eastAsia="宋体" w:cs="宋体"/>
          <w:sz w:val="24"/>
          <w:szCs w:val="24"/>
        </w:rPr>
        <w:drawing>
          <wp:inline distT="0" distB="0" distL="114300" distR="114300">
            <wp:extent cx="5271770" cy="2578735"/>
            <wp:effectExtent l="0" t="0" r="11430" b="1206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4"/>
                    <a:stretch>
                      <a:fillRect/>
                    </a:stretch>
                  </pic:blipFill>
                  <pic:spPr>
                    <a:xfrm>
                      <a:off x="0" y="0"/>
                      <a:ext cx="5271770" cy="2578735"/>
                    </a:xfrm>
                    <a:prstGeom prst="rect">
                      <a:avLst/>
                    </a:prstGeom>
                    <a:noFill/>
                    <a:ln>
                      <a:noFill/>
                    </a:ln>
                  </pic:spPr>
                </pic:pic>
              </a:graphicData>
            </a:graphic>
          </wp:inline>
        </w:drawing>
      </w:r>
      <w:bookmarkStart w:id="0" w:name="_GoBack"/>
      <w:bookmarkEnd w:id="0"/>
    </w:p>
    <w:p>
      <w:pPr>
        <w:numPr>
          <w:ilvl w:val="0"/>
          <w:numId w:val="0"/>
        </w:numPr>
        <w:ind w:leftChars="200"/>
        <w:outlineLvl w:val="9"/>
        <w:rPr>
          <w:rFonts w:hint="eastAsia" w:ascii="宋体" w:hAnsi="宋体" w:eastAsia="宋体" w:cs="宋体"/>
          <w:color w:val="auto"/>
          <w:sz w:val="24"/>
          <w:szCs w:val="24"/>
          <w:highlight w:val="none"/>
          <w:lang w:val="en-US" w:eastAsia="zh-CN"/>
        </w:rPr>
      </w:pPr>
    </w:p>
    <w:p>
      <w:pPr>
        <w:numPr>
          <w:ilvl w:val="0"/>
          <w:numId w:val="0"/>
        </w:numPr>
        <w:ind w:leftChars="200"/>
        <w:outlineLvl w:val="1"/>
        <w:rPr>
          <w:rFonts w:hint="eastAsia" w:ascii="宋体" w:hAnsi="宋体" w:eastAsia="宋体" w:cs="宋体"/>
          <w:color w:val="auto"/>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4</w:t>
      </w:r>
      <w:r>
        <w:rPr>
          <w:rFonts w:hint="eastAsia" w:ascii="宋体" w:hAnsi="宋体" w:eastAsia="宋体" w:cs="宋体"/>
          <w:color w:val="auto"/>
          <w:sz w:val="24"/>
          <w:szCs w:val="24"/>
          <w:highlight w:val="none"/>
          <w:lang w:val="en-US" w:eastAsia="zh-CN"/>
        </w:rPr>
        <w:t>.未被“中国执行信息公开网”列入“失信被执行人查询”</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https://zxgk.court.gov.cn/shixin/）</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pStyle w:val="6"/>
        <w:ind w:left="0" w:leftChars="0" w:firstLine="0" w:firstLineChars="0"/>
        <w:jc w:val="both"/>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4785" cy="2796540"/>
            <wp:effectExtent l="0" t="0" r="5715" b="1016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5"/>
                    <a:stretch>
                      <a:fillRect/>
                    </a:stretch>
                  </pic:blipFill>
                  <pic:spPr>
                    <a:xfrm>
                      <a:off x="0" y="0"/>
                      <a:ext cx="5264785" cy="2796540"/>
                    </a:xfrm>
                    <a:prstGeom prst="rect">
                      <a:avLst/>
                    </a:prstGeom>
                    <a:noFill/>
                    <a:ln>
                      <a:noFill/>
                    </a:ln>
                  </pic:spPr>
                </pic:pic>
              </a:graphicData>
            </a:graphic>
          </wp:inline>
        </w:drawing>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numPr>
          <w:ilvl w:val="0"/>
          <w:numId w:val="0"/>
        </w:numPr>
        <w:ind w:leftChars="200"/>
        <w:outlineLvl w:val="9"/>
        <w:rPr>
          <w:rFonts w:hint="eastAsia" w:ascii="宋体" w:hAnsi="宋体" w:eastAsia="宋体" w:cs="宋体"/>
          <w:color w:val="auto"/>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pStyle w:val="2"/>
        <w:numPr>
          <w:ilvl w:val="3"/>
          <w:numId w:val="0"/>
        </w:numPr>
        <w:tabs>
          <w:tab w:val="clear" w:pos="864"/>
        </w:tabs>
        <w:ind w:leftChars="0"/>
        <w:rPr>
          <w:rFonts w:hint="eastAsia"/>
          <w:lang w:val="en-US" w:eastAsia="zh-CN"/>
        </w:rPr>
      </w:pP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5</w:t>
      </w:r>
      <w:r>
        <w:rPr>
          <w:rFonts w:hint="eastAsia" w:ascii="宋体" w:hAnsi="宋体" w:eastAsia="宋体" w:cs="宋体"/>
          <w:color w:val="auto"/>
          <w:sz w:val="24"/>
          <w:szCs w:val="24"/>
          <w:highlight w:val="none"/>
          <w:lang w:val="en-US" w:eastAsia="zh-CN"/>
        </w:rPr>
        <w:t>.未被“中国政府采购网”列入“政府采购严重违法失信行为信息记录名单”</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https://www.ccgp.gov.cn/search/cr/）</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pStyle w:val="6"/>
        <w:ind w:left="0" w:leftChars="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4785" cy="2917825"/>
            <wp:effectExtent l="0" t="0" r="5715"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6"/>
                    <a:stretch>
                      <a:fillRect/>
                    </a:stretch>
                  </pic:blipFill>
                  <pic:spPr>
                    <a:xfrm>
                      <a:off x="0" y="0"/>
                      <a:ext cx="5264785" cy="2917825"/>
                    </a:xfrm>
                    <a:prstGeom prst="rect">
                      <a:avLst/>
                    </a:prstGeom>
                    <a:noFill/>
                    <a:ln>
                      <a:noFill/>
                    </a:ln>
                  </pic:spPr>
                </pic:pic>
              </a:graphicData>
            </a:graphic>
          </wp:inline>
        </w:drawing>
      </w:r>
    </w:p>
    <w:p>
      <w:pPr>
        <w:numPr>
          <w:ilvl w:val="0"/>
          <w:numId w:val="0"/>
        </w:numPr>
        <w:ind w:leftChars="200"/>
        <w:outlineLvl w:val="1"/>
        <w:rPr>
          <w:rFonts w:hint="eastAsia" w:ascii="宋体" w:hAnsi="宋体" w:eastAsia="宋体" w:cs="宋体"/>
          <w:color w:val="auto"/>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val="en-US" w:eastAsia="zh-CN"/>
        </w:rPr>
        <w:t>.未被“国家企业信用信息公示系统”-“列入严重违法失信企业名单”</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https://www.gsxt.gov.cn/）</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pStyle w:val="6"/>
        <w:ind w:left="0" w:leftChars="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8595" cy="3101975"/>
            <wp:effectExtent l="0" t="0" r="1905"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7"/>
                    <a:stretch>
                      <a:fillRect/>
                    </a:stretch>
                  </pic:blipFill>
                  <pic:spPr>
                    <a:xfrm>
                      <a:off x="0" y="0"/>
                      <a:ext cx="5268595" cy="3101975"/>
                    </a:xfrm>
                    <a:prstGeom prst="rect">
                      <a:avLst/>
                    </a:prstGeom>
                    <a:noFill/>
                    <a:ln>
                      <a:noFill/>
                    </a:ln>
                  </pic:spPr>
                </pic:pic>
              </a:graphicData>
            </a:graphic>
          </wp:inline>
        </w:drawing>
      </w:r>
    </w:p>
    <w:p>
      <w:pPr>
        <w:numPr>
          <w:ilvl w:val="0"/>
          <w:numId w:val="0"/>
        </w:numPr>
        <w:ind w:leftChars="200"/>
        <w:outlineLvl w:val="1"/>
        <w:rPr>
          <w:rFonts w:hint="eastAsia" w:ascii="宋体" w:hAnsi="宋体" w:cs="宋体"/>
          <w:color w:val="auto"/>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7</w:t>
      </w:r>
      <w:r>
        <w:rPr>
          <w:rFonts w:hint="eastAsia" w:ascii="宋体" w:hAnsi="宋体" w:eastAsia="宋体" w:cs="宋体"/>
          <w:color w:val="auto"/>
          <w:sz w:val="24"/>
          <w:szCs w:val="24"/>
          <w:highlight w:val="none"/>
          <w:lang w:val="en-US" w:eastAsia="zh-CN"/>
        </w:rPr>
        <w:t>.未被“国家企业信用信息公示系统”-“列入经营异常名录信息”</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(查询地址：</w:t>
      </w:r>
      <w:r>
        <w:rPr>
          <w:rFonts w:hint="eastAsia" w:ascii="宋体" w:hAnsi="宋体" w:eastAsia="宋体" w:cs="宋体"/>
          <w:color w:val="auto"/>
          <w:sz w:val="24"/>
          <w:szCs w:val="24"/>
          <w:highlight w:val="none"/>
          <w:u w:val="none"/>
          <w:lang w:val="en-US" w:eastAsia="zh-CN"/>
        </w:rPr>
        <w:t>https://www.gsxt.gov.cn/）</w:t>
      </w:r>
    </w:p>
    <w:p>
      <w:pPr>
        <w:numPr>
          <w:ilvl w:val="0"/>
          <w:numId w:val="0"/>
        </w:numPr>
        <w:ind w:leftChars="200"/>
        <w:outlineLvl w:val="1"/>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截图示例如下：【请删除示例】</w:t>
      </w:r>
    </w:p>
    <w:p>
      <w:pPr>
        <w:pStyle w:val="6"/>
        <w:ind w:left="0" w:leftChars="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7960" cy="2881630"/>
            <wp:effectExtent l="0" t="0" r="2540" b="127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
                    <a:stretch>
                      <a:fillRect/>
                    </a:stretch>
                  </pic:blipFill>
                  <pic:spPr>
                    <a:xfrm>
                      <a:off x="0" y="0"/>
                      <a:ext cx="5267960" cy="2881630"/>
                    </a:xfrm>
                    <a:prstGeom prst="rect">
                      <a:avLst/>
                    </a:prstGeom>
                    <a:noFill/>
                    <a:ln>
                      <a:noFill/>
                    </a:ln>
                  </pic:spPr>
                </pic:pic>
              </a:graphicData>
            </a:graphic>
          </wp:inline>
        </w:drawing>
      </w:r>
    </w:p>
    <w:p>
      <w:pPr>
        <w:numPr>
          <w:ilvl w:val="0"/>
          <w:numId w:val="0"/>
        </w:numPr>
        <w:ind w:firstLine="240" w:firstLineChars="100"/>
        <w:outlineLvl w:val="1"/>
        <w:rPr>
          <w:rFonts w:hint="eastAsia" w:ascii="宋体" w:hAnsi="宋体" w:cs="宋体"/>
          <w:color w:val="auto"/>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numPr>
          <w:ilvl w:val="0"/>
          <w:numId w:val="0"/>
        </w:numPr>
        <w:ind w:firstLine="240" w:firstLineChars="1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8.</w:t>
      </w:r>
      <w:r>
        <w:rPr>
          <w:rFonts w:hint="eastAsia" w:ascii="宋体" w:hAnsi="宋体" w:eastAsia="宋体" w:cs="宋体"/>
          <w:color w:val="auto"/>
          <w:sz w:val="24"/>
          <w:szCs w:val="24"/>
          <w:highlight w:val="none"/>
          <w:lang w:val="en-US" w:eastAsia="zh-CN"/>
        </w:rPr>
        <w:t>提供业务连续性管理相关制度、服务响应方案</w:t>
      </w:r>
    </w:p>
    <w:p>
      <w:pPr>
        <w:pStyle w:val="6"/>
        <w:rPr>
          <w:rFonts w:hint="eastAsia" w:ascii="宋体" w:hAnsi="宋体" w:eastAsia="宋体" w:cs="宋体"/>
          <w:color w:val="auto"/>
          <w:sz w:val="24"/>
          <w:szCs w:val="24"/>
          <w:highlight w:val="none"/>
          <w:lang w:val="en-US" w:eastAsia="zh-CN"/>
        </w:rPr>
      </w:pPr>
    </w:p>
    <w:p>
      <w:pPr>
        <w:pStyle w:val="7"/>
        <w:rPr>
          <w:rFonts w:hint="eastAsia"/>
          <w:lang w:val="en-US" w:eastAsia="zh-CN"/>
        </w:rPr>
      </w:pPr>
    </w:p>
    <w:p>
      <w:pPr>
        <w:numPr>
          <w:ilvl w:val="0"/>
          <w:numId w:val="0"/>
        </w:numPr>
        <w:ind w:firstLine="480" w:firstLineChars="200"/>
        <w:outlineLvl w:val="1"/>
        <w:rPr>
          <w:rFonts w:hint="eastAsia" w:ascii="宋体" w:hAnsi="宋体" w:cs="宋体"/>
          <w:color w:val="auto"/>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numPr>
          <w:ilvl w:val="0"/>
          <w:numId w:val="0"/>
        </w:numPr>
        <w:ind w:firstLine="480" w:firstLineChars="200"/>
        <w:outlineLvl w:val="1"/>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9</w:t>
      </w:r>
      <w:r>
        <w:rPr>
          <w:rFonts w:hint="eastAsia" w:ascii="宋体" w:hAnsi="宋体" w:eastAsia="宋体" w:cs="宋体"/>
          <w:color w:val="auto"/>
          <w:sz w:val="24"/>
          <w:szCs w:val="24"/>
          <w:highlight w:val="none"/>
          <w:lang w:val="en-US" w:eastAsia="zh-CN"/>
        </w:rPr>
        <w:t>.投标人必须通过软件能力成熟度CMMI资质认证（</w:t>
      </w:r>
      <w:r>
        <w:rPr>
          <w:rFonts w:hint="eastAsia" w:ascii="宋体" w:hAnsi="宋体" w:cs="宋体"/>
          <w:color w:val="auto"/>
          <w:sz w:val="24"/>
          <w:szCs w:val="24"/>
          <w:highlight w:val="none"/>
          <w:lang w:val="en-US" w:eastAsia="zh-CN"/>
        </w:rPr>
        <w:t>5</w:t>
      </w:r>
      <w:r>
        <w:rPr>
          <w:rFonts w:hint="eastAsia" w:ascii="宋体" w:hAnsi="宋体" w:eastAsia="宋体" w:cs="宋体"/>
          <w:color w:val="auto"/>
          <w:sz w:val="24"/>
          <w:szCs w:val="24"/>
          <w:highlight w:val="none"/>
          <w:lang w:val="en-US" w:eastAsia="zh-CN"/>
        </w:rPr>
        <w:t>级），提供相关证明材料的复印件</w:t>
      </w:r>
    </w:p>
    <w:p>
      <w:pPr>
        <w:numPr>
          <w:ilvl w:val="0"/>
          <w:numId w:val="0"/>
        </w:numPr>
        <w:ind w:leftChars="200"/>
        <w:outlineLvl w:val="9"/>
        <w:rPr>
          <w:rFonts w:hint="eastAsia" w:ascii="宋体" w:hAnsi="宋体" w:eastAsia="宋体" w:cs="宋体"/>
          <w:color w:val="auto"/>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sectPr>
          <w:pgSz w:w="11906" w:h="16838"/>
          <w:pgMar w:top="1440" w:right="1800" w:bottom="1440" w:left="1800" w:header="851" w:footer="992" w:gutter="0"/>
          <w:cols w:space="425" w:num="1"/>
          <w:docGrid w:type="lines" w:linePitch="312" w:charSpace="0"/>
        </w:sect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pStyle w:val="7"/>
        <w:keepNext w:val="0"/>
        <w:keepLines w:val="0"/>
        <w:widowControl w:val="0"/>
        <w:numPr>
          <w:ilvl w:val="0"/>
          <w:numId w:val="0"/>
        </w:numPr>
        <w:suppressLineNumbers w:val="0"/>
        <w:topLinePunct/>
        <w:spacing w:before="0" w:beforeAutospacing="0" w:after="0" w:afterAutospacing="0"/>
        <w:ind w:leftChars="200" w:right="0" w:rightChars="0"/>
        <w:jc w:val="both"/>
        <w:rPr>
          <w:rFonts w:hint="eastAsia" w:ascii="宋体" w:hAnsi="宋体" w:eastAsia="宋体" w:cs="宋体"/>
          <w:color w:val="000000"/>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二、与本项目相关的案例情况</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9"/>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rPr>
        <w:t>《</w:t>
      </w:r>
      <w:r>
        <w:rPr>
          <w:rFonts w:hint="eastAsia" w:ascii="宋体" w:hAnsi="宋体" w:eastAsia="宋体" w:cs="宋体"/>
          <w:b w:val="0"/>
          <w:bCs w:val="0"/>
          <w:sz w:val="24"/>
          <w:szCs w:val="24"/>
          <w:highlight w:val="none"/>
          <w:lang w:val="en-US" w:eastAsia="zh-CN"/>
        </w:rPr>
        <w:t>厦门国际银行</w:t>
      </w:r>
      <w:r>
        <w:rPr>
          <w:rFonts w:hint="eastAsia" w:ascii="宋体" w:hAnsi="宋体" w:cs="宋体"/>
          <w:b w:val="0"/>
          <w:bCs w:val="0"/>
          <w:sz w:val="24"/>
          <w:szCs w:val="24"/>
          <w:highlight w:val="none"/>
          <w:lang w:val="en-US" w:eastAsia="zh-CN"/>
        </w:rPr>
        <w:t>财资管理</w:t>
      </w:r>
      <w:r>
        <w:rPr>
          <w:rFonts w:hint="eastAsia" w:ascii="宋体" w:hAnsi="宋体" w:eastAsia="宋体" w:cs="宋体"/>
          <w:b w:val="0"/>
          <w:bCs w:val="0"/>
          <w:sz w:val="24"/>
          <w:szCs w:val="24"/>
          <w:highlight w:val="none"/>
          <w:lang w:val="en-US" w:eastAsia="zh-CN"/>
        </w:rPr>
        <w:t>系统建设项目</w:t>
      </w:r>
      <w:r>
        <w:rPr>
          <w:rFonts w:hint="eastAsia" w:ascii="宋体" w:hAnsi="宋体" w:eastAsia="宋体" w:cs="宋体"/>
          <w:b w:val="0"/>
          <w:bCs w:val="0"/>
          <w:sz w:val="24"/>
          <w:szCs w:val="24"/>
          <w:highlight w:val="none"/>
        </w:rPr>
        <w:t>》相关案例情况：</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9"/>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rPr>
        <w:t>（</w:t>
      </w:r>
      <w:r>
        <w:rPr>
          <w:rFonts w:hint="eastAsia" w:ascii="宋体" w:hAnsi="宋体" w:eastAsia="宋体" w:cs="宋体"/>
          <w:b w:val="0"/>
          <w:bCs w:val="0"/>
          <w:sz w:val="24"/>
          <w:szCs w:val="24"/>
          <w:highlight w:val="none"/>
          <w:lang w:val="en-US" w:eastAsia="zh-CN"/>
        </w:rPr>
        <w:t>优先提供2022年1月1日至今与</w:t>
      </w:r>
      <w:r>
        <w:rPr>
          <w:rFonts w:hint="default" w:ascii="宋体" w:hAnsi="宋体" w:eastAsia="宋体" w:cs="宋体"/>
          <w:b w:val="0"/>
          <w:bCs w:val="0"/>
          <w:sz w:val="24"/>
          <w:szCs w:val="24"/>
          <w:highlight w:val="none"/>
          <w:lang w:val="en-US" w:eastAsia="zh-CN"/>
        </w:rPr>
        <w:t>20</w:t>
      </w:r>
      <w:r>
        <w:rPr>
          <w:rFonts w:hint="eastAsia" w:ascii="宋体" w:hAnsi="宋体" w:eastAsia="宋体" w:cs="宋体"/>
          <w:b w:val="0"/>
          <w:bCs w:val="0"/>
          <w:sz w:val="24"/>
          <w:szCs w:val="24"/>
          <w:highlight w:val="none"/>
          <w:lang w:val="en-US" w:eastAsia="zh-CN"/>
        </w:rPr>
        <w:t>家国内系统重要性银行总分行或科技子公司合作开展</w:t>
      </w:r>
      <w:r>
        <w:rPr>
          <w:rFonts w:hint="eastAsia" w:ascii="宋体" w:hAnsi="宋体" w:cs="宋体"/>
          <w:b w:val="0"/>
          <w:bCs w:val="0"/>
          <w:sz w:val="24"/>
          <w:szCs w:val="24"/>
          <w:highlight w:val="none"/>
          <w:lang w:val="en-US" w:eastAsia="zh-CN"/>
        </w:rPr>
        <w:t>财资管理</w:t>
      </w:r>
      <w:r>
        <w:rPr>
          <w:rFonts w:hint="eastAsia" w:ascii="宋体" w:hAnsi="宋体" w:eastAsia="宋体" w:cs="宋体"/>
          <w:b w:val="0"/>
          <w:bCs w:val="0"/>
          <w:sz w:val="24"/>
          <w:szCs w:val="24"/>
          <w:highlight w:val="none"/>
          <w:lang w:val="en-US" w:eastAsia="zh-CN"/>
        </w:rPr>
        <w:t>系统相关的建设项目案例）</w:t>
      </w:r>
    </w:p>
    <w:tbl>
      <w:tblPr>
        <w:tblStyle w:val="1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2"/>
        <w:gridCol w:w="2497"/>
        <w:gridCol w:w="1721"/>
        <w:gridCol w:w="1877"/>
        <w:gridCol w:w="1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570"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序号</w:t>
            </w:r>
          </w:p>
        </w:tc>
        <w:tc>
          <w:tcPr>
            <w:tcW w:w="1465"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甲方</w:t>
            </w:r>
          </w:p>
        </w:tc>
        <w:tc>
          <w:tcPr>
            <w:tcW w:w="1010"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合同名称</w:t>
            </w:r>
          </w:p>
        </w:tc>
        <w:tc>
          <w:tcPr>
            <w:tcW w:w="1101"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案例简介</w:t>
            </w:r>
          </w:p>
        </w:tc>
        <w:tc>
          <w:tcPr>
            <w:tcW w:w="852" w:type="pct"/>
            <w:vAlign w:val="center"/>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页码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1465" w:type="pct"/>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例：建设银行</w:t>
            </w:r>
            <w:r>
              <w:rPr>
                <w:rFonts w:hint="eastAsia" w:ascii="宋体" w:hAnsi="宋体" w:eastAsia="宋体" w:cs="宋体"/>
                <w:sz w:val="24"/>
                <w:szCs w:val="24"/>
              </w:rPr>
              <w:br w:type="textWrapping"/>
            </w:r>
            <w:r>
              <w:rPr>
                <w:rFonts w:hint="eastAsia" w:ascii="宋体" w:hAnsi="宋体" w:eastAsia="宋体" w:cs="宋体"/>
                <w:sz w:val="24"/>
                <w:szCs w:val="24"/>
              </w:rPr>
              <w:t>（甲方全称）</w:t>
            </w: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查见本文档第四部分第*页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w:t>
            </w:r>
          </w:p>
        </w:tc>
        <w:tc>
          <w:tcPr>
            <w:tcW w:w="1465"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465"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57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465"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010"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1101"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c>
          <w:tcPr>
            <w:tcW w:w="852" w:type="pct"/>
          </w:tcPr>
          <w:p>
            <w:pPr>
              <w:keepNext w:val="0"/>
              <w:keepLines w:val="0"/>
              <w:pageBreakBefore w:val="0"/>
              <w:widowControl w:val="0"/>
              <w:kinsoku/>
              <w:wordWrap/>
              <w:overflowPunct/>
              <w:topLinePunct/>
              <w:autoSpaceDE/>
              <w:autoSpaceDN/>
              <w:bidi w:val="0"/>
              <w:adjustRightInd/>
              <w:snapToGrid/>
              <w:spacing w:line="460" w:lineRule="exact"/>
              <w:textAlignment w:val="auto"/>
              <w:rPr>
                <w:rFonts w:hint="eastAsia" w:ascii="宋体" w:hAnsi="宋体" w:eastAsia="宋体" w:cs="宋体"/>
                <w:sz w:val="24"/>
                <w:szCs w:val="24"/>
              </w:rPr>
            </w:pPr>
          </w:p>
        </w:tc>
      </w:tr>
    </w:tbl>
    <w:p>
      <w:pPr>
        <w:keepNext w:val="0"/>
        <w:keepLines w:val="0"/>
        <w:pageBreakBefore w:val="0"/>
        <w:kinsoku/>
        <w:wordWrap/>
        <w:overflowPunct/>
        <w:autoSpaceDE/>
        <w:autoSpaceDN/>
        <w:bidi w:val="0"/>
        <w:adjustRightInd/>
        <w:snapToGrid/>
        <w:spacing w:line="579" w:lineRule="exact"/>
        <w:ind w:firstLine="482" w:firstLineChars="200"/>
        <w:textAlignment w:val="auto"/>
        <w:outlineLvl w:val="9"/>
        <w:rPr>
          <w:rFonts w:hint="eastAsia" w:ascii="宋体" w:hAnsi="宋体" w:eastAsia="宋体" w:cs="宋体"/>
          <w:b/>
          <w:bCs/>
          <w:color w:val="FF0000"/>
          <w:sz w:val="24"/>
          <w:szCs w:val="24"/>
          <w:lang w:val="en-US" w:eastAsia="zh-CN"/>
        </w:rPr>
      </w:pPr>
      <w:r>
        <w:rPr>
          <w:rFonts w:hint="eastAsia" w:ascii="宋体" w:hAnsi="宋体" w:eastAsia="宋体" w:cs="宋体"/>
          <w:b/>
          <w:bCs/>
          <w:color w:val="FF0000"/>
          <w:sz w:val="24"/>
          <w:szCs w:val="24"/>
          <w:lang w:val="en-US" w:eastAsia="zh-CN"/>
        </w:rPr>
        <w:t>在此根据上述合作所列合同清单依次附录合同证明材料。服务内容证明页的扫描件</w:t>
      </w:r>
      <w:r>
        <w:rPr>
          <w:rFonts w:hint="eastAsia" w:ascii="宋体" w:hAnsi="宋体" w:cs="宋体"/>
          <w:b/>
          <w:bCs/>
          <w:color w:val="FF0000"/>
          <w:sz w:val="24"/>
          <w:szCs w:val="24"/>
          <w:lang w:val="en-US" w:eastAsia="zh-CN"/>
        </w:rPr>
        <w:t>（须体现清晰完整的合同关键页，如项目建设内容、系统是否在国产化环境下建设、合同签订时间及合同双方盖章等，如合同中无法体现系统是否在国产化环境下建设，须另附其他有效证明材料，不满足上述要求的案例，计为无效案例）</w:t>
      </w:r>
      <w:r>
        <w:rPr>
          <w:rFonts w:hint="eastAsia" w:ascii="宋体" w:hAnsi="宋体" w:eastAsia="宋体" w:cs="宋体"/>
          <w:b/>
          <w:bCs/>
          <w:color w:val="FF000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三、详细介绍</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2"/>
        <w:rPr>
          <w:rFonts w:hint="eastAsia" w:ascii="宋体" w:hAnsi="宋体" w:eastAsia="宋体" w:cs="宋体"/>
          <w:b w:val="0"/>
          <w:bCs w:val="0"/>
          <w:sz w:val="24"/>
          <w:szCs w:val="24"/>
        </w:rPr>
      </w:pP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lang w:val="en-US" w:eastAsia="zh-CN"/>
        </w:rPr>
        <w:t>一</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rPr>
        <w:t>公司简介</w:t>
      </w:r>
    </w:p>
    <w:p>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480" w:firstLineChars="200"/>
        <w:jc w:val="left"/>
        <w:textAlignment w:val="auto"/>
        <w:rPr>
          <w:rFonts w:hint="eastAsia" w:ascii="宋体" w:hAnsi="宋体" w:eastAsia="宋体" w:cs="宋体"/>
          <w:bCs/>
          <w:color w:val="0000FF"/>
          <w:sz w:val="24"/>
          <w:szCs w:val="24"/>
        </w:rPr>
      </w:pPr>
      <w:r>
        <w:rPr>
          <w:rFonts w:hint="eastAsia" w:ascii="宋体" w:hAnsi="宋体" w:eastAsia="宋体" w:cs="宋体"/>
          <w:color w:val="000000" w:themeColor="text1"/>
          <w:sz w:val="24"/>
          <w:szCs w:val="24"/>
          <w:lang w:val="en-US" w:eastAsia="zh-CN"/>
          <w14:textFill>
            <w14:solidFill>
              <w14:schemeClr w14:val="tx1"/>
            </w14:solidFill>
          </w14:textFill>
        </w:rPr>
        <w:t>包括但不限于：公司全称，统一社会信用代码，公司类型，注册资本，法人代表姓名，企业网址，纳税人类型，员工数量，公司通讯地址及邮编，联系人及职务，联系人手机号码及电子邮箱地址，公司主营业务，分公司或办事处的详细地址和联系方式。</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2"/>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lang w:eastAsia="zh-CN"/>
        </w:rPr>
        <w:t>（二）公司资质、认证等材料（</w:t>
      </w:r>
      <w:r>
        <w:rPr>
          <w:rFonts w:hint="eastAsia" w:ascii="宋体" w:hAnsi="宋体" w:eastAsia="宋体" w:cs="宋体"/>
          <w:b w:val="0"/>
          <w:bCs w:val="0"/>
          <w:sz w:val="24"/>
          <w:szCs w:val="24"/>
          <w:lang w:val="en-US" w:eastAsia="zh-CN"/>
        </w:rPr>
        <w:t>扫描件</w:t>
      </w:r>
      <w:r>
        <w:rPr>
          <w:rFonts w:hint="eastAsia" w:ascii="宋体" w:hAnsi="宋体" w:eastAsia="宋体" w:cs="宋体"/>
          <w:b w:val="0"/>
          <w:bCs w:val="0"/>
          <w:sz w:val="24"/>
          <w:szCs w:val="24"/>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包括但不限于：</w:t>
      </w:r>
    </w:p>
    <w:p>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1.行业资质认证。例如：质量管理体系认证，环境管理体系认证，职业健康安全管理体系认证等。</w:t>
      </w:r>
    </w:p>
    <w:p>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2.产品认证。如3C 认证等。</w:t>
      </w:r>
    </w:p>
    <w:p>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480" w:firstLineChars="200"/>
        <w:jc w:val="left"/>
        <w:textAlignment w:val="auto"/>
        <w:rPr>
          <w:rFonts w:hint="eastAsia" w:ascii="宋体" w:hAnsi="宋体" w:eastAsia="宋体" w:cs="宋体"/>
          <w:bCs/>
          <w:sz w:val="24"/>
          <w:szCs w:val="24"/>
        </w:rPr>
      </w:pPr>
      <w:r>
        <w:rPr>
          <w:rFonts w:hint="eastAsia" w:ascii="宋体" w:hAnsi="宋体" w:eastAsia="宋体" w:cs="宋体"/>
          <w:color w:val="000000" w:themeColor="text1"/>
          <w:sz w:val="24"/>
          <w:szCs w:val="24"/>
          <w:lang w:val="en-US" w:eastAsia="zh-CN"/>
          <w14:textFill>
            <w14:solidFill>
              <w14:schemeClr w14:val="tx1"/>
            </w14:solidFill>
          </w14:textFill>
        </w:rPr>
        <w:t>3.技术能力介绍：①公司拥有的自主知识产权名称、数量（须提供扫描件作为证明），②行业内龙头企业排名或优质企业资质认证材料。</w:t>
      </w:r>
    </w:p>
    <w:p>
      <w:pPr>
        <w:keepNext w:val="0"/>
        <w:keepLines w:val="0"/>
        <w:pageBreakBefore w:val="0"/>
        <w:kinsoku/>
        <w:wordWrap/>
        <w:overflowPunct/>
        <w:autoSpaceDE/>
        <w:autoSpaceDN/>
        <w:bidi w:val="0"/>
        <w:adjustRightInd/>
        <w:snapToGrid/>
        <w:spacing w:line="579" w:lineRule="exact"/>
        <w:ind w:firstLine="480" w:firstLineChars="200"/>
        <w:textAlignment w:val="auto"/>
        <w:outlineLvl w:val="2"/>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（三）与厦门国际银行历史合作情况</w:t>
      </w:r>
    </w:p>
    <w:tbl>
      <w:tblPr>
        <w:tblStyle w:val="10"/>
        <w:tblpPr w:leftFromText="180" w:rightFromText="180" w:vertAnchor="text" w:horzAnchor="page" w:tblpX="1894" w:tblpY="345"/>
        <w:tblOverlap w:val="never"/>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97"/>
        <w:gridCol w:w="1691"/>
        <w:gridCol w:w="1265"/>
        <w:gridCol w:w="1233"/>
        <w:gridCol w:w="1276"/>
        <w:gridCol w:w="21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3" w:hRule="atLeast"/>
        </w:trPr>
        <w:tc>
          <w:tcPr>
            <w:tcW w:w="852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480" w:firstLineChars="200"/>
              <w:jc w:val="left"/>
              <w:textAlignment w:val="auto"/>
              <w:rPr>
                <w:rFonts w:hint="eastAsia" w:ascii="宋体" w:hAnsi="宋体" w:eastAsia="宋体" w:cs="宋体"/>
                <w:b/>
                <w:bCs/>
                <w:i w:val="0"/>
                <w:iCs w:val="0"/>
                <w:color w:val="000000"/>
                <w:sz w:val="24"/>
                <w:szCs w:val="24"/>
                <w:u w:val="none"/>
              </w:rPr>
            </w:pPr>
            <w:r>
              <w:rPr>
                <w:rFonts w:hint="eastAsia" w:ascii="宋体" w:hAnsi="宋体" w:eastAsia="宋体" w:cs="宋体"/>
                <w:color w:val="000000" w:themeColor="text1"/>
                <w:sz w:val="24"/>
                <w:szCs w:val="24"/>
                <w:lang w:val="en-US" w:eastAsia="zh-CN"/>
                <w14:textFill>
                  <w14:solidFill>
                    <w14:schemeClr w14:val="tx1"/>
                  </w14:solidFill>
                </w14:textFill>
              </w:rPr>
              <w:t>提供</w:t>
            </w:r>
            <w:r>
              <w:rPr>
                <w:rFonts w:hint="eastAsia" w:ascii="宋体" w:hAnsi="宋体" w:cs="宋体"/>
                <w:color w:val="000000" w:themeColor="text1"/>
                <w:sz w:val="24"/>
                <w:szCs w:val="24"/>
                <w:lang w:val="en-US" w:eastAsia="zh-CN"/>
                <w14:textFill>
                  <w14:solidFill>
                    <w14:schemeClr w14:val="tx1"/>
                  </w14:solidFill>
                </w14:textFill>
              </w:rPr>
              <w:t>2023年至今</w:t>
            </w:r>
            <w:r>
              <w:rPr>
                <w:rFonts w:hint="eastAsia" w:ascii="宋体" w:hAnsi="宋体" w:eastAsia="宋体" w:cs="宋体"/>
                <w:color w:val="000000" w:themeColor="text1"/>
                <w:sz w:val="24"/>
                <w:szCs w:val="24"/>
                <w:lang w:val="en-US" w:eastAsia="zh-CN"/>
                <w14:textFill>
                  <w14:solidFill>
                    <w14:schemeClr w14:val="tx1"/>
                  </w14:solidFill>
                </w14:textFill>
              </w:rPr>
              <w:t>与厦门国际银行采购合作情况，并说明是否在与厦门国际银行的历史合作期间出现违约或严重过失行为的情况说明。</w:t>
            </w:r>
            <w:r>
              <w:rPr>
                <w:rFonts w:hint="eastAsia" w:ascii="宋体" w:hAnsi="宋体" w:eastAsia="宋体" w:cs="宋体"/>
                <w:b/>
                <w:bCs/>
                <w:i w:val="0"/>
                <w:iCs w:val="0"/>
                <w:color w:val="000000"/>
                <w:kern w:val="0"/>
                <w:sz w:val="24"/>
                <w:szCs w:val="24"/>
                <w:u w:val="none"/>
                <w:lang w:val="en-US" w:eastAsia="zh-CN" w:bidi="ar"/>
              </w:rPr>
              <w:t>与厦门国际银行合作情况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94"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autoSpaceDE/>
              <w:autoSpaceDN/>
              <w:bidi w:val="0"/>
              <w:adjustRightInd/>
              <w:snapToGrid/>
              <w:spacing w:line="460" w:lineRule="exact"/>
              <w:ind w:left="0" w:leftChars="0"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6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autoSpaceDE/>
              <w:autoSpaceDN/>
              <w:bidi w:val="0"/>
              <w:adjustRightInd/>
              <w:snapToGrid/>
              <w:spacing w:line="460" w:lineRule="exact"/>
              <w:ind w:left="0" w:leftChars="0"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合作起止时间</w:t>
            </w:r>
          </w:p>
        </w:tc>
        <w:tc>
          <w:tcPr>
            <w:tcW w:w="12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autoSpaceDE/>
              <w:autoSpaceDN/>
              <w:bidi w:val="0"/>
              <w:adjustRightInd/>
              <w:snapToGrid/>
              <w:spacing w:line="460" w:lineRule="exact"/>
              <w:ind w:left="0" w:leftChars="0"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合同名称</w:t>
            </w:r>
          </w:p>
        </w:tc>
        <w:tc>
          <w:tcPr>
            <w:tcW w:w="123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autoSpaceDE/>
              <w:autoSpaceDN/>
              <w:bidi w:val="0"/>
              <w:adjustRightInd/>
              <w:snapToGrid/>
              <w:spacing w:line="460" w:lineRule="exact"/>
              <w:ind w:left="0" w:leftChars="0"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合同编号</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autoSpaceDE/>
              <w:autoSpaceDN/>
              <w:bidi w:val="0"/>
              <w:adjustRightInd/>
              <w:snapToGrid/>
              <w:spacing w:line="460" w:lineRule="exact"/>
              <w:ind w:left="0" w:leftChars="0"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厦门国际银行机构名称</w:t>
            </w:r>
          </w:p>
        </w:tc>
        <w:tc>
          <w:tcPr>
            <w:tcW w:w="215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autoSpaceDE/>
              <w:autoSpaceDN/>
              <w:bidi w:val="0"/>
              <w:adjustRightInd/>
              <w:snapToGrid/>
              <w:spacing w:line="460" w:lineRule="exact"/>
              <w:ind w:left="0" w:leftChars="0" w:firstLine="0" w:firstLineChars="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与厦门国际银行历史合作期间出现违约或严重过失行为的情况说明（不限于近两年）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6"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21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21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1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21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8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p>
        </w:tc>
        <w:tc>
          <w:tcPr>
            <w:tcW w:w="16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12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c>
          <w:tcPr>
            <w:tcW w:w="21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both"/>
              <w:rPr>
                <w:rFonts w:hint="eastAsia" w:ascii="宋体" w:hAnsi="宋体" w:eastAsia="宋体" w:cs="宋体"/>
                <w:i w:val="0"/>
                <w:iCs w:val="0"/>
                <w:color w:val="000000"/>
                <w:sz w:val="24"/>
                <w:szCs w:val="24"/>
                <w:u w:val="none"/>
              </w:rPr>
            </w:pPr>
          </w:p>
        </w:tc>
      </w:tr>
    </w:tbl>
    <w:p>
      <w:pPr>
        <w:keepNext w:val="0"/>
        <w:keepLines w:val="0"/>
        <w:pageBreakBefore w:val="0"/>
        <w:widowControl w:val="0"/>
        <w:kinsoku/>
        <w:wordWrap/>
        <w:overflowPunct/>
        <w:topLinePunct w:val="0"/>
        <w:autoSpaceDE/>
        <w:autoSpaceDN/>
        <w:bidi w:val="0"/>
        <w:adjustRightInd/>
        <w:snapToGrid/>
        <w:spacing w:line="579" w:lineRule="exact"/>
        <w:jc w:val="left"/>
        <w:textAlignment w:val="auto"/>
        <w:outlineLvl w:val="9"/>
        <w:rPr>
          <w:rFonts w:hint="eastAsia" w:ascii="宋体" w:hAnsi="宋体" w:eastAsia="宋体" w:cs="宋体"/>
          <w:b/>
          <w:sz w:val="24"/>
          <w:szCs w:val="24"/>
          <w:lang w:val="en-US" w:eastAsia="zh-CN"/>
        </w:rPr>
      </w:pPr>
    </w:p>
    <w:p>
      <w:pPr>
        <w:rPr>
          <w:rFonts w:hint="eastAsia" w:ascii="宋体" w:hAnsi="宋体" w:eastAsia="宋体" w:cs="宋体"/>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彩虹粗仿宋">
    <w:altName w:val="仿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9"/>
    <w:multiLevelType w:val="multilevel"/>
    <w:tmpl w:val="00000019"/>
    <w:lvl w:ilvl="0" w:tentative="0">
      <w:start w:val="1"/>
      <w:numFmt w:val="decimal"/>
      <w:lvlText w:val="%1"/>
      <w:lvlJc w:val="left"/>
      <w:pPr>
        <w:tabs>
          <w:tab w:val="left" w:pos="432"/>
        </w:tabs>
        <w:ind w:left="432" w:hanging="432"/>
      </w:pPr>
      <w:rPr>
        <w:rFonts w:hint="default" w:ascii="Times New Roman" w:hAnsi="Times New Roman" w:eastAsia="宋体"/>
      </w:rPr>
    </w:lvl>
    <w:lvl w:ilvl="1" w:tentative="0">
      <w:start w:val="1"/>
      <w:numFmt w:val="decimal"/>
      <w:lvlText w:val="%1.%2"/>
      <w:lvlJc w:val="left"/>
      <w:pPr>
        <w:tabs>
          <w:tab w:val="left" w:pos="576"/>
        </w:tabs>
        <w:ind w:left="576" w:hanging="576"/>
      </w:pPr>
      <w:rPr>
        <w:rFonts w:hint="default" w:ascii="Times New Roman" w:hAnsi="Times New Roman" w:eastAsia="宋体"/>
      </w:rPr>
    </w:lvl>
    <w:lvl w:ilvl="2" w:tentative="0">
      <w:start w:val="1"/>
      <w:numFmt w:val="decimal"/>
      <w:lvlText w:val="%1.%2.%3"/>
      <w:lvlJc w:val="left"/>
      <w:pPr>
        <w:tabs>
          <w:tab w:val="left" w:pos="720"/>
        </w:tabs>
        <w:ind w:left="720" w:hanging="720"/>
      </w:pPr>
      <w:rPr>
        <w:rFonts w:hint="default" w:ascii="Times New Roman" w:hAnsi="Times New Roman" w:eastAsia="宋体"/>
      </w:rPr>
    </w:lvl>
    <w:lvl w:ilvl="3" w:tentative="0">
      <w:start w:val="1"/>
      <w:numFmt w:val="decimal"/>
      <w:pStyle w:val="2"/>
      <w:lvlText w:val="%1.%2.%3.%4"/>
      <w:lvlJc w:val="left"/>
      <w:pPr>
        <w:tabs>
          <w:tab w:val="left" w:pos="864"/>
        </w:tabs>
        <w:ind w:left="864" w:hanging="864"/>
      </w:pPr>
      <w:rPr>
        <w:rFonts w:hint="default" w:ascii="Times New Roman" w:hAnsi="Times New Roman" w:eastAsia="宋体"/>
      </w:rPr>
    </w:lvl>
    <w:lvl w:ilvl="4" w:tentative="0">
      <w:start w:val="1"/>
      <w:numFmt w:val="decimal"/>
      <w:lvlText w:val="%1.%2.%3.%4.%5"/>
      <w:lvlJc w:val="left"/>
      <w:pPr>
        <w:tabs>
          <w:tab w:val="left" w:pos="1008"/>
        </w:tabs>
        <w:ind w:left="1008" w:hanging="1008"/>
      </w:pPr>
      <w:rPr>
        <w:rFonts w:hint="default" w:ascii="Times New Roman" w:hAnsi="Times New Roman" w:eastAsia="宋体"/>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
    <w:nsid w:val="36C42D9A"/>
    <w:multiLevelType w:val="multilevel"/>
    <w:tmpl w:val="36C42D9A"/>
    <w:lvl w:ilvl="0" w:tentative="0">
      <w:start w:val="1"/>
      <w:numFmt w:val="decimal"/>
      <w:lvlText w:val="%1."/>
      <w:lvlJc w:val="left"/>
      <w:pPr>
        <w:tabs>
          <w:tab w:val="left" w:pos="425"/>
        </w:tabs>
        <w:ind w:left="425" w:hanging="425"/>
      </w:pPr>
      <w:rPr>
        <w:rFonts w:hint="default" w:ascii="Times New Roman" w:hAnsi="Times New Roman" w:eastAsia="黑体"/>
        <w:b/>
        <w:i w:val="0"/>
        <w:sz w:val="36"/>
      </w:rPr>
    </w:lvl>
    <w:lvl w:ilvl="1" w:tentative="0">
      <w:start w:val="1"/>
      <w:numFmt w:val="decimal"/>
      <w:lvlText w:val="%1.%2."/>
      <w:lvlJc w:val="left"/>
      <w:pPr>
        <w:tabs>
          <w:tab w:val="left" w:pos="567"/>
        </w:tabs>
        <w:ind w:left="567" w:hanging="567"/>
      </w:pPr>
      <w:rPr>
        <w:rFonts w:hint="default" w:ascii="Times New Roman" w:hAnsi="Times New Roman" w:eastAsia="黑体"/>
        <w:b/>
        <w:i w:val="0"/>
        <w:sz w:val="30"/>
      </w:rPr>
    </w:lvl>
    <w:lvl w:ilvl="2" w:tentative="0">
      <w:start w:val="1"/>
      <w:numFmt w:val="decimal"/>
      <w:lvlText w:val="%1.%2.%3."/>
      <w:lvlJc w:val="left"/>
      <w:pPr>
        <w:tabs>
          <w:tab w:val="left" w:pos="1135"/>
        </w:tabs>
        <w:ind w:left="1135" w:hanging="709"/>
      </w:pPr>
      <w:rPr>
        <w:rFonts w:hint="eastAsia"/>
      </w:rPr>
    </w:lvl>
    <w:lvl w:ilvl="3" w:tentative="0">
      <w:start w:val="1"/>
      <w:numFmt w:val="decimal"/>
      <w:pStyle w:val="3"/>
      <w:isLgl/>
      <w:lvlText w:val="%1.%2.%3.%4."/>
      <w:lvlJc w:val="left"/>
      <w:pPr>
        <w:tabs>
          <w:tab w:val="left" w:pos="851"/>
        </w:tabs>
        <w:ind w:left="851" w:hanging="851"/>
      </w:pPr>
      <w:rPr>
        <w:rFonts w:hint="default" w:ascii="Times New Roman" w:hAnsi="Times New Roman" w:eastAsia="宋体"/>
        <w:b/>
        <w:i w:val="0"/>
        <w:sz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966279D"/>
    <w:rsid w:val="003058FF"/>
    <w:rsid w:val="004368FD"/>
    <w:rsid w:val="005E16A6"/>
    <w:rsid w:val="00664CBD"/>
    <w:rsid w:val="00BE37EE"/>
    <w:rsid w:val="00D07AE6"/>
    <w:rsid w:val="00E50727"/>
    <w:rsid w:val="016F27E7"/>
    <w:rsid w:val="017659F6"/>
    <w:rsid w:val="01793DA0"/>
    <w:rsid w:val="01A916C8"/>
    <w:rsid w:val="01E34D25"/>
    <w:rsid w:val="01FF0DD2"/>
    <w:rsid w:val="02303339"/>
    <w:rsid w:val="024C0ED1"/>
    <w:rsid w:val="02AC5A72"/>
    <w:rsid w:val="02AC7FF1"/>
    <w:rsid w:val="031F252E"/>
    <w:rsid w:val="03A11802"/>
    <w:rsid w:val="03C6073D"/>
    <w:rsid w:val="03E9547A"/>
    <w:rsid w:val="04174CC4"/>
    <w:rsid w:val="04177243"/>
    <w:rsid w:val="042929E0"/>
    <w:rsid w:val="043964FE"/>
    <w:rsid w:val="043D5677"/>
    <w:rsid w:val="0446450F"/>
    <w:rsid w:val="04AC2FBA"/>
    <w:rsid w:val="051F7A75"/>
    <w:rsid w:val="05556245"/>
    <w:rsid w:val="05700779"/>
    <w:rsid w:val="05B437EC"/>
    <w:rsid w:val="06254DA5"/>
    <w:rsid w:val="064033D0"/>
    <w:rsid w:val="06600081"/>
    <w:rsid w:val="06A83CF9"/>
    <w:rsid w:val="06AC0501"/>
    <w:rsid w:val="06CC711A"/>
    <w:rsid w:val="06D85838"/>
    <w:rsid w:val="07075397"/>
    <w:rsid w:val="0716432D"/>
    <w:rsid w:val="07560379"/>
    <w:rsid w:val="077446C6"/>
    <w:rsid w:val="07BF4B46"/>
    <w:rsid w:val="08302865"/>
    <w:rsid w:val="0842189C"/>
    <w:rsid w:val="087245E9"/>
    <w:rsid w:val="08793F74"/>
    <w:rsid w:val="088F4710"/>
    <w:rsid w:val="08A615C0"/>
    <w:rsid w:val="08C76272"/>
    <w:rsid w:val="091153EC"/>
    <w:rsid w:val="09122E6E"/>
    <w:rsid w:val="09781919"/>
    <w:rsid w:val="09A301DE"/>
    <w:rsid w:val="09D403DB"/>
    <w:rsid w:val="09F97ECE"/>
    <w:rsid w:val="0A3A19D7"/>
    <w:rsid w:val="0ACF1ECA"/>
    <w:rsid w:val="0AF7780B"/>
    <w:rsid w:val="0AFE7196"/>
    <w:rsid w:val="0B45790A"/>
    <w:rsid w:val="0BCC68EA"/>
    <w:rsid w:val="0C403025"/>
    <w:rsid w:val="0C7711FF"/>
    <w:rsid w:val="0C9D11C1"/>
    <w:rsid w:val="0CA230CA"/>
    <w:rsid w:val="0CB145DE"/>
    <w:rsid w:val="0CDD11A6"/>
    <w:rsid w:val="0CE8253A"/>
    <w:rsid w:val="0D583AF2"/>
    <w:rsid w:val="0DBC3817"/>
    <w:rsid w:val="0DE12751"/>
    <w:rsid w:val="0DED7F9F"/>
    <w:rsid w:val="0DF35EEF"/>
    <w:rsid w:val="0E2C1A86"/>
    <w:rsid w:val="0FCF7D7E"/>
    <w:rsid w:val="0FDD1292"/>
    <w:rsid w:val="0FF40EB8"/>
    <w:rsid w:val="105C1A17"/>
    <w:rsid w:val="10AB6468"/>
    <w:rsid w:val="1104237A"/>
    <w:rsid w:val="11314143"/>
    <w:rsid w:val="113B4A52"/>
    <w:rsid w:val="116B5221"/>
    <w:rsid w:val="117074AB"/>
    <w:rsid w:val="11991A21"/>
    <w:rsid w:val="11A90789"/>
    <w:rsid w:val="11CB4341"/>
    <w:rsid w:val="12974C65"/>
    <w:rsid w:val="12A56222"/>
    <w:rsid w:val="12B02035"/>
    <w:rsid w:val="12B23AE1"/>
    <w:rsid w:val="12C959E8"/>
    <w:rsid w:val="136712B7"/>
    <w:rsid w:val="13DD0D7A"/>
    <w:rsid w:val="13FA6B54"/>
    <w:rsid w:val="141879C0"/>
    <w:rsid w:val="142741A0"/>
    <w:rsid w:val="14684DBE"/>
    <w:rsid w:val="14927FCC"/>
    <w:rsid w:val="14CD7B51"/>
    <w:rsid w:val="1510089B"/>
    <w:rsid w:val="151F016D"/>
    <w:rsid w:val="1555358D"/>
    <w:rsid w:val="156825AE"/>
    <w:rsid w:val="15C80049"/>
    <w:rsid w:val="165E247A"/>
    <w:rsid w:val="167C6BF3"/>
    <w:rsid w:val="169A03A1"/>
    <w:rsid w:val="169D1326"/>
    <w:rsid w:val="17186E9E"/>
    <w:rsid w:val="171D50F7"/>
    <w:rsid w:val="1720607C"/>
    <w:rsid w:val="17687AF5"/>
    <w:rsid w:val="179773BA"/>
    <w:rsid w:val="183945CA"/>
    <w:rsid w:val="18550677"/>
    <w:rsid w:val="190E112B"/>
    <w:rsid w:val="19401195"/>
    <w:rsid w:val="198A75DD"/>
    <w:rsid w:val="198E4EFC"/>
    <w:rsid w:val="19911C2F"/>
    <w:rsid w:val="19CC27E2"/>
    <w:rsid w:val="19EB3F91"/>
    <w:rsid w:val="1A340F0D"/>
    <w:rsid w:val="1A4C3F2D"/>
    <w:rsid w:val="1A7A5DFE"/>
    <w:rsid w:val="1A905DA4"/>
    <w:rsid w:val="1AA027BB"/>
    <w:rsid w:val="1ABC6868"/>
    <w:rsid w:val="1AD00D8B"/>
    <w:rsid w:val="1B0E446E"/>
    <w:rsid w:val="1B5A546C"/>
    <w:rsid w:val="1B5D5E41"/>
    <w:rsid w:val="1B8F3F03"/>
    <w:rsid w:val="1B920E49"/>
    <w:rsid w:val="1B9D0129"/>
    <w:rsid w:val="1BC34E9C"/>
    <w:rsid w:val="1BD85D3B"/>
    <w:rsid w:val="1BF47641"/>
    <w:rsid w:val="1C29427F"/>
    <w:rsid w:val="1C2B35C6"/>
    <w:rsid w:val="1C7A6BC9"/>
    <w:rsid w:val="1C900D6C"/>
    <w:rsid w:val="1CC1153B"/>
    <w:rsid w:val="1CC37A9C"/>
    <w:rsid w:val="1D097731"/>
    <w:rsid w:val="1D636934"/>
    <w:rsid w:val="1D851566"/>
    <w:rsid w:val="1DAC49BC"/>
    <w:rsid w:val="1DAE7EBF"/>
    <w:rsid w:val="1DCE2972"/>
    <w:rsid w:val="1DD71083"/>
    <w:rsid w:val="1E2E1A92"/>
    <w:rsid w:val="1E7B3D90"/>
    <w:rsid w:val="1F062763"/>
    <w:rsid w:val="1F1D785B"/>
    <w:rsid w:val="1F477FE0"/>
    <w:rsid w:val="1F4A3163"/>
    <w:rsid w:val="1F7D2C0B"/>
    <w:rsid w:val="1F8964CB"/>
    <w:rsid w:val="1FD06C40"/>
    <w:rsid w:val="1FD31DC3"/>
    <w:rsid w:val="1FE61544"/>
    <w:rsid w:val="200F41A6"/>
    <w:rsid w:val="20392DEC"/>
    <w:rsid w:val="20831A0C"/>
    <w:rsid w:val="20F477FA"/>
    <w:rsid w:val="20F9458B"/>
    <w:rsid w:val="220D61EA"/>
    <w:rsid w:val="22104BF0"/>
    <w:rsid w:val="22261FBF"/>
    <w:rsid w:val="22952C4B"/>
    <w:rsid w:val="22B26978"/>
    <w:rsid w:val="22BD058C"/>
    <w:rsid w:val="22C16F92"/>
    <w:rsid w:val="22C72045"/>
    <w:rsid w:val="23042EFF"/>
    <w:rsid w:val="236906A5"/>
    <w:rsid w:val="23CC074A"/>
    <w:rsid w:val="23FF0395"/>
    <w:rsid w:val="241565BF"/>
    <w:rsid w:val="246031BB"/>
    <w:rsid w:val="24BF51D3"/>
    <w:rsid w:val="24F95938"/>
    <w:rsid w:val="250052C3"/>
    <w:rsid w:val="25172400"/>
    <w:rsid w:val="255C215A"/>
    <w:rsid w:val="25A20300"/>
    <w:rsid w:val="25C7728B"/>
    <w:rsid w:val="265B427B"/>
    <w:rsid w:val="266E0D1D"/>
    <w:rsid w:val="2670099D"/>
    <w:rsid w:val="26C22FC5"/>
    <w:rsid w:val="26F356F3"/>
    <w:rsid w:val="26F674BD"/>
    <w:rsid w:val="271E783C"/>
    <w:rsid w:val="273245C8"/>
    <w:rsid w:val="276115AA"/>
    <w:rsid w:val="27700540"/>
    <w:rsid w:val="277E52D7"/>
    <w:rsid w:val="27DC5671"/>
    <w:rsid w:val="2804582E"/>
    <w:rsid w:val="2855533A"/>
    <w:rsid w:val="28AC15F7"/>
    <w:rsid w:val="28F05539"/>
    <w:rsid w:val="291256ED"/>
    <w:rsid w:val="293C4333"/>
    <w:rsid w:val="296F1E90"/>
    <w:rsid w:val="29F66FE5"/>
    <w:rsid w:val="2A257B34"/>
    <w:rsid w:val="2A783D3B"/>
    <w:rsid w:val="2A850E52"/>
    <w:rsid w:val="2AAD2F10"/>
    <w:rsid w:val="2AF00502"/>
    <w:rsid w:val="2AFC4314"/>
    <w:rsid w:val="2B754E4B"/>
    <w:rsid w:val="2BF46648"/>
    <w:rsid w:val="2BF77A2F"/>
    <w:rsid w:val="2C2C6C04"/>
    <w:rsid w:val="2C3260E4"/>
    <w:rsid w:val="2C480104"/>
    <w:rsid w:val="2C7C309A"/>
    <w:rsid w:val="2C856399"/>
    <w:rsid w:val="2CD53B9A"/>
    <w:rsid w:val="2CDF620D"/>
    <w:rsid w:val="2CEA02BC"/>
    <w:rsid w:val="2D105F7D"/>
    <w:rsid w:val="2D6C7591"/>
    <w:rsid w:val="2DD54502"/>
    <w:rsid w:val="2E81295C"/>
    <w:rsid w:val="2EC044AC"/>
    <w:rsid w:val="2EF9001C"/>
    <w:rsid w:val="2F2759E6"/>
    <w:rsid w:val="2F2E0DFC"/>
    <w:rsid w:val="2F616747"/>
    <w:rsid w:val="2F811CCF"/>
    <w:rsid w:val="2FA96FD4"/>
    <w:rsid w:val="2FB9045A"/>
    <w:rsid w:val="2FC01FE3"/>
    <w:rsid w:val="2FC05867"/>
    <w:rsid w:val="2FCD07AE"/>
    <w:rsid w:val="2FDD3A11"/>
    <w:rsid w:val="30BE1F06"/>
    <w:rsid w:val="31F9317B"/>
    <w:rsid w:val="32273A57"/>
    <w:rsid w:val="32296F5A"/>
    <w:rsid w:val="323068E5"/>
    <w:rsid w:val="32940808"/>
    <w:rsid w:val="32CE64C4"/>
    <w:rsid w:val="32E5510F"/>
    <w:rsid w:val="334D3839"/>
    <w:rsid w:val="335E5CD2"/>
    <w:rsid w:val="33B078FC"/>
    <w:rsid w:val="33C521FE"/>
    <w:rsid w:val="33DD78A5"/>
    <w:rsid w:val="344F1C20"/>
    <w:rsid w:val="3461207D"/>
    <w:rsid w:val="348103B3"/>
    <w:rsid w:val="348338B6"/>
    <w:rsid w:val="34CC172C"/>
    <w:rsid w:val="34DE074D"/>
    <w:rsid w:val="35046101"/>
    <w:rsid w:val="3519182B"/>
    <w:rsid w:val="354C7397"/>
    <w:rsid w:val="35BD2339"/>
    <w:rsid w:val="365B1D40"/>
    <w:rsid w:val="36F558B9"/>
    <w:rsid w:val="370B41DA"/>
    <w:rsid w:val="3727738D"/>
    <w:rsid w:val="372910D8"/>
    <w:rsid w:val="37541156"/>
    <w:rsid w:val="375D3FE4"/>
    <w:rsid w:val="37C25F06"/>
    <w:rsid w:val="380F1889"/>
    <w:rsid w:val="38242728"/>
    <w:rsid w:val="383529C2"/>
    <w:rsid w:val="38604B0B"/>
    <w:rsid w:val="387A0F38"/>
    <w:rsid w:val="38A464F9"/>
    <w:rsid w:val="38AE268C"/>
    <w:rsid w:val="38DA4E5A"/>
    <w:rsid w:val="39453E84"/>
    <w:rsid w:val="3956631D"/>
    <w:rsid w:val="39B20C35"/>
    <w:rsid w:val="39BF5D4C"/>
    <w:rsid w:val="39D12CC6"/>
    <w:rsid w:val="3A104852"/>
    <w:rsid w:val="3A1A7360"/>
    <w:rsid w:val="3A7754FB"/>
    <w:rsid w:val="3ACB1702"/>
    <w:rsid w:val="3B044D5F"/>
    <w:rsid w:val="3B075CE3"/>
    <w:rsid w:val="3B1144F8"/>
    <w:rsid w:val="3BAF3BA9"/>
    <w:rsid w:val="3BB30C3E"/>
    <w:rsid w:val="3C8903DE"/>
    <w:rsid w:val="3CC505C3"/>
    <w:rsid w:val="3D3E1186"/>
    <w:rsid w:val="3D8263F7"/>
    <w:rsid w:val="3D9B3133"/>
    <w:rsid w:val="3DBB109A"/>
    <w:rsid w:val="3DE67444"/>
    <w:rsid w:val="3DFA733B"/>
    <w:rsid w:val="3E0E1FAB"/>
    <w:rsid w:val="3E1E6276"/>
    <w:rsid w:val="3F0E033E"/>
    <w:rsid w:val="40306F5A"/>
    <w:rsid w:val="405E0E7C"/>
    <w:rsid w:val="408469E4"/>
    <w:rsid w:val="40A13D96"/>
    <w:rsid w:val="40ED3B30"/>
    <w:rsid w:val="40F70F22"/>
    <w:rsid w:val="419A74C6"/>
    <w:rsid w:val="41E356A7"/>
    <w:rsid w:val="41E97A3C"/>
    <w:rsid w:val="421A3603"/>
    <w:rsid w:val="426E308D"/>
    <w:rsid w:val="42C4584B"/>
    <w:rsid w:val="43382755"/>
    <w:rsid w:val="434E26FB"/>
    <w:rsid w:val="43521101"/>
    <w:rsid w:val="43B72693"/>
    <w:rsid w:val="43F577A8"/>
    <w:rsid w:val="43F94D92"/>
    <w:rsid w:val="44345991"/>
    <w:rsid w:val="4480735A"/>
    <w:rsid w:val="44DC0C08"/>
    <w:rsid w:val="45117DDD"/>
    <w:rsid w:val="4549123C"/>
    <w:rsid w:val="454959B9"/>
    <w:rsid w:val="45765E8A"/>
    <w:rsid w:val="459A44BE"/>
    <w:rsid w:val="45F334FF"/>
    <w:rsid w:val="464F2F27"/>
    <w:rsid w:val="46770525"/>
    <w:rsid w:val="46B3080E"/>
    <w:rsid w:val="47400072"/>
    <w:rsid w:val="47457D7D"/>
    <w:rsid w:val="477A5376"/>
    <w:rsid w:val="478046DF"/>
    <w:rsid w:val="47A655C7"/>
    <w:rsid w:val="47B2292F"/>
    <w:rsid w:val="47C64CDD"/>
    <w:rsid w:val="47D84D6D"/>
    <w:rsid w:val="48077E3B"/>
    <w:rsid w:val="48112949"/>
    <w:rsid w:val="483E2513"/>
    <w:rsid w:val="4936052D"/>
    <w:rsid w:val="4941303B"/>
    <w:rsid w:val="49C60D15"/>
    <w:rsid w:val="4A5F5A11"/>
    <w:rsid w:val="4A726C30"/>
    <w:rsid w:val="4A8401CF"/>
    <w:rsid w:val="4AEF35C9"/>
    <w:rsid w:val="4B3A447A"/>
    <w:rsid w:val="4BB12126"/>
    <w:rsid w:val="4BCE1B16"/>
    <w:rsid w:val="4BD51861"/>
    <w:rsid w:val="4C6870EB"/>
    <w:rsid w:val="4C73767A"/>
    <w:rsid w:val="4C7F6D10"/>
    <w:rsid w:val="4C9011A8"/>
    <w:rsid w:val="4CDA0323"/>
    <w:rsid w:val="4CE17CAE"/>
    <w:rsid w:val="4CF637FC"/>
    <w:rsid w:val="4D1F5594"/>
    <w:rsid w:val="4D233F9A"/>
    <w:rsid w:val="4D405AC9"/>
    <w:rsid w:val="4D4D4FCD"/>
    <w:rsid w:val="4D99745C"/>
    <w:rsid w:val="4DFF0486"/>
    <w:rsid w:val="4E19322E"/>
    <w:rsid w:val="4E8D576B"/>
    <w:rsid w:val="4F396F09"/>
    <w:rsid w:val="4F5E0042"/>
    <w:rsid w:val="4FAF23CA"/>
    <w:rsid w:val="4FB64B8F"/>
    <w:rsid w:val="4FED442E"/>
    <w:rsid w:val="503B1E49"/>
    <w:rsid w:val="507A7515"/>
    <w:rsid w:val="50DD3E04"/>
    <w:rsid w:val="50E0009B"/>
    <w:rsid w:val="50E23A41"/>
    <w:rsid w:val="516A1362"/>
    <w:rsid w:val="5190584A"/>
    <w:rsid w:val="519F50F9"/>
    <w:rsid w:val="51BC33A4"/>
    <w:rsid w:val="51FB670C"/>
    <w:rsid w:val="52405AA6"/>
    <w:rsid w:val="526151B7"/>
    <w:rsid w:val="5381780D"/>
    <w:rsid w:val="53820B12"/>
    <w:rsid w:val="53887198"/>
    <w:rsid w:val="53D57297"/>
    <w:rsid w:val="540B4DE1"/>
    <w:rsid w:val="54167D00"/>
    <w:rsid w:val="547748A2"/>
    <w:rsid w:val="54B3343B"/>
    <w:rsid w:val="54CD0514"/>
    <w:rsid w:val="54CE2D32"/>
    <w:rsid w:val="54D371BA"/>
    <w:rsid w:val="551769A9"/>
    <w:rsid w:val="553D5564"/>
    <w:rsid w:val="55804D54"/>
    <w:rsid w:val="55876A89"/>
    <w:rsid w:val="55D55760"/>
    <w:rsid w:val="55DF2B6F"/>
    <w:rsid w:val="56031AAA"/>
    <w:rsid w:val="567355E1"/>
    <w:rsid w:val="56AD0617"/>
    <w:rsid w:val="56BB1258"/>
    <w:rsid w:val="56CE0279"/>
    <w:rsid w:val="57435CBA"/>
    <w:rsid w:val="574C0C87"/>
    <w:rsid w:val="57555BD4"/>
    <w:rsid w:val="57916962"/>
    <w:rsid w:val="57BC687D"/>
    <w:rsid w:val="58017371"/>
    <w:rsid w:val="58366547"/>
    <w:rsid w:val="58420FE4"/>
    <w:rsid w:val="584F166F"/>
    <w:rsid w:val="58D66E60"/>
    <w:rsid w:val="58F94086"/>
    <w:rsid w:val="591D2FC1"/>
    <w:rsid w:val="5966279D"/>
    <w:rsid w:val="597D59E0"/>
    <w:rsid w:val="599B1691"/>
    <w:rsid w:val="5A0E034B"/>
    <w:rsid w:val="5A3B2FC5"/>
    <w:rsid w:val="5A4D36B3"/>
    <w:rsid w:val="5A5D71D1"/>
    <w:rsid w:val="5AB752E1"/>
    <w:rsid w:val="5B3439B1"/>
    <w:rsid w:val="5BA97648"/>
    <w:rsid w:val="5C233E9E"/>
    <w:rsid w:val="5C281CBF"/>
    <w:rsid w:val="5C807415"/>
    <w:rsid w:val="5CA7000F"/>
    <w:rsid w:val="5D6A3E66"/>
    <w:rsid w:val="5DAF56F2"/>
    <w:rsid w:val="5DBD55D9"/>
    <w:rsid w:val="5DE331BA"/>
    <w:rsid w:val="5E5F2BE4"/>
    <w:rsid w:val="5F1D0A18"/>
    <w:rsid w:val="5F4F1B56"/>
    <w:rsid w:val="5F8F32D6"/>
    <w:rsid w:val="5F94195C"/>
    <w:rsid w:val="5FA266F3"/>
    <w:rsid w:val="5FC11526"/>
    <w:rsid w:val="5FC324AB"/>
    <w:rsid w:val="5FDD3055"/>
    <w:rsid w:val="6009519E"/>
    <w:rsid w:val="60672FB9"/>
    <w:rsid w:val="608332BC"/>
    <w:rsid w:val="60A62A9D"/>
    <w:rsid w:val="60C53352"/>
    <w:rsid w:val="612E74FF"/>
    <w:rsid w:val="61466DA4"/>
    <w:rsid w:val="61610F6D"/>
    <w:rsid w:val="617443F0"/>
    <w:rsid w:val="61EE50B9"/>
    <w:rsid w:val="621E49EA"/>
    <w:rsid w:val="622B6B98"/>
    <w:rsid w:val="62367D31"/>
    <w:rsid w:val="63371AD2"/>
    <w:rsid w:val="63382DD7"/>
    <w:rsid w:val="63B05E77"/>
    <w:rsid w:val="63ED5D7D"/>
    <w:rsid w:val="640311C5"/>
    <w:rsid w:val="64053424"/>
    <w:rsid w:val="647A0E64"/>
    <w:rsid w:val="64B63248"/>
    <w:rsid w:val="64C847E7"/>
    <w:rsid w:val="65354E1B"/>
    <w:rsid w:val="65960337"/>
    <w:rsid w:val="65C14BB3"/>
    <w:rsid w:val="65D14C99"/>
    <w:rsid w:val="65FD6DE2"/>
    <w:rsid w:val="6622379F"/>
    <w:rsid w:val="66847F92"/>
    <w:rsid w:val="66B94F97"/>
    <w:rsid w:val="67DE4D23"/>
    <w:rsid w:val="67F655A9"/>
    <w:rsid w:val="67F66B9D"/>
    <w:rsid w:val="67FF52AE"/>
    <w:rsid w:val="68515FB2"/>
    <w:rsid w:val="68A66D41"/>
    <w:rsid w:val="68F56AC0"/>
    <w:rsid w:val="69187F79"/>
    <w:rsid w:val="69272B1F"/>
    <w:rsid w:val="695113D8"/>
    <w:rsid w:val="69AD252C"/>
    <w:rsid w:val="69E01F40"/>
    <w:rsid w:val="69F05A5E"/>
    <w:rsid w:val="6ACD1F90"/>
    <w:rsid w:val="6B352EA6"/>
    <w:rsid w:val="6B9C7C98"/>
    <w:rsid w:val="6BD623FB"/>
    <w:rsid w:val="6BDC6503"/>
    <w:rsid w:val="6BEA5819"/>
    <w:rsid w:val="6BFA38B5"/>
    <w:rsid w:val="6BFD22BB"/>
    <w:rsid w:val="6C083732"/>
    <w:rsid w:val="6C386C1D"/>
    <w:rsid w:val="6CA1116E"/>
    <w:rsid w:val="6D033D67"/>
    <w:rsid w:val="6D2F5FA9"/>
    <w:rsid w:val="6D8952C5"/>
    <w:rsid w:val="6D8B4F45"/>
    <w:rsid w:val="6D8D7122"/>
    <w:rsid w:val="6D940137"/>
    <w:rsid w:val="6D9F3BE5"/>
    <w:rsid w:val="6DE40E56"/>
    <w:rsid w:val="6E486DB1"/>
    <w:rsid w:val="6E617526"/>
    <w:rsid w:val="6ED71B9D"/>
    <w:rsid w:val="6F3704E1"/>
    <w:rsid w:val="6F3E5FCD"/>
    <w:rsid w:val="6F8056B4"/>
    <w:rsid w:val="708304A5"/>
    <w:rsid w:val="708B58B2"/>
    <w:rsid w:val="70F0156D"/>
    <w:rsid w:val="70F55374"/>
    <w:rsid w:val="718E63D9"/>
    <w:rsid w:val="724768B5"/>
    <w:rsid w:val="724D0996"/>
    <w:rsid w:val="72601FB5"/>
    <w:rsid w:val="728C62FC"/>
    <w:rsid w:val="72EB4117"/>
    <w:rsid w:val="73336C8D"/>
    <w:rsid w:val="733A10F5"/>
    <w:rsid w:val="733D289D"/>
    <w:rsid w:val="737A2701"/>
    <w:rsid w:val="73897499"/>
    <w:rsid w:val="738F6E24"/>
    <w:rsid w:val="73CD7F8D"/>
    <w:rsid w:val="73DB72A3"/>
    <w:rsid w:val="73E42131"/>
    <w:rsid w:val="73EC1AF7"/>
    <w:rsid w:val="73EE3803"/>
    <w:rsid w:val="74073BE0"/>
    <w:rsid w:val="74321EB0"/>
    <w:rsid w:val="745558E8"/>
    <w:rsid w:val="7458686C"/>
    <w:rsid w:val="74756863"/>
    <w:rsid w:val="74777121"/>
    <w:rsid w:val="74982ED9"/>
    <w:rsid w:val="74B10200"/>
    <w:rsid w:val="74B16002"/>
    <w:rsid w:val="74B44D47"/>
    <w:rsid w:val="753361F3"/>
    <w:rsid w:val="75581E1B"/>
    <w:rsid w:val="75820799"/>
    <w:rsid w:val="75830558"/>
    <w:rsid w:val="75C847A1"/>
    <w:rsid w:val="75D00657"/>
    <w:rsid w:val="75ED4657"/>
    <w:rsid w:val="75F60897"/>
    <w:rsid w:val="76203C5A"/>
    <w:rsid w:val="76804F78"/>
    <w:rsid w:val="76AB70C1"/>
    <w:rsid w:val="76D77B85"/>
    <w:rsid w:val="76DE6E0E"/>
    <w:rsid w:val="77997C43"/>
    <w:rsid w:val="779A3A7E"/>
    <w:rsid w:val="77A71A39"/>
    <w:rsid w:val="77DF61B9"/>
    <w:rsid w:val="785712FB"/>
    <w:rsid w:val="78726CE8"/>
    <w:rsid w:val="78925933"/>
    <w:rsid w:val="78DD2859"/>
    <w:rsid w:val="78FA5E90"/>
    <w:rsid w:val="79330017"/>
    <w:rsid w:val="794D6390"/>
    <w:rsid w:val="79602E32"/>
    <w:rsid w:val="79734051"/>
    <w:rsid w:val="797804D9"/>
    <w:rsid w:val="798B5E75"/>
    <w:rsid w:val="79DC01FD"/>
    <w:rsid w:val="79DD5C7F"/>
    <w:rsid w:val="79F26B1E"/>
    <w:rsid w:val="7B1072F5"/>
    <w:rsid w:val="7B373932"/>
    <w:rsid w:val="7B704D90"/>
    <w:rsid w:val="7BC36D99"/>
    <w:rsid w:val="7BD409DD"/>
    <w:rsid w:val="7C2F648C"/>
    <w:rsid w:val="7C3847D9"/>
    <w:rsid w:val="7C3F1C46"/>
    <w:rsid w:val="7C4B37FA"/>
    <w:rsid w:val="7C513864"/>
    <w:rsid w:val="7C941670"/>
    <w:rsid w:val="7CE1176F"/>
    <w:rsid w:val="7CFE7968"/>
    <w:rsid w:val="7DAD7BBE"/>
    <w:rsid w:val="7DF30332"/>
    <w:rsid w:val="7E1B01F2"/>
    <w:rsid w:val="7E903A34"/>
    <w:rsid w:val="7EA50156"/>
    <w:rsid w:val="7EB85AF2"/>
    <w:rsid w:val="7EB96DF7"/>
    <w:rsid w:val="7ED03198"/>
    <w:rsid w:val="7EF746DD"/>
    <w:rsid w:val="7F0C0DFF"/>
    <w:rsid w:val="7F2464A6"/>
    <w:rsid w:val="7F7B98EB"/>
    <w:rsid w:val="7FC65CAF"/>
    <w:rsid w:val="7FE27B5E"/>
    <w:rsid w:val="FFBFDA9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topLinePunct/>
      <w:jc w:val="both"/>
    </w:pPr>
    <w:rPr>
      <w:rFonts w:ascii="Times New Roman" w:hAnsi="Times New Roman" w:eastAsia="宋体" w:cs="Times New Roman"/>
      <w:kern w:val="2"/>
      <w:sz w:val="24"/>
      <w:szCs w:val="24"/>
      <w:lang w:val="en-US" w:eastAsia="zh-CN" w:bidi="ar-SA"/>
    </w:rPr>
  </w:style>
  <w:style w:type="paragraph" w:styleId="3">
    <w:name w:val="heading 4"/>
    <w:basedOn w:val="1"/>
    <w:next w:val="1"/>
    <w:qFormat/>
    <w:uiPriority w:val="0"/>
    <w:pPr>
      <w:keepNext/>
      <w:keepLines/>
      <w:numPr>
        <w:ilvl w:val="3"/>
        <w:numId w:val="1"/>
      </w:numPr>
      <w:spacing w:after="156" w:afterLines="50" w:line="360" w:lineRule="auto"/>
      <w:outlineLvl w:val="3"/>
    </w:pPr>
    <w:rPr>
      <w:rFonts w:ascii="Times New Roman" w:hAnsi="Times New Roman"/>
      <w:b/>
      <w:bCs/>
      <w:sz w:val="28"/>
      <w:szCs w:val="28"/>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customStyle="1" w:styleId="2">
    <w:name w:val="标题_自定义_4"/>
    <w:basedOn w:val="3"/>
    <w:qFormat/>
    <w:uiPriority w:val="0"/>
    <w:pPr>
      <w:numPr>
        <w:ilvl w:val="3"/>
        <w:numId w:val="2"/>
      </w:numPr>
      <w:spacing w:line="372" w:lineRule="auto"/>
    </w:pPr>
    <w:rPr>
      <w:rFonts w:ascii="Times New Roman" w:hAnsi="Cambria" w:eastAsia="宋体" w:cs="Times New Roman"/>
      <w:sz w:val="24"/>
      <w:szCs w:val="24"/>
    </w:rPr>
  </w:style>
  <w:style w:type="paragraph" w:styleId="4">
    <w:name w:val="annotation text"/>
    <w:basedOn w:val="1"/>
    <w:qFormat/>
    <w:uiPriority w:val="0"/>
    <w:pPr>
      <w:jc w:val="left"/>
    </w:pPr>
  </w:style>
  <w:style w:type="paragraph" w:styleId="5">
    <w:name w:val="Body Text Indent"/>
    <w:basedOn w:val="1"/>
    <w:next w:val="6"/>
    <w:qFormat/>
    <w:uiPriority w:val="0"/>
    <w:pPr>
      <w:autoSpaceDE w:val="0"/>
      <w:autoSpaceDN w:val="0"/>
      <w:adjustRightInd w:val="0"/>
      <w:spacing w:after="120" w:line="360" w:lineRule="atLeast"/>
      <w:ind w:left="900"/>
    </w:pPr>
    <w:rPr>
      <w:rFonts w:ascii="楷体_GB2312" w:eastAsia="楷体_GB2312"/>
      <w:kern w:val="0"/>
      <w:sz w:val="28"/>
      <w:szCs w:val="20"/>
    </w:rPr>
  </w:style>
  <w:style w:type="paragraph" w:styleId="6">
    <w:name w:val="Body Text First Indent 2"/>
    <w:basedOn w:val="5"/>
    <w:next w:val="7"/>
    <w:qFormat/>
    <w:uiPriority w:val="0"/>
    <w:pPr>
      <w:tabs>
        <w:tab w:val="left" w:pos="0"/>
        <w:tab w:val="left" w:pos="993"/>
        <w:tab w:val="left" w:pos="1134"/>
      </w:tabs>
      <w:spacing w:line="312" w:lineRule="atLeast"/>
      <w:ind w:firstLine="420"/>
    </w:pPr>
  </w:style>
  <w:style w:type="paragraph" w:customStyle="1" w:styleId="7">
    <w:name w:val="正文格式"/>
    <w:basedOn w:val="1"/>
    <w:qFormat/>
    <w:uiPriority w:val="0"/>
    <w:pPr>
      <w:keepNext w:val="0"/>
      <w:keepLines w:val="0"/>
      <w:widowControl w:val="0"/>
      <w:suppressLineNumbers w:val="0"/>
      <w:spacing w:before="0" w:beforeAutospacing="0" w:after="0" w:afterAutospacing="0"/>
      <w:ind w:left="0" w:right="0" w:firstLine="200" w:firstLineChars="200"/>
      <w:jc w:val="both"/>
    </w:pPr>
    <w:rPr>
      <w:rFonts w:hint="default" w:ascii="宋体" w:hAnsi="宋体" w:eastAsia="彩虹粗仿宋" w:cs="Times New Roman"/>
      <w:kern w:val="2"/>
      <w:sz w:val="28"/>
      <w:szCs w:val="28"/>
      <w:lang w:val="en-US" w:eastAsia="zh-CN" w:bidi="ar"/>
    </w:rPr>
  </w:style>
  <w:style w:type="paragraph" w:styleId="8">
    <w:name w:val="Plain Text"/>
    <w:basedOn w:val="1"/>
    <w:semiHidden/>
    <w:unhideWhenUsed/>
    <w:qFormat/>
    <w:uiPriority w:val="0"/>
    <w:pPr>
      <w:spacing w:line="360" w:lineRule="auto"/>
      <w:ind w:firstLine="560" w:firstLineChars="200"/>
      <w:jc w:val="left"/>
    </w:pPr>
    <w:rPr>
      <w:rFonts w:ascii="宋体" w:hAnsi="Courier New"/>
      <w:sz w:val="24"/>
      <w:szCs w:val="28"/>
    </w:rPr>
  </w:style>
  <w:style w:type="paragraph" w:styleId="9">
    <w:name w:val="HTML Preformatted"/>
    <w:basedOn w:val="1"/>
    <w:semiHidden/>
    <w:qFormat/>
    <w:uiPriority w:val="0"/>
    <w:pPr>
      <w:topLinePunct w:val="0"/>
    </w:pPr>
    <w:rPr>
      <w:rFonts w:ascii="Courier New" w:hAnsi="Courier New" w:cs="Courier New"/>
      <w:sz w:val="20"/>
      <w:szCs w:val="20"/>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正文首行缩进 21"/>
    <w:basedOn w:val="14"/>
    <w:qFormat/>
    <w:uiPriority w:val="0"/>
    <w:pPr>
      <w:widowControl/>
      <w:ind w:firstLine="420"/>
    </w:pPr>
    <w:rPr>
      <w:szCs w:val="20"/>
    </w:rPr>
  </w:style>
  <w:style w:type="paragraph" w:customStyle="1" w:styleId="14">
    <w:name w:val="正文文本缩进1"/>
    <w:basedOn w:val="1"/>
    <w:qFormat/>
    <w:uiPriority w:val="0"/>
    <w:pPr>
      <w:spacing w:line="500" w:lineRule="exact"/>
      <w:ind w:firstLine="880"/>
    </w:pPr>
    <w:rPr>
      <w:szCs w:val="22"/>
    </w:rPr>
  </w:style>
  <w:style w:type="paragraph" w:styleId="15">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10</Pages>
  <Words>0</Words>
  <Characters>0</Characters>
  <Lines>0</Lines>
  <Paragraphs>0</Paragraphs>
  <TotalTime>11</TotalTime>
  <ScaleCrop>false</ScaleCrop>
  <LinksUpToDate>false</LinksUpToDate>
  <CharactersWithSpaces>0</CharactersWithSpaces>
  <Application>WPS Office_11.8.2.12094_F1E327BC-269C-435d-A152-05C5408002CA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2024-11-21T19:06:00Z</dcterms:created>
  <dc:creator>石瑜</dc:creator>
  <cp:lastModifiedBy>采购工作组</cp:lastModifiedBy>
  <dcterms:modified xsi:type="dcterms:W3CDTF">2025-10-27T06:30:58Z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2052-11.8.2.12094</vt:lpwstr>
  </property>
  <property fmtid="{D5CDD505-2E9C-101B-9397-08002B2CF9AE}" pid="3" name="ICV">
    <vt:lpwstr>BED4D597EBA24C2BAC06CC819C950886</vt:lpwstr>
  </property>
</Properties>
</file>