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A3C5D">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sz w:val="32"/>
          <w:szCs w:val="32"/>
        </w:rPr>
      </w:pPr>
      <w:r>
        <w:rPr>
          <w:rFonts w:hint="eastAsia" w:ascii="宋体" w:hAnsi="宋体" w:eastAsia="宋体" w:cs="宋体"/>
          <w:b/>
          <w:bCs/>
          <w:kern w:val="0"/>
          <w:sz w:val="32"/>
          <w:szCs w:val="32"/>
          <w:lang w:val="en-US" w:eastAsia="zh-CN" w:bidi="ar"/>
        </w:rPr>
        <w:t>厦门国际银行财资管理系统建设项目供应商征集公告</w:t>
      </w:r>
    </w:p>
    <w:p w14:paraId="66F76430">
      <w:pPr>
        <w:keepNext w:val="0"/>
        <w:keepLines w:val="0"/>
        <w:widowControl/>
        <w:suppressLineNumbers w:val="0"/>
        <w:spacing w:before="0" w:beforeAutospacing="0" w:after="0" w:afterAutospacing="0" w:line="440" w:lineRule="exact"/>
        <w:ind w:left="0" w:right="0"/>
        <w:jc w:val="center"/>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 </w:t>
      </w:r>
    </w:p>
    <w:p w14:paraId="529B6817">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采购人厦门国际银行股份有限公司根据财资管理系统建设等工作需要，拟开展财资管理系统建设项目供应商征集，有关事宜公告如下：</w:t>
      </w:r>
    </w:p>
    <w:p w14:paraId="665962CE">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一、采购需求及资格要求</w:t>
      </w:r>
    </w:p>
    <w:p w14:paraId="7DF3F02C">
      <w:pPr>
        <w:keepNext w:val="0"/>
        <w:keepLines w:val="0"/>
        <w:widowControl/>
        <w:numPr>
          <w:ilvl w:val="0"/>
          <w:numId w:val="0"/>
        </w:numPr>
        <w:suppressLineNumbers w:val="0"/>
        <w:spacing w:before="0" w:beforeAutospacing="0" w:after="0" w:afterAutospacing="0" w:line="440" w:lineRule="exact"/>
        <w:ind w:right="0" w:firstLine="723" w:firstLineChars="300"/>
        <w:jc w:val="both"/>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1.1. </w:t>
      </w:r>
      <w:r>
        <w:rPr>
          <w:rStyle w:val="10"/>
          <w:rFonts w:hint="eastAsia" w:ascii="宋体" w:hAnsi="宋体" w:eastAsia="宋体" w:cs="宋体"/>
          <w:kern w:val="0"/>
          <w:sz w:val="24"/>
          <w:szCs w:val="24"/>
          <w:lang w:val="en-US" w:eastAsia="zh-CN" w:bidi="ar"/>
        </w:rPr>
        <w:t>采购需求：</w:t>
      </w:r>
    </w:p>
    <w:p w14:paraId="77BF0314">
      <w:pPr>
        <w:pStyle w:val="39"/>
        <w:keepNext w:val="0"/>
        <w:keepLines w:val="0"/>
        <w:widowControl/>
        <w:suppressLineNumbers w:val="0"/>
        <w:spacing w:before="0" w:beforeAutospacing="0" w:after="0" w:afterAutospacing="0" w:line="440" w:lineRule="exact"/>
        <w:ind w:left="0" w:right="0" w:firstLine="720" w:firstLineChars="300"/>
        <w:jc w:val="both"/>
        <w:rPr>
          <w:rFonts w:hint="eastAsia" w:ascii="宋体" w:hAnsi="宋体" w:eastAsia="宋体" w:cs="宋体"/>
          <w:sz w:val="24"/>
        </w:rPr>
      </w:pPr>
      <w:r>
        <w:rPr>
          <w:rFonts w:hint="eastAsia" w:ascii="宋体" w:hAnsi="宋体" w:eastAsia="宋体" w:cs="宋体"/>
          <w:kern w:val="0"/>
          <w:sz w:val="24"/>
          <w:szCs w:val="24"/>
          <w:lang w:val="en-US" w:eastAsia="zh-CN" w:bidi="ar"/>
        </w:rPr>
        <w:t>1.1.1.</w:t>
      </w:r>
      <w:r>
        <w:rPr>
          <w:rFonts w:hint="eastAsia" w:eastAsia="宋体" w:cs="宋体"/>
          <w:kern w:val="0"/>
          <w:sz w:val="24"/>
          <w:szCs w:val="24"/>
          <w:lang w:val="en-US" w:eastAsia="zh-CN" w:bidi="ar"/>
        </w:rPr>
        <w:t>项目建设范围</w:t>
      </w:r>
      <w:r>
        <w:rPr>
          <w:rFonts w:hint="eastAsia" w:ascii="宋体" w:hAnsi="宋体" w:eastAsia="宋体" w:cs="宋体"/>
          <w:kern w:val="2"/>
          <w:sz w:val="24"/>
          <w:szCs w:val="24"/>
          <w:lang w:val="en-US" w:eastAsia="zh-CN" w:bidi="ar"/>
        </w:rPr>
        <w:t>。</w:t>
      </w:r>
      <w:r>
        <w:rPr>
          <w:rFonts w:hint="eastAsia" w:ascii="宋体" w:hAnsi="宋体" w:eastAsia="宋体" w:cs="Times New Roman"/>
          <w:sz w:val="24"/>
        </w:rPr>
        <w:t>本项目主要业务功能</w:t>
      </w:r>
      <w:r>
        <w:rPr>
          <w:rFonts w:hint="eastAsia" w:ascii="宋体" w:hAnsi="宋体" w:eastAsia="宋体" w:cs="Times New Roman"/>
          <w:sz w:val="24"/>
          <w:lang w:val="en-US" w:eastAsia="zh-CN"/>
        </w:rPr>
        <w:t>分为财资管理（基础版）和财资管理系统（专业版）。</w:t>
      </w:r>
      <w:r>
        <w:rPr>
          <w:rFonts w:hint="eastAsia" w:ascii="宋体" w:hAnsi="宋体" w:eastAsia="宋体" w:cs="Times New Roman"/>
          <w:i w:val="0"/>
          <w:iCs w:val="0"/>
          <w:sz w:val="24"/>
          <w:lang w:val="en-US" w:eastAsia="zh-CN"/>
        </w:rPr>
        <w:t>财资管理（基础版）</w:t>
      </w:r>
      <w:r>
        <w:rPr>
          <w:rFonts w:hint="eastAsia" w:ascii="宋体" w:hAnsi="宋体" w:eastAsia="宋体" w:cs="Times New Roman"/>
          <w:sz w:val="24"/>
          <w:lang w:val="en-US" w:eastAsia="zh-CN"/>
        </w:rPr>
        <w:t>的功能</w:t>
      </w:r>
      <w:r>
        <w:rPr>
          <w:rFonts w:hint="eastAsia" w:ascii="宋体" w:hAnsi="宋体" w:eastAsia="宋体" w:cs="Times New Roman"/>
          <w:sz w:val="24"/>
        </w:rPr>
        <w:t>包括：</w:t>
      </w:r>
      <w:r>
        <w:rPr>
          <w:rFonts w:hint="eastAsia" w:ascii="宋体" w:hAnsi="宋体" w:eastAsia="宋体" w:cs="Times New Roman"/>
          <w:i w:val="0"/>
          <w:iCs w:val="0"/>
          <w:color w:val="000000"/>
          <w:kern w:val="2"/>
          <w:sz w:val="24"/>
          <w:szCs w:val="22"/>
          <w:u w:val="none"/>
          <w:lang w:val="en-US" w:eastAsia="zh-CN" w:bidi="ar"/>
        </w:rPr>
        <w:t>跨行账户管理、</w:t>
      </w:r>
      <w:r>
        <w:rPr>
          <w:rFonts w:hint="eastAsia" w:ascii="宋体" w:hAnsi="宋体" w:eastAsia="宋体" w:cs="Times New Roman"/>
          <w:i w:val="0"/>
          <w:iCs w:val="0"/>
          <w:kern w:val="2"/>
          <w:sz w:val="24"/>
          <w:szCs w:val="22"/>
          <w:u w:val="none"/>
          <w:lang w:val="en-US" w:eastAsia="zh-CN" w:bidi="ar"/>
        </w:rPr>
        <w:t>跨行结算</w:t>
      </w:r>
      <w:r>
        <w:rPr>
          <w:rFonts w:hint="eastAsia" w:ascii="宋体" w:hAnsi="宋体" w:eastAsia="宋体" w:cs="Times New Roman"/>
          <w:i w:val="0"/>
          <w:iCs w:val="0"/>
          <w:color w:val="000000"/>
          <w:kern w:val="2"/>
          <w:sz w:val="24"/>
          <w:szCs w:val="22"/>
          <w:u w:val="none"/>
          <w:lang w:val="en-US" w:eastAsia="zh-CN" w:bidi="ar"/>
        </w:rPr>
        <w:t>管理、跨行账务管理、跨行报表管理</w:t>
      </w:r>
      <w:r>
        <w:rPr>
          <w:rFonts w:hint="eastAsia" w:ascii="宋体" w:hAnsi="宋体" w:eastAsia="宋体" w:cs="Times New Roman"/>
          <w:i w:val="0"/>
          <w:iCs w:val="0"/>
          <w:kern w:val="2"/>
          <w:sz w:val="24"/>
          <w:szCs w:val="22"/>
          <w:u w:val="none"/>
          <w:lang w:val="en-US" w:eastAsia="zh-CN" w:bidi="ar"/>
        </w:rPr>
        <w:t>、移动端等功能</w:t>
      </w:r>
      <w:r>
        <w:rPr>
          <w:rFonts w:hint="eastAsia" w:ascii="宋体" w:hAnsi="宋体" w:eastAsia="宋体" w:cs="Times New Roman"/>
          <w:sz w:val="24"/>
        </w:rPr>
        <w:t>；</w:t>
      </w:r>
      <w:r>
        <w:rPr>
          <w:rFonts w:hint="eastAsia" w:ascii="宋体" w:hAnsi="宋体" w:eastAsia="宋体" w:cs="Times New Roman"/>
          <w:sz w:val="24"/>
          <w:lang w:val="en-US" w:eastAsia="zh-CN"/>
        </w:rPr>
        <w:t>财资管理系统（专业版）的功能</w:t>
      </w:r>
      <w:r>
        <w:rPr>
          <w:rFonts w:hint="eastAsia" w:ascii="宋体" w:hAnsi="宋体" w:eastAsia="宋体" w:cs="Times New Roman"/>
          <w:sz w:val="24"/>
        </w:rPr>
        <w:t>包括：</w:t>
      </w:r>
      <w:r>
        <w:rPr>
          <w:rFonts w:hint="eastAsia" w:ascii="宋体" w:hAnsi="宋体" w:eastAsia="宋体" w:cs="Times New Roman"/>
          <w:i w:val="0"/>
          <w:iCs w:val="0"/>
          <w:sz w:val="24"/>
          <w:lang w:val="en-US" w:eastAsia="zh-CN"/>
        </w:rPr>
        <w:t>基础管理、结算中心、资金中心、预算中心、驾驶舱、报表中心、监控中心、管控中心、银行管理端、移动端</w:t>
      </w:r>
      <w:r>
        <w:rPr>
          <w:rFonts w:hint="eastAsia" w:ascii="宋体" w:hAnsi="宋体" w:eastAsia="宋体" w:cs="Times New Roman"/>
          <w:sz w:val="24"/>
        </w:rPr>
        <w:t>等功能</w:t>
      </w:r>
      <w:r>
        <w:rPr>
          <w:rFonts w:hint="eastAsia"/>
        </w:rPr>
        <w:t>。</w:t>
      </w:r>
    </w:p>
    <w:p w14:paraId="5CC101FE">
      <w:pPr>
        <w:keepNext w:val="0"/>
        <w:keepLines w:val="0"/>
        <w:widowControl/>
        <w:suppressLineNumbers w:val="0"/>
        <w:spacing w:before="0" w:beforeAutospacing="0" w:after="0" w:afterAutospacing="0" w:line="440" w:lineRule="exact"/>
        <w:ind w:left="0" w:right="0" w:firstLine="600"/>
        <w:jc w:val="both"/>
        <w:rPr>
          <w:rFonts w:hint="eastAsia" w:ascii="宋体" w:hAnsi="宋体" w:eastAsia="宋体" w:cs="宋体"/>
          <w:sz w:val="24"/>
        </w:rPr>
      </w:pPr>
      <w:r>
        <w:rPr>
          <w:rFonts w:hint="eastAsia" w:ascii="宋体" w:hAnsi="宋体" w:eastAsia="宋体" w:cs="宋体"/>
          <w:kern w:val="2"/>
          <w:sz w:val="24"/>
          <w:szCs w:val="24"/>
          <w:lang w:val="en-US" w:eastAsia="zh-CN" w:bidi="ar"/>
        </w:rPr>
        <w:t>本期项目主要目标如下：</w:t>
      </w:r>
    </w:p>
    <w:p w14:paraId="337EEB14">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0"/>
          <w:sz w:val="24"/>
          <w:szCs w:val="24"/>
          <w:lang w:val="en-US" w:eastAsia="zh-CN" w:bidi="ar"/>
        </w:rPr>
        <w:t>一是根据项目建设范围建设财资管理系统。</w:t>
      </w:r>
    </w:p>
    <w:p w14:paraId="14CAC15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0"/>
          <w:sz w:val="24"/>
          <w:szCs w:val="24"/>
          <w:lang w:val="en-US" w:eastAsia="zh-CN" w:bidi="ar"/>
        </w:rPr>
        <w:t>二是系统支持完善的</w:t>
      </w:r>
      <w:r>
        <w:rPr>
          <w:rFonts w:hint="eastAsia" w:asciiTheme="minorHAnsi" w:hAnsiTheme="minorHAnsi" w:eastAsiaTheme="minorEastAsia" w:cstheme="minorBidi"/>
          <w:b w:val="0"/>
          <w:bCs w:val="0"/>
          <w:sz w:val="24"/>
          <w:szCs w:val="24"/>
          <w:lang w:val="en-US" w:eastAsia="zh-CN"/>
        </w:rPr>
        <w:t>跨行银企直联</w:t>
      </w:r>
      <w:r>
        <w:rPr>
          <w:rFonts w:hint="eastAsia" w:cstheme="minorBidi"/>
          <w:b w:val="0"/>
          <w:bCs w:val="0"/>
          <w:sz w:val="24"/>
          <w:szCs w:val="24"/>
          <w:lang w:val="en-US" w:eastAsia="zh-CN"/>
        </w:rPr>
        <w:t>解决方案</w:t>
      </w:r>
      <w:r>
        <w:rPr>
          <w:rFonts w:hint="eastAsia" w:asciiTheme="minorHAnsi" w:hAnsiTheme="minorHAnsi" w:eastAsiaTheme="minorEastAsia" w:cstheme="minorBidi"/>
          <w:kern w:val="2"/>
          <w:sz w:val="24"/>
          <w:szCs w:val="24"/>
          <w:lang w:val="en-US" w:eastAsia="zh-CN" w:bidi="ar"/>
        </w:rPr>
        <w:t>。</w:t>
      </w:r>
    </w:p>
    <w:p w14:paraId="70897FDF">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1.1.2.项目合作以总包形式开展，按照项目目标完成软件研发实施，根据项目各阶段完成情况据实结算。</w:t>
      </w:r>
    </w:p>
    <w:p w14:paraId="29BFB60C">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1.1.3.项目工作地点为福建省厦门市。</w:t>
      </w:r>
    </w:p>
    <w:p w14:paraId="483B56A3">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1.2. </w:t>
      </w:r>
      <w:r>
        <w:rPr>
          <w:rStyle w:val="10"/>
          <w:rFonts w:hint="eastAsia" w:ascii="宋体" w:hAnsi="宋体" w:eastAsia="宋体" w:cs="宋体"/>
          <w:kern w:val="0"/>
          <w:sz w:val="24"/>
          <w:szCs w:val="24"/>
          <w:lang w:val="en-US" w:eastAsia="zh-CN" w:bidi="ar"/>
        </w:rPr>
        <w:t>技术要求:</w:t>
      </w:r>
    </w:p>
    <w:p w14:paraId="14EAB7BA">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1.2.1.相关系统应用架构具备合理性和先进性,模块或组件划分合理</w:t>
      </w:r>
      <w:r>
        <w:rPr>
          <w:rFonts w:hint="eastAsia" w:ascii="宋体" w:hAnsi="宋体" w:eastAsia="宋体" w:cs="宋体"/>
          <w:kern w:val="2"/>
          <w:sz w:val="24"/>
          <w:szCs w:val="24"/>
          <w:lang w:val="en-US" w:eastAsia="zh-CN" w:bidi="ar"/>
        </w:rPr>
        <w:t>。</w:t>
      </w:r>
    </w:p>
    <w:p w14:paraId="792814A3">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1.2.2.产品需满足在信创基础设施环境中进行部署实施，包括但不限于相应</w:t>
      </w:r>
      <w:r>
        <w:rPr>
          <w:rFonts w:hint="eastAsia" w:ascii="宋体" w:hAnsi="宋体" w:eastAsia="宋体" w:cs="宋体"/>
          <w:b w:val="0"/>
          <w:bCs w:val="0"/>
          <w:sz w:val="24"/>
          <w:lang w:val="en-US" w:eastAsia="zh-CN" w:bidi="ar"/>
        </w:rPr>
        <w:t>服务器、操作系统、数据库、中间件等</w:t>
      </w:r>
      <w:r>
        <w:rPr>
          <w:rFonts w:hint="eastAsia" w:ascii="新宋体" w:hAnsi="新宋体" w:eastAsia="新宋体" w:cs="Times New Roman"/>
          <w:kern w:val="2"/>
          <w:sz w:val="24"/>
          <w:szCs w:val="24"/>
          <w:lang w:val="en-US" w:eastAsia="zh-CN" w:bidi="ar"/>
        </w:rPr>
        <w:t>。</w:t>
      </w:r>
    </w:p>
    <w:p w14:paraId="5988BD2C">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1.2.3.</w:t>
      </w:r>
      <w:r>
        <w:rPr>
          <w:rFonts w:hint="eastAsia" w:ascii="宋体" w:hAnsi="宋体" w:eastAsia="宋体" w:cs="宋体"/>
          <w:kern w:val="0"/>
          <w:sz w:val="24"/>
          <w:szCs w:val="24"/>
          <w:lang w:val="en-US" w:eastAsia="zh-CN" w:bidi="ar"/>
        </w:rPr>
        <w:t>支持我行的私有云部署和相关云组件应用，支持双活双中心部署。</w:t>
      </w:r>
    </w:p>
    <w:p w14:paraId="58143BB9">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0"/>
          <w:sz w:val="24"/>
          <w:szCs w:val="24"/>
          <w:lang w:val="en-US" w:eastAsia="zh-CN" w:bidi="ar"/>
        </w:rPr>
        <w:t>1.2.4.满足我行</w:t>
      </w:r>
      <w:r>
        <w:rPr>
          <w:rFonts w:hint="eastAsia" w:ascii="新宋体" w:hAnsi="新宋体" w:eastAsia="新宋体"/>
          <w:sz w:val="24"/>
          <w:lang w:val="en-US" w:eastAsia="zh-CN"/>
        </w:rPr>
        <w:t>分布式微服务平台技术要求，不限相关接口管理、元数据管理等管理要求，支持集成我行的cicd流水工艺要求、满足自动部署、日志采集等</w:t>
      </w:r>
      <w:r>
        <w:rPr>
          <w:rFonts w:hint="eastAsia" w:ascii="宋体" w:hAnsi="宋体" w:eastAsia="宋体" w:cs="宋体"/>
          <w:kern w:val="0"/>
          <w:sz w:val="24"/>
          <w:szCs w:val="24"/>
          <w:lang w:val="en-US" w:eastAsia="zh-CN" w:bidi="ar"/>
        </w:rPr>
        <w:t>。</w:t>
      </w:r>
    </w:p>
    <w:p w14:paraId="2BB32594">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1.3. </w:t>
      </w:r>
      <w:r>
        <w:rPr>
          <w:rStyle w:val="10"/>
          <w:rFonts w:hint="eastAsia" w:ascii="宋体" w:hAnsi="宋体" w:eastAsia="宋体" w:cs="宋体"/>
          <w:kern w:val="0"/>
          <w:sz w:val="24"/>
          <w:szCs w:val="24"/>
          <w:lang w:val="en-US" w:eastAsia="zh-CN" w:bidi="ar"/>
        </w:rPr>
        <w:t>人员资质要求：</w:t>
      </w:r>
    </w:p>
    <w:p w14:paraId="60F8EB38">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1.3.1. 本项目预计投入人员数量至少10人，其中中高级人员不少于3人，中高级人员应至少具备5年财资管理系统项目工作经验，初级人员应至少具备2年财资管理系统项目工作经验，实施团队参与本项目的时长不低于6个月。</w:t>
      </w:r>
    </w:p>
    <w:p w14:paraId="1F361F35">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1.3.2. 技术经理和项目经理须有8年及以上相关项目经验，本科以上学历，拥有财资管理系统项目经验，项目经验不得低于3个。</w:t>
      </w:r>
    </w:p>
    <w:p w14:paraId="778BDE36">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1.3.3. 项目人员应精通主流</w:t>
      </w:r>
      <w:r>
        <w:rPr>
          <w:rFonts w:hint="eastAsia" w:ascii="宋体" w:hAnsi="宋体" w:eastAsia="宋体" w:cs="宋体"/>
          <w:kern w:val="0"/>
          <w:sz w:val="24"/>
          <w:szCs w:val="24"/>
          <w:lang w:val="en-US" w:eastAsia="zh-CN" w:bidi="ar"/>
        </w:rPr>
        <w:t>JAVA技术框架</w:t>
      </w:r>
      <w:r>
        <w:rPr>
          <w:rFonts w:hint="eastAsia" w:ascii="宋体" w:hAnsi="宋体" w:eastAsia="宋体" w:cs="宋体"/>
          <w:kern w:val="2"/>
          <w:sz w:val="24"/>
          <w:szCs w:val="24"/>
          <w:lang w:val="en-US" w:eastAsia="zh-CN" w:bidi="ar"/>
        </w:rPr>
        <w:t>，如Spring、SpringMVC、MyBatis、SpringCloud等，掌握Git、Svn、Linux等操作；拥有良好的代码风格规范；有Redis、任务调度等中间件使用经验。</w:t>
      </w:r>
    </w:p>
    <w:p w14:paraId="6C89B0D2">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1.3.4. 项目人员所学专业为计算机相关或具备计算机相关资格证书，具有本科及以上学历。</w:t>
      </w:r>
      <w:r>
        <w:rPr>
          <w:rFonts w:hint="eastAsia" w:ascii="宋体" w:hAnsi="宋体" w:eastAsia="宋体" w:cs="宋体"/>
          <w:i w:val="0"/>
          <w:iCs w:val="0"/>
          <w:caps w:val="0"/>
          <w:color w:val="auto"/>
          <w:spacing w:val="0"/>
          <w:sz w:val="24"/>
          <w:szCs w:val="24"/>
          <w:shd w:val="clear" w:fill="auto"/>
          <w:lang w:bidi="ar"/>
        </w:rPr>
        <w:t>个人过往履历及工作中未发生过重大风险问题或合规问题，无违法违纪行为和不良记录</w:t>
      </w:r>
      <w:r>
        <w:rPr>
          <w:rFonts w:hint="eastAsia" w:ascii="宋体" w:hAnsi="宋体" w:eastAsia="宋体" w:cs="宋体"/>
          <w:i w:val="0"/>
          <w:iCs w:val="0"/>
          <w:caps w:val="0"/>
          <w:color w:val="auto"/>
          <w:spacing w:val="0"/>
          <w:sz w:val="24"/>
          <w:szCs w:val="24"/>
          <w:shd w:val="clear" w:fill="auto"/>
          <w:lang w:eastAsia="zh-CN" w:bidi="ar"/>
        </w:rPr>
        <w:t>，</w:t>
      </w:r>
      <w:r>
        <w:rPr>
          <w:rFonts w:hint="eastAsia" w:ascii="宋体" w:hAnsi="宋体" w:eastAsia="宋体" w:cs="宋体"/>
          <w:i w:val="0"/>
          <w:iCs w:val="0"/>
          <w:caps w:val="0"/>
          <w:color w:val="auto"/>
          <w:spacing w:val="0"/>
          <w:sz w:val="24"/>
          <w:szCs w:val="24"/>
          <w:shd w:val="clear" w:fill="auto"/>
          <w:lang w:bidi="ar"/>
        </w:rPr>
        <w:t>诚实守信、敬业爱岗，有较强的上进心，勇于创新，能够适应新技术领域，不断学习和自我提升；有较强的责任心和团队合作精神，良好的文字和沟通表达能力，能有效协作完成团队任务</w:t>
      </w:r>
      <w:r>
        <w:rPr>
          <w:rFonts w:hint="eastAsia" w:ascii="宋体" w:hAnsi="宋体" w:eastAsia="宋体" w:cs="宋体"/>
          <w:i w:val="0"/>
          <w:iCs w:val="0"/>
          <w:caps w:val="0"/>
          <w:spacing w:val="0"/>
          <w:sz w:val="24"/>
          <w:szCs w:val="24"/>
          <w:shd w:val="clear"/>
          <w:lang w:eastAsia="zh-CN" w:bidi="ar"/>
        </w:rPr>
        <w:t>；</w:t>
      </w:r>
      <w:r>
        <w:rPr>
          <w:rFonts w:hint="eastAsia" w:ascii="宋体" w:hAnsi="宋体" w:eastAsia="宋体" w:cs="宋体"/>
          <w:i w:val="0"/>
          <w:iCs w:val="0"/>
          <w:caps w:val="0"/>
          <w:color w:val="auto"/>
          <w:spacing w:val="0"/>
          <w:sz w:val="24"/>
          <w:szCs w:val="24"/>
          <w:shd w:val="clear" w:fill="auto"/>
          <w:lang w:bidi="ar"/>
        </w:rPr>
        <w:t>抗压能力强，具有较强的独立思考能力，逻辑思维清晰，具备独立分析和解决问题能力</w:t>
      </w:r>
      <w:r>
        <w:rPr>
          <w:rFonts w:hint="eastAsia" w:ascii="宋体" w:hAnsi="宋体" w:eastAsia="宋体" w:cs="宋体"/>
          <w:kern w:val="2"/>
          <w:sz w:val="24"/>
          <w:szCs w:val="24"/>
          <w:lang w:val="en-US" w:eastAsia="zh-CN" w:bidi="ar"/>
        </w:rPr>
        <w:t>。</w:t>
      </w:r>
    </w:p>
    <w:p w14:paraId="2AED1EC8">
      <w:pPr>
        <w:keepNext w:val="0"/>
        <w:keepLines w:val="0"/>
        <w:widowControl w:val="0"/>
        <w:numPr>
          <w:ilvl w:val="0"/>
          <w:numId w:val="0"/>
        </w:numPr>
        <w:suppressLineNumbers w:val="0"/>
        <w:spacing w:before="0" w:beforeAutospacing="0" w:after="0" w:afterAutospacing="0" w:line="440" w:lineRule="exact"/>
        <w:ind w:left="567" w:right="0" w:firstLine="53" w:firstLineChars="22"/>
        <w:jc w:val="left"/>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1.4. </w:t>
      </w:r>
      <w:r>
        <w:rPr>
          <w:rStyle w:val="10"/>
          <w:rFonts w:hint="eastAsia" w:ascii="宋体" w:hAnsi="宋体" w:eastAsia="宋体" w:cs="宋体"/>
          <w:kern w:val="0"/>
          <w:sz w:val="24"/>
          <w:szCs w:val="24"/>
          <w:lang w:val="en-US" w:eastAsia="zh-CN" w:bidi="ar"/>
        </w:rPr>
        <w:t>服务要求：</w:t>
      </w:r>
    </w:p>
    <w:p w14:paraId="7ED46CB6">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1.4.1. 项目维保期间，供应商至少提供1人月的免费现场驻场服务。</w:t>
      </w:r>
    </w:p>
    <w:p w14:paraId="2AFEFE45">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1.4.2. 若供应商在项目实施过程中提供自有（或第三方）的软件产品、工具的，需确保没有侵犯任何第三人的知识产权、所有权或使用权，并且提供源码，后续无使用许可、维保费用等其他收费。</w:t>
      </w:r>
    </w:p>
    <w:p w14:paraId="382705CD">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1.4.3. 本次涉及的客户化实施代码，根据自主可控的原则，需开放所有源码。</w:t>
      </w:r>
    </w:p>
    <w:p w14:paraId="55DC91E2">
      <w:pPr>
        <w:keepNext w:val="0"/>
        <w:keepLines w:val="0"/>
        <w:widowControl/>
        <w:numPr>
          <w:ilvl w:val="-1"/>
          <w:numId w:val="0"/>
        </w:numPr>
        <w:suppressLineNumbers w:val="0"/>
        <w:spacing w:before="0" w:beforeAutospacing="0" w:after="0" w:afterAutospacing="0" w:line="440" w:lineRule="exact"/>
        <w:ind w:left="8" w:right="0" w:firstLine="640" w:firstLineChars="0"/>
        <w:jc w:val="left"/>
        <w:outlineLvl w:val="9"/>
        <w:rPr>
          <w:rFonts w:hint="eastAsia" w:ascii="宋体" w:hAnsi="宋体" w:eastAsia="宋体" w:cs="宋体"/>
          <w:sz w:val="24"/>
          <w:lang w:bidi="ar"/>
        </w:rPr>
      </w:pPr>
      <w:r>
        <w:rPr>
          <w:rFonts w:hint="eastAsia" w:ascii="宋体" w:hAnsi="宋体" w:eastAsia="宋体" w:cs="宋体"/>
          <w:kern w:val="2"/>
          <w:sz w:val="24"/>
          <w:szCs w:val="24"/>
          <w:lang w:val="en-US" w:eastAsia="zh-CN" w:bidi="ar"/>
        </w:rPr>
        <w:t>1.4.4. 供应商在本次项目实施过程中不得对项目进行分包及转包。</w:t>
      </w:r>
    </w:p>
    <w:p w14:paraId="204CEF2F">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1.4.5. 进场实施人员一经我行、供应商双方确认，须在项目上线前保持一致，除非特殊原因（如个人身体健康原因等），项目经理、技术经理、架构师、数据库工程师相关专家及研发人员原则上不允许出现变更，进场后人员如无特殊原因也不允许出现变更。</w:t>
      </w:r>
    </w:p>
    <w:p w14:paraId="1971A98C">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1.4.6. 供应商需至少提供1年免费维保服务（维保期自项目整体验收之日起1年）。</w:t>
      </w:r>
    </w:p>
    <w:p w14:paraId="571D2C8E">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1.4.7. 供应商免费提供管理员集中培训和普通用户现场培训，免费提供培训教材。培训内容应包括系统的搭建、使用、维护、升级、操作、常见问题及解决办法等主要内容。</w:t>
      </w:r>
    </w:p>
    <w:p w14:paraId="54E9AC11">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1.4.8. 经我行判定，若本项目符合研发费税前加计扣除政策，供应商应在合同签订后三个月内向我行提交当地科技行政主管部门的合同登记证明材料。如果未按照约定时间提供合同登记证明材料，应支付违约金。</w:t>
      </w:r>
    </w:p>
    <w:p w14:paraId="71690C21">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kern w:val="2"/>
          <w:sz w:val="24"/>
          <w:szCs w:val="24"/>
          <w:lang w:val="en-US" w:eastAsia="zh-CN" w:bidi="ar"/>
        </w:rPr>
      </w:pPr>
      <w:bookmarkStart w:id="0" w:name="_GoBack"/>
      <w:r>
        <w:rPr>
          <w:rFonts w:hint="eastAsia" w:ascii="宋体" w:hAnsi="宋体" w:eastAsia="宋体" w:cs="宋体"/>
          <w:kern w:val="2"/>
          <w:sz w:val="24"/>
          <w:szCs w:val="24"/>
          <w:lang w:val="en-US" w:eastAsia="zh-CN" w:bidi="ar"/>
        </w:rPr>
        <w:t>1.4.9. 应具有信息安全保密能力和业务连续性保障机制，并提供公司相关内部制度或保障方案。</w:t>
      </w:r>
    </w:p>
    <w:bookmarkEnd w:id="0"/>
    <w:p w14:paraId="05A8C490">
      <w:pPr>
        <w:keepNext w:val="0"/>
        <w:keepLines w:val="0"/>
        <w:widowControl/>
        <w:numPr>
          <w:ilvl w:val="0"/>
          <w:numId w:val="0"/>
        </w:numPr>
        <w:suppressLineNumbers w:val="0"/>
        <w:spacing w:before="0" w:beforeAutospacing="0" w:after="0" w:afterAutospacing="0" w:line="440" w:lineRule="exact"/>
        <w:ind w:left="567" w:right="0" w:firstLine="53" w:firstLineChars="22"/>
        <w:jc w:val="left"/>
        <w:outlineLvl w:val="1"/>
        <w:rPr>
          <w:rFonts w:hint="eastAsia" w:ascii="宋体" w:hAnsi="宋体" w:eastAsia="宋体" w:cs="宋体"/>
          <w:sz w:val="24"/>
        </w:rPr>
      </w:pPr>
      <w:r>
        <w:rPr>
          <w:rFonts w:hint="eastAsia" w:ascii="宋体" w:hAnsi="宋体" w:eastAsia="宋体" w:cs="宋体"/>
          <w:b/>
          <w:bCs/>
          <w:kern w:val="2"/>
          <w:sz w:val="24"/>
          <w:szCs w:val="24"/>
          <w:lang w:val="en-US" w:eastAsia="zh-CN" w:bidi="ar"/>
        </w:rPr>
        <w:t>1.5. </w:t>
      </w:r>
      <w:r>
        <w:rPr>
          <w:rStyle w:val="10"/>
          <w:rFonts w:hint="eastAsia" w:ascii="宋体" w:hAnsi="宋体" w:eastAsia="宋体" w:cs="宋体"/>
          <w:kern w:val="0"/>
          <w:sz w:val="24"/>
          <w:szCs w:val="24"/>
          <w:lang w:val="en-US" w:eastAsia="zh-CN" w:bidi="ar"/>
        </w:rPr>
        <w:t>供应商资质要求</w:t>
      </w:r>
    </w:p>
    <w:p w14:paraId="67C0E625">
      <w:pPr>
        <w:keepNext w:val="0"/>
        <w:keepLines w:val="0"/>
        <w:widowControl/>
        <w:suppressLineNumbers w:val="0"/>
        <w:spacing w:before="0" w:beforeAutospacing="0" w:after="0" w:afterAutospacing="0" w:line="440" w:lineRule="exact"/>
        <w:ind w:left="8" w:right="0" w:firstLine="640"/>
        <w:jc w:val="left"/>
        <w:rPr>
          <w:rFonts w:hint="eastAsia" w:ascii="宋体" w:hAnsi="宋体" w:eastAsia="宋体" w:cs="宋体"/>
          <w:sz w:val="24"/>
        </w:rPr>
      </w:pPr>
      <w:r>
        <w:rPr>
          <w:rFonts w:hint="eastAsia" w:ascii="宋体" w:hAnsi="宋体" w:eastAsia="宋体" w:cs="宋体"/>
          <w:kern w:val="0"/>
          <w:sz w:val="24"/>
          <w:szCs w:val="24"/>
          <w:lang w:val="en-US" w:eastAsia="zh-CN" w:bidi="ar"/>
        </w:rPr>
        <w:t>1.5.1. 企业成立3年及以上，近三年财务状况良好，可稳定提供服务。</w:t>
      </w:r>
    </w:p>
    <w:p w14:paraId="128A8F16">
      <w:pPr>
        <w:keepNext w:val="0"/>
        <w:keepLines w:val="0"/>
        <w:widowControl/>
        <w:numPr>
          <w:ilvl w:val="-1"/>
          <w:numId w:val="0"/>
        </w:numPr>
        <w:suppressLineNumbers w:val="0"/>
        <w:spacing w:before="0" w:beforeAutospacing="0" w:after="0" w:afterAutospacing="0" w:line="440" w:lineRule="exact"/>
        <w:ind w:left="8" w:right="0" w:firstLine="640" w:firstLineChars="0"/>
        <w:jc w:val="left"/>
        <w:outlineLvl w:val="9"/>
        <w:rPr>
          <w:rFonts w:hint="eastAsia" w:ascii="宋体" w:hAnsi="宋体" w:eastAsia="宋体" w:cs="宋体"/>
          <w:kern w:val="0"/>
          <w:sz w:val="24"/>
          <w:lang w:bidi="ar"/>
        </w:rPr>
      </w:pPr>
      <w:r>
        <w:rPr>
          <w:rFonts w:hint="eastAsia" w:ascii="宋体" w:hAnsi="宋体" w:eastAsia="宋体" w:cs="宋体"/>
          <w:kern w:val="0"/>
          <w:sz w:val="24"/>
          <w:szCs w:val="24"/>
          <w:lang w:val="en-US" w:eastAsia="zh-CN" w:bidi="ar"/>
        </w:rPr>
        <w:t>1.5.2. 针对20家国内系统重要性银行(工行、农行、中行、建行、交行、邮储、中信、光大、招商、华夏、浦发、兴业、广发、民生、平安、北京、南京、上海、宁波、江苏)总分行或科技子公司，近三年（2022年1月1日至今）具有与其中部分同业合作过开展财资管理系统相关的建设项目案例。</w:t>
      </w:r>
    </w:p>
    <w:p w14:paraId="2435E9A0">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val="en-US" w:bidi="ar"/>
        </w:rPr>
      </w:pPr>
      <w:r>
        <w:rPr>
          <w:rFonts w:hint="eastAsia" w:ascii="宋体" w:hAnsi="宋体" w:eastAsia="宋体" w:cs="宋体"/>
          <w:b/>
          <w:bCs/>
          <w:kern w:val="2"/>
          <w:sz w:val="24"/>
          <w:szCs w:val="24"/>
          <w:lang w:val="en-US" w:eastAsia="zh-CN" w:bidi="ar"/>
        </w:rPr>
        <w:t>二、报名要求</w:t>
      </w:r>
    </w:p>
    <w:p w14:paraId="722BDD56">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2.1.依法成立，为存续、在营、开业、在册、登记成立等正常企业状态。</w:t>
      </w:r>
    </w:p>
    <w:p w14:paraId="60F443B2">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2.2.充分理解我行服务需求并能够根据需求提供相应的服务。</w:t>
      </w:r>
    </w:p>
    <w:p w14:paraId="23705687">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2.3.具有良好的商业信誉和财务情况。</w:t>
      </w:r>
    </w:p>
    <w:p w14:paraId="4424C54B">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2.4.依法缴纳税收和社会保障资金。</w:t>
      </w:r>
    </w:p>
    <w:p w14:paraId="5A0E28CE">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2.5.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厦门国际银行供应商黑名单中。</w:t>
      </w:r>
    </w:p>
    <w:p w14:paraId="457A1724">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2.6.经营范围经国家行政管理部门依法批准，同时获得从事行业有效执业证明、行政许可、专业资质等证照。</w:t>
      </w:r>
    </w:p>
    <w:p w14:paraId="5729443F">
      <w:pPr>
        <w:keepNext w:val="0"/>
        <w:keepLines w:val="0"/>
        <w:widowControl/>
        <w:suppressLineNumbers w:val="0"/>
        <w:spacing w:before="0" w:beforeAutospacing="0" w:after="0" w:afterAutospacing="0" w:line="440" w:lineRule="exact"/>
        <w:ind w:left="0" w:right="0" w:firstLine="640"/>
        <w:jc w:val="both"/>
        <w:rPr>
          <w:rFonts w:hint="eastAsia" w:ascii="宋体" w:hAnsi="宋体" w:eastAsia="宋体" w:cs="宋体"/>
          <w:sz w:val="24"/>
        </w:rPr>
      </w:pPr>
      <w:r>
        <w:rPr>
          <w:rFonts w:hint="eastAsia" w:ascii="宋体" w:hAnsi="宋体" w:eastAsia="宋体" w:cs="宋体"/>
          <w:kern w:val="2"/>
          <w:sz w:val="24"/>
          <w:szCs w:val="24"/>
          <w:lang w:val="en-US" w:eastAsia="zh-CN" w:bidi="ar"/>
        </w:rPr>
        <w:t>2.7.两年内目标服务领域未出现严重安全事件。</w:t>
      </w:r>
    </w:p>
    <w:p w14:paraId="2FBC8BC4">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三、征集时间</w:t>
      </w:r>
    </w:p>
    <w:p w14:paraId="0B4608E5">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本次供应商征集自即日起至2025年11月4日23：59止。</w:t>
      </w:r>
    </w:p>
    <w:p w14:paraId="7FBF6F6B">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四、报名方式</w:t>
      </w:r>
    </w:p>
    <w:p w14:paraId="643D61E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采购部门联系人：</w:t>
      </w:r>
    </w:p>
    <w:p w14:paraId="576580BA">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甘老师，联系电话：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lang w:val="en-US" w:eastAsia="zh-CN"/>
        </w:rPr>
        <w:t>891</w:t>
      </w:r>
      <w:r>
        <w:rPr>
          <w:rFonts w:hint="eastAsia" w:ascii="宋体" w:hAnsi="宋体" w:eastAsia="宋体" w:cs="宋体"/>
          <w:kern w:val="2"/>
          <w:sz w:val="24"/>
          <w:szCs w:val="24"/>
          <w:lang w:val="en-US" w:eastAsia="zh-CN" w:bidi="ar"/>
        </w:rPr>
        <w:t>；</w:t>
      </w:r>
    </w:p>
    <w:p w14:paraId="4A6703BD">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若有意向请将供应商资料于征集截止时间前提交至</w:t>
      </w:r>
      <w:r>
        <w:rPr>
          <w:rFonts w:hint="eastAsia" w:ascii="宋体" w:hAnsi="宋体" w:eastAsia="宋体"/>
          <w:sz w:val="24"/>
          <w:szCs w:val="24"/>
          <w:lang w:val="en-US" w:eastAsia="zh-CN"/>
        </w:rPr>
        <w:t>ganxp@xib.com.cn、zhangwg@xib.com.cn、tangwz@xib.com.cn</w:t>
      </w:r>
      <w:r>
        <w:rPr>
          <w:rFonts w:hint="eastAsia" w:ascii="宋体" w:hAnsi="宋体" w:eastAsia="宋体" w:cs="宋体"/>
          <w:kern w:val="2"/>
          <w:sz w:val="24"/>
          <w:szCs w:val="24"/>
          <w:lang w:val="en-US" w:eastAsia="zh-CN" w:bidi="ar"/>
        </w:rPr>
        <w:t>邮箱。</w:t>
      </w:r>
      <w:r>
        <w:rPr>
          <w:rFonts w:ascii="宋体" w:hAnsi="宋体" w:eastAsia="宋体"/>
          <w:b/>
          <w:sz w:val="24"/>
          <w:szCs w:val="24"/>
        </w:rPr>
        <w:t>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14:paraId="54254072">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五、报名注意事项</w:t>
      </w:r>
    </w:p>
    <w:p w14:paraId="134559E7">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1. 提交的供应商资料内容包括如下三项： </w:t>
      </w:r>
    </w:p>
    <w:p w14:paraId="45FB3FFD">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材料1：《厦门国际银行财资管理系统项目》供应商征集反馈材料-公司名称（全称）</w:t>
      </w:r>
    </w:p>
    <w:p w14:paraId="16F2F1E5">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材料2：《厦门国际银行财资管理系统建设项目》信息收集表</w:t>
      </w:r>
    </w:p>
    <w:p w14:paraId="431EBCC2">
      <w:pPr>
        <w:keepNext w:val="0"/>
        <w:keepLines w:val="0"/>
        <w:widowControl/>
        <w:suppressLineNumbers w:val="0"/>
        <w:spacing w:before="0" w:beforeAutospacing="0" w:after="0" w:afterAutospacing="0" w:line="440" w:lineRule="exact"/>
        <w:ind w:left="0" w:right="0" w:firstLine="64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材料3：</w:t>
      </w:r>
      <w:r>
        <w:rPr>
          <w:rFonts w:hint="eastAsia" w:ascii="宋体" w:hAnsi="宋体" w:eastAsia="宋体" w:cs="宋体"/>
          <w:kern w:val="0"/>
          <w:sz w:val="24"/>
          <w:szCs w:val="24"/>
          <w:lang w:val="en-US" w:eastAsia="zh-CN" w:bidi="ar"/>
        </w:rPr>
        <w:t>承诺函</w:t>
      </w:r>
    </w:p>
    <w:p w14:paraId="4CBFA15B">
      <w:pPr>
        <w:pStyle w:val="7"/>
        <w:keepNext w:val="0"/>
        <w:keepLines w:val="0"/>
        <w:widowControl/>
        <w:suppressLineNumbers w:val="0"/>
        <w:topLinePunct/>
        <w:spacing w:before="0" w:beforeAutospacing="0" w:after="0" w:afterAutospacing="0" w:line="440" w:lineRule="exact"/>
        <w:ind w:left="0" w:leftChars="0" w:right="0" w:firstLine="480" w:firstLineChars="200"/>
        <w:rPr>
          <w:rFonts w:hint="eastAsia" w:ascii="宋体" w:hAnsi="宋体" w:eastAsia="宋体" w:cs="宋体"/>
        </w:rPr>
      </w:pPr>
      <w:r>
        <w:rPr>
          <w:rFonts w:hint="eastAsia" w:ascii="宋体" w:hAnsi="宋体" w:eastAsia="宋体" w:cs="宋体"/>
          <w:kern w:val="2"/>
          <w:sz w:val="24"/>
          <w:szCs w:val="24"/>
        </w:rPr>
        <w:t>以上</w:t>
      </w:r>
      <w:r>
        <w:rPr>
          <w:rFonts w:hint="eastAsia" w:ascii="宋体" w:hAnsi="宋体" w:eastAsia="宋体" w:cs="宋体"/>
          <w:kern w:val="2"/>
          <w:sz w:val="24"/>
          <w:szCs w:val="24"/>
          <w:lang w:val="en-US" w:eastAsia="zh-CN"/>
        </w:rPr>
        <w:t>三</w:t>
      </w:r>
      <w:r>
        <w:rPr>
          <w:rFonts w:hint="eastAsia" w:ascii="宋体" w:hAnsi="宋体" w:eastAsia="宋体" w:cs="宋体"/>
          <w:kern w:val="2"/>
          <w:sz w:val="24"/>
          <w:szCs w:val="24"/>
        </w:rPr>
        <w:t>项材料填报模板详见附件</w:t>
      </w:r>
      <w:r>
        <w:rPr>
          <w:rFonts w:hint="eastAsia" w:ascii="宋体" w:hAnsi="宋体" w:eastAsia="宋体" w:cs="宋体"/>
          <w:b/>
          <w:bCs/>
          <w:color w:val="FF0000"/>
          <w:sz w:val="24"/>
          <w:szCs w:val="24"/>
          <w:u w:val="none"/>
          <w:lang w:val="en-US" w:eastAsia="zh-CN"/>
        </w:rPr>
        <w:t>模板后填写，勿改动格式。</w:t>
      </w:r>
      <w:r>
        <w:rPr>
          <w:rFonts w:hint="eastAsia" w:ascii="宋体" w:hAnsi="宋体" w:eastAsia="宋体" w:cs="宋体"/>
          <w:kern w:val="2"/>
          <w:sz w:val="24"/>
          <w:szCs w:val="24"/>
        </w:rPr>
        <w:t>提交材料1</w:t>
      </w:r>
      <w:r>
        <w:rPr>
          <w:rFonts w:hint="eastAsia" w:ascii="宋体" w:hAnsi="宋体" w:eastAsia="宋体" w:cs="宋体"/>
          <w:kern w:val="2"/>
          <w:sz w:val="24"/>
          <w:szCs w:val="24"/>
          <w:lang w:eastAsia="zh-CN"/>
        </w:rPr>
        <w:t>、</w:t>
      </w:r>
      <w:r>
        <w:rPr>
          <w:rFonts w:hint="eastAsia" w:ascii="宋体" w:hAnsi="宋体" w:eastAsia="宋体" w:cs="宋体"/>
          <w:kern w:val="2"/>
          <w:sz w:val="24"/>
          <w:szCs w:val="24"/>
        </w:rPr>
        <w:t>材料</w:t>
      </w:r>
      <w:r>
        <w:rPr>
          <w:rFonts w:hint="eastAsia" w:ascii="宋体" w:hAnsi="宋体" w:eastAsia="宋体" w:cs="宋体"/>
          <w:kern w:val="2"/>
          <w:sz w:val="24"/>
          <w:szCs w:val="24"/>
          <w:lang w:val="en-US" w:eastAsia="zh-CN"/>
        </w:rPr>
        <w:t>2</w:t>
      </w:r>
      <w:r>
        <w:rPr>
          <w:rFonts w:hint="eastAsia" w:ascii="宋体" w:hAnsi="宋体" w:eastAsia="宋体" w:cs="宋体"/>
          <w:kern w:val="2"/>
          <w:sz w:val="24"/>
          <w:szCs w:val="24"/>
        </w:rPr>
        <w:t>无需加盖公司（单位）公章。材料</w:t>
      </w:r>
      <w:r>
        <w:rPr>
          <w:rFonts w:hint="eastAsia" w:ascii="宋体" w:hAnsi="宋体" w:eastAsia="宋体" w:cs="宋体"/>
          <w:kern w:val="2"/>
          <w:sz w:val="24"/>
          <w:szCs w:val="24"/>
          <w:lang w:val="en-US" w:eastAsia="zh-CN"/>
        </w:rPr>
        <w:t>3</w:t>
      </w:r>
      <w:r>
        <w:rPr>
          <w:rFonts w:hint="eastAsia" w:ascii="宋体" w:hAnsi="宋体" w:eastAsia="宋体" w:cs="宋体"/>
          <w:sz w:val="24"/>
          <w:szCs w:val="24"/>
        </w:rPr>
        <w:t>需加盖公司（单位）公章</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多页的需加盖骑缝章</w:t>
      </w:r>
      <w:r>
        <w:rPr>
          <w:rFonts w:hint="eastAsia" w:ascii="宋体" w:hAnsi="宋体" w:eastAsia="宋体" w:cs="宋体"/>
          <w:sz w:val="24"/>
          <w:szCs w:val="24"/>
          <w:lang w:eastAsia="zh-CN"/>
        </w:rPr>
        <w:t>）</w:t>
      </w:r>
      <w:r>
        <w:rPr>
          <w:rFonts w:hint="eastAsia" w:ascii="宋体" w:hAnsi="宋体" w:eastAsia="宋体" w:cs="宋体"/>
          <w:sz w:val="24"/>
          <w:szCs w:val="24"/>
        </w:rPr>
        <w:t>。</w:t>
      </w:r>
    </w:p>
    <w:p w14:paraId="7F8E679E">
      <w:pPr>
        <w:keepNext w:val="0"/>
        <w:keepLines w:val="0"/>
        <w:widowControl/>
        <w:suppressLineNumbers w:val="0"/>
        <w:spacing w:before="0" w:beforeAutospacing="0" w:after="0" w:afterAutospacing="0" w:line="440" w:lineRule="exact"/>
        <w:ind w:left="0" w:leftChars="0" w:right="0" w:firstLine="600" w:firstLineChars="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2.提交供应商资料应清晰且完整，大小不超过20M。（提交的邮件附件总大小超过</w:t>
      </w:r>
      <w:r>
        <w:rPr>
          <w:rFonts w:hint="eastAsia" w:ascii="宋体" w:hAnsi="宋体" w:eastAsia="宋体" w:cs="宋体"/>
          <w:b/>
          <w:bCs/>
          <w:kern w:val="2"/>
          <w:sz w:val="24"/>
          <w:szCs w:val="24"/>
          <w:lang w:val="en-US" w:eastAsia="zh-CN" w:bidi="ar"/>
        </w:rPr>
        <w:t>20M</w:t>
      </w:r>
      <w:r>
        <w:rPr>
          <w:rFonts w:hint="eastAsia" w:ascii="宋体" w:hAnsi="宋体" w:eastAsia="宋体" w:cs="宋体"/>
          <w:kern w:val="2"/>
          <w:sz w:val="24"/>
          <w:szCs w:val="24"/>
          <w:lang w:val="en-US" w:eastAsia="zh-CN" w:bidi="ar"/>
        </w:rPr>
        <w:t>自动拦截视为无效应答，附件请勿通过第三方邮箱转存附件，</w:t>
      </w:r>
      <w:r>
        <w:rPr>
          <w:rFonts w:hint="eastAsia" w:ascii="宋体" w:hAnsi="宋体" w:eastAsia="宋体" w:cs="宋体"/>
          <w:b/>
          <w:bCs/>
          <w:kern w:val="2"/>
          <w:sz w:val="24"/>
          <w:szCs w:val="24"/>
          <w:lang w:val="en-US" w:eastAsia="zh-CN" w:bidi="ar"/>
        </w:rPr>
        <w:t>材料1和材料3转为PDF格式发送</w:t>
      </w:r>
      <w:r>
        <w:rPr>
          <w:rFonts w:hint="eastAsia" w:ascii="宋体" w:hAnsi="宋体" w:eastAsia="宋体" w:cs="宋体"/>
          <w:kern w:val="2"/>
          <w:sz w:val="24"/>
          <w:szCs w:val="24"/>
          <w:lang w:val="en-US" w:eastAsia="zh-CN" w:bidi="ar"/>
        </w:rPr>
        <w:t>，材料2以excel格式发送。）</w:t>
      </w:r>
    </w:p>
    <w:p w14:paraId="214BA3B2">
      <w:pPr>
        <w:spacing w:line="440" w:lineRule="exact"/>
        <w:ind w:firstLine="480" w:firstLineChars="200"/>
        <w:rPr>
          <w:rFonts w:hint="eastAsia" w:ascii="宋体" w:hAnsi="宋体" w:eastAsia="宋体"/>
          <w:b/>
          <w:bCs/>
          <w:color w:val="auto"/>
          <w:sz w:val="24"/>
          <w:szCs w:val="24"/>
          <w:highlight w:val="red"/>
        </w:rPr>
      </w:pPr>
      <w:r>
        <w:rPr>
          <w:rFonts w:hint="eastAsia" w:ascii="宋体" w:hAnsi="宋体" w:eastAsia="宋体"/>
          <w:sz w:val="24"/>
          <w:szCs w:val="24"/>
          <w:lang w:val="en-US" w:eastAsia="zh-CN"/>
        </w:rPr>
        <w:t>3.</w:t>
      </w:r>
      <w:r>
        <w:rPr>
          <w:rFonts w:hint="eastAsia" w:ascii="宋体" w:hAnsi="宋体" w:eastAsia="宋体"/>
          <w:b/>
          <w:bCs/>
          <w:sz w:val="24"/>
          <w:szCs w:val="24"/>
        </w:rPr>
        <w:t>非在库供应商请在征集时间内通过厦门国际银行采购门户网站（</w:t>
      </w:r>
      <w:r>
        <w:rPr>
          <w:rFonts w:ascii="宋体" w:hAnsi="宋体" w:eastAsia="宋体"/>
          <w:b/>
          <w:bCs/>
          <w:sz w:val="24"/>
          <w:szCs w:val="24"/>
        </w:rPr>
        <w:t>https://cpms.xib.com.cn/）完成注册，详情请登录门户网站</w:t>
      </w:r>
      <w:r>
        <w:rPr>
          <w:rFonts w:hint="eastAsia" w:ascii="宋体" w:hAnsi="宋体" w:eastAsia="宋体"/>
          <w:b/>
          <w:bCs/>
          <w:sz w:val="24"/>
          <w:szCs w:val="24"/>
        </w:rPr>
        <w:t>查阅《供应商门户操作手册》。完成注册后，及时向采购人反馈注册结果（采购门户网站中通过注册审批的截图）</w:t>
      </w:r>
      <w:r>
        <w:rPr>
          <w:rFonts w:hint="eastAsia" w:ascii="宋体" w:hAnsi="宋体" w:eastAsia="宋体"/>
          <w:sz w:val="24"/>
          <w:szCs w:val="24"/>
        </w:rPr>
        <w:t>；</w:t>
      </w:r>
      <w:r>
        <w:rPr>
          <w:rFonts w:hint="eastAsia" w:ascii="宋体" w:hAnsi="宋体" w:eastAsia="宋体"/>
          <w:color w:val="auto"/>
          <w:sz w:val="24"/>
          <w:szCs w:val="24"/>
        </w:rPr>
        <w:t>如已在厦门国际银行供应商库内，</w:t>
      </w:r>
      <w:r>
        <w:rPr>
          <w:rFonts w:hint="eastAsia" w:ascii="宋体" w:hAnsi="宋体" w:eastAsia="宋体"/>
          <w:b/>
          <w:bCs/>
          <w:color w:val="auto"/>
          <w:sz w:val="24"/>
          <w:highlight w:val="red"/>
          <w:lang w:val="en-US" w:eastAsia="zh-CN"/>
        </w:rPr>
        <w:t>需登录门户网站检视是否涉及“信息变更”</w:t>
      </w:r>
      <w:r>
        <w:rPr>
          <w:rFonts w:hint="eastAsia" w:ascii="宋体" w:hAnsi="宋体" w:eastAsia="宋体"/>
          <w:b/>
          <w:bCs/>
          <w:color w:val="auto"/>
          <w:sz w:val="24"/>
          <w:szCs w:val="24"/>
          <w:highlight w:val="red"/>
        </w:rPr>
        <w:t>。</w:t>
      </w:r>
    </w:p>
    <w:p w14:paraId="5689B452">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4.</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14:paraId="35A3536A">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p>
    <w:p w14:paraId="4C2FBDD7">
      <w:pPr>
        <w:keepNext w:val="0"/>
        <w:keepLines w:val="0"/>
        <w:widowControl w:val="0"/>
        <w:suppressLineNumbers w:val="0"/>
        <w:spacing w:before="0" w:beforeAutospacing="0" w:after="0" w:afterAutospacing="0" w:line="440" w:lineRule="exact"/>
        <w:ind w:left="0" w:leftChars="0" w:right="0" w:firstLine="0" w:firstLineChars="0"/>
        <w:jc w:val="left"/>
        <w:rPr>
          <w:rFonts w:hint="eastAsia" w:ascii="宋体" w:hAnsi="宋体" w:eastAsia="宋体" w:cs="宋体"/>
          <w:kern w:val="2"/>
          <w:sz w:val="24"/>
          <w:szCs w:val="24"/>
          <w:lang w:val="en-US" w:eastAsia="zh-CN" w:bidi="ar"/>
        </w:rPr>
      </w:pPr>
      <w:r>
        <w:rPr>
          <w:rFonts w:hint="eastAsia" w:ascii="宋体" w:hAnsi="宋体" w:eastAsia="宋体" w:cs="宋体"/>
          <w:b/>
          <w:bCs/>
          <w:sz w:val="24"/>
          <w:szCs w:val="24"/>
        </w:rPr>
        <w:t>★上述材料</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均需</w:t>
      </w:r>
      <w:r>
        <w:rPr>
          <w:rFonts w:hint="eastAsia" w:ascii="宋体" w:hAnsi="宋体" w:eastAsia="宋体" w:cs="宋体"/>
          <w:b/>
          <w:bCs/>
          <w:sz w:val="24"/>
          <w:szCs w:val="24"/>
          <w:highlight w:val="yellow"/>
          <w:lang w:val="en-US" w:eastAsia="zh-CN"/>
        </w:rPr>
        <w:t>清晰显示</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加盖供应商单位公章且为PDF格式。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w:t>
      </w:r>
    </w:p>
    <w:p w14:paraId="664B5A3C">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六、其他注意事项</w:t>
      </w:r>
    </w:p>
    <w:p w14:paraId="393C2AB4">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1.能够完全满足我行采购需求、有合作意向、符合资格要求、报名要求的供应商均可报名。</w:t>
      </w:r>
    </w:p>
    <w:p w14:paraId="3B4B85EA">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2.</w:t>
      </w:r>
      <w:r>
        <w:rPr>
          <w:rFonts w:hint="eastAsia" w:ascii="宋体" w:hAnsi="宋体" w:eastAsia="宋体" w:cs="宋体"/>
          <w:b/>
          <w:bCs/>
          <w:color w:val="FF0000"/>
          <w:kern w:val="2"/>
          <w:sz w:val="24"/>
          <w:szCs w:val="24"/>
          <w:lang w:val="en-US" w:eastAsia="zh-CN" w:bidi="ar"/>
        </w:rPr>
        <w:t>本次市场调研不代表采购邀请或意向，仅为调研市场情况发起</w:t>
      </w:r>
      <w:r>
        <w:rPr>
          <w:rFonts w:hint="eastAsia" w:ascii="宋体" w:hAnsi="宋体" w:eastAsia="宋体" w:cs="宋体"/>
          <w:color w:val="FF0000"/>
          <w:kern w:val="2"/>
          <w:sz w:val="24"/>
          <w:szCs w:val="24"/>
          <w:lang w:val="en-US" w:eastAsia="zh-CN" w:bidi="ar"/>
        </w:rPr>
        <w:t>。</w:t>
      </w:r>
      <w:r>
        <w:rPr>
          <w:rFonts w:hint="eastAsia" w:ascii="宋体" w:hAnsi="宋体" w:eastAsia="宋体" w:cs="宋体"/>
          <w:kern w:val="2"/>
          <w:sz w:val="24"/>
          <w:szCs w:val="24"/>
          <w:lang w:val="en-US" w:eastAsia="zh-CN" w:bidi="ar"/>
        </w:rPr>
        <w:t>若需后续对接，我行将会主动联系报名者；未予联系的报名者，我行将对材料予以保密。</w:t>
      </w:r>
    </w:p>
    <w:p w14:paraId="14BE91DA">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3.本次市场调研不收取供应商的任何费用。</w:t>
      </w:r>
    </w:p>
    <w:p w14:paraId="527FEEC4">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4.供应商须对报名信息和资料的真实性负责。如提供虚假材料，将取消报名资格并列入我行供应商黑名单。</w:t>
      </w:r>
    </w:p>
    <w:p w14:paraId="58B91DC0">
      <w:pPr>
        <w:pStyle w:val="7"/>
        <w:keepNext w:val="0"/>
        <w:keepLines w:val="0"/>
        <w:widowControl/>
        <w:suppressLineNumbers w:val="0"/>
        <w:spacing w:before="0" w:beforeAutospacing="0" w:after="0" w:afterAutospacing="0" w:line="440" w:lineRule="exact"/>
        <w:ind w:left="0" w:right="0" w:firstLine="640"/>
        <w:rPr>
          <w:rFonts w:hint="eastAsia" w:ascii="宋体" w:hAnsi="宋体" w:eastAsia="宋体" w:cs="宋体"/>
        </w:rPr>
      </w:pPr>
      <w:r>
        <w:rPr>
          <w:rFonts w:hint="eastAsia" w:ascii="宋体" w:hAnsi="宋体" w:eastAsia="宋体" w:cs="宋体"/>
          <w:kern w:val="0"/>
          <w:sz w:val="24"/>
          <w:szCs w:val="24"/>
        </w:rPr>
        <w:t>5.对于上述事项存在疑问的，请及时与</w:t>
      </w:r>
      <w:r>
        <w:rPr>
          <w:rFonts w:hint="eastAsia" w:ascii="宋体" w:hAnsi="宋体" w:eastAsia="宋体" w:cs="宋体"/>
          <w:kern w:val="0"/>
          <w:sz w:val="24"/>
          <w:szCs w:val="24"/>
          <w:lang w:eastAsia="zh-CN"/>
        </w:rPr>
        <w:t>我行</w:t>
      </w:r>
      <w:r>
        <w:rPr>
          <w:rFonts w:hint="eastAsia" w:ascii="宋体" w:hAnsi="宋体" w:eastAsia="宋体" w:cs="宋体"/>
          <w:kern w:val="0"/>
          <w:sz w:val="24"/>
          <w:szCs w:val="24"/>
        </w:rPr>
        <w:t>联系。</w:t>
      </w:r>
    </w:p>
    <w:p w14:paraId="35AD62D1">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14:paraId="47F8935C">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14:paraId="4459A58A">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5</w:t>
      </w:r>
      <w:r>
        <w:rPr>
          <w:rFonts w:ascii="宋体" w:hAnsi="宋体" w:eastAsia="宋体"/>
          <w:sz w:val="24"/>
          <w:szCs w:val="24"/>
        </w:rPr>
        <w:t>年</w:t>
      </w:r>
      <w:r>
        <w:rPr>
          <w:rFonts w:hint="eastAsia" w:ascii="宋体" w:hAnsi="宋体" w:eastAsia="宋体"/>
          <w:sz w:val="24"/>
          <w:szCs w:val="24"/>
          <w:lang w:val="en-US" w:eastAsia="zh-CN"/>
        </w:rPr>
        <w:t>10</w:t>
      </w:r>
      <w:r>
        <w:rPr>
          <w:rFonts w:ascii="宋体" w:hAnsi="宋体" w:eastAsia="宋体"/>
          <w:sz w:val="24"/>
          <w:szCs w:val="24"/>
        </w:rPr>
        <w:t>月</w:t>
      </w:r>
      <w:r>
        <w:rPr>
          <w:rFonts w:hint="eastAsia" w:ascii="宋体" w:hAnsi="宋体" w:eastAsia="宋体"/>
          <w:sz w:val="24"/>
          <w:szCs w:val="24"/>
          <w:lang w:val="en-US" w:eastAsia="zh-CN"/>
        </w:rPr>
        <w:t>29</w:t>
      </w:r>
      <w:r>
        <w:rPr>
          <w:rFonts w:ascii="宋体" w:hAnsi="宋体" w:eastAsia="宋体"/>
          <w:sz w:val="24"/>
          <w:szCs w:val="24"/>
        </w:rPr>
        <w:t>日</w:t>
      </w:r>
    </w:p>
    <w:p w14:paraId="0E5A65A9">
      <w:pPr>
        <w:spacing w:line="440" w:lineRule="exact"/>
        <w:rPr>
          <w:rFonts w:hint="eastAsia"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2AF65DD"/>
    <w:rsid w:val="07590D47"/>
    <w:rsid w:val="078717E6"/>
    <w:rsid w:val="080D77A6"/>
    <w:rsid w:val="08ED64C0"/>
    <w:rsid w:val="0A572FFF"/>
    <w:rsid w:val="0AFE0BBF"/>
    <w:rsid w:val="0FD24C86"/>
    <w:rsid w:val="0FE764A2"/>
    <w:rsid w:val="10D05B8E"/>
    <w:rsid w:val="10D32584"/>
    <w:rsid w:val="138228A6"/>
    <w:rsid w:val="171A6EB7"/>
    <w:rsid w:val="1AC94141"/>
    <w:rsid w:val="1AF5110C"/>
    <w:rsid w:val="1BC53A10"/>
    <w:rsid w:val="211E230B"/>
    <w:rsid w:val="21BA5FA8"/>
    <w:rsid w:val="28C52760"/>
    <w:rsid w:val="29304700"/>
    <w:rsid w:val="2B312BCE"/>
    <w:rsid w:val="2C002AAE"/>
    <w:rsid w:val="2C3C1CCE"/>
    <w:rsid w:val="329F3E18"/>
    <w:rsid w:val="33BE6305"/>
    <w:rsid w:val="360B0315"/>
    <w:rsid w:val="38201A42"/>
    <w:rsid w:val="3A811726"/>
    <w:rsid w:val="3DB755CD"/>
    <w:rsid w:val="3F425195"/>
    <w:rsid w:val="4254125A"/>
    <w:rsid w:val="46AB7566"/>
    <w:rsid w:val="46CC4364"/>
    <w:rsid w:val="47670B87"/>
    <w:rsid w:val="48736BA1"/>
    <w:rsid w:val="4A343869"/>
    <w:rsid w:val="4E563093"/>
    <w:rsid w:val="4F402D9D"/>
    <w:rsid w:val="508D52BB"/>
    <w:rsid w:val="53AE3814"/>
    <w:rsid w:val="5407085B"/>
    <w:rsid w:val="59B07BFB"/>
    <w:rsid w:val="5A8C061D"/>
    <w:rsid w:val="5E1365EC"/>
    <w:rsid w:val="5F4C5CE4"/>
    <w:rsid w:val="62864468"/>
    <w:rsid w:val="66665D3B"/>
    <w:rsid w:val="672F63D1"/>
    <w:rsid w:val="6828423E"/>
    <w:rsid w:val="68D87F2C"/>
    <w:rsid w:val="69057612"/>
    <w:rsid w:val="694866C0"/>
    <w:rsid w:val="6F2F4B24"/>
    <w:rsid w:val="71814EAA"/>
    <w:rsid w:val="7305217D"/>
    <w:rsid w:val="75933394"/>
    <w:rsid w:val="761500BA"/>
    <w:rsid w:val="76773435"/>
    <w:rsid w:val="76D13D4E"/>
    <w:rsid w:val="793E3E96"/>
    <w:rsid w:val="7A646F29"/>
    <w:rsid w:val="7A840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5">
    <w:name w:val="annotation text"/>
    <w:basedOn w:val="1"/>
    <w:qFormat/>
    <w:uiPriority w:val="0"/>
    <w:pPr>
      <w:jc w:val="left"/>
    </w:p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FollowedHyperlink"/>
    <w:basedOn w:val="9"/>
    <w:qFormat/>
    <w:uiPriority w:val="0"/>
    <w:rPr>
      <w:color w:val="277EFF"/>
      <w:u w:val="none"/>
    </w:rPr>
  </w:style>
  <w:style w:type="character" w:styleId="12">
    <w:name w:val="Emphasis"/>
    <w:basedOn w:val="9"/>
    <w:qFormat/>
    <w:uiPriority w:val="0"/>
  </w:style>
  <w:style w:type="character" w:styleId="13">
    <w:name w:val="HTML Definition"/>
    <w:basedOn w:val="9"/>
    <w:qFormat/>
    <w:uiPriority w:val="0"/>
  </w:style>
  <w:style w:type="character" w:styleId="14">
    <w:name w:val="HTML Acronym"/>
    <w:basedOn w:val="9"/>
    <w:qFormat/>
    <w:uiPriority w:val="0"/>
  </w:style>
  <w:style w:type="character" w:styleId="15">
    <w:name w:val="HTML Variable"/>
    <w:basedOn w:val="9"/>
    <w:qFormat/>
    <w:uiPriority w:val="0"/>
  </w:style>
  <w:style w:type="character" w:styleId="16">
    <w:name w:val="Hyperlink"/>
    <w:basedOn w:val="9"/>
    <w:qFormat/>
    <w:uiPriority w:val="0"/>
    <w:rPr>
      <w:color w:val="277EFF"/>
      <w:u w:val="none"/>
    </w:rPr>
  </w:style>
  <w:style w:type="character" w:styleId="17">
    <w:name w:val="HTML Code"/>
    <w:basedOn w:val="9"/>
    <w:qFormat/>
    <w:uiPriority w:val="0"/>
    <w:rPr>
      <w:rFonts w:ascii="Courier New" w:hAnsi="Courier New"/>
      <w:sz w:val="20"/>
    </w:rPr>
  </w:style>
  <w:style w:type="character" w:styleId="18">
    <w:name w:val="HTML Cite"/>
    <w:basedOn w:val="9"/>
    <w:qFormat/>
    <w:uiPriority w:val="0"/>
  </w:style>
  <w:style w:type="character" w:customStyle="1" w:styleId="19">
    <w:name w:val="concat-text"/>
    <w:basedOn w:val="9"/>
    <w:qFormat/>
    <w:uiPriority w:val="0"/>
  </w:style>
  <w:style w:type="character" w:customStyle="1" w:styleId="20">
    <w:name w:val="hover7"/>
    <w:basedOn w:val="9"/>
    <w:qFormat/>
    <w:uiPriority w:val="0"/>
    <w:rPr>
      <w:color w:val="004098"/>
      <w:bdr w:val="single" w:color="004098" w:sz="4" w:space="0"/>
    </w:rPr>
  </w:style>
  <w:style w:type="character" w:customStyle="1" w:styleId="21">
    <w:name w:val="hover8"/>
    <w:basedOn w:val="9"/>
    <w:qFormat/>
    <w:uiPriority w:val="0"/>
    <w:rPr>
      <w:color w:val="FFFFFF"/>
      <w:shd w:val="clear" w:fill="004098"/>
    </w:rPr>
  </w:style>
  <w:style w:type="character" w:customStyle="1" w:styleId="22">
    <w:name w:val="hover9"/>
    <w:basedOn w:val="9"/>
    <w:qFormat/>
    <w:uiPriority w:val="0"/>
    <w:rPr>
      <w:color w:val="FFFFFF"/>
    </w:rPr>
  </w:style>
  <w:style w:type="character" w:customStyle="1" w:styleId="23">
    <w:name w:val="hover10"/>
    <w:basedOn w:val="9"/>
    <w:qFormat/>
    <w:uiPriority w:val="0"/>
    <w:rPr>
      <w:color w:val="FFFFFF"/>
      <w:shd w:val="clear" w:fill="6495ED"/>
    </w:rPr>
  </w:style>
  <w:style w:type="character" w:customStyle="1" w:styleId="24">
    <w:name w:val="advice"/>
    <w:basedOn w:val="9"/>
    <w:qFormat/>
    <w:uiPriority w:val="0"/>
    <w:rPr>
      <w:color w:val="004098"/>
      <w:bdr w:val="single" w:color="004098" w:sz="4" w:space="0"/>
    </w:rPr>
  </w:style>
  <w:style w:type="character" w:customStyle="1" w:styleId="25">
    <w:name w:val="last-child"/>
    <w:basedOn w:val="9"/>
    <w:qFormat/>
    <w:uiPriority w:val="0"/>
  </w:style>
  <w:style w:type="character" w:customStyle="1" w:styleId="26">
    <w:name w:val="on1"/>
    <w:basedOn w:val="9"/>
    <w:qFormat/>
    <w:uiPriority w:val="0"/>
    <w:rPr>
      <w:color w:val="FFFFFF"/>
      <w:shd w:val="clear" w:fill="004098"/>
    </w:rPr>
  </w:style>
  <w:style w:type="character" w:customStyle="1" w:styleId="27">
    <w:name w:val="on2"/>
    <w:basedOn w:val="9"/>
    <w:qFormat/>
    <w:uiPriority w:val="0"/>
    <w:rPr>
      <w:color w:val="004098"/>
      <w:bdr w:val="single" w:color="004098" w:sz="4" w:space="0"/>
    </w:rPr>
  </w:style>
  <w:style w:type="character" w:customStyle="1" w:styleId="28">
    <w:name w:val="active"/>
    <w:basedOn w:val="9"/>
    <w:qFormat/>
    <w:uiPriority w:val="0"/>
    <w:rPr>
      <w:color w:val="FFFFFF"/>
      <w:shd w:val="clear" w:fill="004098"/>
    </w:rPr>
  </w:style>
  <w:style w:type="character" w:customStyle="1" w:styleId="29">
    <w:name w:val="statuspurchase"/>
    <w:basedOn w:val="9"/>
    <w:qFormat/>
    <w:uiPriority w:val="0"/>
    <w:rPr>
      <w:vanish/>
      <w:color w:val="004098"/>
      <w:sz w:val="14"/>
      <w:szCs w:val="14"/>
      <w:bdr w:val="single" w:color="004098" w:sz="4" w:space="0"/>
    </w:rPr>
  </w:style>
  <w:style w:type="character" w:customStyle="1" w:styleId="30">
    <w:name w:val="concat-title"/>
    <w:basedOn w:val="9"/>
    <w:qFormat/>
    <w:uiPriority w:val="0"/>
    <w:rPr>
      <w:color w:val="666666"/>
      <w:sz w:val="16"/>
      <w:szCs w:val="16"/>
    </w:rPr>
  </w:style>
  <w:style w:type="character" w:customStyle="1" w:styleId="31">
    <w:name w:val="nth-child(1)"/>
    <w:basedOn w:val="9"/>
    <w:qFormat/>
    <w:uiPriority w:val="0"/>
  </w:style>
  <w:style w:type="character" w:customStyle="1" w:styleId="32">
    <w:name w:val="nth-child(2)"/>
    <w:basedOn w:val="9"/>
    <w:qFormat/>
    <w:uiPriority w:val="0"/>
  </w:style>
  <w:style w:type="character" w:customStyle="1" w:styleId="33">
    <w:name w:val="nth-child(2)1"/>
    <w:basedOn w:val="9"/>
    <w:qFormat/>
    <w:uiPriority w:val="0"/>
  </w:style>
  <w:style w:type="character" w:customStyle="1" w:styleId="34">
    <w:name w:val="hover"/>
    <w:basedOn w:val="9"/>
    <w:qFormat/>
    <w:uiPriority w:val="0"/>
    <w:rPr>
      <w:color w:val="004098"/>
      <w:bdr w:val="single" w:color="004098" w:sz="4" w:space="0"/>
    </w:rPr>
  </w:style>
  <w:style w:type="character" w:customStyle="1" w:styleId="35">
    <w:name w:val="hover1"/>
    <w:basedOn w:val="9"/>
    <w:qFormat/>
    <w:uiPriority w:val="0"/>
    <w:rPr>
      <w:color w:val="FFFFFF"/>
      <w:shd w:val="clear" w:fill="004098"/>
    </w:rPr>
  </w:style>
  <w:style w:type="character" w:customStyle="1" w:styleId="36">
    <w:name w:val="hover2"/>
    <w:basedOn w:val="9"/>
    <w:qFormat/>
    <w:uiPriority w:val="0"/>
    <w:rPr>
      <w:color w:val="FFFFFF"/>
    </w:rPr>
  </w:style>
  <w:style w:type="character" w:customStyle="1" w:styleId="37">
    <w:name w:val="hover3"/>
    <w:basedOn w:val="9"/>
    <w:qFormat/>
    <w:uiPriority w:val="0"/>
    <w:rPr>
      <w:color w:val="FFFFFF"/>
      <w:shd w:val="clear" w:fill="6495ED"/>
    </w:rPr>
  </w:style>
  <w:style w:type="character" w:customStyle="1" w:styleId="38">
    <w:name w:val="on"/>
    <w:basedOn w:val="9"/>
    <w:qFormat/>
    <w:uiPriority w:val="0"/>
    <w:rPr>
      <w:color w:val="FFFFFF"/>
      <w:shd w:val="clear" w:fill="004098"/>
    </w:rPr>
  </w:style>
  <w:style w:type="paragraph" w:customStyle="1" w:styleId="39">
    <w:name w:val="正文样式my + 首行缩进:  0.74 厘米"/>
    <w:basedOn w:val="40"/>
    <w:qFormat/>
    <w:uiPriority w:val="0"/>
    <w:pPr>
      <w:ind w:firstLine="420"/>
    </w:pPr>
    <w:rPr>
      <w:rFonts w:cs="宋体"/>
      <w:szCs w:val="20"/>
    </w:rPr>
  </w:style>
  <w:style w:type="paragraph" w:customStyle="1" w:styleId="40">
    <w:name w:val="正文样式1"/>
    <w:basedOn w:val="1"/>
    <w:qFormat/>
    <w:uiPriority w:val="0"/>
    <w:pPr>
      <w:spacing w:line="360" w:lineRule="auto"/>
      <w:ind w:firstLine="480"/>
    </w:pPr>
    <w:rPr>
      <w:rFonts w:ascii="宋体" w:hAnsi="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2835</Words>
  <Characters>3150</Characters>
  <Lines>0</Lines>
  <Paragraphs>0</Paragraphs>
  <TotalTime>32</TotalTime>
  <ScaleCrop>false</ScaleCrop>
  <LinksUpToDate>false</LinksUpToDate>
  <CharactersWithSpaces>3173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WPS_1739925737</cp:lastModifiedBy>
  <dcterms:modified xsi:type="dcterms:W3CDTF">2025-10-29T03:08:12Z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EE5CB145E0B7408C9D5BBD909A1591C7_11</vt:lpwstr>
  </property>
  <property fmtid="{D5CDD505-2E9C-101B-9397-08002B2CF9AE}" pid="4" name="KSOTemplateDocerSaveRecord">
    <vt:lpwstr>eyJoZGlkIjoiMGU1YWMzYTBhMjY3NzNmYTg2Nzk4NTEwODdhMzY3MDEiLCJ1c2VySWQiOiIxNjgxMzEzMDc0In0=</vt:lpwstr>
  </property>
</Properties>
</file>