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8FB34">
      <w:pPr>
        <w:spacing w:line="360" w:lineRule="auto"/>
        <w:rPr>
          <w:rFonts w:hint="eastAsia" w:ascii="宋体" w:hAnsi="宋体"/>
          <w:b/>
          <w:color w:val="auto"/>
          <w:sz w:val="52"/>
          <w:szCs w:val="52"/>
          <w:highlight w:val="none"/>
        </w:rPr>
      </w:pPr>
      <w:bookmarkStart w:id="261" w:name="_GoBack"/>
    </w:p>
    <w:p w14:paraId="150C24AF">
      <w:pPr>
        <w:spacing w:line="360" w:lineRule="auto"/>
        <w:jc w:val="center"/>
        <w:rPr>
          <w:rFonts w:hint="eastAsia" w:ascii="宋体" w:hAnsi="宋体"/>
          <w:b/>
          <w:color w:val="auto"/>
          <w:sz w:val="52"/>
          <w:szCs w:val="52"/>
          <w:highlight w:val="none"/>
        </w:rPr>
      </w:pPr>
      <w:r>
        <w:rPr>
          <w:rFonts w:hint="eastAsia" w:ascii="宋体" w:hAnsi="宋体"/>
          <w:b/>
          <w:color w:val="auto"/>
          <w:sz w:val="52"/>
          <w:szCs w:val="52"/>
          <w:highlight w:val="none"/>
          <w:lang w:val="en-US" w:eastAsia="zh-CN"/>
        </w:rPr>
        <w:t xml:space="preserve">   </w:t>
      </w:r>
      <w:r>
        <w:rPr>
          <w:rFonts w:hint="eastAsia" w:ascii="宋体" w:hAnsi="宋体"/>
          <w:b/>
          <w:color w:val="auto"/>
          <w:sz w:val="52"/>
          <w:szCs w:val="52"/>
          <w:highlight w:val="none"/>
        </w:rPr>
        <w:t xml:space="preserve">  </w:t>
      </w:r>
    </w:p>
    <w:p w14:paraId="48904529">
      <w:pPr>
        <w:spacing w:line="360" w:lineRule="auto"/>
        <w:jc w:val="center"/>
        <w:rPr>
          <w:rFonts w:hint="eastAsia" w:ascii="宋体" w:hAnsi="宋体"/>
          <w:b/>
          <w:color w:val="auto"/>
          <w:sz w:val="52"/>
          <w:szCs w:val="52"/>
          <w:highlight w:val="none"/>
        </w:rPr>
      </w:pPr>
      <w:r>
        <w:rPr>
          <w:rFonts w:hint="eastAsia" w:ascii="宋体" w:hAnsi="宋体"/>
          <w:b/>
          <w:color w:val="auto"/>
          <w:sz w:val="52"/>
          <w:szCs w:val="52"/>
          <w:highlight w:val="none"/>
        </w:rPr>
        <w:t>竞争性磋商采购文件</w:t>
      </w:r>
    </w:p>
    <w:p w14:paraId="353119B5">
      <w:pPr>
        <w:spacing w:line="360" w:lineRule="auto"/>
        <w:ind w:firstLine="1303" w:firstLineChars="543"/>
        <w:rPr>
          <w:rFonts w:hint="eastAsia" w:ascii="宋体" w:hAnsi="宋体"/>
          <w:color w:val="auto"/>
          <w:sz w:val="24"/>
          <w:szCs w:val="24"/>
          <w:highlight w:val="none"/>
        </w:rPr>
      </w:pPr>
    </w:p>
    <w:p w14:paraId="120CA1E8">
      <w:pPr>
        <w:spacing w:line="360" w:lineRule="auto"/>
        <w:ind w:firstLine="2399" w:firstLineChars="543"/>
        <w:rPr>
          <w:rFonts w:hint="eastAsia" w:ascii="宋体" w:hAnsi="宋体"/>
          <w:b/>
          <w:color w:val="auto"/>
          <w:sz w:val="44"/>
          <w:highlight w:val="none"/>
        </w:rPr>
      </w:pPr>
    </w:p>
    <w:p w14:paraId="1046C62F">
      <w:pPr>
        <w:spacing w:line="360" w:lineRule="auto"/>
        <w:ind w:firstLine="1966" w:firstLineChars="445"/>
        <w:rPr>
          <w:rFonts w:hint="eastAsia" w:ascii="宋体" w:hAnsi="宋体"/>
          <w:b/>
          <w:color w:val="auto"/>
          <w:sz w:val="44"/>
          <w:highlight w:val="none"/>
        </w:rPr>
      </w:pPr>
    </w:p>
    <w:p w14:paraId="162E6F39">
      <w:pPr>
        <w:spacing w:line="360" w:lineRule="auto"/>
        <w:outlineLvl w:val="9"/>
        <w:rPr>
          <w:rFonts w:hint="eastAsia" w:ascii="宋体" w:hAnsi="宋体" w:eastAsia="宋体"/>
          <w:b/>
          <w:color w:val="auto"/>
          <w:sz w:val="44"/>
          <w:szCs w:val="44"/>
          <w:highlight w:val="none"/>
          <w:lang w:eastAsia="zh-CN"/>
        </w:rPr>
      </w:pPr>
      <w:r>
        <w:rPr>
          <w:rFonts w:hint="eastAsia" w:ascii="宋体" w:hAnsi="宋体"/>
          <w:b/>
          <w:color w:val="auto"/>
          <w:sz w:val="44"/>
          <w:highlight w:val="none"/>
        </w:rPr>
        <w:t xml:space="preserve">    </w:t>
      </w:r>
      <w:r>
        <w:rPr>
          <w:rFonts w:hint="eastAsia" w:ascii="宋体" w:hAnsi="宋体"/>
          <w:b/>
          <w:color w:val="auto"/>
          <w:sz w:val="44"/>
          <w:szCs w:val="44"/>
          <w:highlight w:val="none"/>
        </w:rPr>
        <w:t xml:space="preserve"> </w:t>
      </w:r>
      <w:bookmarkStart w:id="0" w:name="_Toc10650"/>
      <w:r>
        <w:rPr>
          <w:rFonts w:hint="eastAsia" w:ascii="宋体" w:hAnsi="宋体"/>
          <w:b/>
          <w:color w:val="auto"/>
          <w:sz w:val="44"/>
          <w:szCs w:val="44"/>
          <w:highlight w:val="none"/>
        </w:rPr>
        <w:t>项目编号：</w:t>
      </w:r>
      <w:bookmarkEnd w:id="0"/>
      <w:r>
        <w:rPr>
          <w:rFonts w:hint="eastAsia" w:ascii="宋体" w:hAnsi="宋体"/>
          <w:b/>
          <w:bCs/>
          <w:color w:val="auto"/>
          <w:sz w:val="44"/>
          <w:szCs w:val="44"/>
          <w:highlight w:val="none"/>
          <w:lang w:eastAsia="zh-CN"/>
        </w:rPr>
        <w:t>XM2025-TZ5181</w:t>
      </w:r>
    </w:p>
    <w:p w14:paraId="390FD786">
      <w:pPr>
        <w:tabs>
          <w:tab w:val="left" w:pos="7980"/>
        </w:tabs>
        <w:spacing w:line="360" w:lineRule="auto"/>
        <w:ind w:left="1767" w:hanging="1767" w:hangingChars="400"/>
        <w:outlineLvl w:val="9"/>
        <w:rPr>
          <w:rFonts w:hint="eastAsia" w:ascii="宋体" w:hAnsi="宋体" w:eastAsia="宋体"/>
          <w:b/>
          <w:color w:val="auto"/>
          <w:sz w:val="44"/>
          <w:highlight w:val="none"/>
          <w:lang w:val="en-US" w:eastAsia="zh-CN"/>
        </w:rPr>
      </w:pPr>
      <w:r>
        <w:rPr>
          <w:rFonts w:hint="eastAsia" w:ascii="宋体" w:hAnsi="宋体"/>
          <w:b/>
          <w:color w:val="auto"/>
          <w:sz w:val="44"/>
          <w:highlight w:val="none"/>
        </w:rPr>
        <w:t xml:space="preserve">     </w:t>
      </w:r>
      <w:bookmarkStart w:id="1" w:name="_Toc9547"/>
      <w:r>
        <w:rPr>
          <w:rFonts w:hint="eastAsia" w:ascii="宋体" w:hAnsi="宋体"/>
          <w:b/>
          <w:color w:val="auto"/>
          <w:sz w:val="44"/>
          <w:highlight w:val="none"/>
        </w:rPr>
        <w:t>项目名称：</w:t>
      </w:r>
      <w:bookmarkEnd w:id="1"/>
      <w:r>
        <w:rPr>
          <w:rFonts w:hint="eastAsia" w:ascii="宋体" w:hAnsi="宋体"/>
          <w:b/>
          <w:color w:val="auto"/>
          <w:sz w:val="44"/>
          <w:highlight w:val="none"/>
          <w:lang w:eastAsia="zh-CN"/>
        </w:rPr>
        <w:t>厦门市总工会2025年下半年工会专干和集体协商指导员招聘考务服务机构采购</w:t>
      </w:r>
    </w:p>
    <w:p w14:paraId="1FA3729F">
      <w:pPr>
        <w:spacing w:line="360" w:lineRule="auto"/>
        <w:jc w:val="center"/>
        <w:rPr>
          <w:rFonts w:hint="eastAsia" w:ascii="宋体" w:hAnsi="宋体"/>
          <w:b/>
          <w:color w:val="auto"/>
          <w:sz w:val="44"/>
          <w:highlight w:val="none"/>
        </w:rPr>
      </w:pPr>
    </w:p>
    <w:p w14:paraId="76B5150D">
      <w:pPr>
        <w:spacing w:line="360" w:lineRule="auto"/>
        <w:jc w:val="center"/>
        <w:rPr>
          <w:rFonts w:hint="eastAsia" w:ascii="宋体" w:hAnsi="宋体"/>
          <w:b/>
          <w:color w:val="auto"/>
          <w:sz w:val="32"/>
          <w:szCs w:val="32"/>
          <w:highlight w:val="none"/>
        </w:rPr>
      </w:pPr>
    </w:p>
    <w:p w14:paraId="189C4CB7">
      <w:pPr>
        <w:spacing w:line="360" w:lineRule="auto"/>
        <w:jc w:val="center"/>
        <w:rPr>
          <w:rFonts w:hint="eastAsia" w:ascii="宋体" w:hAnsi="宋体"/>
          <w:b/>
          <w:color w:val="auto"/>
          <w:sz w:val="32"/>
          <w:szCs w:val="32"/>
          <w:highlight w:val="none"/>
        </w:rPr>
      </w:pPr>
    </w:p>
    <w:p w14:paraId="2368C76D">
      <w:pPr>
        <w:spacing w:line="360" w:lineRule="auto"/>
        <w:jc w:val="center"/>
        <w:rPr>
          <w:rFonts w:hint="eastAsia" w:ascii="宋体" w:hAnsi="宋体"/>
          <w:b/>
          <w:color w:val="auto"/>
          <w:sz w:val="32"/>
          <w:szCs w:val="32"/>
          <w:highlight w:val="none"/>
        </w:rPr>
      </w:pPr>
    </w:p>
    <w:p w14:paraId="1BFFB588">
      <w:pPr>
        <w:spacing w:line="360" w:lineRule="auto"/>
        <w:jc w:val="center"/>
        <w:rPr>
          <w:rFonts w:hint="eastAsia" w:ascii="宋体" w:hAnsi="宋体"/>
          <w:b/>
          <w:color w:val="auto"/>
          <w:sz w:val="32"/>
          <w:szCs w:val="32"/>
          <w:highlight w:val="none"/>
        </w:rPr>
      </w:pPr>
    </w:p>
    <w:p w14:paraId="2A887271">
      <w:pPr>
        <w:spacing w:line="360" w:lineRule="auto"/>
        <w:jc w:val="center"/>
        <w:rPr>
          <w:rFonts w:hint="eastAsia" w:ascii="宋体" w:hAnsi="宋体"/>
          <w:b/>
          <w:color w:val="auto"/>
          <w:sz w:val="32"/>
          <w:szCs w:val="32"/>
          <w:highlight w:val="none"/>
        </w:rPr>
      </w:pPr>
    </w:p>
    <w:p w14:paraId="0182D7B9">
      <w:pPr>
        <w:spacing w:line="360" w:lineRule="auto"/>
        <w:outlineLvl w:val="9"/>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 xml:space="preserve">        </w:t>
      </w:r>
      <w:bookmarkStart w:id="2" w:name="_Toc23097"/>
      <w:r>
        <w:rPr>
          <w:rFonts w:hint="eastAsia" w:ascii="宋体" w:hAnsi="宋体"/>
          <w:b/>
          <w:color w:val="auto"/>
          <w:sz w:val="32"/>
          <w:szCs w:val="32"/>
          <w:highlight w:val="none"/>
        </w:rPr>
        <w:t>采  购  人 ：</w:t>
      </w:r>
      <w:bookmarkEnd w:id="2"/>
      <w:r>
        <w:rPr>
          <w:rFonts w:hint="eastAsia" w:ascii="宋体" w:hAnsi="宋体" w:cs="宋体"/>
          <w:b/>
          <w:color w:val="auto"/>
          <w:sz w:val="32"/>
          <w:szCs w:val="32"/>
          <w:highlight w:val="none"/>
          <w:lang w:eastAsia="zh-CN"/>
        </w:rPr>
        <w:t>厦门市总工会</w:t>
      </w:r>
    </w:p>
    <w:p w14:paraId="3403E27A">
      <w:pPr>
        <w:spacing w:line="360" w:lineRule="auto"/>
        <w:outlineLvl w:val="9"/>
        <w:rPr>
          <w:rFonts w:hint="eastAsia" w:ascii="宋体" w:hAnsi="宋体"/>
          <w:b/>
          <w:color w:val="auto"/>
          <w:sz w:val="32"/>
          <w:szCs w:val="32"/>
          <w:highlight w:val="none"/>
        </w:rPr>
      </w:pPr>
      <w:r>
        <w:rPr>
          <w:rFonts w:hint="eastAsia" w:ascii="宋体" w:hAnsi="宋体"/>
          <w:b/>
          <w:color w:val="auto"/>
          <w:sz w:val="32"/>
          <w:szCs w:val="32"/>
          <w:highlight w:val="none"/>
        </w:rPr>
        <w:t xml:space="preserve">        </w:t>
      </w:r>
      <w:bookmarkStart w:id="3" w:name="_Toc26652"/>
      <w:r>
        <w:rPr>
          <w:rFonts w:hint="eastAsia" w:ascii="宋体" w:hAnsi="宋体"/>
          <w:b/>
          <w:color w:val="auto"/>
          <w:sz w:val="32"/>
          <w:szCs w:val="32"/>
          <w:highlight w:val="none"/>
        </w:rPr>
        <w:t>采购代理机构：</w:t>
      </w:r>
      <w:r>
        <w:rPr>
          <w:rFonts w:hint="eastAsia" w:ascii="宋体" w:hAnsi="宋体"/>
          <w:b/>
          <w:bCs/>
          <w:color w:val="auto"/>
          <w:sz w:val="32"/>
          <w:highlight w:val="none"/>
        </w:rPr>
        <w:t>厦门万翔招标有限公司</w:t>
      </w:r>
      <w:bookmarkEnd w:id="3"/>
    </w:p>
    <w:p w14:paraId="23A8C732">
      <w:pPr>
        <w:spacing w:line="360" w:lineRule="auto"/>
        <w:jc w:val="center"/>
        <w:rPr>
          <w:rFonts w:hint="eastAsia" w:ascii="宋体" w:hAnsi="宋体"/>
          <w:b/>
          <w:color w:val="auto"/>
          <w:sz w:val="32"/>
          <w:szCs w:val="32"/>
          <w:highlight w:val="none"/>
        </w:rPr>
      </w:pPr>
    </w:p>
    <w:p w14:paraId="711EE204">
      <w:pPr>
        <w:spacing w:line="360" w:lineRule="auto"/>
        <w:jc w:val="center"/>
        <w:rPr>
          <w:rFonts w:hint="eastAsia" w:ascii="宋体" w:hAnsi="宋体"/>
          <w:b/>
          <w:color w:val="auto"/>
          <w:sz w:val="32"/>
          <w:szCs w:val="32"/>
          <w:highlight w:val="none"/>
        </w:rPr>
      </w:pPr>
    </w:p>
    <w:p w14:paraId="43C336C1">
      <w:pPr>
        <w:spacing w:line="360" w:lineRule="auto"/>
        <w:jc w:val="center"/>
        <w:rPr>
          <w:rFonts w:hint="default" w:ascii="宋体" w:hAnsi="宋体" w:eastAsia="宋体"/>
          <w:b/>
          <w:color w:val="auto"/>
          <w:sz w:val="36"/>
          <w:szCs w:val="36"/>
          <w:highlight w:val="none"/>
          <w:lang w:val="en-US" w:eastAsia="zh-CN"/>
        </w:rPr>
      </w:pPr>
      <w:r>
        <w:rPr>
          <w:rFonts w:hint="eastAsia" w:ascii="宋体" w:hAnsi="宋体"/>
          <w:b/>
          <w:color w:val="auto"/>
          <w:sz w:val="36"/>
          <w:szCs w:val="36"/>
          <w:highlight w:val="none"/>
          <w:lang w:eastAsia="zh-CN"/>
        </w:rPr>
        <w:t>2025</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9月</w:t>
      </w:r>
    </w:p>
    <w:p w14:paraId="2B16C3BE">
      <w:pPr>
        <w:spacing w:line="360" w:lineRule="auto"/>
        <w:jc w:val="center"/>
        <w:rPr>
          <w:color w:val="auto"/>
          <w:highlight w:val="none"/>
        </w:rPr>
      </w:pPr>
      <w:r>
        <w:rPr>
          <w:rFonts w:hint="eastAsia" w:ascii="宋体" w:hAnsi="宋体" w:eastAsia="宋体" w:cs="宋体"/>
          <w:b/>
          <w:color w:val="auto"/>
          <w:sz w:val="32"/>
          <w:szCs w:val="32"/>
          <w:highlight w:val="none"/>
        </w:rPr>
        <w:t>目   录</w:t>
      </w:r>
    </w:p>
    <w:p w14:paraId="20EA299D">
      <w:pPr>
        <w:pStyle w:val="10"/>
        <w:tabs>
          <w:tab w:val="right" w:leader="dot" w:pos="8306"/>
        </w:tabs>
        <w:spacing w:line="360" w:lineRule="auto"/>
        <w:rPr>
          <w:rFonts w:hint="eastAsia" w:ascii="宋体" w:hAnsi="宋体" w:cs="宋体"/>
          <w:b/>
          <w:bCs/>
          <w:color w:val="auto"/>
          <w:sz w:val="24"/>
          <w:szCs w:val="24"/>
          <w:highlight w:val="none"/>
        </w:rPr>
      </w:pPr>
      <w:r>
        <w:rPr>
          <w:rFonts w:hint="eastAsia" w:ascii="宋体" w:hAnsi="宋体" w:eastAsia="宋体" w:cs="宋体"/>
          <w:b/>
          <w:color w:val="auto"/>
          <w:kern w:val="2"/>
          <w:sz w:val="28"/>
          <w:szCs w:val="28"/>
          <w:highlight w:val="none"/>
          <w:lang w:val="en-US" w:eastAsia="zh-CN" w:bidi="ar-SA"/>
        </w:rPr>
        <w:fldChar w:fldCharType="begin"/>
      </w:r>
      <w:r>
        <w:rPr>
          <w:rFonts w:hint="eastAsia" w:ascii="宋体" w:hAnsi="宋体" w:eastAsia="宋体" w:cs="宋体"/>
          <w:b/>
          <w:color w:val="auto"/>
          <w:kern w:val="2"/>
          <w:sz w:val="28"/>
          <w:szCs w:val="28"/>
          <w:highlight w:val="none"/>
          <w:lang w:val="en-US" w:eastAsia="zh-CN" w:bidi="ar-SA"/>
        </w:rPr>
        <w:instrText xml:space="preserve">TOC \o "1-2" \h \u </w:instrText>
      </w:r>
      <w:r>
        <w:rPr>
          <w:rFonts w:hint="eastAsia" w:ascii="宋体" w:hAnsi="宋体" w:eastAsia="宋体" w:cs="宋体"/>
          <w:b/>
          <w:color w:val="auto"/>
          <w:kern w:val="2"/>
          <w:sz w:val="28"/>
          <w:szCs w:val="28"/>
          <w:highlight w:val="none"/>
          <w:lang w:val="en-US" w:eastAsia="zh-CN" w:bidi="ar-SA"/>
        </w:rPr>
        <w:fldChar w:fldCharType="separate"/>
      </w:r>
      <w:r>
        <w:rPr>
          <w:rFonts w:hint="eastAsia" w:ascii="宋体" w:hAnsi="宋体" w:eastAsia="宋体" w:cs="宋体"/>
          <w:b/>
          <w:bCs/>
          <w:color w:val="auto"/>
          <w:kern w:val="2"/>
          <w:sz w:val="24"/>
          <w:szCs w:val="24"/>
          <w:highlight w:val="none"/>
          <w:lang w:val="en-US" w:eastAsia="zh-CN" w:bidi="ar-SA"/>
        </w:rPr>
        <w:fldChar w:fldCharType="begin"/>
      </w:r>
      <w:r>
        <w:rPr>
          <w:rFonts w:hint="eastAsia" w:ascii="宋体" w:hAnsi="宋体" w:eastAsia="宋体" w:cs="宋体"/>
          <w:b/>
          <w:bCs/>
          <w:color w:val="auto"/>
          <w:kern w:val="2"/>
          <w:sz w:val="24"/>
          <w:szCs w:val="24"/>
          <w:highlight w:val="none"/>
          <w:lang w:val="en-US" w:eastAsia="zh-CN" w:bidi="ar-SA"/>
        </w:rPr>
        <w:instrText xml:space="preserve"> HYPERLINK \l _Toc610699678 </w:instrText>
      </w:r>
      <w:r>
        <w:rPr>
          <w:rFonts w:hint="eastAsia" w:ascii="宋体" w:hAnsi="宋体" w:eastAsia="宋体" w:cs="宋体"/>
          <w:b/>
          <w:bCs/>
          <w:color w:val="auto"/>
          <w:kern w:val="2"/>
          <w:sz w:val="24"/>
          <w:szCs w:val="24"/>
          <w:highlight w:val="none"/>
          <w:lang w:val="en-US" w:eastAsia="zh-CN" w:bidi="ar-SA"/>
        </w:rPr>
        <w:fldChar w:fldCharType="separate"/>
      </w:r>
      <w:r>
        <w:rPr>
          <w:rFonts w:hint="eastAsia" w:ascii="宋体" w:hAnsi="宋体" w:eastAsia="宋体" w:cs="宋体"/>
          <w:b/>
          <w:bCs/>
          <w:color w:val="auto"/>
          <w:sz w:val="24"/>
          <w:szCs w:val="24"/>
          <w:highlight w:val="none"/>
        </w:rPr>
        <w:t>第一章</w:t>
      </w:r>
      <w:r>
        <w:rPr>
          <w:rFonts w:hint="default" w:ascii="宋体" w:hAnsi="宋体" w:cs="宋体"/>
          <w:b/>
          <w:bCs/>
          <w:color w:val="auto"/>
          <w:sz w:val="24"/>
          <w:szCs w:val="24"/>
          <w:highlight w:val="none"/>
        </w:rPr>
        <w:t xml:space="preserve"> </w:t>
      </w:r>
      <w:r>
        <w:rPr>
          <w:rFonts w:hint="eastAsia" w:ascii="宋体" w:hAnsi="宋体" w:eastAsia="宋体" w:cs="宋体"/>
          <w:b/>
          <w:bCs/>
          <w:color w:val="auto"/>
          <w:sz w:val="24"/>
          <w:szCs w:val="24"/>
          <w:highlight w:val="none"/>
        </w:rPr>
        <w:t xml:space="preserve"> 磋商邀请</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_Toc610699678 \h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3</w:t>
      </w:r>
      <w:r>
        <w:rPr>
          <w:rFonts w:hint="eastAsia" w:ascii="宋体" w:hAnsi="宋体" w:cs="宋体"/>
          <w:b/>
          <w:bCs/>
          <w:color w:val="auto"/>
          <w:sz w:val="24"/>
          <w:szCs w:val="24"/>
          <w:highlight w:val="none"/>
        </w:rPr>
        <w:fldChar w:fldCharType="end"/>
      </w:r>
      <w:r>
        <w:rPr>
          <w:rFonts w:hint="eastAsia" w:ascii="宋体" w:hAnsi="宋体" w:eastAsia="宋体" w:cs="宋体"/>
          <w:b/>
          <w:bCs/>
          <w:color w:val="auto"/>
          <w:kern w:val="2"/>
          <w:sz w:val="24"/>
          <w:szCs w:val="24"/>
          <w:highlight w:val="none"/>
          <w:lang w:val="en-US" w:eastAsia="zh-CN" w:bidi="ar-SA"/>
        </w:rPr>
        <w:fldChar w:fldCharType="end"/>
      </w:r>
    </w:p>
    <w:p w14:paraId="43C881CD">
      <w:pPr>
        <w:pStyle w:val="10"/>
        <w:tabs>
          <w:tab w:val="right" w:leader="dot" w:pos="8306"/>
        </w:tabs>
        <w:spacing w:line="360" w:lineRule="auto"/>
        <w:rPr>
          <w:rFonts w:hint="eastAsia" w:ascii="宋体" w:hAnsi="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fldChar w:fldCharType="begin"/>
      </w:r>
      <w:r>
        <w:rPr>
          <w:rFonts w:hint="eastAsia" w:ascii="宋体" w:hAnsi="宋体" w:eastAsia="宋体" w:cs="宋体"/>
          <w:b/>
          <w:bCs/>
          <w:color w:val="auto"/>
          <w:kern w:val="2"/>
          <w:sz w:val="24"/>
          <w:szCs w:val="24"/>
          <w:highlight w:val="none"/>
          <w:lang w:val="en-US" w:eastAsia="zh-CN" w:bidi="ar-SA"/>
        </w:rPr>
        <w:instrText xml:space="preserve"> HYPERLINK \l _Toc971223943 </w:instrText>
      </w:r>
      <w:r>
        <w:rPr>
          <w:rFonts w:hint="eastAsia" w:ascii="宋体" w:hAnsi="宋体" w:eastAsia="宋体" w:cs="宋体"/>
          <w:b/>
          <w:bCs/>
          <w:color w:val="auto"/>
          <w:kern w:val="2"/>
          <w:sz w:val="24"/>
          <w:szCs w:val="24"/>
          <w:highlight w:val="none"/>
          <w:lang w:val="en-US" w:eastAsia="zh-CN" w:bidi="ar-SA"/>
        </w:rPr>
        <w:fldChar w:fldCharType="separate"/>
      </w:r>
      <w:r>
        <w:rPr>
          <w:rFonts w:hint="eastAsia" w:ascii="宋体" w:hAnsi="宋体" w:eastAsia="宋体" w:cs="宋体"/>
          <w:b/>
          <w:bCs/>
          <w:color w:val="auto"/>
          <w:sz w:val="24"/>
          <w:szCs w:val="24"/>
          <w:highlight w:val="none"/>
        </w:rPr>
        <w:t>第二章  报价人须知</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_Toc971223943 \h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7</w:t>
      </w:r>
      <w:r>
        <w:rPr>
          <w:rFonts w:hint="eastAsia" w:ascii="宋体" w:hAnsi="宋体" w:cs="宋体"/>
          <w:b/>
          <w:bCs/>
          <w:color w:val="auto"/>
          <w:sz w:val="24"/>
          <w:szCs w:val="24"/>
          <w:highlight w:val="none"/>
        </w:rPr>
        <w:fldChar w:fldCharType="end"/>
      </w:r>
      <w:r>
        <w:rPr>
          <w:rFonts w:hint="eastAsia" w:ascii="宋体" w:hAnsi="宋体" w:eastAsia="宋体" w:cs="宋体"/>
          <w:b/>
          <w:bCs/>
          <w:color w:val="auto"/>
          <w:kern w:val="2"/>
          <w:sz w:val="24"/>
          <w:szCs w:val="24"/>
          <w:highlight w:val="none"/>
          <w:lang w:val="en-US" w:eastAsia="zh-CN" w:bidi="ar-SA"/>
        </w:rPr>
        <w:fldChar w:fldCharType="end"/>
      </w:r>
    </w:p>
    <w:p w14:paraId="4F50894D">
      <w:pPr>
        <w:pStyle w:val="11"/>
        <w:tabs>
          <w:tab w:val="right" w:leader="dot" w:pos="8306"/>
        </w:tabs>
        <w:spacing w:line="360" w:lineRule="auto"/>
        <w:ind w:left="0" w:leftChars="0" w:firstLine="480" w:firstLineChars="200"/>
        <w:rPr>
          <w:rFonts w:hint="eastAsia"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\l _Toc425575153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bCs/>
          <w:color w:val="auto"/>
          <w:sz w:val="24"/>
          <w:szCs w:val="24"/>
          <w:highlight w:val="none"/>
        </w:rPr>
        <w:t>报价人须知前附表1</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_Toc425575153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8</w:t>
      </w:r>
      <w:r>
        <w:rPr>
          <w:rFonts w:hint="eastAsia" w:ascii="宋体" w:hAnsi="宋体" w:cs="宋体"/>
          <w:color w:val="auto"/>
          <w:sz w:val="24"/>
          <w:szCs w:val="24"/>
          <w:highlight w:val="none"/>
        </w:rPr>
        <w:fldChar w:fldCharType="end"/>
      </w:r>
      <w:r>
        <w:rPr>
          <w:rFonts w:hint="eastAsia" w:ascii="宋体" w:hAnsi="宋体" w:eastAsia="宋体" w:cs="宋体"/>
          <w:color w:val="auto"/>
          <w:kern w:val="2"/>
          <w:sz w:val="24"/>
          <w:szCs w:val="24"/>
          <w:highlight w:val="none"/>
          <w:lang w:val="en-US" w:eastAsia="zh-CN" w:bidi="ar-SA"/>
        </w:rPr>
        <w:fldChar w:fldCharType="end"/>
      </w:r>
    </w:p>
    <w:p w14:paraId="44EBAE46">
      <w:pPr>
        <w:pStyle w:val="11"/>
        <w:tabs>
          <w:tab w:val="right" w:leader="dot" w:pos="8306"/>
        </w:tabs>
        <w:spacing w:line="360" w:lineRule="auto"/>
        <w:ind w:left="0" w:leftChars="0" w:firstLine="480" w:firstLineChars="200"/>
        <w:rPr>
          <w:rFonts w:hint="eastAsia"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\l _Toc174150988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bCs/>
          <w:color w:val="auto"/>
          <w:sz w:val="24"/>
          <w:szCs w:val="24"/>
          <w:highlight w:val="none"/>
        </w:rPr>
        <w:t>报价人须知前附表2</w:t>
      </w:r>
      <w:r>
        <w:rPr>
          <w:rFonts w:hint="default" w:ascii="宋体" w:hAnsi="宋体" w:cs="宋体"/>
          <w:bCs/>
          <w:color w:val="auto"/>
          <w:sz w:val="24"/>
          <w:szCs w:val="24"/>
          <w:highlight w:val="none"/>
        </w:rPr>
        <w:t>：</w:t>
      </w:r>
      <w:r>
        <w:rPr>
          <w:rFonts w:hint="eastAsia" w:ascii="宋体" w:hAnsi="宋体" w:eastAsia="宋体" w:cs="宋体"/>
          <w:bCs/>
          <w:color w:val="auto"/>
          <w:sz w:val="24"/>
          <w:szCs w:val="24"/>
          <w:highlight w:val="none"/>
        </w:rPr>
        <w:t>资格性、符合性检查表</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_Toc174150988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10</w:t>
      </w:r>
      <w:r>
        <w:rPr>
          <w:rFonts w:hint="eastAsia" w:ascii="宋体" w:hAnsi="宋体" w:cs="宋体"/>
          <w:color w:val="auto"/>
          <w:sz w:val="24"/>
          <w:szCs w:val="24"/>
          <w:highlight w:val="none"/>
        </w:rPr>
        <w:fldChar w:fldCharType="end"/>
      </w:r>
      <w:r>
        <w:rPr>
          <w:rFonts w:hint="eastAsia" w:ascii="宋体" w:hAnsi="宋体" w:eastAsia="宋体" w:cs="宋体"/>
          <w:color w:val="auto"/>
          <w:kern w:val="2"/>
          <w:sz w:val="24"/>
          <w:szCs w:val="24"/>
          <w:highlight w:val="none"/>
          <w:lang w:val="en-US" w:eastAsia="zh-CN" w:bidi="ar-SA"/>
        </w:rPr>
        <w:fldChar w:fldCharType="end"/>
      </w:r>
    </w:p>
    <w:p w14:paraId="0A84BCB7">
      <w:pPr>
        <w:pStyle w:val="11"/>
        <w:tabs>
          <w:tab w:val="right" w:leader="dot" w:pos="8306"/>
        </w:tabs>
        <w:spacing w:line="360" w:lineRule="auto"/>
        <w:ind w:left="0" w:leftChars="0" w:firstLine="480" w:firstLineChars="200"/>
        <w:rPr>
          <w:rFonts w:hint="eastAsia"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\l _Toc188013168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sz w:val="24"/>
          <w:szCs w:val="24"/>
          <w:highlight w:val="none"/>
        </w:rPr>
        <w:t>报价人须知前附表3：磋商规则、评审标准</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_Toc188013168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17</w:t>
      </w:r>
      <w:r>
        <w:rPr>
          <w:rFonts w:hint="eastAsia" w:ascii="宋体" w:hAnsi="宋体" w:cs="宋体"/>
          <w:color w:val="auto"/>
          <w:sz w:val="24"/>
          <w:szCs w:val="24"/>
          <w:highlight w:val="none"/>
        </w:rPr>
        <w:fldChar w:fldCharType="end"/>
      </w:r>
      <w:r>
        <w:rPr>
          <w:rFonts w:hint="eastAsia" w:ascii="宋体" w:hAnsi="宋体" w:eastAsia="宋体" w:cs="宋体"/>
          <w:color w:val="auto"/>
          <w:kern w:val="2"/>
          <w:sz w:val="24"/>
          <w:szCs w:val="24"/>
          <w:highlight w:val="none"/>
          <w:lang w:val="en-US" w:eastAsia="zh-CN" w:bidi="ar-SA"/>
        </w:rPr>
        <w:fldChar w:fldCharType="end"/>
      </w:r>
    </w:p>
    <w:p w14:paraId="6BBDABCE">
      <w:pPr>
        <w:pStyle w:val="11"/>
        <w:tabs>
          <w:tab w:val="right" w:leader="dot" w:pos="8306"/>
        </w:tabs>
        <w:spacing w:line="360" w:lineRule="auto"/>
        <w:ind w:left="0" w:leftChars="0" w:firstLine="480" w:firstLineChars="200"/>
        <w:rPr>
          <w:rFonts w:hint="eastAsia"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\l _Toc2035551825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sz w:val="24"/>
          <w:szCs w:val="24"/>
          <w:highlight w:val="none"/>
        </w:rPr>
        <w:t>一、说明</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_Toc2035551825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26</w:t>
      </w:r>
      <w:r>
        <w:rPr>
          <w:rFonts w:hint="eastAsia" w:ascii="宋体" w:hAnsi="宋体" w:cs="宋体"/>
          <w:color w:val="auto"/>
          <w:sz w:val="24"/>
          <w:szCs w:val="24"/>
          <w:highlight w:val="none"/>
        </w:rPr>
        <w:fldChar w:fldCharType="end"/>
      </w:r>
      <w:r>
        <w:rPr>
          <w:rFonts w:hint="eastAsia" w:ascii="宋体" w:hAnsi="宋体" w:eastAsia="宋体" w:cs="宋体"/>
          <w:color w:val="auto"/>
          <w:kern w:val="2"/>
          <w:sz w:val="24"/>
          <w:szCs w:val="24"/>
          <w:highlight w:val="none"/>
          <w:lang w:val="en-US" w:eastAsia="zh-CN" w:bidi="ar-SA"/>
        </w:rPr>
        <w:fldChar w:fldCharType="end"/>
      </w:r>
    </w:p>
    <w:p w14:paraId="14A98FD6">
      <w:pPr>
        <w:pStyle w:val="10"/>
        <w:tabs>
          <w:tab w:val="right" w:leader="dot" w:pos="8306"/>
        </w:tabs>
        <w:spacing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\l _Toc369789003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sz w:val="24"/>
          <w:szCs w:val="24"/>
          <w:highlight w:val="none"/>
        </w:rPr>
        <w:t>二、采购文件</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_Toc369789003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28</w:t>
      </w:r>
      <w:r>
        <w:rPr>
          <w:rFonts w:hint="eastAsia" w:ascii="宋体" w:hAnsi="宋体" w:cs="宋体"/>
          <w:color w:val="auto"/>
          <w:sz w:val="24"/>
          <w:szCs w:val="24"/>
          <w:highlight w:val="none"/>
        </w:rPr>
        <w:fldChar w:fldCharType="end"/>
      </w:r>
      <w:r>
        <w:rPr>
          <w:rFonts w:hint="eastAsia" w:ascii="宋体" w:hAnsi="宋体" w:eastAsia="宋体" w:cs="宋体"/>
          <w:color w:val="auto"/>
          <w:kern w:val="2"/>
          <w:sz w:val="24"/>
          <w:szCs w:val="24"/>
          <w:highlight w:val="none"/>
          <w:lang w:val="en-US" w:eastAsia="zh-CN" w:bidi="ar-SA"/>
        </w:rPr>
        <w:fldChar w:fldCharType="end"/>
      </w:r>
    </w:p>
    <w:p w14:paraId="167A2D24">
      <w:pPr>
        <w:pStyle w:val="11"/>
        <w:tabs>
          <w:tab w:val="right" w:leader="dot" w:pos="8306"/>
        </w:tabs>
        <w:spacing w:line="360" w:lineRule="auto"/>
        <w:ind w:left="0" w:leftChars="0" w:firstLine="480" w:firstLineChars="200"/>
        <w:rPr>
          <w:rFonts w:hint="eastAsia"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\l _Toc1419577992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sz w:val="24"/>
          <w:szCs w:val="24"/>
          <w:highlight w:val="none"/>
        </w:rPr>
        <w:t>三、报价文件的编写</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_Toc1419577992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29</w:t>
      </w:r>
      <w:r>
        <w:rPr>
          <w:rFonts w:hint="eastAsia" w:ascii="宋体" w:hAnsi="宋体" w:cs="宋体"/>
          <w:color w:val="auto"/>
          <w:sz w:val="24"/>
          <w:szCs w:val="24"/>
          <w:highlight w:val="none"/>
        </w:rPr>
        <w:fldChar w:fldCharType="end"/>
      </w:r>
      <w:r>
        <w:rPr>
          <w:rFonts w:hint="eastAsia" w:ascii="宋体" w:hAnsi="宋体" w:eastAsia="宋体" w:cs="宋体"/>
          <w:color w:val="auto"/>
          <w:kern w:val="2"/>
          <w:sz w:val="24"/>
          <w:szCs w:val="24"/>
          <w:highlight w:val="none"/>
          <w:lang w:val="en-US" w:eastAsia="zh-CN" w:bidi="ar-SA"/>
        </w:rPr>
        <w:fldChar w:fldCharType="end"/>
      </w:r>
    </w:p>
    <w:p w14:paraId="7F0F9A1B">
      <w:pPr>
        <w:pStyle w:val="10"/>
        <w:tabs>
          <w:tab w:val="right" w:leader="dot" w:pos="8306"/>
        </w:tabs>
        <w:spacing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\l _Toc1304352681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sz w:val="24"/>
          <w:szCs w:val="24"/>
          <w:highlight w:val="none"/>
        </w:rPr>
        <w:t>四、报价文件的提交</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_Toc1304352681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32</w:t>
      </w:r>
      <w:r>
        <w:rPr>
          <w:rFonts w:hint="eastAsia" w:ascii="宋体" w:hAnsi="宋体" w:cs="宋体"/>
          <w:color w:val="auto"/>
          <w:sz w:val="24"/>
          <w:szCs w:val="24"/>
          <w:highlight w:val="none"/>
        </w:rPr>
        <w:fldChar w:fldCharType="end"/>
      </w:r>
      <w:r>
        <w:rPr>
          <w:rFonts w:hint="eastAsia" w:ascii="宋体" w:hAnsi="宋体" w:eastAsia="宋体" w:cs="宋体"/>
          <w:color w:val="auto"/>
          <w:kern w:val="2"/>
          <w:sz w:val="24"/>
          <w:szCs w:val="24"/>
          <w:highlight w:val="none"/>
          <w:lang w:val="en-US" w:eastAsia="zh-CN" w:bidi="ar-SA"/>
        </w:rPr>
        <w:fldChar w:fldCharType="end"/>
      </w:r>
    </w:p>
    <w:p w14:paraId="7BFA9B7C">
      <w:pPr>
        <w:pStyle w:val="10"/>
        <w:tabs>
          <w:tab w:val="right" w:leader="dot" w:pos="8306"/>
        </w:tabs>
        <w:spacing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\l _Toc1596217521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sz w:val="24"/>
          <w:szCs w:val="24"/>
          <w:highlight w:val="none"/>
        </w:rPr>
        <w:t>五、报价文件的评估和比较</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_Toc1596217521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33</w:t>
      </w:r>
      <w:r>
        <w:rPr>
          <w:rFonts w:hint="eastAsia" w:ascii="宋体" w:hAnsi="宋体" w:cs="宋体"/>
          <w:color w:val="auto"/>
          <w:sz w:val="24"/>
          <w:szCs w:val="24"/>
          <w:highlight w:val="none"/>
        </w:rPr>
        <w:fldChar w:fldCharType="end"/>
      </w:r>
      <w:r>
        <w:rPr>
          <w:rFonts w:hint="eastAsia" w:ascii="宋体" w:hAnsi="宋体" w:eastAsia="宋体" w:cs="宋体"/>
          <w:color w:val="auto"/>
          <w:kern w:val="2"/>
          <w:sz w:val="24"/>
          <w:szCs w:val="24"/>
          <w:highlight w:val="none"/>
          <w:lang w:val="en-US" w:eastAsia="zh-CN" w:bidi="ar-SA"/>
        </w:rPr>
        <w:fldChar w:fldCharType="end"/>
      </w:r>
    </w:p>
    <w:p w14:paraId="25A11B34">
      <w:pPr>
        <w:pStyle w:val="10"/>
        <w:tabs>
          <w:tab w:val="right" w:leader="dot" w:pos="8306"/>
        </w:tabs>
        <w:spacing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\l _Toc1339953744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sz w:val="24"/>
          <w:szCs w:val="24"/>
          <w:highlight w:val="none"/>
        </w:rPr>
        <w:t>六、成交与签订合同</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_Toc1339953744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35</w:t>
      </w:r>
      <w:r>
        <w:rPr>
          <w:rFonts w:hint="eastAsia" w:ascii="宋体" w:hAnsi="宋体" w:cs="宋体"/>
          <w:color w:val="auto"/>
          <w:sz w:val="24"/>
          <w:szCs w:val="24"/>
          <w:highlight w:val="none"/>
        </w:rPr>
        <w:fldChar w:fldCharType="end"/>
      </w:r>
      <w:r>
        <w:rPr>
          <w:rFonts w:hint="eastAsia" w:ascii="宋体" w:hAnsi="宋体" w:eastAsia="宋体" w:cs="宋体"/>
          <w:color w:val="auto"/>
          <w:kern w:val="2"/>
          <w:sz w:val="24"/>
          <w:szCs w:val="24"/>
          <w:highlight w:val="none"/>
          <w:lang w:val="en-US" w:eastAsia="zh-CN" w:bidi="ar-SA"/>
        </w:rPr>
        <w:fldChar w:fldCharType="end"/>
      </w:r>
    </w:p>
    <w:p w14:paraId="5AA63490">
      <w:pPr>
        <w:pStyle w:val="10"/>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b/>
          <w:bCs/>
          <w:color w:val="auto"/>
          <w:kern w:val="2"/>
          <w:sz w:val="24"/>
          <w:szCs w:val="24"/>
          <w:highlight w:val="none"/>
          <w:lang w:val="en-US" w:eastAsia="zh-CN" w:bidi="ar-SA"/>
        </w:rPr>
        <w:fldChar w:fldCharType="begin"/>
      </w:r>
      <w:r>
        <w:rPr>
          <w:rFonts w:hint="eastAsia" w:ascii="宋体" w:hAnsi="宋体" w:eastAsia="宋体" w:cs="宋体"/>
          <w:b/>
          <w:bCs/>
          <w:color w:val="auto"/>
          <w:kern w:val="2"/>
          <w:sz w:val="24"/>
          <w:szCs w:val="24"/>
          <w:highlight w:val="none"/>
          <w:lang w:val="en-US" w:eastAsia="zh-CN" w:bidi="ar-SA"/>
        </w:rPr>
        <w:instrText xml:space="preserve"> HYPERLINK \l _Toc1751617698 </w:instrText>
      </w:r>
      <w:r>
        <w:rPr>
          <w:rFonts w:hint="eastAsia" w:ascii="宋体" w:hAnsi="宋体" w:eastAsia="宋体" w:cs="宋体"/>
          <w:b/>
          <w:bCs/>
          <w:color w:val="auto"/>
          <w:kern w:val="2"/>
          <w:sz w:val="24"/>
          <w:szCs w:val="24"/>
          <w:highlight w:val="none"/>
          <w:lang w:val="en-US" w:eastAsia="zh-CN" w:bidi="ar-SA"/>
        </w:rPr>
        <w:fldChar w:fldCharType="separate"/>
      </w:r>
      <w:r>
        <w:rPr>
          <w:rFonts w:hint="eastAsia" w:ascii="宋体" w:hAnsi="宋体" w:eastAsia="宋体" w:cs="宋体"/>
          <w:b/>
          <w:bCs/>
          <w:color w:val="auto"/>
          <w:sz w:val="24"/>
          <w:szCs w:val="24"/>
          <w:highlight w:val="none"/>
        </w:rPr>
        <w:t>第三章  磋商内容及要求</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_Toc1751617698 \h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38</w:t>
      </w:r>
      <w:r>
        <w:rPr>
          <w:rFonts w:hint="eastAsia" w:ascii="宋体" w:hAnsi="宋体" w:cs="宋体"/>
          <w:b/>
          <w:bCs/>
          <w:color w:val="auto"/>
          <w:sz w:val="24"/>
          <w:szCs w:val="24"/>
          <w:highlight w:val="none"/>
        </w:rPr>
        <w:fldChar w:fldCharType="end"/>
      </w:r>
      <w:r>
        <w:rPr>
          <w:rFonts w:hint="eastAsia" w:ascii="宋体" w:hAnsi="宋体" w:eastAsia="宋体" w:cs="宋体"/>
          <w:b/>
          <w:bCs/>
          <w:color w:val="auto"/>
          <w:kern w:val="2"/>
          <w:sz w:val="24"/>
          <w:szCs w:val="24"/>
          <w:highlight w:val="none"/>
          <w:lang w:val="en-US" w:eastAsia="zh-CN" w:bidi="ar-SA"/>
        </w:rPr>
        <w:fldChar w:fldCharType="end"/>
      </w:r>
    </w:p>
    <w:p w14:paraId="189E233F">
      <w:pPr>
        <w:pStyle w:val="11"/>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\l _Toc59433551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bCs w:val="0"/>
          <w:color w:val="auto"/>
          <w:kern w:val="0"/>
          <w:sz w:val="24"/>
          <w:szCs w:val="24"/>
          <w:highlight w:val="none"/>
        </w:rPr>
        <w:t>一、项目背景</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_Toc59433551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38</w:t>
      </w:r>
      <w:r>
        <w:rPr>
          <w:rFonts w:hint="eastAsia" w:ascii="宋体" w:hAnsi="宋体" w:cs="宋体"/>
          <w:color w:val="auto"/>
          <w:sz w:val="24"/>
          <w:szCs w:val="24"/>
          <w:highlight w:val="none"/>
        </w:rPr>
        <w:fldChar w:fldCharType="end"/>
      </w:r>
      <w:r>
        <w:rPr>
          <w:rFonts w:hint="eastAsia" w:ascii="宋体" w:hAnsi="宋体" w:eastAsia="宋体" w:cs="宋体"/>
          <w:color w:val="auto"/>
          <w:kern w:val="2"/>
          <w:sz w:val="24"/>
          <w:szCs w:val="24"/>
          <w:highlight w:val="none"/>
          <w:lang w:val="en-US" w:eastAsia="zh-CN" w:bidi="ar-SA"/>
        </w:rPr>
        <w:fldChar w:fldCharType="end"/>
      </w:r>
    </w:p>
    <w:p w14:paraId="0FEE4A05">
      <w:pPr>
        <w:pStyle w:val="11"/>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\l _Toc163694040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cs="宋体"/>
          <w:color w:val="auto"/>
          <w:sz w:val="24"/>
          <w:szCs w:val="24"/>
          <w:highlight w:val="none"/>
        </w:rPr>
        <w:t>二、技术要求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_Toc163694040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38</w:t>
      </w:r>
      <w:r>
        <w:rPr>
          <w:rFonts w:hint="eastAsia" w:ascii="宋体" w:hAnsi="宋体" w:cs="宋体"/>
          <w:color w:val="auto"/>
          <w:sz w:val="24"/>
          <w:szCs w:val="24"/>
          <w:highlight w:val="none"/>
        </w:rPr>
        <w:fldChar w:fldCharType="end"/>
      </w:r>
      <w:r>
        <w:rPr>
          <w:rFonts w:hint="eastAsia" w:ascii="宋体" w:hAnsi="宋体" w:eastAsia="宋体" w:cs="宋体"/>
          <w:color w:val="auto"/>
          <w:kern w:val="2"/>
          <w:sz w:val="24"/>
          <w:szCs w:val="24"/>
          <w:highlight w:val="none"/>
          <w:lang w:val="en-US" w:eastAsia="zh-CN" w:bidi="ar-SA"/>
        </w:rPr>
        <w:fldChar w:fldCharType="end"/>
      </w:r>
    </w:p>
    <w:p w14:paraId="43ED2123">
      <w:pPr>
        <w:pStyle w:val="11"/>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\l _Toc29709204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cs="宋体"/>
          <w:color w:val="auto"/>
          <w:sz w:val="24"/>
          <w:szCs w:val="24"/>
          <w:highlight w:val="none"/>
        </w:rPr>
        <w:t>三、</w:t>
      </w:r>
      <w:r>
        <w:rPr>
          <w:rFonts w:hint="eastAsia" w:ascii="宋体" w:hAnsi="宋体" w:cs="宋体"/>
          <w:color w:val="auto"/>
          <w:sz w:val="24"/>
          <w:szCs w:val="24"/>
          <w:highlight w:val="none"/>
        </w:rPr>
        <w:t>商务要求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_Toc29709204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43</w:t>
      </w:r>
      <w:r>
        <w:rPr>
          <w:rFonts w:hint="eastAsia" w:ascii="宋体" w:hAnsi="宋体" w:cs="宋体"/>
          <w:color w:val="auto"/>
          <w:sz w:val="24"/>
          <w:szCs w:val="24"/>
          <w:highlight w:val="none"/>
        </w:rPr>
        <w:fldChar w:fldCharType="end"/>
      </w:r>
      <w:r>
        <w:rPr>
          <w:rFonts w:hint="eastAsia" w:ascii="宋体" w:hAnsi="宋体" w:eastAsia="宋体" w:cs="宋体"/>
          <w:color w:val="auto"/>
          <w:kern w:val="2"/>
          <w:sz w:val="24"/>
          <w:szCs w:val="24"/>
          <w:highlight w:val="none"/>
          <w:lang w:val="en-US" w:eastAsia="zh-CN" w:bidi="ar-SA"/>
        </w:rPr>
        <w:fldChar w:fldCharType="end"/>
      </w:r>
    </w:p>
    <w:p w14:paraId="7092D352">
      <w:pPr>
        <w:pStyle w:val="11"/>
        <w:tabs>
          <w:tab w:val="right" w:leader="dot" w:pos="8306"/>
        </w:tabs>
        <w:spacing w:line="360" w:lineRule="auto"/>
        <w:rPr>
          <w:rFonts w:hint="eastAsia"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\l _Toc233584539 </w:instrText>
      </w:r>
      <w:r>
        <w:rPr>
          <w:rFonts w:hint="eastAsia" w:ascii="宋体" w:hAnsi="宋体" w:eastAsia="宋体" w:cs="宋体"/>
          <w:color w:val="auto"/>
          <w:kern w:val="2"/>
          <w:sz w:val="24"/>
          <w:szCs w:val="24"/>
          <w:highlight w:val="none"/>
          <w:lang w:val="en-US" w:eastAsia="zh-CN" w:bidi="ar-SA"/>
        </w:rPr>
        <w:fldChar w:fldCharType="separate"/>
      </w:r>
      <w:r>
        <w:rPr>
          <w:rFonts w:ascii="宋体" w:hAnsi="宋体" w:eastAsia="宋体" w:cs="宋体"/>
          <w:bCs/>
          <w:color w:val="auto"/>
          <w:kern w:val="0"/>
          <w:sz w:val="24"/>
          <w:szCs w:val="24"/>
          <w:highlight w:val="none"/>
        </w:rPr>
        <w:t>四、其他事项</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_Toc233584539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44</w:t>
      </w:r>
      <w:r>
        <w:rPr>
          <w:rFonts w:hint="eastAsia" w:ascii="宋体" w:hAnsi="宋体" w:cs="宋体"/>
          <w:color w:val="auto"/>
          <w:sz w:val="24"/>
          <w:szCs w:val="24"/>
          <w:highlight w:val="none"/>
        </w:rPr>
        <w:fldChar w:fldCharType="end"/>
      </w:r>
      <w:r>
        <w:rPr>
          <w:rFonts w:hint="eastAsia" w:ascii="宋体" w:hAnsi="宋体" w:eastAsia="宋体" w:cs="宋体"/>
          <w:color w:val="auto"/>
          <w:kern w:val="2"/>
          <w:sz w:val="24"/>
          <w:szCs w:val="24"/>
          <w:highlight w:val="none"/>
          <w:lang w:val="en-US" w:eastAsia="zh-CN" w:bidi="ar-SA"/>
        </w:rPr>
        <w:fldChar w:fldCharType="end"/>
      </w:r>
    </w:p>
    <w:p w14:paraId="53A38FEC">
      <w:pPr>
        <w:pStyle w:val="10"/>
        <w:tabs>
          <w:tab w:val="right" w:leader="dot" w:pos="8306"/>
        </w:tabs>
        <w:spacing w:line="360" w:lineRule="auto"/>
        <w:rPr>
          <w:rFonts w:hint="eastAsia" w:ascii="宋体" w:hAnsi="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fldChar w:fldCharType="begin"/>
      </w:r>
      <w:r>
        <w:rPr>
          <w:rFonts w:hint="eastAsia" w:ascii="宋体" w:hAnsi="宋体" w:eastAsia="宋体" w:cs="宋体"/>
          <w:b/>
          <w:bCs/>
          <w:color w:val="auto"/>
          <w:kern w:val="2"/>
          <w:sz w:val="24"/>
          <w:szCs w:val="24"/>
          <w:highlight w:val="none"/>
          <w:lang w:val="en-US" w:eastAsia="zh-CN" w:bidi="ar-SA"/>
        </w:rPr>
        <w:instrText xml:space="preserve"> HYPERLINK \l _Toc1275994482 </w:instrText>
      </w:r>
      <w:r>
        <w:rPr>
          <w:rFonts w:hint="eastAsia" w:ascii="宋体" w:hAnsi="宋体" w:eastAsia="宋体" w:cs="宋体"/>
          <w:b/>
          <w:bCs/>
          <w:color w:val="auto"/>
          <w:kern w:val="2"/>
          <w:sz w:val="24"/>
          <w:szCs w:val="24"/>
          <w:highlight w:val="none"/>
          <w:lang w:val="en-US" w:eastAsia="zh-CN" w:bidi="ar-SA"/>
        </w:rPr>
        <w:fldChar w:fldCharType="separate"/>
      </w:r>
      <w:r>
        <w:rPr>
          <w:rFonts w:hint="eastAsia" w:ascii="宋体" w:hAnsi="宋体" w:eastAsia="宋体" w:cs="宋体"/>
          <w:b/>
          <w:bCs/>
          <w:color w:val="auto"/>
          <w:sz w:val="24"/>
          <w:szCs w:val="24"/>
          <w:highlight w:val="none"/>
        </w:rPr>
        <w:t>第四章</w:t>
      </w:r>
      <w:r>
        <w:rPr>
          <w:rFonts w:hint="default" w:ascii="宋体" w:hAnsi="宋体" w:cs="宋体"/>
          <w:b/>
          <w:bCs/>
          <w:color w:val="auto"/>
          <w:sz w:val="24"/>
          <w:szCs w:val="24"/>
          <w:highlight w:val="none"/>
        </w:rPr>
        <w:t xml:space="preserve">  </w:t>
      </w:r>
      <w:r>
        <w:rPr>
          <w:rFonts w:hint="eastAsia" w:ascii="宋体" w:hAnsi="宋体" w:cs="宋体"/>
          <w:b/>
          <w:bCs/>
          <w:color w:val="auto"/>
          <w:sz w:val="24"/>
          <w:szCs w:val="24"/>
          <w:highlight w:val="none"/>
          <w:lang w:eastAsia="zh-CN"/>
        </w:rPr>
        <w:t>采购合同</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_Toc1275994482 \h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45</w:t>
      </w:r>
      <w:r>
        <w:rPr>
          <w:rFonts w:hint="eastAsia" w:ascii="宋体" w:hAnsi="宋体" w:cs="宋体"/>
          <w:b/>
          <w:bCs/>
          <w:color w:val="auto"/>
          <w:sz w:val="24"/>
          <w:szCs w:val="24"/>
          <w:highlight w:val="none"/>
        </w:rPr>
        <w:fldChar w:fldCharType="end"/>
      </w:r>
      <w:r>
        <w:rPr>
          <w:rFonts w:hint="eastAsia" w:ascii="宋体" w:hAnsi="宋体" w:eastAsia="宋体" w:cs="宋体"/>
          <w:b/>
          <w:bCs/>
          <w:color w:val="auto"/>
          <w:kern w:val="2"/>
          <w:sz w:val="24"/>
          <w:szCs w:val="24"/>
          <w:highlight w:val="none"/>
          <w:lang w:val="en-US" w:eastAsia="zh-CN" w:bidi="ar-SA"/>
        </w:rPr>
        <w:fldChar w:fldCharType="end"/>
      </w:r>
    </w:p>
    <w:p w14:paraId="4D0B469C">
      <w:pPr>
        <w:pStyle w:val="10"/>
        <w:tabs>
          <w:tab w:val="right" w:leader="dot" w:pos="8306"/>
        </w:tabs>
        <w:spacing w:line="360" w:lineRule="auto"/>
        <w:rPr>
          <w:rFonts w:hint="eastAsia" w:ascii="宋体" w:hAnsi="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fldChar w:fldCharType="begin"/>
      </w:r>
      <w:r>
        <w:rPr>
          <w:rFonts w:hint="eastAsia" w:ascii="宋体" w:hAnsi="宋体" w:eastAsia="宋体" w:cs="宋体"/>
          <w:b/>
          <w:bCs/>
          <w:color w:val="auto"/>
          <w:kern w:val="2"/>
          <w:sz w:val="24"/>
          <w:szCs w:val="24"/>
          <w:highlight w:val="none"/>
          <w:lang w:val="en-US" w:eastAsia="zh-CN" w:bidi="ar-SA"/>
        </w:rPr>
        <w:instrText xml:space="preserve"> HYPERLINK \l _Toc2004389064 </w:instrText>
      </w:r>
      <w:r>
        <w:rPr>
          <w:rFonts w:hint="eastAsia" w:ascii="宋体" w:hAnsi="宋体" w:eastAsia="宋体" w:cs="宋体"/>
          <w:b/>
          <w:bCs/>
          <w:color w:val="auto"/>
          <w:kern w:val="2"/>
          <w:sz w:val="24"/>
          <w:szCs w:val="24"/>
          <w:highlight w:val="none"/>
          <w:lang w:val="en-US" w:eastAsia="zh-CN" w:bidi="ar-SA"/>
        </w:rPr>
        <w:fldChar w:fldCharType="separate"/>
      </w:r>
      <w:r>
        <w:rPr>
          <w:rFonts w:hint="eastAsia" w:ascii="宋体" w:hAnsi="宋体" w:eastAsia="宋体" w:cs="宋体"/>
          <w:b/>
          <w:bCs/>
          <w:color w:val="auto"/>
          <w:sz w:val="24"/>
          <w:szCs w:val="24"/>
          <w:highlight w:val="none"/>
        </w:rPr>
        <w:t>第五章</w:t>
      </w:r>
      <w:r>
        <w:rPr>
          <w:rFonts w:hint="default" w:ascii="宋体" w:hAnsi="宋体" w:cs="宋体"/>
          <w:b/>
          <w:bCs/>
          <w:color w:val="auto"/>
          <w:sz w:val="24"/>
          <w:szCs w:val="24"/>
          <w:highlight w:val="none"/>
        </w:rPr>
        <w:t xml:space="preserve">  </w:t>
      </w:r>
      <w:r>
        <w:rPr>
          <w:rFonts w:hint="eastAsia" w:ascii="宋体" w:hAnsi="宋体" w:eastAsia="宋体" w:cs="宋体"/>
          <w:b/>
          <w:bCs/>
          <w:color w:val="auto"/>
          <w:sz w:val="24"/>
          <w:szCs w:val="24"/>
          <w:highlight w:val="none"/>
        </w:rPr>
        <w:t>报价文件格式</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_Toc2004389064 \h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49</w:t>
      </w:r>
      <w:r>
        <w:rPr>
          <w:rFonts w:hint="eastAsia" w:ascii="宋体" w:hAnsi="宋体" w:cs="宋体"/>
          <w:b/>
          <w:bCs/>
          <w:color w:val="auto"/>
          <w:sz w:val="24"/>
          <w:szCs w:val="24"/>
          <w:highlight w:val="none"/>
        </w:rPr>
        <w:fldChar w:fldCharType="end"/>
      </w:r>
      <w:r>
        <w:rPr>
          <w:rFonts w:hint="eastAsia" w:ascii="宋体" w:hAnsi="宋体" w:eastAsia="宋体" w:cs="宋体"/>
          <w:b/>
          <w:bCs/>
          <w:color w:val="auto"/>
          <w:kern w:val="2"/>
          <w:sz w:val="24"/>
          <w:szCs w:val="24"/>
          <w:highlight w:val="none"/>
          <w:lang w:val="en-US" w:eastAsia="zh-CN" w:bidi="ar-SA"/>
        </w:rPr>
        <w:fldChar w:fldCharType="end"/>
      </w:r>
    </w:p>
    <w:p w14:paraId="502A1360">
      <w:pPr>
        <w:pStyle w:val="10"/>
        <w:tabs>
          <w:tab w:val="right" w:leader="dot" w:pos="8306"/>
        </w:tabs>
        <w:spacing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\l _Toc1957557071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cs="宋体"/>
          <w:color w:val="auto"/>
          <w:sz w:val="24"/>
          <w:szCs w:val="24"/>
          <w:highlight w:val="none"/>
          <w:lang w:val="en-US" w:eastAsia="zh-CN"/>
        </w:rPr>
        <w:t>附件：福建省</w:t>
      </w:r>
      <w:r>
        <w:rPr>
          <w:rFonts w:hint="eastAsia" w:ascii="宋体" w:hAnsi="宋体" w:cs="宋体"/>
          <w:color w:val="auto"/>
          <w:sz w:val="24"/>
          <w:szCs w:val="24"/>
          <w:highlight w:val="none"/>
        </w:rPr>
        <w:t>政府采购供应商资格承诺函</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_Toc1957557071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70</w:t>
      </w:r>
      <w:r>
        <w:rPr>
          <w:rFonts w:hint="eastAsia" w:ascii="宋体" w:hAnsi="宋体" w:cs="宋体"/>
          <w:color w:val="auto"/>
          <w:sz w:val="24"/>
          <w:szCs w:val="24"/>
          <w:highlight w:val="none"/>
        </w:rPr>
        <w:fldChar w:fldCharType="end"/>
      </w:r>
      <w:r>
        <w:rPr>
          <w:rFonts w:hint="eastAsia" w:ascii="宋体" w:hAnsi="宋体" w:eastAsia="宋体" w:cs="宋体"/>
          <w:color w:val="auto"/>
          <w:kern w:val="2"/>
          <w:sz w:val="24"/>
          <w:szCs w:val="24"/>
          <w:highlight w:val="none"/>
          <w:lang w:val="en-US" w:eastAsia="zh-CN" w:bidi="ar-SA"/>
        </w:rPr>
        <w:fldChar w:fldCharType="end"/>
      </w:r>
    </w:p>
    <w:p w14:paraId="3CD43B7A">
      <w:pPr>
        <w:pStyle w:val="11"/>
        <w:tabs>
          <w:tab w:val="right" w:leader="dot" w:pos="8306"/>
        </w:tabs>
        <w:spacing w:line="360" w:lineRule="auto"/>
        <w:ind w:left="0" w:leftChars="0" w:firstLine="480" w:firstLineChars="200"/>
        <w:rPr>
          <w:rFonts w:hint="eastAsia"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\l _Toc1483063142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cs="宋体"/>
          <w:color w:val="auto"/>
          <w:sz w:val="24"/>
          <w:szCs w:val="24"/>
          <w:highlight w:val="none"/>
        </w:rPr>
        <w:t>资格及符合性条款（带*条款）响应表</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_Toc1483063142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72</w:t>
      </w:r>
      <w:r>
        <w:rPr>
          <w:rFonts w:hint="eastAsia" w:ascii="宋体" w:hAnsi="宋体" w:cs="宋体"/>
          <w:color w:val="auto"/>
          <w:sz w:val="24"/>
          <w:szCs w:val="24"/>
          <w:highlight w:val="none"/>
        </w:rPr>
        <w:fldChar w:fldCharType="end"/>
      </w:r>
      <w:r>
        <w:rPr>
          <w:rFonts w:hint="eastAsia" w:ascii="宋体" w:hAnsi="宋体" w:eastAsia="宋体" w:cs="宋体"/>
          <w:color w:val="auto"/>
          <w:kern w:val="2"/>
          <w:sz w:val="24"/>
          <w:szCs w:val="24"/>
          <w:highlight w:val="none"/>
          <w:lang w:val="en-US" w:eastAsia="zh-CN" w:bidi="ar-SA"/>
        </w:rPr>
        <w:fldChar w:fldCharType="end"/>
      </w:r>
    </w:p>
    <w:p w14:paraId="274A0E05">
      <w:pPr>
        <w:pStyle w:val="11"/>
        <w:tabs>
          <w:tab w:val="right" w:leader="dot" w:pos="8306"/>
        </w:tabs>
        <w:spacing w:line="360" w:lineRule="auto"/>
        <w:ind w:left="0" w:leftChars="0" w:firstLine="480" w:firstLineChars="200"/>
        <w:rPr>
          <w:rFonts w:hint="eastAsia"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\l _Toc1308771226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sz w:val="24"/>
          <w:szCs w:val="24"/>
          <w:highlight w:val="none"/>
        </w:rPr>
        <w:t>技术评分条款响应表</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_Toc1308771226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73</w:t>
      </w:r>
      <w:r>
        <w:rPr>
          <w:rFonts w:hint="eastAsia" w:ascii="宋体" w:hAnsi="宋体" w:cs="宋体"/>
          <w:color w:val="auto"/>
          <w:sz w:val="24"/>
          <w:szCs w:val="24"/>
          <w:highlight w:val="none"/>
        </w:rPr>
        <w:fldChar w:fldCharType="end"/>
      </w:r>
      <w:r>
        <w:rPr>
          <w:rFonts w:hint="eastAsia" w:ascii="宋体" w:hAnsi="宋体" w:eastAsia="宋体" w:cs="宋体"/>
          <w:color w:val="auto"/>
          <w:kern w:val="2"/>
          <w:sz w:val="24"/>
          <w:szCs w:val="24"/>
          <w:highlight w:val="none"/>
          <w:lang w:val="en-US" w:eastAsia="zh-CN" w:bidi="ar-SA"/>
        </w:rPr>
        <w:fldChar w:fldCharType="end"/>
      </w:r>
    </w:p>
    <w:p w14:paraId="6F08A025">
      <w:pPr>
        <w:pStyle w:val="11"/>
        <w:tabs>
          <w:tab w:val="right" w:leader="dot" w:pos="8306"/>
        </w:tabs>
        <w:spacing w:line="360" w:lineRule="auto"/>
        <w:ind w:left="0" w:leftChars="0" w:firstLine="480" w:firstLineChars="200"/>
        <w:rPr>
          <w:rFonts w:hint="eastAsia"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\l _Toc179862426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sz w:val="24"/>
          <w:szCs w:val="24"/>
          <w:highlight w:val="none"/>
        </w:rPr>
        <w:t>商务评分条款响应表</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_Toc179862426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78</w:t>
      </w:r>
      <w:r>
        <w:rPr>
          <w:rFonts w:hint="eastAsia" w:ascii="宋体" w:hAnsi="宋体" w:cs="宋体"/>
          <w:color w:val="auto"/>
          <w:sz w:val="24"/>
          <w:szCs w:val="24"/>
          <w:highlight w:val="none"/>
        </w:rPr>
        <w:fldChar w:fldCharType="end"/>
      </w:r>
      <w:r>
        <w:rPr>
          <w:rFonts w:hint="eastAsia" w:ascii="宋体" w:hAnsi="宋体" w:eastAsia="宋体" w:cs="宋体"/>
          <w:color w:val="auto"/>
          <w:kern w:val="2"/>
          <w:sz w:val="24"/>
          <w:szCs w:val="24"/>
          <w:highlight w:val="none"/>
          <w:lang w:val="en-US" w:eastAsia="zh-CN" w:bidi="ar-SA"/>
        </w:rPr>
        <w:fldChar w:fldCharType="end"/>
      </w:r>
    </w:p>
    <w:p w14:paraId="2FF024D3">
      <w:pPr>
        <w:pStyle w:val="11"/>
        <w:tabs>
          <w:tab w:val="right" w:leader="dot" w:pos="8306"/>
        </w:tabs>
        <w:spacing w:line="360" w:lineRule="auto"/>
        <w:ind w:left="0" w:leftChars="0" w:firstLine="0" w:firstLineChars="0"/>
        <w:jc w:val="center"/>
        <w:rPr>
          <w:rFonts w:hint="eastAsia" w:ascii="宋体" w:hAnsi="宋体" w:eastAsia="宋体" w:cs="宋体"/>
          <w:color w:val="auto"/>
          <w:kern w:val="2"/>
          <w:szCs w:val="28"/>
          <w:highlight w:val="none"/>
          <w:lang w:val="en-US" w:eastAsia="zh-CN" w:bidi="ar-SA"/>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kern w:val="2"/>
          <w:szCs w:val="28"/>
          <w:highlight w:val="none"/>
          <w:lang w:val="en-US" w:eastAsia="zh-CN" w:bidi="ar-SA"/>
        </w:rPr>
        <w:fldChar w:fldCharType="end"/>
      </w:r>
      <w:bookmarkStart w:id="4" w:name="_Toc25971"/>
      <w:bookmarkStart w:id="5" w:name="_Toc26839869"/>
      <w:bookmarkStart w:id="6" w:name="_Toc2654"/>
    </w:p>
    <w:p w14:paraId="08ED4128">
      <w:pPr>
        <w:pStyle w:val="11"/>
        <w:tabs>
          <w:tab w:val="right" w:leader="dot" w:pos="8306"/>
        </w:tabs>
        <w:spacing w:line="360" w:lineRule="auto"/>
        <w:ind w:left="0" w:leftChars="0" w:firstLine="0" w:firstLineChars="0"/>
        <w:jc w:val="center"/>
        <w:outlineLvl w:val="0"/>
        <w:rPr>
          <w:rFonts w:hint="eastAsia" w:ascii="宋体" w:hAnsi="宋体" w:eastAsia="宋体" w:cs="宋体"/>
          <w:b/>
          <w:bCs/>
          <w:color w:val="auto"/>
          <w:sz w:val="24"/>
          <w:szCs w:val="24"/>
          <w:highlight w:val="none"/>
        </w:rPr>
      </w:pPr>
      <w:bookmarkStart w:id="7" w:name="_Toc610699678"/>
      <w:r>
        <w:rPr>
          <w:rFonts w:hint="eastAsia" w:ascii="宋体" w:hAnsi="宋体" w:eastAsia="宋体" w:cs="宋体"/>
          <w:b/>
          <w:bCs/>
          <w:color w:val="auto"/>
          <w:sz w:val="32"/>
          <w:szCs w:val="32"/>
          <w:highlight w:val="none"/>
        </w:rPr>
        <w:t>第一章</w:t>
      </w:r>
      <w:r>
        <w:rPr>
          <w:rFonts w:hint="default" w:ascii="宋体" w:hAnsi="宋体" w:cs="宋体"/>
          <w:b/>
          <w:bCs/>
          <w:color w:val="auto"/>
          <w:sz w:val="32"/>
          <w:szCs w:val="32"/>
          <w:highlight w:val="none"/>
        </w:rPr>
        <w:t xml:space="preserve"> </w:t>
      </w:r>
      <w:r>
        <w:rPr>
          <w:rFonts w:hint="eastAsia" w:ascii="宋体" w:hAnsi="宋体" w:eastAsia="宋体" w:cs="宋体"/>
          <w:b/>
          <w:bCs/>
          <w:color w:val="auto"/>
          <w:sz w:val="32"/>
          <w:szCs w:val="32"/>
          <w:highlight w:val="none"/>
        </w:rPr>
        <w:t xml:space="preserve"> 磋商邀请</w:t>
      </w:r>
      <w:bookmarkEnd w:id="4"/>
      <w:bookmarkEnd w:id="5"/>
      <w:bookmarkEnd w:id="6"/>
      <w:bookmarkEnd w:id="7"/>
    </w:p>
    <w:p w14:paraId="6DA6CD27">
      <w:pPr>
        <w:keepNext w:val="0"/>
        <w:keepLines w:val="0"/>
        <w:pageBreakBefore w:val="0"/>
        <w:widowControl w:val="0"/>
        <w:tabs>
          <w:tab w:val="left" w:pos="900"/>
        </w:tabs>
        <w:kinsoku/>
        <w:wordWrap/>
        <w:overflowPunct/>
        <w:topLinePunct w:val="0"/>
        <w:autoSpaceDE/>
        <w:autoSpaceDN/>
        <w:bidi w:val="0"/>
        <w:spacing w:line="360" w:lineRule="auto"/>
        <w:ind w:left="0" w:leftChars="0" w:firstLine="482" w:firstLineChars="200"/>
        <w:textAlignment w:val="auto"/>
        <w:rPr>
          <w:rFonts w:hint="eastAsia" w:ascii="宋体" w:hAnsi="宋体" w:eastAsia="宋体" w:cs="宋体"/>
          <w:b/>
          <w:bCs/>
          <w:color w:val="auto"/>
          <w:sz w:val="24"/>
          <w:szCs w:val="24"/>
          <w:highlight w:val="none"/>
          <w:u w:val="single"/>
        </w:rPr>
      </w:pPr>
      <w:r>
        <w:rPr>
          <w:rFonts w:hint="eastAsia" w:ascii="宋体" w:hAnsi="宋体" w:eastAsia="宋体" w:cs="宋体"/>
          <w:b/>
          <w:color w:val="auto"/>
          <w:sz w:val="24"/>
          <w:szCs w:val="24"/>
          <w:highlight w:val="none"/>
          <w:u w:val="single"/>
        </w:rPr>
        <w:t>厦门万翔招标有限公司</w:t>
      </w:r>
      <w:r>
        <w:rPr>
          <w:rFonts w:hint="eastAsia" w:ascii="宋体" w:hAnsi="宋体" w:eastAsia="宋体" w:cs="宋体"/>
          <w:color w:val="auto"/>
          <w:sz w:val="24"/>
          <w:szCs w:val="24"/>
          <w:highlight w:val="none"/>
        </w:rPr>
        <w:t>受采购人</w:t>
      </w:r>
      <w:r>
        <w:rPr>
          <w:rFonts w:hint="eastAsia" w:ascii="宋体" w:hAnsi="宋体" w:cs="宋体"/>
          <w:b/>
          <w:color w:val="auto"/>
          <w:sz w:val="24"/>
          <w:szCs w:val="24"/>
          <w:highlight w:val="none"/>
          <w:u w:val="single"/>
          <w:lang w:eastAsia="zh-CN"/>
        </w:rPr>
        <w:t>厦门市总工会</w:t>
      </w:r>
      <w:r>
        <w:rPr>
          <w:rFonts w:hint="eastAsia" w:ascii="宋体" w:hAnsi="宋体" w:eastAsia="宋体" w:cs="宋体"/>
          <w:color w:val="auto"/>
          <w:sz w:val="24"/>
          <w:szCs w:val="24"/>
          <w:highlight w:val="none"/>
        </w:rPr>
        <w:t>委托，对</w:t>
      </w:r>
      <w:r>
        <w:rPr>
          <w:rFonts w:hint="eastAsia" w:ascii="宋体" w:hAnsi="宋体" w:cs="宋体"/>
          <w:b/>
          <w:color w:val="auto"/>
          <w:sz w:val="24"/>
          <w:szCs w:val="24"/>
          <w:highlight w:val="none"/>
          <w:u w:val="single"/>
          <w:lang w:eastAsia="zh-CN"/>
        </w:rPr>
        <w:t>厦门市总工会2025年下半年工会专干和集体协商指导员招聘考务服务机构采购</w:t>
      </w:r>
      <w:r>
        <w:rPr>
          <w:rFonts w:hint="eastAsia" w:ascii="宋体" w:hAnsi="宋体" w:eastAsia="宋体" w:cs="宋体"/>
          <w:bCs/>
          <w:color w:val="auto"/>
          <w:sz w:val="24"/>
          <w:szCs w:val="24"/>
          <w:highlight w:val="none"/>
        </w:rPr>
        <w:t>项目的采购</w:t>
      </w:r>
      <w:r>
        <w:rPr>
          <w:rFonts w:hint="eastAsia" w:ascii="宋体" w:hAnsi="宋体" w:eastAsia="宋体" w:cs="宋体"/>
          <w:color w:val="auto"/>
          <w:sz w:val="24"/>
          <w:szCs w:val="24"/>
          <w:highlight w:val="none"/>
        </w:rPr>
        <w:t>采用</w:t>
      </w:r>
      <w:r>
        <w:rPr>
          <w:rFonts w:hint="eastAsia" w:ascii="宋体" w:hAnsi="宋体" w:eastAsia="宋体" w:cs="宋体"/>
          <w:b/>
          <w:color w:val="auto"/>
          <w:sz w:val="24"/>
          <w:szCs w:val="24"/>
          <w:highlight w:val="none"/>
          <w:u w:val="single"/>
        </w:rPr>
        <w:t>竞争性磋商方式</w:t>
      </w:r>
      <w:r>
        <w:rPr>
          <w:rFonts w:hint="eastAsia" w:ascii="宋体" w:hAnsi="宋体" w:eastAsia="宋体" w:cs="宋体"/>
          <w:color w:val="auto"/>
          <w:sz w:val="24"/>
          <w:szCs w:val="24"/>
          <w:highlight w:val="none"/>
        </w:rPr>
        <w:t>进行。现欢迎国内合格报价人密封提交报价文件。</w:t>
      </w:r>
    </w:p>
    <w:p w14:paraId="1F1D011B">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1.项目编号：</w:t>
      </w:r>
      <w:r>
        <w:rPr>
          <w:rFonts w:hint="eastAsia" w:ascii="宋体" w:hAnsi="宋体" w:cs="宋体"/>
          <w:color w:val="auto"/>
          <w:sz w:val="24"/>
          <w:szCs w:val="24"/>
          <w:highlight w:val="none"/>
          <w:lang w:eastAsia="zh-CN"/>
        </w:rPr>
        <w:t>XM2025-TZ5181</w:t>
      </w:r>
      <w:r>
        <w:rPr>
          <w:rFonts w:hint="eastAsia" w:ascii="宋体" w:hAnsi="宋体" w:eastAsia="宋体" w:cs="宋体"/>
          <w:color w:val="auto"/>
          <w:sz w:val="24"/>
          <w:szCs w:val="24"/>
          <w:highlight w:val="none"/>
        </w:rPr>
        <w:t>。</w:t>
      </w:r>
    </w:p>
    <w:p w14:paraId="76C85C0B">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2.采购服务名称、数量及主要技术规格：见后附采购服务一览表。</w:t>
      </w:r>
    </w:p>
    <w:p w14:paraId="7D2CB350">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3.采购文件获取方式：</w:t>
      </w:r>
      <w:r>
        <w:rPr>
          <w:rFonts w:hint="eastAsia" w:ascii="宋体" w:hAnsi="宋体" w:cs="宋体"/>
          <w:bCs/>
          <w:color w:val="auto"/>
          <w:sz w:val="24"/>
          <w:szCs w:val="24"/>
          <w:highlight w:val="none"/>
          <w:lang w:val="en-US" w:eastAsia="zh-CN"/>
        </w:rPr>
        <w:t>2025年09月28日</w:t>
      </w:r>
      <w:r>
        <w:rPr>
          <w:rFonts w:hint="eastAsia" w:ascii="宋体" w:hAnsi="宋体" w:eastAsia="宋体" w:cs="宋体"/>
          <w:color w:val="auto"/>
          <w:sz w:val="24"/>
          <w:szCs w:val="24"/>
          <w:highlight w:val="none"/>
        </w:rPr>
        <w:t>至</w:t>
      </w:r>
      <w:r>
        <w:rPr>
          <w:rFonts w:hint="eastAsia" w:ascii="宋体" w:hAnsi="宋体" w:cs="宋体"/>
          <w:bCs/>
          <w:color w:val="auto"/>
          <w:sz w:val="24"/>
          <w:szCs w:val="24"/>
          <w:highlight w:val="none"/>
          <w:lang w:val="en-US" w:eastAsia="zh-CN"/>
        </w:rPr>
        <w:t>2025年10月11日</w:t>
      </w:r>
      <w:r>
        <w:rPr>
          <w:rFonts w:hint="eastAsia" w:ascii="宋体" w:hAnsi="宋体" w:eastAsia="宋体" w:cs="宋体"/>
          <w:color w:val="auto"/>
          <w:sz w:val="24"/>
          <w:szCs w:val="24"/>
          <w:highlight w:val="none"/>
        </w:rPr>
        <w:t>(节假日除外)上午8：30至12：00，下午2：00至5：30（北京时间）在</w:t>
      </w:r>
      <w:r>
        <w:rPr>
          <w:rFonts w:hint="eastAsia" w:ascii="宋体" w:hAnsi="宋体" w:eastAsia="宋体" w:cs="宋体"/>
          <w:color w:val="auto"/>
          <w:sz w:val="24"/>
          <w:szCs w:val="24"/>
          <w:highlight w:val="none"/>
          <w:u w:val="single"/>
        </w:rPr>
        <w:t>厦门市湖里区机场北路476号四楼售标室</w:t>
      </w:r>
      <w:r>
        <w:rPr>
          <w:rFonts w:hint="eastAsia" w:ascii="宋体" w:hAnsi="宋体" w:eastAsia="宋体" w:cs="宋体"/>
          <w:color w:val="auto"/>
          <w:sz w:val="24"/>
          <w:szCs w:val="24"/>
          <w:highlight w:val="none"/>
        </w:rPr>
        <w:t>购买采购文件，联系人及电话：</w:t>
      </w:r>
      <w:r>
        <w:rPr>
          <w:rFonts w:hint="eastAsia" w:ascii="宋体" w:hAnsi="宋体" w:cs="宋体"/>
          <w:color w:val="auto"/>
          <w:sz w:val="24"/>
          <w:szCs w:val="24"/>
          <w:highlight w:val="none"/>
          <w:lang w:eastAsia="zh-CN"/>
        </w:rPr>
        <w:t>蒋小姐</w:t>
      </w:r>
      <w:r>
        <w:rPr>
          <w:rFonts w:hint="eastAsia" w:ascii="宋体" w:hAnsi="宋体" w:eastAsia="宋体" w:cs="宋体"/>
          <w:color w:val="auto"/>
          <w:sz w:val="24"/>
          <w:szCs w:val="24"/>
          <w:highlight w:val="none"/>
        </w:rPr>
        <w:t>0592-2219823。</w:t>
      </w:r>
    </w:p>
    <w:p w14:paraId="3A67A0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4.采购文件售价</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color w:val="auto"/>
          <w:sz w:val="24"/>
          <w:szCs w:val="24"/>
          <w:highlight w:val="none"/>
          <w:u w:val="single"/>
          <w:lang w:val="en-US" w:eastAsia="zh-CN"/>
        </w:rPr>
        <w:t>50</w:t>
      </w:r>
      <w:r>
        <w:rPr>
          <w:rFonts w:hint="eastAsia" w:ascii="宋体" w:hAnsi="宋体" w:eastAsia="宋体" w:cs="宋体"/>
          <w:color w:val="auto"/>
          <w:sz w:val="24"/>
          <w:szCs w:val="24"/>
          <w:highlight w:val="none"/>
        </w:rPr>
        <w:t>元人民币，售后不退。</w:t>
      </w:r>
    </w:p>
    <w:p w14:paraId="3D0627D6">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5.报价文件提交截止时间：</w:t>
      </w:r>
      <w:r>
        <w:rPr>
          <w:rFonts w:hint="eastAsia" w:ascii="宋体" w:hAnsi="宋体" w:cs="宋体"/>
          <w:color w:val="auto"/>
          <w:sz w:val="24"/>
          <w:szCs w:val="24"/>
          <w:highlight w:val="none"/>
          <w:u w:val="single"/>
          <w:lang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14</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14</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（北京时间），报价文件应在截止时间前将报价文件递交到</w:t>
      </w:r>
      <w:r>
        <w:rPr>
          <w:rFonts w:hint="eastAsia" w:ascii="宋体" w:hAnsi="宋体" w:eastAsia="宋体" w:cs="宋体"/>
          <w:b/>
          <w:color w:val="auto"/>
          <w:sz w:val="24"/>
          <w:szCs w:val="24"/>
          <w:highlight w:val="none"/>
          <w:u w:val="single"/>
        </w:rPr>
        <w:t>厦门市湖里区机场北路476号四楼开标厅</w:t>
      </w:r>
      <w:r>
        <w:rPr>
          <w:rFonts w:hint="eastAsia" w:ascii="宋体" w:hAnsi="宋体" w:eastAsia="宋体" w:cs="宋体"/>
          <w:color w:val="auto"/>
          <w:sz w:val="24"/>
          <w:szCs w:val="24"/>
          <w:highlight w:val="none"/>
        </w:rPr>
        <w:t>，逾期收到的或不符合规定的报价文件将被拒绝。</w:t>
      </w:r>
    </w:p>
    <w:p w14:paraId="58E25E71">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bookmarkStart w:id="8" w:name="_Toc2562"/>
      <w:r>
        <w:rPr>
          <w:rFonts w:hint="eastAsia" w:ascii="宋体" w:hAnsi="宋体" w:eastAsia="宋体" w:cs="宋体"/>
          <w:color w:val="auto"/>
          <w:sz w:val="24"/>
          <w:szCs w:val="24"/>
          <w:highlight w:val="none"/>
        </w:rPr>
        <w:t>6.磋商时间：</w:t>
      </w:r>
      <w:bookmarkEnd w:id="8"/>
      <w:r>
        <w:rPr>
          <w:rFonts w:hint="eastAsia" w:ascii="宋体" w:hAnsi="宋体" w:cs="宋体"/>
          <w:color w:val="auto"/>
          <w:sz w:val="24"/>
          <w:szCs w:val="24"/>
          <w:highlight w:val="none"/>
          <w:u w:val="single"/>
          <w:lang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14</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14</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w:t>
      </w:r>
    </w:p>
    <w:p w14:paraId="1ADDA393">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7.报价人对本次磋商活动事项如有疑问的，请在磋商截止时间5日之前，以书面形式与采购代理机构联系。</w:t>
      </w:r>
    </w:p>
    <w:p w14:paraId="2C42A68D">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8.以上信息如有变更，</w:t>
      </w:r>
      <w:r>
        <w:rPr>
          <w:rFonts w:hint="eastAsia" w:ascii="宋体" w:hAnsi="宋体" w:eastAsia="宋体" w:cs="宋体"/>
          <w:color w:val="auto"/>
          <w:sz w:val="24"/>
          <w:szCs w:val="24"/>
          <w:highlight w:val="none"/>
          <w:u w:val="single"/>
        </w:rPr>
        <w:t>（采购代理机构）</w:t>
      </w:r>
      <w:r>
        <w:rPr>
          <w:rFonts w:hint="eastAsia" w:ascii="宋体" w:hAnsi="宋体" w:eastAsia="宋体" w:cs="宋体"/>
          <w:color w:val="auto"/>
          <w:sz w:val="24"/>
          <w:szCs w:val="24"/>
          <w:highlight w:val="none"/>
        </w:rPr>
        <w:t>将通过</w:t>
      </w:r>
      <w:r>
        <w:rPr>
          <w:rFonts w:hint="eastAsia" w:ascii="宋体" w:hAnsi="宋体" w:eastAsia="宋体" w:cs="宋体"/>
          <w:bCs/>
          <w:color w:val="auto"/>
          <w:sz w:val="24"/>
          <w:szCs w:val="24"/>
          <w:highlight w:val="none"/>
        </w:rPr>
        <w:t>厦门招投标网（</w:t>
      </w:r>
      <w:r>
        <w:rPr>
          <w:rFonts w:hint="eastAsia" w:ascii="宋体" w:hAnsi="宋体" w:eastAsia="宋体" w:cs="宋体"/>
          <w:color w:val="auto"/>
          <w:sz w:val="24"/>
          <w:szCs w:val="24"/>
          <w:highlight w:val="none"/>
        </w:rPr>
        <w:t>www.xmztb.com</w:t>
      </w:r>
      <w:r>
        <w:rPr>
          <w:rFonts w:hint="eastAsia" w:ascii="宋体" w:hAnsi="宋体" w:eastAsia="宋体" w:cs="宋体"/>
          <w:bCs/>
          <w:color w:val="auto"/>
          <w:sz w:val="24"/>
          <w:szCs w:val="24"/>
          <w:highlight w:val="none"/>
        </w:rPr>
        <w:t>）等信息发布媒体通知,</w:t>
      </w:r>
      <w:r>
        <w:rPr>
          <w:rFonts w:hint="eastAsia" w:ascii="宋体" w:hAnsi="宋体" w:eastAsia="宋体" w:cs="宋体"/>
          <w:color w:val="auto"/>
          <w:sz w:val="24"/>
          <w:szCs w:val="24"/>
          <w:highlight w:val="none"/>
        </w:rPr>
        <w:t>请报价人关注。</w:t>
      </w:r>
    </w:p>
    <w:p w14:paraId="6629FB2A">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9.本项目</w:t>
      </w:r>
      <w:r>
        <w:rPr>
          <w:rFonts w:hint="eastAsia" w:ascii="宋体" w:hAnsi="宋体" w:eastAsia="宋体" w:cs="宋体"/>
          <w:b/>
          <w:bCs/>
          <w:color w:val="auto"/>
          <w:sz w:val="24"/>
          <w:szCs w:val="24"/>
          <w:highlight w:val="none"/>
        </w:rPr>
        <w:t>（不接受）</w:t>
      </w:r>
      <w:r>
        <w:rPr>
          <w:rFonts w:hint="eastAsia" w:ascii="宋体" w:hAnsi="宋体" w:eastAsia="宋体" w:cs="宋体"/>
          <w:color w:val="auto"/>
          <w:sz w:val="24"/>
          <w:szCs w:val="24"/>
          <w:highlight w:val="none"/>
        </w:rPr>
        <w:t>联合体报价。</w:t>
      </w:r>
    </w:p>
    <w:p w14:paraId="5C731248">
      <w:pPr>
        <w:keepNext w:val="0"/>
        <w:keepLines w:val="0"/>
        <w:pageBreakBefore w:val="0"/>
        <w:widowControl w:val="0"/>
        <w:tabs>
          <w:tab w:val="left" w:pos="1140"/>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10.各有关联系方式</w:t>
      </w:r>
    </w:p>
    <w:tbl>
      <w:tblPr>
        <w:tblStyle w:val="13"/>
        <w:tblW w:w="884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68"/>
        <w:gridCol w:w="1458"/>
        <w:gridCol w:w="1303"/>
        <w:gridCol w:w="2539"/>
        <w:gridCol w:w="2773"/>
      </w:tblGrid>
      <w:tr w14:paraId="4FC6AD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768" w:type="dxa"/>
            <w:tcBorders>
              <w:top w:val="double" w:color="auto" w:sz="4" w:space="0"/>
              <w:left w:val="double" w:color="auto" w:sz="4" w:space="0"/>
              <w:bottom w:val="single" w:color="auto" w:sz="6" w:space="0"/>
              <w:right w:val="single" w:color="auto" w:sz="6" w:space="0"/>
            </w:tcBorders>
            <w:noWrap w:val="0"/>
            <w:vAlign w:val="center"/>
          </w:tcPr>
          <w:p w14:paraId="73CE0814">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1458" w:type="dxa"/>
            <w:tcBorders>
              <w:top w:val="double" w:color="auto" w:sz="4" w:space="0"/>
              <w:left w:val="single" w:color="auto" w:sz="6" w:space="0"/>
              <w:bottom w:val="single" w:color="auto" w:sz="6" w:space="0"/>
              <w:right w:val="single" w:color="auto" w:sz="6" w:space="0"/>
            </w:tcBorders>
            <w:noWrap w:val="0"/>
            <w:vAlign w:val="center"/>
          </w:tcPr>
          <w:p w14:paraId="54D8D974">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分工</w:t>
            </w:r>
          </w:p>
        </w:tc>
        <w:tc>
          <w:tcPr>
            <w:tcW w:w="1303" w:type="dxa"/>
            <w:tcBorders>
              <w:top w:val="double" w:color="auto" w:sz="4" w:space="0"/>
              <w:left w:val="single" w:color="auto" w:sz="6" w:space="0"/>
              <w:bottom w:val="single" w:color="auto" w:sz="6" w:space="0"/>
              <w:right w:val="single" w:color="auto" w:sz="6" w:space="0"/>
            </w:tcBorders>
            <w:noWrap w:val="0"/>
            <w:vAlign w:val="center"/>
          </w:tcPr>
          <w:p w14:paraId="6774B496">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联系人</w:t>
            </w:r>
          </w:p>
        </w:tc>
        <w:tc>
          <w:tcPr>
            <w:tcW w:w="2539" w:type="dxa"/>
            <w:tcBorders>
              <w:top w:val="double" w:color="auto" w:sz="4" w:space="0"/>
              <w:left w:val="single" w:color="auto" w:sz="6" w:space="0"/>
              <w:bottom w:val="single" w:color="auto" w:sz="6" w:space="0"/>
              <w:right w:val="single" w:color="auto" w:sz="6" w:space="0"/>
            </w:tcBorders>
            <w:noWrap w:val="0"/>
            <w:vAlign w:val="center"/>
          </w:tcPr>
          <w:p w14:paraId="230847FB">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职责范围</w:t>
            </w:r>
          </w:p>
        </w:tc>
        <w:tc>
          <w:tcPr>
            <w:tcW w:w="2773" w:type="dxa"/>
            <w:tcBorders>
              <w:top w:val="double" w:color="auto" w:sz="4" w:space="0"/>
              <w:left w:val="single" w:color="auto" w:sz="6" w:space="0"/>
              <w:bottom w:val="single" w:color="auto" w:sz="6" w:space="0"/>
              <w:right w:val="double" w:color="auto" w:sz="4" w:space="0"/>
            </w:tcBorders>
            <w:noWrap w:val="0"/>
            <w:vAlign w:val="center"/>
          </w:tcPr>
          <w:p w14:paraId="6310D878">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联系电话</w:t>
            </w:r>
          </w:p>
        </w:tc>
      </w:tr>
      <w:tr w14:paraId="6D12ED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68" w:type="dxa"/>
            <w:tcBorders>
              <w:top w:val="single" w:color="auto" w:sz="6" w:space="0"/>
              <w:left w:val="double" w:color="auto" w:sz="4" w:space="0"/>
              <w:bottom w:val="single" w:color="auto" w:sz="6" w:space="0"/>
              <w:right w:val="single" w:color="auto" w:sz="6" w:space="0"/>
            </w:tcBorders>
            <w:noWrap w:val="0"/>
            <w:vAlign w:val="center"/>
          </w:tcPr>
          <w:p w14:paraId="41ABEDEC">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58" w:type="dxa"/>
            <w:tcBorders>
              <w:top w:val="single" w:color="auto" w:sz="6" w:space="0"/>
              <w:left w:val="single" w:color="auto" w:sz="6" w:space="0"/>
              <w:bottom w:val="single" w:color="auto" w:sz="6" w:space="0"/>
              <w:right w:val="single" w:color="auto" w:sz="6" w:space="0"/>
            </w:tcBorders>
            <w:noWrap w:val="0"/>
            <w:vAlign w:val="center"/>
          </w:tcPr>
          <w:p w14:paraId="50B0EBCF">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项目经办</w:t>
            </w:r>
          </w:p>
        </w:tc>
        <w:tc>
          <w:tcPr>
            <w:tcW w:w="1303" w:type="dxa"/>
            <w:tcBorders>
              <w:top w:val="single" w:color="auto" w:sz="6" w:space="0"/>
              <w:left w:val="single" w:color="auto" w:sz="6" w:space="0"/>
              <w:bottom w:val="single" w:color="auto" w:sz="6" w:space="0"/>
              <w:right w:val="single" w:color="auto" w:sz="6" w:space="0"/>
            </w:tcBorders>
            <w:noWrap w:val="0"/>
            <w:vAlign w:val="center"/>
          </w:tcPr>
          <w:p w14:paraId="5D17B388">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卢小姐</w:t>
            </w:r>
          </w:p>
          <w:p w14:paraId="15666B62">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黄小姐</w:t>
            </w:r>
          </w:p>
        </w:tc>
        <w:tc>
          <w:tcPr>
            <w:tcW w:w="2539" w:type="dxa"/>
            <w:tcBorders>
              <w:top w:val="single" w:color="auto" w:sz="6" w:space="0"/>
              <w:left w:val="single" w:color="auto" w:sz="6" w:space="0"/>
              <w:bottom w:val="single" w:color="auto" w:sz="6" w:space="0"/>
              <w:right w:val="single" w:color="auto" w:sz="6" w:space="0"/>
            </w:tcBorders>
            <w:noWrap w:val="0"/>
            <w:vAlign w:val="center"/>
          </w:tcPr>
          <w:p w14:paraId="790DAA09">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负责采购文件的咨询、答疑等工作</w:t>
            </w:r>
          </w:p>
        </w:tc>
        <w:tc>
          <w:tcPr>
            <w:tcW w:w="2773" w:type="dxa"/>
            <w:tcBorders>
              <w:top w:val="single" w:color="auto" w:sz="6" w:space="0"/>
              <w:left w:val="single" w:color="auto" w:sz="6" w:space="0"/>
              <w:bottom w:val="single" w:color="auto" w:sz="6" w:space="0"/>
              <w:right w:val="double" w:color="auto" w:sz="4" w:space="0"/>
            </w:tcBorders>
            <w:noWrap w:val="0"/>
            <w:vAlign w:val="center"/>
          </w:tcPr>
          <w:p w14:paraId="1056BA69">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0592-5701518、5721295传真0592-5706660-6969</w:t>
            </w:r>
          </w:p>
        </w:tc>
      </w:tr>
      <w:tr w14:paraId="7C50C6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68" w:type="dxa"/>
            <w:tcBorders>
              <w:top w:val="single" w:color="auto" w:sz="6" w:space="0"/>
              <w:left w:val="double" w:color="auto" w:sz="4" w:space="0"/>
              <w:bottom w:val="single" w:color="auto" w:sz="6" w:space="0"/>
              <w:right w:val="single" w:color="auto" w:sz="6" w:space="0"/>
            </w:tcBorders>
            <w:noWrap w:val="0"/>
            <w:vAlign w:val="center"/>
          </w:tcPr>
          <w:p w14:paraId="17C9C087">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458" w:type="dxa"/>
            <w:tcBorders>
              <w:top w:val="single" w:color="auto" w:sz="6" w:space="0"/>
              <w:left w:val="single" w:color="auto" w:sz="6" w:space="0"/>
              <w:bottom w:val="single" w:color="auto" w:sz="6" w:space="0"/>
              <w:right w:val="single" w:color="auto" w:sz="6" w:space="0"/>
            </w:tcBorders>
            <w:noWrap w:val="0"/>
            <w:vAlign w:val="center"/>
          </w:tcPr>
          <w:p w14:paraId="39F3076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w:t>
            </w:r>
          </w:p>
        </w:tc>
        <w:tc>
          <w:tcPr>
            <w:tcW w:w="1303" w:type="dxa"/>
            <w:tcBorders>
              <w:top w:val="single" w:color="auto" w:sz="6" w:space="0"/>
              <w:left w:val="single" w:color="auto" w:sz="6" w:space="0"/>
              <w:bottom w:val="single" w:color="auto" w:sz="6" w:space="0"/>
              <w:right w:val="single" w:color="auto" w:sz="6" w:space="0"/>
            </w:tcBorders>
            <w:noWrap w:val="0"/>
            <w:vAlign w:val="center"/>
          </w:tcPr>
          <w:p w14:paraId="49A90576">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陈小姐</w:t>
            </w:r>
          </w:p>
        </w:tc>
        <w:tc>
          <w:tcPr>
            <w:tcW w:w="2539" w:type="dxa"/>
            <w:tcBorders>
              <w:top w:val="single" w:color="auto" w:sz="6" w:space="0"/>
              <w:left w:val="single" w:color="auto" w:sz="6" w:space="0"/>
              <w:bottom w:val="single" w:color="auto" w:sz="6" w:space="0"/>
              <w:right w:val="single" w:color="auto" w:sz="6" w:space="0"/>
            </w:tcBorders>
            <w:noWrap w:val="0"/>
            <w:vAlign w:val="center"/>
          </w:tcPr>
          <w:p w14:paraId="3C810F5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磋商保证金收、退</w:t>
            </w:r>
          </w:p>
        </w:tc>
        <w:tc>
          <w:tcPr>
            <w:tcW w:w="2773" w:type="dxa"/>
            <w:tcBorders>
              <w:top w:val="single" w:color="auto" w:sz="6" w:space="0"/>
              <w:left w:val="single" w:color="auto" w:sz="6" w:space="0"/>
              <w:bottom w:val="single" w:color="auto" w:sz="6" w:space="0"/>
              <w:right w:val="double" w:color="auto" w:sz="4" w:space="0"/>
            </w:tcBorders>
            <w:noWrap w:val="0"/>
            <w:vAlign w:val="center"/>
          </w:tcPr>
          <w:p w14:paraId="348B641A">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0592-5703367</w:t>
            </w:r>
          </w:p>
        </w:tc>
      </w:tr>
      <w:tr w14:paraId="28D5F3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68" w:type="dxa"/>
            <w:tcBorders>
              <w:top w:val="single" w:color="auto" w:sz="6" w:space="0"/>
              <w:left w:val="double" w:color="auto" w:sz="4" w:space="0"/>
              <w:bottom w:val="single" w:color="auto" w:sz="6" w:space="0"/>
              <w:right w:val="single" w:color="auto" w:sz="6" w:space="0"/>
            </w:tcBorders>
            <w:noWrap w:val="0"/>
            <w:vAlign w:val="center"/>
          </w:tcPr>
          <w:p w14:paraId="1568AB6F">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458" w:type="dxa"/>
            <w:tcBorders>
              <w:top w:val="single" w:color="auto" w:sz="6" w:space="0"/>
              <w:left w:val="single" w:color="auto" w:sz="6" w:space="0"/>
              <w:bottom w:val="single" w:color="auto" w:sz="6" w:space="0"/>
              <w:right w:val="single" w:color="auto" w:sz="6" w:space="0"/>
            </w:tcBorders>
            <w:noWrap w:val="0"/>
            <w:vAlign w:val="center"/>
          </w:tcPr>
          <w:p w14:paraId="070B2BAA">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财务</w:t>
            </w:r>
          </w:p>
        </w:tc>
        <w:tc>
          <w:tcPr>
            <w:tcW w:w="1303" w:type="dxa"/>
            <w:tcBorders>
              <w:top w:val="single" w:color="auto" w:sz="6" w:space="0"/>
              <w:left w:val="single" w:color="auto" w:sz="6" w:space="0"/>
              <w:bottom w:val="single" w:color="auto" w:sz="6" w:space="0"/>
              <w:right w:val="single" w:color="auto" w:sz="6" w:space="0"/>
            </w:tcBorders>
            <w:noWrap w:val="0"/>
            <w:vAlign w:val="center"/>
          </w:tcPr>
          <w:p w14:paraId="7BCE35BC">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张先生</w:t>
            </w:r>
          </w:p>
        </w:tc>
        <w:tc>
          <w:tcPr>
            <w:tcW w:w="2539" w:type="dxa"/>
            <w:tcBorders>
              <w:top w:val="single" w:color="auto" w:sz="6" w:space="0"/>
              <w:left w:val="single" w:color="auto" w:sz="6" w:space="0"/>
              <w:bottom w:val="single" w:color="auto" w:sz="6" w:space="0"/>
              <w:right w:val="single" w:color="auto" w:sz="6" w:space="0"/>
            </w:tcBorders>
            <w:noWrap w:val="0"/>
            <w:vAlign w:val="center"/>
          </w:tcPr>
          <w:p w14:paraId="703E50D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文件费、磋商保证金到账咨询</w:t>
            </w:r>
          </w:p>
        </w:tc>
        <w:tc>
          <w:tcPr>
            <w:tcW w:w="2773" w:type="dxa"/>
            <w:tcBorders>
              <w:top w:val="single" w:color="auto" w:sz="6" w:space="0"/>
              <w:left w:val="single" w:color="auto" w:sz="6" w:space="0"/>
              <w:bottom w:val="single" w:color="auto" w:sz="6" w:space="0"/>
              <w:right w:val="double" w:color="auto" w:sz="4" w:space="0"/>
            </w:tcBorders>
            <w:noWrap w:val="0"/>
            <w:vAlign w:val="center"/>
          </w:tcPr>
          <w:p w14:paraId="1266743E">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0592-2298139</w:t>
            </w:r>
          </w:p>
        </w:tc>
      </w:tr>
      <w:tr w14:paraId="258FE0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68" w:type="dxa"/>
            <w:tcBorders>
              <w:top w:val="single" w:color="auto" w:sz="6" w:space="0"/>
              <w:left w:val="double" w:color="auto" w:sz="4" w:space="0"/>
              <w:bottom w:val="single" w:color="auto" w:sz="6" w:space="0"/>
              <w:right w:val="single" w:color="auto" w:sz="6" w:space="0"/>
            </w:tcBorders>
            <w:noWrap w:val="0"/>
            <w:vAlign w:val="center"/>
          </w:tcPr>
          <w:p w14:paraId="09BC0CDF">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458" w:type="dxa"/>
            <w:tcBorders>
              <w:top w:val="single" w:color="auto" w:sz="6" w:space="0"/>
              <w:left w:val="single" w:color="auto" w:sz="6" w:space="0"/>
              <w:bottom w:val="single" w:color="auto" w:sz="6" w:space="0"/>
              <w:right w:val="single" w:color="auto" w:sz="6" w:space="0"/>
            </w:tcBorders>
            <w:noWrap w:val="0"/>
            <w:vAlign w:val="center"/>
          </w:tcPr>
          <w:p w14:paraId="2B4E748C">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代理服务费</w:t>
            </w:r>
          </w:p>
        </w:tc>
        <w:tc>
          <w:tcPr>
            <w:tcW w:w="1303" w:type="dxa"/>
            <w:tcBorders>
              <w:top w:val="single" w:color="auto" w:sz="6" w:space="0"/>
              <w:left w:val="single" w:color="auto" w:sz="6" w:space="0"/>
              <w:bottom w:val="single" w:color="auto" w:sz="6" w:space="0"/>
              <w:right w:val="single" w:color="auto" w:sz="6" w:space="0"/>
            </w:tcBorders>
            <w:noWrap w:val="0"/>
            <w:vAlign w:val="center"/>
          </w:tcPr>
          <w:p w14:paraId="1FE4B458">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陈小姐</w:t>
            </w:r>
          </w:p>
        </w:tc>
        <w:tc>
          <w:tcPr>
            <w:tcW w:w="2539" w:type="dxa"/>
            <w:tcBorders>
              <w:top w:val="single" w:color="auto" w:sz="6" w:space="0"/>
              <w:left w:val="single" w:color="auto" w:sz="6" w:space="0"/>
              <w:bottom w:val="single" w:color="auto" w:sz="6" w:space="0"/>
              <w:right w:val="single" w:color="auto" w:sz="6" w:space="0"/>
            </w:tcBorders>
            <w:noWrap w:val="0"/>
            <w:vAlign w:val="center"/>
          </w:tcPr>
          <w:p w14:paraId="0677F47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收取</w:t>
            </w:r>
          </w:p>
        </w:tc>
        <w:tc>
          <w:tcPr>
            <w:tcW w:w="2773" w:type="dxa"/>
            <w:tcBorders>
              <w:top w:val="single" w:color="auto" w:sz="6" w:space="0"/>
              <w:left w:val="single" w:color="auto" w:sz="6" w:space="0"/>
              <w:bottom w:val="single" w:color="auto" w:sz="6" w:space="0"/>
              <w:right w:val="double" w:color="auto" w:sz="4" w:space="0"/>
            </w:tcBorders>
            <w:noWrap w:val="0"/>
            <w:vAlign w:val="center"/>
          </w:tcPr>
          <w:p w14:paraId="21DA1C28">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0592-5703367</w:t>
            </w:r>
          </w:p>
        </w:tc>
      </w:tr>
      <w:tr w14:paraId="7AE7E3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68" w:type="dxa"/>
            <w:tcBorders>
              <w:top w:val="single" w:color="auto" w:sz="6" w:space="0"/>
              <w:left w:val="double" w:color="auto" w:sz="4" w:space="0"/>
              <w:bottom w:val="single" w:color="auto" w:sz="6" w:space="0"/>
              <w:right w:val="single" w:color="auto" w:sz="6" w:space="0"/>
            </w:tcBorders>
            <w:noWrap w:val="0"/>
            <w:vAlign w:val="center"/>
          </w:tcPr>
          <w:p w14:paraId="51996B36">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458" w:type="dxa"/>
            <w:tcBorders>
              <w:top w:val="single" w:color="auto" w:sz="6" w:space="0"/>
              <w:left w:val="single" w:color="auto" w:sz="6" w:space="0"/>
              <w:bottom w:val="single" w:color="auto" w:sz="6" w:space="0"/>
              <w:right w:val="single" w:color="auto" w:sz="6" w:space="0"/>
            </w:tcBorders>
            <w:noWrap w:val="0"/>
            <w:vAlign w:val="center"/>
          </w:tcPr>
          <w:p w14:paraId="419A9D8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w:t>
            </w:r>
          </w:p>
        </w:tc>
        <w:tc>
          <w:tcPr>
            <w:tcW w:w="1303" w:type="dxa"/>
            <w:tcBorders>
              <w:top w:val="single" w:color="auto" w:sz="6" w:space="0"/>
              <w:left w:val="single" w:color="auto" w:sz="6" w:space="0"/>
              <w:bottom w:val="single" w:color="auto" w:sz="6" w:space="0"/>
              <w:right w:val="single" w:color="auto" w:sz="6" w:space="0"/>
            </w:tcBorders>
            <w:noWrap w:val="0"/>
            <w:vAlign w:val="center"/>
          </w:tcPr>
          <w:p w14:paraId="11C75409">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黄经理</w:t>
            </w:r>
          </w:p>
        </w:tc>
        <w:tc>
          <w:tcPr>
            <w:tcW w:w="2539" w:type="dxa"/>
            <w:tcBorders>
              <w:top w:val="single" w:color="auto" w:sz="6" w:space="0"/>
              <w:left w:val="single" w:color="auto" w:sz="6" w:space="0"/>
              <w:bottom w:val="single" w:color="auto" w:sz="6" w:space="0"/>
              <w:right w:val="single" w:color="auto" w:sz="6" w:space="0"/>
            </w:tcBorders>
            <w:noWrap w:val="0"/>
            <w:vAlign w:val="center"/>
          </w:tcPr>
          <w:p w14:paraId="32586C38">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欢迎报价人对项目采购过程中公告发布、采购文件购买、磋商保证金缴交和退还、</w:t>
            </w:r>
            <w:r>
              <w:rPr>
                <w:rFonts w:hint="eastAsia" w:ascii="宋体" w:hAnsi="宋体" w:eastAsia="宋体" w:cs="宋体"/>
                <w:b/>
                <w:color w:val="auto"/>
                <w:sz w:val="24"/>
                <w:szCs w:val="24"/>
                <w:highlight w:val="none"/>
                <w:lang w:eastAsia="zh-CN"/>
              </w:rPr>
              <w:t>代理服务费</w:t>
            </w:r>
            <w:r>
              <w:rPr>
                <w:rFonts w:hint="eastAsia" w:ascii="宋体" w:hAnsi="宋体" w:eastAsia="宋体" w:cs="宋体"/>
                <w:b/>
                <w:color w:val="auto"/>
                <w:sz w:val="24"/>
                <w:szCs w:val="24"/>
                <w:highlight w:val="none"/>
              </w:rPr>
              <w:t>收取、成交通知书发放等环节的服务进行监督。我们将竭诚为您提供最优质的服务。</w:t>
            </w:r>
          </w:p>
        </w:tc>
        <w:tc>
          <w:tcPr>
            <w:tcW w:w="2773" w:type="dxa"/>
            <w:tcBorders>
              <w:top w:val="single" w:color="auto" w:sz="6" w:space="0"/>
              <w:left w:val="single" w:color="auto" w:sz="6" w:space="0"/>
              <w:bottom w:val="single" w:color="auto" w:sz="6" w:space="0"/>
              <w:right w:val="double" w:color="auto" w:sz="4" w:space="0"/>
            </w:tcBorders>
            <w:noWrap w:val="0"/>
            <w:vAlign w:val="center"/>
          </w:tcPr>
          <w:p w14:paraId="67CD6D49">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0592-5705656</w:t>
            </w:r>
          </w:p>
        </w:tc>
      </w:tr>
      <w:tr w14:paraId="2CE67C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68" w:type="dxa"/>
            <w:tcBorders>
              <w:top w:val="single" w:color="auto" w:sz="6" w:space="0"/>
              <w:left w:val="double" w:color="auto" w:sz="4" w:space="0"/>
              <w:bottom w:val="single" w:color="auto" w:sz="6" w:space="0"/>
              <w:right w:val="single" w:color="auto" w:sz="6" w:space="0"/>
            </w:tcBorders>
            <w:noWrap w:val="0"/>
            <w:vAlign w:val="center"/>
          </w:tcPr>
          <w:p w14:paraId="17AA789B">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458" w:type="dxa"/>
            <w:tcBorders>
              <w:top w:val="single" w:color="auto" w:sz="6" w:space="0"/>
              <w:left w:val="single" w:color="auto" w:sz="6" w:space="0"/>
              <w:bottom w:val="single" w:color="auto" w:sz="6" w:space="0"/>
              <w:right w:val="single" w:color="auto" w:sz="6" w:space="0"/>
            </w:tcBorders>
            <w:noWrap w:val="0"/>
            <w:vAlign w:val="center"/>
          </w:tcPr>
          <w:p w14:paraId="3B84041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w:t>
            </w:r>
          </w:p>
        </w:tc>
        <w:tc>
          <w:tcPr>
            <w:tcW w:w="1303" w:type="dxa"/>
            <w:tcBorders>
              <w:top w:val="single" w:color="auto" w:sz="6" w:space="0"/>
              <w:left w:val="single" w:color="auto" w:sz="6" w:space="0"/>
              <w:bottom w:val="single" w:color="auto" w:sz="6" w:space="0"/>
              <w:right w:val="single" w:color="auto" w:sz="6" w:space="0"/>
            </w:tcBorders>
            <w:noWrap w:val="0"/>
            <w:vAlign w:val="center"/>
          </w:tcPr>
          <w:p w14:paraId="3D8EFAD7">
            <w:pPr>
              <w:spacing w:line="36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刘经理</w:t>
            </w:r>
          </w:p>
        </w:tc>
        <w:tc>
          <w:tcPr>
            <w:tcW w:w="2539" w:type="dxa"/>
            <w:tcBorders>
              <w:top w:val="single" w:color="auto" w:sz="6" w:space="0"/>
              <w:left w:val="single" w:color="auto" w:sz="6" w:space="0"/>
              <w:bottom w:val="single" w:color="auto" w:sz="6" w:space="0"/>
              <w:right w:val="single" w:color="auto" w:sz="6" w:space="0"/>
            </w:tcBorders>
            <w:noWrap w:val="0"/>
            <w:vAlign w:val="center"/>
          </w:tcPr>
          <w:p w14:paraId="4549DCA9">
            <w:pPr>
              <w:spacing w:line="360" w:lineRule="auto"/>
              <w:rPr>
                <w:rFonts w:hint="eastAsia" w:ascii="宋体" w:hAnsi="宋体" w:eastAsia="宋体" w:cs="宋体"/>
                <w:b/>
                <w:color w:val="auto"/>
                <w:sz w:val="24"/>
                <w:szCs w:val="24"/>
                <w:highlight w:val="none"/>
              </w:rPr>
            </w:pPr>
            <w:r>
              <w:rPr>
                <w:rFonts w:hint="eastAsia" w:ascii="宋体" w:hAnsi="宋体" w:cs="宋体"/>
                <w:color w:val="auto"/>
                <w:kern w:val="0"/>
                <w:sz w:val="24"/>
                <w:szCs w:val="24"/>
                <w:highlight w:val="none"/>
              </w:rPr>
              <w:t>负责接收质疑</w:t>
            </w:r>
          </w:p>
        </w:tc>
        <w:tc>
          <w:tcPr>
            <w:tcW w:w="2773" w:type="dxa"/>
            <w:tcBorders>
              <w:top w:val="single" w:color="auto" w:sz="6" w:space="0"/>
              <w:left w:val="single" w:color="auto" w:sz="6" w:space="0"/>
              <w:bottom w:val="single" w:color="auto" w:sz="6" w:space="0"/>
              <w:right w:val="double" w:color="auto" w:sz="4" w:space="0"/>
            </w:tcBorders>
            <w:noWrap w:val="0"/>
            <w:vAlign w:val="center"/>
          </w:tcPr>
          <w:p w14:paraId="6397ED9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电话0592-2218761</w:t>
            </w:r>
          </w:p>
          <w:p w14:paraId="55E36C0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传真0592-5706660-6969</w:t>
            </w:r>
          </w:p>
          <w:p w14:paraId="14A0F56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邮箱lmf@iport.com.cn</w:t>
            </w:r>
          </w:p>
          <w:p w14:paraId="5A4B3971">
            <w:pPr>
              <w:spacing w:line="360" w:lineRule="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rPr>
              <w:t>通讯地址：厦门市湖里区机场北路476号4楼</w:t>
            </w:r>
          </w:p>
        </w:tc>
      </w:tr>
      <w:tr w14:paraId="2B5DF7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68" w:type="dxa"/>
            <w:tcBorders>
              <w:top w:val="single" w:color="auto" w:sz="6" w:space="0"/>
              <w:left w:val="double" w:color="auto" w:sz="4" w:space="0"/>
              <w:bottom w:val="double" w:color="auto" w:sz="4" w:space="0"/>
              <w:right w:val="single" w:color="auto" w:sz="6" w:space="0"/>
            </w:tcBorders>
            <w:noWrap w:val="0"/>
            <w:vAlign w:val="center"/>
          </w:tcPr>
          <w:p w14:paraId="29CED0DB">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458" w:type="dxa"/>
            <w:tcBorders>
              <w:top w:val="single" w:color="auto" w:sz="6" w:space="0"/>
              <w:left w:val="single" w:color="auto" w:sz="6" w:space="0"/>
              <w:bottom w:val="double" w:color="auto" w:sz="4" w:space="0"/>
              <w:right w:val="single" w:color="auto" w:sz="6" w:space="0"/>
            </w:tcBorders>
            <w:noWrap w:val="0"/>
            <w:vAlign w:val="center"/>
          </w:tcPr>
          <w:p w14:paraId="20B8064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售标</w:t>
            </w:r>
          </w:p>
        </w:tc>
        <w:tc>
          <w:tcPr>
            <w:tcW w:w="1303" w:type="dxa"/>
            <w:tcBorders>
              <w:top w:val="single" w:color="auto" w:sz="6" w:space="0"/>
              <w:left w:val="single" w:color="auto" w:sz="6" w:space="0"/>
              <w:bottom w:val="double" w:color="auto" w:sz="4" w:space="0"/>
              <w:right w:val="single" w:color="auto" w:sz="6" w:space="0"/>
            </w:tcBorders>
            <w:noWrap w:val="0"/>
            <w:vAlign w:val="center"/>
          </w:tcPr>
          <w:p w14:paraId="60E3A802">
            <w:pPr>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sz w:val="24"/>
                <w:szCs w:val="24"/>
                <w:highlight w:val="none"/>
                <w:lang w:eastAsia="zh-CN"/>
              </w:rPr>
              <w:t>蒋小姐</w:t>
            </w:r>
          </w:p>
        </w:tc>
        <w:tc>
          <w:tcPr>
            <w:tcW w:w="2539" w:type="dxa"/>
            <w:tcBorders>
              <w:top w:val="single" w:color="auto" w:sz="6" w:space="0"/>
              <w:left w:val="single" w:color="auto" w:sz="6" w:space="0"/>
              <w:bottom w:val="double" w:color="auto" w:sz="4" w:space="0"/>
              <w:right w:val="single" w:color="auto" w:sz="6" w:space="0"/>
            </w:tcBorders>
            <w:noWrap w:val="0"/>
            <w:vAlign w:val="center"/>
          </w:tcPr>
          <w:p w14:paraId="599C5DE3">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负责受理采购文件出售（邮寄）</w:t>
            </w:r>
          </w:p>
        </w:tc>
        <w:tc>
          <w:tcPr>
            <w:tcW w:w="2773" w:type="dxa"/>
            <w:tcBorders>
              <w:top w:val="single" w:color="auto" w:sz="6" w:space="0"/>
              <w:left w:val="single" w:color="auto" w:sz="6" w:space="0"/>
              <w:bottom w:val="double" w:color="auto" w:sz="4" w:space="0"/>
              <w:right w:val="double" w:color="auto" w:sz="4" w:space="0"/>
            </w:tcBorders>
            <w:noWrap w:val="0"/>
            <w:vAlign w:val="center"/>
          </w:tcPr>
          <w:p w14:paraId="3D01907A">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0592-2219823</w:t>
            </w:r>
          </w:p>
          <w:p w14:paraId="528B38B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传真0592-5706660-6969</w:t>
            </w:r>
          </w:p>
        </w:tc>
      </w:tr>
    </w:tbl>
    <w:p w14:paraId="3BE39D96">
      <w:pPr>
        <w:tabs>
          <w:tab w:val="left" w:pos="1140"/>
        </w:tabs>
        <w:spacing w:line="360" w:lineRule="auto"/>
        <w:ind w:left="4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、文件费缴交账户：</w:t>
      </w:r>
    </w:p>
    <w:tbl>
      <w:tblPr>
        <w:tblStyle w:val="13"/>
        <w:tblW w:w="87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49"/>
        <w:gridCol w:w="7270"/>
      </w:tblGrid>
      <w:tr w14:paraId="35CDF6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1449" w:type="dxa"/>
            <w:tcBorders>
              <w:top w:val="double" w:color="auto" w:sz="4" w:space="0"/>
              <w:left w:val="double" w:color="auto" w:sz="4" w:space="0"/>
              <w:bottom w:val="single" w:color="auto" w:sz="6" w:space="0"/>
              <w:right w:val="single" w:color="auto" w:sz="6" w:space="0"/>
            </w:tcBorders>
            <w:noWrap w:val="0"/>
            <w:vAlign w:val="center"/>
          </w:tcPr>
          <w:p w14:paraId="0505EE22">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类   别</w:t>
            </w:r>
          </w:p>
        </w:tc>
        <w:tc>
          <w:tcPr>
            <w:tcW w:w="7270" w:type="dxa"/>
            <w:tcBorders>
              <w:top w:val="double" w:color="auto" w:sz="4" w:space="0"/>
              <w:left w:val="single" w:color="auto" w:sz="6" w:space="0"/>
              <w:bottom w:val="single" w:color="auto" w:sz="6" w:space="0"/>
              <w:right w:val="double" w:color="auto" w:sz="4" w:space="0"/>
            </w:tcBorders>
            <w:noWrap w:val="0"/>
            <w:vAlign w:val="center"/>
          </w:tcPr>
          <w:p w14:paraId="62517970">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文件费、</w:t>
            </w:r>
            <w:r>
              <w:rPr>
                <w:rFonts w:hint="eastAsia" w:ascii="宋体" w:hAnsi="宋体" w:eastAsia="宋体" w:cs="宋体"/>
                <w:b/>
                <w:color w:val="auto"/>
                <w:sz w:val="24"/>
                <w:szCs w:val="24"/>
                <w:highlight w:val="none"/>
                <w:lang w:eastAsia="zh-CN"/>
              </w:rPr>
              <w:t>代理服务费</w:t>
            </w:r>
            <w:r>
              <w:rPr>
                <w:rFonts w:hint="eastAsia" w:ascii="宋体" w:hAnsi="宋体" w:eastAsia="宋体" w:cs="宋体"/>
                <w:b/>
                <w:color w:val="auto"/>
                <w:sz w:val="24"/>
                <w:szCs w:val="24"/>
                <w:highlight w:val="none"/>
              </w:rPr>
              <w:t>缴交账户</w:t>
            </w:r>
          </w:p>
        </w:tc>
      </w:tr>
      <w:tr w14:paraId="7C909A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449" w:type="dxa"/>
            <w:tcBorders>
              <w:top w:val="single" w:color="auto" w:sz="6" w:space="0"/>
              <w:left w:val="double" w:color="auto" w:sz="4" w:space="0"/>
              <w:bottom w:val="single" w:color="auto" w:sz="6" w:space="0"/>
              <w:right w:val="single" w:color="auto" w:sz="6" w:space="0"/>
            </w:tcBorders>
            <w:noWrap w:val="0"/>
            <w:vAlign w:val="center"/>
          </w:tcPr>
          <w:p w14:paraId="6DBF47D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行</w:t>
            </w:r>
          </w:p>
        </w:tc>
        <w:tc>
          <w:tcPr>
            <w:tcW w:w="7270" w:type="dxa"/>
            <w:tcBorders>
              <w:top w:val="single" w:color="auto" w:sz="6" w:space="0"/>
              <w:left w:val="single" w:color="auto" w:sz="6" w:space="0"/>
              <w:bottom w:val="single" w:color="auto" w:sz="6" w:space="0"/>
              <w:right w:val="double" w:color="auto" w:sz="4" w:space="0"/>
            </w:tcBorders>
            <w:noWrap w:val="0"/>
            <w:vAlign w:val="center"/>
          </w:tcPr>
          <w:p w14:paraId="3C16220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中国建设银行股份有限公司厦门自贸试验区航空港支行</w:t>
            </w:r>
          </w:p>
        </w:tc>
      </w:tr>
      <w:tr w14:paraId="0BC060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449" w:type="dxa"/>
            <w:tcBorders>
              <w:top w:val="single" w:color="auto" w:sz="6" w:space="0"/>
              <w:left w:val="double" w:color="auto" w:sz="4" w:space="0"/>
              <w:bottom w:val="single" w:color="auto" w:sz="6" w:space="0"/>
              <w:right w:val="single" w:color="auto" w:sz="6" w:space="0"/>
            </w:tcBorders>
            <w:noWrap w:val="0"/>
            <w:vAlign w:val="center"/>
          </w:tcPr>
          <w:p w14:paraId="2A96953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p>
        </w:tc>
        <w:tc>
          <w:tcPr>
            <w:tcW w:w="7270" w:type="dxa"/>
            <w:tcBorders>
              <w:top w:val="single" w:color="auto" w:sz="6" w:space="0"/>
              <w:left w:val="single" w:color="auto" w:sz="6" w:space="0"/>
              <w:bottom w:val="single" w:color="auto" w:sz="6" w:space="0"/>
              <w:right w:val="double" w:color="auto" w:sz="4" w:space="0"/>
            </w:tcBorders>
            <w:noWrap w:val="0"/>
            <w:vAlign w:val="center"/>
          </w:tcPr>
          <w:p w14:paraId="56B6570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35101570201052504219</w:t>
            </w:r>
          </w:p>
        </w:tc>
      </w:tr>
      <w:tr w14:paraId="29CA75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1449" w:type="dxa"/>
            <w:tcBorders>
              <w:top w:val="single" w:color="auto" w:sz="6" w:space="0"/>
              <w:left w:val="double" w:color="auto" w:sz="4" w:space="0"/>
              <w:bottom w:val="double" w:color="auto" w:sz="4" w:space="0"/>
              <w:right w:val="single" w:color="auto" w:sz="6" w:space="0"/>
            </w:tcBorders>
            <w:noWrap w:val="0"/>
            <w:vAlign w:val="center"/>
          </w:tcPr>
          <w:p w14:paraId="046F054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户名</w:t>
            </w:r>
          </w:p>
        </w:tc>
        <w:tc>
          <w:tcPr>
            <w:tcW w:w="7270" w:type="dxa"/>
            <w:tcBorders>
              <w:top w:val="single" w:color="auto" w:sz="6" w:space="0"/>
              <w:left w:val="single" w:color="auto" w:sz="6" w:space="0"/>
              <w:bottom w:val="double" w:color="auto" w:sz="4" w:space="0"/>
              <w:right w:val="double" w:color="auto" w:sz="4" w:space="0"/>
            </w:tcBorders>
            <w:noWrap w:val="0"/>
            <w:vAlign w:val="center"/>
          </w:tcPr>
          <w:p w14:paraId="0EA2D6A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厦门万翔招标有限公司</w:t>
            </w:r>
          </w:p>
        </w:tc>
      </w:tr>
    </w:tbl>
    <w:p w14:paraId="4BF0C4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注：报价人须将相关的费用缴交至上表对应的账号，缴错账号而产生的一切后果由报价人自行承担。</w:t>
      </w:r>
    </w:p>
    <w:p w14:paraId="3088D4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szCs w:val="24"/>
          <w:highlight w:val="none"/>
          <w:lang w:val="en-US" w:eastAsia="zh-CN"/>
        </w:rPr>
      </w:pPr>
      <w:bookmarkStart w:id="9" w:name="_Toc14666"/>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注意事项：</w:t>
      </w:r>
      <w:bookmarkEnd w:id="9"/>
    </w:p>
    <w:p w14:paraId="6A98E5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（1）有意向的潜在</w:t>
      </w:r>
      <w:r>
        <w:rPr>
          <w:rFonts w:hint="eastAsia" w:ascii="宋体" w:hAnsi="宋体" w:cs="宋体"/>
          <w:color w:val="auto"/>
          <w:sz w:val="24"/>
          <w:szCs w:val="24"/>
          <w:highlight w:val="none"/>
          <w:lang w:val="en-US" w:eastAsia="zh-CN"/>
        </w:rPr>
        <w:t>报价人</w:t>
      </w:r>
      <w:r>
        <w:rPr>
          <w:rFonts w:hint="default" w:ascii="宋体" w:hAnsi="宋体" w:cs="宋体"/>
          <w:color w:val="auto"/>
          <w:sz w:val="24"/>
          <w:szCs w:val="24"/>
          <w:highlight w:val="none"/>
          <w:lang w:val="en-US" w:eastAsia="zh-CN"/>
        </w:rPr>
        <w:t>发邮件至wxsb@iport.com.cn索取</w:t>
      </w:r>
      <w:r>
        <w:rPr>
          <w:rFonts w:hint="eastAsia" w:ascii="宋体" w:hAnsi="宋体" w:cs="宋体"/>
          <w:color w:val="auto"/>
          <w:sz w:val="24"/>
          <w:szCs w:val="24"/>
          <w:highlight w:val="none"/>
          <w:lang w:val="en-US" w:eastAsia="zh-CN"/>
        </w:rPr>
        <w:t>采购文件</w:t>
      </w:r>
      <w:r>
        <w:rPr>
          <w:rFonts w:hint="default" w:ascii="宋体" w:hAnsi="宋体" w:cs="宋体"/>
          <w:color w:val="auto"/>
          <w:sz w:val="24"/>
          <w:szCs w:val="24"/>
          <w:highlight w:val="none"/>
          <w:lang w:val="en-US" w:eastAsia="zh-CN"/>
        </w:rPr>
        <w:t>购买登记表。</w:t>
      </w:r>
    </w:p>
    <w:p w14:paraId="0CF9C5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（2）建议采用电汇或网银购买</w:t>
      </w:r>
      <w:r>
        <w:rPr>
          <w:rFonts w:hint="eastAsia" w:ascii="宋体" w:hAnsi="宋体" w:cs="宋体"/>
          <w:color w:val="auto"/>
          <w:sz w:val="24"/>
          <w:szCs w:val="24"/>
          <w:highlight w:val="none"/>
          <w:lang w:val="en-US" w:eastAsia="zh-CN"/>
        </w:rPr>
        <w:t>采购文件</w:t>
      </w:r>
      <w:r>
        <w:rPr>
          <w:rFonts w:hint="default" w:ascii="宋体" w:hAnsi="宋体" w:cs="宋体"/>
          <w:color w:val="auto"/>
          <w:sz w:val="24"/>
          <w:szCs w:val="24"/>
          <w:highlight w:val="none"/>
          <w:lang w:val="en-US" w:eastAsia="zh-CN"/>
        </w:rPr>
        <w:t>，请</w:t>
      </w:r>
      <w:r>
        <w:rPr>
          <w:rFonts w:hint="eastAsia" w:ascii="宋体" w:hAnsi="宋体" w:cs="宋体"/>
          <w:color w:val="auto"/>
          <w:sz w:val="24"/>
          <w:szCs w:val="24"/>
          <w:highlight w:val="none"/>
          <w:lang w:val="en-US" w:eastAsia="zh-CN"/>
        </w:rPr>
        <w:t>报价</w:t>
      </w:r>
      <w:r>
        <w:rPr>
          <w:rFonts w:hint="default" w:ascii="宋体" w:hAnsi="宋体" w:cs="宋体"/>
          <w:color w:val="auto"/>
          <w:sz w:val="24"/>
          <w:szCs w:val="24"/>
          <w:highlight w:val="none"/>
          <w:lang w:val="en-US" w:eastAsia="zh-CN"/>
        </w:rPr>
        <w:t>付款时务必注明“</w:t>
      </w:r>
      <w:r>
        <w:rPr>
          <w:rFonts w:hint="eastAsia" w:ascii="宋体" w:hAnsi="宋体" w:cs="宋体"/>
          <w:color w:val="auto"/>
          <w:sz w:val="24"/>
          <w:szCs w:val="24"/>
          <w:highlight w:val="none"/>
          <w:lang w:val="en-US" w:eastAsia="zh-CN"/>
        </w:rPr>
        <w:t>项目</w:t>
      </w:r>
      <w:r>
        <w:rPr>
          <w:rFonts w:hint="default" w:ascii="宋体" w:hAnsi="宋体" w:cs="宋体"/>
          <w:color w:val="auto"/>
          <w:sz w:val="24"/>
          <w:szCs w:val="24"/>
          <w:highlight w:val="none"/>
          <w:lang w:val="en-US" w:eastAsia="zh-CN"/>
        </w:rPr>
        <w:t>编号+用途”（比如：</w:t>
      </w:r>
      <w:r>
        <w:rPr>
          <w:rFonts w:hint="eastAsia" w:ascii="宋体" w:hAnsi="宋体" w:cs="宋体"/>
          <w:color w:val="auto"/>
          <w:sz w:val="24"/>
          <w:szCs w:val="24"/>
          <w:highlight w:val="none"/>
          <w:lang w:val="en-US" w:eastAsia="zh-CN"/>
        </w:rPr>
        <w:t>XM2025-TZ5181</w:t>
      </w:r>
      <w:r>
        <w:rPr>
          <w:rFonts w:hint="default" w:ascii="宋体" w:hAnsi="宋体" w:cs="宋体"/>
          <w:color w:val="auto"/>
          <w:sz w:val="24"/>
          <w:szCs w:val="24"/>
          <w:highlight w:val="none"/>
          <w:lang w:val="en-US" w:eastAsia="zh-CN"/>
        </w:rPr>
        <w:t>文件费）。</w:t>
      </w:r>
    </w:p>
    <w:p w14:paraId="14ADDC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（3）潜在</w:t>
      </w:r>
      <w:r>
        <w:rPr>
          <w:rFonts w:hint="eastAsia" w:ascii="宋体" w:hAnsi="宋体" w:cs="宋体"/>
          <w:color w:val="auto"/>
          <w:sz w:val="24"/>
          <w:szCs w:val="24"/>
          <w:highlight w:val="none"/>
          <w:lang w:val="en-US" w:eastAsia="zh-CN"/>
        </w:rPr>
        <w:t>报价</w:t>
      </w:r>
      <w:r>
        <w:rPr>
          <w:rFonts w:hint="default" w:ascii="宋体" w:hAnsi="宋体" w:cs="宋体"/>
          <w:color w:val="auto"/>
          <w:sz w:val="24"/>
          <w:szCs w:val="24"/>
          <w:highlight w:val="none"/>
          <w:lang w:val="en-US" w:eastAsia="zh-CN"/>
        </w:rPr>
        <w:t>填好购买登记表后将加盖公章的文件购买登记表扫描件及文件购买付款凭证发至wxsb@iport.com.cn进行购买登记，收到登记资料后发送</w:t>
      </w:r>
      <w:r>
        <w:rPr>
          <w:rFonts w:hint="eastAsia" w:ascii="宋体" w:hAnsi="宋体" w:cs="宋体"/>
          <w:color w:val="auto"/>
          <w:sz w:val="24"/>
          <w:szCs w:val="24"/>
          <w:highlight w:val="none"/>
          <w:lang w:val="en-US" w:eastAsia="zh-CN"/>
        </w:rPr>
        <w:t>采购文件</w:t>
      </w:r>
      <w:r>
        <w:rPr>
          <w:rFonts w:hint="default" w:ascii="宋体" w:hAnsi="宋体" w:cs="宋体"/>
          <w:color w:val="auto"/>
          <w:sz w:val="24"/>
          <w:szCs w:val="24"/>
          <w:highlight w:val="none"/>
          <w:lang w:val="en-US" w:eastAsia="zh-CN"/>
        </w:rPr>
        <w:t>电子版，如需纸质版，</w:t>
      </w:r>
      <w:r>
        <w:rPr>
          <w:rFonts w:hint="eastAsia" w:ascii="宋体" w:hAnsi="宋体" w:cs="宋体"/>
          <w:color w:val="auto"/>
          <w:sz w:val="24"/>
          <w:szCs w:val="24"/>
          <w:highlight w:val="none"/>
          <w:lang w:val="en-US" w:eastAsia="zh-CN"/>
        </w:rPr>
        <w:t>采购代理机构</w:t>
      </w:r>
      <w:r>
        <w:rPr>
          <w:rFonts w:hint="default" w:ascii="宋体" w:hAnsi="宋体" w:cs="宋体"/>
          <w:color w:val="auto"/>
          <w:sz w:val="24"/>
          <w:szCs w:val="24"/>
          <w:highlight w:val="none"/>
          <w:lang w:val="en-US" w:eastAsia="zh-CN"/>
        </w:rPr>
        <w:t>可以邮寄，邮费需到付。</w:t>
      </w:r>
    </w:p>
    <w:p w14:paraId="53FFC4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（4）文件费及项目</w:t>
      </w:r>
      <w:r>
        <w:rPr>
          <w:rFonts w:hint="eastAsia" w:ascii="宋体" w:hAnsi="宋体" w:cs="宋体"/>
          <w:color w:val="auto"/>
          <w:sz w:val="24"/>
          <w:szCs w:val="24"/>
          <w:highlight w:val="none"/>
          <w:lang w:val="en-US" w:eastAsia="zh-CN"/>
        </w:rPr>
        <w:t>成交</w:t>
      </w:r>
      <w:r>
        <w:rPr>
          <w:rFonts w:hint="default" w:ascii="宋体" w:hAnsi="宋体" w:cs="宋体"/>
          <w:color w:val="auto"/>
          <w:sz w:val="24"/>
          <w:szCs w:val="24"/>
          <w:highlight w:val="none"/>
          <w:lang w:val="en-US" w:eastAsia="zh-CN"/>
        </w:rPr>
        <w:t>供应商服务费等发票均以邮件方式发送至购标指定邮箱。</w:t>
      </w:r>
    </w:p>
    <w:p w14:paraId="695F25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采购代理机构：厦门万翔招标有限公司</w:t>
      </w:r>
    </w:p>
    <w:p w14:paraId="025A4C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地址：厦门市湖里区机场北路476号四楼</w:t>
      </w:r>
    </w:p>
    <w:p w14:paraId="6F0326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邮编：361006</w:t>
      </w:r>
    </w:p>
    <w:p w14:paraId="6998C9C5">
      <w:pPr>
        <w:numPr>
          <w:ilvl w:val="0"/>
          <w:numId w:val="0"/>
        </w:numPr>
        <w:spacing w:line="360" w:lineRule="auto"/>
        <w:ind w:firstLine="0" w:firstLineChars="0"/>
        <w:rPr>
          <w:rFonts w:hint="default" w:ascii="宋体" w:hAnsi="宋体" w:cs="宋体"/>
          <w:color w:val="auto"/>
          <w:sz w:val="24"/>
          <w:szCs w:val="24"/>
          <w:highlight w:val="none"/>
          <w:lang w:val="en-US" w:eastAsia="zh-CN"/>
        </w:rPr>
      </w:pPr>
    </w:p>
    <w:p w14:paraId="704A2416">
      <w:pPr>
        <w:pStyle w:val="5"/>
        <w:spacing w:after="0" w:line="360" w:lineRule="auto"/>
        <w:ind w:right="600"/>
        <w:jc w:val="right"/>
        <w:rPr>
          <w:rFonts w:hint="eastAsia" w:ascii="宋体" w:hAnsi="宋体" w:eastAsia="宋体" w:cs="宋体"/>
          <w:color w:val="auto"/>
          <w:sz w:val="24"/>
          <w:szCs w:val="24"/>
          <w:highlight w:val="none"/>
          <w:lang w:eastAsia="zh-CN"/>
        </w:rPr>
        <w:sectPr>
          <w:pgSz w:w="11906" w:h="16838"/>
          <w:pgMar w:top="1440" w:right="1800" w:bottom="1440" w:left="1800" w:header="851" w:footer="992" w:gutter="0"/>
          <w:cols w:space="720" w:num="1"/>
          <w:docGrid w:type="lines" w:linePitch="312" w:charSpace="0"/>
        </w:sectPr>
      </w:pPr>
    </w:p>
    <w:p w14:paraId="0252BCA1">
      <w:p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8"/>
          <w:szCs w:val="28"/>
          <w:highlight w:val="none"/>
        </w:rPr>
        <w:t>附：采购服务一览表</w:t>
      </w:r>
    </w:p>
    <w:tbl>
      <w:tblPr>
        <w:tblStyle w:val="13"/>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033"/>
        <w:gridCol w:w="1737"/>
        <w:gridCol w:w="704"/>
        <w:gridCol w:w="1426"/>
        <w:gridCol w:w="1454"/>
        <w:gridCol w:w="1179"/>
      </w:tblGrid>
      <w:tr w14:paraId="4D6D2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5" w:type="dxa"/>
            <w:noWrap w:val="0"/>
            <w:vAlign w:val="center"/>
          </w:tcPr>
          <w:p w14:paraId="42553AA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w:t>
            </w:r>
          </w:p>
        </w:tc>
        <w:tc>
          <w:tcPr>
            <w:tcW w:w="1033" w:type="dxa"/>
            <w:noWrap w:val="0"/>
            <w:vAlign w:val="center"/>
          </w:tcPr>
          <w:p w14:paraId="76C9F23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品目号</w:t>
            </w:r>
          </w:p>
        </w:tc>
        <w:tc>
          <w:tcPr>
            <w:tcW w:w="1737" w:type="dxa"/>
            <w:noWrap w:val="0"/>
            <w:vAlign w:val="center"/>
          </w:tcPr>
          <w:p w14:paraId="4495677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704" w:type="dxa"/>
            <w:noWrap w:val="0"/>
            <w:vAlign w:val="center"/>
          </w:tcPr>
          <w:p w14:paraId="57B4372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426" w:type="dxa"/>
            <w:noWrap w:val="0"/>
            <w:vAlign w:val="center"/>
          </w:tcPr>
          <w:p w14:paraId="0E1E6E1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技术规格及要求(服务要求)</w:t>
            </w:r>
          </w:p>
        </w:tc>
        <w:tc>
          <w:tcPr>
            <w:tcW w:w="1454" w:type="dxa"/>
            <w:noWrap w:val="0"/>
            <w:vAlign w:val="center"/>
          </w:tcPr>
          <w:p w14:paraId="50EC0C47">
            <w:pPr>
              <w:spacing w:line="360" w:lineRule="auto"/>
              <w:ind w:firstLine="240" w:firstLine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1179" w:type="dxa"/>
            <w:noWrap w:val="0"/>
            <w:vAlign w:val="center"/>
          </w:tcPr>
          <w:p w14:paraId="57B16BB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交付使用地点</w:t>
            </w:r>
          </w:p>
        </w:tc>
      </w:tr>
      <w:tr w14:paraId="6390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1125" w:type="dxa"/>
            <w:noWrap w:val="0"/>
            <w:vAlign w:val="center"/>
          </w:tcPr>
          <w:p w14:paraId="18A6EBB0">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XM2025-TZ5181</w:t>
            </w:r>
          </w:p>
        </w:tc>
        <w:tc>
          <w:tcPr>
            <w:tcW w:w="1033" w:type="dxa"/>
            <w:noWrap w:val="0"/>
            <w:vAlign w:val="center"/>
          </w:tcPr>
          <w:p w14:paraId="5758352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737" w:type="dxa"/>
            <w:noWrap w:val="0"/>
            <w:vAlign w:val="center"/>
          </w:tcPr>
          <w:p w14:paraId="6357587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厦门市总工会2025年下半年工会专干和集体协商指导员招聘考务服务机构采购</w:t>
            </w:r>
          </w:p>
        </w:tc>
        <w:tc>
          <w:tcPr>
            <w:tcW w:w="704" w:type="dxa"/>
            <w:noWrap w:val="0"/>
            <w:vAlign w:val="center"/>
          </w:tcPr>
          <w:p w14:paraId="0D734C65">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w:t>
            </w:r>
          </w:p>
        </w:tc>
        <w:tc>
          <w:tcPr>
            <w:tcW w:w="1426" w:type="dxa"/>
            <w:noWrap w:val="0"/>
            <w:vAlign w:val="center"/>
          </w:tcPr>
          <w:p w14:paraId="538029C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具体详见第三章</w:t>
            </w:r>
          </w:p>
        </w:tc>
        <w:tc>
          <w:tcPr>
            <w:tcW w:w="1454" w:type="dxa"/>
            <w:noWrap w:val="0"/>
            <w:vAlign w:val="center"/>
          </w:tcPr>
          <w:p w14:paraId="1B375BD0">
            <w:pPr>
              <w:spacing w:line="360" w:lineRule="auto"/>
              <w:ind w:right="171"/>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具体详见第三章</w:t>
            </w:r>
          </w:p>
        </w:tc>
        <w:tc>
          <w:tcPr>
            <w:tcW w:w="1179" w:type="dxa"/>
            <w:noWrap w:val="0"/>
            <w:vAlign w:val="center"/>
          </w:tcPr>
          <w:p w14:paraId="1CA6FD92">
            <w:pPr>
              <w:spacing w:line="360" w:lineRule="auto"/>
              <w:ind w:right="17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采购人指定地点</w:t>
            </w:r>
          </w:p>
        </w:tc>
      </w:tr>
    </w:tbl>
    <w:p w14:paraId="35F7C0D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备注：合同包完整不可分，报价人必须对合同包内所有内容进行完整报价。报价人可按合同包响应，评审与成交以合同包为单位。</w:t>
      </w:r>
    </w:p>
    <w:p w14:paraId="345135EB">
      <w:pPr>
        <w:spacing w:line="360" w:lineRule="auto"/>
        <w:jc w:val="center"/>
        <w:outlineLvl w:val="9"/>
        <w:rPr>
          <w:rFonts w:hint="eastAsia" w:ascii="宋体" w:hAnsi="宋体" w:eastAsia="宋体" w:cs="宋体"/>
          <w:b/>
          <w:bCs/>
          <w:color w:val="auto"/>
          <w:sz w:val="24"/>
          <w:szCs w:val="24"/>
          <w:highlight w:val="none"/>
        </w:rPr>
      </w:pPr>
    </w:p>
    <w:p w14:paraId="0C536329">
      <w:pPr>
        <w:spacing w:line="360" w:lineRule="auto"/>
        <w:jc w:val="center"/>
        <w:outlineLvl w:val="9"/>
        <w:rPr>
          <w:rFonts w:hint="eastAsia" w:ascii="宋体" w:hAnsi="宋体" w:eastAsia="宋体" w:cs="宋体"/>
          <w:b/>
          <w:bCs/>
          <w:color w:val="auto"/>
          <w:sz w:val="24"/>
          <w:szCs w:val="24"/>
          <w:highlight w:val="none"/>
        </w:rPr>
      </w:pPr>
    </w:p>
    <w:p w14:paraId="2D4ED2B4">
      <w:pPr>
        <w:spacing w:line="360" w:lineRule="auto"/>
        <w:jc w:val="center"/>
        <w:outlineLvl w:val="9"/>
        <w:rPr>
          <w:rFonts w:hint="eastAsia" w:ascii="宋体" w:hAnsi="宋体" w:eastAsia="宋体" w:cs="宋体"/>
          <w:b/>
          <w:bCs/>
          <w:color w:val="auto"/>
          <w:sz w:val="24"/>
          <w:szCs w:val="24"/>
          <w:highlight w:val="none"/>
        </w:rPr>
      </w:pPr>
    </w:p>
    <w:p w14:paraId="7B6C6E5F">
      <w:pPr>
        <w:spacing w:line="360" w:lineRule="auto"/>
        <w:jc w:val="center"/>
        <w:outlineLvl w:val="9"/>
        <w:rPr>
          <w:rFonts w:hint="eastAsia" w:ascii="宋体" w:hAnsi="宋体" w:eastAsia="宋体" w:cs="宋体"/>
          <w:b/>
          <w:bCs/>
          <w:color w:val="auto"/>
          <w:sz w:val="24"/>
          <w:szCs w:val="24"/>
          <w:highlight w:val="none"/>
        </w:rPr>
      </w:pPr>
    </w:p>
    <w:p w14:paraId="2BAB9A1C">
      <w:pPr>
        <w:spacing w:line="360" w:lineRule="auto"/>
        <w:jc w:val="center"/>
        <w:outlineLvl w:val="9"/>
        <w:rPr>
          <w:rFonts w:hint="eastAsia" w:ascii="宋体" w:hAnsi="宋体" w:eastAsia="宋体" w:cs="宋体"/>
          <w:b/>
          <w:bCs/>
          <w:color w:val="auto"/>
          <w:sz w:val="24"/>
          <w:szCs w:val="24"/>
          <w:highlight w:val="none"/>
        </w:rPr>
      </w:pPr>
    </w:p>
    <w:p w14:paraId="7B5C0A41">
      <w:pPr>
        <w:pStyle w:val="19"/>
        <w:spacing w:line="360" w:lineRule="auto"/>
        <w:rPr>
          <w:rFonts w:hint="eastAsia" w:hAnsi="宋体" w:eastAsia="宋体" w:cs="宋体"/>
          <w:b/>
          <w:color w:val="auto"/>
          <w:sz w:val="24"/>
          <w:highlight w:val="none"/>
        </w:rPr>
      </w:pPr>
    </w:p>
    <w:p w14:paraId="668E1071">
      <w:pPr>
        <w:pStyle w:val="19"/>
        <w:spacing w:line="360" w:lineRule="auto"/>
        <w:rPr>
          <w:rFonts w:hint="eastAsia" w:hAnsi="宋体" w:eastAsia="宋体" w:cs="宋体"/>
          <w:b/>
          <w:color w:val="auto"/>
          <w:sz w:val="24"/>
          <w:highlight w:val="none"/>
        </w:rPr>
      </w:pPr>
    </w:p>
    <w:p w14:paraId="66E2106C">
      <w:pPr>
        <w:pStyle w:val="19"/>
        <w:spacing w:line="360" w:lineRule="auto"/>
        <w:jc w:val="center"/>
        <w:rPr>
          <w:rFonts w:hint="eastAsia" w:hAnsi="宋体" w:eastAsia="宋体" w:cs="宋体"/>
          <w:b/>
          <w:color w:val="auto"/>
          <w:sz w:val="32"/>
          <w:szCs w:val="32"/>
          <w:highlight w:val="none"/>
        </w:rPr>
        <w:sectPr>
          <w:headerReference r:id="rId4" w:type="default"/>
          <w:footerReference r:id="rId5" w:type="default"/>
          <w:pgSz w:w="11906" w:h="16838"/>
          <w:pgMar w:top="1440" w:right="1797" w:bottom="1440" w:left="1797" w:header="851" w:footer="992" w:gutter="0"/>
          <w:cols w:space="720" w:num="1"/>
          <w:docGrid w:linePitch="312" w:charSpace="0"/>
        </w:sectPr>
      </w:pPr>
    </w:p>
    <w:p w14:paraId="5122C29C">
      <w:pPr>
        <w:pStyle w:val="19"/>
        <w:spacing w:line="360" w:lineRule="auto"/>
        <w:jc w:val="center"/>
        <w:outlineLvl w:val="0"/>
        <w:rPr>
          <w:rFonts w:hint="eastAsia" w:hAnsi="宋体" w:eastAsia="宋体" w:cs="宋体"/>
          <w:color w:val="auto"/>
          <w:sz w:val="24"/>
          <w:szCs w:val="24"/>
          <w:highlight w:val="none"/>
        </w:rPr>
      </w:pPr>
      <w:bookmarkStart w:id="10" w:name="_Toc30072"/>
      <w:bookmarkStart w:id="11" w:name="_Toc2060546529"/>
      <w:bookmarkStart w:id="12" w:name="_Toc971223943"/>
      <w:bookmarkStart w:id="13" w:name="_Toc15497"/>
      <w:r>
        <w:rPr>
          <w:rFonts w:hint="eastAsia" w:hAnsi="宋体" w:eastAsia="宋体" w:cs="宋体"/>
          <w:b/>
          <w:color w:val="auto"/>
          <w:sz w:val="32"/>
          <w:szCs w:val="32"/>
          <w:highlight w:val="none"/>
        </w:rPr>
        <w:t>第二章  报价人须知</w:t>
      </w:r>
      <w:bookmarkEnd w:id="10"/>
      <w:bookmarkEnd w:id="11"/>
      <w:bookmarkEnd w:id="12"/>
      <w:bookmarkEnd w:id="13"/>
    </w:p>
    <w:tbl>
      <w:tblPr>
        <w:tblStyle w:val="13"/>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0"/>
      </w:tblGrid>
      <w:tr w14:paraId="2F9D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7700" w:type="dxa"/>
            <w:tcBorders>
              <w:top w:val="single" w:color="auto" w:sz="4" w:space="0"/>
              <w:left w:val="single" w:color="auto" w:sz="4" w:space="0"/>
              <w:bottom w:val="single" w:color="auto" w:sz="4" w:space="0"/>
              <w:right w:val="single" w:color="auto" w:sz="4" w:space="0"/>
            </w:tcBorders>
            <w:noWrap w:val="0"/>
            <w:vAlign w:val="top"/>
          </w:tcPr>
          <w:p w14:paraId="68FC56F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14:paraId="35BA5A6D">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《报价人须知》应载明报价人准备报价文件所必须的信息，以及递交报价文件、评审和签订合同等有关规定。 </w:t>
            </w:r>
          </w:p>
        </w:tc>
      </w:tr>
    </w:tbl>
    <w:p w14:paraId="3B192F4E">
      <w:pPr>
        <w:spacing w:line="360" w:lineRule="auto"/>
        <w:jc w:val="center"/>
        <w:outlineLvl w:val="9"/>
        <w:rPr>
          <w:rFonts w:hint="eastAsia" w:ascii="宋体" w:hAnsi="宋体" w:eastAsia="宋体" w:cs="宋体"/>
          <w:b/>
          <w:bCs/>
          <w:color w:val="auto"/>
          <w:sz w:val="24"/>
          <w:szCs w:val="24"/>
          <w:highlight w:val="none"/>
        </w:rPr>
      </w:pPr>
    </w:p>
    <w:p w14:paraId="7B94CFA5">
      <w:pPr>
        <w:spacing w:line="360" w:lineRule="auto"/>
        <w:jc w:val="center"/>
        <w:outlineLvl w:val="9"/>
        <w:rPr>
          <w:rFonts w:hint="eastAsia" w:ascii="宋体" w:hAnsi="宋体" w:eastAsia="宋体" w:cs="宋体"/>
          <w:b/>
          <w:bCs/>
          <w:color w:val="auto"/>
          <w:sz w:val="24"/>
          <w:szCs w:val="24"/>
          <w:highlight w:val="none"/>
        </w:rPr>
      </w:pPr>
    </w:p>
    <w:p w14:paraId="3A30DF7E">
      <w:pPr>
        <w:spacing w:line="360" w:lineRule="auto"/>
        <w:jc w:val="center"/>
        <w:outlineLvl w:val="9"/>
        <w:rPr>
          <w:rFonts w:hint="eastAsia" w:ascii="宋体" w:hAnsi="宋体" w:eastAsia="宋体" w:cs="宋体"/>
          <w:b/>
          <w:bCs/>
          <w:color w:val="auto"/>
          <w:sz w:val="24"/>
          <w:szCs w:val="24"/>
          <w:highlight w:val="none"/>
        </w:rPr>
      </w:pPr>
    </w:p>
    <w:p w14:paraId="254AE765">
      <w:pPr>
        <w:spacing w:line="360" w:lineRule="auto"/>
        <w:jc w:val="center"/>
        <w:outlineLvl w:val="9"/>
        <w:rPr>
          <w:rFonts w:hint="eastAsia" w:ascii="宋体" w:hAnsi="宋体" w:eastAsia="宋体" w:cs="宋体"/>
          <w:b/>
          <w:bCs/>
          <w:color w:val="auto"/>
          <w:sz w:val="24"/>
          <w:szCs w:val="24"/>
          <w:highlight w:val="none"/>
        </w:rPr>
      </w:pPr>
    </w:p>
    <w:p w14:paraId="716E4B5D">
      <w:pPr>
        <w:spacing w:line="360" w:lineRule="auto"/>
        <w:jc w:val="center"/>
        <w:outlineLvl w:val="9"/>
        <w:rPr>
          <w:rFonts w:hint="eastAsia" w:ascii="宋体" w:hAnsi="宋体" w:eastAsia="宋体" w:cs="宋体"/>
          <w:b/>
          <w:bCs/>
          <w:color w:val="auto"/>
          <w:sz w:val="24"/>
          <w:szCs w:val="24"/>
          <w:highlight w:val="none"/>
        </w:rPr>
      </w:pPr>
    </w:p>
    <w:p w14:paraId="2EFADD7C">
      <w:pPr>
        <w:spacing w:line="360" w:lineRule="auto"/>
        <w:jc w:val="center"/>
        <w:outlineLvl w:val="9"/>
        <w:rPr>
          <w:rFonts w:hint="eastAsia" w:ascii="宋体" w:hAnsi="宋体" w:eastAsia="宋体" w:cs="宋体"/>
          <w:b/>
          <w:bCs/>
          <w:color w:val="auto"/>
          <w:sz w:val="24"/>
          <w:szCs w:val="24"/>
          <w:highlight w:val="none"/>
        </w:rPr>
      </w:pPr>
    </w:p>
    <w:p w14:paraId="63942386">
      <w:pPr>
        <w:spacing w:line="360" w:lineRule="auto"/>
        <w:jc w:val="center"/>
        <w:outlineLvl w:val="9"/>
        <w:rPr>
          <w:rFonts w:hint="eastAsia" w:ascii="宋体" w:hAnsi="宋体" w:eastAsia="宋体" w:cs="宋体"/>
          <w:b/>
          <w:bCs/>
          <w:color w:val="auto"/>
          <w:sz w:val="24"/>
          <w:szCs w:val="24"/>
          <w:highlight w:val="none"/>
        </w:rPr>
      </w:pPr>
    </w:p>
    <w:p w14:paraId="382B26D6">
      <w:pPr>
        <w:spacing w:line="360" w:lineRule="auto"/>
        <w:jc w:val="center"/>
        <w:outlineLvl w:val="9"/>
        <w:rPr>
          <w:rFonts w:hint="eastAsia" w:ascii="宋体" w:hAnsi="宋体" w:eastAsia="宋体" w:cs="宋体"/>
          <w:b/>
          <w:bCs/>
          <w:color w:val="auto"/>
          <w:sz w:val="24"/>
          <w:szCs w:val="24"/>
          <w:highlight w:val="none"/>
        </w:rPr>
      </w:pPr>
    </w:p>
    <w:p w14:paraId="5267B014">
      <w:pPr>
        <w:spacing w:line="360" w:lineRule="auto"/>
        <w:jc w:val="center"/>
        <w:outlineLvl w:val="9"/>
        <w:rPr>
          <w:rFonts w:hint="eastAsia" w:ascii="宋体" w:hAnsi="宋体" w:eastAsia="宋体" w:cs="宋体"/>
          <w:b/>
          <w:bCs/>
          <w:color w:val="auto"/>
          <w:sz w:val="24"/>
          <w:szCs w:val="24"/>
          <w:highlight w:val="none"/>
        </w:rPr>
      </w:pPr>
    </w:p>
    <w:p w14:paraId="7B01028C">
      <w:pPr>
        <w:spacing w:line="360" w:lineRule="auto"/>
        <w:jc w:val="center"/>
        <w:outlineLvl w:val="9"/>
        <w:rPr>
          <w:rFonts w:hint="eastAsia" w:ascii="宋体" w:hAnsi="宋体" w:eastAsia="宋体" w:cs="宋体"/>
          <w:b/>
          <w:bCs/>
          <w:color w:val="auto"/>
          <w:sz w:val="24"/>
          <w:szCs w:val="24"/>
          <w:highlight w:val="none"/>
        </w:rPr>
      </w:pPr>
    </w:p>
    <w:p w14:paraId="4D4804F4">
      <w:pPr>
        <w:spacing w:line="360" w:lineRule="auto"/>
        <w:jc w:val="center"/>
        <w:outlineLvl w:val="9"/>
        <w:rPr>
          <w:rFonts w:hint="eastAsia" w:ascii="宋体" w:hAnsi="宋体" w:eastAsia="宋体" w:cs="宋体"/>
          <w:b/>
          <w:bCs/>
          <w:color w:val="auto"/>
          <w:sz w:val="24"/>
          <w:szCs w:val="24"/>
          <w:highlight w:val="none"/>
        </w:rPr>
      </w:pPr>
    </w:p>
    <w:p w14:paraId="0941C6B7">
      <w:pPr>
        <w:spacing w:line="360" w:lineRule="auto"/>
        <w:jc w:val="center"/>
        <w:outlineLvl w:val="9"/>
        <w:rPr>
          <w:rFonts w:hint="eastAsia" w:ascii="宋体" w:hAnsi="宋体" w:eastAsia="宋体" w:cs="宋体"/>
          <w:b/>
          <w:bCs/>
          <w:color w:val="auto"/>
          <w:sz w:val="24"/>
          <w:szCs w:val="24"/>
          <w:highlight w:val="none"/>
        </w:rPr>
      </w:pPr>
    </w:p>
    <w:p w14:paraId="0908E699">
      <w:pPr>
        <w:spacing w:line="360" w:lineRule="auto"/>
        <w:outlineLvl w:val="9"/>
        <w:rPr>
          <w:rFonts w:hint="eastAsia" w:ascii="宋体" w:hAnsi="宋体" w:eastAsia="宋体" w:cs="宋体"/>
          <w:b/>
          <w:bCs/>
          <w:color w:val="auto"/>
          <w:sz w:val="24"/>
          <w:szCs w:val="24"/>
          <w:highlight w:val="none"/>
        </w:rPr>
      </w:pPr>
    </w:p>
    <w:p w14:paraId="76F27C9D">
      <w:pPr>
        <w:spacing w:line="360" w:lineRule="auto"/>
        <w:jc w:val="center"/>
        <w:rPr>
          <w:rFonts w:hint="eastAsia" w:ascii="宋体" w:hAnsi="宋体" w:eastAsia="宋体" w:cs="宋体"/>
          <w:b/>
          <w:bCs/>
          <w:color w:val="auto"/>
          <w:sz w:val="32"/>
          <w:szCs w:val="32"/>
          <w:highlight w:val="none"/>
        </w:rPr>
      </w:pPr>
    </w:p>
    <w:p w14:paraId="6510AB3F">
      <w:pPr>
        <w:spacing w:line="360" w:lineRule="auto"/>
        <w:jc w:val="center"/>
        <w:rPr>
          <w:rFonts w:hint="eastAsia" w:ascii="宋体" w:hAnsi="宋体" w:eastAsia="宋体" w:cs="宋体"/>
          <w:b/>
          <w:bCs/>
          <w:color w:val="auto"/>
          <w:sz w:val="32"/>
          <w:szCs w:val="32"/>
          <w:highlight w:val="none"/>
        </w:rPr>
      </w:pPr>
    </w:p>
    <w:p w14:paraId="6E73AA01">
      <w:pPr>
        <w:spacing w:line="360" w:lineRule="auto"/>
        <w:jc w:val="center"/>
        <w:rPr>
          <w:rFonts w:hint="eastAsia" w:ascii="宋体" w:hAnsi="宋体" w:eastAsia="宋体" w:cs="宋体"/>
          <w:b/>
          <w:bCs/>
          <w:color w:val="auto"/>
          <w:sz w:val="32"/>
          <w:szCs w:val="32"/>
          <w:highlight w:val="none"/>
        </w:rPr>
      </w:pPr>
    </w:p>
    <w:p w14:paraId="7BC9F81F">
      <w:pPr>
        <w:spacing w:line="360" w:lineRule="auto"/>
        <w:jc w:val="center"/>
        <w:rPr>
          <w:rFonts w:hint="eastAsia" w:ascii="宋体" w:hAnsi="宋体" w:eastAsia="宋体" w:cs="宋体"/>
          <w:b/>
          <w:bCs/>
          <w:color w:val="auto"/>
          <w:sz w:val="32"/>
          <w:szCs w:val="32"/>
          <w:highlight w:val="none"/>
        </w:rPr>
      </w:pPr>
    </w:p>
    <w:p w14:paraId="041B1D3B">
      <w:pPr>
        <w:spacing w:line="360" w:lineRule="auto"/>
        <w:jc w:val="center"/>
        <w:rPr>
          <w:rFonts w:hint="eastAsia" w:ascii="宋体" w:hAnsi="宋体" w:eastAsia="宋体" w:cs="宋体"/>
          <w:b/>
          <w:bCs/>
          <w:color w:val="auto"/>
          <w:sz w:val="32"/>
          <w:szCs w:val="32"/>
          <w:highlight w:val="none"/>
        </w:rPr>
      </w:pPr>
    </w:p>
    <w:p w14:paraId="64E2DCC9">
      <w:pPr>
        <w:spacing w:line="360" w:lineRule="auto"/>
        <w:jc w:val="center"/>
        <w:rPr>
          <w:rFonts w:hint="eastAsia" w:ascii="宋体" w:hAnsi="宋体" w:eastAsia="宋体" w:cs="宋体"/>
          <w:b/>
          <w:bCs/>
          <w:color w:val="auto"/>
          <w:sz w:val="32"/>
          <w:szCs w:val="32"/>
          <w:highlight w:val="none"/>
        </w:rPr>
        <w:sectPr>
          <w:pgSz w:w="11906" w:h="16838"/>
          <w:pgMar w:top="1440" w:right="1797" w:bottom="1440" w:left="1797" w:header="851" w:footer="992" w:gutter="0"/>
          <w:cols w:space="720" w:num="1"/>
          <w:docGrid w:linePitch="312" w:charSpace="0"/>
        </w:sectPr>
      </w:pPr>
    </w:p>
    <w:p w14:paraId="55EE2E3D">
      <w:pPr>
        <w:spacing w:line="360" w:lineRule="auto"/>
        <w:jc w:val="center"/>
        <w:outlineLvl w:val="1"/>
        <w:rPr>
          <w:rFonts w:hint="eastAsia" w:ascii="宋体" w:hAnsi="宋体" w:eastAsia="宋体" w:cs="宋体"/>
          <w:b/>
          <w:bCs/>
          <w:color w:val="auto"/>
          <w:sz w:val="32"/>
          <w:szCs w:val="32"/>
          <w:highlight w:val="none"/>
        </w:rPr>
      </w:pPr>
      <w:bookmarkStart w:id="14" w:name="_Toc1529910527"/>
      <w:bookmarkStart w:id="15" w:name="_Toc23355"/>
      <w:bookmarkStart w:id="16" w:name="_Toc425575153"/>
      <w:bookmarkStart w:id="17" w:name="_Toc2046"/>
      <w:r>
        <w:rPr>
          <w:rFonts w:hint="eastAsia" w:ascii="宋体" w:hAnsi="宋体" w:eastAsia="宋体" w:cs="宋体"/>
          <w:b/>
          <w:bCs/>
          <w:color w:val="auto"/>
          <w:sz w:val="32"/>
          <w:szCs w:val="32"/>
          <w:highlight w:val="none"/>
        </w:rPr>
        <w:t>报价人须知前附表1</w:t>
      </w:r>
      <w:bookmarkEnd w:id="14"/>
      <w:bookmarkEnd w:id="15"/>
      <w:bookmarkEnd w:id="16"/>
      <w:bookmarkEnd w:id="17"/>
    </w:p>
    <w:p w14:paraId="26E9EDB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本须知前附表的条款号是与《报价人须知》中条款的项号相对应的。如果有矛盾的话，应以本附表为准。 </w:t>
      </w:r>
    </w:p>
    <w:tbl>
      <w:tblPr>
        <w:tblStyle w:val="13"/>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735"/>
        <w:gridCol w:w="7551"/>
      </w:tblGrid>
      <w:tr w14:paraId="3684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4" w:type="dxa"/>
            <w:tcBorders>
              <w:top w:val="single" w:color="auto" w:sz="4" w:space="0"/>
              <w:left w:val="single" w:color="auto" w:sz="4" w:space="0"/>
              <w:bottom w:val="single" w:color="auto" w:sz="4" w:space="0"/>
              <w:right w:val="single" w:color="auto" w:sz="4" w:space="0"/>
            </w:tcBorders>
            <w:noWrap w:val="0"/>
            <w:vAlign w:val="top"/>
          </w:tcPr>
          <w:p w14:paraId="58AFFE5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735" w:type="dxa"/>
            <w:tcBorders>
              <w:top w:val="single" w:color="auto" w:sz="4" w:space="0"/>
              <w:left w:val="single" w:color="auto" w:sz="4" w:space="0"/>
              <w:bottom w:val="single" w:color="auto" w:sz="4" w:space="0"/>
              <w:right w:val="single" w:color="auto" w:sz="4" w:space="0"/>
            </w:tcBorders>
            <w:noWrap w:val="0"/>
            <w:vAlign w:val="top"/>
          </w:tcPr>
          <w:p w14:paraId="0B5B655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7551" w:type="dxa"/>
            <w:tcBorders>
              <w:top w:val="single" w:color="auto" w:sz="4" w:space="0"/>
              <w:left w:val="single" w:color="auto" w:sz="4" w:space="0"/>
              <w:bottom w:val="single" w:color="auto" w:sz="4" w:space="0"/>
              <w:right w:val="single" w:color="auto" w:sz="4" w:space="0"/>
            </w:tcBorders>
            <w:noWrap w:val="0"/>
            <w:vAlign w:val="top"/>
          </w:tcPr>
          <w:p w14:paraId="326B25B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   列   内    容</w:t>
            </w:r>
          </w:p>
        </w:tc>
      </w:tr>
      <w:tr w14:paraId="1436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14:paraId="1B8ECBC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18E2271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551" w:type="dxa"/>
            <w:tcBorders>
              <w:top w:val="single" w:color="auto" w:sz="4" w:space="0"/>
              <w:left w:val="single" w:color="auto" w:sz="4" w:space="0"/>
              <w:bottom w:val="single" w:color="auto" w:sz="4" w:space="0"/>
              <w:right w:val="single" w:color="auto" w:sz="4" w:space="0"/>
            </w:tcBorders>
            <w:noWrap w:val="0"/>
            <w:vAlign w:val="center"/>
          </w:tcPr>
          <w:p w14:paraId="1C7E7661">
            <w:pPr>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项目名称：</w:t>
            </w:r>
            <w:r>
              <w:rPr>
                <w:rFonts w:hint="eastAsia" w:ascii="宋体" w:hAnsi="宋体" w:cs="宋体"/>
                <w:color w:val="auto"/>
                <w:sz w:val="24"/>
                <w:szCs w:val="24"/>
                <w:highlight w:val="none"/>
                <w:u w:val="none"/>
                <w:lang w:eastAsia="zh-CN"/>
              </w:rPr>
              <w:t>厦门市总工会2025年下半年工会专干和集体协商指导员招聘考务服务机构采购</w:t>
            </w:r>
          </w:p>
          <w:p w14:paraId="32A8693A">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采购人名称：</w:t>
            </w:r>
            <w:r>
              <w:rPr>
                <w:rFonts w:hint="eastAsia" w:ascii="宋体" w:hAnsi="宋体" w:cs="宋体"/>
                <w:color w:val="auto"/>
                <w:sz w:val="24"/>
                <w:szCs w:val="24"/>
                <w:highlight w:val="none"/>
                <w:u w:val="none"/>
                <w:lang w:eastAsia="zh-CN"/>
              </w:rPr>
              <w:t>厦门市总工会</w:t>
            </w:r>
            <w:r>
              <w:rPr>
                <w:rFonts w:hint="eastAsia" w:ascii="宋体" w:hAnsi="宋体" w:eastAsia="宋体" w:cs="宋体"/>
                <w:color w:val="auto"/>
                <w:sz w:val="24"/>
                <w:szCs w:val="24"/>
                <w:highlight w:val="none"/>
                <w:u w:val="none"/>
              </w:rPr>
              <w:t xml:space="preserve"> </w:t>
            </w:r>
          </w:p>
          <w:p w14:paraId="4A801F98">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项目内容：</w:t>
            </w:r>
            <w:r>
              <w:rPr>
                <w:rFonts w:hint="eastAsia" w:ascii="宋体" w:hAnsi="宋体" w:cs="宋体"/>
                <w:color w:val="auto"/>
                <w:sz w:val="24"/>
                <w:szCs w:val="24"/>
                <w:highlight w:val="none"/>
                <w:u w:val="none"/>
                <w:lang w:eastAsia="zh-CN"/>
              </w:rPr>
              <w:t>厦门市总工会2025年下半年工会专干和集体协商指导员招聘考务服务机构采购，</w:t>
            </w:r>
            <w:r>
              <w:rPr>
                <w:rFonts w:hint="eastAsia" w:ascii="宋体" w:hAnsi="宋体" w:cs="宋体"/>
                <w:color w:val="auto"/>
                <w:sz w:val="24"/>
                <w:szCs w:val="24"/>
                <w:highlight w:val="none"/>
                <w:u w:val="none"/>
                <w:lang w:val="en-US" w:eastAsia="zh-CN"/>
              </w:rPr>
              <w:t>数量：1项</w:t>
            </w:r>
            <w:r>
              <w:rPr>
                <w:rFonts w:hint="eastAsia" w:ascii="宋体" w:hAnsi="宋体" w:eastAsia="宋体" w:cs="宋体"/>
                <w:color w:val="auto"/>
                <w:sz w:val="24"/>
                <w:szCs w:val="24"/>
                <w:highlight w:val="none"/>
                <w:u w:val="none"/>
              </w:rPr>
              <w:t xml:space="preserve"> </w:t>
            </w:r>
          </w:p>
          <w:p w14:paraId="738C8A2E">
            <w:pPr>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none"/>
              </w:rPr>
              <w:t>项目编号：</w:t>
            </w:r>
            <w:r>
              <w:rPr>
                <w:rFonts w:hint="eastAsia" w:ascii="宋体" w:hAnsi="宋体" w:cs="宋体"/>
                <w:color w:val="auto"/>
                <w:sz w:val="24"/>
                <w:szCs w:val="24"/>
                <w:highlight w:val="none"/>
                <w:u w:val="none"/>
                <w:lang w:eastAsia="zh-CN"/>
              </w:rPr>
              <w:t>XM2025-TZ5181</w:t>
            </w:r>
          </w:p>
        </w:tc>
      </w:tr>
      <w:tr w14:paraId="5E54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14:paraId="71FD637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699F06FB">
            <w:pPr>
              <w:spacing w:line="360" w:lineRule="auto"/>
              <w:jc w:val="center"/>
              <w:rPr>
                <w:rFonts w:hint="eastAsia" w:ascii="宋体" w:hAnsi="宋体" w:eastAsia="宋体" w:cs="宋体"/>
                <w:color w:val="auto"/>
                <w:sz w:val="24"/>
                <w:szCs w:val="24"/>
                <w:highlight w:val="none"/>
              </w:rPr>
            </w:pPr>
          </w:p>
        </w:tc>
        <w:tc>
          <w:tcPr>
            <w:tcW w:w="7551" w:type="dxa"/>
            <w:tcBorders>
              <w:top w:val="single" w:color="auto" w:sz="4" w:space="0"/>
              <w:left w:val="single" w:color="auto" w:sz="4" w:space="0"/>
              <w:bottom w:val="single" w:color="auto" w:sz="4" w:space="0"/>
              <w:right w:val="single" w:color="auto" w:sz="4" w:space="0"/>
            </w:tcBorders>
            <w:noWrap w:val="0"/>
            <w:vAlign w:val="center"/>
          </w:tcPr>
          <w:p w14:paraId="148355A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是否允许中国境外报价人参加本采购项目：</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否</w:t>
            </w:r>
          </w:p>
        </w:tc>
      </w:tr>
      <w:tr w14:paraId="5096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14:paraId="71ED149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6B42A28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551" w:type="dxa"/>
            <w:tcBorders>
              <w:top w:val="single" w:color="auto" w:sz="4" w:space="0"/>
              <w:left w:val="single" w:color="auto" w:sz="4" w:space="0"/>
              <w:bottom w:val="single" w:color="auto" w:sz="4" w:space="0"/>
              <w:right w:val="single" w:color="auto" w:sz="4" w:space="0"/>
            </w:tcBorders>
            <w:noWrap w:val="0"/>
            <w:vAlign w:val="center"/>
          </w:tcPr>
          <w:p w14:paraId="6979075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资格标准：</w:t>
            </w:r>
          </w:p>
          <w:p w14:paraId="3B81DDD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详见第二章《</w:t>
            </w:r>
            <w:r>
              <w:rPr>
                <w:rFonts w:hint="eastAsia" w:ascii="宋体" w:hAnsi="宋体" w:cs="宋体"/>
                <w:color w:val="auto"/>
                <w:sz w:val="24"/>
                <w:szCs w:val="24"/>
                <w:highlight w:val="none"/>
                <w:lang w:eastAsia="zh-CN"/>
              </w:rPr>
              <w:t>报价人须知</w:t>
            </w:r>
            <w:r>
              <w:rPr>
                <w:rFonts w:hint="eastAsia" w:ascii="宋体" w:hAnsi="宋体" w:eastAsia="宋体" w:cs="宋体"/>
                <w:color w:val="auto"/>
                <w:sz w:val="24"/>
                <w:szCs w:val="24"/>
                <w:highlight w:val="none"/>
              </w:rPr>
              <w:t>》第3条，以及第三章《采购内容及要求》有关内容。</w:t>
            </w:r>
          </w:p>
        </w:tc>
      </w:tr>
      <w:tr w14:paraId="6E11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14:paraId="7CE7DDF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03C4DB4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7551" w:type="dxa"/>
            <w:tcBorders>
              <w:top w:val="single" w:color="auto" w:sz="4" w:space="0"/>
              <w:left w:val="single" w:color="auto" w:sz="4" w:space="0"/>
              <w:bottom w:val="single" w:color="auto" w:sz="4" w:space="0"/>
              <w:right w:val="single" w:color="auto" w:sz="4" w:space="0"/>
            </w:tcBorders>
            <w:noWrap w:val="0"/>
            <w:vAlign w:val="center"/>
          </w:tcPr>
          <w:p w14:paraId="1EB48B2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报价有效期：报价截止之日起</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个日历日。</w:t>
            </w:r>
          </w:p>
          <w:p w14:paraId="3EC6A67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报价有效期不足将导致其报价文件被拒绝。</w:t>
            </w:r>
          </w:p>
        </w:tc>
      </w:tr>
      <w:tr w14:paraId="4DA6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14:paraId="628A296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57F651C2">
            <w:pPr>
              <w:spacing w:line="360" w:lineRule="auto"/>
              <w:rPr>
                <w:rFonts w:hint="eastAsia" w:ascii="宋体" w:hAnsi="宋体" w:eastAsia="宋体" w:cs="宋体"/>
                <w:color w:val="auto"/>
                <w:sz w:val="24"/>
                <w:szCs w:val="24"/>
                <w:highlight w:val="none"/>
              </w:rPr>
            </w:pPr>
          </w:p>
        </w:tc>
        <w:tc>
          <w:tcPr>
            <w:tcW w:w="7551" w:type="dxa"/>
            <w:tcBorders>
              <w:top w:val="single" w:color="auto" w:sz="4" w:space="0"/>
              <w:left w:val="single" w:color="auto" w:sz="4" w:space="0"/>
              <w:bottom w:val="single" w:color="auto" w:sz="4" w:space="0"/>
              <w:right w:val="single" w:color="auto" w:sz="4" w:space="0"/>
            </w:tcBorders>
            <w:noWrap w:val="0"/>
            <w:vAlign w:val="center"/>
          </w:tcPr>
          <w:p w14:paraId="34365BF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报价文件递交地址：</w:t>
            </w:r>
            <w:r>
              <w:rPr>
                <w:rFonts w:hint="eastAsia" w:ascii="宋体" w:hAnsi="宋体" w:eastAsia="宋体" w:cs="宋体"/>
                <w:color w:val="auto"/>
                <w:sz w:val="24"/>
                <w:szCs w:val="24"/>
                <w:highlight w:val="none"/>
                <w:u w:val="single"/>
              </w:rPr>
              <w:t>厦门市湖里区机场北路476号四楼开标厅</w:t>
            </w:r>
          </w:p>
          <w:p w14:paraId="09D3904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接收人：</w:t>
            </w:r>
            <w:r>
              <w:rPr>
                <w:rFonts w:hint="eastAsia" w:ascii="宋体" w:hAnsi="宋体" w:cs="宋体"/>
                <w:color w:val="auto"/>
                <w:sz w:val="24"/>
                <w:szCs w:val="24"/>
                <w:highlight w:val="none"/>
                <w:lang w:val="en-US" w:eastAsia="zh-CN"/>
              </w:rPr>
              <w:t>卢小姐、黄小姐</w:t>
            </w:r>
            <w:r>
              <w:rPr>
                <w:rFonts w:hint="eastAsia" w:ascii="宋体" w:hAnsi="宋体" w:eastAsia="宋体" w:cs="宋体"/>
                <w:color w:val="auto"/>
                <w:sz w:val="24"/>
                <w:szCs w:val="24"/>
                <w:highlight w:val="none"/>
              </w:rPr>
              <w:t xml:space="preserve"> </w:t>
            </w:r>
          </w:p>
          <w:p w14:paraId="537184E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报价文件提交截止时间：详见磋商邀请。</w:t>
            </w:r>
          </w:p>
        </w:tc>
      </w:tr>
      <w:tr w14:paraId="447C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14:paraId="17D5D0D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2CDF27D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7551" w:type="dxa"/>
            <w:tcBorders>
              <w:top w:val="single" w:color="auto" w:sz="4" w:space="0"/>
              <w:left w:val="single" w:color="auto" w:sz="4" w:space="0"/>
              <w:bottom w:val="single" w:color="auto" w:sz="4" w:space="0"/>
              <w:right w:val="single" w:color="auto" w:sz="4" w:space="0"/>
            </w:tcBorders>
            <w:noWrap w:val="0"/>
            <w:vAlign w:val="center"/>
          </w:tcPr>
          <w:p w14:paraId="6499C8F0">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磋商保证金：</w:t>
            </w:r>
            <w:r>
              <w:rPr>
                <w:rFonts w:hint="eastAsia" w:ascii="宋体" w:hAnsi="宋体" w:cs="宋体"/>
                <w:color w:val="auto"/>
                <w:sz w:val="24"/>
                <w:szCs w:val="24"/>
                <w:highlight w:val="none"/>
                <w:lang w:val="en-US" w:eastAsia="zh-CN"/>
              </w:rPr>
              <w:t>无</w:t>
            </w:r>
          </w:p>
        </w:tc>
      </w:tr>
      <w:tr w14:paraId="62B6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14:paraId="335DED4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4970E552">
            <w:pPr>
              <w:spacing w:line="360" w:lineRule="auto"/>
              <w:jc w:val="center"/>
              <w:rPr>
                <w:rFonts w:hint="eastAsia" w:ascii="宋体" w:hAnsi="宋体" w:eastAsia="宋体" w:cs="宋体"/>
                <w:color w:val="auto"/>
                <w:sz w:val="24"/>
                <w:szCs w:val="24"/>
                <w:highlight w:val="none"/>
              </w:rPr>
            </w:pPr>
          </w:p>
        </w:tc>
        <w:tc>
          <w:tcPr>
            <w:tcW w:w="7551" w:type="dxa"/>
            <w:tcBorders>
              <w:top w:val="single" w:color="auto" w:sz="4" w:space="0"/>
              <w:left w:val="single" w:color="auto" w:sz="4" w:space="0"/>
              <w:bottom w:val="single" w:color="auto" w:sz="4" w:space="0"/>
              <w:right w:val="single" w:color="auto" w:sz="4" w:space="0"/>
            </w:tcBorders>
            <w:noWrap w:val="0"/>
            <w:vAlign w:val="top"/>
          </w:tcPr>
          <w:p w14:paraId="32DAA214">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磋商规则、评审标准：</w:t>
            </w:r>
          </w:p>
          <w:p w14:paraId="0414AF0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详见《报价人须知前附表3》；</w:t>
            </w:r>
          </w:p>
        </w:tc>
      </w:tr>
      <w:tr w14:paraId="5ADA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14:paraId="2E45FD1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10F1125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w:t>
            </w:r>
          </w:p>
        </w:tc>
        <w:tc>
          <w:tcPr>
            <w:tcW w:w="7551" w:type="dxa"/>
            <w:tcBorders>
              <w:top w:val="single" w:color="auto" w:sz="4" w:space="0"/>
              <w:left w:val="single" w:color="auto" w:sz="4" w:space="0"/>
              <w:bottom w:val="single" w:color="auto" w:sz="4" w:space="0"/>
              <w:right w:val="single" w:color="auto" w:sz="4" w:space="0"/>
            </w:tcBorders>
            <w:noWrap w:val="0"/>
            <w:vAlign w:val="center"/>
          </w:tcPr>
          <w:p w14:paraId="6DA6211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标准及收取方式：</w:t>
            </w:r>
          </w:p>
          <w:tbl>
            <w:tblPr>
              <w:tblStyle w:val="13"/>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700"/>
            </w:tblGrid>
            <w:tr w14:paraId="564E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14:paraId="10EBD440">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成交金额(万元)</w:t>
                  </w:r>
                </w:p>
              </w:tc>
              <w:tc>
                <w:tcPr>
                  <w:tcW w:w="2700" w:type="dxa"/>
                  <w:noWrap w:val="0"/>
                  <w:vAlign w:val="top"/>
                </w:tcPr>
                <w:p w14:paraId="7C20B778">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费率</w:t>
                  </w:r>
                </w:p>
              </w:tc>
            </w:tr>
            <w:tr w14:paraId="2482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14:paraId="44FC0D1B">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[0―100]</w:t>
                  </w:r>
                </w:p>
              </w:tc>
              <w:tc>
                <w:tcPr>
                  <w:tcW w:w="2700" w:type="dxa"/>
                  <w:noWrap w:val="0"/>
                  <w:vAlign w:val="top"/>
                </w:tcPr>
                <w:p w14:paraId="738A0672">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r>
            <w:tr w14:paraId="76A5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14:paraId="0E57427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（100－500]</w:t>
                  </w:r>
                </w:p>
              </w:tc>
              <w:tc>
                <w:tcPr>
                  <w:tcW w:w="2700" w:type="dxa"/>
                  <w:noWrap w:val="0"/>
                  <w:vAlign w:val="top"/>
                </w:tcPr>
                <w:p w14:paraId="5B274685">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r>
          </w:tbl>
          <w:p w14:paraId="35DAD0A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注：1、磋商代理服务费的收取按差额定率累进法计算,由成交供应商支付。若服务费不足3000元，按3000元计取。</w:t>
            </w:r>
          </w:p>
          <w:p w14:paraId="3A0ED304">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2、成交供应商以转账或汇款方式提交。</w:t>
            </w:r>
            <w:r>
              <w:rPr>
                <w:rFonts w:hint="eastAsia" w:ascii="宋体" w:hAnsi="宋体" w:eastAsia="宋体" w:cs="宋体"/>
                <w:color w:val="auto"/>
                <w:sz w:val="24"/>
                <w:szCs w:val="24"/>
                <w:highlight w:val="none"/>
              </w:rPr>
              <w:t>(为方便</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的核对，请在银行汇款凭证上标注项目标号如 ：</w:t>
            </w:r>
            <w:r>
              <w:rPr>
                <w:rFonts w:hint="eastAsia" w:ascii="宋体" w:hAnsi="宋体" w:eastAsia="宋体" w:cs="宋体"/>
                <w:color w:val="auto"/>
                <w:sz w:val="24"/>
                <w:szCs w:val="24"/>
                <w:highlight w:val="none"/>
                <w:u w:val="single"/>
              </w:rPr>
              <w:t>___（项目名称、项目编号）</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w:t>
            </w:r>
          </w:p>
        </w:tc>
      </w:tr>
    </w:tbl>
    <w:p w14:paraId="609671EE">
      <w:pPr>
        <w:spacing w:line="360" w:lineRule="auto"/>
        <w:jc w:val="center"/>
        <w:outlineLvl w:val="1"/>
        <w:rPr>
          <w:rFonts w:hint="eastAsia" w:ascii="宋体" w:hAnsi="宋体" w:eastAsia="宋体" w:cs="宋体"/>
          <w:b/>
          <w:bCs/>
          <w:color w:val="auto"/>
          <w:sz w:val="32"/>
          <w:szCs w:val="32"/>
          <w:highlight w:val="none"/>
          <w:u w:val="single"/>
        </w:rPr>
      </w:pPr>
      <w:r>
        <w:rPr>
          <w:rFonts w:hint="eastAsia" w:ascii="宋体" w:hAnsi="宋体" w:eastAsia="宋体" w:cs="宋体"/>
          <w:b/>
          <w:bCs/>
          <w:color w:val="auto"/>
          <w:sz w:val="24"/>
          <w:szCs w:val="24"/>
          <w:highlight w:val="none"/>
        </w:rPr>
        <w:br w:type="page"/>
      </w:r>
      <w:bookmarkStart w:id="18" w:name="_Toc343833621"/>
      <w:bookmarkStart w:id="19" w:name="_Toc27770"/>
      <w:bookmarkStart w:id="20" w:name="_Toc24230"/>
      <w:bookmarkStart w:id="21" w:name="_Toc23143"/>
      <w:bookmarkStart w:id="22" w:name="_Toc174150988"/>
      <w:r>
        <w:rPr>
          <w:rFonts w:hint="eastAsia" w:ascii="宋体" w:hAnsi="宋体" w:eastAsia="宋体" w:cs="宋体"/>
          <w:b/>
          <w:bCs/>
          <w:color w:val="auto"/>
          <w:sz w:val="32"/>
          <w:szCs w:val="32"/>
          <w:highlight w:val="none"/>
          <w:u w:val="single"/>
        </w:rPr>
        <w:t>报价人须知前附表2</w:t>
      </w:r>
      <w:r>
        <w:rPr>
          <w:rFonts w:hint="default" w:ascii="宋体" w:hAnsi="宋体" w:cs="宋体"/>
          <w:b/>
          <w:bCs/>
          <w:color w:val="auto"/>
          <w:sz w:val="32"/>
          <w:szCs w:val="32"/>
          <w:highlight w:val="none"/>
          <w:u w:val="single"/>
        </w:rPr>
        <w:t>：</w:t>
      </w:r>
      <w:r>
        <w:rPr>
          <w:rFonts w:hint="eastAsia" w:ascii="宋体" w:hAnsi="宋体" w:eastAsia="宋体" w:cs="宋体"/>
          <w:b/>
          <w:bCs/>
          <w:color w:val="auto"/>
          <w:sz w:val="32"/>
          <w:szCs w:val="32"/>
          <w:highlight w:val="none"/>
          <w:u w:val="single"/>
        </w:rPr>
        <w:t>资格性、符合性检查表</w:t>
      </w:r>
      <w:bookmarkEnd w:id="18"/>
      <w:bookmarkEnd w:id="19"/>
      <w:bookmarkEnd w:id="20"/>
      <w:bookmarkEnd w:id="21"/>
      <w:bookmarkEnd w:id="22"/>
    </w:p>
    <w:p w14:paraId="5F16D744">
      <w:pPr>
        <w:spacing w:line="360" w:lineRule="auto"/>
        <w:ind w:firstLine="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本须知前附表2集中列示了资格性、符合性检查的所有条款，其内容是磋商小组判断报价人的报价是否有效的重要依据。</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456"/>
        <w:gridCol w:w="740"/>
        <w:gridCol w:w="6831"/>
      </w:tblGrid>
      <w:tr w14:paraId="1578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single" w:color="auto" w:sz="4" w:space="0"/>
              <w:left w:val="single" w:color="auto" w:sz="4" w:space="0"/>
              <w:bottom w:val="single" w:color="auto" w:sz="4" w:space="0"/>
              <w:right w:val="single" w:color="auto" w:sz="4" w:space="0"/>
            </w:tcBorders>
            <w:noWrap w:val="0"/>
            <w:vAlign w:val="top"/>
          </w:tcPr>
          <w:p w14:paraId="122B683E">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资格性要求</w:t>
            </w:r>
          </w:p>
        </w:tc>
      </w:tr>
      <w:tr w14:paraId="19B5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347EFB7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42DD9D0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7D15904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6831" w:type="dxa"/>
            <w:tcBorders>
              <w:top w:val="single" w:color="auto" w:sz="4" w:space="0"/>
              <w:left w:val="single" w:color="auto" w:sz="4" w:space="0"/>
              <w:bottom w:val="single" w:color="auto" w:sz="4" w:space="0"/>
              <w:right w:val="single" w:color="auto" w:sz="4" w:space="0"/>
            </w:tcBorders>
            <w:noWrap w:val="0"/>
            <w:vAlign w:val="center"/>
          </w:tcPr>
          <w:p w14:paraId="411A086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w:t>
            </w:r>
          </w:p>
        </w:tc>
      </w:tr>
      <w:tr w14:paraId="77A3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14:paraId="5F37883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56" w:type="dxa"/>
            <w:tcBorders>
              <w:top w:val="single" w:color="auto" w:sz="4" w:space="0"/>
              <w:left w:val="single" w:color="auto" w:sz="4" w:space="0"/>
              <w:bottom w:val="single" w:color="auto" w:sz="4" w:space="0"/>
              <w:right w:val="single" w:color="auto" w:sz="4" w:space="0"/>
            </w:tcBorders>
            <w:noWrap w:val="0"/>
            <w:vAlign w:val="top"/>
          </w:tcPr>
          <w:p w14:paraId="48A3B07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497AD0D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831" w:type="dxa"/>
            <w:tcBorders>
              <w:top w:val="single" w:color="auto" w:sz="4" w:space="0"/>
              <w:left w:val="single" w:color="auto" w:sz="4" w:space="0"/>
              <w:bottom w:val="single" w:color="auto" w:sz="4" w:space="0"/>
              <w:right w:val="single" w:color="auto" w:sz="4" w:space="0"/>
            </w:tcBorders>
            <w:noWrap w:val="0"/>
            <w:vAlign w:val="top"/>
          </w:tcPr>
          <w:p w14:paraId="660B1994">
            <w:pPr>
              <w:pStyle w:val="7"/>
              <w:spacing w:line="360" w:lineRule="auto"/>
              <w:jc w:val="lef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3.合格的报价人</w:t>
            </w:r>
          </w:p>
          <w:p w14:paraId="685FD37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凡有能力提供本采购文件所服务的，符合本采购文件规定资格要求的报价人均可能成为合格的报价人。</w:t>
            </w:r>
          </w:p>
          <w:p w14:paraId="2FF611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报价人具备《中华人民共和国政府采购法》第二十二条第一款规定的条件，应提供以下材料：</w:t>
            </w:r>
          </w:p>
          <w:p w14:paraId="255BBCD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（1）法人或者其他组织的营业执照等证明文件，自然人的身份证明；</w:t>
            </w:r>
          </w:p>
          <w:p w14:paraId="69A9C51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报价人是法人或者其他组织的应提供营业执照等证明文件，报价人是自然人的应提供有效的自然人身份证明。</w:t>
            </w:r>
          </w:p>
          <w:p w14:paraId="0772FA0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（2）报价人已提供加载有统一社会信用代码营业执照的，视为已提供税务登记证和组织机构代码证。</w:t>
            </w:r>
          </w:p>
          <w:p w14:paraId="749231DA">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（3）按要求提供福建省</w:t>
            </w:r>
            <w:r>
              <w:rPr>
                <w:rFonts w:hint="eastAsia" w:ascii="宋体" w:hAnsi="宋体" w:eastAsia="宋体" w:cs="宋体"/>
                <w:b/>
                <w:bCs/>
                <w:color w:val="auto"/>
                <w:sz w:val="24"/>
                <w:szCs w:val="24"/>
                <w:highlight w:val="none"/>
              </w:rPr>
              <w:t>政府采购供应商资格承诺函</w:t>
            </w:r>
            <w:r>
              <w:rPr>
                <w:rFonts w:hint="eastAsia" w:ascii="宋体" w:hAnsi="宋体" w:eastAsia="宋体" w:cs="宋体"/>
                <w:b/>
                <w:bCs/>
                <w:color w:val="auto"/>
                <w:sz w:val="24"/>
                <w:szCs w:val="24"/>
                <w:highlight w:val="none"/>
                <w:lang w:eastAsia="zh-CN"/>
              </w:rPr>
              <w:t>。</w:t>
            </w:r>
          </w:p>
          <w:p w14:paraId="35010C9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报价人应遵守有关法律、法规和规章的规定，同时其响应货物或服务也应符合有关法律、法规和规章的规定。</w:t>
            </w:r>
          </w:p>
          <w:p w14:paraId="27E2F1B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3.3一个报价人只能提交一个报价文件。如果报价人之间存在下列互为关联关系的情形之一的，不得同时参加本项目同一合同包响应：</w:t>
            </w:r>
          </w:p>
          <w:p w14:paraId="4ABE328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法定代表人、单位负责人为同一人或夫妻关系的不同报价人；</w:t>
            </w:r>
          </w:p>
          <w:p w14:paraId="54DF9C3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存在直接控股、管理关系的不同报价人；</w:t>
            </w:r>
          </w:p>
          <w:p w14:paraId="3B8CFA9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均为同一家母公司直接或间接持股50％及以上的被投资公司。</w:t>
            </w:r>
          </w:p>
          <w:p w14:paraId="6893110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 报价人不得与本次磋商项下设计、编制技术规格和其他文件的公司或提供咨询服务的公司包括其附属机构有关联关系，关联关系指：(1)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14:paraId="5F80642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3.5若接受联合体磋商，则两个或者两个以上报价人可以组成一个响应联合体，以一个报价人的身份响应。</w:t>
            </w:r>
          </w:p>
          <w:p w14:paraId="3F16899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联合体形式参加磋商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14:paraId="7D75DC7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之间应当签订共同响应协议，明确约定联合体各方承担的工作和相应的责任，并将共同响应协议连同报价文件一并提交采购代理机构。联合体各方签订共同磋商协议后，不得再以自己名义单独在同一项目中响应，也不得组成新的联合体参加同一项目响应。</w:t>
            </w:r>
          </w:p>
          <w:p w14:paraId="7E8359A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以联合体形式响应的，除本采购文件其他章节或本须知其他条款另有规定或要求外，报价文件中仅加盖联合体一方公章的相关文件，对联合体各方均具有约束力。</w:t>
            </w:r>
          </w:p>
          <w:p w14:paraId="6FC1231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（3）项目如涉及资质要求，该部分内容应由联合体中具有该资质要求的报价人承担。联合体协议及签订的采购合同应包含此项内容。</w:t>
            </w:r>
          </w:p>
          <w:p w14:paraId="794266DF">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(4)联合体中有同类资质的报价人按照联合体分工承担相同工作的，应当按照资质等级较低的报价人确定资质等级。</w:t>
            </w:r>
          </w:p>
          <w:p w14:paraId="5D128EF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3.6磋商代理人在同一个项目中只能接受一个报价人的委托参加磋商响应。</w:t>
            </w:r>
          </w:p>
          <w:p w14:paraId="01A8C09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3.7报价人存在下列情形之一的，将被认定为串通响应行为并作无效响应处理：</w:t>
            </w:r>
          </w:p>
          <w:p w14:paraId="3A9DBEE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（1）报价人之间协商磋商报价等采购文件的实质性内容；</w:t>
            </w:r>
          </w:p>
          <w:p w14:paraId="6B081B6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（2）报价人之间约定成交供应商；</w:t>
            </w:r>
          </w:p>
          <w:p w14:paraId="236F68A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（3）报价人之间约定部分报价人放弃磋商响应或者成交；</w:t>
            </w:r>
          </w:p>
          <w:p w14:paraId="508BDEC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（4）属于同一集团、协会、商会等组织成员的报价人按照该组织要求协同磋商响应；</w:t>
            </w:r>
          </w:p>
          <w:p w14:paraId="036E4F8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（5）报价人之间为谋取成交或者排斥特定报价人而采取的其他联合行动；</w:t>
            </w:r>
          </w:p>
          <w:p w14:paraId="12E5E1E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（6）不同报价人的报价文件由同一单位或者个人编制；</w:t>
            </w:r>
          </w:p>
          <w:p w14:paraId="2EBFB49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（7）不同报价人委托同一单位或者个人办理磋商响应事宜；</w:t>
            </w:r>
          </w:p>
          <w:p w14:paraId="4976901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（8）不同报价人的报价文件载明的项目管理成员为同一人；</w:t>
            </w:r>
          </w:p>
          <w:p w14:paraId="704468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（9）不同报价人的报价文件异常一致或者报价呈规律性差异；</w:t>
            </w:r>
          </w:p>
          <w:p w14:paraId="0500053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（10）不同报价人的报价文件相互混装；</w:t>
            </w:r>
          </w:p>
          <w:p w14:paraId="4F1B93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（11）不同报价人的磋商保证金从同一单位或者个人的账户转出。</w:t>
            </w:r>
          </w:p>
          <w:p w14:paraId="2472B65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（12）不同报价人的报价文件错、漏之处一致或雷同，且不能合理解释的；</w:t>
            </w:r>
          </w:p>
          <w:p w14:paraId="212F33A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（13）不同的报价人的法定代表人、委托代理人等由同一个单位缴纳社会保险的；</w:t>
            </w:r>
          </w:p>
          <w:p w14:paraId="3FF3AF9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（14）由同一人或分别由几个有利害关系的人携带两个以上（含两个）报价人的企业资料参与资格审查、领取采购资料，或代表两个以上（含两个）报价人参加项目答疑会、交纳或退还磋商保证金、参加磋商的；</w:t>
            </w:r>
          </w:p>
          <w:p w14:paraId="06AAAB3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（15）有关法律、法规或规章规定的其他串通行为。</w:t>
            </w:r>
          </w:p>
        </w:tc>
      </w:tr>
      <w:tr w14:paraId="79A4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14:paraId="690754C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56" w:type="dxa"/>
            <w:tcBorders>
              <w:top w:val="single" w:color="auto" w:sz="4" w:space="0"/>
              <w:left w:val="single" w:color="auto" w:sz="4" w:space="0"/>
              <w:bottom w:val="single" w:color="auto" w:sz="4" w:space="0"/>
              <w:right w:val="single" w:color="auto" w:sz="4" w:space="0"/>
            </w:tcBorders>
            <w:noWrap w:val="0"/>
            <w:vAlign w:val="top"/>
          </w:tcPr>
          <w:p w14:paraId="56D8F29B">
            <w:pPr>
              <w:spacing w:line="360" w:lineRule="auto"/>
              <w:jc w:val="center"/>
              <w:rPr>
                <w:rFonts w:hint="eastAsia" w:ascii="宋体" w:hAnsi="宋体" w:eastAsia="宋体" w:cs="宋体"/>
                <w:color w:val="auto"/>
                <w:sz w:val="24"/>
                <w:szCs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3A707D8A">
            <w:pPr>
              <w:spacing w:line="360" w:lineRule="auto"/>
              <w:jc w:val="center"/>
              <w:rPr>
                <w:rFonts w:hint="eastAsia" w:ascii="宋体" w:hAnsi="宋体" w:eastAsia="宋体" w:cs="宋体"/>
                <w:color w:val="auto"/>
                <w:sz w:val="24"/>
                <w:szCs w:val="24"/>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14:paraId="001A4CD9">
            <w:pPr>
              <w:tabs>
                <w:tab w:val="left" w:pos="63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信用记录按照下列规定执行：信用记录的查询及审查：①由评审专家评审当日通过“信用中国”网站（www.creditchina.gov.cn）、中国政府采购网（www.ccgp.gov.cn）、“信用厦门”网站（credit.xm.gov.cn）查询并打印报价人信用记录（以下简称：“评审专家的查询结果”）。②查询结果显示供应商存在不良信用记录（包含列入失信被执行人、重大税收违法案件当事人名单、政府采购严重违法失信行为记录名单及其他不符合《中华人民共和国政府采购法》第二十二条规定条件）的，其资格审查不合格。因查询渠道网站原因导致查无供应商信息的，不认定供应商资格审查不合格；评审结束后，通过其他渠道发现供应商存在不良信用记录的，不认定为资格审查错误，将依照有关规定进行调查处理。 </w:t>
            </w:r>
          </w:p>
        </w:tc>
      </w:tr>
      <w:tr w14:paraId="669A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14:paraId="6047D47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56" w:type="dxa"/>
            <w:tcBorders>
              <w:top w:val="single" w:color="auto" w:sz="4" w:space="0"/>
              <w:left w:val="single" w:color="auto" w:sz="4" w:space="0"/>
              <w:bottom w:val="single" w:color="auto" w:sz="4" w:space="0"/>
              <w:right w:val="single" w:color="auto" w:sz="4" w:space="0"/>
            </w:tcBorders>
            <w:noWrap w:val="0"/>
            <w:vAlign w:val="top"/>
          </w:tcPr>
          <w:p w14:paraId="3512BF8E">
            <w:pPr>
              <w:spacing w:line="360" w:lineRule="auto"/>
              <w:jc w:val="center"/>
              <w:rPr>
                <w:rFonts w:hint="eastAsia" w:ascii="宋体" w:hAnsi="宋体" w:eastAsia="宋体" w:cs="宋体"/>
                <w:color w:val="auto"/>
                <w:sz w:val="24"/>
                <w:szCs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2C8D1D5C">
            <w:pPr>
              <w:spacing w:line="360" w:lineRule="auto"/>
              <w:jc w:val="center"/>
              <w:rPr>
                <w:rFonts w:hint="eastAsia" w:ascii="宋体" w:hAnsi="宋体" w:eastAsia="宋体" w:cs="宋体"/>
                <w:color w:val="auto"/>
                <w:sz w:val="24"/>
                <w:szCs w:val="24"/>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14:paraId="7BBD80E7">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b/>
                <w:bCs w:val="0"/>
                <w:color w:val="auto"/>
                <w:kern w:val="0"/>
                <w:sz w:val="24"/>
                <w:highlight w:val="none"/>
                <w:lang w:val="en-US" w:eastAsia="zh-CN"/>
              </w:rPr>
              <w:t>*3.10.1</w:t>
            </w:r>
            <w:r>
              <w:rPr>
                <w:rFonts w:hint="eastAsia" w:ascii="宋体" w:hAnsi="宋体" w:eastAsia="宋体" w:cs="宋体"/>
                <w:b/>
                <w:bCs w:val="0"/>
                <w:color w:val="auto"/>
                <w:sz w:val="24"/>
                <w:szCs w:val="24"/>
                <w:highlight w:val="none"/>
                <w:lang w:eastAsia="zh-CN"/>
              </w:rPr>
              <w:t>报价人</w:t>
            </w:r>
            <w:r>
              <w:rPr>
                <w:rFonts w:hint="eastAsia" w:ascii="宋体" w:hAnsi="宋体" w:eastAsia="宋体" w:cs="宋体"/>
                <w:b/>
                <w:bCs w:val="0"/>
                <w:color w:val="auto"/>
                <w:sz w:val="24"/>
                <w:szCs w:val="24"/>
                <w:highlight w:val="none"/>
              </w:rPr>
              <w:t>应提供工商营业执照（副本）（加盖公章）的复印件，提供税务登记证及组织机构代码证复印件。</w:t>
            </w:r>
            <w:r>
              <w:rPr>
                <w:rFonts w:hint="eastAsia" w:ascii="宋体" w:hAnsi="宋体" w:eastAsia="宋体" w:cs="宋体"/>
                <w:b/>
                <w:bCs w:val="0"/>
                <w:color w:val="auto"/>
                <w:sz w:val="24"/>
                <w:szCs w:val="24"/>
                <w:highlight w:val="none"/>
                <w:lang w:eastAsia="zh-CN"/>
              </w:rPr>
              <w:t>报价人</w:t>
            </w:r>
            <w:r>
              <w:rPr>
                <w:rFonts w:hint="eastAsia" w:ascii="宋体" w:hAnsi="宋体" w:eastAsia="宋体" w:cs="宋体"/>
                <w:b/>
                <w:bCs w:val="0"/>
                <w:color w:val="auto"/>
                <w:sz w:val="24"/>
                <w:szCs w:val="24"/>
                <w:highlight w:val="none"/>
              </w:rPr>
              <w:t>已提供加载有统一社会信用代码营业执照的，视为已提供税务登记证和组织机构代码证。</w:t>
            </w:r>
          </w:p>
        </w:tc>
      </w:tr>
      <w:tr w14:paraId="3561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14:paraId="6D07F8BC">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456" w:type="dxa"/>
            <w:tcBorders>
              <w:top w:val="single" w:color="auto" w:sz="4" w:space="0"/>
              <w:left w:val="single" w:color="auto" w:sz="4" w:space="0"/>
              <w:bottom w:val="single" w:color="auto" w:sz="4" w:space="0"/>
              <w:right w:val="single" w:color="auto" w:sz="4" w:space="0"/>
            </w:tcBorders>
            <w:noWrap w:val="0"/>
            <w:vAlign w:val="top"/>
          </w:tcPr>
          <w:p w14:paraId="7946EBEB">
            <w:pPr>
              <w:spacing w:line="360" w:lineRule="auto"/>
              <w:jc w:val="center"/>
              <w:rPr>
                <w:rFonts w:hint="eastAsia" w:ascii="宋体" w:hAnsi="宋体" w:eastAsia="宋体" w:cs="宋体"/>
                <w:color w:val="auto"/>
                <w:sz w:val="24"/>
                <w:szCs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top"/>
          </w:tcPr>
          <w:p w14:paraId="199CBC32">
            <w:pPr>
              <w:spacing w:line="360" w:lineRule="auto"/>
              <w:jc w:val="center"/>
              <w:rPr>
                <w:rFonts w:hint="eastAsia" w:ascii="宋体" w:hAnsi="宋体" w:eastAsia="宋体" w:cs="宋体"/>
                <w:color w:val="auto"/>
                <w:sz w:val="24"/>
                <w:szCs w:val="24"/>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14:paraId="0B56AA42">
            <w:pPr>
              <w:widowControl/>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bCs w:val="0"/>
                <w:color w:val="auto"/>
                <w:sz w:val="24"/>
                <w:szCs w:val="24"/>
                <w:highlight w:val="none"/>
                <w:lang w:val="en-US" w:eastAsia="zh-CN"/>
              </w:rPr>
              <w:t>*3.10.2</w:t>
            </w:r>
            <w:r>
              <w:rPr>
                <w:rFonts w:hint="eastAsia" w:ascii="宋体" w:hAnsi="宋体" w:eastAsia="宋体" w:cs="宋体"/>
                <w:b/>
                <w:color w:val="auto"/>
                <w:sz w:val="24"/>
                <w:szCs w:val="24"/>
                <w:highlight w:val="none"/>
                <w:lang w:eastAsia="zh-CN"/>
              </w:rPr>
              <w:t>报价人</w:t>
            </w:r>
            <w:r>
              <w:rPr>
                <w:rFonts w:hint="eastAsia" w:ascii="宋体" w:hAnsi="宋体" w:eastAsia="宋体" w:cs="宋体"/>
                <w:b/>
                <w:color w:val="auto"/>
                <w:sz w:val="24"/>
                <w:szCs w:val="24"/>
                <w:highlight w:val="none"/>
              </w:rPr>
              <w:t>全权代表若不是单位负责人或法定代表人，应提供</w:t>
            </w:r>
            <w:r>
              <w:rPr>
                <w:rFonts w:hint="eastAsia" w:ascii="宋体" w:hAnsi="宋体" w:eastAsia="宋体" w:cs="宋体"/>
                <w:b/>
                <w:color w:val="auto"/>
                <w:sz w:val="24"/>
                <w:szCs w:val="24"/>
                <w:highlight w:val="none"/>
                <w:lang w:val="en-US" w:eastAsia="zh-CN"/>
              </w:rPr>
              <w:t>单位</w:t>
            </w:r>
            <w:r>
              <w:rPr>
                <w:rFonts w:hint="eastAsia" w:ascii="宋体" w:hAnsi="宋体" w:eastAsia="宋体" w:cs="宋体"/>
                <w:b/>
                <w:color w:val="auto"/>
                <w:sz w:val="24"/>
                <w:szCs w:val="24"/>
                <w:highlight w:val="none"/>
              </w:rPr>
              <w:t>授权书原件，并提供被授权代表身份证复印件。</w:t>
            </w:r>
          </w:p>
        </w:tc>
      </w:tr>
      <w:tr w14:paraId="484C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single" w:color="auto" w:sz="4" w:space="0"/>
              <w:left w:val="single" w:color="auto" w:sz="4" w:space="0"/>
              <w:bottom w:val="single" w:color="auto" w:sz="4" w:space="0"/>
              <w:right w:val="single" w:color="auto" w:sz="4" w:space="0"/>
            </w:tcBorders>
            <w:noWrap w:val="0"/>
            <w:vAlign w:val="top"/>
          </w:tcPr>
          <w:p w14:paraId="7A5C0741">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符合性要求</w:t>
            </w:r>
          </w:p>
        </w:tc>
      </w:tr>
      <w:tr w14:paraId="1421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10F79C1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184422D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05CB1A4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6831" w:type="dxa"/>
            <w:tcBorders>
              <w:top w:val="single" w:color="auto" w:sz="4" w:space="0"/>
              <w:left w:val="single" w:color="auto" w:sz="4" w:space="0"/>
              <w:bottom w:val="single" w:color="auto" w:sz="4" w:space="0"/>
              <w:right w:val="single" w:color="auto" w:sz="4" w:space="0"/>
            </w:tcBorders>
            <w:noWrap w:val="0"/>
            <w:vAlign w:val="center"/>
          </w:tcPr>
          <w:p w14:paraId="2BCEF0C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w:t>
            </w:r>
          </w:p>
        </w:tc>
      </w:tr>
      <w:tr w14:paraId="26670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50A2AA3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259F2E2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29D6B24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831" w:type="dxa"/>
            <w:tcBorders>
              <w:top w:val="single" w:color="auto" w:sz="4" w:space="0"/>
              <w:left w:val="single" w:color="auto" w:sz="4" w:space="0"/>
              <w:bottom w:val="single" w:color="auto" w:sz="4" w:space="0"/>
              <w:right w:val="single" w:color="auto" w:sz="4" w:space="0"/>
            </w:tcBorders>
            <w:noWrap w:val="0"/>
            <w:vAlign w:val="top"/>
          </w:tcPr>
          <w:p w14:paraId="3588698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报价人的报价文件未按规定的响应截止时间之前提交的，其响应将被拒绝。</w:t>
            </w:r>
          </w:p>
        </w:tc>
      </w:tr>
      <w:tr w14:paraId="2EDC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5619B9D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1325BFA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77CEE15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6831" w:type="dxa"/>
            <w:tcBorders>
              <w:top w:val="single" w:color="auto" w:sz="4" w:space="0"/>
              <w:left w:val="single" w:color="auto" w:sz="4" w:space="0"/>
              <w:bottom w:val="single" w:color="auto" w:sz="4" w:space="0"/>
              <w:right w:val="single" w:color="auto" w:sz="4" w:space="0"/>
            </w:tcBorders>
            <w:noWrap w:val="0"/>
            <w:vAlign w:val="top"/>
          </w:tcPr>
          <w:p w14:paraId="1A4E9852">
            <w:pPr>
              <w:pStyle w:val="7"/>
              <w:spacing w:line="360" w:lineRule="auto"/>
              <w:jc w:val="lef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8.要求</w:t>
            </w:r>
          </w:p>
          <w:p w14:paraId="21FEE77F">
            <w:pPr>
              <w:pStyle w:val="7"/>
              <w:spacing w:line="360" w:lineRule="auto"/>
              <w:ind w:firstLine="48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8.1报价人应仔细阅读采购文件的所有内容，按采购文件的要求提供报价文件，报价文件应对采购文件的要求作出实质性响应，并保证所提供的全部资料的真实性，否则其报价文件可被作响应无效处理。</w:t>
            </w:r>
          </w:p>
          <w:p w14:paraId="14BC5F5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8.2除非有另外的规定，报价人应按被邀请参加响应的合同包进行报价，同时，应对所报价合同包下的所有品目号进行报价。采购人不接受有任何可选择性的报价，每一种货物、服务、工程只能有一个报价。</w:t>
            </w:r>
          </w:p>
        </w:tc>
      </w:tr>
      <w:tr w14:paraId="4963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0D61493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28FA610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4CF69D5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6831" w:type="dxa"/>
            <w:tcBorders>
              <w:top w:val="single" w:color="auto" w:sz="4" w:space="0"/>
              <w:left w:val="single" w:color="auto" w:sz="4" w:space="0"/>
              <w:bottom w:val="single" w:color="auto" w:sz="4" w:space="0"/>
              <w:right w:val="single" w:color="auto" w:sz="4" w:space="0"/>
            </w:tcBorders>
            <w:noWrap w:val="0"/>
            <w:vAlign w:val="top"/>
          </w:tcPr>
          <w:p w14:paraId="707C1E0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报价文件有效期：</w:t>
            </w:r>
          </w:p>
          <w:p w14:paraId="2077147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报价文件提交截止之日起</w:t>
            </w:r>
            <w:r>
              <w:rPr>
                <w:rFonts w:hint="eastAsia" w:ascii="宋体" w:hAnsi="宋体" w:eastAsia="宋体" w:cs="宋体"/>
                <w:color w:val="auto"/>
                <w:sz w:val="24"/>
                <w:szCs w:val="24"/>
                <w:highlight w:val="none"/>
                <w:u w:val="single"/>
              </w:rPr>
              <w:t xml:space="preserve">  90 </w:t>
            </w:r>
            <w:r>
              <w:rPr>
                <w:rFonts w:hint="eastAsia" w:ascii="宋体" w:hAnsi="宋体" w:eastAsia="宋体" w:cs="宋体"/>
                <w:color w:val="auto"/>
                <w:sz w:val="24"/>
                <w:szCs w:val="24"/>
                <w:highlight w:val="none"/>
              </w:rPr>
              <w:t>个日历日。</w:t>
            </w:r>
          </w:p>
          <w:p w14:paraId="131B630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有效期不足将导致其报价文件被拒绝。</w:t>
            </w:r>
          </w:p>
        </w:tc>
      </w:tr>
      <w:tr w14:paraId="41A5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581BFBE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5E2AE24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734EE82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w:t>
            </w:r>
          </w:p>
        </w:tc>
        <w:tc>
          <w:tcPr>
            <w:tcW w:w="6831" w:type="dxa"/>
            <w:tcBorders>
              <w:top w:val="single" w:color="auto" w:sz="4" w:space="0"/>
              <w:left w:val="single" w:color="auto" w:sz="4" w:space="0"/>
              <w:bottom w:val="single" w:color="auto" w:sz="4" w:space="0"/>
              <w:right w:val="single" w:color="auto" w:sz="4" w:space="0"/>
            </w:tcBorders>
            <w:noWrap w:val="0"/>
            <w:vAlign w:val="top"/>
          </w:tcPr>
          <w:p w14:paraId="280BE434">
            <w:pPr>
              <w:pStyle w:val="7"/>
              <w:spacing w:line="360" w:lineRule="auto"/>
              <w:ind w:firstLine="480" w:firstLineChars="20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12.5 未按要求提交磋商保证金的磋商响应，将被视为无效响应。</w:t>
            </w:r>
          </w:p>
        </w:tc>
      </w:tr>
      <w:tr w14:paraId="5A03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57D1892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5F87B9F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0F48746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w:t>
            </w:r>
          </w:p>
        </w:tc>
        <w:tc>
          <w:tcPr>
            <w:tcW w:w="6831" w:type="dxa"/>
            <w:tcBorders>
              <w:top w:val="single" w:color="auto" w:sz="4" w:space="0"/>
              <w:left w:val="single" w:color="auto" w:sz="4" w:space="0"/>
              <w:bottom w:val="single" w:color="auto" w:sz="4" w:space="0"/>
              <w:right w:val="single" w:color="auto" w:sz="4" w:space="0"/>
            </w:tcBorders>
            <w:noWrap w:val="0"/>
            <w:vAlign w:val="top"/>
          </w:tcPr>
          <w:p w14:paraId="18723156">
            <w:pPr>
              <w:pStyle w:val="20"/>
              <w:spacing w:line="360" w:lineRule="auto"/>
              <w:ind w:firstLine="480" w:firstLineChars="200"/>
              <w:outlineLvl w:val="9"/>
              <w:rPr>
                <w:rFonts w:hint="eastAsia" w:hAnsi="宋体" w:eastAsia="宋体" w:cs="宋体"/>
                <w:color w:val="auto"/>
                <w:sz w:val="24"/>
                <w:szCs w:val="24"/>
                <w:highlight w:val="none"/>
                <w:lang w:val="en-US" w:eastAsia="zh-CN"/>
              </w:rPr>
            </w:pPr>
            <w:bookmarkStart w:id="23" w:name="_Toc1718906510"/>
            <w:bookmarkStart w:id="24" w:name="_Toc1112300442"/>
            <w:r>
              <w:rPr>
                <w:rFonts w:hint="eastAsia" w:hAnsi="宋体" w:eastAsia="宋体" w:cs="宋体"/>
                <w:color w:val="auto"/>
                <w:sz w:val="24"/>
                <w:szCs w:val="24"/>
                <w:highlight w:val="none"/>
                <w:lang w:val="en-US" w:eastAsia="zh-CN"/>
              </w:rPr>
              <w:t>13.7未按本须知规定的格式填写报价文件、报价文件字迹模糊不清的，其磋商响应将被拒绝。</w:t>
            </w:r>
            <w:bookmarkEnd w:id="23"/>
            <w:bookmarkEnd w:id="24"/>
          </w:p>
        </w:tc>
      </w:tr>
      <w:tr w14:paraId="4174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2249F82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0975A0B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127AC15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6831" w:type="dxa"/>
            <w:tcBorders>
              <w:top w:val="single" w:color="auto" w:sz="4" w:space="0"/>
              <w:left w:val="single" w:color="auto" w:sz="4" w:space="0"/>
              <w:bottom w:val="single" w:color="auto" w:sz="4" w:space="0"/>
              <w:right w:val="single" w:color="auto" w:sz="4" w:space="0"/>
            </w:tcBorders>
            <w:noWrap w:val="0"/>
            <w:vAlign w:val="top"/>
          </w:tcPr>
          <w:p w14:paraId="3BDC4AB1">
            <w:pPr>
              <w:pStyle w:val="20"/>
              <w:spacing w:line="360" w:lineRule="auto"/>
              <w:ind w:firstLine="480" w:firstLineChars="200"/>
              <w:outlineLvl w:val="9"/>
              <w:rPr>
                <w:rFonts w:hint="eastAsia" w:hAnsi="宋体" w:eastAsia="宋体" w:cs="宋体"/>
                <w:color w:val="auto"/>
                <w:sz w:val="24"/>
                <w:szCs w:val="24"/>
                <w:highlight w:val="none"/>
                <w:lang w:val="en-US" w:eastAsia="zh-CN"/>
              </w:rPr>
            </w:pPr>
            <w:bookmarkStart w:id="25" w:name="_Toc792053045"/>
            <w:bookmarkStart w:id="26" w:name="_Toc1974679860"/>
            <w:r>
              <w:rPr>
                <w:rFonts w:hint="eastAsia" w:hAnsi="宋体" w:eastAsia="宋体" w:cs="宋体"/>
                <w:color w:val="auto"/>
                <w:sz w:val="24"/>
                <w:szCs w:val="24"/>
                <w:highlight w:val="none"/>
                <w:lang w:val="en-US" w:eastAsia="zh-CN"/>
              </w:rPr>
              <w:t>14.1 报价人应将报价文件正本和副本分别用信封密封，并标明采购文件编号、报价人名称、采购项目名称及“正本”或“副本”。报价文件未密封可导致其磋商被拒绝。</w:t>
            </w:r>
            <w:bookmarkEnd w:id="25"/>
            <w:bookmarkEnd w:id="26"/>
          </w:p>
          <w:p w14:paraId="4597C295">
            <w:pPr>
              <w:pStyle w:val="20"/>
              <w:spacing w:line="360" w:lineRule="auto"/>
              <w:ind w:firstLine="480" w:firstLineChars="200"/>
              <w:outlineLvl w:val="9"/>
              <w:rPr>
                <w:rFonts w:hint="eastAsia" w:hAnsi="宋体" w:eastAsia="宋体" w:cs="宋体"/>
                <w:color w:val="auto"/>
                <w:sz w:val="24"/>
                <w:szCs w:val="24"/>
                <w:highlight w:val="none"/>
                <w:lang w:val="en-US" w:eastAsia="zh-CN"/>
              </w:rPr>
            </w:pPr>
            <w:bookmarkStart w:id="27" w:name="_Toc1314131616"/>
            <w:bookmarkStart w:id="28" w:name="_Toc999105342"/>
            <w:r>
              <w:rPr>
                <w:rFonts w:hint="eastAsia" w:hAnsi="宋体" w:eastAsia="宋体" w:cs="宋体"/>
                <w:color w:val="auto"/>
                <w:sz w:val="24"/>
                <w:szCs w:val="24"/>
                <w:highlight w:val="none"/>
                <w:lang w:val="en-US" w:eastAsia="zh-CN"/>
              </w:rPr>
              <w:t>14.5报价文件应在磋商邀请中规定的截止时间前送达，迟到的报价文件为无效报价文件，将被拒绝。</w:t>
            </w:r>
            <w:bookmarkEnd w:id="27"/>
            <w:bookmarkEnd w:id="28"/>
          </w:p>
          <w:p w14:paraId="3C782588">
            <w:pPr>
              <w:pStyle w:val="20"/>
              <w:spacing w:line="360" w:lineRule="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 xml:space="preserve">    </w:t>
            </w:r>
            <w:bookmarkStart w:id="29" w:name="_Toc21224"/>
            <w:bookmarkStart w:id="30" w:name="_Toc25531"/>
            <w:bookmarkStart w:id="31" w:name="_Toc1156887192"/>
            <w:bookmarkStart w:id="32" w:name="_Toc7989"/>
            <w:bookmarkStart w:id="33" w:name="_Toc1114378447"/>
            <w:bookmarkStart w:id="34" w:name="_Toc6852"/>
            <w:r>
              <w:rPr>
                <w:rFonts w:hint="eastAsia" w:hAnsi="宋体" w:eastAsia="宋体" w:cs="宋体"/>
                <w:color w:val="auto"/>
                <w:sz w:val="24"/>
                <w:szCs w:val="24"/>
                <w:highlight w:val="none"/>
                <w:lang w:val="en-US" w:eastAsia="zh-CN"/>
              </w:rPr>
              <w:t>14.7报价人在磋商响应截止期后不得修改、撤回报价文件。报价人在报价截止期后修改报价文件的，其磋商响应将被拒绝。</w:t>
            </w:r>
            <w:bookmarkEnd w:id="29"/>
            <w:bookmarkEnd w:id="30"/>
            <w:bookmarkEnd w:id="31"/>
            <w:bookmarkEnd w:id="32"/>
            <w:bookmarkEnd w:id="33"/>
            <w:bookmarkEnd w:id="34"/>
          </w:p>
        </w:tc>
      </w:tr>
      <w:tr w14:paraId="143C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11D1400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72F0B41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1AC3B4D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6831" w:type="dxa"/>
            <w:tcBorders>
              <w:top w:val="single" w:color="auto" w:sz="4" w:space="0"/>
              <w:left w:val="single" w:color="auto" w:sz="4" w:space="0"/>
              <w:bottom w:val="single" w:color="auto" w:sz="4" w:space="0"/>
              <w:right w:val="single" w:color="auto" w:sz="4" w:space="0"/>
            </w:tcBorders>
            <w:noWrap w:val="0"/>
            <w:vAlign w:val="top"/>
          </w:tcPr>
          <w:p w14:paraId="26031D0B">
            <w:pPr>
              <w:pStyle w:val="7"/>
              <w:spacing w:line="360" w:lineRule="auto"/>
              <w:jc w:val="lef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17.报价文件的初审</w:t>
            </w:r>
          </w:p>
          <w:p w14:paraId="79CD4FD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报价人任何试图影响磋商小组对报价文件的评审、比较或者推荐候选人的行为，都将导致其磋商响应被拒绝，并被没收磋商保证金。</w:t>
            </w:r>
          </w:p>
          <w:p w14:paraId="571A3F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17.1磋商小组将对报价文件进行审查，以确定报价文件是否完整、有无计算上的错误、是否提交了磋商保证金、文件是否已正确签署。 </w:t>
            </w:r>
          </w:p>
          <w:p w14:paraId="17D945B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算术错误将按以下方法更正：</w:t>
            </w:r>
          </w:p>
          <w:p w14:paraId="528A9A9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(1)报价文件中报价一览表内容与报价文件中明细表内容不一致的，以报价一览表为准。</w:t>
            </w:r>
          </w:p>
          <w:p w14:paraId="42A9BCF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452BE70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如果报价人不接受按上述方法对报价文件中的算术错误进行更正，其响应将被拒绝并没收其磋商保证金。</w:t>
            </w:r>
          </w:p>
          <w:p w14:paraId="17A478F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17.3资格性检查和符合性检查 </w:t>
            </w:r>
          </w:p>
          <w:p w14:paraId="4BF3997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17.3.1资格性检查。依据法律法规和采购文件的规定，在对报价文件详细评估之前，磋商小组将依据报价人提交的报价文件按报价人须知前附表2所述的资格性要求对报价人进行资格审查, 以确定其是否具备磋商资格。如果报价人不具备磋商资格，不满足采购文件所规定的资格标准或提供资格证明文件不全的, 其磋商响应将被拒绝。</w:t>
            </w:r>
          </w:p>
          <w:p w14:paraId="6D3C5A2A">
            <w:pPr>
              <w:spacing w:line="360" w:lineRule="auto"/>
              <w:ind w:left="31" w:lef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17.3.2符合性检查。依据采购文件的规定，磋商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14:paraId="129EDD31">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(1)未按规定由报价人的法定代表人或其授权代表签字；或未加盖报价人公章的；或签字人未提供单位有效授权委托书的；</w:t>
            </w:r>
          </w:p>
          <w:p w14:paraId="786FAE0A">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(2)未按规定提交磋商保证金的；</w:t>
            </w:r>
          </w:p>
          <w:p w14:paraId="50AD27F7">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(3)磋商响应有效期不满足采购文件要求的；</w:t>
            </w:r>
          </w:p>
          <w:p w14:paraId="12A4D321">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(4)报价文件内容与采购文件内容及要求有重大偏离或保留的；</w:t>
            </w:r>
          </w:p>
          <w:p w14:paraId="3CB8F649">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(5)报价人提交的是可选择的报价；</w:t>
            </w:r>
          </w:p>
          <w:p w14:paraId="1D73A540">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(6)报价人未按采购文件要求进行分项报价；</w:t>
            </w:r>
          </w:p>
          <w:p w14:paraId="73528573">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(7)报价文件中提供虚假或失实资料的；</w:t>
            </w:r>
          </w:p>
          <w:p w14:paraId="14838AF4">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(8)不符合采购文件中规定的其它实质性条款。 </w:t>
            </w:r>
          </w:p>
          <w:p w14:paraId="3C508C9F">
            <w:pPr>
              <w:spacing w:line="360" w:lineRule="auto"/>
              <w:ind w:left="69" w:leftChars="3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磋商小组决定报价的响应性只根据报价文件本身的内容，而不寻求其他的外部证据。</w:t>
            </w:r>
          </w:p>
          <w:p w14:paraId="0D19B6C0">
            <w:pPr>
              <w:pStyle w:val="7"/>
              <w:spacing w:line="360" w:lineRule="auto"/>
              <w:ind w:firstLine="480" w:firstLineChars="20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17.4报价人提交的报价文件将给予保密，但不予退回。</w:t>
            </w:r>
          </w:p>
          <w:p w14:paraId="48C750E7">
            <w:pPr>
              <w:pStyle w:val="4"/>
              <w:snapToGrid w:val="0"/>
              <w:spacing w:line="360" w:lineRule="auto"/>
              <w:ind w:firstLine="480" w:firstLineChars="200"/>
              <w:outlineLvl w:val="0"/>
              <w:rPr>
                <w:rFonts w:hint="eastAsia" w:eastAsia="宋体" w:cs="宋体"/>
                <w:color w:val="auto"/>
                <w:sz w:val="24"/>
                <w:szCs w:val="24"/>
                <w:highlight w:val="none"/>
                <w:lang w:val="en-US" w:eastAsia="zh-CN"/>
              </w:rPr>
            </w:pPr>
            <w:bookmarkStart w:id="35" w:name="_Toc78"/>
            <w:bookmarkStart w:id="36" w:name="_Toc9690"/>
            <w:bookmarkStart w:id="37" w:name="_Toc616433963"/>
            <w:bookmarkStart w:id="38" w:name="_Toc14536"/>
            <w:bookmarkStart w:id="39" w:name="_Toc16986"/>
            <w:bookmarkStart w:id="40" w:name="_Toc1904397553"/>
            <w:r>
              <w:rPr>
                <w:rFonts w:hint="eastAsia" w:eastAsia="宋体" w:cs="宋体"/>
                <w:color w:val="auto"/>
                <w:sz w:val="24"/>
                <w:szCs w:val="24"/>
                <w:highlight w:val="none"/>
                <w:lang w:val="en-US" w:eastAsia="zh-CN"/>
              </w:rPr>
              <w:t>17.5报价人资格和报价产品均必须满足中华人民共和国相关法律法规及行业的强制性要求，否则将作无效响应处理。</w:t>
            </w:r>
            <w:bookmarkEnd w:id="35"/>
            <w:bookmarkEnd w:id="36"/>
            <w:bookmarkEnd w:id="37"/>
            <w:bookmarkEnd w:id="38"/>
            <w:bookmarkEnd w:id="39"/>
            <w:bookmarkEnd w:id="40"/>
          </w:p>
        </w:tc>
      </w:tr>
      <w:tr w14:paraId="2F1B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08A000C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3107888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68E10EE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w:t>
            </w:r>
          </w:p>
        </w:tc>
        <w:tc>
          <w:tcPr>
            <w:tcW w:w="6831" w:type="dxa"/>
            <w:tcBorders>
              <w:top w:val="single" w:color="auto" w:sz="4" w:space="0"/>
              <w:left w:val="single" w:color="auto" w:sz="4" w:space="0"/>
              <w:bottom w:val="single" w:color="auto" w:sz="4" w:space="0"/>
              <w:right w:val="single" w:color="auto" w:sz="4" w:space="0"/>
            </w:tcBorders>
            <w:noWrap w:val="0"/>
            <w:vAlign w:val="top"/>
          </w:tcPr>
          <w:p w14:paraId="6681D4B8">
            <w:pPr>
              <w:pStyle w:val="7"/>
              <w:spacing w:line="360" w:lineRule="auto"/>
              <w:ind w:firstLine="480" w:firstLineChars="20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19.3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tc>
      </w:tr>
      <w:tr w14:paraId="644C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14:paraId="46E9F24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456" w:type="dxa"/>
            <w:tcBorders>
              <w:top w:val="single" w:color="auto" w:sz="4" w:space="0"/>
              <w:left w:val="single" w:color="auto" w:sz="4" w:space="0"/>
              <w:bottom w:val="single" w:color="auto" w:sz="4" w:space="0"/>
              <w:right w:val="single" w:color="auto" w:sz="4" w:space="0"/>
            </w:tcBorders>
            <w:noWrap w:val="0"/>
            <w:vAlign w:val="top"/>
          </w:tcPr>
          <w:p w14:paraId="25AD449B">
            <w:pPr>
              <w:spacing w:line="360" w:lineRule="auto"/>
              <w:jc w:val="center"/>
              <w:rPr>
                <w:rFonts w:hint="eastAsia" w:ascii="宋体" w:hAnsi="宋体" w:eastAsia="宋体" w:cs="宋体"/>
                <w:color w:val="auto"/>
                <w:sz w:val="24"/>
                <w:szCs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top"/>
          </w:tcPr>
          <w:p w14:paraId="5024B686">
            <w:pPr>
              <w:spacing w:line="360" w:lineRule="auto"/>
              <w:jc w:val="center"/>
              <w:rPr>
                <w:rFonts w:hint="eastAsia" w:ascii="宋体" w:hAnsi="宋体" w:eastAsia="宋体" w:cs="宋体"/>
                <w:color w:val="auto"/>
                <w:sz w:val="24"/>
                <w:szCs w:val="24"/>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14:paraId="54D9E944">
            <w:pPr>
              <w:tabs>
                <w:tab w:val="left" w:pos="214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磋商小组将对采购文件中列明的合格报价人应符合“资格性要求”部分做资格审查，没有提供相关证明文件或文件未按规定签署盖章者将导致报价无效。</w:t>
            </w:r>
          </w:p>
        </w:tc>
      </w:tr>
      <w:tr w14:paraId="46A6E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14:paraId="6FECB45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456" w:type="dxa"/>
            <w:tcBorders>
              <w:top w:val="single" w:color="auto" w:sz="4" w:space="0"/>
              <w:left w:val="single" w:color="auto" w:sz="4" w:space="0"/>
              <w:bottom w:val="single" w:color="auto" w:sz="4" w:space="0"/>
              <w:right w:val="single" w:color="auto" w:sz="4" w:space="0"/>
            </w:tcBorders>
            <w:noWrap w:val="0"/>
            <w:vAlign w:val="top"/>
          </w:tcPr>
          <w:p w14:paraId="77A0B98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p>
        </w:tc>
        <w:tc>
          <w:tcPr>
            <w:tcW w:w="740" w:type="dxa"/>
            <w:tcBorders>
              <w:top w:val="single" w:color="auto" w:sz="4" w:space="0"/>
              <w:left w:val="single" w:color="auto" w:sz="4" w:space="0"/>
              <w:bottom w:val="single" w:color="auto" w:sz="4" w:space="0"/>
              <w:right w:val="single" w:color="auto" w:sz="4" w:space="0"/>
            </w:tcBorders>
            <w:noWrap w:val="0"/>
            <w:vAlign w:val="top"/>
          </w:tcPr>
          <w:p w14:paraId="775B057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831" w:type="dxa"/>
            <w:tcBorders>
              <w:top w:val="single" w:color="auto" w:sz="4" w:space="0"/>
              <w:left w:val="single" w:color="auto" w:sz="4" w:space="0"/>
              <w:bottom w:val="single" w:color="auto" w:sz="4" w:space="0"/>
              <w:right w:val="single" w:color="auto" w:sz="4" w:space="0"/>
            </w:tcBorders>
            <w:noWrap w:val="0"/>
            <w:vAlign w:val="top"/>
          </w:tcPr>
          <w:p w14:paraId="7E7F47EC">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全文中带有“*”的条款为关键性条款，如报价人对这些关键性条款还存在任何负偏离或不满足将导致报价无效。报价人应对采购文件中的“*”号条款进行逐条响应，否则评审专家对其报价做出不利评审，报价人必须自行承担责任。</w:t>
            </w:r>
          </w:p>
        </w:tc>
      </w:tr>
      <w:tr w14:paraId="33EE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14:paraId="5A5FCB9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456" w:type="dxa"/>
            <w:tcBorders>
              <w:top w:val="single" w:color="auto" w:sz="4" w:space="0"/>
              <w:left w:val="single" w:color="auto" w:sz="4" w:space="0"/>
              <w:bottom w:val="single" w:color="auto" w:sz="4" w:space="0"/>
              <w:right w:val="single" w:color="auto" w:sz="4" w:space="0"/>
            </w:tcBorders>
            <w:noWrap w:val="0"/>
            <w:vAlign w:val="top"/>
          </w:tcPr>
          <w:p w14:paraId="79B574D9">
            <w:pPr>
              <w:spacing w:line="360" w:lineRule="auto"/>
              <w:jc w:val="center"/>
              <w:rPr>
                <w:rFonts w:hint="eastAsia" w:ascii="宋体" w:hAnsi="宋体" w:eastAsia="宋体" w:cs="宋体"/>
                <w:color w:val="auto"/>
                <w:sz w:val="24"/>
                <w:szCs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top"/>
          </w:tcPr>
          <w:p w14:paraId="26E20518">
            <w:pPr>
              <w:spacing w:line="360" w:lineRule="auto"/>
              <w:jc w:val="center"/>
              <w:rPr>
                <w:rFonts w:hint="eastAsia" w:ascii="宋体" w:hAnsi="宋体" w:eastAsia="宋体" w:cs="宋体"/>
                <w:color w:val="auto"/>
                <w:sz w:val="24"/>
                <w:szCs w:val="24"/>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14:paraId="70FA4684">
            <w:pPr>
              <w:spacing w:line="360" w:lineRule="auto"/>
              <w:ind w:left="69" w:leftChars="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成交供应商必须凭成交通知书的原件与采购人签订《</w:t>
            </w:r>
            <w:r>
              <w:rPr>
                <w:rFonts w:hint="eastAsia" w:ascii="宋体" w:hAnsi="宋体" w:cs="宋体"/>
                <w:b/>
                <w:color w:val="auto"/>
                <w:sz w:val="24"/>
                <w:szCs w:val="24"/>
                <w:highlight w:val="none"/>
                <w:lang w:eastAsia="zh-CN"/>
              </w:rPr>
              <w:t>采购合同</w:t>
            </w:r>
            <w:r>
              <w:rPr>
                <w:rFonts w:hint="eastAsia" w:ascii="宋体" w:hAnsi="宋体" w:eastAsia="宋体" w:cs="宋体"/>
                <w:b/>
                <w:color w:val="auto"/>
                <w:sz w:val="24"/>
                <w:szCs w:val="24"/>
                <w:highlight w:val="none"/>
              </w:rPr>
              <w:t>》。</w:t>
            </w:r>
          </w:p>
        </w:tc>
      </w:tr>
      <w:tr w14:paraId="6D9F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14:paraId="3D84C183">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456" w:type="dxa"/>
            <w:tcBorders>
              <w:top w:val="single" w:color="auto" w:sz="4" w:space="0"/>
              <w:left w:val="single" w:color="auto" w:sz="4" w:space="0"/>
              <w:bottom w:val="single" w:color="auto" w:sz="4" w:space="0"/>
              <w:right w:val="single" w:color="auto" w:sz="4" w:space="0"/>
            </w:tcBorders>
            <w:noWrap w:val="0"/>
            <w:vAlign w:val="top"/>
          </w:tcPr>
          <w:p w14:paraId="63BAB290">
            <w:pPr>
              <w:spacing w:line="360" w:lineRule="auto"/>
              <w:jc w:val="center"/>
              <w:rPr>
                <w:rFonts w:hint="eastAsia" w:ascii="宋体" w:hAnsi="宋体" w:eastAsia="宋体" w:cs="宋体"/>
                <w:color w:val="auto"/>
                <w:sz w:val="24"/>
                <w:szCs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top"/>
          </w:tcPr>
          <w:p w14:paraId="2463BB46">
            <w:pPr>
              <w:spacing w:line="360" w:lineRule="auto"/>
              <w:jc w:val="center"/>
              <w:rPr>
                <w:rFonts w:hint="eastAsia" w:ascii="宋体" w:hAnsi="宋体" w:eastAsia="宋体" w:cs="宋体"/>
                <w:color w:val="auto"/>
                <w:sz w:val="24"/>
                <w:szCs w:val="24"/>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14:paraId="48259A13">
            <w:pPr>
              <w:spacing w:line="360" w:lineRule="auto"/>
              <w:ind w:left="69" w:left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123号）规定的包装要求，其他包装需求详见采购文件具体规定。采购人、成交供应商双方签订合同及验收环节，应包含上述包装要求的条款。</w:t>
            </w:r>
          </w:p>
        </w:tc>
      </w:tr>
    </w:tbl>
    <w:p w14:paraId="31878EB1">
      <w:pPr>
        <w:spacing w:line="360" w:lineRule="auto"/>
        <w:jc w:val="center"/>
        <w:rPr>
          <w:rFonts w:hint="eastAsia" w:ascii="宋体" w:hAnsi="宋体" w:eastAsia="宋体" w:cs="宋体"/>
          <w:b/>
          <w:color w:val="auto"/>
          <w:sz w:val="24"/>
          <w:szCs w:val="24"/>
          <w:highlight w:val="none"/>
        </w:rPr>
      </w:pPr>
    </w:p>
    <w:p w14:paraId="545060BE">
      <w:pPr>
        <w:spacing w:line="360" w:lineRule="auto"/>
        <w:jc w:val="center"/>
        <w:rPr>
          <w:rFonts w:hint="eastAsia" w:ascii="宋体" w:hAnsi="宋体" w:eastAsia="宋体" w:cs="宋体"/>
          <w:b/>
          <w:color w:val="auto"/>
          <w:sz w:val="24"/>
          <w:szCs w:val="24"/>
          <w:highlight w:val="none"/>
        </w:rPr>
      </w:pPr>
    </w:p>
    <w:p w14:paraId="49DAB9C1">
      <w:pPr>
        <w:spacing w:line="360" w:lineRule="auto"/>
        <w:jc w:val="center"/>
        <w:rPr>
          <w:rFonts w:hint="eastAsia" w:ascii="宋体" w:hAnsi="宋体" w:eastAsia="宋体" w:cs="宋体"/>
          <w:b/>
          <w:color w:val="auto"/>
          <w:sz w:val="24"/>
          <w:szCs w:val="24"/>
          <w:highlight w:val="none"/>
        </w:rPr>
      </w:pPr>
    </w:p>
    <w:p w14:paraId="777C0EA1">
      <w:pPr>
        <w:spacing w:line="360" w:lineRule="auto"/>
        <w:jc w:val="center"/>
        <w:rPr>
          <w:rFonts w:hint="eastAsia" w:ascii="宋体" w:hAnsi="宋体" w:eastAsia="宋体" w:cs="宋体"/>
          <w:b/>
          <w:color w:val="auto"/>
          <w:sz w:val="24"/>
          <w:szCs w:val="24"/>
          <w:highlight w:val="none"/>
        </w:rPr>
      </w:pPr>
    </w:p>
    <w:p w14:paraId="0D9E59EE">
      <w:pPr>
        <w:spacing w:line="360" w:lineRule="auto"/>
        <w:ind w:left="69"/>
        <w:rPr>
          <w:rFonts w:hint="eastAsia" w:ascii="宋体" w:hAnsi="宋体" w:eastAsia="宋体" w:cs="宋体"/>
          <w:bCs/>
          <w:color w:val="auto"/>
          <w:sz w:val="24"/>
          <w:szCs w:val="24"/>
          <w:highlight w:val="none"/>
        </w:rPr>
      </w:pPr>
    </w:p>
    <w:p w14:paraId="2128C651">
      <w:pPr>
        <w:spacing w:line="360" w:lineRule="auto"/>
        <w:ind w:left="0" w:firstLine="0" w:firstLineChars="0"/>
        <w:rPr>
          <w:rStyle w:val="16"/>
          <w:rFonts w:hint="eastAsia" w:ascii="宋体" w:hAnsi="宋体" w:eastAsia="宋体" w:cs="宋体"/>
          <w:bCs w:val="0"/>
          <w:color w:val="auto"/>
          <w:sz w:val="24"/>
          <w:szCs w:val="24"/>
          <w:highlight w:val="none"/>
        </w:rPr>
      </w:pPr>
    </w:p>
    <w:p w14:paraId="061B1D26">
      <w:pPr>
        <w:spacing w:line="360" w:lineRule="auto"/>
        <w:jc w:val="center"/>
        <w:rPr>
          <w:rFonts w:hint="eastAsia" w:ascii="宋体" w:hAnsi="宋体" w:eastAsia="宋体" w:cs="宋体"/>
          <w:b/>
          <w:color w:val="auto"/>
          <w:sz w:val="24"/>
          <w:szCs w:val="24"/>
          <w:highlight w:val="none"/>
        </w:rPr>
      </w:pPr>
    </w:p>
    <w:p w14:paraId="0413163E">
      <w:pPr>
        <w:spacing w:line="360" w:lineRule="auto"/>
        <w:rPr>
          <w:rFonts w:hint="eastAsia" w:ascii="宋体" w:hAnsi="宋体" w:eastAsia="宋体" w:cs="宋体"/>
          <w:b/>
          <w:color w:val="auto"/>
          <w:sz w:val="24"/>
          <w:szCs w:val="24"/>
          <w:highlight w:val="none"/>
        </w:rPr>
      </w:pPr>
    </w:p>
    <w:p w14:paraId="6A88137B">
      <w:pPr>
        <w:spacing w:line="360" w:lineRule="auto"/>
        <w:jc w:val="center"/>
        <w:rPr>
          <w:rFonts w:hint="eastAsia" w:ascii="宋体" w:hAnsi="宋体" w:eastAsia="宋体" w:cs="宋体"/>
          <w:b/>
          <w:color w:val="auto"/>
          <w:sz w:val="24"/>
          <w:szCs w:val="24"/>
          <w:highlight w:val="none"/>
        </w:rPr>
      </w:pPr>
    </w:p>
    <w:p w14:paraId="0C2BABAE">
      <w:pPr>
        <w:spacing w:line="360" w:lineRule="auto"/>
        <w:jc w:val="center"/>
        <w:outlineLvl w:val="1"/>
        <w:rPr>
          <w:rFonts w:hint="eastAsia" w:ascii="宋体" w:hAnsi="宋体" w:eastAsia="宋体" w:cs="宋体"/>
          <w:b/>
          <w:color w:val="auto"/>
          <w:sz w:val="32"/>
          <w:szCs w:val="32"/>
          <w:highlight w:val="none"/>
          <w:u w:val="single"/>
        </w:rPr>
        <w:sectPr>
          <w:pgSz w:w="11906" w:h="16838"/>
          <w:pgMar w:top="1440" w:right="1797" w:bottom="1440" w:left="1797" w:header="851" w:footer="992" w:gutter="0"/>
          <w:cols w:space="720" w:num="1"/>
          <w:docGrid w:linePitch="312" w:charSpace="0"/>
        </w:sectPr>
      </w:pPr>
      <w:bookmarkStart w:id="41" w:name="_Toc21579"/>
      <w:bookmarkStart w:id="42" w:name="_Toc1485889157"/>
      <w:bookmarkStart w:id="43" w:name="_Toc25802"/>
    </w:p>
    <w:p w14:paraId="1CE09691">
      <w:pPr>
        <w:spacing w:line="360" w:lineRule="auto"/>
        <w:jc w:val="center"/>
        <w:outlineLvl w:val="1"/>
        <w:rPr>
          <w:rFonts w:hint="eastAsia" w:ascii="宋体" w:hAnsi="宋体" w:eastAsia="宋体" w:cs="宋体"/>
          <w:b/>
          <w:color w:val="auto"/>
          <w:sz w:val="24"/>
          <w:szCs w:val="24"/>
          <w:highlight w:val="none"/>
          <w:u w:val="single"/>
        </w:rPr>
      </w:pPr>
      <w:bookmarkStart w:id="44" w:name="_Toc188013168"/>
      <w:r>
        <w:rPr>
          <w:rFonts w:hint="eastAsia" w:ascii="宋体" w:hAnsi="宋体" w:eastAsia="宋体" w:cs="宋体"/>
          <w:b/>
          <w:color w:val="auto"/>
          <w:sz w:val="32"/>
          <w:szCs w:val="32"/>
          <w:highlight w:val="none"/>
          <w:u w:val="single"/>
        </w:rPr>
        <w:t>报价人须知前附表3：磋商规则、评审标准</w:t>
      </w:r>
      <w:bookmarkEnd w:id="41"/>
      <w:bookmarkEnd w:id="42"/>
      <w:bookmarkEnd w:id="43"/>
      <w:bookmarkEnd w:id="44"/>
    </w:p>
    <w:tbl>
      <w:tblPr>
        <w:tblStyle w:val="13"/>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14:paraId="064A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noWrap w:val="0"/>
            <w:vAlign w:val="top"/>
          </w:tcPr>
          <w:p w14:paraId="77F2E927">
            <w:pPr>
              <w:spacing w:line="360" w:lineRule="auto"/>
              <w:outlineLvl w:val="0"/>
              <w:rPr>
                <w:rFonts w:hint="eastAsia" w:ascii="宋体" w:hAnsi="宋体" w:eastAsia="宋体" w:cs="宋体"/>
                <w:b/>
                <w:bCs/>
                <w:color w:val="auto"/>
                <w:sz w:val="24"/>
                <w:szCs w:val="24"/>
                <w:highlight w:val="none"/>
              </w:rPr>
            </w:pPr>
            <w:bookmarkStart w:id="45" w:name="_Toc7563"/>
            <w:bookmarkStart w:id="46" w:name="_Toc1672159044"/>
            <w:bookmarkStart w:id="47" w:name="_Toc32471"/>
            <w:bookmarkStart w:id="48" w:name="_Toc5242"/>
            <w:bookmarkStart w:id="49" w:name="_Toc10415"/>
            <w:bookmarkStart w:id="50" w:name="_Toc493637915"/>
            <w:r>
              <w:rPr>
                <w:rFonts w:hint="eastAsia" w:ascii="宋体" w:hAnsi="宋体" w:eastAsia="宋体" w:cs="宋体"/>
                <w:b/>
                <w:bCs/>
                <w:color w:val="auto"/>
                <w:sz w:val="24"/>
                <w:szCs w:val="24"/>
                <w:highlight w:val="none"/>
              </w:rPr>
              <w:t>一、磋商规则:</w:t>
            </w:r>
            <w:bookmarkEnd w:id="45"/>
            <w:bookmarkEnd w:id="46"/>
            <w:bookmarkEnd w:id="47"/>
            <w:bookmarkEnd w:id="48"/>
            <w:bookmarkEnd w:id="49"/>
            <w:bookmarkEnd w:id="50"/>
          </w:p>
          <w:p w14:paraId="646A303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1.采购代理机构按有关规定编制采购文件，组建磋商小组。报价人按照采购文件规定提交报价文件。</w:t>
            </w:r>
          </w:p>
          <w:p w14:paraId="19839CBB">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磋商小组对报价人进行资格性和符合性审查，报价人不符合资格性及符合性条款和“*”条款要求，不进入磋商程序；磋商小组在对报价文件的有效性、完整性和响应程度进行审查时，可以要求报价人对报价文件中含义不明确、同类问题表述不一致或者有明显文字和计算错误的内容等作出必要的澄清、说明或者更正。报价人需以书面形式作出澄清、说明或者更正，但澄清、说明或者更正不得超出报价文件的范围或者改变报价文件的实质性内容，同时也不接受报价人主动澄清。符合实质性响应要求的报价人进入磋商程序。 </w:t>
            </w:r>
          </w:p>
          <w:p w14:paraId="400416F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磋商小组所有成员应当集中与单一报价人分别进行磋商，磋商顺序采用随机抽取的方法确认。</w:t>
            </w:r>
          </w:p>
          <w:p w14:paraId="2717EC0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4.磋商小组对采购文件和报价文件提出重点的磋商内容，根据采购文件及有关规定，磋商小组与进入磋商程序的报价人进行一轮或多轮磋商。</w:t>
            </w:r>
          </w:p>
          <w:p w14:paraId="7D93AC2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5.每轮磋商结束前由磋商小组决定是否需要进行下一轮磋商，如需要进行下一轮磋商，采购代理机构提前告知报价人下一轮磋商时间。</w:t>
            </w:r>
          </w:p>
          <w:p w14:paraId="48697A3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6.在磋商过程中，磋商小组可以根据采购文件明确规定的可能实质性变动内容变动采购文件；有实质性变动的，磋商小组应当以书面形式通知所有参加磋商的报价人。</w:t>
            </w:r>
          </w:p>
          <w:p w14:paraId="4946FC73">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除非采购文件的采购需求中的技术、服务要求以及合同草案条款有实质性变动的，否则后一次的报价不得高于前一次的报价。若出现后一次的报价高于前一次报价的，则后一次的报价无效，以前一次的报价为准。</w:t>
            </w:r>
          </w:p>
          <w:p w14:paraId="79DBC38A">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8.报价人递交的报价文件澄清、更正等文件、最终报价应予密封并交至采购代理机构指定人员，报价部分单独密封。采购代理机构工作人员在收齐全部报价人材料后，统一送达磋商小组。</w:t>
            </w:r>
          </w:p>
          <w:p w14:paraId="4F4133D5">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9.经磋商确定最终采购需求和提交最后报价的报价人后，由磋商小组采用综合评分法对提交最后报价的报价人的报价文件和最后报价进行综合评分。</w:t>
            </w:r>
          </w:p>
          <w:p w14:paraId="7F0CDAE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10.参加磋商并代表报价人签署报价文件的应该是采购文件要求的报价人代表，磋商时应出示身份证原件。</w:t>
            </w:r>
          </w:p>
          <w:p w14:paraId="4FDA8DEE">
            <w:pPr>
              <w:spacing w:line="360" w:lineRule="auto"/>
              <w:ind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11.在磋商活动中，有关人员不得透露与磋商有关的一切技术资料、价格和其它信息给其他报价人。</w:t>
            </w:r>
          </w:p>
          <w:p w14:paraId="5FE5B34E">
            <w:pPr>
              <w:spacing w:line="360" w:lineRule="auto"/>
              <w:ind w:left="55" w:leftChars="26" w:right="-120" w:rightChars="-57"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确定候选供应商原则</w:t>
            </w:r>
            <w:r>
              <w:rPr>
                <w:rFonts w:hint="eastAsia" w:ascii="宋体" w:hAnsi="宋体" w:eastAsia="宋体" w:cs="宋体"/>
                <w:color w:val="auto"/>
                <w:sz w:val="24"/>
                <w:szCs w:val="24"/>
                <w:highlight w:val="none"/>
              </w:rPr>
              <w:t>：</w:t>
            </w:r>
          </w:p>
          <w:p w14:paraId="0EB16CC5">
            <w:pPr>
              <w:spacing w:line="360" w:lineRule="auto"/>
              <w:ind w:left="55" w:leftChars="26" w:right="-50" w:rightChars="-2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A.磋商小组采用综合评分的方法确定成交候选供应商，磋商小组按照：综合评分由高到低的顺序</w:t>
            </w:r>
            <w:r>
              <w:rPr>
                <w:rFonts w:hint="eastAsia" w:ascii="宋体" w:hAnsi="宋体" w:eastAsia="宋体" w:cs="宋体"/>
                <w:color w:val="auto"/>
                <w:sz w:val="24"/>
                <w:szCs w:val="24"/>
                <w:highlight w:val="none"/>
                <w:lang w:val="en-US" w:eastAsia="zh-CN"/>
              </w:rPr>
              <w:t>推荐</w:t>
            </w:r>
            <w:r>
              <w:rPr>
                <w:rFonts w:hint="eastAsia" w:ascii="宋体" w:hAnsi="宋体" w:eastAsia="宋体" w:cs="宋体"/>
                <w:color w:val="auto"/>
                <w:sz w:val="24"/>
                <w:szCs w:val="24"/>
                <w:highlight w:val="none"/>
              </w:rPr>
              <w:t>成交候选供应商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 xml:space="preserve">综合得分相同的，按照最后报价由低到高的顺序排列；综合得分相同且报价相同的，按技术得分顺序排列。综合得分相同且报价相同且技术得分相同的，由磋商小组投票表决。 </w:t>
            </w:r>
          </w:p>
          <w:p w14:paraId="47CD974F">
            <w:pPr>
              <w:spacing w:line="360" w:lineRule="auto"/>
              <w:ind w:left="55" w:leftChars="26"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成交候选供应商的数量≥3个；</w:t>
            </w:r>
          </w:p>
          <w:p w14:paraId="4BBB540A">
            <w:pPr>
              <w:spacing w:line="360" w:lineRule="auto"/>
              <w:ind w:left="55" w:leftChars="26" w:right="-120" w:rightChars="-57"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C</w:t>
            </w:r>
            <w:r>
              <w:rPr>
                <w:rFonts w:hint="eastAsia" w:ascii="宋体" w:hAnsi="宋体" w:eastAsia="宋体" w:cs="宋体"/>
                <w:color w:val="auto"/>
                <w:sz w:val="24"/>
                <w:szCs w:val="24"/>
                <w:highlight w:val="none"/>
              </w:rPr>
              <w:t>. （</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否）属于市场竞争不充分的科研项目以及需要扶持的科技成果转化项目，成交候选供应商可以为2家；</w:t>
            </w:r>
          </w:p>
          <w:p w14:paraId="4F2AEB2F">
            <w:pPr>
              <w:spacing w:line="360" w:lineRule="auto"/>
              <w:ind w:left="55" w:leftChars="26" w:right="-50" w:rightChars="-24"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D</w:t>
            </w:r>
            <w:r>
              <w:rPr>
                <w:rFonts w:hint="eastAsia" w:ascii="宋体" w:hAnsi="宋体" w:eastAsia="宋体" w:cs="宋体"/>
                <w:color w:val="auto"/>
                <w:sz w:val="24"/>
                <w:szCs w:val="24"/>
                <w:highlight w:val="none"/>
              </w:rPr>
              <w:t xml:space="preserve">.采用竞争性磋商采购方式的政府购买服务项目，在采购过程中符合要求的报价人只有2家的，竞争性磋商采购活动可以继续进行。采购过程中符合要求的报价人只有1家的，应当终止竞争性采购活动，发布终止公告并说明原因，重新开展采购活动。 </w:t>
            </w:r>
          </w:p>
        </w:tc>
      </w:tr>
      <w:tr w14:paraId="5EBD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noWrap w:val="0"/>
            <w:vAlign w:val="top"/>
          </w:tcPr>
          <w:p w14:paraId="18617645">
            <w:pPr>
              <w:tabs>
                <w:tab w:val="left" w:pos="1080"/>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二、磋商可能实质性变动的内容：</w:t>
            </w:r>
          </w:p>
          <w:p w14:paraId="3364C18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1.采购需求技术内容</w:t>
            </w:r>
            <w:r>
              <w:rPr>
                <w:rFonts w:hint="eastAsia" w:ascii="宋体" w:hAnsi="宋体" w:eastAsia="宋体" w:cs="宋体"/>
                <w:color w:val="auto"/>
                <w:sz w:val="24"/>
                <w:szCs w:val="24"/>
                <w:highlight w:val="none"/>
                <w:u w:val="single"/>
              </w:rPr>
              <w:t xml:space="preserve">：   无         </w:t>
            </w:r>
          </w:p>
          <w:p w14:paraId="113AF5F2">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2.采购需求服务内容</w:t>
            </w:r>
            <w:r>
              <w:rPr>
                <w:rFonts w:hint="eastAsia" w:ascii="宋体" w:hAnsi="宋体" w:eastAsia="宋体" w:cs="宋体"/>
                <w:color w:val="auto"/>
                <w:sz w:val="24"/>
                <w:szCs w:val="24"/>
                <w:highlight w:val="none"/>
                <w:u w:val="single"/>
              </w:rPr>
              <w:t xml:space="preserve">：   无         </w:t>
            </w:r>
          </w:p>
          <w:p w14:paraId="1F9607C4">
            <w:pPr>
              <w:tabs>
                <w:tab w:val="left" w:pos="-5801"/>
              </w:tabs>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 合同草案条款</w:t>
            </w:r>
            <w:r>
              <w:rPr>
                <w:rFonts w:hint="eastAsia" w:ascii="宋体" w:hAnsi="宋体" w:eastAsia="宋体" w:cs="宋体"/>
                <w:color w:val="auto"/>
                <w:sz w:val="24"/>
                <w:szCs w:val="24"/>
                <w:highlight w:val="none"/>
                <w:u w:val="single"/>
              </w:rPr>
              <w:t xml:space="preserve">：      无         </w:t>
            </w:r>
          </w:p>
        </w:tc>
      </w:tr>
      <w:tr w14:paraId="758EF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noWrap w:val="0"/>
            <w:vAlign w:val="top"/>
          </w:tcPr>
          <w:p w14:paraId="7D8912A8">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三、磋商评审标准：具体见附件</w:t>
            </w:r>
          </w:p>
          <w:p w14:paraId="39F0ABD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采购人在收到评审报告后五个工作日内，根据成交候选供应商排列顺序确定第一名成交候选供应商为成交供应商。</w:t>
            </w:r>
          </w:p>
          <w:p w14:paraId="571D80E9">
            <w:pPr>
              <w:spacing w:line="360" w:lineRule="auto"/>
              <w:ind w:right="-40" w:rightChars="-19"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成交供应商拒绝签订</w:t>
            </w:r>
            <w:r>
              <w:rPr>
                <w:rFonts w:hint="eastAsia" w:ascii="宋体" w:hAnsi="宋体" w:cs="宋体"/>
                <w:bCs/>
                <w:color w:val="auto"/>
                <w:sz w:val="24"/>
                <w:szCs w:val="24"/>
                <w:highlight w:val="none"/>
                <w:lang w:eastAsia="zh-CN"/>
              </w:rPr>
              <w:t>采购合同</w:t>
            </w:r>
            <w:r>
              <w:rPr>
                <w:rFonts w:hint="eastAsia" w:ascii="宋体" w:hAnsi="宋体" w:eastAsia="宋体" w:cs="宋体"/>
                <w:bCs/>
                <w:color w:val="auto"/>
                <w:sz w:val="24"/>
                <w:szCs w:val="24"/>
                <w:highlight w:val="none"/>
              </w:rPr>
              <w:t>的，采购人可以按照成交候选供应商的排序顺序由高到低</w:t>
            </w:r>
            <w:r>
              <w:rPr>
                <w:rFonts w:hint="eastAsia" w:ascii="宋体" w:hAnsi="宋体" w:eastAsia="宋体" w:cs="宋体"/>
                <w:color w:val="auto"/>
                <w:sz w:val="24"/>
                <w:szCs w:val="24"/>
                <w:highlight w:val="none"/>
              </w:rPr>
              <w:t>原则确定其他候选供应商作为成交供应商并签订</w:t>
            </w:r>
            <w:r>
              <w:rPr>
                <w:rFonts w:hint="eastAsia" w:ascii="宋体" w:hAnsi="宋体" w:cs="宋体"/>
                <w:color w:val="auto"/>
                <w:sz w:val="24"/>
                <w:szCs w:val="24"/>
                <w:highlight w:val="none"/>
                <w:lang w:eastAsia="zh-CN"/>
              </w:rPr>
              <w:t>采购合同</w:t>
            </w:r>
            <w:r>
              <w:rPr>
                <w:rFonts w:hint="eastAsia" w:ascii="宋体" w:hAnsi="宋体" w:eastAsia="宋体" w:cs="宋体"/>
                <w:color w:val="auto"/>
                <w:sz w:val="24"/>
                <w:szCs w:val="24"/>
                <w:highlight w:val="none"/>
              </w:rPr>
              <w:t>，也可以重新开展采购活动。无正当理由拒绝签订</w:t>
            </w:r>
            <w:r>
              <w:rPr>
                <w:rFonts w:hint="eastAsia" w:ascii="宋体" w:hAnsi="宋体" w:cs="宋体"/>
                <w:color w:val="auto"/>
                <w:sz w:val="24"/>
                <w:szCs w:val="24"/>
                <w:highlight w:val="none"/>
                <w:lang w:eastAsia="zh-CN"/>
              </w:rPr>
              <w:t>采购合同</w:t>
            </w:r>
            <w:r>
              <w:rPr>
                <w:rFonts w:hint="eastAsia" w:ascii="宋体" w:hAnsi="宋体" w:eastAsia="宋体" w:cs="宋体"/>
                <w:color w:val="auto"/>
                <w:sz w:val="24"/>
                <w:szCs w:val="24"/>
                <w:highlight w:val="none"/>
              </w:rPr>
              <w:t>的成交供应商不得参加对该项目重新开展的采购活动，将被没收磋商保证金，依法追究并承担相应的法律责任。</w:t>
            </w:r>
          </w:p>
        </w:tc>
      </w:tr>
    </w:tbl>
    <w:p w14:paraId="155945E3">
      <w:pPr>
        <w:pStyle w:val="4"/>
        <w:snapToGrid w:val="0"/>
        <w:spacing w:line="360" w:lineRule="auto"/>
        <w:ind w:firstLine="0"/>
        <w:rPr>
          <w:rFonts w:hint="eastAsia" w:eastAsia="宋体" w:cs="宋体"/>
          <w:b/>
          <w:color w:val="auto"/>
          <w:sz w:val="24"/>
          <w:szCs w:val="24"/>
          <w:highlight w:val="none"/>
          <w:u w:val="single"/>
        </w:rPr>
      </w:pPr>
    </w:p>
    <w:p w14:paraId="627DE5C3">
      <w:pPr>
        <w:spacing w:line="360" w:lineRule="auto"/>
        <w:jc w:val="center"/>
        <w:outlineLvl w:val="9"/>
        <w:rPr>
          <w:rFonts w:hint="eastAsia" w:ascii="宋体" w:hAnsi="宋体" w:eastAsia="宋体" w:cs="宋体"/>
          <w:b/>
          <w:bCs/>
          <w:color w:val="auto"/>
          <w:sz w:val="24"/>
          <w:szCs w:val="24"/>
          <w:highlight w:val="none"/>
          <w:u w:val="single"/>
        </w:rPr>
      </w:pPr>
    </w:p>
    <w:p w14:paraId="690E5D9F">
      <w:pPr>
        <w:pStyle w:val="3"/>
        <w:keepNext w:val="0"/>
        <w:keepLines w:val="0"/>
        <w:tabs>
          <w:tab w:val="center" w:pos="4365"/>
        </w:tabs>
        <w:spacing w:before="0" w:after="0" w:line="360" w:lineRule="auto"/>
        <w:jc w:val="center"/>
        <w:outlineLvl w:val="9"/>
        <w:rPr>
          <w:rFonts w:hint="eastAsia" w:ascii="宋体" w:hAnsi="宋体" w:eastAsia="宋体" w:cs="宋体"/>
          <w:color w:val="auto"/>
          <w:sz w:val="24"/>
          <w:szCs w:val="24"/>
          <w:highlight w:val="none"/>
        </w:rPr>
      </w:pPr>
    </w:p>
    <w:p w14:paraId="4D05D9BA">
      <w:pPr>
        <w:spacing w:line="360" w:lineRule="auto"/>
        <w:outlineLvl w:val="9"/>
        <w:rPr>
          <w:rFonts w:hint="eastAsia" w:ascii="宋体" w:hAnsi="宋体" w:eastAsia="宋体" w:cs="宋体"/>
          <w:b/>
          <w:color w:val="auto"/>
          <w:sz w:val="24"/>
          <w:szCs w:val="24"/>
          <w:highlight w:val="none"/>
        </w:rPr>
      </w:pPr>
      <w:bookmarkStart w:id="51" w:name="_Toc28167"/>
      <w:r>
        <w:rPr>
          <w:rFonts w:hint="eastAsia" w:ascii="宋体" w:hAnsi="宋体" w:eastAsia="宋体" w:cs="宋体"/>
          <w:b/>
          <w:color w:val="auto"/>
          <w:sz w:val="24"/>
          <w:szCs w:val="24"/>
          <w:highlight w:val="none"/>
        </w:rPr>
        <w:t>附件：磋商评审标准</w:t>
      </w:r>
      <w:bookmarkEnd w:id="51"/>
    </w:p>
    <w:p w14:paraId="63C3E211">
      <w:pPr>
        <w:spacing w:line="360" w:lineRule="auto"/>
        <w:outlineLvl w:val="9"/>
        <w:rPr>
          <w:rFonts w:hint="eastAsia" w:ascii="宋体" w:hAnsi="宋体" w:eastAsia="宋体" w:cs="宋体"/>
          <w:color w:val="auto"/>
          <w:sz w:val="24"/>
          <w:szCs w:val="24"/>
          <w:highlight w:val="none"/>
        </w:rPr>
      </w:pPr>
      <w:bookmarkStart w:id="52" w:name="_Toc26992"/>
      <w:r>
        <w:rPr>
          <w:rFonts w:hint="eastAsia" w:ascii="宋体" w:hAnsi="宋体" w:eastAsia="宋体" w:cs="宋体"/>
          <w:b/>
          <w:color w:val="auto"/>
          <w:sz w:val="24"/>
          <w:szCs w:val="24"/>
          <w:highlight w:val="none"/>
        </w:rPr>
        <w:t>综合评分法：</w:t>
      </w:r>
      <w:r>
        <w:rPr>
          <w:rFonts w:hint="eastAsia" w:ascii="宋体" w:hAnsi="宋体" w:eastAsia="宋体" w:cs="宋体"/>
          <w:color w:val="auto"/>
          <w:sz w:val="24"/>
          <w:szCs w:val="24"/>
          <w:highlight w:val="none"/>
        </w:rPr>
        <w:t>综合得分= F1+F2+F3</w:t>
      </w:r>
      <w:bookmarkEnd w:id="52"/>
    </w:p>
    <w:p w14:paraId="7C3AB3C7">
      <w:pPr>
        <w:spacing w:line="360" w:lineRule="auto"/>
        <w:outlineLvl w:val="9"/>
        <w:rPr>
          <w:rFonts w:hint="eastAsia" w:ascii="宋体" w:hAnsi="宋体" w:eastAsia="宋体" w:cs="宋体"/>
          <w:bCs/>
          <w:color w:val="auto"/>
          <w:sz w:val="24"/>
          <w:szCs w:val="24"/>
          <w:highlight w:val="none"/>
        </w:rPr>
      </w:pPr>
      <w:bookmarkStart w:id="53" w:name="_Toc13815"/>
      <w:r>
        <w:rPr>
          <w:rFonts w:hint="eastAsia" w:ascii="宋体" w:hAnsi="宋体" w:eastAsia="宋体" w:cs="宋体"/>
          <w:b/>
          <w:color w:val="auto"/>
          <w:sz w:val="24"/>
          <w:szCs w:val="24"/>
          <w:highlight w:val="none"/>
        </w:rPr>
        <w:t>（一）技术评分（F1）标准（满分</w:t>
      </w:r>
      <w:r>
        <w:rPr>
          <w:rFonts w:hint="eastAsia" w:ascii="宋体" w:hAnsi="宋体" w:cs="宋体"/>
          <w:b/>
          <w:color w:val="auto"/>
          <w:sz w:val="24"/>
          <w:szCs w:val="24"/>
          <w:highlight w:val="none"/>
          <w:lang w:val="en-US" w:eastAsia="zh-CN"/>
        </w:rPr>
        <w:t>65</w:t>
      </w:r>
      <w:r>
        <w:rPr>
          <w:rFonts w:hint="eastAsia" w:ascii="宋体" w:hAnsi="宋体" w:eastAsia="宋体" w:cs="宋体"/>
          <w:b/>
          <w:color w:val="auto"/>
          <w:sz w:val="24"/>
          <w:szCs w:val="24"/>
          <w:highlight w:val="none"/>
        </w:rPr>
        <w:t>分）：</w:t>
      </w:r>
      <w:bookmarkEnd w:id="53"/>
    </w:p>
    <w:tbl>
      <w:tblPr>
        <w:tblStyle w:val="13"/>
        <w:tblW w:w="51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7197"/>
        <w:gridCol w:w="887"/>
      </w:tblGrid>
      <w:tr w14:paraId="1948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0D2D605B">
            <w:pPr>
              <w:pStyle w:val="21"/>
              <w:widowControl/>
              <w:spacing w:line="360" w:lineRule="auto"/>
              <w:jc w:val="center"/>
              <w:rPr>
                <w:rFonts w:hint="eastAsia" w:ascii="宋体" w:hAnsi="宋体" w:cs="Arial"/>
                <w:b/>
                <w:bCs/>
                <w:color w:val="auto"/>
                <w:kern w:val="10"/>
                <w:sz w:val="24"/>
                <w:szCs w:val="24"/>
                <w:highlight w:val="none"/>
              </w:rPr>
            </w:pPr>
            <w:r>
              <w:rPr>
                <w:rFonts w:hint="eastAsia" w:ascii="宋体" w:hAnsi="宋体" w:cs="宋体"/>
                <w:b/>
                <w:bCs/>
                <w:color w:val="auto"/>
                <w:sz w:val="24"/>
                <w:szCs w:val="24"/>
                <w:highlight w:val="none"/>
              </w:rPr>
              <w:t>序号</w:t>
            </w:r>
          </w:p>
        </w:tc>
        <w:tc>
          <w:tcPr>
            <w:tcW w:w="4072" w:type="pct"/>
            <w:tcBorders>
              <w:top w:val="single" w:color="auto" w:sz="4" w:space="0"/>
              <w:left w:val="single" w:color="auto" w:sz="4" w:space="0"/>
              <w:bottom w:val="single" w:color="auto" w:sz="4" w:space="0"/>
              <w:right w:val="single" w:color="auto" w:sz="4" w:space="0"/>
            </w:tcBorders>
            <w:noWrap w:val="0"/>
            <w:vAlign w:val="center"/>
          </w:tcPr>
          <w:p w14:paraId="7F33D806">
            <w:pPr>
              <w:spacing w:line="360" w:lineRule="auto"/>
              <w:jc w:val="center"/>
              <w:rPr>
                <w:rFonts w:hint="eastAsia" w:ascii="宋体" w:hAnsi="宋体"/>
                <w:b/>
                <w:bCs/>
                <w:color w:val="auto"/>
                <w:sz w:val="24"/>
                <w:szCs w:val="24"/>
                <w:highlight w:val="none"/>
              </w:rPr>
            </w:pPr>
            <w:r>
              <w:rPr>
                <w:rFonts w:hint="eastAsia" w:ascii="宋体" w:hAnsi="宋体" w:cs="宋体"/>
                <w:b/>
                <w:bCs/>
                <w:color w:val="auto"/>
                <w:sz w:val="24"/>
                <w:szCs w:val="24"/>
                <w:highlight w:val="none"/>
                <w:lang w:bidi="ar"/>
              </w:rPr>
              <w:t>评分界定</w:t>
            </w:r>
          </w:p>
        </w:tc>
        <w:tc>
          <w:tcPr>
            <w:tcW w:w="501" w:type="pct"/>
            <w:tcBorders>
              <w:top w:val="single" w:color="auto" w:sz="4" w:space="0"/>
              <w:left w:val="single" w:color="auto" w:sz="4" w:space="0"/>
              <w:bottom w:val="single" w:color="auto" w:sz="4" w:space="0"/>
              <w:right w:val="single" w:color="auto" w:sz="4" w:space="0"/>
            </w:tcBorders>
            <w:noWrap w:val="0"/>
            <w:vAlign w:val="center"/>
          </w:tcPr>
          <w:p w14:paraId="0479360F">
            <w:pPr>
              <w:spacing w:line="360" w:lineRule="auto"/>
              <w:jc w:val="center"/>
              <w:rPr>
                <w:rFonts w:hint="eastAsia" w:ascii="宋体" w:hAnsi="宋体" w:cs="Arial"/>
                <w:b/>
                <w:bCs/>
                <w:color w:val="auto"/>
                <w:sz w:val="24"/>
                <w:szCs w:val="24"/>
                <w:highlight w:val="none"/>
              </w:rPr>
            </w:pPr>
            <w:r>
              <w:rPr>
                <w:rFonts w:hint="eastAsia" w:ascii="宋体" w:hAnsi="宋体" w:cs="宋体"/>
                <w:b/>
                <w:bCs/>
                <w:color w:val="auto"/>
                <w:sz w:val="24"/>
                <w:szCs w:val="24"/>
                <w:highlight w:val="none"/>
                <w:lang w:bidi="ar"/>
              </w:rPr>
              <w:t>满分</w:t>
            </w:r>
          </w:p>
          <w:p w14:paraId="3B53F6AD">
            <w:pPr>
              <w:spacing w:line="360" w:lineRule="auto"/>
              <w:jc w:val="center"/>
              <w:rPr>
                <w:rFonts w:hint="eastAsia" w:ascii="宋体" w:hAnsi="宋体"/>
                <w:b/>
                <w:bCs/>
                <w:color w:val="auto"/>
                <w:sz w:val="24"/>
                <w:szCs w:val="24"/>
                <w:highlight w:val="none"/>
              </w:rPr>
            </w:pPr>
            <w:r>
              <w:rPr>
                <w:rFonts w:hint="eastAsia" w:ascii="宋体" w:hAnsi="宋体" w:cs="宋体"/>
                <w:b/>
                <w:bCs/>
                <w:color w:val="auto"/>
                <w:sz w:val="24"/>
                <w:szCs w:val="24"/>
                <w:highlight w:val="none"/>
                <w:lang w:bidi="ar"/>
              </w:rPr>
              <w:t>分值</w:t>
            </w:r>
          </w:p>
        </w:tc>
      </w:tr>
      <w:tr w14:paraId="07E26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711288B1">
            <w:pPr>
              <w:pStyle w:val="21"/>
              <w:widowControl/>
              <w:numPr>
                <w:ilvl w:val="0"/>
                <w:numId w:val="1"/>
              </w:numPr>
              <w:spacing w:line="360" w:lineRule="auto"/>
              <w:ind w:left="425" w:leftChars="0" w:hanging="425" w:firstLineChars="0"/>
              <w:jc w:val="center"/>
              <w:rPr>
                <w:rFonts w:hint="eastAsia" w:ascii="宋体" w:hAnsi="宋体" w:cs="Arial"/>
                <w:color w:val="auto"/>
                <w:kern w:val="10"/>
                <w:sz w:val="24"/>
                <w:szCs w:val="24"/>
                <w:highlight w:val="none"/>
              </w:rPr>
            </w:pPr>
          </w:p>
        </w:tc>
        <w:tc>
          <w:tcPr>
            <w:tcW w:w="4072" w:type="pct"/>
            <w:tcBorders>
              <w:top w:val="single" w:color="auto" w:sz="4" w:space="0"/>
              <w:left w:val="single" w:color="auto" w:sz="4" w:space="0"/>
              <w:bottom w:val="single" w:color="auto" w:sz="4" w:space="0"/>
              <w:right w:val="single" w:color="auto" w:sz="4" w:space="0"/>
            </w:tcBorders>
            <w:noWrap w:val="0"/>
            <w:vAlign w:val="top"/>
          </w:tcPr>
          <w:p w14:paraId="78FC1D28">
            <w:pPr>
              <w:spacing w:line="360" w:lineRule="auto"/>
              <w:rPr>
                <w:rFonts w:hint="eastAsia" w:ascii="宋体" w:hAnsi="宋体"/>
                <w:color w:val="auto"/>
                <w:sz w:val="24"/>
                <w:szCs w:val="24"/>
                <w:highlight w:val="none"/>
              </w:rPr>
            </w:pPr>
            <w:r>
              <w:rPr>
                <w:rFonts w:hint="eastAsia" w:ascii="宋体" w:hAnsi="宋体" w:eastAsia="宋体" w:cs="宋体"/>
                <w:b w:val="0"/>
                <w:bCs/>
                <w:color w:val="auto"/>
                <w:sz w:val="24"/>
                <w:szCs w:val="24"/>
                <w:highlight w:val="none"/>
                <w:lang w:val="en-US" w:eastAsia="zh-CN"/>
              </w:rPr>
              <w:t>根据报价人针对本项目提供的</w:t>
            </w:r>
            <w:r>
              <w:rPr>
                <w:rFonts w:hint="eastAsia" w:ascii="宋体" w:hAnsi="宋体" w:eastAsia="宋体" w:cs="宋体"/>
                <w:b/>
                <w:bCs w:val="0"/>
                <w:color w:val="auto"/>
                <w:sz w:val="24"/>
                <w:szCs w:val="24"/>
                <w:highlight w:val="none"/>
                <w:lang w:val="en-US" w:eastAsia="zh-CN"/>
              </w:rPr>
              <w:t>项目需求分析</w:t>
            </w:r>
            <w:r>
              <w:rPr>
                <w:rFonts w:hint="eastAsia" w:ascii="宋体" w:hAnsi="宋体" w:eastAsia="宋体" w:cs="宋体"/>
                <w:b w:val="0"/>
                <w:bCs/>
                <w:color w:val="auto"/>
                <w:sz w:val="24"/>
                <w:szCs w:val="24"/>
                <w:highlight w:val="none"/>
                <w:lang w:val="en-US" w:eastAsia="zh-CN"/>
              </w:rPr>
              <w:t>进行评价：①有提供项目背景分析的得2分；②在满足①的基础上，方案内容阐述完整，条理清晰，对关键内容分析到位、有利于项目顺利实施的得3分； ③未提供或提供的方案有缺漏或提供方案不符合本项目要求或提供方案不与本项目无关的均不得分。</w:t>
            </w:r>
          </w:p>
        </w:tc>
        <w:tc>
          <w:tcPr>
            <w:tcW w:w="501" w:type="pct"/>
            <w:tcBorders>
              <w:top w:val="single" w:color="auto" w:sz="4" w:space="0"/>
              <w:left w:val="single" w:color="auto" w:sz="4" w:space="0"/>
              <w:bottom w:val="single" w:color="auto" w:sz="4" w:space="0"/>
              <w:right w:val="single" w:color="auto" w:sz="4" w:space="0"/>
            </w:tcBorders>
            <w:noWrap w:val="0"/>
            <w:vAlign w:val="center"/>
          </w:tcPr>
          <w:p w14:paraId="01860921">
            <w:pPr>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lang w:val="en-US" w:eastAsia="zh-CN" w:bidi="ar"/>
              </w:rPr>
              <w:t>3</w:t>
            </w:r>
            <w:r>
              <w:rPr>
                <w:rFonts w:hint="eastAsia" w:ascii="宋体" w:hAnsi="宋体" w:cs="宋体"/>
                <w:color w:val="auto"/>
                <w:sz w:val="24"/>
                <w:szCs w:val="24"/>
                <w:highlight w:val="none"/>
                <w:lang w:bidi="ar"/>
              </w:rPr>
              <w:t>分</w:t>
            </w:r>
          </w:p>
        </w:tc>
      </w:tr>
      <w:tr w14:paraId="5880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50BB2F81">
            <w:pPr>
              <w:pStyle w:val="21"/>
              <w:widowControl/>
              <w:numPr>
                <w:ilvl w:val="0"/>
                <w:numId w:val="1"/>
              </w:numPr>
              <w:spacing w:line="360" w:lineRule="auto"/>
              <w:ind w:left="425" w:leftChars="0" w:hanging="425" w:firstLineChars="0"/>
              <w:jc w:val="center"/>
              <w:rPr>
                <w:rFonts w:hint="eastAsia" w:ascii="宋体" w:hAnsi="宋体"/>
                <w:color w:val="auto"/>
                <w:sz w:val="24"/>
                <w:szCs w:val="24"/>
                <w:highlight w:val="none"/>
              </w:rPr>
            </w:pPr>
          </w:p>
        </w:tc>
        <w:tc>
          <w:tcPr>
            <w:tcW w:w="4072" w:type="pct"/>
            <w:tcBorders>
              <w:top w:val="single" w:color="auto" w:sz="4" w:space="0"/>
              <w:left w:val="single" w:color="auto" w:sz="4" w:space="0"/>
              <w:bottom w:val="single" w:color="auto" w:sz="4" w:space="0"/>
              <w:right w:val="single" w:color="auto" w:sz="4" w:space="0"/>
            </w:tcBorders>
            <w:noWrap w:val="0"/>
            <w:vAlign w:val="center"/>
          </w:tcPr>
          <w:p w14:paraId="4BC441E9">
            <w:pPr>
              <w:spacing w:line="360" w:lineRule="auto"/>
              <w:rPr>
                <w:rFonts w:hint="eastAsia" w:ascii="宋体" w:hAnsi="宋体" w:cs="宋体"/>
                <w:color w:val="auto"/>
                <w:kern w:val="0"/>
                <w:sz w:val="24"/>
                <w:szCs w:val="24"/>
                <w:highlight w:val="none"/>
              </w:rPr>
            </w:pPr>
            <w:r>
              <w:rPr>
                <w:rFonts w:hint="eastAsia" w:ascii="宋体" w:hAnsi="宋体" w:eastAsia="宋体" w:cs="宋体"/>
                <w:b w:val="0"/>
                <w:bCs/>
                <w:color w:val="auto"/>
                <w:sz w:val="24"/>
                <w:szCs w:val="24"/>
                <w:highlight w:val="none"/>
              </w:rPr>
              <w:t>根据</w:t>
            </w:r>
            <w:r>
              <w:rPr>
                <w:rFonts w:hint="eastAsia" w:ascii="宋体" w:hAnsi="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人针对本项目提供的</w:t>
            </w:r>
            <w:r>
              <w:rPr>
                <w:rFonts w:hint="eastAsia" w:ascii="宋体" w:hAnsi="宋体" w:eastAsia="宋体" w:cs="宋体"/>
                <w:b/>
                <w:bCs w:val="0"/>
                <w:color w:val="auto"/>
                <w:sz w:val="24"/>
                <w:szCs w:val="24"/>
                <w:highlight w:val="none"/>
              </w:rPr>
              <w:t>总体服务方案</w:t>
            </w:r>
            <w:r>
              <w:rPr>
                <w:rFonts w:hint="eastAsia" w:ascii="宋体" w:hAnsi="宋体" w:eastAsia="宋体" w:cs="宋体"/>
                <w:b w:val="0"/>
                <w:bCs/>
                <w:color w:val="auto"/>
                <w:sz w:val="24"/>
                <w:szCs w:val="24"/>
                <w:highlight w:val="none"/>
              </w:rPr>
              <w:t>进行评价：①有提供总体服务方案，且内容需要针对本项目的难点、特点、任务重点等进行描述，能够满足本项目服务要求的得</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分；②在满足①的基础上，内容详细具体、能突出重点</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思路清晰合理、流程完整</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有利于项目顺利实施的</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符合项目情况、可实施性强的得</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分；③</w:t>
            </w:r>
            <w:r>
              <w:rPr>
                <w:rFonts w:hint="eastAsia" w:ascii="宋体" w:hAnsi="宋体" w:eastAsia="宋体" w:cs="宋体"/>
                <w:b w:val="0"/>
                <w:bCs/>
                <w:color w:val="auto"/>
                <w:sz w:val="24"/>
                <w:szCs w:val="24"/>
                <w:highlight w:val="none"/>
                <w:lang w:val="en-US" w:eastAsia="zh-CN"/>
              </w:rPr>
              <w:t>未提供或提供的方案有缺漏或提供方案不符合本项目要求或提供方案不与本项目无关的均不得分。</w:t>
            </w:r>
          </w:p>
        </w:tc>
        <w:tc>
          <w:tcPr>
            <w:tcW w:w="501" w:type="pct"/>
            <w:tcBorders>
              <w:top w:val="single" w:color="auto" w:sz="4" w:space="0"/>
              <w:left w:val="single" w:color="auto" w:sz="4" w:space="0"/>
              <w:bottom w:val="single" w:color="auto" w:sz="4" w:space="0"/>
              <w:right w:val="single" w:color="auto" w:sz="4" w:space="0"/>
            </w:tcBorders>
            <w:noWrap w:val="0"/>
            <w:vAlign w:val="center"/>
          </w:tcPr>
          <w:p w14:paraId="3FA21582">
            <w:pPr>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tc>
      </w:tr>
      <w:tr w14:paraId="5F0A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11CA55EA">
            <w:pPr>
              <w:pStyle w:val="21"/>
              <w:widowControl/>
              <w:numPr>
                <w:ilvl w:val="0"/>
                <w:numId w:val="1"/>
              </w:numPr>
              <w:spacing w:line="360" w:lineRule="auto"/>
              <w:ind w:left="425" w:leftChars="0" w:hanging="425" w:firstLineChars="0"/>
              <w:jc w:val="center"/>
              <w:rPr>
                <w:rFonts w:hint="eastAsia" w:ascii="宋体" w:hAnsi="宋体"/>
                <w:color w:val="auto"/>
                <w:sz w:val="24"/>
                <w:szCs w:val="24"/>
                <w:highlight w:val="none"/>
              </w:rPr>
            </w:pPr>
          </w:p>
        </w:tc>
        <w:tc>
          <w:tcPr>
            <w:tcW w:w="4072" w:type="pct"/>
            <w:tcBorders>
              <w:top w:val="single" w:color="auto" w:sz="4" w:space="0"/>
              <w:left w:val="single" w:color="auto" w:sz="4" w:space="0"/>
              <w:bottom w:val="single" w:color="auto" w:sz="4" w:space="0"/>
              <w:right w:val="single" w:color="auto" w:sz="4" w:space="0"/>
            </w:tcBorders>
            <w:noWrap w:val="0"/>
            <w:vAlign w:val="center"/>
          </w:tcPr>
          <w:p w14:paraId="5E7E9276">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highlight w:val="none"/>
              </w:rPr>
              <w:t>根据</w:t>
            </w:r>
            <w:r>
              <w:rPr>
                <w:rFonts w:hint="eastAsia" w:ascii="宋体" w:hAnsi="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人</w:t>
            </w:r>
            <w:r>
              <w:rPr>
                <w:rFonts w:hint="eastAsia" w:ascii="宋体" w:hAnsi="宋体" w:cs="宋体"/>
                <w:color w:val="auto"/>
                <w:kern w:val="0"/>
                <w:sz w:val="24"/>
                <w:highlight w:val="none"/>
              </w:rPr>
              <w:t>针对本项目提供的</w:t>
            </w:r>
            <w:r>
              <w:rPr>
                <w:rFonts w:hint="eastAsia" w:ascii="宋体" w:hAnsi="宋体" w:cs="宋体"/>
                <w:b/>
                <w:bCs/>
                <w:color w:val="auto"/>
                <w:kern w:val="0"/>
                <w:sz w:val="24"/>
                <w:highlight w:val="none"/>
              </w:rPr>
              <w:t>项目管理措施方案</w:t>
            </w:r>
            <w:r>
              <w:rPr>
                <w:rFonts w:hint="eastAsia" w:ascii="宋体" w:hAnsi="宋体" w:cs="宋体"/>
                <w:color w:val="auto"/>
                <w:kern w:val="0"/>
                <w:sz w:val="24"/>
                <w:highlight w:val="none"/>
              </w:rPr>
              <w:t>进行评分： ①有提供项目管理措施方案，且内容需要针对本项目管理过程中的关键点有具体质量控制措施，有相应的人力、物力投入安排，能够满足本项目服务要求的得</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分；②在满足①的基础上，内容详细具体、能突出重点，能够结合服务要求提供的管理措施可确保项目顺利进行，思路清晰合理、流程完整，对项目保障程度高，符合项目情况、可实施性强的得</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分；③</w:t>
            </w:r>
            <w:r>
              <w:rPr>
                <w:rFonts w:hint="eastAsia" w:ascii="宋体" w:hAnsi="宋体" w:eastAsia="宋体" w:cs="宋体"/>
                <w:b w:val="0"/>
                <w:bCs/>
                <w:color w:val="auto"/>
                <w:sz w:val="24"/>
                <w:szCs w:val="24"/>
                <w:highlight w:val="none"/>
                <w:lang w:val="en-US" w:eastAsia="zh-CN"/>
              </w:rPr>
              <w:t>未提供或提供的方案有缺漏或提供方案不符合本项目要求或提供方案不与本项目无关的均不得分。</w:t>
            </w:r>
          </w:p>
        </w:tc>
        <w:tc>
          <w:tcPr>
            <w:tcW w:w="501" w:type="pct"/>
            <w:tcBorders>
              <w:top w:val="single" w:color="auto" w:sz="4" w:space="0"/>
              <w:left w:val="single" w:color="auto" w:sz="4" w:space="0"/>
              <w:bottom w:val="single" w:color="auto" w:sz="4" w:space="0"/>
              <w:right w:val="single" w:color="auto" w:sz="4" w:space="0"/>
            </w:tcBorders>
            <w:noWrap w:val="0"/>
            <w:vAlign w:val="center"/>
          </w:tcPr>
          <w:p w14:paraId="0405FC7B">
            <w:pPr>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lang w:val="en-US" w:eastAsia="zh-CN" w:bidi="ar"/>
              </w:rPr>
              <w:t>4</w:t>
            </w:r>
            <w:r>
              <w:rPr>
                <w:rFonts w:hint="eastAsia" w:ascii="宋体" w:hAnsi="宋体" w:cs="宋体"/>
                <w:color w:val="auto"/>
                <w:sz w:val="24"/>
                <w:szCs w:val="24"/>
                <w:highlight w:val="none"/>
                <w:lang w:bidi="ar"/>
              </w:rPr>
              <w:t>分</w:t>
            </w:r>
          </w:p>
        </w:tc>
      </w:tr>
      <w:tr w14:paraId="39FFE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0A29FDC4">
            <w:pPr>
              <w:pStyle w:val="21"/>
              <w:widowControl/>
              <w:numPr>
                <w:ilvl w:val="0"/>
                <w:numId w:val="1"/>
              </w:numPr>
              <w:spacing w:line="360" w:lineRule="auto"/>
              <w:ind w:left="425" w:leftChars="0" w:hanging="425" w:firstLineChars="0"/>
              <w:jc w:val="center"/>
              <w:rPr>
                <w:rFonts w:hint="eastAsia" w:ascii="宋体" w:hAnsi="宋体"/>
                <w:color w:val="auto"/>
                <w:sz w:val="24"/>
                <w:szCs w:val="24"/>
                <w:highlight w:val="none"/>
              </w:rPr>
            </w:pPr>
          </w:p>
        </w:tc>
        <w:tc>
          <w:tcPr>
            <w:tcW w:w="4072" w:type="pct"/>
            <w:tcBorders>
              <w:top w:val="single" w:color="auto" w:sz="4" w:space="0"/>
              <w:left w:val="single" w:color="auto" w:sz="4" w:space="0"/>
              <w:bottom w:val="single" w:color="auto" w:sz="4" w:space="0"/>
              <w:right w:val="single" w:color="auto" w:sz="4" w:space="0"/>
            </w:tcBorders>
            <w:noWrap w:val="0"/>
            <w:vAlign w:val="center"/>
          </w:tcPr>
          <w:p w14:paraId="1665D530">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根据</w:t>
            </w:r>
            <w:r>
              <w:rPr>
                <w:rFonts w:hint="eastAsia" w:ascii="宋体" w:hAnsi="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人</w:t>
            </w:r>
            <w:r>
              <w:rPr>
                <w:rFonts w:hint="eastAsia" w:ascii="宋体" w:hAnsi="宋体" w:cs="宋体"/>
                <w:color w:val="auto"/>
                <w:kern w:val="0"/>
                <w:sz w:val="24"/>
                <w:highlight w:val="none"/>
              </w:rPr>
              <w:t>针对本项目提供的</w:t>
            </w:r>
            <w:r>
              <w:rPr>
                <w:rFonts w:hint="eastAsia" w:ascii="宋体" w:hAnsi="宋体" w:cs="宋体"/>
                <w:b/>
                <w:bCs/>
                <w:color w:val="auto"/>
                <w:kern w:val="0"/>
                <w:sz w:val="24"/>
                <w:highlight w:val="none"/>
              </w:rPr>
              <w:t>笔试命题方案</w:t>
            </w:r>
            <w:r>
              <w:rPr>
                <w:rFonts w:hint="eastAsia" w:ascii="宋体" w:hAnsi="宋体" w:cs="宋体"/>
                <w:color w:val="auto"/>
                <w:kern w:val="0"/>
                <w:sz w:val="24"/>
                <w:highlight w:val="none"/>
              </w:rPr>
              <w:t>进行评分： ①</w:t>
            </w:r>
            <w:r>
              <w:rPr>
                <w:rFonts w:hint="eastAsia" w:ascii="宋体" w:hAnsi="宋体" w:cs="宋体"/>
                <w:color w:val="auto"/>
                <w:kern w:val="0"/>
                <w:sz w:val="24"/>
                <w:highlight w:val="none"/>
                <w:lang w:val="en-US" w:eastAsia="zh-CN"/>
              </w:rPr>
              <w:t>提供</w:t>
            </w:r>
            <w:r>
              <w:rPr>
                <w:rFonts w:hint="eastAsia" w:ascii="宋体" w:hAnsi="宋体" w:cs="宋体"/>
                <w:color w:val="auto"/>
                <w:kern w:val="0"/>
                <w:sz w:val="24"/>
                <w:highlight w:val="none"/>
              </w:rPr>
              <w:t>方案</w:t>
            </w:r>
            <w:r>
              <w:rPr>
                <w:rFonts w:hint="eastAsia" w:ascii="宋体" w:hAnsi="宋体" w:cs="宋体"/>
                <w:color w:val="auto"/>
                <w:kern w:val="0"/>
                <w:sz w:val="24"/>
                <w:highlight w:val="none"/>
                <w:lang w:val="en-US" w:eastAsia="zh-CN"/>
              </w:rPr>
              <w:t>包含</w:t>
            </w:r>
            <w:r>
              <w:rPr>
                <w:rFonts w:hint="eastAsia" w:ascii="宋体" w:hAnsi="宋体" w:cs="宋体"/>
                <w:color w:val="auto"/>
                <w:kern w:val="0"/>
                <w:sz w:val="24"/>
                <w:highlight w:val="none"/>
              </w:rPr>
              <w:t>行政职业能力测试、简单应用文写作，</w:t>
            </w:r>
            <w:r>
              <w:rPr>
                <w:rFonts w:hint="eastAsia" w:ascii="宋体" w:hAnsi="宋体" w:cs="宋体"/>
                <w:color w:val="auto"/>
                <w:kern w:val="0"/>
                <w:sz w:val="24"/>
                <w:highlight w:val="none"/>
                <w:lang w:val="en-US" w:eastAsia="zh-CN"/>
              </w:rPr>
              <w:t>能</w:t>
            </w:r>
            <w:r>
              <w:rPr>
                <w:rFonts w:hint="eastAsia" w:ascii="宋体" w:hAnsi="宋体" w:cs="宋体"/>
                <w:color w:val="auto"/>
                <w:kern w:val="0"/>
                <w:sz w:val="24"/>
                <w:highlight w:val="none"/>
              </w:rPr>
              <w:t>体现工会专业知识题目若干</w:t>
            </w:r>
            <w:r>
              <w:rPr>
                <w:rFonts w:hint="eastAsia" w:ascii="宋体" w:hAnsi="宋体" w:cs="宋体"/>
                <w:color w:val="auto"/>
                <w:kern w:val="0"/>
                <w:sz w:val="24"/>
                <w:highlight w:val="none"/>
                <w:lang w:val="en-US" w:eastAsia="zh-CN"/>
              </w:rPr>
              <w:t>等内容</w:t>
            </w:r>
            <w:r>
              <w:rPr>
                <w:rFonts w:hint="eastAsia" w:ascii="宋体" w:hAnsi="宋体" w:cs="宋体"/>
                <w:color w:val="auto"/>
                <w:kern w:val="0"/>
                <w:sz w:val="24"/>
                <w:highlight w:val="none"/>
              </w:rPr>
              <w:t>的得</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分；②满足①的基础上，方案内容阐述完整，条理清晰，对关键内容分析到位、有利于项目顺利实施的得</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分；③未提供或提供的方案有缺漏或提供方案不符合本项目要求或提供方案不与本项目无关的均不得分。</w:t>
            </w:r>
          </w:p>
        </w:tc>
        <w:tc>
          <w:tcPr>
            <w:tcW w:w="501" w:type="pct"/>
            <w:tcBorders>
              <w:top w:val="single" w:color="auto" w:sz="4" w:space="0"/>
              <w:left w:val="single" w:color="auto" w:sz="4" w:space="0"/>
              <w:bottom w:val="single" w:color="auto" w:sz="4" w:space="0"/>
              <w:right w:val="single" w:color="auto" w:sz="4" w:space="0"/>
            </w:tcBorders>
            <w:noWrap w:val="0"/>
            <w:vAlign w:val="center"/>
          </w:tcPr>
          <w:p w14:paraId="472D0942">
            <w:pPr>
              <w:spacing w:line="360" w:lineRule="auto"/>
              <w:jc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4</w:t>
            </w:r>
            <w:r>
              <w:rPr>
                <w:rFonts w:hint="eastAsia" w:ascii="宋体" w:hAnsi="宋体" w:cs="宋体"/>
                <w:color w:val="auto"/>
                <w:sz w:val="24"/>
                <w:szCs w:val="24"/>
                <w:highlight w:val="none"/>
                <w:lang w:bidi="ar"/>
              </w:rPr>
              <w:t>分</w:t>
            </w:r>
          </w:p>
        </w:tc>
      </w:tr>
      <w:tr w14:paraId="5824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7E287811">
            <w:pPr>
              <w:pStyle w:val="21"/>
              <w:widowControl/>
              <w:numPr>
                <w:ilvl w:val="0"/>
                <w:numId w:val="1"/>
              </w:numPr>
              <w:spacing w:line="360" w:lineRule="auto"/>
              <w:ind w:left="425" w:leftChars="0" w:hanging="425" w:firstLineChars="0"/>
              <w:jc w:val="center"/>
              <w:rPr>
                <w:rFonts w:hint="eastAsia" w:ascii="宋体" w:hAnsi="宋体"/>
                <w:color w:val="auto"/>
                <w:sz w:val="24"/>
                <w:szCs w:val="24"/>
                <w:highlight w:val="none"/>
              </w:rPr>
            </w:pPr>
          </w:p>
        </w:tc>
        <w:tc>
          <w:tcPr>
            <w:tcW w:w="4072" w:type="pct"/>
            <w:tcBorders>
              <w:top w:val="single" w:color="auto" w:sz="4" w:space="0"/>
              <w:left w:val="single" w:color="auto" w:sz="4" w:space="0"/>
              <w:bottom w:val="single" w:color="auto" w:sz="4" w:space="0"/>
              <w:right w:val="single" w:color="auto" w:sz="4" w:space="0"/>
            </w:tcBorders>
            <w:noWrap w:val="0"/>
            <w:vAlign w:val="center"/>
          </w:tcPr>
          <w:p w14:paraId="40AC267E">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highlight w:val="none"/>
              </w:rPr>
              <w:t>根据</w:t>
            </w:r>
            <w:r>
              <w:rPr>
                <w:rFonts w:hint="eastAsia" w:ascii="宋体" w:hAnsi="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人</w:t>
            </w:r>
            <w:r>
              <w:rPr>
                <w:rFonts w:hint="eastAsia" w:ascii="宋体" w:hAnsi="宋体" w:cs="宋体"/>
                <w:color w:val="auto"/>
                <w:kern w:val="0"/>
                <w:sz w:val="24"/>
                <w:highlight w:val="none"/>
              </w:rPr>
              <w:t>针对本项目提供的</w:t>
            </w:r>
            <w:r>
              <w:rPr>
                <w:rFonts w:hint="eastAsia" w:ascii="宋体" w:hAnsi="宋体" w:cs="宋体"/>
                <w:b/>
                <w:bCs/>
                <w:color w:val="auto"/>
                <w:kern w:val="0"/>
                <w:sz w:val="24"/>
                <w:highlight w:val="none"/>
              </w:rPr>
              <w:t>面试命题方案</w:t>
            </w:r>
            <w:r>
              <w:rPr>
                <w:rFonts w:hint="eastAsia" w:ascii="宋体" w:hAnsi="宋体" w:cs="宋体"/>
                <w:color w:val="auto"/>
                <w:kern w:val="0"/>
                <w:sz w:val="24"/>
                <w:highlight w:val="none"/>
              </w:rPr>
              <w:t>进行评分： ①</w:t>
            </w:r>
            <w:r>
              <w:rPr>
                <w:rFonts w:hint="eastAsia" w:ascii="宋体" w:hAnsi="宋体" w:cs="宋体"/>
                <w:color w:val="auto"/>
                <w:kern w:val="0"/>
                <w:sz w:val="24"/>
                <w:highlight w:val="none"/>
                <w:lang w:val="en-US" w:eastAsia="zh-CN"/>
              </w:rPr>
              <w:t>提供</w:t>
            </w:r>
            <w:r>
              <w:rPr>
                <w:rFonts w:hint="eastAsia" w:ascii="宋体" w:hAnsi="宋体" w:cs="宋体"/>
                <w:color w:val="auto"/>
                <w:kern w:val="0"/>
                <w:sz w:val="24"/>
                <w:highlight w:val="none"/>
              </w:rPr>
              <w:t>方案符合本项目情况的得</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分；②满足①的基础上，方案内容阐述完整，条理清晰，对关键内容分析到位、有利于项目顺利实施的得</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分；③未提供或提供的方案有缺漏或提供方案不符合本项目要求或提供方案不与本项目无关的均不得分。</w:t>
            </w:r>
          </w:p>
        </w:tc>
        <w:tc>
          <w:tcPr>
            <w:tcW w:w="501" w:type="pct"/>
            <w:tcBorders>
              <w:top w:val="single" w:color="auto" w:sz="4" w:space="0"/>
              <w:left w:val="single" w:color="auto" w:sz="4" w:space="0"/>
              <w:bottom w:val="single" w:color="auto" w:sz="4" w:space="0"/>
              <w:right w:val="single" w:color="auto" w:sz="4" w:space="0"/>
            </w:tcBorders>
            <w:noWrap w:val="0"/>
            <w:vAlign w:val="center"/>
          </w:tcPr>
          <w:p w14:paraId="074093A4">
            <w:pPr>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lang w:val="en-US" w:eastAsia="zh-CN" w:bidi="ar"/>
              </w:rPr>
              <w:t>4</w:t>
            </w:r>
            <w:r>
              <w:rPr>
                <w:rFonts w:hint="eastAsia" w:ascii="宋体" w:hAnsi="宋体" w:cs="宋体"/>
                <w:color w:val="auto"/>
                <w:sz w:val="24"/>
                <w:szCs w:val="24"/>
                <w:highlight w:val="none"/>
                <w:lang w:bidi="ar"/>
              </w:rPr>
              <w:t>分</w:t>
            </w:r>
          </w:p>
        </w:tc>
      </w:tr>
      <w:tr w14:paraId="31B0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64EA921D">
            <w:pPr>
              <w:pStyle w:val="21"/>
              <w:widowControl/>
              <w:numPr>
                <w:ilvl w:val="0"/>
                <w:numId w:val="1"/>
              </w:numPr>
              <w:spacing w:line="360" w:lineRule="auto"/>
              <w:ind w:left="425" w:leftChars="0" w:hanging="425" w:firstLineChars="0"/>
              <w:jc w:val="center"/>
              <w:rPr>
                <w:rFonts w:hint="eastAsia" w:ascii="宋体" w:hAnsi="宋体" w:eastAsia="宋体" w:cs="宋体"/>
                <w:color w:val="auto"/>
                <w:sz w:val="24"/>
                <w:szCs w:val="24"/>
                <w:highlight w:val="none"/>
                <w:lang w:val="en-US" w:eastAsia="zh-CN"/>
              </w:rPr>
            </w:pPr>
          </w:p>
        </w:tc>
        <w:tc>
          <w:tcPr>
            <w:tcW w:w="4072" w:type="pct"/>
            <w:tcBorders>
              <w:top w:val="single" w:color="auto" w:sz="4" w:space="0"/>
              <w:left w:val="single" w:color="auto" w:sz="4" w:space="0"/>
              <w:bottom w:val="single" w:color="auto" w:sz="4" w:space="0"/>
              <w:right w:val="single" w:color="auto" w:sz="4" w:space="0"/>
            </w:tcBorders>
            <w:noWrap w:val="0"/>
            <w:vAlign w:val="center"/>
          </w:tcPr>
          <w:p w14:paraId="04866422">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highlight w:val="none"/>
              </w:rPr>
              <w:t>根据</w:t>
            </w:r>
            <w:r>
              <w:rPr>
                <w:rFonts w:hint="eastAsia" w:ascii="宋体" w:hAnsi="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人</w:t>
            </w:r>
            <w:r>
              <w:rPr>
                <w:rFonts w:hint="eastAsia" w:ascii="宋体" w:hAnsi="宋体" w:cs="宋体"/>
                <w:color w:val="auto"/>
                <w:kern w:val="0"/>
                <w:sz w:val="24"/>
                <w:highlight w:val="none"/>
              </w:rPr>
              <w:t>针对本项目提供的</w:t>
            </w:r>
            <w:r>
              <w:rPr>
                <w:rFonts w:hint="eastAsia" w:ascii="宋体" w:hAnsi="宋体" w:cs="宋体"/>
                <w:b/>
                <w:bCs/>
                <w:color w:val="auto"/>
                <w:kern w:val="0"/>
                <w:sz w:val="24"/>
                <w:highlight w:val="none"/>
              </w:rPr>
              <w:t>笔试制卷、阅卷、登分、试卷押运方案</w:t>
            </w:r>
            <w:r>
              <w:rPr>
                <w:rFonts w:hint="eastAsia" w:ascii="宋体" w:hAnsi="宋体" w:cs="宋体"/>
                <w:color w:val="auto"/>
                <w:kern w:val="0"/>
                <w:sz w:val="24"/>
                <w:highlight w:val="none"/>
              </w:rPr>
              <w:t>进行评分： ①</w:t>
            </w:r>
            <w:r>
              <w:rPr>
                <w:rFonts w:hint="eastAsia" w:ascii="宋体" w:hAnsi="宋体" w:cs="宋体"/>
                <w:color w:val="auto"/>
                <w:kern w:val="0"/>
                <w:sz w:val="24"/>
                <w:highlight w:val="none"/>
                <w:lang w:val="en-US" w:eastAsia="zh-CN"/>
              </w:rPr>
              <w:t>提供</w:t>
            </w:r>
            <w:r>
              <w:rPr>
                <w:rFonts w:hint="eastAsia" w:ascii="宋体" w:hAnsi="宋体" w:cs="宋体"/>
                <w:color w:val="auto"/>
                <w:kern w:val="0"/>
                <w:sz w:val="24"/>
                <w:highlight w:val="none"/>
              </w:rPr>
              <w:t>方案符合本项目情况的得</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分；②满足①的基础上，方案内容阐述完整，条理清晰，对关键内容分析到位、有利于项目顺利实施的得</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分；③未提供或提供的方案有缺漏或提供方案不符合本项目要求或提供方案不与本项目无关的均不得分。</w:t>
            </w:r>
          </w:p>
        </w:tc>
        <w:tc>
          <w:tcPr>
            <w:tcW w:w="501" w:type="pct"/>
            <w:tcBorders>
              <w:top w:val="single" w:color="auto" w:sz="4" w:space="0"/>
              <w:left w:val="single" w:color="auto" w:sz="4" w:space="0"/>
              <w:bottom w:val="single" w:color="auto" w:sz="4" w:space="0"/>
              <w:right w:val="single" w:color="auto" w:sz="4" w:space="0"/>
            </w:tcBorders>
            <w:noWrap w:val="0"/>
            <w:vAlign w:val="center"/>
          </w:tcPr>
          <w:p w14:paraId="6DBDD52C">
            <w:pPr>
              <w:spacing w:line="360" w:lineRule="auto"/>
              <w:jc w:val="center"/>
              <w:rPr>
                <w:rFonts w:hint="default"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4</w:t>
            </w:r>
            <w:r>
              <w:rPr>
                <w:rFonts w:hint="eastAsia" w:ascii="宋体" w:hAnsi="宋体" w:cs="宋体"/>
                <w:color w:val="auto"/>
                <w:sz w:val="24"/>
                <w:szCs w:val="24"/>
                <w:highlight w:val="none"/>
                <w:lang w:bidi="ar"/>
              </w:rPr>
              <w:t>分</w:t>
            </w:r>
          </w:p>
        </w:tc>
      </w:tr>
      <w:tr w14:paraId="0659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5FA6A87F">
            <w:pPr>
              <w:pStyle w:val="21"/>
              <w:widowControl/>
              <w:numPr>
                <w:ilvl w:val="0"/>
                <w:numId w:val="1"/>
              </w:numPr>
              <w:spacing w:line="360" w:lineRule="auto"/>
              <w:ind w:left="425" w:leftChars="0" w:hanging="425" w:firstLineChars="0"/>
              <w:jc w:val="center"/>
              <w:rPr>
                <w:rFonts w:hint="eastAsia" w:ascii="宋体" w:hAnsi="宋体"/>
                <w:color w:val="auto"/>
                <w:sz w:val="24"/>
                <w:szCs w:val="24"/>
                <w:highlight w:val="none"/>
              </w:rPr>
            </w:pPr>
          </w:p>
        </w:tc>
        <w:tc>
          <w:tcPr>
            <w:tcW w:w="4072" w:type="pct"/>
            <w:tcBorders>
              <w:top w:val="single" w:color="auto" w:sz="4" w:space="0"/>
              <w:left w:val="single" w:color="auto" w:sz="4" w:space="0"/>
              <w:bottom w:val="single" w:color="auto" w:sz="4" w:space="0"/>
              <w:right w:val="single" w:color="auto" w:sz="4" w:space="0"/>
            </w:tcBorders>
            <w:noWrap w:val="0"/>
            <w:vAlign w:val="center"/>
          </w:tcPr>
          <w:p w14:paraId="09C30506">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highlight w:val="none"/>
              </w:rPr>
              <w:t>根据</w:t>
            </w:r>
            <w:r>
              <w:rPr>
                <w:rFonts w:hint="eastAsia" w:ascii="宋体" w:hAnsi="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人</w:t>
            </w:r>
            <w:r>
              <w:rPr>
                <w:rFonts w:hint="eastAsia" w:ascii="宋体" w:hAnsi="宋体" w:cs="宋体"/>
                <w:color w:val="auto"/>
                <w:kern w:val="0"/>
                <w:sz w:val="24"/>
                <w:highlight w:val="none"/>
              </w:rPr>
              <w:t>针对本项目提供的</w:t>
            </w:r>
            <w:r>
              <w:rPr>
                <w:rFonts w:hint="eastAsia" w:ascii="宋体" w:hAnsi="宋体" w:cs="宋体"/>
                <w:b/>
                <w:bCs/>
                <w:color w:val="auto"/>
                <w:kern w:val="0"/>
                <w:sz w:val="24"/>
                <w:highlight w:val="none"/>
              </w:rPr>
              <w:t>发布公告方案</w:t>
            </w:r>
            <w:r>
              <w:rPr>
                <w:rFonts w:hint="eastAsia" w:ascii="宋体" w:hAnsi="宋体" w:cs="宋体"/>
                <w:color w:val="auto"/>
                <w:kern w:val="0"/>
                <w:sz w:val="24"/>
                <w:highlight w:val="none"/>
              </w:rPr>
              <w:t>进行评分： ①</w:t>
            </w:r>
            <w:r>
              <w:rPr>
                <w:rFonts w:hint="eastAsia" w:ascii="宋体" w:hAnsi="宋体" w:cs="宋体"/>
                <w:color w:val="auto"/>
                <w:kern w:val="0"/>
                <w:sz w:val="24"/>
                <w:highlight w:val="none"/>
                <w:lang w:val="en-US" w:eastAsia="zh-CN"/>
              </w:rPr>
              <w:t>提供</w:t>
            </w:r>
            <w:r>
              <w:rPr>
                <w:rFonts w:hint="eastAsia" w:ascii="宋体" w:hAnsi="宋体" w:cs="宋体"/>
                <w:color w:val="auto"/>
                <w:kern w:val="0"/>
                <w:sz w:val="24"/>
                <w:highlight w:val="none"/>
              </w:rPr>
              <w:t>方案符合本项目情况的得</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分；②满足①的基础上，方案内容阐述完整，条理清晰，对关键内容分析到位、有利于项目顺利实施的得</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分；③未提供或提供的方案有缺漏或提供方案不符合本项目要求或提供方案不与本项目无关的均不得分。</w:t>
            </w:r>
          </w:p>
        </w:tc>
        <w:tc>
          <w:tcPr>
            <w:tcW w:w="501" w:type="pct"/>
            <w:tcBorders>
              <w:top w:val="single" w:color="auto" w:sz="4" w:space="0"/>
              <w:left w:val="single" w:color="auto" w:sz="4" w:space="0"/>
              <w:bottom w:val="single" w:color="auto" w:sz="4" w:space="0"/>
              <w:right w:val="single" w:color="auto" w:sz="4" w:space="0"/>
            </w:tcBorders>
            <w:noWrap w:val="0"/>
            <w:vAlign w:val="center"/>
          </w:tcPr>
          <w:p w14:paraId="0B60826C">
            <w:pPr>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lang w:val="en-US" w:eastAsia="zh-CN" w:bidi="ar"/>
              </w:rPr>
              <w:t>3</w:t>
            </w:r>
            <w:r>
              <w:rPr>
                <w:rFonts w:hint="eastAsia" w:ascii="宋体" w:hAnsi="宋体" w:cs="宋体"/>
                <w:color w:val="auto"/>
                <w:sz w:val="24"/>
                <w:szCs w:val="24"/>
                <w:highlight w:val="none"/>
                <w:lang w:bidi="ar"/>
              </w:rPr>
              <w:t>分</w:t>
            </w:r>
          </w:p>
        </w:tc>
      </w:tr>
      <w:tr w14:paraId="2B3D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534E5D57">
            <w:pPr>
              <w:pStyle w:val="21"/>
              <w:widowControl/>
              <w:numPr>
                <w:ilvl w:val="0"/>
                <w:numId w:val="1"/>
              </w:numPr>
              <w:spacing w:line="360" w:lineRule="auto"/>
              <w:ind w:left="425" w:leftChars="0" w:hanging="425" w:firstLineChars="0"/>
              <w:jc w:val="center"/>
              <w:rPr>
                <w:rFonts w:hint="eastAsia" w:ascii="宋体" w:hAnsi="宋体"/>
                <w:color w:val="auto"/>
                <w:sz w:val="24"/>
                <w:szCs w:val="24"/>
                <w:highlight w:val="none"/>
              </w:rPr>
            </w:pPr>
          </w:p>
        </w:tc>
        <w:tc>
          <w:tcPr>
            <w:tcW w:w="4072" w:type="pct"/>
            <w:tcBorders>
              <w:top w:val="single" w:color="auto" w:sz="4" w:space="0"/>
              <w:left w:val="single" w:color="auto" w:sz="4" w:space="0"/>
              <w:bottom w:val="single" w:color="auto" w:sz="4" w:space="0"/>
              <w:right w:val="single" w:color="auto" w:sz="4" w:space="0"/>
            </w:tcBorders>
            <w:noWrap w:val="0"/>
            <w:vAlign w:val="center"/>
          </w:tcPr>
          <w:p w14:paraId="20CB7086">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highlight w:val="none"/>
              </w:rPr>
              <w:t>根据</w:t>
            </w:r>
            <w:r>
              <w:rPr>
                <w:rFonts w:hint="eastAsia" w:ascii="宋体" w:hAnsi="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人</w:t>
            </w:r>
            <w:r>
              <w:rPr>
                <w:rFonts w:hint="eastAsia" w:ascii="宋体" w:hAnsi="宋体" w:cs="宋体"/>
                <w:color w:val="auto"/>
                <w:kern w:val="0"/>
                <w:sz w:val="24"/>
                <w:highlight w:val="none"/>
              </w:rPr>
              <w:t>针对本项目提供的</w:t>
            </w:r>
            <w:r>
              <w:rPr>
                <w:rFonts w:hint="eastAsia" w:ascii="宋体" w:hAnsi="宋体" w:cs="宋体"/>
                <w:b/>
                <w:bCs/>
                <w:color w:val="auto"/>
                <w:kern w:val="0"/>
                <w:sz w:val="24"/>
                <w:highlight w:val="none"/>
              </w:rPr>
              <w:t>笔试考务组织（30人标准）方案</w:t>
            </w:r>
            <w:r>
              <w:rPr>
                <w:rFonts w:hint="eastAsia" w:ascii="宋体" w:hAnsi="宋体" w:cs="宋体"/>
                <w:color w:val="auto"/>
                <w:kern w:val="0"/>
                <w:sz w:val="24"/>
                <w:highlight w:val="none"/>
              </w:rPr>
              <w:t>进行评分： ①</w:t>
            </w:r>
            <w:r>
              <w:rPr>
                <w:rFonts w:hint="eastAsia" w:ascii="宋体" w:hAnsi="宋体" w:cs="宋体"/>
                <w:color w:val="auto"/>
                <w:kern w:val="0"/>
                <w:sz w:val="24"/>
                <w:highlight w:val="none"/>
                <w:lang w:val="en-US" w:eastAsia="zh-CN"/>
              </w:rPr>
              <w:t>提供</w:t>
            </w:r>
            <w:r>
              <w:rPr>
                <w:rFonts w:hint="eastAsia" w:ascii="宋体" w:hAnsi="宋体" w:cs="宋体"/>
                <w:color w:val="auto"/>
                <w:kern w:val="0"/>
                <w:sz w:val="24"/>
                <w:highlight w:val="none"/>
              </w:rPr>
              <w:t>方案符合本项目情况的得</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分；②满足①的基础上，方案内容阐述完整，条理清晰，对关键内容分析到位、有利于项目顺利实施的得</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分；③未提供或提供的方案有缺漏或提供方案不符合本项目要求或提供方案不与本项目无关的均不得分。</w:t>
            </w:r>
          </w:p>
        </w:tc>
        <w:tc>
          <w:tcPr>
            <w:tcW w:w="501" w:type="pct"/>
            <w:tcBorders>
              <w:top w:val="single" w:color="auto" w:sz="4" w:space="0"/>
              <w:left w:val="single" w:color="auto" w:sz="4" w:space="0"/>
              <w:bottom w:val="single" w:color="auto" w:sz="4" w:space="0"/>
              <w:right w:val="single" w:color="auto" w:sz="4" w:space="0"/>
            </w:tcBorders>
            <w:noWrap w:val="0"/>
            <w:vAlign w:val="center"/>
          </w:tcPr>
          <w:p w14:paraId="223D2F14">
            <w:pPr>
              <w:spacing w:line="360" w:lineRule="auto"/>
              <w:jc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4</w:t>
            </w:r>
            <w:r>
              <w:rPr>
                <w:rFonts w:hint="eastAsia" w:ascii="宋体" w:hAnsi="宋体" w:cs="宋体"/>
                <w:color w:val="auto"/>
                <w:sz w:val="24"/>
                <w:szCs w:val="24"/>
                <w:highlight w:val="none"/>
                <w:lang w:bidi="ar"/>
              </w:rPr>
              <w:t>分</w:t>
            </w:r>
          </w:p>
        </w:tc>
      </w:tr>
      <w:tr w14:paraId="7B8C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5B9A331F">
            <w:pPr>
              <w:pStyle w:val="21"/>
              <w:widowControl/>
              <w:numPr>
                <w:ilvl w:val="0"/>
                <w:numId w:val="1"/>
              </w:numPr>
              <w:spacing w:line="360" w:lineRule="auto"/>
              <w:ind w:left="425" w:leftChars="0" w:hanging="425" w:firstLineChars="0"/>
              <w:jc w:val="center"/>
              <w:rPr>
                <w:rFonts w:hint="eastAsia" w:ascii="宋体" w:hAnsi="宋体"/>
                <w:color w:val="auto"/>
                <w:sz w:val="24"/>
                <w:szCs w:val="24"/>
                <w:highlight w:val="none"/>
              </w:rPr>
            </w:pPr>
          </w:p>
        </w:tc>
        <w:tc>
          <w:tcPr>
            <w:tcW w:w="4072" w:type="pct"/>
            <w:tcBorders>
              <w:top w:val="single" w:color="auto" w:sz="4" w:space="0"/>
              <w:left w:val="single" w:color="auto" w:sz="4" w:space="0"/>
              <w:bottom w:val="single" w:color="auto" w:sz="4" w:space="0"/>
              <w:right w:val="single" w:color="auto" w:sz="4" w:space="0"/>
            </w:tcBorders>
            <w:noWrap w:val="0"/>
            <w:vAlign w:val="center"/>
          </w:tcPr>
          <w:p w14:paraId="5C3CF3EC">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highlight w:val="none"/>
              </w:rPr>
              <w:t>根据</w:t>
            </w:r>
            <w:r>
              <w:rPr>
                <w:rFonts w:hint="eastAsia" w:ascii="宋体" w:hAnsi="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人</w:t>
            </w:r>
            <w:r>
              <w:rPr>
                <w:rFonts w:hint="eastAsia" w:ascii="宋体" w:hAnsi="宋体" w:cs="宋体"/>
                <w:color w:val="auto"/>
                <w:kern w:val="0"/>
                <w:sz w:val="24"/>
                <w:highlight w:val="none"/>
              </w:rPr>
              <w:t>针对本项目提供的</w:t>
            </w:r>
            <w:r>
              <w:rPr>
                <w:rFonts w:hint="eastAsia" w:ascii="宋体" w:hAnsi="宋体" w:cs="宋体"/>
                <w:b/>
                <w:bCs/>
                <w:color w:val="auto"/>
                <w:kern w:val="0"/>
                <w:sz w:val="24"/>
                <w:highlight w:val="none"/>
              </w:rPr>
              <w:t>面试考务组织方案</w:t>
            </w:r>
            <w:r>
              <w:rPr>
                <w:rFonts w:hint="eastAsia" w:ascii="宋体" w:hAnsi="宋体" w:cs="宋体"/>
                <w:color w:val="auto"/>
                <w:kern w:val="0"/>
                <w:sz w:val="24"/>
                <w:highlight w:val="none"/>
              </w:rPr>
              <w:t>进行评分： ①</w:t>
            </w:r>
            <w:r>
              <w:rPr>
                <w:rFonts w:hint="eastAsia" w:ascii="宋体" w:hAnsi="宋体" w:cs="宋体"/>
                <w:color w:val="auto"/>
                <w:kern w:val="0"/>
                <w:sz w:val="24"/>
                <w:highlight w:val="none"/>
                <w:lang w:val="en-US" w:eastAsia="zh-CN"/>
              </w:rPr>
              <w:t>提供</w:t>
            </w:r>
            <w:r>
              <w:rPr>
                <w:rFonts w:hint="eastAsia" w:ascii="宋体" w:hAnsi="宋体" w:cs="宋体"/>
                <w:color w:val="auto"/>
                <w:kern w:val="0"/>
                <w:sz w:val="24"/>
                <w:highlight w:val="none"/>
              </w:rPr>
              <w:t>方案符合本项目情况的得</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分；②满足①的基础上，方案内容阐述完整，条理清晰，对关键内容分析到位、有利于项目顺利实施的得</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分；③未提供或提供的方案有缺漏或提供方案不符合本项目要求或提供方案不与本项目无关的均不得分。</w:t>
            </w:r>
          </w:p>
        </w:tc>
        <w:tc>
          <w:tcPr>
            <w:tcW w:w="501" w:type="pct"/>
            <w:tcBorders>
              <w:top w:val="single" w:color="auto" w:sz="4" w:space="0"/>
              <w:left w:val="single" w:color="auto" w:sz="4" w:space="0"/>
              <w:bottom w:val="single" w:color="auto" w:sz="4" w:space="0"/>
              <w:right w:val="single" w:color="auto" w:sz="4" w:space="0"/>
            </w:tcBorders>
            <w:noWrap w:val="0"/>
            <w:vAlign w:val="center"/>
          </w:tcPr>
          <w:p w14:paraId="43C1C648">
            <w:pPr>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lang w:val="en-US" w:eastAsia="zh-CN" w:bidi="ar"/>
              </w:rPr>
              <w:t>4</w:t>
            </w:r>
            <w:r>
              <w:rPr>
                <w:rFonts w:hint="eastAsia" w:ascii="宋体" w:hAnsi="宋体" w:cs="宋体"/>
                <w:color w:val="auto"/>
                <w:sz w:val="24"/>
                <w:szCs w:val="24"/>
                <w:highlight w:val="none"/>
                <w:lang w:bidi="ar"/>
              </w:rPr>
              <w:t>分</w:t>
            </w:r>
          </w:p>
        </w:tc>
      </w:tr>
      <w:tr w14:paraId="068D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41736B5C">
            <w:pPr>
              <w:pStyle w:val="21"/>
              <w:widowControl/>
              <w:numPr>
                <w:ilvl w:val="0"/>
                <w:numId w:val="1"/>
              </w:numPr>
              <w:spacing w:line="360" w:lineRule="auto"/>
              <w:ind w:left="425" w:leftChars="0" w:hanging="425" w:firstLineChars="0"/>
              <w:jc w:val="center"/>
              <w:rPr>
                <w:rFonts w:hint="eastAsia" w:ascii="宋体" w:hAnsi="宋体"/>
                <w:color w:val="auto"/>
                <w:sz w:val="24"/>
                <w:szCs w:val="24"/>
                <w:highlight w:val="none"/>
              </w:rPr>
            </w:pPr>
          </w:p>
        </w:tc>
        <w:tc>
          <w:tcPr>
            <w:tcW w:w="4072" w:type="pct"/>
            <w:tcBorders>
              <w:top w:val="single" w:color="auto" w:sz="4" w:space="0"/>
              <w:left w:val="single" w:color="auto" w:sz="4" w:space="0"/>
              <w:bottom w:val="single" w:color="auto" w:sz="4" w:space="0"/>
              <w:right w:val="single" w:color="auto" w:sz="4" w:space="0"/>
            </w:tcBorders>
            <w:noWrap w:val="0"/>
            <w:vAlign w:val="top"/>
          </w:tcPr>
          <w:p w14:paraId="1D827DEB">
            <w:pPr>
              <w:pStyle w:val="12"/>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highlight w:val="none"/>
              </w:rPr>
              <w:t>根据</w:t>
            </w:r>
            <w:r>
              <w:rPr>
                <w:rFonts w:hint="eastAsia" w:ascii="宋体" w:hAnsi="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人</w:t>
            </w:r>
            <w:r>
              <w:rPr>
                <w:rFonts w:hint="eastAsia" w:ascii="宋体" w:hAnsi="宋体" w:cs="宋体"/>
                <w:color w:val="auto"/>
                <w:kern w:val="0"/>
                <w:sz w:val="24"/>
                <w:highlight w:val="none"/>
              </w:rPr>
              <w:t>针对本项目提供的</w:t>
            </w:r>
            <w:r>
              <w:rPr>
                <w:rFonts w:hint="eastAsia" w:ascii="宋体" w:hAnsi="宋体" w:cs="宋体"/>
                <w:b/>
                <w:bCs/>
                <w:color w:val="auto"/>
                <w:kern w:val="0"/>
                <w:sz w:val="24"/>
                <w:highlight w:val="none"/>
              </w:rPr>
              <w:t>考务服务培训方案</w:t>
            </w:r>
            <w:r>
              <w:rPr>
                <w:rFonts w:hint="eastAsia" w:ascii="宋体" w:hAnsi="宋体" w:cs="宋体"/>
                <w:color w:val="auto"/>
                <w:kern w:val="0"/>
                <w:sz w:val="24"/>
                <w:highlight w:val="none"/>
              </w:rPr>
              <w:t>进行评分： ①</w:t>
            </w:r>
            <w:r>
              <w:rPr>
                <w:rFonts w:hint="eastAsia" w:ascii="宋体" w:hAnsi="宋体" w:cs="宋体"/>
                <w:color w:val="auto"/>
                <w:kern w:val="0"/>
                <w:sz w:val="24"/>
                <w:highlight w:val="none"/>
                <w:lang w:val="en-US" w:eastAsia="zh-CN"/>
              </w:rPr>
              <w:t>提供</w:t>
            </w:r>
            <w:r>
              <w:rPr>
                <w:rFonts w:hint="eastAsia" w:ascii="宋体" w:hAnsi="宋体" w:cs="宋体"/>
                <w:color w:val="auto"/>
                <w:kern w:val="0"/>
                <w:sz w:val="24"/>
                <w:highlight w:val="none"/>
              </w:rPr>
              <w:t>方案</w:t>
            </w:r>
            <w:r>
              <w:rPr>
                <w:rFonts w:hint="eastAsia" w:ascii="宋体" w:hAnsi="宋体" w:cs="宋体"/>
                <w:color w:val="auto"/>
                <w:kern w:val="0"/>
                <w:sz w:val="24"/>
                <w:highlight w:val="none"/>
                <w:lang w:val="en-US" w:eastAsia="zh-CN"/>
              </w:rPr>
              <w:t>包含但不限于</w:t>
            </w:r>
            <w:r>
              <w:rPr>
                <w:rFonts w:hint="eastAsia" w:ascii="宋体" w:hAnsi="宋体" w:cs="宋体"/>
                <w:color w:val="auto"/>
                <w:kern w:val="0"/>
                <w:sz w:val="24"/>
                <w:highlight w:val="none"/>
              </w:rPr>
              <w:t>培训对象、培训内容、培训方式、培训时间</w:t>
            </w:r>
            <w:r>
              <w:rPr>
                <w:rFonts w:hint="eastAsia" w:ascii="宋体" w:hAnsi="宋体" w:cs="宋体"/>
                <w:color w:val="auto"/>
                <w:kern w:val="0"/>
                <w:sz w:val="24"/>
                <w:highlight w:val="none"/>
                <w:lang w:val="en-US" w:eastAsia="zh-CN"/>
              </w:rPr>
              <w:t>等的</w:t>
            </w:r>
            <w:r>
              <w:rPr>
                <w:rFonts w:hint="eastAsia" w:ascii="宋体" w:hAnsi="宋体" w:cs="宋体"/>
                <w:color w:val="auto"/>
                <w:kern w:val="0"/>
                <w:sz w:val="24"/>
                <w:highlight w:val="none"/>
              </w:rPr>
              <w:t>得</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分；②满足①的基础上，方案内容阐述完整，条理清晰，对关键内容分析到位、有利于项目顺利实施的得</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分；③未提供或提供的方案有缺漏或提供方案不符合本项目要求或提供方案不与本项目无关的均不得分。</w:t>
            </w:r>
          </w:p>
        </w:tc>
        <w:tc>
          <w:tcPr>
            <w:tcW w:w="501" w:type="pct"/>
            <w:tcBorders>
              <w:top w:val="single" w:color="auto" w:sz="4" w:space="0"/>
              <w:left w:val="single" w:color="auto" w:sz="4" w:space="0"/>
              <w:bottom w:val="single" w:color="auto" w:sz="4" w:space="0"/>
              <w:right w:val="single" w:color="auto" w:sz="4" w:space="0"/>
            </w:tcBorders>
            <w:noWrap w:val="0"/>
            <w:vAlign w:val="center"/>
          </w:tcPr>
          <w:p w14:paraId="1463D6FD">
            <w:pPr>
              <w:spacing w:line="360" w:lineRule="auto"/>
              <w:jc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3</w:t>
            </w:r>
            <w:r>
              <w:rPr>
                <w:rFonts w:hint="eastAsia" w:ascii="宋体" w:hAnsi="宋体" w:cs="宋体"/>
                <w:color w:val="auto"/>
                <w:sz w:val="24"/>
                <w:szCs w:val="24"/>
                <w:highlight w:val="none"/>
                <w:lang w:bidi="ar"/>
              </w:rPr>
              <w:t>分</w:t>
            </w:r>
          </w:p>
        </w:tc>
      </w:tr>
      <w:tr w14:paraId="300A8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7B6F2FB3">
            <w:pPr>
              <w:pStyle w:val="21"/>
              <w:widowControl/>
              <w:numPr>
                <w:ilvl w:val="0"/>
                <w:numId w:val="1"/>
              </w:numPr>
              <w:spacing w:line="360" w:lineRule="auto"/>
              <w:ind w:left="425" w:leftChars="0" w:hanging="425" w:firstLineChars="0"/>
              <w:jc w:val="center"/>
              <w:rPr>
                <w:rFonts w:hint="eastAsia" w:ascii="宋体" w:hAnsi="宋体"/>
                <w:color w:val="auto"/>
                <w:sz w:val="24"/>
                <w:szCs w:val="24"/>
                <w:highlight w:val="none"/>
              </w:rPr>
            </w:pPr>
          </w:p>
        </w:tc>
        <w:tc>
          <w:tcPr>
            <w:tcW w:w="4072" w:type="pct"/>
            <w:tcBorders>
              <w:top w:val="single" w:color="auto" w:sz="4" w:space="0"/>
              <w:left w:val="single" w:color="auto" w:sz="4" w:space="0"/>
              <w:bottom w:val="single" w:color="auto" w:sz="4" w:space="0"/>
              <w:right w:val="single" w:color="auto" w:sz="4" w:space="0"/>
            </w:tcBorders>
            <w:noWrap w:val="0"/>
            <w:vAlign w:val="top"/>
          </w:tcPr>
          <w:p w14:paraId="4024DF51">
            <w:pPr>
              <w:pStyle w:val="12"/>
              <w:widowControl/>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根据</w:t>
            </w:r>
            <w:r>
              <w:rPr>
                <w:rFonts w:hint="eastAsia" w:ascii="宋体" w:hAnsi="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人</w:t>
            </w:r>
            <w:r>
              <w:rPr>
                <w:rFonts w:hint="eastAsia" w:ascii="宋体" w:hAnsi="宋体" w:cs="宋体"/>
                <w:color w:val="auto"/>
                <w:kern w:val="0"/>
                <w:sz w:val="24"/>
                <w:highlight w:val="none"/>
              </w:rPr>
              <w:t>针对本项目提供的</w:t>
            </w:r>
            <w:r>
              <w:rPr>
                <w:rFonts w:hint="eastAsia" w:ascii="宋体" w:hAnsi="宋体" w:cs="宋体"/>
                <w:b/>
                <w:bCs/>
                <w:color w:val="auto"/>
                <w:kern w:val="0"/>
                <w:sz w:val="24"/>
                <w:highlight w:val="none"/>
              </w:rPr>
              <w:t>招聘信息发布网站</w:t>
            </w:r>
            <w:r>
              <w:rPr>
                <w:rFonts w:hint="eastAsia" w:ascii="宋体" w:hAnsi="宋体" w:cs="宋体"/>
                <w:b/>
                <w:bCs/>
                <w:color w:val="auto"/>
                <w:kern w:val="0"/>
                <w:sz w:val="24"/>
                <w:highlight w:val="none"/>
                <w:lang w:val="en-US" w:eastAsia="zh-CN"/>
              </w:rPr>
              <w:t>及考务服务系统</w:t>
            </w:r>
            <w:r>
              <w:rPr>
                <w:rFonts w:hint="eastAsia" w:ascii="宋体" w:hAnsi="宋体" w:cs="宋体"/>
                <w:color w:val="auto"/>
                <w:kern w:val="0"/>
                <w:sz w:val="24"/>
                <w:highlight w:val="none"/>
              </w:rPr>
              <w:t>进行评分：</w:t>
            </w:r>
          </w:p>
          <w:p w14:paraId="47087FA7">
            <w:pPr>
              <w:pStyle w:val="12"/>
              <w:widowControl/>
              <w:numPr>
                <w:ilvl w:val="-1"/>
                <w:numId w:val="0"/>
              </w:numPr>
              <w:spacing w:line="360" w:lineRule="auto"/>
              <w:rPr>
                <w:rFonts w:hint="eastAsia" w:ascii="宋体" w:hAnsi="宋体" w:cs="宋体"/>
                <w:color w:val="auto"/>
                <w:kern w:val="0"/>
                <w:sz w:val="24"/>
                <w:highlight w:val="none"/>
                <w:lang w:eastAsia="zh-CN"/>
              </w:rPr>
            </w:pPr>
            <w:r>
              <w:rPr>
                <w:rFonts w:hint="default" w:ascii="宋体" w:hAnsi="宋体" w:cs="宋体"/>
                <w:color w:val="auto"/>
                <w:kern w:val="0"/>
                <w:sz w:val="24"/>
                <w:highlight w:val="none"/>
              </w:rPr>
              <w:t>（1）</w:t>
            </w:r>
            <w:r>
              <w:rPr>
                <w:rFonts w:hint="eastAsia" w:ascii="宋体" w:hAnsi="宋体" w:cs="宋体"/>
                <w:color w:val="auto"/>
                <w:kern w:val="0"/>
                <w:sz w:val="24"/>
                <w:highlight w:val="none"/>
                <w:lang w:val="en-US" w:eastAsia="zh-CN"/>
              </w:rPr>
              <w:t>提供相关招聘信息发布网站截图及链接，提供网站为自有的得2分（自有网站需提供网站截图、链接及证明网站自有的相关证明材料）；提供的网站为非自有的得1分（非自有网站需提供网站截图及链接），满分2分</w:t>
            </w:r>
            <w:r>
              <w:rPr>
                <w:rFonts w:hint="eastAsia" w:ascii="宋体" w:hAnsi="宋体" w:cs="宋体"/>
                <w:color w:val="auto"/>
                <w:kern w:val="0"/>
                <w:sz w:val="24"/>
                <w:highlight w:val="none"/>
                <w:lang w:eastAsia="zh-CN"/>
              </w:rPr>
              <w:t>。</w:t>
            </w:r>
          </w:p>
          <w:p w14:paraId="43B29DC8">
            <w:pPr>
              <w:pStyle w:val="12"/>
              <w:widowControl/>
              <w:numPr>
                <w:ilvl w:val="-1"/>
                <w:numId w:val="0"/>
              </w:numPr>
              <w:spacing w:line="360" w:lineRule="auto"/>
              <w:rPr>
                <w:rFonts w:hint="default" w:ascii="宋体" w:hAnsi="宋体" w:eastAsia="宋体" w:cs="宋体"/>
                <w:color w:val="auto"/>
                <w:kern w:val="0"/>
                <w:sz w:val="24"/>
                <w:highlight w:val="none"/>
                <w:lang w:val="en-US" w:eastAsia="zh-CN"/>
              </w:rPr>
            </w:pPr>
            <w:r>
              <w:rPr>
                <w:rFonts w:hint="default" w:ascii="宋体" w:hAnsi="宋体" w:cs="宋体"/>
                <w:color w:val="auto"/>
                <w:kern w:val="0"/>
                <w:sz w:val="24"/>
                <w:highlight w:val="none"/>
              </w:rPr>
              <w:t>（2）</w:t>
            </w:r>
            <w:r>
              <w:rPr>
                <w:rFonts w:hint="eastAsia" w:ascii="宋体" w:hAnsi="宋体" w:cs="宋体"/>
                <w:color w:val="auto"/>
                <w:kern w:val="0"/>
                <w:sz w:val="24"/>
                <w:highlight w:val="none"/>
                <w:lang w:val="en-US" w:eastAsia="zh-CN"/>
              </w:rPr>
              <w:t>具备自有的</w:t>
            </w:r>
            <w:r>
              <w:rPr>
                <w:rFonts w:hint="eastAsia" w:ascii="宋体" w:hAnsi="宋体" w:cs="宋体"/>
                <w:color w:val="auto"/>
                <w:kern w:val="0"/>
                <w:sz w:val="24"/>
                <w:highlight w:val="none"/>
              </w:rPr>
              <w:t>招聘考务服务系统</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并</w:t>
            </w:r>
            <w:r>
              <w:rPr>
                <w:rFonts w:hint="eastAsia" w:ascii="宋体" w:hAnsi="宋体" w:cs="宋体"/>
                <w:color w:val="auto"/>
                <w:kern w:val="0"/>
                <w:sz w:val="24"/>
                <w:highlight w:val="none"/>
              </w:rPr>
              <w:t>提供完整的线上招聘考务服务系统</w:t>
            </w:r>
            <w:r>
              <w:rPr>
                <w:rFonts w:hint="eastAsia" w:ascii="宋体" w:hAnsi="宋体" w:cs="宋体"/>
                <w:color w:val="auto"/>
                <w:kern w:val="0"/>
                <w:sz w:val="24"/>
                <w:highlight w:val="none"/>
                <w:lang w:val="en-US" w:eastAsia="zh-CN"/>
              </w:rPr>
              <w:t>相关截图</w:t>
            </w:r>
            <w:r>
              <w:rPr>
                <w:rFonts w:hint="eastAsia" w:ascii="宋体" w:hAnsi="宋体" w:cs="宋体"/>
                <w:color w:val="auto"/>
                <w:kern w:val="0"/>
                <w:sz w:val="24"/>
                <w:highlight w:val="none"/>
              </w:rPr>
              <w:t>(包括线上报名</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成绩发布</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考务通知等</w:t>
            </w:r>
            <w:r>
              <w:rPr>
                <w:rFonts w:hint="eastAsia" w:ascii="宋体" w:hAnsi="宋体" w:cs="宋体"/>
                <w:color w:val="auto"/>
                <w:kern w:val="0"/>
                <w:sz w:val="24"/>
                <w:highlight w:val="none"/>
                <w:lang w:val="en-US" w:eastAsia="zh-CN"/>
              </w:rPr>
              <w:t>功能</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的得</w:t>
            </w:r>
            <w:r>
              <w:rPr>
                <w:rFonts w:hint="default" w:ascii="宋体" w:hAnsi="宋体" w:cs="宋体"/>
                <w:color w:val="auto"/>
                <w:kern w:val="0"/>
                <w:sz w:val="24"/>
                <w:highlight w:val="none"/>
                <w:lang w:val="en-US" w:eastAsia="zh-CN"/>
              </w:rPr>
              <w:t>3</w:t>
            </w:r>
            <w:r>
              <w:rPr>
                <w:rFonts w:hint="eastAsia" w:ascii="宋体" w:hAnsi="宋体" w:cs="宋体"/>
                <w:color w:val="auto"/>
                <w:kern w:val="0"/>
                <w:sz w:val="24"/>
                <w:highlight w:val="none"/>
                <w:lang w:val="en-US" w:eastAsia="zh-CN"/>
              </w:rPr>
              <w:t>分，满分</w:t>
            </w:r>
            <w:r>
              <w:rPr>
                <w:rFonts w:hint="default" w:ascii="宋体" w:hAnsi="宋体" w:cs="宋体"/>
                <w:color w:val="auto"/>
                <w:kern w:val="0"/>
                <w:sz w:val="24"/>
                <w:highlight w:val="none"/>
                <w:lang w:val="en-US" w:eastAsia="zh-CN"/>
              </w:rPr>
              <w:t>3</w:t>
            </w:r>
            <w:r>
              <w:rPr>
                <w:rFonts w:hint="eastAsia" w:ascii="宋体" w:hAnsi="宋体" w:cs="宋体"/>
                <w:color w:val="auto"/>
                <w:kern w:val="0"/>
                <w:sz w:val="24"/>
                <w:highlight w:val="none"/>
                <w:lang w:val="en-US" w:eastAsia="zh-CN"/>
              </w:rPr>
              <w:t>分。</w:t>
            </w:r>
          </w:p>
        </w:tc>
        <w:tc>
          <w:tcPr>
            <w:tcW w:w="501" w:type="pct"/>
            <w:tcBorders>
              <w:top w:val="single" w:color="auto" w:sz="4" w:space="0"/>
              <w:left w:val="single" w:color="auto" w:sz="4" w:space="0"/>
              <w:bottom w:val="single" w:color="auto" w:sz="4" w:space="0"/>
              <w:right w:val="single" w:color="auto" w:sz="4" w:space="0"/>
            </w:tcBorders>
            <w:noWrap w:val="0"/>
            <w:vAlign w:val="center"/>
          </w:tcPr>
          <w:p w14:paraId="6D8AEA96">
            <w:pPr>
              <w:spacing w:line="360" w:lineRule="auto"/>
              <w:jc w:val="center"/>
              <w:rPr>
                <w:rFonts w:hint="default" w:ascii="宋体" w:hAnsi="宋体" w:cs="宋体"/>
                <w:color w:val="auto"/>
                <w:sz w:val="24"/>
                <w:szCs w:val="24"/>
                <w:highlight w:val="none"/>
                <w:lang w:val="en-US" w:eastAsia="zh-CN" w:bidi="ar"/>
              </w:rPr>
            </w:pPr>
            <w:r>
              <w:rPr>
                <w:rFonts w:hint="default" w:ascii="宋体" w:hAnsi="宋体" w:cs="宋体"/>
                <w:color w:val="auto"/>
                <w:sz w:val="24"/>
                <w:szCs w:val="24"/>
                <w:highlight w:val="none"/>
                <w:lang w:val="en-US" w:eastAsia="zh-CN" w:bidi="ar"/>
              </w:rPr>
              <w:t>5</w:t>
            </w:r>
            <w:r>
              <w:rPr>
                <w:rFonts w:hint="eastAsia" w:ascii="宋体" w:hAnsi="宋体" w:cs="宋体"/>
                <w:color w:val="auto"/>
                <w:sz w:val="24"/>
                <w:szCs w:val="24"/>
                <w:highlight w:val="none"/>
                <w:lang w:val="en-US" w:eastAsia="zh-CN" w:bidi="ar"/>
              </w:rPr>
              <w:t>分</w:t>
            </w:r>
          </w:p>
        </w:tc>
      </w:tr>
      <w:tr w14:paraId="762F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47C87F4A">
            <w:pPr>
              <w:pStyle w:val="21"/>
              <w:widowControl/>
              <w:numPr>
                <w:ilvl w:val="0"/>
                <w:numId w:val="1"/>
              </w:numPr>
              <w:spacing w:line="360" w:lineRule="auto"/>
              <w:ind w:left="425" w:leftChars="0" w:hanging="425" w:firstLineChars="0"/>
              <w:jc w:val="center"/>
              <w:rPr>
                <w:rFonts w:hint="eastAsia" w:ascii="宋体" w:hAnsi="宋体"/>
                <w:color w:val="auto"/>
                <w:sz w:val="24"/>
                <w:szCs w:val="24"/>
                <w:highlight w:val="none"/>
              </w:rPr>
            </w:pPr>
          </w:p>
        </w:tc>
        <w:tc>
          <w:tcPr>
            <w:tcW w:w="4072" w:type="pct"/>
            <w:tcBorders>
              <w:top w:val="single" w:color="auto" w:sz="4" w:space="0"/>
              <w:left w:val="single" w:color="auto" w:sz="4" w:space="0"/>
              <w:bottom w:val="single" w:color="auto" w:sz="4" w:space="0"/>
              <w:right w:val="single" w:color="auto" w:sz="4" w:space="0"/>
            </w:tcBorders>
            <w:noWrap w:val="0"/>
            <w:vAlign w:val="top"/>
          </w:tcPr>
          <w:p w14:paraId="41CA2AD3">
            <w:pPr>
              <w:pStyle w:val="12"/>
              <w:widowControl/>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根据</w:t>
            </w:r>
            <w:r>
              <w:rPr>
                <w:rFonts w:hint="eastAsia" w:ascii="宋体" w:hAnsi="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人</w:t>
            </w:r>
            <w:r>
              <w:rPr>
                <w:rFonts w:hint="eastAsia" w:ascii="宋体" w:hAnsi="宋体" w:cs="宋体"/>
                <w:color w:val="auto"/>
                <w:kern w:val="0"/>
                <w:sz w:val="24"/>
                <w:highlight w:val="none"/>
              </w:rPr>
              <w:t>针对本项目提供的</w:t>
            </w:r>
            <w:r>
              <w:rPr>
                <w:rFonts w:hint="eastAsia" w:ascii="宋体" w:hAnsi="宋体" w:cs="宋体"/>
                <w:b/>
                <w:bCs/>
                <w:color w:val="auto"/>
                <w:kern w:val="0"/>
                <w:sz w:val="24"/>
                <w:highlight w:val="none"/>
              </w:rPr>
              <w:t>保密措施方案</w:t>
            </w:r>
            <w:r>
              <w:rPr>
                <w:rFonts w:hint="eastAsia" w:ascii="宋体" w:hAnsi="宋体" w:cs="宋体"/>
                <w:color w:val="auto"/>
                <w:kern w:val="0"/>
                <w:sz w:val="24"/>
                <w:highlight w:val="none"/>
              </w:rPr>
              <w:t>进行评分： ①</w:t>
            </w:r>
            <w:r>
              <w:rPr>
                <w:rFonts w:hint="eastAsia" w:ascii="宋体" w:hAnsi="宋体" w:cs="宋体"/>
                <w:color w:val="auto"/>
                <w:kern w:val="0"/>
                <w:sz w:val="24"/>
                <w:highlight w:val="none"/>
                <w:lang w:val="en-US" w:eastAsia="zh-CN"/>
              </w:rPr>
              <w:t>提供</w:t>
            </w:r>
            <w:r>
              <w:rPr>
                <w:rFonts w:hint="eastAsia" w:ascii="宋体" w:hAnsi="宋体" w:cs="宋体"/>
                <w:color w:val="auto"/>
                <w:kern w:val="0"/>
                <w:sz w:val="24"/>
                <w:highlight w:val="none"/>
              </w:rPr>
              <w:t>方案</w:t>
            </w:r>
            <w:r>
              <w:rPr>
                <w:rFonts w:hint="eastAsia" w:ascii="宋体" w:hAnsi="宋体" w:cs="宋体"/>
                <w:color w:val="auto"/>
                <w:kern w:val="0"/>
                <w:sz w:val="24"/>
                <w:highlight w:val="none"/>
                <w:lang w:val="en-US" w:eastAsia="zh-CN"/>
              </w:rPr>
              <w:t>包含但不限于</w:t>
            </w:r>
            <w:r>
              <w:rPr>
                <w:rFonts w:hint="eastAsia" w:ascii="宋体" w:hAnsi="宋体" w:cs="宋体"/>
                <w:color w:val="auto"/>
                <w:kern w:val="0"/>
                <w:sz w:val="24"/>
                <w:highlight w:val="none"/>
              </w:rPr>
              <w:t>人员保密制度</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数据保密</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试题及印刷保密</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阅卷环节保密</w:t>
            </w:r>
            <w:r>
              <w:rPr>
                <w:rFonts w:hint="eastAsia" w:ascii="宋体" w:hAnsi="宋体" w:cs="宋体"/>
                <w:color w:val="auto"/>
                <w:kern w:val="0"/>
                <w:sz w:val="24"/>
                <w:highlight w:val="none"/>
                <w:lang w:val="en-US" w:eastAsia="zh-CN"/>
              </w:rPr>
              <w:t>等的</w:t>
            </w:r>
            <w:r>
              <w:rPr>
                <w:rFonts w:hint="eastAsia" w:ascii="宋体" w:hAnsi="宋体" w:cs="宋体"/>
                <w:color w:val="auto"/>
                <w:kern w:val="0"/>
                <w:sz w:val="24"/>
                <w:highlight w:val="none"/>
              </w:rPr>
              <w:t>得</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分；②满足①的基础上，方案内容阐述完整，条理清晰，对关键内容分析到位、有利于项目顺利实施的得</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分；③未提供或提供的方案有缺漏或提供方案不符合本项目要求或提供方案不与本项目无关的均不得分。</w:t>
            </w:r>
          </w:p>
        </w:tc>
        <w:tc>
          <w:tcPr>
            <w:tcW w:w="501" w:type="pct"/>
            <w:tcBorders>
              <w:top w:val="single" w:color="auto" w:sz="4" w:space="0"/>
              <w:left w:val="single" w:color="auto" w:sz="4" w:space="0"/>
              <w:bottom w:val="single" w:color="auto" w:sz="4" w:space="0"/>
              <w:right w:val="single" w:color="auto" w:sz="4" w:space="0"/>
            </w:tcBorders>
            <w:noWrap w:val="0"/>
            <w:vAlign w:val="center"/>
          </w:tcPr>
          <w:p w14:paraId="79A0D95E">
            <w:pPr>
              <w:spacing w:line="360" w:lineRule="auto"/>
              <w:jc w:val="center"/>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4</w:t>
            </w:r>
            <w:r>
              <w:rPr>
                <w:rFonts w:hint="eastAsia" w:ascii="宋体" w:hAnsi="宋体" w:cs="宋体"/>
                <w:color w:val="auto"/>
                <w:sz w:val="24"/>
                <w:szCs w:val="24"/>
                <w:highlight w:val="none"/>
                <w:lang w:bidi="ar"/>
              </w:rPr>
              <w:t>分</w:t>
            </w:r>
          </w:p>
        </w:tc>
      </w:tr>
      <w:tr w14:paraId="0538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40DEF922">
            <w:pPr>
              <w:pStyle w:val="21"/>
              <w:widowControl/>
              <w:numPr>
                <w:ilvl w:val="0"/>
                <w:numId w:val="1"/>
              </w:numPr>
              <w:spacing w:line="360" w:lineRule="auto"/>
              <w:ind w:left="425" w:leftChars="0" w:hanging="425" w:firstLineChars="0"/>
              <w:jc w:val="center"/>
              <w:rPr>
                <w:rFonts w:hint="eastAsia" w:ascii="宋体" w:hAnsi="宋体"/>
                <w:color w:val="auto"/>
                <w:sz w:val="24"/>
                <w:szCs w:val="24"/>
                <w:highlight w:val="none"/>
              </w:rPr>
            </w:pPr>
          </w:p>
        </w:tc>
        <w:tc>
          <w:tcPr>
            <w:tcW w:w="4072" w:type="pct"/>
            <w:tcBorders>
              <w:top w:val="single" w:color="auto" w:sz="4" w:space="0"/>
              <w:left w:val="single" w:color="auto" w:sz="4" w:space="0"/>
              <w:bottom w:val="single" w:color="auto" w:sz="4" w:space="0"/>
              <w:right w:val="single" w:color="auto" w:sz="4" w:space="0"/>
            </w:tcBorders>
            <w:noWrap w:val="0"/>
            <w:vAlign w:val="top"/>
          </w:tcPr>
          <w:p w14:paraId="4348BB5F">
            <w:pPr>
              <w:pStyle w:val="12"/>
              <w:widowControl/>
              <w:spacing w:line="360" w:lineRule="auto"/>
              <w:rPr>
                <w:rFonts w:hint="eastAsia" w:ascii="宋体" w:hAnsi="宋体" w:cs="宋体"/>
                <w:color w:val="auto"/>
                <w:kern w:val="0"/>
                <w:highlight w:val="none"/>
              </w:rPr>
            </w:pPr>
            <w:r>
              <w:rPr>
                <w:rFonts w:hint="eastAsia" w:ascii="宋体" w:hAnsi="宋体" w:cs="宋体"/>
                <w:color w:val="auto"/>
                <w:kern w:val="0"/>
                <w:sz w:val="24"/>
                <w:highlight w:val="none"/>
              </w:rPr>
              <w:t>根据</w:t>
            </w:r>
            <w:r>
              <w:rPr>
                <w:rFonts w:hint="eastAsia" w:ascii="宋体" w:hAnsi="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人</w:t>
            </w:r>
            <w:r>
              <w:rPr>
                <w:rFonts w:hint="eastAsia" w:ascii="宋体" w:hAnsi="宋体" w:cs="宋体"/>
                <w:color w:val="auto"/>
                <w:kern w:val="0"/>
                <w:sz w:val="24"/>
                <w:highlight w:val="none"/>
              </w:rPr>
              <w:t>针对本项目提供的</w:t>
            </w:r>
            <w:r>
              <w:rPr>
                <w:rFonts w:hint="eastAsia" w:ascii="宋体" w:hAnsi="宋体" w:cs="宋体"/>
                <w:b/>
                <w:bCs/>
                <w:color w:val="auto"/>
                <w:kern w:val="0"/>
                <w:sz w:val="24"/>
                <w:highlight w:val="none"/>
              </w:rPr>
              <w:t>服务人员稳定性的保障措施方案</w:t>
            </w:r>
            <w:r>
              <w:rPr>
                <w:rFonts w:hint="eastAsia" w:ascii="宋体" w:hAnsi="宋体" w:cs="宋体"/>
                <w:color w:val="auto"/>
                <w:kern w:val="0"/>
                <w:sz w:val="24"/>
                <w:highlight w:val="none"/>
              </w:rPr>
              <w:t>进行评分： ①</w:t>
            </w:r>
            <w:r>
              <w:rPr>
                <w:rFonts w:hint="eastAsia" w:ascii="宋体" w:hAnsi="宋体" w:cs="宋体"/>
                <w:color w:val="auto"/>
                <w:kern w:val="0"/>
                <w:sz w:val="24"/>
                <w:highlight w:val="none"/>
                <w:lang w:val="en-US" w:eastAsia="zh-CN"/>
              </w:rPr>
              <w:t>提供</w:t>
            </w:r>
            <w:r>
              <w:rPr>
                <w:rFonts w:hint="eastAsia" w:ascii="宋体" w:hAnsi="宋体" w:cs="宋体"/>
                <w:color w:val="auto"/>
                <w:kern w:val="0"/>
                <w:sz w:val="24"/>
                <w:highlight w:val="none"/>
              </w:rPr>
              <w:t>方案符合本项目情况的得</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分；②满足①的基础上，方案内容阐述完整，条理清晰，对关键内容分析到位、有利于项目顺利实施的得</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分；③未提供或提供的方案有缺漏或提供方案不符合本项目要求或提供方案不与本项目无关的均不得分。</w:t>
            </w:r>
          </w:p>
        </w:tc>
        <w:tc>
          <w:tcPr>
            <w:tcW w:w="501" w:type="pct"/>
            <w:tcBorders>
              <w:top w:val="single" w:color="auto" w:sz="4" w:space="0"/>
              <w:left w:val="single" w:color="auto" w:sz="4" w:space="0"/>
              <w:bottom w:val="single" w:color="auto" w:sz="4" w:space="0"/>
              <w:right w:val="single" w:color="auto" w:sz="4" w:space="0"/>
            </w:tcBorders>
            <w:noWrap w:val="0"/>
            <w:vAlign w:val="center"/>
          </w:tcPr>
          <w:p w14:paraId="682CB76C">
            <w:pPr>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lang w:val="en-US" w:eastAsia="zh-CN" w:bidi="ar"/>
              </w:rPr>
              <w:t>3</w:t>
            </w:r>
            <w:r>
              <w:rPr>
                <w:rFonts w:hint="eastAsia" w:ascii="宋体" w:hAnsi="宋体" w:cs="宋体"/>
                <w:color w:val="auto"/>
                <w:sz w:val="24"/>
                <w:szCs w:val="24"/>
                <w:highlight w:val="none"/>
                <w:lang w:bidi="ar"/>
              </w:rPr>
              <w:t>分</w:t>
            </w:r>
          </w:p>
        </w:tc>
      </w:tr>
      <w:tr w14:paraId="39AC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78FA15B6">
            <w:pPr>
              <w:pStyle w:val="21"/>
              <w:widowControl/>
              <w:numPr>
                <w:ilvl w:val="0"/>
                <w:numId w:val="1"/>
              </w:numPr>
              <w:spacing w:line="360" w:lineRule="auto"/>
              <w:ind w:left="425" w:leftChars="0" w:hanging="425" w:firstLineChars="0"/>
              <w:jc w:val="center"/>
              <w:rPr>
                <w:rFonts w:hint="eastAsia" w:ascii="宋体" w:hAnsi="宋体"/>
                <w:color w:val="auto"/>
                <w:sz w:val="24"/>
                <w:szCs w:val="24"/>
                <w:highlight w:val="none"/>
              </w:rPr>
            </w:pPr>
          </w:p>
        </w:tc>
        <w:tc>
          <w:tcPr>
            <w:tcW w:w="4072" w:type="pct"/>
            <w:tcBorders>
              <w:top w:val="single" w:color="auto" w:sz="4" w:space="0"/>
              <w:left w:val="single" w:color="auto" w:sz="4" w:space="0"/>
              <w:bottom w:val="single" w:color="auto" w:sz="4" w:space="0"/>
              <w:right w:val="single" w:color="auto" w:sz="4" w:space="0"/>
            </w:tcBorders>
            <w:noWrap w:val="0"/>
            <w:vAlign w:val="top"/>
          </w:tcPr>
          <w:p w14:paraId="635D9E41">
            <w:pPr>
              <w:pStyle w:val="22"/>
              <w:spacing w:line="360" w:lineRule="auto"/>
              <w:rPr>
                <w:rFonts w:hint="eastAsia" w:ascii="宋体" w:hAnsi="宋体" w:cs="宋体"/>
                <w:color w:val="auto"/>
                <w:kern w:val="0"/>
                <w:highlight w:val="none"/>
              </w:rPr>
            </w:pPr>
            <w:r>
              <w:rPr>
                <w:rFonts w:hint="eastAsia" w:ascii="宋体" w:hAnsi="宋体" w:cs="宋体"/>
                <w:color w:val="auto"/>
                <w:kern w:val="0"/>
                <w:sz w:val="24"/>
                <w:highlight w:val="none"/>
              </w:rPr>
              <w:t>根据</w:t>
            </w:r>
            <w:r>
              <w:rPr>
                <w:rFonts w:hint="eastAsia" w:ascii="宋体" w:hAnsi="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人</w:t>
            </w:r>
            <w:r>
              <w:rPr>
                <w:rFonts w:hint="eastAsia" w:ascii="宋体" w:hAnsi="宋体" w:cs="宋体"/>
                <w:color w:val="auto"/>
                <w:kern w:val="0"/>
                <w:sz w:val="24"/>
                <w:highlight w:val="none"/>
              </w:rPr>
              <w:t>针对本项目提供的</w:t>
            </w:r>
            <w:r>
              <w:rPr>
                <w:rFonts w:hint="eastAsia" w:ascii="宋体" w:hAnsi="宋体" w:cs="宋体"/>
                <w:b/>
                <w:bCs/>
                <w:color w:val="auto"/>
                <w:kern w:val="0"/>
                <w:sz w:val="24"/>
                <w:highlight w:val="none"/>
              </w:rPr>
              <w:t>服务风险防控措施方案</w:t>
            </w:r>
            <w:r>
              <w:rPr>
                <w:rFonts w:hint="eastAsia" w:ascii="宋体" w:hAnsi="宋体" w:cs="宋体"/>
                <w:color w:val="auto"/>
                <w:kern w:val="0"/>
                <w:sz w:val="24"/>
                <w:highlight w:val="none"/>
              </w:rPr>
              <w:t>进行评分： ①方案符合本项目情况的得</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分；②满足①的基础上，方案内容阐述完整，条理清晰，对关键内容分析到位、有利于项目顺利实施的得</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分；③未提供或提供的方案有缺漏或提供方案不符合本项目要求或提供方案不与本项目无关的均不得分。</w:t>
            </w:r>
          </w:p>
        </w:tc>
        <w:tc>
          <w:tcPr>
            <w:tcW w:w="501" w:type="pct"/>
            <w:tcBorders>
              <w:top w:val="single" w:color="auto" w:sz="4" w:space="0"/>
              <w:left w:val="single" w:color="auto" w:sz="4" w:space="0"/>
              <w:bottom w:val="single" w:color="auto" w:sz="4" w:space="0"/>
              <w:right w:val="single" w:color="auto" w:sz="4" w:space="0"/>
            </w:tcBorders>
            <w:noWrap w:val="0"/>
            <w:vAlign w:val="center"/>
          </w:tcPr>
          <w:p w14:paraId="3E86EB1B">
            <w:pPr>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lang w:val="en-US" w:eastAsia="zh-CN" w:bidi="ar"/>
              </w:rPr>
              <w:t>3</w:t>
            </w:r>
            <w:r>
              <w:rPr>
                <w:rFonts w:hint="eastAsia" w:ascii="宋体" w:hAnsi="宋体" w:cs="宋体"/>
                <w:color w:val="auto"/>
                <w:sz w:val="24"/>
                <w:szCs w:val="24"/>
                <w:highlight w:val="none"/>
                <w:lang w:bidi="ar"/>
              </w:rPr>
              <w:t>分</w:t>
            </w:r>
          </w:p>
        </w:tc>
      </w:tr>
      <w:tr w14:paraId="731DB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10FB3BA8">
            <w:pPr>
              <w:pStyle w:val="21"/>
              <w:widowControl/>
              <w:numPr>
                <w:ilvl w:val="0"/>
                <w:numId w:val="1"/>
              </w:numPr>
              <w:spacing w:line="360" w:lineRule="auto"/>
              <w:ind w:left="425" w:leftChars="0" w:hanging="425" w:firstLineChars="0"/>
              <w:jc w:val="center"/>
              <w:rPr>
                <w:rFonts w:hint="eastAsia" w:ascii="宋体" w:hAnsi="宋体" w:eastAsia="宋体" w:cs="宋体"/>
                <w:color w:val="auto"/>
                <w:kern w:val="0"/>
                <w:sz w:val="24"/>
                <w:szCs w:val="20"/>
                <w:highlight w:val="none"/>
                <w:lang w:val="en-US" w:eastAsia="zh-CN" w:bidi="ar-SA"/>
              </w:rPr>
            </w:pPr>
          </w:p>
        </w:tc>
        <w:tc>
          <w:tcPr>
            <w:tcW w:w="4072" w:type="pct"/>
            <w:tcBorders>
              <w:top w:val="single" w:color="auto" w:sz="4" w:space="0"/>
              <w:left w:val="single" w:color="auto" w:sz="4" w:space="0"/>
              <w:bottom w:val="single" w:color="auto" w:sz="4" w:space="0"/>
              <w:right w:val="single" w:color="auto" w:sz="4" w:space="0"/>
            </w:tcBorders>
            <w:noWrap w:val="0"/>
            <w:vAlign w:val="top"/>
          </w:tcPr>
          <w:p w14:paraId="4405D6FC">
            <w:pPr>
              <w:pStyle w:val="22"/>
              <w:spacing w:line="360" w:lineRule="auto"/>
              <w:jc w:val="both"/>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根据报价人针对本项目提供的</w:t>
            </w:r>
            <w:r>
              <w:rPr>
                <w:rFonts w:hint="eastAsia" w:ascii="宋体" w:hAnsi="宋体" w:eastAsia="宋体" w:cs="宋体"/>
                <w:b/>
                <w:bCs/>
                <w:color w:val="auto"/>
                <w:kern w:val="0"/>
                <w:sz w:val="24"/>
                <w:szCs w:val="20"/>
                <w:highlight w:val="none"/>
                <w:lang w:val="en-US" w:eastAsia="zh-CN" w:bidi="ar-SA"/>
              </w:rPr>
              <w:t>实施重难点、合理化建议</w:t>
            </w:r>
            <w:r>
              <w:rPr>
                <w:rFonts w:hint="eastAsia" w:ascii="宋体" w:hAnsi="宋体" w:eastAsia="宋体" w:cs="宋体"/>
                <w:color w:val="auto"/>
                <w:kern w:val="0"/>
                <w:sz w:val="24"/>
                <w:szCs w:val="20"/>
                <w:highlight w:val="none"/>
                <w:lang w:val="en-US" w:eastAsia="zh-CN" w:bidi="ar-SA"/>
              </w:rPr>
              <w:t>进行评议：①有针对本项目实施情况提供重难点、合理化建议的得1分；②在①的基础上对本项目的重点、难点作出分析，并提出解决措施、合理化建议，符合项目需求，内容完整详细、阐述全面、理解到位的得3分；③提供方案与本项目无关的或提供的方案有缺项的或提供的方案对项目实施有风险的或未提供方案的均不得分。</w:t>
            </w:r>
          </w:p>
        </w:tc>
        <w:tc>
          <w:tcPr>
            <w:tcW w:w="501" w:type="pct"/>
            <w:tcBorders>
              <w:top w:val="single" w:color="auto" w:sz="4" w:space="0"/>
              <w:left w:val="single" w:color="auto" w:sz="4" w:space="0"/>
              <w:bottom w:val="single" w:color="auto" w:sz="4" w:space="0"/>
              <w:right w:val="single" w:color="auto" w:sz="4" w:space="0"/>
            </w:tcBorders>
            <w:noWrap w:val="0"/>
            <w:vAlign w:val="center"/>
          </w:tcPr>
          <w:p w14:paraId="1E16F982">
            <w:pPr>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lang w:val="en-US" w:eastAsia="zh-CN" w:bidi="ar"/>
              </w:rPr>
              <w:t>3</w:t>
            </w:r>
            <w:r>
              <w:rPr>
                <w:rFonts w:hint="eastAsia" w:ascii="宋体" w:hAnsi="宋体" w:cs="宋体"/>
                <w:color w:val="auto"/>
                <w:sz w:val="24"/>
                <w:szCs w:val="24"/>
                <w:highlight w:val="none"/>
                <w:lang w:bidi="ar"/>
              </w:rPr>
              <w:t>分</w:t>
            </w:r>
          </w:p>
        </w:tc>
      </w:tr>
      <w:tr w14:paraId="1755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302C1E19">
            <w:pPr>
              <w:pStyle w:val="21"/>
              <w:widowControl/>
              <w:numPr>
                <w:ilvl w:val="0"/>
                <w:numId w:val="1"/>
              </w:numPr>
              <w:spacing w:line="360" w:lineRule="auto"/>
              <w:ind w:left="425" w:leftChars="0" w:hanging="425" w:firstLineChars="0"/>
              <w:jc w:val="center"/>
              <w:rPr>
                <w:rFonts w:ascii="宋体" w:hAnsi="宋体"/>
                <w:color w:val="auto"/>
                <w:sz w:val="24"/>
                <w:szCs w:val="24"/>
                <w:highlight w:val="none"/>
              </w:rPr>
            </w:pPr>
          </w:p>
        </w:tc>
        <w:tc>
          <w:tcPr>
            <w:tcW w:w="4072" w:type="pct"/>
            <w:tcBorders>
              <w:top w:val="single" w:color="auto" w:sz="4" w:space="0"/>
              <w:left w:val="single" w:color="auto" w:sz="4" w:space="0"/>
              <w:bottom w:val="single" w:color="auto" w:sz="4" w:space="0"/>
              <w:right w:val="single" w:color="auto" w:sz="4" w:space="0"/>
            </w:tcBorders>
            <w:noWrap w:val="0"/>
            <w:vAlign w:val="top"/>
          </w:tcPr>
          <w:p w14:paraId="12CB3D39">
            <w:pPr>
              <w:pStyle w:val="22"/>
              <w:spacing w:line="360" w:lineRule="auto"/>
              <w:jc w:val="both"/>
              <w:rPr>
                <w:rFonts w:hint="eastAsia" w:ascii="宋体" w:hAnsi="宋体" w:cs="宋体"/>
                <w:color w:val="auto"/>
                <w:kern w:val="0"/>
                <w:highlight w:val="none"/>
              </w:rPr>
            </w:pPr>
            <w:r>
              <w:rPr>
                <w:rFonts w:hint="eastAsia" w:ascii="宋体" w:hAnsi="宋体" w:eastAsia="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人</w:t>
            </w:r>
            <w:r>
              <w:rPr>
                <w:rFonts w:hint="eastAsia" w:ascii="宋体" w:hAnsi="宋体" w:eastAsia="宋体" w:cs="宋体"/>
                <w:b w:val="0"/>
                <w:bCs w:val="0"/>
                <w:color w:val="auto"/>
                <w:sz w:val="24"/>
                <w:szCs w:val="24"/>
                <w:highlight w:val="none"/>
              </w:rPr>
              <w:t>承诺：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rPr>
              <w:t>所委派的服务人员在服务期内，若发现不符合服务人员要求的、不能胜任工作的、违反相关管理规定和纪律要求的、因工作失职或不规范履行职责造成严重后果或不良影响的，采购人要求调换服务人员的，应无条件更换</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提供满足上述要求的承诺的得</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分。 注：</w:t>
            </w:r>
            <w:r>
              <w:rPr>
                <w:rFonts w:hint="eastAsia" w:ascii="宋体" w:hAnsi="宋体" w:eastAsia="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人</w:t>
            </w:r>
            <w:r>
              <w:rPr>
                <w:rFonts w:hint="eastAsia" w:ascii="宋体" w:hAnsi="宋体" w:eastAsia="宋体" w:cs="宋体"/>
                <w:b w:val="0"/>
                <w:bCs w:val="0"/>
                <w:color w:val="auto"/>
                <w:sz w:val="24"/>
                <w:szCs w:val="24"/>
                <w:highlight w:val="none"/>
              </w:rPr>
              <w:t>须提供书面承诺（格式自拟）并加盖</w:t>
            </w:r>
            <w:r>
              <w:rPr>
                <w:rFonts w:hint="eastAsia" w:ascii="宋体" w:hAnsi="宋体" w:eastAsia="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人</w:t>
            </w:r>
            <w:r>
              <w:rPr>
                <w:rFonts w:hint="eastAsia" w:ascii="宋体" w:hAnsi="宋体" w:eastAsia="宋体" w:cs="宋体"/>
                <w:b w:val="0"/>
                <w:bCs w:val="0"/>
                <w:color w:val="auto"/>
                <w:sz w:val="24"/>
                <w:szCs w:val="24"/>
                <w:highlight w:val="none"/>
              </w:rPr>
              <w:t>公章，未提供或不符合上述要求的不得分。</w:t>
            </w:r>
          </w:p>
        </w:tc>
        <w:tc>
          <w:tcPr>
            <w:tcW w:w="501" w:type="pct"/>
            <w:tcBorders>
              <w:top w:val="single" w:color="auto" w:sz="4" w:space="0"/>
              <w:left w:val="single" w:color="auto" w:sz="4" w:space="0"/>
              <w:bottom w:val="single" w:color="auto" w:sz="4" w:space="0"/>
              <w:right w:val="single" w:color="auto" w:sz="4" w:space="0"/>
            </w:tcBorders>
            <w:noWrap w:val="0"/>
            <w:vAlign w:val="center"/>
          </w:tcPr>
          <w:p w14:paraId="188DC621">
            <w:pPr>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tc>
      </w:tr>
      <w:tr w14:paraId="3BF2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4DD8900A">
            <w:pPr>
              <w:pStyle w:val="21"/>
              <w:widowControl/>
              <w:numPr>
                <w:ilvl w:val="0"/>
                <w:numId w:val="1"/>
              </w:numPr>
              <w:spacing w:line="360" w:lineRule="auto"/>
              <w:ind w:left="425" w:leftChars="0" w:hanging="425" w:firstLineChars="0"/>
              <w:jc w:val="center"/>
              <w:rPr>
                <w:rFonts w:ascii="宋体" w:hAnsi="宋体"/>
                <w:color w:val="auto"/>
                <w:sz w:val="24"/>
                <w:szCs w:val="24"/>
                <w:highlight w:val="none"/>
              </w:rPr>
            </w:pPr>
          </w:p>
        </w:tc>
        <w:tc>
          <w:tcPr>
            <w:tcW w:w="4072" w:type="pct"/>
            <w:tcBorders>
              <w:top w:val="single" w:color="auto" w:sz="4" w:space="0"/>
              <w:left w:val="single" w:color="auto" w:sz="4" w:space="0"/>
              <w:bottom w:val="single" w:color="auto" w:sz="4" w:space="0"/>
              <w:right w:val="single" w:color="auto" w:sz="4" w:space="0"/>
            </w:tcBorders>
            <w:noWrap w:val="0"/>
            <w:vAlign w:val="top"/>
          </w:tcPr>
          <w:p w14:paraId="1CE19BA4">
            <w:pPr>
              <w:pStyle w:val="22"/>
              <w:spacing w:line="360" w:lineRule="auto"/>
              <w:jc w:val="both"/>
              <w:rPr>
                <w:rFonts w:hint="eastAsia" w:ascii="宋体" w:hAnsi="宋体" w:cs="宋体"/>
                <w:color w:val="auto"/>
                <w:kern w:val="0"/>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人是否提供各个岗位人员名单及联系方式，以及承诺各岗位人员24小时手机畅通、随时响应情况进行评分：提供各个岗位人员名单及联系方式且承诺各岗位人员24小时手机畅通、随时响应的得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分。注：</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人需提供①书面承诺函（格式可自拟）；②上述人员名单列表（列表包含人员名字、联系方式），未提供上述完整材料的不得分。</w:t>
            </w:r>
          </w:p>
        </w:tc>
        <w:tc>
          <w:tcPr>
            <w:tcW w:w="501" w:type="pct"/>
            <w:tcBorders>
              <w:top w:val="single" w:color="auto" w:sz="4" w:space="0"/>
              <w:left w:val="single" w:color="auto" w:sz="4" w:space="0"/>
              <w:bottom w:val="single" w:color="auto" w:sz="4" w:space="0"/>
              <w:right w:val="single" w:color="auto" w:sz="4" w:space="0"/>
            </w:tcBorders>
            <w:noWrap w:val="0"/>
            <w:vAlign w:val="center"/>
          </w:tcPr>
          <w:p w14:paraId="4F60630D">
            <w:pPr>
              <w:spacing w:line="360" w:lineRule="auto"/>
              <w:jc w:val="center"/>
              <w:rPr>
                <w:rFonts w:hint="eastAsia" w:ascii="宋体" w:hAnsi="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tc>
      </w:tr>
      <w:tr w14:paraId="26A1A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72DB9D60">
            <w:pPr>
              <w:pStyle w:val="21"/>
              <w:widowControl/>
              <w:numPr>
                <w:ilvl w:val="0"/>
                <w:numId w:val="1"/>
              </w:numPr>
              <w:spacing w:line="360" w:lineRule="auto"/>
              <w:ind w:left="425" w:leftChars="0" w:hanging="425" w:firstLineChars="0"/>
              <w:jc w:val="center"/>
              <w:rPr>
                <w:rFonts w:hint="default" w:ascii="宋体" w:hAnsi="宋体" w:eastAsia="宋体" w:cs="宋体"/>
                <w:color w:val="auto"/>
                <w:sz w:val="24"/>
                <w:szCs w:val="24"/>
                <w:highlight w:val="none"/>
                <w:lang w:val="en-US" w:eastAsia="zh-CN"/>
              </w:rPr>
            </w:pPr>
            <w:bookmarkStart w:id="54" w:name="_Toc860055371"/>
            <w:bookmarkStart w:id="55" w:name="_Toc1810"/>
          </w:p>
        </w:tc>
        <w:tc>
          <w:tcPr>
            <w:tcW w:w="4072" w:type="pct"/>
            <w:tcBorders>
              <w:top w:val="single" w:color="auto" w:sz="4" w:space="0"/>
              <w:left w:val="single" w:color="auto" w:sz="4" w:space="0"/>
              <w:bottom w:val="single" w:color="auto" w:sz="4" w:space="0"/>
              <w:right w:val="single" w:color="auto" w:sz="4" w:space="0"/>
            </w:tcBorders>
            <w:noWrap w:val="0"/>
            <w:vAlign w:val="top"/>
          </w:tcPr>
          <w:p w14:paraId="794E906B">
            <w:pPr>
              <w:pStyle w:val="22"/>
              <w:spacing w:line="360" w:lineRule="auto"/>
              <w:jc w:val="both"/>
              <w:rPr>
                <w:rFonts w:hint="eastAsia" w:ascii="宋体" w:hAnsi="宋体" w:eastAsia="宋体" w:cs="宋体"/>
                <w:color w:val="auto"/>
                <w:sz w:val="24"/>
                <w:szCs w:val="24"/>
                <w:highlight w:val="none"/>
              </w:rPr>
            </w:pPr>
            <w:r>
              <w:rPr>
                <w:rFonts w:hint="eastAsia" w:ascii="宋体" w:hAnsi="宋体" w:cs="宋体"/>
                <w:color w:val="auto"/>
                <w:kern w:val="0"/>
                <w:sz w:val="24"/>
                <w:highlight w:val="none"/>
              </w:rPr>
              <w:t>根据</w:t>
            </w:r>
            <w:r>
              <w:rPr>
                <w:rFonts w:hint="eastAsia" w:ascii="宋体" w:hAnsi="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人</w:t>
            </w:r>
            <w:r>
              <w:rPr>
                <w:rFonts w:hint="eastAsia" w:ascii="宋体" w:hAnsi="宋体" w:cs="宋体"/>
                <w:color w:val="auto"/>
                <w:kern w:val="0"/>
                <w:sz w:val="24"/>
                <w:highlight w:val="none"/>
              </w:rPr>
              <w:t>针对本项目提供的</w:t>
            </w:r>
            <w:r>
              <w:rPr>
                <w:rFonts w:hint="eastAsia" w:ascii="宋体" w:hAnsi="宋体" w:cs="宋体"/>
                <w:b/>
                <w:bCs/>
                <w:color w:val="auto"/>
                <w:kern w:val="0"/>
                <w:sz w:val="24"/>
                <w:highlight w:val="none"/>
              </w:rPr>
              <w:t>与采购人的沟通制度、配合方案</w:t>
            </w:r>
            <w:r>
              <w:rPr>
                <w:rFonts w:hint="eastAsia" w:ascii="宋体" w:hAnsi="宋体" w:cs="宋体"/>
                <w:color w:val="auto"/>
                <w:kern w:val="0"/>
                <w:sz w:val="24"/>
                <w:highlight w:val="none"/>
              </w:rPr>
              <w:t>进行评分： ①方案符合本项目情况的得</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分；②满足①的基础上，方案内容阐述完整，条理清晰，对关键内容分析到位、有利于项目顺利实施的得</w:t>
            </w:r>
            <w:r>
              <w:rPr>
                <w:rFonts w:hint="default" w:ascii="宋体" w:hAnsi="宋体" w:cs="宋体"/>
                <w:color w:val="auto"/>
                <w:kern w:val="0"/>
                <w:sz w:val="24"/>
                <w:highlight w:val="none"/>
                <w:lang w:val="en-US" w:eastAsia="zh-CN"/>
              </w:rPr>
              <w:t>3</w:t>
            </w:r>
            <w:r>
              <w:rPr>
                <w:rFonts w:hint="eastAsia" w:ascii="宋体" w:hAnsi="宋体" w:cs="宋体"/>
                <w:color w:val="auto"/>
                <w:kern w:val="0"/>
                <w:sz w:val="24"/>
                <w:highlight w:val="none"/>
              </w:rPr>
              <w:t>分；③未提供或提供的方案有缺漏或提供方案不符合本项目要求或提供方案不与本项目无关的均不得分。</w:t>
            </w:r>
          </w:p>
        </w:tc>
        <w:tc>
          <w:tcPr>
            <w:tcW w:w="501" w:type="pct"/>
            <w:tcBorders>
              <w:top w:val="single" w:color="auto" w:sz="4" w:space="0"/>
              <w:left w:val="single" w:color="auto" w:sz="4" w:space="0"/>
              <w:bottom w:val="single" w:color="auto" w:sz="4" w:space="0"/>
              <w:right w:val="single" w:color="auto" w:sz="4" w:space="0"/>
            </w:tcBorders>
            <w:noWrap w:val="0"/>
            <w:vAlign w:val="center"/>
          </w:tcPr>
          <w:p w14:paraId="712A44C1">
            <w:pPr>
              <w:spacing w:line="360" w:lineRule="auto"/>
              <w:jc w:val="center"/>
              <w:rPr>
                <w:rFonts w:hint="default" w:ascii="宋体" w:hAnsi="宋体" w:eastAsia="宋体" w:cs="宋体"/>
                <w:color w:val="auto"/>
                <w:sz w:val="24"/>
                <w:szCs w:val="24"/>
                <w:highlight w:val="none"/>
                <w:lang w:val="en-US" w:eastAsia="zh-CN"/>
              </w:rPr>
            </w:pPr>
            <w:r>
              <w:rPr>
                <w:rFonts w:hint="default"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tc>
      </w:tr>
      <w:tr w14:paraId="0B26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10EC2287">
            <w:pPr>
              <w:pStyle w:val="21"/>
              <w:widowControl/>
              <w:numPr>
                <w:ilvl w:val="0"/>
                <w:numId w:val="1"/>
              </w:numPr>
              <w:spacing w:line="360" w:lineRule="auto"/>
              <w:ind w:left="425" w:leftChars="0" w:hanging="425" w:firstLineChars="0"/>
              <w:jc w:val="center"/>
              <w:rPr>
                <w:rFonts w:hint="default" w:ascii="宋体" w:hAnsi="宋体" w:eastAsia="宋体" w:cs="宋体"/>
                <w:color w:val="auto"/>
                <w:sz w:val="24"/>
                <w:szCs w:val="24"/>
                <w:highlight w:val="none"/>
                <w:lang w:val="en-US" w:eastAsia="zh-CN"/>
              </w:rPr>
            </w:pPr>
          </w:p>
        </w:tc>
        <w:tc>
          <w:tcPr>
            <w:tcW w:w="4072" w:type="pct"/>
            <w:tcBorders>
              <w:top w:val="single" w:color="auto" w:sz="4" w:space="0"/>
              <w:left w:val="single" w:color="auto" w:sz="4" w:space="0"/>
              <w:bottom w:val="single" w:color="auto" w:sz="4" w:space="0"/>
              <w:right w:val="single" w:color="auto" w:sz="4" w:space="0"/>
            </w:tcBorders>
            <w:noWrap w:val="0"/>
            <w:vAlign w:val="top"/>
          </w:tcPr>
          <w:p w14:paraId="5DB30601">
            <w:pPr>
              <w:pStyle w:val="22"/>
              <w:spacing w:line="360" w:lineRule="auto"/>
              <w:jc w:val="both"/>
              <w:rPr>
                <w:rFonts w:hint="eastAsia" w:ascii="宋体" w:hAnsi="宋体" w:cs="宋体"/>
                <w:color w:val="auto"/>
                <w:kern w:val="0"/>
                <w:highlight w:val="none"/>
                <w:lang w:bidi="ar"/>
              </w:rPr>
            </w:pPr>
            <w:r>
              <w:rPr>
                <w:rFonts w:hint="eastAsia" w:ascii="宋体" w:hAnsi="宋体" w:eastAsia="宋体" w:cs="宋体"/>
                <w:color w:val="auto"/>
                <w:kern w:val="0"/>
                <w:sz w:val="24"/>
                <w:highlight w:val="none"/>
                <w:lang w:val="en-US" w:eastAsia="zh-CN"/>
              </w:rPr>
              <w:t>报价</w:t>
            </w:r>
            <w:r>
              <w:rPr>
                <w:rFonts w:hint="eastAsia" w:ascii="宋体" w:hAnsi="宋体" w:eastAsia="宋体" w:cs="宋体"/>
                <w:color w:val="auto"/>
                <w:kern w:val="0"/>
                <w:sz w:val="24"/>
                <w:highlight w:val="none"/>
              </w:rPr>
              <w:t>人承诺：“安排的服务人员在采购人办公场所应严格按照采购人有关安全生产管理有关措施和规定执行，遵守采购人的相关规定”，提供满足上述要求的承诺的得</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rPr>
              <w:t>分。 注：</w:t>
            </w:r>
            <w:r>
              <w:rPr>
                <w:rFonts w:hint="eastAsia" w:ascii="宋体" w:hAnsi="宋体" w:eastAsia="宋体" w:cs="宋体"/>
                <w:color w:val="auto"/>
                <w:kern w:val="0"/>
                <w:sz w:val="24"/>
                <w:highlight w:val="none"/>
                <w:lang w:val="en-US" w:eastAsia="zh-CN"/>
              </w:rPr>
              <w:t>报价</w:t>
            </w:r>
            <w:r>
              <w:rPr>
                <w:rFonts w:hint="eastAsia" w:ascii="宋体" w:hAnsi="宋体" w:eastAsia="宋体" w:cs="宋体"/>
                <w:color w:val="auto"/>
                <w:kern w:val="0"/>
                <w:sz w:val="24"/>
                <w:highlight w:val="none"/>
              </w:rPr>
              <w:t>人须提供书面承诺（格式自拟）并加盖</w:t>
            </w:r>
            <w:r>
              <w:rPr>
                <w:rFonts w:hint="eastAsia" w:ascii="宋体" w:hAnsi="宋体" w:eastAsia="宋体" w:cs="宋体"/>
                <w:color w:val="auto"/>
                <w:kern w:val="0"/>
                <w:sz w:val="24"/>
                <w:highlight w:val="none"/>
                <w:lang w:val="en-US" w:eastAsia="zh-CN"/>
              </w:rPr>
              <w:t>报价人</w:t>
            </w:r>
            <w:r>
              <w:rPr>
                <w:rFonts w:hint="eastAsia" w:ascii="宋体" w:hAnsi="宋体" w:eastAsia="宋体" w:cs="宋体"/>
                <w:color w:val="auto"/>
                <w:kern w:val="0"/>
                <w:sz w:val="24"/>
                <w:highlight w:val="none"/>
              </w:rPr>
              <w:t>公章，未提供或不符合上述要求的不得分。</w:t>
            </w:r>
          </w:p>
        </w:tc>
        <w:tc>
          <w:tcPr>
            <w:tcW w:w="501" w:type="pct"/>
            <w:tcBorders>
              <w:top w:val="single" w:color="auto" w:sz="4" w:space="0"/>
              <w:left w:val="single" w:color="auto" w:sz="4" w:space="0"/>
              <w:bottom w:val="single" w:color="auto" w:sz="4" w:space="0"/>
              <w:right w:val="single" w:color="auto" w:sz="4" w:space="0"/>
            </w:tcBorders>
            <w:noWrap w:val="0"/>
            <w:vAlign w:val="center"/>
          </w:tcPr>
          <w:p w14:paraId="3A66F497">
            <w:pPr>
              <w:spacing w:line="360" w:lineRule="auto"/>
              <w:jc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tc>
      </w:tr>
      <w:tr w14:paraId="5D3D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426" w:type="pct"/>
            <w:tcBorders>
              <w:top w:val="single" w:color="auto" w:sz="4" w:space="0"/>
              <w:left w:val="single" w:color="auto" w:sz="4" w:space="0"/>
              <w:bottom w:val="single" w:color="auto" w:sz="4" w:space="0"/>
              <w:right w:val="single" w:color="auto" w:sz="4" w:space="0"/>
            </w:tcBorders>
            <w:noWrap w:val="0"/>
            <w:vAlign w:val="center"/>
          </w:tcPr>
          <w:p w14:paraId="41954416">
            <w:pPr>
              <w:pStyle w:val="21"/>
              <w:widowControl/>
              <w:numPr>
                <w:ilvl w:val="0"/>
                <w:numId w:val="1"/>
              </w:numPr>
              <w:spacing w:line="360" w:lineRule="auto"/>
              <w:ind w:left="425" w:leftChars="0" w:hanging="425" w:firstLineChars="0"/>
              <w:jc w:val="center"/>
              <w:rPr>
                <w:rFonts w:hint="default" w:ascii="宋体" w:hAnsi="宋体" w:eastAsia="宋体" w:cs="宋体"/>
                <w:color w:val="auto"/>
                <w:sz w:val="24"/>
                <w:szCs w:val="24"/>
                <w:highlight w:val="none"/>
                <w:lang w:val="en-US" w:eastAsia="zh-CN"/>
              </w:rPr>
            </w:pPr>
          </w:p>
        </w:tc>
        <w:tc>
          <w:tcPr>
            <w:tcW w:w="4072" w:type="pct"/>
            <w:tcBorders>
              <w:top w:val="single" w:color="auto" w:sz="4" w:space="0"/>
              <w:left w:val="single" w:color="auto" w:sz="4" w:space="0"/>
              <w:bottom w:val="single" w:color="auto" w:sz="4" w:space="0"/>
              <w:right w:val="single" w:color="auto" w:sz="4" w:space="0"/>
            </w:tcBorders>
            <w:noWrap w:val="0"/>
            <w:vAlign w:val="top"/>
          </w:tcPr>
          <w:p w14:paraId="3223C4F6">
            <w:pPr>
              <w:spacing w:line="360" w:lineRule="auto"/>
              <w:rPr>
                <w:rFonts w:hint="eastAsia" w:ascii="宋体" w:hAnsi="宋体" w:cs="宋体"/>
                <w:color w:val="auto"/>
                <w:kern w:val="0"/>
                <w:highlight w:val="none"/>
                <w:lang w:bidi="ar"/>
              </w:rPr>
            </w:pPr>
            <w:r>
              <w:rPr>
                <w:rFonts w:hint="eastAsia" w:ascii="宋体" w:hAnsi="宋体" w:eastAsia="宋体" w:cs="宋体"/>
                <w:b w:val="0"/>
                <w:bCs/>
                <w:color w:val="auto"/>
                <w:sz w:val="24"/>
                <w:szCs w:val="24"/>
                <w:highlight w:val="none"/>
                <w:lang w:val="en-US" w:eastAsia="zh-CN"/>
              </w:rPr>
              <w:t>报价人承诺技术评分条款未列明的其他技术及服务条款响应全满足，验收时按照响应的内容及考核方案进行验收。提供书面承诺函（格式自拟）满足要求的得</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分，否则不得分。</w:t>
            </w:r>
          </w:p>
        </w:tc>
        <w:tc>
          <w:tcPr>
            <w:tcW w:w="501" w:type="pct"/>
            <w:tcBorders>
              <w:top w:val="single" w:color="auto" w:sz="4" w:space="0"/>
              <w:left w:val="single" w:color="auto" w:sz="4" w:space="0"/>
              <w:bottom w:val="single" w:color="auto" w:sz="4" w:space="0"/>
              <w:right w:val="single" w:color="auto" w:sz="4" w:space="0"/>
            </w:tcBorders>
            <w:noWrap w:val="0"/>
            <w:vAlign w:val="center"/>
          </w:tcPr>
          <w:p w14:paraId="549FFBDE">
            <w:pPr>
              <w:spacing w:line="360" w:lineRule="auto"/>
              <w:jc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tc>
      </w:tr>
      <w:tr w14:paraId="57E7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54CE04EA">
            <w:pPr>
              <w:spacing w:line="360" w:lineRule="auto"/>
              <w:ind w:firstLine="480" w:firstLineChars="200"/>
              <w:jc w:val="left"/>
              <w:outlineLvl w:val="0"/>
              <w:rPr>
                <w:rFonts w:hint="eastAsia" w:ascii="宋体" w:hAnsi="宋体"/>
                <w:color w:val="auto"/>
                <w:sz w:val="24"/>
                <w:szCs w:val="24"/>
                <w:highlight w:val="none"/>
              </w:rPr>
            </w:pPr>
            <w:bookmarkStart w:id="56" w:name="_Toc17523"/>
            <w:bookmarkStart w:id="57" w:name="_Toc1009723763"/>
            <w:bookmarkStart w:id="58" w:name="_Toc14594"/>
            <w:bookmarkStart w:id="59" w:name="_Toc22840"/>
            <w:r>
              <w:rPr>
                <w:rFonts w:hint="eastAsia" w:ascii="宋体" w:hAnsi="宋体" w:cs="宋体"/>
                <w:color w:val="auto"/>
                <w:sz w:val="24"/>
                <w:szCs w:val="24"/>
                <w:highlight w:val="none"/>
                <w:lang w:bidi="ar"/>
              </w:rPr>
              <w:t>说明：</w:t>
            </w:r>
            <w:r>
              <w:rPr>
                <w:rFonts w:hint="eastAsia" w:ascii="宋体" w:hAnsi="宋体" w:cs="宋体"/>
                <w:color w:val="auto"/>
                <w:kern w:val="0"/>
                <w:sz w:val="24"/>
                <w:szCs w:val="24"/>
                <w:highlight w:val="none"/>
                <w:lang w:bidi="ar"/>
              </w:rPr>
              <w:t>报价人应提供证明材料并标注对应关系，未按要求提供证明材料的，认定该项技术指标不得分；报价人</w:t>
            </w:r>
            <w:r>
              <w:rPr>
                <w:rFonts w:hint="eastAsia" w:ascii="宋体" w:hAnsi="宋体" w:cs="宋体"/>
                <w:color w:val="auto"/>
                <w:sz w:val="24"/>
                <w:szCs w:val="24"/>
                <w:highlight w:val="none"/>
                <w:lang w:bidi="ar"/>
              </w:rPr>
              <w:t>应如实表述其服务的技术指标，如</w:t>
            </w:r>
            <w:r>
              <w:rPr>
                <w:rFonts w:hint="eastAsia" w:ascii="宋体" w:hAnsi="宋体" w:cs="宋体"/>
                <w:color w:val="auto"/>
                <w:kern w:val="0"/>
                <w:sz w:val="24"/>
                <w:szCs w:val="24"/>
                <w:highlight w:val="none"/>
                <w:lang w:bidi="ar"/>
              </w:rPr>
              <w:t>报价人</w:t>
            </w:r>
            <w:r>
              <w:rPr>
                <w:rFonts w:hint="eastAsia" w:ascii="宋体" w:hAnsi="宋体" w:cs="宋体"/>
                <w:color w:val="auto"/>
                <w:sz w:val="24"/>
                <w:szCs w:val="24"/>
                <w:highlight w:val="none"/>
                <w:lang w:bidi="ar"/>
              </w:rPr>
              <w:t>复制采购文件的磋商内容作为其报价文件组成内容的，磋商小组将对其作出不利的评审。</w:t>
            </w:r>
            <w:bookmarkEnd w:id="54"/>
            <w:bookmarkEnd w:id="55"/>
            <w:bookmarkEnd w:id="56"/>
            <w:bookmarkEnd w:id="57"/>
            <w:bookmarkEnd w:id="58"/>
            <w:bookmarkEnd w:id="59"/>
          </w:p>
        </w:tc>
      </w:tr>
    </w:tbl>
    <w:p w14:paraId="120F6A65">
      <w:pPr>
        <w:pStyle w:val="4"/>
        <w:snapToGrid w:val="0"/>
        <w:spacing w:line="360" w:lineRule="auto"/>
        <w:ind w:firstLine="0"/>
        <w:rPr>
          <w:rFonts w:hint="eastAsia" w:eastAsia="宋体" w:cs="宋体"/>
          <w:b/>
          <w:color w:val="auto"/>
          <w:sz w:val="24"/>
          <w:szCs w:val="24"/>
          <w:highlight w:val="none"/>
          <w:lang w:val="en-US" w:eastAsia="zh-CN"/>
        </w:rPr>
      </w:pPr>
      <w:r>
        <w:rPr>
          <w:rFonts w:hint="eastAsia" w:eastAsia="宋体" w:cs="宋体"/>
          <w:b/>
          <w:color w:val="auto"/>
          <w:sz w:val="24"/>
          <w:szCs w:val="24"/>
          <w:highlight w:val="none"/>
          <w:lang w:val="en-US" w:eastAsia="zh-CN"/>
        </w:rPr>
        <w:t>（二）商务评分（F2）标准（满分</w:t>
      </w:r>
      <w:r>
        <w:rPr>
          <w:rFonts w:hint="eastAsia" w:cs="宋体"/>
          <w:b/>
          <w:color w:val="auto"/>
          <w:sz w:val="24"/>
          <w:szCs w:val="24"/>
          <w:highlight w:val="none"/>
          <w:lang w:val="en-US" w:eastAsia="zh-CN"/>
        </w:rPr>
        <w:t>25</w:t>
      </w:r>
      <w:r>
        <w:rPr>
          <w:rFonts w:hint="eastAsia" w:eastAsia="宋体" w:cs="宋体"/>
          <w:b/>
          <w:color w:val="auto"/>
          <w:sz w:val="24"/>
          <w:szCs w:val="24"/>
          <w:highlight w:val="none"/>
          <w:lang w:val="en-US" w:eastAsia="zh-CN"/>
        </w:rPr>
        <w:t>分）：</w:t>
      </w:r>
    </w:p>
    <w:tbl>
      <w:tblPr>
        <w:tblStyle w:val="13"/>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7196"/>
        <w:gridCol w:w="905"/>
      </w:tblGrid>
      <w:tr w14:paraId="4CC4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38834B15">
            <w:pPr>
              <w:pStyle w:val="23"/>
              <w:spacing w:line="360" w:lineRule="auto"/>
              <w:rPr>
                <w:rFonts w:ascii="宋体" w:hAnsi="宋体"/>
                <w:bCs/>
                <w:color w:val="auto"/>
                <w:kern w:val="2"/>
                <w:szCs w:val="24"/>
                <w:highlight w:val="none"/>
              </w:rPr>
            </w:pPr>
            <w:r>
              <w:rPr>
                <w:rFonts w:hint="eastAsia" w:ascii="宋体" w:hAnsi="宋体"/>
                <w:bCs/>
                <w:color w:val="auto"/>
                <w:kern w:val="2"/>
                <w:szCs w:val="24"/>
                <w:highlight w:val="none"/>
              </w:rPr>
              <w:t>序号</w:t>
            </w:r>
          </w:p>
        </w:tc>
        <w:tc>
          <w:tcPr>
            <w:tcW w:w="7196" w:type="dxa"/>
            <w:noWrap w:val="0"/>
            <w:vAlign w:val="center"/>
          </w:tcPr>
          <w:p w14:paraId="589923C6">
            <w:pPr>
              <w:pStyle w:val="23"/>
              <w:spacing w:line="360" w:lineRule="auto"/>
              <w:rPr>
                <w:rFonts w:ascii="宋体" w:hAnsi="宋体"/>
                <w:bCs/>
                <w:color w:val="auto"/>
                <w:kern w:val="2"/>
                <w:szCs w:val="24"/>
                <w:highlight w:val="none"/>
              </w:rPr>
            </w:pPr>
            <w:r>
              <w:rPr>
                <w:rFonts w:hint="eastAsia" w:ascii="宋体" w:hAnsi="宋体"/>
                <w:bCs/>
                <w:color w:val="auto"/>
                <w:kern w:val="2"/>
                <w:szCs w:val="24"/>
                <w:highlight w:val="none"/>
              </w:rPr>
              <w:t>评分界定</w:t>
            </w:r>
          </w:p>
        </w:tc>
        <w:tc>
          <w:tcPr>
            <w:tcW w:w="905" w:type="dxa"/>
            <w:noWrap w:val="0"/>
            <w:vAlign w:val="center"/>
          </w:tcPr>
          <w:p w14:paraId="3FA665FE">
            <w:pPr>
              <w:pStyle w:val="23"/>
              <w:spacing w:line="360" w:lineRule="auto"/>
              <w:rPr>
                <w:rFonts w:ascii="宋体" w:hAnsi="宋体"/>
                <w:bCs/>
                <w:color w:val="auto"/>
                <w:kern w:val="2"/>
                <w:szCs w:val="24"/>
                <w:highlight w:val="none"/>
              </w:rPr>
            </w:pPr>
            <w:r>
              <w:rPr>
                <w:rFonts w:hint="eastAsia" w:ascii="宋体" w:hAnsi="宋体"/>
                <w:bCs/>
                <w:color w:val="auto"/>
                <w:kern w:val="2"/>
                <w:szCs w:val="24"/>
                <w:highlight w:val="none"/>
              </w:rPr>
              <w:t>满分分值</w:t>
            </w:r>
          </w:p>
        </w:tc>
      </w:tr>
      <w:tr w14:paraId="215CB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22FA5235">
            <w:pPr>
              <w:pStyle w:val="23"/>
              <w:numPr>
                <w:ilvl w:val="0"/>
                <w:numId w:val="2"/>
              </w:numPr>
              <w:spacing w:line="360" w:lineRule="auto"/>
              <w:ind w:left="425" w:leftChars="0" w:hanging="425" w:firstLineChars="0"/>
              <w:rPr>
                <w:rFonts w:hint="eastAsia" w:ascii="宋体" w:hAnsi="宋体" w:eastAsia="宋体"/>
                <w:b w:val="0"/>
                <w:color w:val="auto"/>
                <w:kern w:val="2"/>
                <w:szCs w:val="24"/>
                <w:highlight w:val="none"/>
                <w:lang w:eastAsia="zh-CN"/>
              </w:rPr>
            </w:pPr>
          </w:p>
        </w:tc>
        <w:tc>
          <w:tcPr>
            <w:tcW w:w="7196" w:type="dxa"/>
            <w:noWrap w:val="0"/>
            <w:vAlign w:val="center"/>
          </w:tcPr>
          <w:p w14:paraId="4A15E30B">
            <w:pPr>
              <w:pStyle w:val="23"/>
              <w:spacing w:line="360" w:lineRule="auto"/>
              <w:jc w:val="left"/>
              <w:rPr>
                <w:rFonts w:hint="eastAsia" w:ascii="宋体" w:hAnsi="宋体"/>
                <w:bCs/>
                <w:color w:val="auto"/>
                <w:kern w:val="2"/>
                <w:szCs w:val="24"/>
                <w:highlight w:val="none"/>
              </w:rPr>
            </w:pPr>
            <w:r>
              <w:rPr>
                <w:rFonts w:hint="eastAsia" w:ascii="宋体" w:hAnsi="宋体" w:eastAsia="宋体" w:cs="Times New Roman"/>
                <w:b w:val="0"/>
                <w:bCs w:val="0"/>
                <w:color w:val="auto"/>
                <w:kern w:val="2"/>
                <w:szCs w:val="24"/>
                <w:highlight w:val="none"/>
                <w:lang w:val="en-US" w:eastAsia="zh-CN"/>
              </w:rPr>
              <w:t>报价</w:t>
            </w:r>
            <w:r>
              <w:rPr>
                <w:rFonts w:hint="eastAsia" w:ascii="宋体" w:hAnsi="宋体" w:eastAsia="宋体" w:cs="Times New Roman"/>
                <w:b w:val="0"/>
                <w:bCs w:val="0"/>
                <w:color w:val="auto"/>
                <w:kern w:val="2"/>
                <w:szCs w:val="24"/>
                <w:highlight w:val="none"/>
              </w:rPr>
              <w:t>人具备质量管理体系认证且在有效期内的得1分，</w:t>
            </w:r>
            <w:r>
              <w:rPr>
                <w:rFonts w:hint="eastAsia" w:ascii="宋体" w:hAnsi="宋体" w:eastAsia="宋体" w:cs="Times New Roman"/>
                <w:b w:val="0"/>
                <w:bCs w:val="0"/>
                <w:color w:val="auto"/>
                <w:kern w:val="2"/>
                <w:szCs w:val="24"/>
                <w:highlight w:val="none"/>
                <w:lang w:val="en-US" w:eastAsia="zh-CN"/>
              </w:rPr>
              <w:t>报价</w:t>
            </w:r>
            <w:r>
              <w:rPr>
                <w:rFonts w:hint="eastAsia" w:ascii="宋体" w:hAnsi="宋体" w:eastAsia="宋体" w:cs="Times New Roman"/>
                <w:b w:val="0"/>
                <w:bCs w:val="0"/>
                <w:color w:val="auto"/>
                <w:kern w:val="2"/>
                <w:szCs w:val="24"/>
                <w:highlight w:val="none"/>
              </w:rPr>
              <w:t>人需提供证书扫描件，否则不得分。</w:t>
            </w:r>
          </w:p>
        </w:tc>
        <w:tc>
          <w:tcPr>
            <w:tcW w:w="905" w:type="dxa"/>
            <w:noWrap w:val="0"/>
            <w:vAlign w:val="center"/>
          </w:tcPr>
          <w:p w14:paraId="29E4617A">
            <w:pPr>
              <w:pStyle w:val="23"/>
              <w:spacing w:line="360" w:lineRule="auto"/>
              <w:rPr>
                <w:rFonts w:hint="default" w:ascii="宋体" w:hAnsi="宋体" w:eastAsia="宋体"/>
                <w:bCs/>
                <w:color w:val="auto"/>
                <w:kern w:val="2"/>
                <w:szCs w:val="24"/>
                <w:highlight w:val="none"/>
                <w:lang w:val="en-US" w:eastAsia="zh-CN"/>
              </w:rPr>
            </w:pPr>
            <w:r>
              <w:rPr>
                <w:rFonts w:hint="eastAsia" w:ascii="宋体" w:hAnsi="宋体" w:eastAsia="宋体" w:cs="Times New Roman"/>
                <w:b w:val="0"/>
                <w:color w:val="auto"/>
                <w:kern w:val="2"/>
                <w:szCs w:val="24"/>
                <w:highlight w:val="none"/>
                <w:lang w:val="en-US" w:eastAsia="zh-CN"/>
              </w:rPr>
              <w:t>1分</w:t>
            </w:r>
          </w:p>
        </w:tc>
      </w:tr>
      <w:tr w14:paraId="5A55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41CC9C38">
            <w:pPr>
              <w:pStyle w:val="23"/>
              <w:numPr>
                <w:ilvl w:val="0"/>
                <w:numId w:val="2"/>
              </w:numPr>
              <w:spacing w:line="360" w:lineRule="auto"/>
              <w:ind w:left="425" w:leftChars="0" w:hanging="425" w:firstLineChars="0"/>
              <w:rPr>
                <w:rFonts w:hint="eastAsia" w:ascii="宋体" w:hAnsi="宋体" w:eastAsia="宋体"/>
                <w:b w:val="0"/>
                <w:color w:val="auto"/>
                <w:kern w:val="2"/>
                <w:szCs w:val="24"/>
                <w:highlight w:val="none"/>
                <w:lang w:eastAsia="zh-CN"/>
              </w:rPr>
            </w:pPr>
          </w:p>
        </w:tc>
        <w:tc>
          <w:tcPr>
            <w:tcW w:w="7196" w:type="dxa"/>
            <w:noWrap w:val="0"/>
            <w:vAlign w:val="center"/>
          </w:tcPr>
          <w:p w14:paraId="54E53174">
            <w:pPr>
              <w:pStyle w:val="23"/>
              <w:spacing w:line="360" w:lineRule="auto"/>
              <w:jc w:val="left"/>
              <w:rPr>
                <w:rFonts w:hint="eastAsia" w:ascii="宋体" w:hAnsi="宋体"/>
                <w:b w:val="0"/>
                <w:bCs w:val="0"/>
                <w:color w:val="auto"/>
                <w:kern w:val="2"/>
                <w:szCs w:val="24"/>
                <w:highlight w:val="none"/>
              </w:rPr>
            </w:pPr>
            <w:r>
              <w:rPr>
                <w:rFonts w:hint="eastAsia" w:ascii="宋体" w:hAnsi="宋体"/>
                <w:b w:val="0"/>
                <w:bCs w:val="0"/>
                <w:color w:val="auto"/>
                <w:kern w:val="2"/>
                <w:szCs w:val="24"/>
                <w:highlight w:val="none"/>
              </w:rPr>
              <w:t>报价人可提供厦门本地化服务的得</w:t>
            </w:r>
            <w:r>
              <w:rPr>
                <w:rFonts w:hint="eastAsia" w:ascii="宋体" w:hAnsi="宋体"/>
                <w:b w:val="0"/>
                <w:bCs w:val="0"/>
                <w:color w:val="auto"/>
                <w:kern w:val="2"/>
                <w:szCs w:val="24"/>
                <w:highlight w:val="none"/>
                <w:lang w:val="en-US" w:eastAsia="zh-CN"/>
              </w:rPr>
              <w:t>3</w:t>
            </w:r>
            <w:r>
              <w:rPr>
                <w:rFonts w:hint="eastAsia" w:ascii="宋体" w:hAnsi="宋体"/>
                <w:b w:val="0"/>
                <w:bCs w:val="0"/>
                <w:color w:val="auto"/>
                <w:kern w:val="2"/>
                <w:szCs w:val="24"/>
                <w:highlight w:val="none"/>
              </w:rPr>
              <w:t>分，否则不得分。报价人可提供合作单位协议或者自身机构的营业执照证明，也可以提供在本地设立的项目部、办公室、办事处等机构证明，或者承诺成交后提供本地化服务。</w:t>
            </w:r>
          </w:p>
        </w:tc>
        <w:tc>
          <w:tcPr>
            <w:tcW w:w="905" w:type="dxa"/>
            <w:noWrap w:val="0"/>
            <w:vAlign w:val="center"/>
          </w:tcPr>
          <w:p w14:paraId="6D9E0710">
            <w:pPr>
              <w:pStyle w:val="23"/>
              <w:spacing w:line="360" w:lineRule="auto"/>
              <w:rPr>
                <w:rFonts w:hint="eastAsia" w:ascii="宋体" w:hAnsi="宋体"/>
                <w:b w:val="0"/>
                <w:color w:val="auto"/>
                <w:kern w:val="2"/>
                <w:szCs w:val="24"/>
                <w:highlight w:val="none"/>
                <w:lang w:val="en-US" w:eastAsia="zh-CN"/>
              </w:rPr>
            </w:pPr>
            <w:r>
              <w:rPr>
                <w:rFonts w:hint="eastAsia" w:ascii="宋体" w:hAnsi="宋体"/>
                <w:b w:val="0"/>
                <w:color w:val="auto"/>
                <w:kern w:val="2"/>
                <w:szCs w:val="24"/>
                <w:highlight w:val="none"/>
                <w:lang w:val="en-US" w:eastAsia="zh-CN"/>
              </w:rPr>
              <w:t>3</w:t>
            </w:r>
            <w:r>
              <w:rPr>
                <w:rFonts w:hint="eastAsia" w:ascii="宋体" w:hAnsi="宋体"/>
                <w:b w:val="0"/>
                <w:color w:val="auto"/>
                <w:kern w:val="2"/>
                <w:szCs w:val="24"/>
                <w:highlight w:val="none"/>
              </w:rPr>
              <w:t>分</w:t>
            </w:r>
          </w:p>
        </w:tc>
      </w:tr>
      <w:tr w14:paraId="478D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5E7F8265">
            <w:pPr>
              <w:pStyle w:val="23"/>
              <w:numPr>
                <w:ilvl w:val="0"/>
                <w:numId w:val="2"/>
              </w:numPr>
              <w:spacing w:line="360" w:lineRule="auto"/>
              <w:ind w:left="425" w:leftChars="0" w:hanging="425" w:firstLineChars="0"/>
              <w:rPr>
                <w:rFonts w:hint="eastAsia" w:ascii="宋体" w:hAnsi="宋体" w:eastAsia="宋体"/>
                <w:b w:val="0"/>
                <w:color w:val="auto"/>
                <w:kern w:val="2"/>
                <w:szCs w:val="24"/>
                <w:highlight w:val="none"/>
                <w:lang w:eastAsia="zh-CN"/>
              </w:rPr>
            </w:pPr>
          </w:p>
        </w:tc>
        <w:tc>
          <w:tcPr>
            <w:tcW w:w="7196" w:type="dxa"/>
            <w:noWrap w:val="0"/>
            <w:vAlign w:val="center"/>
          </w:tcPr>
          <w:p w14:paraId="46B81299">
            <w:pPr>
              <w:pStyle w:val="23"/>
              <w:spacing w:line="360" w:lineRule="auto"/>
              <w:jc w:val="left"/>
              <w:rPr>
                <w:rFonts w:ascii="宋体" w:hAnsi="宋体" w:cs="宋体"/>
                <w:color w:val="auto"/>
                <w:sz w:val="24"/>
                <w:szCs w:val="24"/>
                <w:highlight w:val="none"/>
                <w:lang w:eastAsia="zh-CN"/>
              </w:rPr>
            </w:pPr>
            <w:r>
              <w:rPr>
                <w:rFonts w:hint="eastAsia" w:ascii="宋体" w:hAnsi="宋体" w:eastAsia="宋体" w:cs="宋体"/>
                <w:b w:val="0"/>
                <w:color w:val="auto"/>
                <w:kern w:val="2"/>
                <w:sz w:val="24"/>
                <w:szCs w:val="24"/>
                <w:highlight w:val="none"/>
              </w:rPr>
              <w:t>根据</w:t>
            </w:r>
            <w:r>
              <w:rPr>
                <w:rFonts w:hint="eastAsia" w:ascii="宋体" w:hAnsi="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人提供的【响应处理能力】进行评价：</w:t>
            </w:r>
            <w:r>
              <w:rPr>
                <w:rFonts w:hint="eastAsia" w:ascii="宋体" w:hAnsi="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人承诺：</w:t>
            </w:r>
            <w:r>
              <w:rPr>
                <w:rFonts w:hint="eastAsia" w:ascii="宋体" w:hAnsi="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对于采购人的应急服务，团队服务技术人员应及时到达服务现场，能够快速到达现场并提供服务及相关咨询服务等应急服务。在接到采购人通知后，①在60分钟（含）内能够及时到达现场处理并满足采购人需求的得3分；②在60-120分钟（含）以内到达现场处理并满足采购人需求的得2分；③在120-180分钟（含）以内到达现场处理并满足采购人需求的得1分；④其他情况不得分。本项满分3分。 注：</w:t>
            </w:r>
            <w:r>
              <w:rPr>
                <w:rFonts w:hint="eastAsia" w:ascii="宋体" w:hAnsi="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人须提供书面承诺（格式自拟）并加盖</w:t>
            </w:r>
            <w:r>
              <w:rPr>
                <w:rFonts w:hint="eastAsia" w:ascii="宋体" w:hAnsi="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人公章。未提供或不符合上述要求的不得分。</w:t>
            </w:r>
          </w:p>
        </w:tc>
        <w:tc>
          <w:tcPr>
            <w:tcW w:w="905" w:type="dxa"/>
            <w:noWrap w:val="0"/>
            <w:vAlign w:val="center"/>
          </w:tcPr>
          <w:p w14:paraId="57642184">
            <w:pPr>
              <w:pStyle w:val="23"/>
              <w:spacing w:line="360" w:lineRule="auto"/>
              <w:rPr>
                <w:rFonts w:hint="eastAsia" w:ascii="宋体" w:hAnsi="宋体"/>
                <w:b w:val="0"/>
                <w:color w:val="auto"/>
                <w:kern w:val="2"/>
                <w:szCs w:val="24"/>
                <w:highlight w:val="none"/>
              </w:rPr>
            </w:pPr>
            <w:r>
              <w:rPr>
                <w:rFonts w:hint="eastAsia" w:ascii="宋体" w:hAnsi="宋体" w:cs="宋体"/>
                <w:b w:val="0"/>
                <w:color w:val="auto"/>
                <w:kern w:val="2"/>
                <w:sz w:val="24"/>
                <w:szCs w:val="24"/>
                <w:highlight w:val="none"/>
                <w:lang w:val="en-US" w:eastAsia="zh-CN"/>
              </w:rPr>
              <w:t>3分</w:t>
            </w:r>
          </w:p>
        </w:tc>
      </w:tr>
      <w:tr w14:paraId="1011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085F48FE">
            <w:pPr>
              <w:pStyle w:val="23"/>
              <w:numPr>
                <w:ilvl w:val="0"/>
                <w:numId w:val="2"/>
              </w:numPr>
              <w:spacing w:line="360" w:lineRule="auto"/>
              <w:ind w:left="425" w:leftChars="0" w:hanging="425" w:firstLineChars="0"/>
              <w:rPr>
                <w:rFonts w:hint="eastAsia" w:ascii="宋体" w:hAnsi="宋体" w:eastAsia="宋体"/>
                <w:b w:val="0"/>
                <w:color w:val="auto"/>
                <w:kern w:val="2"/>
                <w:szCs w:val="24"/>
                <w:highlight w:val="none"/>
                <w:lang w:eastAsia="zh-CN"/>
              </w:rPr>
            </w:pPr>
          </w:p>
        </w:tc>
        <w:tc>
          <w:tcPr>
            <w:tcW w:w="7196" w:type="dxa"/>
            <w:noWrap w:val="0"/>
            <w:vAlign w:val="top"/>
          </w:tcPr>
          <w:p w14:paraId="4DBA6203">
            <w:pPr>
              <w:pStyle w:val="22"/>
              <w:spacing w:line="360" w:lineRule="auto"/>
              <w:jc w:val="both"/>
              <w:rPr>
                <w:rFonts w:ascii="宋体" w:hAnsi="宋体" w:cs="宋体"/>
                <w:color w:val="auto"/>
                <w:sz w:val="24"/>
                <w:szCs w:val="24"/>
                <w:highlight w:val="none"/>
                <w:lang w:eastAsia="zh-CN"/>
              </w:rPr>
            </w:pPr>
            <w:r>
              <w:rPr>
                <w:rFonts w:hint="eastAsia" w:ascii="宋体" w:hAnsi="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承诺：</w:t>
            </w:r>
            <w:r>
              <w:rPr>
                <w:rFonts w:hint="eastAsia" w:ascii="宋体" w:hAnsi="宋体" w:eastAsia="宋体" w:cs="宋体"/>
                <w:b w:val="0"/>
                <w:bCs w:val="0"/>
                <w:color w:val="auto"/>
                <w:sz w:val="24"/>
                <w:szCs w:val="24"/>
                <w:highlight w:val="none"/>
                <w:lang w:eastAsia="zh-CN"/>
              </w:rPr>
              <w:t>“</w:t>
            </w:r>
            <w:r>
              <w:rPr>
                <w:rFonts w:ascii="宋体" w:hAnsi="宋体" w:cs="宋体"/>
                <w:color w:val="auto"/>
                <w:sz w:val="24"/>
                <w:szCs w:val="24"/>
                <w:highlight w:val="none"/>
              </w:rPr>
              <w:t>在合同履行期间，服务人员发生劳动纠纷的，由</w:t>
            </w:r>
            <w:r>
              <w:rPr>
                <w:rFonts w:hint="eastAsia" w:ascii="宋体" w:hAnsi="宋体" w:cs="宋体"/>
                <w:color w:val="auto"/>
                <w:sz w:val="24"/>
                <w:szCs w:val="24"/>
                <w:highlight w:val="none"/>
                <w:lang w:val="en-US" w:eastAsia="zh-CN"/>
              </w:rPr>
              <w:t>报价</w:t>
            </w:r>
            <w:r>
              <w:rPr>
                <w:rFonts w:ascii="宋体" w:hAnsi="宋体" w:cs="宋体"/>
                <w:color w:val="auto"/>
                <w:sz w:val="24"/>
                <w:szCs w:val="24"/>
                <w:highlight w:val="none"/>
              </w:rPr>
              <w:t>人自行解决并承担所有责任</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提供满足上述要求的承诺的得</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分。注：</w:t>
            </w:r>
            <w:r>
              <w:rPr>
                <w:rFonts w:hint="eastAsia" w:ascii="宋体" w:hAnsi="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须提供书面承诺（格式自拟）并加盖</w:t>
            </w:r>
            <w:r>
              <w:rPr>
                <w:rFonts w:hint="eastAsia" w:ascii="宋体" w:hAnsi="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公章，未提供或不符合上述要求的不得分。</w:t>
            </w:r>
          </w:p>
        </w:tc>
        <w:tc>
          <w:tcPr>
            <w:tcW w:w="905" w:type="dxa"/>
            <w:noWrap w:val="0"/>
            <w:vAlign w:val="center"/>
          </w:tcPr>
          <w:p w14:paraId="2661F128">
            <w:pPr>
              <w:pStyle w:val="23"/>
              <w:spacing w:line="360" w:lineRule="auto"/>
              <w:rPr>
                <w:rFonts w:hint="eastAsia" w:ascii="宋体" w:hAnsi="宋体"/>
                <w:b w:val="0"/>
                <w:color w:val="auto"/>
                <w:kern w:val="2"/>
                <w:szCs w:val="24"/>
                <w:highlight w:val="none"/>
              </w:rPr>
            </w:pPr>
            <w:r>
              <w:rPr>
                <w:rFonts w:hint="eastAsia" w:ascii="宋体" w:hAnsi="宋体" w:cs="宋体"/>
                <w:b w:val="0"/>
                <w:color w:val="auto"/>
                <w:kern w:val="2"/>
                <w:sz w:val="24"/>
                <w:szCs w:val="24"/>
                <w:highlight w:val="none"/>
                <w:lang w:val="en-US" w:eastAsia="zh-CN"/>
              </w:rPr>
              <w:t>1分</w:t>
            </w:r>
          </w:p>
        </w:tc>
      </w:tr>
      <w:tr w14:paraId="7D3A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1F54724F">
            <w:pPr>
              <w:pStyle w:val="23"/>
              <w:numPr>
                <w:ilvl w:val="0"/>
                <w:numId w:val="2"/>
              </w:numPr>
              <w:spacing w:line="360" w:lineRule="auto"/>
              <w:ind w:left="425" w:leftChars="0" w:hanging="425" w:firstLineChars="0"/>
              <w:rPr>
                <w:rFonts w:hint="default" w:ascii="宋体" w:hAnsi="宋体"/>
                <w:b w:val="0"/>
                <w:color w:val="auto"/>
                <w:kern w:val="2"/>
                <w:szCs w:val="24"/>
                <w:highlight w:val="none"/>
                <w:lang w:val="en-US" w:eastAsia="zh-CN"/>
              </w:rPr>
            </w:pPr>
          </w:p>
        </w:tc>
        <w:tc>
          <w:tcPr>
            <w:tcW w:w="7196" w:type="dxa"/>
            <w:noWrap w:val="0"/>
            <w:vAlign w:val="top"/>
          </w:tcPr>
          <w:p w14:paraId="613A943B">
            <w:pPr>
              <w:pStyle w:val="22"/>
              <w:spacing w:line="360" w:lineRule="auto"/>
              <w:jc w:val="both"/>
              <w:rPr>
                <w:rFonts w:ascii="宋体" w:hAnsi="宋体" w:cs="宋体"/>
                <w:color w:val="auto"/>
                <w:sz w:val="24"/>
                <w:szCs w:val="24"/>
                <w:highlight w:val="none"/>
                <w:lang w:eastAsia="zh-CN"/>
              </w:rPr>
            </w:pPr>
            <w:r>
              <w:rPr>
                <w:rFonts w:hint="eastAsia" w:ascii="宋体" w:hAnsi="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承诺：</w:t>
            </w:r>
            <w:r>
              <w:rPr>
                <w:rFonts w:hint="eastAsia" w:ascii="宋体" w:hAnsi="宋体" w:eastAsia="宋体" w:cs="宋体"/>
                <w:b w:val="0"/>
                <w:bCs w:val="0"/>
                <w:color w:val="auto"/>
                <w:sz w:val="24"/>
                <w:szCs w:val="24"/>
                <w:highlight w:val="none"/>
                <w:lang w:eastAsia="zh-CN"/>
              </w:rPr>
              <w:t>“</w:t>
            </w:r>
            <w:r>
              <w:rPr>
                <w:rFonts w:ascii="宋体" w:hAnsi="宋体" w:cs="宋体"/>
                <w:color w:val="auto"/>
                <w:sz w:val="24"/>
                <w:szCs w:val="24"/>
                <w:highlight w:val="none"/>
              </w:rPr>
              <w:t>随时接受并积极配合采购人对其服务的考核</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提供满足上述要求的承诺的得</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分。注：</w:t>
            </w:r>
            <w:r>
              <w:rPr>
                <w:rFonts w:hint="eastAsia" w:ascii="宋体" w:hAnsi="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须提供书面承诺（格式自拟）并加盖</w:t>
            </w:r>
            <w:r>
              <w:rPr>
                <w:rFonts w:hint="eastAsia" w:ascii="宋体" w:hAnsi="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公章，未提供或不符合上述要求的不得分。</w:t>
            </w:r>
          </w:p>
        </w:tc>
        <w:tc>
          <w:tcPr>
            <w:tcW w:w="905" w:type="dxa"/>
            <w:noWrap w:val="0"/>
            <w:vAlign w:val="center"/>
          </w:tcPr>
          <w:p w14:paraId="5DC9B877">
            <w:pPr>
              <w:pStyle w:val="23"/>
              <w:spacing w:line="360" w:lineRule="auto"/>
              <w:rPr>
                <w:rFonts w:hint="eastAsia" w:ascii="宋体" w:hAnsi="宋体" w:eastAsia="宋体"/>
                <w:b w:val="0"/>
                <w:color w:val="auto"/>
                <w:kern w:val="2"/>
                <w:szCs w:val="24"/>
                <w:highlight w:val="none"/>
                <w:lang w:val="en-US" w:eastAsia="zh-CN"/>
              </w:rPr>
            </w:pPr>
            <w:r>
              <w:rPr>
                <w:rFonts w:hint="eastAsia" w:ascii="宋体" w:hAnsi="宋体" w:cs="宋体"/>
                <w:b w:val="0"/>
                <w:color w:val="auto"/>
                <w:kern w:val="2"/>
                <w:sz w:val="24"/>
                <w:szCs w:val="24"/>
                <w:highlight w:val="none"/>
                <w:lang w:val="en-US" w:eastAsia="zh-CN"/>
              </w:rPr>
              <w:t>1分</w:t>
            </w:r>
          </w:p>
        </w:tc>
      </w:tr>
      <w:tr w14:paraId="29F8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330408FD">
            <w:pPr>
              <w:pStyle w:val="23"/>
              <w:numPr>
                <w:ilvl w:val="0"/>
                <w:numId w:val="2"/>
              </w:numPr>
              <w:spacing w:line="360" w:lineRule="auto"/>
              <w:ind w:left="425" w:leftChars="0" w:hanging="425" w:firstLineChars="0"/>
              <w:rPr>
                <w:rFonts w:hint="default" w:ascii="宋体" w:hAnsi="宋体"/>
                <w:b w:val="0"/>
                <w:color w:val="auto"/>
                <w:kern w:val="2"/>
                <w:szCs w:val="24"/>
                <w:highlight w:val="none"/>
                <w:lang w:val="en-US" w:eastAsia="zh-CN"/>
              </w:rPr>
            </w:pPr>
          </w:p>
        </w:tc>
        <w:tc>
          <w:tcPr>
            <w:tcW w:w="7196" w:type="dxa"/>
            <w:noWrap w:val="0"/>
            <w:vAlign w:val="top"/>
          </w:tcPr>
          <w:p w14:paraId="61564441">
            <w:pPr>
              <w:pStyle w:val="22"/>
              <w:spacing w:line="360" w:lineRule="auto"/>
              <w:jc w:val="both"/>
              <w:rPr>
                <w:rFonts w:hint="eastAsia" w:ascii="宋体" w:hAnsi="宋体" w:cs="宋体"/>
                <w:b w:val="0"/>
                <w:color w:val="auto"/>
                <w:kern w:val="2"/>
                <w:sz w:val="24"/>
                <w:szCs w:val="24"/>
                <w:highlight w:val="none"/>
                <w:lang w:val="en-US" w:eastAsia="zh-CN"/>
              </w:rPr>
            </w:pPr>
            <w:r>
              <w:rPr>
                <w:rFonts w:hint="eastAsia" w:ascii="宋体" w:hAnsi="宋体" w:eastAsia="宋体" w:cs="宋体"/>
                <w:b w:val="0"/>
                <w:bCs w:val="0"/>
                <w:color w:val="auto"/>
                <w:sz w:val="24"/>
                <w:szCs w:val="24"/>
                <w:highlight w:val="none"/>
              </w:rPr>
              <w:t>针对本项目</w:t>
            </w:r>
            <w:r>
              <w:rPr>
                <w:rFonts w:hint="eastAsia" w:ascii="宋体" w:hAnsi="宋体" w:eastAsia="宋体" w:cs="宋体"/>
                <w:b w:val="0"/>
                <w:bCs w:val="0"/>
                <w:color w:val="auto"/>
                <w:sz w:val="24"/>
                <w:szCs w:val="24"/>
                <w:highlight w:val="none"/>
                <w:lang w:val="en-US" w:eastAsia="zh-CN"/>
              </w:rPr>
              <w:t>报价人</w:t>
            </w:r>
            <w:r>
              <w:rPr>
                <w:rFonts w:hint="eastAsia" w:ascii="宋体" w:hAnsi="宋体" w:eastAsia="宋体" w:cs="宋体"/>
                <w:b w:val="0"/>
                <w:bCs w:val="0"/>
                <w:color w:val="auto"/>
                <w:sz w:val="24"/>
                <w:szCs w:val="24"/>
                <w:highlight w:val="none"/>
              </w:rPr>
              <w:t>编制各项管理制度（</w:t>
            </w:r>
            <w:r>
              <w:rPr>
                <w:rFonts w:hint="eastAsia" w:ascii="宋体" w:hAnsi="宋体" w:eastAsia="宋体" w:cs="宋体"/>
                <w:b w:val="0"/>
                <w:bCs w:val="0"/>
                <w:color w:val="auto"/>
                <w:sz w:val="24"/>
                <w:szCs w:val="24"/>
                <w:highlight w:val="none"/>
                <w:lang w:val="en-US" w:eastAsia="zh-CN"/>
              </w:rPr>
              <w:t>包含</w:t>
            </w:r>
            <w:r>
              <w:rPr>
                <w:rFonts w:hint="eastAsia" w:ascii="宋体" w:hAnsi="宋体" w:eastAsia="宋体" w:cs="宋体"/>
                <w:b w:val="0"/>
                <w:bCs w:val="0"/>
                <w:color w:val="auto"/>
                <w:sz w:val="24"/>
                <w:szCs w:val="24"/>
                <w:highlight w:val="none"/>
              </w:rPr>
              <w:t>：内部管理制度、安全管理制度，应结合本项目实际情况制定），每提供一项制度，得</w:t>
            </w:r>
            <w:r>
              <w:rPr>
                <w:rFonts w:hint="eastAsia" w:ascii="宋体" w:hAnsi="宋体" w:eastAsia="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分，满分</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未提供不得分</w:t>
            </w:r>
            <w:r>
              <w:rPr>
                <w:rFonts w:hint="eastAsia" w:ascii="宋体" w:hAnsi="宋体" w:eastAsia="宋体" w:cs="宋体"/>
                <w:b w:val="0"/>
                <w:bCs w:val="0"/>
                <w:color w:val="auto"/>
                <w:sz w:val="24"/>
                <w:szCs w:val="24"/>
                <w:highlight w:val="none"/>
              </w:rPr>
              <w:t>。</w:t>
            </w:r>
          </w:p>
        </w:tc>
        <w:tc>
          <w:tcPr>
            <w:tcW w:w="905" w:type="dxa"/>
            <w:noWrap w:val="0"/>
            <w:vAlign w:val="center"/>
          </w:tcPr>
          <w:p w14:paraId="0C5271B4">
            <w:pPr>
              <w:pStyle w:val="23"/>
              <w:spacing w:line="360" w:lineRule="auto"/>
              <w:rPr>
                <w:rFonts w:hint="eastAsia" w:ascii="宋体" w:hAnsi="宋体"/>
                <w:b w:val="0"/>
                <w:color w:val="auto"/>
                <w:kern w:val="2"/>
                <w:szCs w:val="24"/>
                <w:highlight w:val="none"/>
                <w:lang w:val="en-US" w:eastAsia="zh-CN"/>
              </w:rPr>
            </w:pPr>
            <w:r>
              <w:rPr>
                <w:rFonts w:hint="eastAsia" w:ascii="宋体" w:hAnsi="宋体" w:cs="宋体"/>
                <w:b w:val="0"/>
                <w:color w:val="auto"/>
                <w:kern w:val="2"/>
                <w:sz w:val="24"/>
                <w:szCs w:val="24"/>
                <w:highlight w:val="none"/>
                <w:lang w:val="en-US" w:eastAsia="zh-CN"/>
              </w:rPr>
              <w:t>3分</w:t>
            </w:r>
          </w:p>
        </w:tc>
      </w:tr>
      <w:tr w14:paraId="3D75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66F9259C">
            <w:pPr>
              <w:pStyle w:val="23"/>
              <w:numPr>
                <w:ilvl w:val="0"/>
                <w:numId w:val="2"/>
              </w:numPr>
              <w:spacing w:line="360" w:lineRule="auto"/>
              <w:ind w:left="425" w:leftChars="0" w:hanging="425" w:firstLineChars="0"/>
              <w:rPr>
                <w:rFonts w:hint="default" w:ascii="宋体" w:hAnsi="宋体"/>
                <w:b w:val="0"/>
                <w:color w:val="auto"/>
                <w:kern w:val="2"/>
                <w:szCs w:val="24"/>
                <w:highlight w:val="none"/>
                <w:lang w:val="en-US" w:eastAsia="zh-CN"/>
              </w:rPr>
            </w:pPr>
          </w:p>
        </w:tc>
        <w:tc>
          <w:tcPr>
            <w:tcW w:w="7196" w:type="dxa"/>
            <w:noWrap w:val="0"/>
            <w:vAlign w:val="center"/>
          </w:tcPr>
          <w:p w14:paraId="66CB8F3F">
            <w:pPr>
              <w:spacing w:line="360" w:lineRule="auto"/>
              <w:rPr>
                <w:rFonts w:hint="eastAsia" w:ascii="宋体" w:hAnsi="宋体" w:cs="宋体"/>
                <w:b w:val="0"/>
                <w:color w:val="auto"/>
                <w:kern w:val="2"/>
                <w:sz w:val="24"/>
                <w:szCs w:val="24"/>
                <w:highlight w:val="none"/>
                <w:lang w:val="en-US" w:eastAsia="zh-CN"/>
              </w:rPr>
            </w:pPr>
            <w:r>
              <w:rPr>
                <w:rFonts w:hint="eastAsia" w:ascii="宋体" w:hAnsi="宋体" w:cs="宋体"/>
                <w:color w:val="auto"/>
                <w:kern w:val="0"/>
                <w:sz w:val="24"/>
                <w:szCs w:val="24"/>
                <w:highlight w:val="none"/>
              </w:rPr>
              <w:t>报价人承诺“成交后，在服务期内，对拟投入的所有人员安全负全部责任，如若发生安全事故，承担全部责任”的得</w:t>
            </w:r>
            <w:r>
              <w:rPr>
                <w:rFonts w:hint="eastAsia" w:ascii="宋体" w:hAnsi="宋体" w:cs="宋体"/>
                <w:color w:val="auto"/>
                <w:kern w:val="0"/>
                <w:sz w:val="24"/>
                <w:szCs w:val="24"/>
                <w:highlight w:val="none"/>
                <w:lang w:val="en-US" w:eastAsia="zh-CN"/>
              </w:rPr>
              <w:t>1分</w:t>
            </w:r>
            <w:r>
              <w:rPr>
                <w:rFonts w:hint="eastAsia" w:ascii="宋体" w:hAnsi="宋体" w:cs="宋体"/>
                <w:color w:val="auto"/>
                <w:kern w:val="0"/>
                <w:sz w:val="24"/>
                <w:szCs w:val="24"/>
                <w:highlight w:val="none"/>
              </w:rPr>
              <w:t>，须提供书面承诺函，否则不得分。</w:t>
            </w:r>
          </w:p>
        </w:tc>
        <w:tc>
          <w:tcPr>
            <w:tcW w:w="905" w:type="dxa"/>
            <w:noWrap w:val="0"/>
            <w:vAlign w:val="center"/>
          </w:tcPr>
          <w:p w14:paraId="52EC4676">
            <w:pPr>
              <w:pStyle w:val="5"/>
              <w:spacing w:line="360" w:lineRule="auto"/>
              <w:jc w:val="center"/>
              <w:rPr>
                <w:rFonts w:hint="eastAsia" w:ascii="宋体" w:hAnsi="宋体"/>
                <w:b w:val="0"/>
                <w:color w:val="auto"/>
                <w:kern w:val="2"/>
                <w:szCs w:val="24"/>
                <w:highlight w:val="none"/>
                <w:lang w:val="en-US" w:eastAsia="zh-CN"/>
              </w:rPr>
            </w:pPr>
            <w:r>
              <w:rPr>
                <w:rFonts w:hint="eastAsia" w:ascii="宋体" w:hAnsi="宋体"/>
                <w:color w:val="auto"/>
                <w:sz w:val="24"/>
                <w:highlight w:val="none"/>
                <w:lang w:val="en-US" w:eastAsia="zh-CN"/>
              </w:rPr>
              <w:t>1</w:t>
            </w:r>
            <w:r>
              <w:rPr>
                <w:rFonts w:hint="eastAsia" w:ascii="宋体" w:hAnsi="宋体"/>
                <w:color w:val="auto"/>
                <w:sz w:val="24"/>
                <w:highlight w:val="none"/>
              </w:rPr>
              <w:t>分</w:t>
            </w:r>
          </w:p>
        </w:tc>
      </w:tr>
      <w:tr w14:paraId="1513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05500B43">
            <w:pPr>
              <w:pStyle w:val="23"/>
              <w:numPr>
                <w:ilvl w:val="0"/>
                <w:numId w:val="2"/>
              </w:numPr>
              <w:spacing w:line="360" w:lineRule="auto"/>
              <w:ind w:left="425" w:leftChars="0" w:hanging="425" w:firstLineChars="0"/>
              <w:rPr>
                <w:rFonts w:hint="eastAsia" w:ascii="宋体" w:hAnsi="宋体" w:eastAsia="宋体" w:cs="宋体"/>
                <w:b w:val="0"/>
                <w:color w:val="auto"/>
                <w:kern w:val="2"/>
                <w:szCs w:val="24"/>
                <w:highlight w:val="none"/>
                <w:lang w:val="en-US" w:eastAsia="zh-CN"/>
              </w:rPr>
            </w:pPr>
          </w:p>
        </w:tc>
        <w:tc>
          <w:tcPr>
            <w:tcW w:w="7196" w:type="dxa"/>
            <w:noWrap w:val="0"/>
            <w:vAlign w:val="top"/>
          </w:tcPr>
          <w:p w14:paraId="2D681F68">
            <w:pPr>
              <w:pStyle w:val="22"/>
              <w:spacing w:line="360" w:lineRule="auto"/>
              <w:jc w:val="both"/>
              <w:rPr>
                <w:rFonts w:ascii="宋体" w:hAnsi="宋体" w:cs="宋体"/>
                <w:color w:val="auto"/>
                <w:sz w:val="24"/>
                <w:szCs w:val="24"/>
                <w:highlight w:val="none"/>
                <w:lang w:eastAsia="zh-CN"/>
              </w:rPr>
            </w:pPr>
            <w:r>
              <w:rPr>
                <w:rFonts w:hint="eastAsia" w:ascii="宋体" w:hAnsi="宋体" w:eastAsia="宋体" w:cs="宋体"/>
                <w:color w:val="auto"/>
                <w:sz w:val="24"/>
                <w:szCs w:val="24"/>
                <w:highlight w:val="none"/>
              </w:rPr>
              <w:t>根据</w:t>
            </w:r>
            <w:r>
              <w:rPr>
                <w:rFonts w:hint="eastAsia" w:ascii="宋体" w:hAnsi="宋体" w:cs="宋体"/>
                <w:color w:val="auto"/>
                <w:sz w:val="24"/>
                <w:szCs w:val="24"/>
                <w:highlight w:val="none"/>
                <w:lang w:val="en-US" w:eastAsia="zh-CN"/>
              </w:rPr>
              <w:t>报价人提供自</w:t>
            </w:r>
            <w:r>
              <w:rPr>
                <w:rFonts w:hint="eastAsia" w:ascii="宋体" w:hAnsi="宋体" w:eastAsia="宋体" w:cs="宋体"/>
                <w:color w:val="auto"/>
                <w:sz w:val="24"/>
                <w:szCs w:val="24"/>
                <w:highlight w:val="none"/>
              </w:rPr>
              <w:t>2022年1月1日（以合同签订时间为准）至</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截止当日承接过的同类业绩进行评价：每提供1份业绩得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分，满分</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分。注：（1）同类业绩是指：</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人承接关于</w:t>
            </w:r>
            <w:r>
              <w:rPr>
                <w:rFonts w:hint="eastAsia" w:ascii="宋体" w:hAnsi="宋体" w:cs="宋体"/>
                <w:color w:val="auto"/>
                <w:sz w:val="24"/>
                <w:szCs w:val="24"/>
                <w:highlight w:val="none"/>
                <w:lang w:val="en-US" w:eastAsia="zh-CN"/>
              </w:rPr>
              <w:t>招聘考务服务类似</w:t>
            </w:r>
            <w:r>
              <w:rPr>
                <w:rFonts w:hint="eastAsia" w:ascii="宋体" w:hAnsi="宋体" w:eastAsia="宋体" w:cs="宋体"/>
                <w:color w:val="auto"/>
                <w:sz w:val="24"/>
                <w:szCs w:val="24"/>
                <w:highlight w:val="none"/>
              </w:rPr>
              <w:t>项目</w:t>
            </w:r>
            <w:r>
              <w:rPr>
                <w:rFonts w:hint="eastAsia" w:ascii="宋体" w:hAnsi="宋体" w:cs="宋体"/>
                <w:color w:val="auto"/>
                <w:sz w:val="24"/>
                <w:szCs w:val="24"/>
                <w:highlight w:val="none"/>
                <w:lang w:val="en-US" w:eastAsia="zh-CN"/>
              </w:rPr>
              <w:t>业绩或磋商小组认为与本项目相类似的业绩</w:t>
            </w:r>
            <w:r>
              <w:rPr>
                <w:rFonts w:hint="eastAsia" w:ascii="宋体" w:hAnsi="宋体" w:eastAsia="宋体" w:cs="宋体"/>
                <w:color w:val="auto"/>
                <w:sz w:val="24"/>
                <w:szCs w:val="24"/>
                <w:highlight w:val="none"/>
              </w:rPr>
              <w:t>。（2）需</w:t>
            </w:r>
            <w:r>
              <w:rPr>
                <w:rFonts w:hint="eastAsia" w:ascii="宋体" w:hAnsi="宋体" w:cs="宋体"/>
                <w:color w:val="auto"/>
                <w:sz w:val="24"/>
                <w:szCs w:val="24"/>
                <w:highlight w:val="none"/>
                <w:lang w:eastAsia="zh-CN"/>
              </w:rPr>
              <w:t>同时</w:t>
            </w:r>
            <w:r>
              <w:rPr>
                <w:rFonts w:hint="eastAsia" w:ascii="宋体" w:hAnsi="宋体" w:eastAsia="宋体" w:cs="宋体"/>
                <w:color w:val="auto"/>
                <w:sz w:val="24"/>
                <w:szCs w:val="24"/>
                <w:highlight w:val="none"/>
              </w:rPr>
              <w:t>提供业绩的以下证明材料，否则不计分：①采购合同文本复印件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②</w:t>
            </w:r>
            <w:r>
              <w:rPr>
                <w:rFonts w:hint="eastAsia" w:ascii="宋体" w:hAnsi="宋体" w:cs="宋体"/>
                <w:color w:val="auto"/>
                <w:sz w:val="24"/>
                <w:szCs w:val="24"/>
                <w:highlight w:val="none"/>
                <w:lang w:val="en-US" w:eastAsia="zh-CN"/>
              </w:rPr>
              <w:t>中标（成交）通知书。商务评分第8项与商务评分第9项不重复计分。</w:t>
            </w:r>
          </w:p>
        </w:tc>
        <w:tc>
          <w:tcPr>
            <w:tcW w:w="905" w:type="dxa"/>
            <w:noWrap w:val="0"/>
            <w:vAlign w:val="center"/>
          </w:tcPr>
          <w:p w14:paraId="7935A44D">
            <w:pPr>
              <w:pStyle w:val="23"/>
              <w:spacing w:line="360" w:lineRule="auto"/>
              <w:rPr>
                <w:rFonts w:hint="eastAsia" w:ascii="宋体" w:hAnsi="宋体"/>
                <w:bCs/>
                <w:color w:val="auto"/>
                <w:kern w:val="2"/>
                <w:szCs w:val="24"/>
                <w:highlight w:val="none"/>
              </w:rPr>
            </w:pPr>
            <w:r>
              <w:rPr>
                <w:rFonts w:hint="eastAsia" w:ascii="宋体" w:hAnsi="宋体" w:cs="宋体"/>
                <w:b w:val="0"/>
                <w:color w:val="auto"/>
                <w:kern w:val="2"/>
                <w:sz w:val="24"/>
                <w:szCs w:val="24"/>
                <w:highlight w:val="none"/>
                <w:lang w:val="en-US" w:eastAsia="zh-CN"/>
              </w:rPr>
              <w:t>6分</w:t>
            </w:r>
          </w:p>
        </w:tc>
      </w:tr>
      <w:tr w14:paraId="68CE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492DE5FB">
            <w:pPr>
              <w:pStyle w:val="23"/>
              <w:numPr>
                <w:ilvl w:val="0"/>
                <w:numId w:val="2"/>
              </w:numPr>
              <w:spacing w:line="360" w:lineRule="auto"/>
              <w:ind w:left="425" w:leftChars="0" w:hanging="425" w:firstLineChars="0"/>
              <w:rPr>
                <w:rFonts w:hint="eastAsia" w:ascii="宋体" w:hAnsi="宋体" w:eastAsia="宋体"/>
                <w:b w:val="0"/>
                <w:color w:val="auto"/>
                <w:kern w:val="2"/>
                <w:szCs w:val="24"/>
                <w:highlight w:val="none"/>
                <w:lang w:eastAsia="zh-CN"/>
              </w:rPr>
            </w:pPr>
          </w:p>
        </w:tc>
        <w:tc>
          <w:tcPr>
            <w:tcW w:w="7196" w:type="dxa"/>
            <w:noWrap w:val="0"/>
            <w:vAlign w:val="top"/>
          </w:tcPr>
          <w:p w14:paraId="37C6467A">
            <w:pPr>
              <w:pStyle w:val="22"/>
              <w:spacing w:line="360" w:lineRule="auto"/>
              <w:jc w:val="both"/>
              <w:rPr>
                <w:rFonts w:hint="eastAsia" w:ascii="宋体" w:hAnsi="宋体" w:cs="宋体"/>
                <w:color w:val="auto"/>
                <w:kern w:val="0"/>
                <w:sz w:val="24"/>
                <w:szCs w:val="24"/>
                <w:highlight w:val="none"/>
              </w:rPr>
            </w:pPr>
            <w:r>
              <w:rPr>
                <w:rFonts w:hint="eastAsia" w:ascii="宋体" w:hAnsi="宋体" w:cs="宋体"/>
                <w:b w:val="0"/>
                <w:color w:val="auto"/>
                <w:kern w:val="2"/>
                <w:sz w:val="24"/>
                <w:szCs w:val="24"/>
                <w:highlight w:val="none"/>
                <w:lang w:val="en-US" w:eastAsia="zh-CN"/>
              </w:rPr>
              <w:t>根据投</w:t>
            </w:r>
            <w:r>
              <w:rPr>
                <w:rFonts w:hint="eastAsia" w:ascii="宋体" w:hAnsi="宋体" w:cs="宋体"/>
                <w:color w:val="auto"/>
                <w:sz w:val="24"/>
                <w:szCs w:val="24"/>
                <w:highlight w:val="none"/>
                <w:lang w:val="en-US" w:eastAsia="zh-CN"/>
              </w:rPr>
              <w:t>报价人提供自</w:t>
            </w:r>
            <w:r>
              <w:rPr>
                <w:rFonts w:hint="eastAsia" w:ascii="宋体" w:hAnsi="宋体" w:cs="宋体"/>
                <w:b w:val="0"/>
                <w:color w:val="auto"/>
                <w:kern w:val="2"/>
                <w:sz w:val="24"/>
                <w:szCs w:val="24"/>
                <w:highlight w:val="none"/>
                <w:lang w:val="en-US" w:eastAsia="zh-CN"/>
              </w:rPr>
              <w:t>2022年1月1日至报价截止当日获得过同类服务项目的业主单位对其履行合同情况及服务质量的评价材料（或表扬信或感谢信或验收合格的材料证明）进行评价：每提供1份正面评价材料（需体现优秀、优良、良好或满意）的得2分，满分6分。</w:t>
            </w:r>
            <w:r>
              <w:rPr>
                <w:rFonts w:hint="eastAsia" w:ascii="宋体" w:hAnsi="宋体" w:eastAsia="宋体" w:cs="宋体"/>
                <w:color w:val="auto"/>
                <w:sz w:val="24"/>
                <w:szCs w:val="24"/>
                <w:highlight w:val="none"/>
              </w:rPr>
              <w:t>注：（1）同类业绩是指：</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人承接关于</w:t>
            </w:r>
            <w:r>
              <w:rPr>
                <w:rFonts w:hint="eastAsia" w:ascii="宋体" w:hAnsi="宋体" w:cs="宋体"/>
                <w:color w:val="auto"/>
                <w:sz w:val="24"/>
                <w:szCs w:val="24"/>
                <w:highlight w:val="none"/>
                <w:lang w:val="en-US" w:eastAsia="zh-CN"/>
              </w:rPr>
              <w:t>招聘考务服务类似</w:t>
            </w:r>
            <w:r>
              <w:rPr>
                <w:rFonts w:hint="eastAsia" w:ascii="宋体" w:hAnsi="宋体" w:eastAsia="宋体" w:cs="宋体"/>
                <w:color w:val="auto"/>
                <w:sz w:val="24"/>
                <w:szCs w:val="24"/>
                <w:highlight w:val="none"/>
              </w:rPr>
              <w:t>项目</w:t>
            </w:r>
            <w:r>
              <w:rPr>
                <w:rFonts w:hint="eastAsia" w:ascii="宋体" w:hAnsi="宋体" w:cs="宋体"/>
                <w:color w:val="auto"/>
                <w:sz w:val="24"/>
                <w:szCs w:val="24"/>
                <w:highlight w:val="none"/>
                <w:lang w:val="en-US" w:eastAsia="zh-CN"/>
              </w:rPr>
              <w:t>业绩或磋商小组认为与本项目相类似的业绩</w:t>
            </w:r>
            <w:r>
              <w:rPr>
                <w:rFonts w:hint="eastAsia" w:ascii="宋体" w:hAnsi="宋体" w:eastAsia="宋体" w:cs="宋体"/>
                <w:color w:val="auto"/>
                <w:sz w:val="24"/>
                <w:szCs w:val="24"/>
                <w:highlight w:val="none"/>
              </w:rPr>
              <w:t>。（2）需</w:t>
            </w:r>
            <w:r>
              <w:rPr>
                <w:rFonts w:hint="eastAsia" w:ascii="宋体" w:hAnsi="宋体" w:eastAsia="宋体" w:cs="宋体"/>
                <w:color w:val="auto"/>
                <w:sz w:val="24"/>
                <w:szCs w:val="24"/>
                <w:highlight w:val="none"/>
                <w:lang w:val="en-US" w:eastAsia="zh-CN"/>
              </w:rPr>
              <w:t>同时</w:t>
            </w:r>
            <w:r>
              <w:rPr>
                <w:rFonts w:hint="eastAsia" w:ascii="宋体" w:hAnsi="宋体" w:eastAsia="宋体" w:cs="宋体"/>
                <w:color w:val="auto"/>
                <w:sz w:val="24"/>
                <w:szCs w:val="24"/>
                <w:highlight w:val="none"/>
              </w:rPr>
              <w:t>提供以下证明材料，否则不计分：①采购合同文本复印件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②</w:t>
            </w:r>
            <w:r>
              <w:rPr>
                <w:rFonts w:hint="eastAsia" w:ascii="宋体" w:hAnsi="宋体" w:cs="宋体"/>
                <w:color w:val="auto"/>
                <w:sz w:val="24"/>
                <w:szCs w:val="24"/>
                <w:highlight w:val="none"/>
                <w:lang w:val="en-US" w:eastAsia="zh-CN"/>
              </w:rPr>
              <w:t>中标（成交）通知书；</w:t>
            </w:r>
            <w:r>
              <w:rPr>
                <w:rFonts w:hint="eastAsia" w:ascii="宋体" w:hAnsi="宋体" w:eastAsia="宋体" w:cs="宋体"/>
                <w:color w:val="auto"/>
                <w:sz w:val="24"/>
                <w:szCs w:val="24"/>
                <w:highlight w:val="none"/>
                <w:lang w:val="en-US" w:eastAsia="zh-CN"/>
              </w:rPr>
              <w:t>③</w:t>
            </w:r>
            <w:r>
              <w:rPr>
                <w:rFonts w:hint="eastAsia" w:ascii="宋体" w:hAnsi="宋体" w:cs="宋体"/>
                <w:b w:val="0"/>
                <w:color w:val="auto"/>
                <w:kern w:val="2"/>
                <w:sz w:val="24"/>
                <w:szCs w:val="24"/>
                <w:highlight w:val="none"/>
                <w:lang w:val="en-US" w:eastAsia="zh-CN"/>
              </w:rPr>
              <w:t>评价材料（或表扬信或感谢信或验收合格的材料证明）</w:t>
            </w:r>
            <w:r>
              <w:rPr>
                <w:rFonts w:hint="eastAsia" w:ascii="宋体" w:hAnsi="宋体" w:cs="宋体"/>
                <w:color w:val="auto"/>
                <w:sz w:val="24"/>
                <w:szCs w:val="24"/>
                <w:highlight w:val="none"/>
                <w:lang w:val="en-US" w:eastAsia="zh-CN"/>
              </w:rPr>
              <w:t>。商务评分第8项与商务评分第9项不重复计分。</w:t>
            </w:r>
          </w:p>
        </w:tc>
        <w:tc>
          <w:tcPr>
            <w:tcW w:w="905" w:type="dxa"/>
            <w:noWrap w:val="0"/>
            <w:vAlign w:val="center"/>
          </w:tcPr>
          <w:p w14:paraId="6B562358">
            <w:pPr>
              <w:pStyle w:val="23"/>
              <w:spacing w:line="360" w:lineRule="auto"/>
              <w:rPr>
                <w:rFonts w:ascii="宋体" w:hAnsi="宋体"/>
                <w:color w:val="auto"/>
                <w:sz w:val="24"/>
                <w:highlight w:val="none"/>
              </w:rPr>
            </w:pPr>
            <w:r>
              <w:rPr>
                <w:rFonts w:hint="eastAsia" w:ascii="宋体" w:hAnsi="宋体" w:cs="宋体"/>
                <w:b w:val="0"/>
                <w:color w:val="auto"/>
                <w:kern w:val="2"/>
                <w:sz w:val="24"/>
                <w:szCs w:val="24"/>
                <w:highlight w:val="none"/>
                <w:lang w:val="en-US" w:eastAsia="zh-CN"/>
              </w:rPr>
              <w:t>6分</w:t>
            </w:r>
          </w:p>
        </w:tc>
      </w:tr>
    </w:tbl>
    <w:p w14:paraId="4C45C7A1">
      <w:pPr>
        <w:spacing w:line="360" w:lineRule="auto"/>
        <w:jc w:val="left"/>
        <w:outlineLvl w:val="9"/>
        <w:rPr>
          <w:rFonts w:hint="eastAsia" w:ascii="宋体" w:hAnsi="宋体" w:eastAsia="宋体" w:cs="宋体"/>
          <w:b/>
          <w:color w:val="auto"/>
          <w:sz w:val="24"/>
          <w:szCs w:val="24"/>
          <w:highlight w:val="none"/>
        </w:rPr>
      </w:pPr>
      <w:bookmarkStart w:id="60" w:name="_Toc22240"/>
      <w:r>
        <w:rPr>
          <w:rFonts w:hint="eastAsia" w:ascii="宋体" w:hAnsi="宋体" w:eastAsia="宋体" w:cs="宋体"/>
          <w:b/>
          <w:color w:val="auto"/>
          <w:sz w:val="24"/>
          <w:szCs w:val="24"/>
          <w:highlight w:val="none"/>
        </w:rPr>
        <w:t>（三）报价评分（F3）标准（满分</w:t>
      </w:r>
      <w:r>
        <w:rPr>
          <w:rFonts w:hint="eastAsia" w:ascii="宋体" w:hAnsi="宋体" w:cs="宋体"/>
          <w:b/>
          <w:color w:val="auto"/>
          <w:sz w:val="24"/>
          <w:szCs w:val="24"/>
          <w:highlight w:val="none"/>
          <w:lang w:val="en-US" w:eastAsia="zh-CN"/>
        </w:rPr>
        <w:t>10</w:t>
      </w:r>
      <w:r>
        <w:rPr>
          <w:rFonts w:hint="eastAsia" w:ascii="宋体" w:hAnsi="宋体" w:eastAsia="宋体" w:cs="宋体"/>
          <w:b/>
          <w:color w:val="auto"/>
          <w:sz w:val="24"/>
          <w:szCs w:val="24"/>
          <w:highlight w:val="none"/>
        </w:rPr>
        <w:t>分）：</w:t>
      </w:r>
      <w:bookmarkEnd w:id="60"/>
    </w:p>
    <w:p w14:paraId="2515082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满足采购文件要求且有效标评审价最低的报价人的价格为磋商基准价，其价格分为满分。其他报价人的价格分统一按照公式：磋商报价得分=</w:t>
      </w:r>
      <w:r>
        <w:rPr>
          <w:rFonts w:hint="eastAsia" w:ascii="宋体" w:hAnsi="宋体" w:cs="宋体"/>
          <w:b/>
          <w:color w:val="auto"/>
          <w:sz w:val="24"/>
          <w:szCs w:val="24"/>
          <w:highlight w:val="none"/>
          <w:lang w:val="en-US" w:eastAsia="zh-CN"/>
        </w:rPr>
        <w:t>10</w:t>
      </w:r>
      <w:r>
        <w:rPr>
          <w:rFonts w:hint="eastAsia" w:ascii="宋体" w:hAnsi="宋体" w:eastAsia="宋体" w:cs="宋体"/>
          <w:color w:val="auto"/>
          <w:sz w:val="24"/>
          <w:szCs w:val="24"/>
          <w:highlight w:val="none"/>
        </w:rPr>
        <w:t>×磋商基准价/报价人的评审价</w:t>
      </w:r>
    </w:p>
    <w:p w14:paraId="06F84EB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说明：最后磋商报价还需进行算术错误修正、</w:t>
      </w:r>
      <w:r>
        <w:rPr>
          <w:rFonts w:hint="eastAsia" w:ascii="宋体" w:hAnsi="宋体" w:eastAsia="宋体" w:cs="宋体"/>
          <w:color w:val="auto"/>
          <w:spacing w:val="-4"/>
          <w:sz w:val="24"/>
          <w:szCs w:val="24"/>
          <w:highlight w:val="none"/>
        </w:rPr>
        <w:t>漏（缺）项修正、</w:t>
      </w:r>
      <w:r>
        <w:rPr>
          <w:rFonts w:hint="eastAsia" w:ascii="宋体" w:hAnsi="宋体" w:eastAsia="宋体" w:cs="宋体"/>
          <w:color w:val="auto"/>
          <w:sz w:val="24"/>
          <w:szCs w:val="24"/>
          <w:highlight w:val="none"/>
        </w:rPr>
        <w:t>“后一次的报价高于前一次报价的，后一次的报价无效，以前一次的报价为准”的报价认定。</w:t>
      </w:r>
    </w:p>
    <w:p w14:paraId="33733152">
      <w:pPr>
        <w:tabs>
          <w:tab w:val="left" w:pos="-1080"/>
          <w:tab w:val="left" w:pos="180"/>
          <w:tab w:val="left" w:pos="1080"/>
        </w:tabs>
        <w:spacing w:line="360" w:lineRule="auto"/>
        <w:ind w:firstLine="360" w:firstLineChars="150"/>
        <w:rPr>
          <w:rFonts w:hint="eastAsia" w:ascii="宋体" w:hAnsi="宋体" w:eastAsia="宋体" w:cs="宋体"/>
          <w:color w:val="auto"/>
          <w:sz w:val="24"/>
          <w:szCs w:val="24"/>
          <w:highlight w:val="none"/>
        </w:rPr>
      </w:pPr>
    </w:p>
    <w:p w14:paraId="750353EB">
      <w:pPr>
        <w:pStyle w:val="7"/>
        <w:spacing w:line="360" w:lineRule="auto"/>
        <w:jc w:val="center"/>
        <w:outlineLvl w:val="9"/>
        <w:rPr>
          <w:rFonts w:hint="eastAsia" w:hAnsi="宋体" w:eastAsia="宋体" w:cs="宋体"/>
          <w:b/>
          <w:color w:val="auto"/>
          <w:sz w:val="32"/>
          <w:szCs w:val="32"/>
          <w:highlight w:val="none"/>
        </w:rPr>
        <w:sectPr>
          <w:pgSz w:w="11906" w:h="16838"/>
          <w:pgMar w:top="1440" w:right="1797" w:bottom="1440" w:left="1797" w:header="851" w:footer="992" w:gutter="0"/>
          <w:cols w:space="720" w:num="1"/>
          <w:docGrid w:linePitch="312" w:charSpace="0"/>
        </w:sectPr>
      </w:pPr>
      <w:bookmarkStart w:id="61" w:name="_Toc10374"/>
    </w:p>
    <w:p w14:paraId="2C213339">
      <w:pPr>
        <w:pStyle w:val="7"/>
        <w:spacing w:line="360" w:lineRule="auto"/>
        <w:jc w:val="center"/>
        <w:outlineLvl w:val="9"/>
        <w:rPr>
          <w:rFonts w:hint="eastAsia" w:hAnsi="宋体" w:eastAsia="宋体" w:cs="宋体"/>
          <w:b/>
          <w:color w:val="auto"/>
          <w:sz w:val="32"/>
          <w:szCs w:val="32"/>
          <w:highlight w:val="none"/>
        </w:rPr>
      </w:pPr>
      <w:r>
        <w:rPr>
          <w:rFonts w:hint="eastAsia" w:hAnsi="宋体" w:eastAsia="宋体" w:cs="宋体"/>
          <w:b/>
          <w:color w:val="auto"/>
          <w:sz w:val="32"/>
          <w:szCs w:val="32"/>
          <w:highlight w:val="none"/>
        </w:rPr>
        <w:t>第二章  报价人须知</w:t>
      </w:r>
      <w:bookmarkEnd w:id="61"/>
    </w:p>
    <w:p w14:paraId="0BC3705C">
      <w:pPr>
        <w:pStyle w:val="7"/>
        <w:keepNext w:val="0"/>
        <w:keepLines w:val="0"/>
        <w:pageBreakBefore w:val="0"/>
        <w:kinsoku/>
        <w:wordWrap/>
        <w:overflowPunct/>
        <w:topLinePunct w:val="0"/>
        <w:autoSpaceDE/>
        <w:autoSpaceDN/>
        <w:bidi w:val="0"/>
        <w:adjustRightInd/>
        <w:spacing w:line="360" w:lineRule="auto"/>
        <w:ind w:left="0" w:leftChars="0"/>
        <w:jc w:val="center"/>
        <w:textAlignment w:val="auto"/>
        <w:outlineLvl w:val="1"/>
        <w:rPr>
          <w:rFonts w:hint="eastAsia" w:ascii="宋体" w:hAnsi="宋体" w:eastAsia="宋体" w:cs="宋体"/>
          <w:b/>
          <w:color w:val="auto"/>
          <w:sz w:val="24"/>
          <w:szCs w:val="24"/>
          <w:highlight w:val="none"/>
        </w:rPr>
      </w:pPr>
      <w:bookmarkStart w:id="62" w:name="_Toc5889"/>
      <w:bookmarkStart w:id="63" w:name="_Toc13345"/>
      <w:bookmarkStart w:id="64" w:name="_Toc150585567"/>
      <w:bookmarkStart w:id="65" w:name="_Toc25507"/>
      <w:bookmarkStart w:id="66" w:name="_Toc2035551825"/>
      <w:bookmarkStart w:id="67" w:name="_Toc4372"/>
      <w:r>
        <w:rPr>
          <w:rFonts w:hint="eastAsia" w:ascii="宋体" w:hAnsi="宋体" w:eastAsia="宋体" w:cs="宋体"/>
          <w:b/>
          <w:color w:val="auto"/>
          <w:sz w:val="24"/>
          <w:szCs w:val="24"/>
          <w:highlight w:val="none"/>
        </w:rPr>
        <w:t>一、说明</w:t>
      </w:r>
      <w:bookmarkEnd w:id="62"/>
      <w:bookmarkEnd w:id="63"/>
      <w:bookmarkEnd w:id="64"/>
      <w:bookmarkEnd w:id="65"/>
      <w:bookmarkEnd w:id="66"/>
      <w:bookmarkEnd w:id="67"/>
    </w:p>
    <w:p w14:paraId="70D7AFDA">
      <w:pPr>
        <w:pStyle w:val="7"/>
        <w:keepNext w:val="0"/>
        <w:keepLines w:val="0"/>
        <w:pageBreakBefore w:val="0"/>
        <w:kinsoku/>
        <w:wordWrap/>
        <w:overflowPunct/>
        <w:topLinePunct w:val="0"/>
        <w:autoSpaceDE/>
        <w:autoSpaceDN/>
        <w:bidi w:val="0"/>
        <w:adjustRightInd/>
        <w:spacing w:line="360" w:lineRule="auto"/>
        <w:ind w:left="0" w:leftChars="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1.适用范围</w:t>
      </w:r>
    </w:p>
    <w:p w14:paraId="6CCAC722">
      <w:pPr>
        <w:pStyle w:val="7"/>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1.1本采购文件仅适用于邀请中所叙述项目的服务采购。</w:t>
      </w:r>
    </w:p>
    <w:p w14:paraId="7E93BC42">
      <w:pPr>
        <w:pStyle w:val="7"/>
        <w:keepNext w:val="0"/>
        <w:keepLines w:val="0"/>
        <w:pageBreakBefore w:val="0"/>
        <w:kinsoku/>
        <w:wordWrap/>
        <w:overflowPunct/>
        <w:topLinePunct w:val="0"/>
        <w:autoSpaceDE/>
        <w:autoSpaceDN/>
        <w:bidi w:val="0"/>
        <w:adjustRightInd/>
        <w:spacing w:line="360" w:lineRule="auto"/>
        <w:ind w:left="0" w:leftChars="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2.定义</w:t>
      </w:r>
    </w:p>
    <w:p w14:paraId="42DA9829">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“采购人”系指本次采购项目的业主方。</w:t>
      </w:r>
    </w:p>
    <w:p w14:paraId="39AA2C03">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“采购单位”系指组织本次采购活动的采购人或采购代理机构。</w:t>
      </w:r>
    </w:p>
    <w:p w14:paraId="49CE8EEC">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“采购代理机构”系指本次采购项目活动组织方。</w:t>
      </w:r>
    </w:p>
    <w:p w14:paraId="609D4F2F">
      <w:pPr>
        <w:pStyle w:val="7"/>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“报价人”系指购买了本采购文件，且已经提交或准备提交报价文件的服务商或承包商。</w:t>
      </w:r>
    </w:p>
    <w:p w14:paraId="63D1DF90">
      <w:pPr>
        <w:pStyle w:val="7"/>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“货物”系指指各种形态和和种类的物品，包括原材料、燃料、设备、产品等。</w:t>
      </w:r>
    </w:p>
    <w:p w14:paraId="0C429BA4">
      <w:pPr>
        <w:pStyle w:val="7"/>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2.6“工程”系指采购文件规定成交供应商须承担的土建施工、修缮、景观建设、改造，绿化工程等。</w:t>
      </w:r>
    </w:p>
    <w:p w14:paraId="7460B58A">
      <w:pPr>
        <w:pStyle w:val="7"/>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2.7“服务”系指除货物和工程以外的其他政府采购对象。</w:t>
      </w:r>
    </w:p>
    <w:p w14:paraId="7AD9DFDB">
      <w:pPr>
        <w:pStyle w:val="7"/>
        <w:keepNext w:val="0"/>
        <w:keepLines w:val="0"/>
        <w:pageBreakBefore w:val="0"/>
        <w:kinsoku/>
        <w:wordWrap/>
        <w:overflowPunct/>
        <w:topLinePunct w:val="0"/>
        <w:autoSpaceDE/>
        <w:autoSpaceDN/>
        <w:bidi w:val="0"/>
        <w:adjustRightInd/>
        <w:spacing w:line="360" w:lineRule="auto"/>
        <w:ind w:left="0" w:leftChars="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3.合格的报价人</w:t>
      </w:r>
    </w:p>
    <w:p w14:paraId="7155977F">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凡有能力提供本采购文件所服务的，符合本采购文件规定资格要求的报价人均可能成为合格的报价人。</w:t>
      </w:r>
    </w:p>
    <w:p w14:paraId="1EA52467">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报价人具备《中华人民共和国政府采购法》第二十二条第一款规定的条件，应提供以下材料：</w:t>
      </w:r>
    </w:p>
    <w:p w14:paraId="22EA4098">
      <w:pPr>
        <w:keepNext w:val="0"/>
        <w:keepLines w:val="0"/>
        <w:pageBreakBefore w:val="0"/>
        <w:kinsoku/>
        <w:wordWrap/>
        <w:overflowPunct/>
        <w:topLinePunct w:val="0"/>
        <w:autoSpaceDE/>
        <w:autoSpaceDN/>
        <w:bidi w:val="0"/>
        <w:adjustRightInd/>
        <w:spacing w:line="360" w:lineRule="auto"/>
        <w:ind w:left="0" w:leftChars="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（1）法人或者其他组织的营业执照等证明文件，自然人的身份证明；</w:t>
      </w:r>
    </w:p>
    <w:p w14:paraId="720D21A5">
      <w:pPr>
        <w:keepNext w:val="0"/>
        <w:keepLines w:val="0"/>
        <w:pageBreakBefore w:val="0"/>
        <w:kinsoku/>
        <w:wordWrap/>
        <w:overflowPunct/>
        <w:topLinePunct w:val="0"/>
        <w:autoSpaceDE/>
        <w:autoSpaceDN/>
        <w:bidi w:val="0"/>
        <w:adjustRightInd/>
        <w:spacing w:line="360" w:lineRule="auto"/>
        <w:ind w:left="0" w:leftChars="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报价人是法人或者其他组织的应提供营业执照等证明文件，报价人是自然人的应提供有效的自然人身份证明。</w:t>
      </w:r>
    </w:p>
    <w:p w14:paraId="6093A80F">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（2）报价人已提供加载有统一社会信用代码营业执照的，视为已提供税务登记证和组织机构代码证。</w:t>
      </w:r>
    </w:p>
    <w:p w14:paraId="2CF3D9D5">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（3）按要求提供福建省</w:t>
      </w:r>
      <w:r>
        <w:rPr>
          <w:rFonts w:hint="eastAsia" w:ascii="宋体" w:hAnsi="宋体" w:eastAsia="宋体" w:cs="宋体"/>
          <w:color w:val="auto"/>
          <w:sz w:val="24"/>
          <w:szCs w:val="24"/>
          <w:highlight w:val="none"/>
        </w:rPr>
        <w:t>政府采购供应商资格承诺函</w:t>
      </w:r>
      <w:r>
        <w:rPr>
          <w:rFonts w:hint="eastAsia" w:ascii="宋体" w:hAnsi="宋体" w:eastAsia="宋体" w:cs="宋体"/>
          <w:color w:val="auto"/>
          <w:sz w:val="24"/>
          <w:szCs w:val="24"/>
          <w:highlight w:val="none"/>
          <w:lang w:eastAsia="zh-CN"/>
        </w:rPr>
        <w:t>。</w:t>
      </w:r>
    </w:p>
    <w:p w14:paraId="6E44F23C">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报价人应遵守有关法律、法规和规章的规定，同时其响应货物或服务也应符合有关法律、法规和规章的规定。</w:t>
      </w:r>
    </w:p>
    <w:p w14:paraId="657737AF">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3.3一个报价人只能提交一个报价文件。如果报价人之间存在下列互为关联关系的情形之一的，不得同时参加本项目同一合同包响应：</w:t>
      </w:r>
    </w:p>
    <w:p w14:paraId="1F8448CF">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法定代表人、单位负责人为同一人或夫妻关系的不同报价人；</w:t>
      </w:r>
    </w:p>
    <w:p w14:paraId="695D7BE3">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存在直接控股、管理关系的不同报价人；</w:t>
      </w:r>
    </w:p>
    <w:p w14:paraId="3677BA87">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均为同一家母公司直接或间接持股50％及以上的被投资公司。</w:t>
      </w:r>
    </w:p>
    <w:p w14:paraId="2FE54A78">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 报价人不得与本次磋商项下设计、编制技术规格和其他文件的公司或提供咨询服务的公司包括其附属机构有关联关系，关联关系指：(1)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14:paraId="2ECDC4F4">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3.5若接受联合体磋商，则两个或者两个以上报价人可以组成一个响应联合体，以一个报价人的身份响应。</w:t>
      </w:r>
    </w:p>
    <w:p w14:paraId="616C3133">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联合体形式参加磋商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14:paraId="565E32A5">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之间应当签订共同响应协议，明确约定联合体各方承担的工作和相应的责任，并将共同响应协议连同报价文件一并提交采购代理机构。联合体各方签订共同磋商协议后，不得再以自己名义单独在同一项目中响应，也不得组成新的联合体参加同一项目响应。</w:t>
      </w:r>
    </w:p>
    <w:p w14:paraId="42C8C3EC">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以联合体形式响应的，除本采购文件其他章节或本须知其他条款另有规定或要求外，报价文件中仅加盖联合体一方公章的相关文件，对联合体各方均具有约束力。</w:t>
      </w:r>
    </w:p>
    <w:p w14:paraId="46CF1C77">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（3）项目如涉及资质要求，该部分内容应由联合体中具有该资质要求的报价人承担。联合体协议及签订的采购合同应包含此项内容。</w:t>
      </w:r>
    </w:p>
    <w:p w14:paraId="48CA80A0">
      <w:pPr>
        <w:keepNext w:val="0"/>
        <w:keepLines w:val="0"/>
        <w:pageBreakBefore w:val="0"/>
        <w:kinsoku/>
        <w:wordWrap/>
        <w:overflowPunct/>
        <w:topLinePunct w:val="0"/>
        <w:autoSpaceDE/>
        <w:autoSpaceDN/>
        <w:bidi w:val="0"/>
        <w:adjustRightInd/>
        <w:spacing w:line="360" w:lineRule="auto"/>
        <w:ind w:left="0" w:leftChars="0"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(4)联合体中有同类资质的报价人按照联合体分工承担相同工作的，应当按照资质等级较低的报价人确定资质等级。</w:t>
      </w:r>
    </w:p>
    <w:p w14:paraId="0CB31B96">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3.6磋商代理人在同一个项目中只能接受一个报价人的委托参加磋商响应。</w:t>
      </w:r>
    </w:p>
    <w:p w14:paraId="1861C6FB">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3.7报价人存在下列情形之一的，将被认定为串通响应行为并作无效响应处理：</w:t>
      </w:r>
    </w:p>
    <w:p w14:paraId="4688C4DE">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（1）报价人之间协商磋商报价等采购文件的实质性内容；</w:t>
      </w:r>
    </w:p>
    <w:p w14:paraId="7442ED1D">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（2）报价人之间约定成交供应商；</w:t>
      </w:r>
    </w:p>
    <w:p w14:paraId="01F09ED7">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（3）报价人之间约定部分报价人放弃磋商响应或者成交；</w:t>
      </w:r>
    </w:p>
    <w:p w14:paraId="55CB8122">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（4）属于同一集团、协会、商会等组织成员的报价人按照该组织要求协同磋商响应；</w:t>
      </w:r>
    </w:p>
    <w:p w14:paraId="5C4A3E9F">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（5）报价人之间为谋取成交或者排斥特定报价人而采取的其他联合行动；</w:t>
      </w:r>
    </w:p>
    <w:p w14:paraId="22D33659">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（6）不同报价人的报价文件由同一单位或者个人编制；</w:t>
      </w:r>
    </w:p>
    <w:p w14:paraId="6D5D898A">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（7）不同报价人委托同一单位或者个人办理磋商响应事宜；</w:t>
      </w:r>
    </w:p>
    <w:p w14:paraId="3E140EDB">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（8）不同报价人的报价文件载明的项目管理成员为同一人；</w:t>
      </w:r>
    </w:p>
    <w:p w14:paraId="4AD4B5EC">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（9）不同报价人的报价文件异常一致或者报价呈规律性差异；</w:t>
      </w:r>
    </w:p>
    <w:p w14:paraId="1D8B8391">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（10）不同报价人的报价文件相互混装；</w:t>
      </w:r>
    </w:p>
    <w:p w14:paraId="27932ECB">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（11）不同报价人的磋商保证金从同一单位或者个人的账户转出。</w:t>
      </w:r>
    </w:p>
    <w:p w14:paraId="5895E25A">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（12）不同报价人的报价文件错、漏之处一致或雷同，且不能合理解释的；</w:t>
      </w:r>
    </w:p>
    <w:p w14:paraId="11E125BA">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（13）不同的报价人的法定代表人、委托代理人等由同一个单位缴纳社会保险的；</w:t>
      </w:r>
    </w:p>
    <w:p w14:paraId="59339F5E">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（14）由同一人或分别由几个有利害关系的人携带两个以上（含两个）报价人的企业资料参与资格审查、领取采购资料，或代表两个以上（含两个）报价人参加项目答疑会、交纳或退还磋商保证金、参加磋商的；</w:t>
      </w:r>
    </w:p>
    <w:p w14:paraId="0D76FA01">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（15）有关法律、法规或规章规定的其他串通行为。</w:t>
      </w:r>
    </w:p>
    <w:p w14:paraId="0122F060">
      <w:pPr>
        <w:pStyle w:val="7"/>
        <w:keepNext w:val="0"/>
        <w:keepLines w:val="0"/>
        <w:pageBreakBefore w:val="0"/>
        <w:kinsoku/>
        <w:wordWrap/>
        <w:overflowPunct/>
        <w:topLinePunct w:val="0"/>
        <w:autoSpaceDE/>
        <w:autoSpaceDN/>
        <w:bidi w:val="0"/>
        <w:adjustRightInd/>
        <w:spacing w:line="360" w:lineRule="auto"/>
        <w:ind w:left="0" w:leftChars="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4.磋商费用</w:t>
      </w:r>
    </w:p>
    <w:p w14:paraId="48D550B7">
      <w:pPr>
        <w:pStyle w:val="7"/>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报价人应承担其准备与参加磋商所涉及的一切费用。</w:t>
      </w:r>
    </w:p>
    <w:p w14:paraId="18ADB505">
      <w:pPr>
        <w:pStyle w:val="7"/>
        <w:keepNext w:val="0"/>
        <w:keepLines w:val="0"/>
        <w:pageBreakBefore w:val="0"/>
        <w:kinsoku/>
        <w:wordWrap/>
        <w:overflowPunct/>
        <w:topLinePunct w:val="0"/>
        <w:autoSpaceDE/>
        <w:autoSpaceDN/>
        <w:bidi w:val="0"/>
        <w:adjustRightInd/>
        <w:spacing w:line="360" w:lineRule="auto"/>
        <w:ind w:left="0" w:leftChars="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5.知识产权</w:t>
      </w:r>
    </w:p>
    <w:p w14:paraId="5D6E7262">
      <w:pPr>
        <w:pStyle w:val="7"/>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报价人应保证在本项目使用任何产品或其任何一部分时，不会产生因第三方提出侵犯其专利权、商标权或其它知识产权而引起的法律和经济责任。因此产生的法律和经济责任由报价人承担。</w:t>
      </w:r>
    </w:p>
    <w:p w14:paraId="4DC973D9">
      <w:pPr>
        <w:pStyle w:val="7"/>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5.2如报价人不拥有相应的知识产权，则在报价中必须包括合法获取该知识产权的相关费用。</w:t>
      </w:r>
    </w:p>
    <w:p w14:paraId="26662ECD">
      <w:pPr>
        <w:pStyle w:val="20"/>
        <w:keepNext w:val="0"/>
        <w:keepLines w:val="0"/>
        <w:pageBreakBefore w:val="0"/>
        <w:kinsoku/>
        <w:wordWrap/>
        <w:overflowPunct/>
        <w:topLinePunct w:val="0"/>
        <w:autoSpaceDE/>
        <w:autoSpaceDN/>
        <w:bidi w:val="0"/>
        <w:adjustRightInd/>
        <w:spacing w:line="360" w:lineRule="auto"/>
        <w:ind w:left="0" w:leftChars="0"/>
        <w:jc w:val="center"/>
        <w:textAlignment w:val="auto"/>
        <w:outlineLvl w:val="1"/>
        <w:rPr>
          <w:rFonts w:hint="eastAsia" w:ascii="宋体" w:hAnsi="宋体" w:eastAsia="宋体" w:cs="宋体"/>
          <w:b/>
          <w:color w:val="auto"/>
          <w:sz w:val="24"/>
          <w:szCs w:val="24"/>
          <w:highlight w:val="none"/>
        </w:rPr>
      </w:pPr>
      <w:bookmarkStart w:id="68" w:name="_Toc369789003"/>
      <w:bookmarkStart w:id="69" w:name="_Toc28730"/>
      <w:bookmarkStart w:id="70" w:name="_Toc1184"/>
      <w:bookmarkStart w:id="71" w:name="_Toc9198"/>
      <w:bookmarkStart w:id="72" w:name="_Toc2065982457"/>
      <w:bookmarkStart w:id="73" w:name="_Toc7389"/>
      <w:r>
        <w:rPr>
          <w:rFonts w:hint="eastAsia" w:ascii="宋体" w:hAnsi="宋体" w:eastAsia="宋体" w:cs="宋体"/>
          <w:b/>
          <w:color w:val="auto"/>
          <w:sz w:val="24"/>
          <w:szCs w:val="24"/>
          <w:highlight w:val="none"/>
        </w:rPr>
        <w:t>二、采购文件</w:t>
      </w:r>
      <w:bookmarkEnd w:id="68"/>
      <w:bookmarkEnd w:id="69"/>
      <w:bookmarkEnd w:id="70"/>
      <w:bookmarkEnd w:id="71"/>
      <w:bookmarkEnd w:id="72"/>
      <w:bookmarkEnd w:id="73"/>
    </w:p>
    <w:p w14:paraId="5ABA03B2">
      <w:pPr>
        <w:pStyle w:val="7"/>
        <w:keepNext w:val="0"/>
        <w:keepLines w:val="0"/>
        <w:pageBreakBefore w:val="0"/>
        <w:kinsoku/>
        <w:wordWrap/>
        <w:overflowPunct/>
        <w:topLinePunct w:val="0"/>
        <w:autoSpaceDE/>
        <w:autoSpaceDN/>
        <w:bidi w:val="0"/>
        <w:adjustRightInd/>
        <w:spacing w:line="360" w:lineRule="auto"/>
        <w:ind w:left="0" w:leftChars="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6.采购文件的组成</w:t>
      </w:r>
    </w:p>
    <w:p w14:paraId="1FA78F89">
      <w:pPr>
        <w:pStyle w:val="7"/>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6.1采购文件用以阐明所需货物及服务、磋商程序和合同格式及条款。采购文件由下述部分组成：</w:t>
      </w:r>
    </w:p>
    <w:p w14:paraId="3ADEF73B">
      <w:pPr>
        <w:pStyle w:val="7"/>
        <w:keepNext w:val="0"/>
        <w:keepLines w:val="0"/>
        <w:pageBreakBefore w:val="0"/>
        <w:kinsoku/>
        <w:wordWrap/>
        <w:overflowPunct/>
        <w:topLinePunct w:val="0"/>
        <w:autoSpaceDE/>
        <w:autoSpaceDN/>
        <w:bidi w:val="0"/>
        <w:adjustRightInd/>
        <w:spacing w:line="360" w:lineRule="auto"/>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（1）磋商邀请</w:t>
      </w:r>
    </w:p>
    <w:p w14:paraId="311F55CA">
      <w:pPr>
        <w:pStyle w:val="7"/>
        <w:keepNext w:val="0"/>
        <w:keepLines w:val="0"/>
        <w:pageBreakBefore w:val="0"/>
        <w:kinsoku/>
        <w:wordWrap/>
        <w:overflowPunct/>
        <w:topLinePunct w:val="0"/>
        <w:autoSpaceDE/>
        <w:autoSpaceDN/>
        <w:bidi w:val="0"/>
        <w:adjustRightInd/>
        <w:spacing w:line="360" w:lineRule="auto"/>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（2）报价人须知</w:t>
      </w:r>
    </w:p>
    <w:p w14:paraId="1B4D6E35">
      <w:pPr>
        <w:pStyle w:val="7"/>
        <w:keepNext w:val="0"/>
        <w:keepLines w:val="0"/>
        <w:pageBreakBefore w:val="0"/>
        <w:kinsoku/>
        <w:wordWrap/>
        <w:overflowPunct/>
        <w:topLinePunct w:val="0"/>
        <w:autoSpaceDE/>
        <w:autoSpaceDN/>
        <w:bidi w:val="0"/>
        <w:adjustRightInd/>
        <w:spacing w:line="360" w:lineRule="auto"/>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（3）采购内容及要求</w:t>
      </w:r>
    </w:p>
    <w:p w14:paraId="114517EC">
      <w:pPr>
        <w:pStyle w:val="7"/>
        <w:keepNext w:val="0"/>
        <w:keepLines w:val="0"/>
        <w:pageBreakBefore w:val="0"/>
        <w:kinsoku/>
        <w:wordWrap/>
        <w:overflowPunct/>
        <w:topLinePunct w:val="0"/>
        <w:autoSpaceDE/>
        <w:autoSpaceDN/>
        <w:bidi w:val="0"/>
        <w:adjustRightInd/>
        <w:spacing w:line="360" w:lineRule="auto"/>
        <w:ind w:left="0" w:lef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（4）</w:t>
      </w:r>
      <w:r>
        <w:rPr>
          <w:rFonts w:hint="eastAsia" w:ascii="宋体" w:hAnsi="宋体" w:eastAsia="宋体" w:cs="宋体"/>
          <w:color w:val="auto"/>
          <w:sz w:val="24"/>
          <w:szCs w:val="24"/>
          <w:highlight w:val="none"/>
          <w:lang w:eastAsia="zh-CN"/>
        </w:rPr>
        <w:t>采购合同</w:t>
      </w:r>
    </w:p>
    <w:p w14:paraId="60EE12FF">
      <w:pPr>
        <w:pStyle w:val="7"/>
        <w:keepNext w:val="0"/>
        <w:keepLines w:val="0"/>
        <w:pageBreakBefore w:val="0"/>
        <w:kinsoku/>
        <w:wordWrap/>
        <w:overflowPunct/>
        <w:topLinePunct w:val="0"/>
        <w:autoSpaceDE/>
        <w:autoSpaceDN/>
        <w:bidi w:val="0"/>
        <w:adjustRightInd/>
        <w:spacing w:line="360" w:lineRule="auto"/>
        <w:ind w:left="0" w:leftChars="0"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（5）报价文件格式</w:t>
      </w:r>
    </w:p>
    <w:p w14:paraId="6FD6F12B">
      <w:pPr>
        <w:pStyle w:val="7"/>
        <w:keepNext w:val="0"/>
        <w:keepLines w:val="0"/>
        <w:pageBreakBefore w:val="0"/>
        <w:kinsoku/>
        <w:wordWrap/>
        <w:overflowPunct/>
        <w:topLinePunct w:val="0"/>
        <w:autoSpaceDE/>
        <w:autoSpaceDN/>
        <w:bidi w:val="0"/>
        <w:adjustRightInd/>
        <w:spacing w:line="360" w:lineRule="auto"/>
        <w:ind w:left="0" w:leftChars="0"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（6）相关的补充、修改文件</w:t>
      </w:r>
    </w:p>
    <w:p w14:paraId="66578AAE">
      <w:pPr>
        <w:pStyle w:val="7"/>
        <w:keepNext w:val="0"/>
        <w:keepLines w:val="0"/>
        <w:pageBreakBefore w:val="0"/>
        <w:kinsoku/>
        <w:wordWrap/>
        <w:overflowPunct/>
        <w:topLinePunct w:val="0"/>
        <w:autoSpaceDE/>
        <w:autoSpaceDN/>
        <w:bidi w:val="0"/>
        <w:adjustRightInd/>
        <w:spacing w:line="360" w:lineRule="auto"/>
        <w:ind w:left="0" w:leftChars="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7.采购文件的澄清与修改</w:t>
      </w:r>
    </w:p>
    <w:p w14:paraId="0B0D0C34">
      <w:pPr>
        <w:pStyle w:val="4"/>
        <w:keepNext w:val="0"/>
        <w:keepLines w:val="0"/>
        <w:pageBreakBefore w:val="0"/>
        <w:kinsoku/>
        <w:wordWrap/>
        <w:overflowPunct/>
        <w:topLinePunct w:val="0"/>
        <w:autoSpaceDE/>
        <w:autoSpaceDN/>
        <w:bidi w:val="0"/>
        <w:adjustRightInd/>
        <w:snapToGrid w:val="0"/>
        <w:spacing w:line="360" w:lineRule="auto"/>
        <w:ind w:left="0" w:leftChars="0" w:firstLine="420" w:firstLineChars="175"/>
        <w:textAlignment w:val="auto"/>
        <w:outlineLvl w:val="9"/>
        <w:rPr>
          <w:rFonts w:hint="eastAsia" w:ascii="宋体" w:hAnsi="宋体" w:eastAsia="宋体" w:cs="宋体"/>
          <w:bCs/>
          <w:color w:val="auto"/>
          <w:sz w:val="24"/>
          <w:szCs w:val="24"/>
          <w:highlight w:val="none"/>
        </w:rPr>
      </w:pPr>
      <w:bookmarkStart w:id="74" w:name="_Toc20311"/>
      <w:r>
        <w:rPr>
          <w:rFonts w:hint="eastAsia" w:ascii="宋体" w:hAnsi="宋体" w:eastAsia="宋体" w:cs="宋体"/>
          <w:color w:val="auto"/>
          <w:sz w:val="24"/>
          <w:szCs w:val="24"/>
          <w:highlight w:val="none"/>
        </w:rPr>
        <w:t>7.1</w:t>
      </w:r>
      <w:r>
        <w:rPr>
          <w:rFonts w:hint="eastAsia" w:ascii="宋体" w:hAnsi="宋体" w:eastAsia="宋体" w:cs="宋体"/>
          <w:bCs/>
          <w:color w:val="auto"/>
          <w:sz w:val="24"/>
          <w:szCs w:val="24"/>
          <w:highlight w:val="none"/>
        </w:rPr>
        <w:t>至磋商响应截止时间5日（如至原定截止时间不足5日，则需延长截止时间）前，</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bCs/>
          <w:color w:val="auto"/>
          <w:sz w:val="24"/>
          <w:szCs w:val="24"/>
          <w:highlight w:val="none"/>
        </w:rPr>
        <w:t>可主动或依报价人要求澄清的问题修改采购文件，但应当</w:t>
      </w:r>
      <w:r>
        <w:rPr>
          <w:rFonts w:hint="eastAsia" w:ascii="宋体" w:hAnsi="宋体" w:eastAsia="宋体" w:cs="宋体"/>
          <w:color w:val="auto"/>
          <w:sz w:val="24"/>
          <w:szCs w:val="24"/>
          <w:highlight w:val="none"/>
        </w:rPr>
        <w:t>在原信息发布媒体上发布更正公告，</w:t>
      </w:r>
      <w:r>
        <w:rPr>
          <w:rFonts w:hint="eastAsia" w:ascii="宋体" w:hAnsi="宋体" w:eastAsia="宋体" w:cs="宋体"/>
          <w:bCs/>
          <w:color w:val="auto"/>
          <w:sz w:val="24"/>
          <w:szCs w:val="24"/>
          <w:highlight w:val="none"/>
        </w:rPr>
        <w:t>并以书面形式通知所有采购文件收受人，报价人在收到该通知后应当立即以传真形式予以确认</w:t>
      </w:r>
      <w:r>
        <w:rPr>
          <w:rFonts w:hint="eastAsia" w:ascii="宋体" w:hAnsi="宋体" w:eastAsia="宋体" w:cs="宋体"/>
          <w:color w:val="auto"/>
          <w:sz w:val="24"/>
          <w:szCs w:val="24"/>
          <w:highlight w:val="none"/>
        </w:rPr>
        <w:t>（如属网上采购项目</w:t>
      </w:r>
      <w:r>
        <w:rPr>
          <w:rFonts w:hint="eastAsia" w:ascii="宋体" w:hAnsi="宋体" w:eastAsia="宋体" w:cs="宋体"/>
          <w:bCs/>
          <w:color w:val="auto"/>
          <w:sz w:val="24"/>
          <w:szCs w:val="24"/>
          <w:highlight w:val="none"/>
        </w:rPr>
        <w:t>，在采购公告原发布媒体及实施网上采购的网站发布更正公告，不再书面答复）。</w:t>
      </w:r>
      <w:r>
        <w:rPr>
          <w:rFonts w:hint="eastAsia" w:ascii="宋体" w:hAnsi="宋体" w:eastAsia="宋体" w:cs="宋体"/>
          <w:color w:val="auto"/>
          <w:sz w:val="24"/>
          <w:szCs w:val="24"/>
          <w:highlight w:val="none"/>
        </w:rPr>
        <w:t>该修改内容为采购文件的组成部分，对报价人具有约束力。但</w:t>
      </w:r>
      <w:r>
        <w:rPr>
          <w:rFonts w:hint="eastAsia" w:ascii="宋体" w:hAnsi="宋体" w:eastAsia="宋体" w:cs="宋体"/>
          <w:bCs/>
          <w:color w:val="auto"/>
          <w:sz w:val="24"/>
          <w:szCs w:val="24"/>
          <w:highlight w:val="none"/>
        </w:rPr>
        <w:t>本采购文件第7.2条规定的推迟响应截止时间情形不受本条约束。</w:t>
      </w:r>
      <w:bookmarkEnd w:id="74"/>
    </w:p>
    <w:p w14:paraId="1E1F0656">
      <w:pPr>
        <w:pStyle w:val="4"/>
        <w:keepNext w:val="0"/>
        <w:keepLines w:val="0"/>
        <w:pageBreakBefore w:val="0"/>
        <w:kinsoku/>
        <w:wordWrap/>
        <w:overflowPunct/>
        <w:topLinePunct w:val="0"/>
        <w:autoSpaceDE/>
        <w:autoSpaceDN/>
        <w:bidi w:val="0"/>
        <w:adjustRightInd/>
        <w:snapToGrid w:val="0"/>
        <w:spacing w:line="360" w:lineRule="auto"/>
        <w:ind w:left="0" w:leftChars="0" w:firstLine="420" w:firstLineChars="175"/>
        <w:textAlignment w:val="auto"/>
        <w:outlineLvl w:val="9"/>
        <w:rPr>
          <w:rFonts w:hint="eastAsia" w:ascii="宋体" w:hAnsi="宋体" w:eastAsia="宋体" w:cs="宋体"/>
          <w:color w:val="auto"/>
          <w:sz w:val="24"/>
          <w:szCs w:val="24"/>
          <w:highlight w:val="none"/>
        </w:rPr>
      </w:pPr>
      <w:bookmarkStart w:id="75" w:name="_Toc987"/>
      <w:r>
        <w:rPr>
          <w:rFonts w:hint="eastAsia" w:ascii="宋体" w:hAnsi="宋体" w:eastAsia="宋体" w:cs="宋体"/>
          <w:color w:val="auto"/>
          <w:sz w:val="24"/>
          <w:szCs w:val="24"/>
          <w:highlight w:val="none"/>
        </w:rPr>
        <w:t>7.2为使报价人在准备报价文件时有合理的时间考虑报价文件的修改，采购代理机构可酌情推迟磋商响应截止时间，但应当至少在截止时间3个工作日前将变更时间以书面形式通知所有获取采购文件的报价人，该修改内容为采购文件的组成部分。在此情况下，采购人和报价人受磋商响应截止期制约的所有权利和义务均应延长至新的截止日期。</w:t>
      </w:r>
      <w:bookmarkEnd w:id="75"/>
    </w:p>
    <w:p w14:paraId="036E3523">
      <w:pPr>
        <w:pStyle w:val="4"/>
        <w:keepNext w:val="0"/>
        <w:keepLines w:val="0"/>
        <w:pageBreakBefore w:val="0"/>
        <w:kinsoku/>
        <w:wordWrap/>
        <w:overflowPunct/>
        <w:topLinePunct w:val="0"/>
        <w:autoSpaceDE/>
        <w:autoSpaceDN/>
        <w:bidi w:val="0"/>
        <w:adjustRightInd/>
        <w:snapToGrid w:val="0"/>
        <w:spacing w:line="360" w:lineRule="auto"/>
        <w:ind w:left="0" w:leftChars="0" w:firstLine="422" w:firstLineChars="175"/>
        <w:jc w:val="center"/>
        <w:textAlignment w:val="auto"/>
        <w:outlineLvl w:val="1"/>
        <w:rPr>
          <w:rFonts w:hint="eastAsia" w:ascii="宋体" w:hAnsi="宋体" w:eastAsia="宋体" w:cs="宋体"/>
          <w:bCs/>
          <w:color w:val="auto"/>
          <w:sz w:val="24"/>
          <w:szCs w:val="24"/>
          <w:highlight w:val="none"/>
        </w:rPr>
      </w:pPr>
      <w:bookmarkStart w:id="76" w:name="_Toc1419577992"/>
      <w:bookmarkStart w:id="77" w:name="_Toc1503553594"/>
      <w:bookmarkStart w:id="78" w:name="_Toc15542"/>
      <w:bookmarkStart w:id="79" w:name="_Toc14137"/>
      <w:bookmarkStart w:id="80" w:name="_Toc23081"/>
      <w:bookmarkStart w:id="81" w:name="_Toc19708"/>
      <w:r>
        <w:rPr>
          <w:rFonts w:hint="eastAsia" w:ascii="宋体" w:hAnsi="宋体" w:eastAsia="宋体" w:cs="宋体"/>
          <w:b/>
          <w:color w:val="auto"/>
          <w:sz w:val="24"/>
          <w:szCs w:val="24"/>
          <w:highlight w:val="none"/>
        </w:rPr>
        <w:t>三、报价文件的编写</w:t>
      </w:r>
      <w:bookmarkEnd w:id="76"/>
      <w:bookmarkEnd w:id="77"/>
      <w:bookmarkEnd w:id="78"/>
      <w:bookmarkEnd w:id="79"/>
      <w:bookmarkEnd w:id="80"/>
      <w:bookmarkEnd w:id="81"/>
    </w:p>
    <w:p w14:paraId="56981EAE">
      <w:pPr>
        <w:pStyle w:val="7"/>
        <w:keepNext w:val="0"/>
        <w:keepLines w:val="0"/>
        <w:pageBreakBefore w:val="0"/>
        <w:kinsoku/>
        <w:wordWrap/>
        <w:overflowPunct/>
        <w:topLinePunct w:val="0"/>
        <w:autoSpaceDE/>
        <w:autoSpaceDN/>
        <w:bidi w:val="0"/>
        <w:adjustRightInd/>
        <w:spacing w:line="360" w:lineRule="auto"/>
        <w:ind w:left="0" w:leftChars="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8.要求</w:t>
      </w:r>
    </w:p>
    <w:p w14:paraId="6B7FFAF8">
      <w:pPr>
        <w:pStyle w:val="7"/>
        <w:keepNext w:val="0"/>
        <w:keepLines w:val="0"/>
        <w:pageBreakBefore w:val="0"/>
        <w:kinsoku/>
        <w:wordWrap/>
        <w:overflowPunct/>
        <w:topLinePunct w:val="0"/>
        <w:autoSpaceDE/>
        <w:autoSpaceDN/>
        <w:bidi w:val="0"/>
        <w:adjustRightInd/>
        <w:spacing w:line="360" w:lineRule="auto"/>
        <w:ind w:left="0" w:leftChars="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8.1报价人应仔细阅读采购文件的所有内容，按采购文件的要求提供报价文件，报价文件应对采购文件的要求作出实质性响应，并保证所提供的全部资料的真实性，否则其报价文件可被作响应无效处理。</w:t>
      </w:r>
    </w:p>
    <w:p w14:paraId="2C9D068D">
      <w:pPr>
        <w:pStyle w:val="7"/>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8.2除非有另外的规定，报价人应按被邀请参加响应的合同包进行报价，同时，应对所报价合同包下的所有品目号进行报价。采购人不接受有任何可选择性的报价，每一种货物、服务、工程只能有一个报价。</w:t>
      </w:r>
    </w:p>
    <w:p w14:paraId="600D851A">
      <w:pPr>
        <w:pStyle w:val="7"/>
        <w:keepNext w:val="0"/>
        <w:keepLines w:val="0"/>
        <w:pageBreakBefore w:val="0"/>
        <w:kinsoku/>
        <w:wordWrap/>
        <w:overflowPunct/>
        <w:topLinePunct w:val="0"/>
        <w:autoSpaceDE/>
        <w:autoSpaceDN/>
        <w:bidi w:val="0"/>
        <w:adjustRightInd/>
        <w:spacing w:line="360" w:lineRule="auto"/>
        <w:ind w:left="0" w:leftChars="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9.报价文件语言及报价要求</w:t>
      </w:r>
    </w:p>
    <w:p w14:paraId="39D94965">
      <w:pPr>
        <w:pStyle w:val="7"/>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9.1报价文件应用中文书写。报价文件中所附或所引用的原件不是中文时，应附中文译文。各种计量单位及符号应采用国际上统一使用的公制计量单位和符号。</w:t>
      </w:r>
    </w:p>
    <w:p w14:paraId="463007A9">
      <w:pPr>
        <w:pStyle w:val="7"/>
        <w:keepNext w:val="0"/>
        <w:keepLines w:val="0"/>
        <w:pageBreakBefore w:val="0"/>
        <w:kinsoku/>
        <w:wordWrap/>
        <w:overflowPunct/>
        <w:topLinePunct w:val="0"/>
        <w:autoSpaceDE/>
        <w:autoSpaceDN/>
        <w:bidi w:val="0"/>
        <w:adjustRightInd/>
        <w:spacing w:line="360" w:lineRule="auto"/>
        <w:ind w:left="0" w:leftChars="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10.报价文件的组成</w:t>
      </w:r>
    </w:p>
    <w:p w14:paraId="4762EE86">
      <w:pPr>
        <w:pStyle w:val="7"/>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10.1报价文件应包括下列部分：</w:t>
      </w:r>
    </w:p>
    <w:p w14:paraId="19B35A89">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磋商响应声明函</w:t>
      </w:r>
    </w:p>
    <w:p w14:paraId="73A5B2F8">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default" w:ascii="宋体" w:hAnsi="宋体" w:cs="宋体"/>
          <w:color w:val="auto"/>
          <w:sz w:val="24"/>
          <w:szCs w:val="24"/>
          <w:highlight w:val="none"/>
        </w:rPr>
        <w:t xml:space="preserve"> </w:t>
      </w:r>
      <w:r>
        <w:rPr>
          <w:rFonts w:hint="eastAsia" w:ascii="宋体" w:hAnsi="宋体" w:eastAsia="宋体" w:cs="宋体"/>
          <w:color w:val="auto"/>
          <w:sz w:val="24"/>
          <w:szCs w:val="24"/>
          <w:highlight w:val="none"/>
        </w:rPr>
        <w:t>报价一览表</w:t>
      </w:r>
    </w:p>
    <w:p w14:paraId="629578CC">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default" w:ascii="宋体" w:hAnsi="宋体" w:cs="宋体"/>
          <w:color w:val="auto"/>
          <w:sz w:val="24"/>
          <w:szCs w:val="24"/>
          <w:highlight w:val="none"/>
        </w:rPr>
        <w:t xml:space="preserve"> </w:t>
      </w:r>
      <w:r>
        <w:rPr>
          <w:rFonts w:hint="eastAsia" w:ascii="宋体" w:hAnsi="宋体" w:eastAsia="宋体" w:cs="宋体"/>
          <w:color w:val="auto"/>
          <w:sz w:val="24"/>
          <w:szCs w:val="24"/>
          <w:highlight w:val="none"/>
        </w:rPr>
        <w:t>磋商分项报价表</w:t>
      </w:r>
    </w:p>
    <w:p w14:paraId="52141020">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项目说明一览表</w:t>
      </w:r>
    </w:p>
    <w:p w14:paraId="729FB14E">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范围清单</w:t>
      </w:r>
    </w:p>
    <w:p w14:paraId="04B7B359">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技术规格和商务偏离表</w:t>
      </w:r>
    </w:p>
    <w:p w14:paraId="60F61603">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报价人资格证明文件</w:t>
      </w:r>
    </w:p>
    <w:p w14:paraId="32AE5966">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 </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14:paraId="4A7DFB29">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磋商保证金</w:t>
      </w:r>
    </w:p>
    <w:p w14:paraId="33272C26">
      <w:pPr>
        <w:keepNext w:val="0"/>
        <w:keepLines w:val="0"/>
        <w:pageBreakBefore w:val="0"/>
        <w:kinsoku/>
        <w:wordWrap/>
        <w:overflowPunct/>
        <w:topLinePunct w:val="0"/>
        <w:autoSpaceDE/>
        <w:autoSpaceDN/>
        <w:bidi w:val="0"/>
        <w:adjustRightInd/>
        <w:spacing w:line="360" w:lineRule="auto"/>
        <w:ind w:left="0" w:leftChars="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）报价人应交的其他资料</w:t>
      </w:r>
    </w:p>
    <w:p w14:paraId="634C3225">
      <w:pPr>
        <w:pStyle w:val="7"/>
        <w:keepNext w:val="0"/>
        <w:keepLines w:val="0"/>
        <w:pageBreakBefore w:val="0"/>
        <w:kinsoku/>
        <w:wordWrap/>
        <w:overflowPunct/>
        <w:topLinePunct w:val="0"/>
        <w:autoSpaceDE/>
        <w:autoSpaceDN/>
        <w:bidi w:val="0"/>
        <w:adjustRightInd/>
        <w:spacing w:line="360" w:lineRule="auto"/>
        <w:ind w:left="0" w:leftChars="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w:t>
      </w:r>
      <w:r>
        <w:rPr>
          <w:rFonts w:hint="eastAsia" w:ascii="宋体" w:hAnsi="宋体" w:eastAsia="宋体" w:cs="宋体"/>
          <w:b/>
          <w:color w:val="auto"/>
          <w:sz w:val="24"/>
          <w:szCs w:val="24"/>
          <w:highlight w:val="none"/>
          <w:lang w:eastAsia="zh-CN"/>
        </w:rPr>
        <w:t>报价</w:t>
      </w:r>
      <w:r>
        <w:rPr>
          <w:rFonts w:hint="eastAsia" w:ascii="宋体" w:hAnsi="宋体" w:eastAsia="宋体" w:cs="宋体"/>
          <w:b/>
          <w:color w:val="auto"/>
          <w:sz w:val="24"/>
          <w:szCs w:val="24"/>
          <w:highlight w:val="none"/>
        </w:rPr>
        <w:t>有效期</w:t>
      </w:r>
    </w:p>
    <w:p w14:paraId="2C2DD2FD">
      <w:pPr>
        <w:pStyle w:val="7"/>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11.1报价文件从</w:t>
      </w:r>
      <w:r>
        <w:rPr>
          <w:rFonts w:hint="eastAsia" w:ascii="宋体" w:hAnsi="宋体" w:eastAsia="宋体" w:cs="宋体"/>
          <w:bCs/>
          <w:color w:val="auto"/>
          <w:sz w:val="24"/>
          <w:szCs w:val="24"/>
          <w:highlight w:val="none"/>
        </w:rPr>
        <w:t>报价人须知前附表1</w:t>
      </w:r>
      <w:r>
        <w:rPr>
          <w:rFonts w:hint="eastAsia" w:ascii="宋体" w:hAnsi="宋体" w:eastAsia="宋体" w:cs="宋体"/>
          <w:color w:val="auto"/>
          <w:sz w:val="24"/>
          <w:szCs w:val="24"/>
          <w:highlight w:val="none"/>
        </w:rPr>
        <w:t>所规定的磋商响应截止期之日开始生效，在</w:t>
      </w:r>
      <w:r>
        <w:rPr>
          <w:rFonts w:hint="eastAsia" w:ascii="宋体" w:hAnsi="宋体" w:eastAsia="宋体" w:cs="宋体"/>
          <w:bCs/>
          <w:color w:val="auto"/>
          <w:sz w:val="24"/>
          <w:szCs w:val="24"/>
          <w:highlight w:val="none"/>
        </w:rPr>
        <w:t>报价人须知前附表</w:t>
      </w:r>
      <w:r>
        <w:rPr>
          <w:rFonts w:hint="eastAsia" w:ascii="宋体" w:hAnsi="宋体" w:eastAsia="宋体" w:cs="宋体"/>
          <w:color w:val="auto"/>
          <w:sz w:val="24"/>
          <w:szCs w:val="24"/>
          <w:highlight w:val="none"/>
        </w:rPr>
        <w:t>所规定的期限内保持有效。有效期不足将导致其报价文件被拒绝。</w:t>
      </w:r>
    </w:p>
    <w:p w14:paraId="4521821D">
      <w:pPr>
        <w:pStyle w:val="7"/>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11.2特殊情况下采购代理机构可于磋商有效期满之前书面要求报价人同意延长有效期，报价人应在采购代理机构规定的期限内以书面形式予以答复。报价人可以拒绝上述要求而其磋商保证金可按规定予以退还。报价人答复不明确或者逾期未答复的，均视为拒绝上述要求。对于接受该要求的报价人，既不要求也不允许其修改报价文件，但将要求其相应延长磋商保证金有效期，有关退还和不予退还磋商保证金的规定在报价有效期延长期内继续有效。      </w:t>
      </w:r>
    </w:p>
    <w:p w14:paraId="008B2222">
      <w:pPr>
        <w:pStyle w:val="7"/>
        <w:keepNext w:val="0"/>
        <w:keepLines w:val="0"/>
        <w:pageBreakBefore w:val="0"/>
        <w:kinsoku/>
        <w:wordWrap/>
        <w:overflowPunct/>
        <w:topLinePunct w:val="0"/>
        <w:autoSpaceDE/>
        <w:autoSpaceDN/>
        <w:bidi w:val="0"/>
        <w:adjustRightInd/>
        <w:spacing w:line="360" w:lineRule="auto"/>
        <w:ind w:left="0" w:leftChars="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12.磋商保证金</w:t>
      </w:r>
    </w:p>
    <w:p w14:paraId="73A62DCA">
      <w:pPr>
        <w:pStyle w:val="7"/>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磋商保证金为报价文件的组成部分之一。</w:t>
      </w:r>
    </w:p>
    <w:p w14:paraId="3079E4A2">
      <w:pPr>
        <w:keepNext w:val="0"/>
        <w:keepLines w:val="0"/>
        <w:pageBreakBefore w:val="0"/>
        <w:kinsoku/>
        <w:wordWrap/>
        <w:overflowPunct/>
        <w:topLinePunct w:val="0"/>
        <w:autoSpaceDE/>
        <w:autoSpaceDN/>
        <w:bidi w:val="0"/>
        <w:adjustRightInd/>
        <w:spacing w:line="360" w:lineRule="auto"/>
        <w:ind w:left="0" w:leftChars="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报价人应在提交报价文件之前向采购代理机构指定的保证金专户缴交报价人须知前附表要求的磋商保证金。联合体参加磋商的，可以由联合体中的一方或者共同提交磋商保证金，以一方名义提交磋商保证金的，对联合体各方均具有约束力。</w:t>
      </w:r>
    </w:p>
    <w:p w14:paraId="1BFBF63F">
      <w:pPr>
        <w:pStyle w:val="7"/>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磋商保证金用于保护本次磋商活动免受报价人的行为而引起的风险。</w:t>
      </w:r>
    </w:p>
    <w:p w14:paraId="594B4632">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12.4磋商保证金交纳方式及其它：</w:t>
      </w:r>
    </w:p>
    <w:p w14:paraId="417607ED">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磋商保证金以支票、汇票、本票或金融机构、担保机构出具的保函等非现金形式提交：且应在磋商响应截止时间前到账（不收取现金、现金支票；不能用个人卡在银联支付系统转账，否则视为未提交磋商保证金；磋商保证金到账以到截止时间时保证金系统显示为标准，未显示到账的一律视为未提交磋商保证金）。</w:t>
      </w:r>
    </w:p>
    <w:p w14:paraId="5A1EB591">
      <w:pPr>
        <w:pStyle w:val="7"/>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②若项目存在分包的，则磋商保证金应按不同的合同包号分别提交。</w:t>
      </w:r>
    </w:p>
    <w:p w14:paraId="26B590EC">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③报价人为中小企业的，其磋商保证金减半交纳。减半交纳磋商保证金的报价人未按照采购文件格式要求在报价文件中提供《中小企业声明函》的，其磋商响应作无效响应处理。</w:t>
      </w:r>
    </w:p>
    <w:p w14:paraId="01E6138E">
      <w:pPr>
        <w:pStyle w:val="7"/>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 未按要求提交磋商保证金的磋商响应，将被视为无效响应。</w:t>
      </w:r>
    </w:p>
    <w:p w14:paraId="6A7F5149">
      <w:pPr>
        <w:pStyle w:val="7"/>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 采购代理机构将在成交通知书发出之日起5个工作日内予以原额无息退还未成交供应商的磋商保证金。</w:t>
      </w:r>
    </w:p>
    <w:p w14:paraId="5D099DAC">
      <w:pPr>
        <w:pStyle w:val="7"/>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12.7在成交供应商支付所有</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并签订合同后5个工作日内，采购代理机构对成交供应商的磋商保证金予以原额无息退还。</w:t>
      </w:r>
    </w:p>
    <w:p w14:paraId="3AABE3A1">
      <w:pPr>
        <w:pStyle w:val="7"/>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12.8磋商保证金产生的银行利息统一上缴。</w:t>
      </w:r>
    </w:p>
    <w:p w14:paraId="556E8B65">
      <w:pPr>
        <w:pStyle w:val="7"/>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12.9 发生以下情况之一的，磋商保证金将不予退还，由采购代理机构上缴财政部门：</w:t>
      </w:r>
    </w:p>
    <w:p w14:paraId="7C0D7179">
      <w:pPr>
        <w:pStyle w:val="7"/>
        <w:keepNext w:val="0"/>
        <w:keepLines w:val="0"/>
        <w:pageBreakBefore w:val="0"/>
        <w:kinsoku/>
        <w:wordWrap/>
        <w:overflowPunct/>
        <w:topLinePunct w:val="0"/>
        <w:autoSpaceDE/>
        <w:autoSpaceDN/>
        <w:bidi w:val="0"/>
        <w:adjustRightInd/>
        <w:spacing w:line="360" w:lineRule="auto"/>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（1）报价人在提交最后报价后，撤回磋商响应；</w:t>
      </w:r>
    </w:p>
    <w:p w14:paraId="2A52DD10">
      <w:pPr>
        <w:pStyle w:val="7"/>
        <w:keepNext w:val="0"/>
        <w:keepLines w:val="0"/>
        <w:pageBreakBefore w:val="0"/>
        <w:kinsoku/>
        <w:wordWrap/>
        <w:overflowPunct/>
        <w:topLinePunct w:val="0"/>
        <w:autoSpaceDE/>
        <w:autoSpaceDN/>
        <w:bidi w:val="0"/>
        <w:adjustRightInd/>
        <w:spacing w:line="360" w:lineRule="auto"/>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（2）除因不可抗力或采购文件认可的情形外，成交供应商未能做到按本须知规定签订合同的；</w:t>
      </w:r>
    </w:p>
    <w:p w14:paraId="0D568919">
      <w:pPr>
        <w:pStyle w:val="7"/>
        <w:keepNext w:val="0"/>
        <w:keepLines w:val="0"/>
        <w:pageBreakBefore w:val="0"/>
        <w:kinsoku/>
        <w:wordWrap/>
        <w:overflowPunct/>
        <w:topLinePunct w:val="0"/>
        <w:autoSpaceDE/>
        <w:autoSpaceDN/>
        <w:bidi w:val="0"/>
        <w:adjustRightInd/>
        <w:spacing w:line="360" w:lineRule="auto"/>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（3）成交供应商未按本须知规定缴纳</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w:t>
      </w:r>
    </w:p>
    <w:p w14:paraId="1AA76E18">
      <w:pPr>
        <w:pStyle w:val="7"/>
        <w:keepNext w:val="0"/>
        <w:keepLines w:val="0"/>
        <w:pageBreakBefore w:val="0"/>
        <w:kinsoku/>
        <w:wordWrap/>
        <w:overflowPunct/>
        <w:topLinePunct w:val="0"/>
        <w:autoSpaceDE/>
        <w:autoSpaceDN/>
        <w:bidi w:val="0"/>
        <w:adjustRightInd/>
        <w:spacing w:line="360" w:lineRule="auto"/>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（4）以他人名义参与磋商响应或者以其他方式弄虚作假，骗取成交的；</w:t>
      </w:r>
    </w:p>
    <w:p w14:paraId="1452B9E1">
      <w:pPr>
        <w:pStyle w:val="7"/>
        <w:keepNext w:val="0"/>
        <w:keepLines w:val="0"/>
        <w:pageBreakBefore w:val="0"/>
        <w:kinsoku/>
        <w:wordWrap/>
        <w:overflowPunct/>
        <w:topLinePunct w:val="0"/>
        <w:autoSpaceDE/>
        <w:autoSpaceDN/>
        <w:bidi w:val="0"/>
        <w:adjustRightInd/>
        <w:spacing w:line="360" w:lineRule="auto"/>
        <w:ind w:left="0" w:leftChars="0"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（5）报价人在报价文件中提供虚假材料的；</w:t>
      </w:r>
    </w:p>
    <w:p w14:paraId="766C3108">
      <w:pPr>
        <w:pStyle w:val="7"/>
        <w:keepNext w:val="0"/>
        <w:keepLines w:val="0"/>
        <w:pageBreakBefore w:val="0"/>
        <w:kinsoku/>
        <w:wordWrap/>
        <w:overflowPunct/>
        <w:topLinePunct w:val="0"/>
        <w:autoSpaceDE/>
        <w:autoSpaceDN/>
        <w:bidi w:val="0"/>
        <w:adjustRightInd/>
        <w:spacing w:line="360" w:lineRule="auto"/>
        <w:ind w:left="0" w:leftChars="0"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（6）在禁止参加政府采购活动的处罚期内，仍参加政府采购活动的；</w:t>
      </w:r>
    </w:p>
    <w:p w14:paraId="178D118E">
      <w:pPr>
        <w:pStyle w:val="7"/>
        <w:keepNext w:val="0"/>
        <w:keepLines w:val="0"/>
        <w:pageBreakBefore w:val="0"/>
        <w:kinsoku/>
        <w:wordWrap/>
        <w:overflowPunct/>
        <w:topLinePunct w:val="0"/>
        <w:autoSpaceDE/>
        <w:autoSpaceDN/>
        <w:bidi w:val="0"/>
        <w:adjustRightInd/>
        <w:spacing w:line="360" w:lineRule="auto"/>
        <w:ind w:left="0" w:leftChars="0"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（7）以不正当手段诋毁、排挤其他报价人的；</w:t>
      </w:r>
    </w:p>
    <w:p w14:paraId="148DB7AC">
      <w:pPr>
        <w:pStyle w:val="7"/>
        <w:keepNext w:val="0"/>
        <w:keepLines w:val="0"/>
        <w:pageBreakBefore w:val="0"/>
        <w:kinsoku/>
        <w:wordWrap/>
        <w:overflowPunct/>
        <w:topLinePunct w:val="0"/>
        <w:autoSpaceDE/>
        <w:autoSpaceDN/>
        <w:bidi w:val="0"/>
        <w:adjustRightInd/>
        <w:spacing w:line="360" w:lineRule="auto"/>
        <w:ind w:left="0" w:leftChars="0"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（8）因本项目政府采购过程中的违法行为，受到行政处罚的；</w:t>
      </w:r>
    </w:p>
    <w:p w14:paraId="00238316">
      <w:pPr>
        <w:pStyle w:val="7"/>
        <w:keepNext w:val="0"/>
        <w:keepLines w:val="0"/>
        <w:pageBreakBefore w:val="0"/>
        <w:kinsoku/>
        <w:wordWrap/>
        <w:overflowPunct/>
        <w:topLinePunct w:val="0"/>
        <w:autoSpaceDE/>
        <w:autoSpaceDN/>
        <w:bidi w:val="0"/>
        <w:adjustRightInd/>
        <w:spacing w:line="360" w:lineRule="auto"/>
        <w:ind w:left="0" w:leftChars="0"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（9）与采购人、其他报价人或者采购代理机构恶意串通的；</w:t>
      </w:r>
    </w:p>
    <w:p w14:paraId="4A904FF8">
      <w:pPr>
        <w:pStyle w:val="7"/>
        <w:keepNext w:val="0"/>
        <w:keepLines w:val="0"/>
        <w:pageBreakBefore w:val="0"/>
        <w:kinsoku/>
        <w:wordWrap/>
        <w:overflowPunct/>
        <w:topLinePunct w:val="0"/>
        <w:autoSpaceDE/>
        <w:autoSpaceDN/>
        <w:bidi w:val="0"/>
        <w:adjustRightInd/>
        <w:spacing w:line="360" w:lineRule="auto"/>
        <w:ind w:left="0" w:leftChars="0"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（10）法律、法规、规章及本采购文件中规定的其他没收磋商保证金的情形。</w:t>
      </w:r>
    </w:p>
    <w:p w14:paraId="00DEB3A8">
      <w:pPr>
        <w:pStyle w:val="7"/>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上述不予退还磋商保证金的情形给采购单位造成损失的，相关责任人还应当承担赔偿责任。</w:t>
      </w:r>
    </w:p>
    <w:p w14:paraId="57A67680">
      <w:pPr>
        <w:pStyle w:val="7"/>
        <w:keepNext w:val="0"/>
        <w:keepLines w:val="0"/>
        <w:pageBreakBefore w:val="0"/>
        <w:kinsoku/>
        <w:wordWrap/>
        <w:overflowPunct/>
        <w:topLinePunct w:val="0"/>
        <w:autoSpaceDE/>
        <w:autoSpaceDN/>
        <w:bidi w:val="0"/>
        <w:adjustRightInd/>
        <w:spacing w:line="360" w:lineRule="auto"/>
        <w:ind w:left="0" w:leftChars="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13.报价文件的格式</w:t>
      </w:r>
    </w:p>
    <w:p w14:paraId="6200093D">
      <w:pPr>
        <w:pStyle w:val="7"/>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13.1报价人须编制由本须知第10条规定文件组成的报价文件正本一份，副本</w:t>
      </w:r>
      <w:r>
        <w:rPr>
          <w:rFonts w:hint="eastAsia" w:ascii="宋体" w:hAnsi="宋体" w:eastAsia="宋体" w:cs="宋体"/>
          <w:color w:val="auto"/>
          <w:sz w:val="24"/>
          <w:szCs w:val="24"/>
          <w:highlight w:val="none"/>
          <w:u w:val="single"/>
          <w:lang w:eastAsia="zh-CN"/>
        </w:rPr>
        <w:t>四</w:t>
      </w:r>
      <w:r>
        <w:rPr>
          <w:rFonts w:hint="eastAsia" w:ascii="宋体" w:hAnsi="宋体" w:eastAsia="宋体" w:cs="宋体"/>
          <w:color w:val="auto"/>
          <w:sz w:val="24"/>
          <w:szCs w:val="24"/>
          <w:highlight w:val="none"/>
        </w:rPr>
        <w:t>份，正本用A4等标准幅面纸张打印装订，副本可使用正本的完整复印件，并在封面注明“正本”、“副本”字样。正本与副本如有不一致的，以正本为准。</w:t>
      </w:r>
    </w:p>
    <w:p w14:paraId="5AC11C2E">
      <w:pPr>
        <w:pStyle w:val="7"/>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13.2报价文件应由报价人的法定代表人或授权代表签字并加盖公章，如由后者签字，应提供“单位授权委托书”。</w:t>
      </w:r>
    </w:p>
    <w:p w14:paraId="328FFC7A">
      <w:pPr>
        <w:pStyle w:val="7"/>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13.3除非另有规定或许可，磋商响应使用货币为人民币。</w:t>
      </w:r>
    </w:p>
    <w:p w14:paraId="27BAF715">
      <w:pPr>
        <w:pStyle w:val="7"/>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13.4报价人应提交证明</w:t>
      </w:r>
      <w:r>
        <w:rPr>
          <w:rFonts w:hint="eastAsia" w:ascii="宋体" w:hAnsi="宋体" w:eastAsia="宋体" w:cs="宋体"/>
          <w:color w:val="auto"/>
          <w:sz w:val="24"/>
          <w:szCs w:val="24"/>
          <w:highlight w:val="none"/>
          <w:lang w:eastAsia="zh-CN"/>
        </w:rPr>
        <w:t>其拟提供</w:t>
      </w:r>
      <w:r>
        <w:rPr>
          <w:rFonts w:hint="eastAsia" w:ascii="宋体" w:hAnsi="宋体" w:eastAsia="宋体" w:cs="宋体"/>
          <w:color w:val="auto"/>
          <w:sz w:val="24"/>
          <w:szCs w:val="24"/>
          <w:highlight w:val="none"/>
        </w:rPr>
        <w:t>货物、服务、工程符合采购文件要求的技术报价文件，该文件可以是文字资料、图纸和数据，并须提供货物、服务、工程主要技术性能的详细描述。</w:t>
      </w:r>
    </w:p>
    <w:p w14:paraId="29F5182B">
      <w:pPr>
        <w:pStyle w:val="7"/>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13.5采购文件的正本和全部副本均应使用不能擦去的墨料或墨水打印、书写或复印，并由法定代表人或其授权代表签署，盖报价人公章。</w:t>
      </w:r>
    </w:p>
    <w:p w14:paraId="73DB5E60">
      <w:pPr>
        <w:pStyle w:val="20"/>
        <w:keepNext w:val="0"/>
        <w:keepLines w:val="0"/>
        <w:pageBreakBefore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bookmarkStart w:id="82" w:name="_Toc1222505527"/>
      <w:bookmarkStart w:id="83" w:name="_Toc309559375"/>
      <w:r>
        <w:rPr>
          <w:rFonts w:hint="eastAsia" w:ascii="宋体" w:hAnsi="宋体" w:eastAsia="宋体" w:cs="宋体"/>
          <w:color w:val="auto"/>
          <w:sz w:val="24"/>
          <w:szCs w:val="24"/>
          <w:highlight w:val="none"/>
        </w:rPr>
        <w:t>13.6 全套报价文件应无涂改和行间插字，除非这些改动是根据采购代理机构的指示进行的，或者是为改正报价人造成的必须修改的错误而进行的。有改动时，修改处应由法定代表人或授权代表签字证明或加盖报价人公章。</w:t>
      </w:r>
      <w:bookmarkEnd w:id="82"/>
      <w:bookmarkEnd w:id="83"/>
    </w:p>
    <w:p w14:paraId="6F9A7ABF">
      <w:pPr>
        <w:pStyle w:val="20"/>
        <w:keepNext w:val="0"/>
        <w:keepLines w:val="0"/>
        <w:pageBreakBefore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bookmarkStart w:id="84" w:name="_Toc1416695038"/>
      <w:bookmarkStart w:id="85" w:name="_Toc1445184813"/>
      <w:r>
        <w:rPr>
          <w:rFonts w:hint="eastAsia" w:ascii="宋体" w:hAnsi="宋体" w:eastAsia="宋体" w:cs="宋体"/>
          <w:color w:val="auto"/>
          <w:sz w:val="24"/>
          <w:szCs w:val="24"/>
          <w:highlight w:val="none"/>
        </w:rPr>
        <w:t>13.7未按本须知规定的格式填写报价文件、报价文件字迹模糊不清的，其磋商响应将被拒绝。</w:t>
      </w:r>
      <w:bookmarkEnd w:id="84"/>
      <w:bookmarkEnd w:id="85"/>
    </w:p>
    <w:p w14:paraId="17295A78">
      <w:pPr>
        <w:pStyle w:val="20"/>
        <w:keepNext w:val="0"/>
        <w:keepLines w:val="0"/>
        <w:pageBreakBefore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bookmarkStart w:id="86" w:name="_Toc333522229"/>
      <w:bookmarkStart w:id="87" w:name="_Toc36469335"/>
      <w:r>
        <w:rPr>
          <w:rFonts w:hint="eastAsia" w:ascii="宋体" w:hAnsi="宋体" w:eastAsia="宋体" w:cs="宋体"/>
          <w:color w:val="auto"/>
          <w:sz w:val="24"/>
          <w:szCs w:val="24"/>
          <w:highlight w:val="none"/>
        </w:rPr>
        <w:t>13.8 所有资格证明文件复印件须加盖报价人公章。</w:t>
      </w:r>
      <w:bookmarkEnd w:id="86"/>
      <w:bookmarkEnd w:id="87"/>
    </w:p>
    <w:p w14:paraId="1B40D21E">
      <w:pPr>
        <w:pStyle w:val="20"/>
        <w:keepNext w:val="0"/>
        <w:keepLines w:val="0"/>
        <w:pageBreakBefore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bookmarkStart w:id="88" w:name="_Toc1036799896"/>
      <w:bookmarkStart w:id="89" w:name="_Toc523148341"/>
      <w:r>
        <w:rPr>
          <w:rFonts w:hint="eastAsia" w:ascii="宋体" w:hAnsi="宋体" w:eastAsia="宋体" w:cs="宋体"/>
          <w:color w:val="auto"/>
          <w:sz w:val="24"/>
          <w:szCs w:val="24"/>
          <w:highlight w:val="none"/>
        </w:rPr>
        <w:t>13.9报价人应将上述文件按顺序装订成册、打印页码，并编列报价文件目录、资料清单，由于装订不规范或编排顺序混乱而导致报价文件被误读或漏读，该磋商响应可能被视为无效响应或承担不利的评审结果。</w:t>
      </w:r>
      <w:bookmarkEnd w:id="88"/>
      <w:bookmarkEnd w:id="89"/>
    </w:p>
    <w:p w14:paraId="25697CA6">
      <w:pPr>
        <w:pStyle w:val="20"/>
        <w:keepNext w:val="0"/>
        <w:keepLines w:val="0"/>
        <w:pageBreakBefore w:val="0"/>
        <w:kinsoku/>
        <w:wordWrap/>
        <w:overflowPunct/>
        <w:topLinePunct w:val="0"/>
        <w:autoSpaceDE/>
        <w:autoSpaceDN/>
        <w:bidi w:val="0"/>
        <w:adjustRightInd/>
        <w:spacing w:line="360" w:lineRule="auto"/>
        <w:ind w:left="0" w:leftChars="0" w:firstLine="482" w:firstLineChars="200"/>
        <w:jc w:val="center"/>
        <w:textAlignment w:val="auto"/>
        <w:outlineLvl w:val="1"/>
        <w:rPr>
          <w:rFonts w:hint="eastAsia" w:ascii="宋体" w:hAnsi="宋体" w:eastAsia="宋体" w:cs="宋体"/>
          <w:b/>
          <w:color w:val="auto"/>
          <w:sz w:val="24"/>
          <w:szCs w:val="24"/>
          <w:highlight w:val="none"/>
        </w:rPr>
      </w:pPr>
      <w:bookmarkStart w:id="90" w:name="_Toc1304352681"/>
      <w:bookmarkStart w:id="91" w:name="_Toc14914"/>
      <w:bookmarkStart w:id="92" w:name="_Toc13871"/>
      <w:bookmarkStart w:id="93" w:name="_Toc11865"/>
      <w:bookmarkStart w:id="94" w:name="_Toc13474"/>
      <w:bookmarkStart w:id="95" w:name="_Toc1039298966"/>
      <w:r>
        <w:rPr>
          <w:rFonts w:hint="eastAsia" w:ascii="宋体" w:hAnsi="宋体" w:eastAsia="宋体" w:cs="宋体"/>
          <w:b/>
          <w:color w:val="auto"/>
          <w:sz w:val="24"/>
          <w:szCs w:val="24"/>
          <w:highlight w:val="none"/>
        </w:rPr>
        <w:t>四、报价文件的提交</w:t>
      </w:r>
      <w:bookmarkEnd w:id="90"/>
      <w:bookmarkEnd w:id="91"/>
      <w:bookmarkEnd w:id="92"/>
      <w:bookmarkEnd w:id="93"/>
      <w:bookmarkEnd w:id="94"/>
      <w:bookmarkEnd w:id="95"/>
    </w:p>
    <w:p w14:paraId="037922EF">
      <w:pPr>
        <w:pStyle w:val="20"/>
        <w:keepNext w:val="0"/>
        <w:keepLines w:val="0"/>
        <w:pageBreakBefore w:val="0"/>
        <w:kinsoku/>
        <w:wordWrap/>
        <w:overflowPunct/>
        <w:topLinePunct w:val="0"/>
        <w:autoSpaceDE/>
        <w:autoSpaceDN/>
        <w:bidi w:val="0"/>
        <w:adjustRightInd/>
        <w:spacing w:line="360" w:lineRule="auto"/>
        <w:ind w:left="0" w:leftChars="0"/>
        <w:textAlignment w:val="auto"/>
        <w:outlineLvl w:val="9"/>
        <w:rPr>
          <w:rFonts w:hint="eastAsia" w:ascii="宋体" w:hAnsi="宋体" w:eastAsia="宋体" w:cs="宋体"/>
          <w:b/>
          <w:color w:val="auto"/>
          <w:sz w:val="24"/>
          <w:szCs w:val="24"/>
          <w:highlight w:val="none"/>
        </w:rPr>
      </w:pPr>
      <w:bookmarkStart w:id="96" w:name="_Toc993063424"/>
      <w:bookmarkStart w:id="97" w:name="_Toc1841412669"/>
      <w:r>
        <w:rPr>
          <w:rFonts w:hint="eastAsia" w:ascii="宋体" w:hAnsi="宋体" w:eastAsia="宋体" w:cs="宋体"/>
          <w:b/>
          <w:color w:val="auto"/>
          <w:sz w:val="24"/>
          <w:szCs w:val="24"/>
          <w:highlight w:val="none"/>
        </w:rPr>
        <w:t>14.报价文件的密封、标记和递交</w:t>
      </w:r>
      <w:bookmarkEnd w:id="96"/>
      <w:bookmarkEnd w:id="97"/>
    </w:p>
    <w:p w14:paraId="7D14FB4F">
      <w:pPr>
        <w:pStyle w:val="20"/>
        <w:keepNext w:val="0"/>
        <w:keepLines w:val="0"/>
        <w:pageBreakBefore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bookmarkStart w:id="98" w:name="_Toc2012885428"/>
      <w:bookmarkStart w:id="99" w:name="_Toc525988588"/>
      <w:r>
        <w:rPr>
          <w:rFonts w:hint="eastAsia" w:ascii="宋体" w:hAnsi="宋体" w:eastAsia="宋体" w:cs="宋体"/>
          <w:color w:val="auto"/>
          <w:sz w:val="24"/>
          <w:szCs w:val="24"/>
          <w:highlight w:val="none"/>
        </w:rPr>
        <w:t>14.1 报价人应将报价文件正本和副本分别用信封密封，并标明采购文件编号、报价人名称、采购项目名称及“正本”或“副本”。报价文件未密封可导致其磋商被拒绝。</w:t>
      </w:r>
      <w:bookmarkEnd w:id="98"/>
      <w:bookmarkEnd w:id="99"/>
    </w:p>
    <w:p w14:paraId="5D5D2B7E">
      <w:pPr>
        <w:pStyle w:val="20"/>
        <w:keepNext w:val="0"/>
        <w:keepLines w:val="0"/>
        <w:pageBreakBefore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bookmarkStart w:id="100" w:name="_Toc1592877317"/>
      <w:bookmarkStart w:id="101" w:name="_Toc1501305213"/>
      <w:r>
        <w:rPr>
          <w:rFonts w:hint="eastAsia" w:ascii="宋体" w:hAnsi="宋体" w:eastAsia="宋体" w:cs="宋体"/>
          <w:color w:val="auto"/>
          <w:sz w:val="24"/>
          <w:szCs w:val="24"/>
          <w:highlight w:val="none"/>
        </w:rPr>
        <w:t>14.2每一信封密封处应注明“于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之前（指磋商邀请中规定的磋商日期及时间）不准启封”的字样，并加盖报价人公章或由磋商代表签字。</w:t>
      </w:r>
      <w:bookmarkEnd w:id="100"/>
      <w:bookmarkEnd w:id="101"/>
      <w:r>
        <w:rPr>
          <w:rFonts w:hint="eastAsia" w:ascii="宋体" w:hAnsi="宋体" w:eastAsia="宋体" w:cs="宋体"/>
          <w:color w:val="auto"/>
          <w:sz w:val="24"/>
          <w:szCs w:val="24"/>
          <w:highlight w:val="none"/>
        </w:rPr>
        <w:t xml:space="preserve">     </w:t>
      </w:r>
    </w:p>
    <w:p w14:paraId="6527B7A8">
      <w:pPr>
        <w:pStyle w:val="20"/>
        <w:keepNext w:val="0"/>
        <w:keepLines w:val="0"/>
        <w:pageBreakBefore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bookmarkStart w:id="102" w:name="_Toc673240823"/>
      <w:bookmarkStart w:id="103" w:name="_Toc1785223328"/>
      <w:r>
        <w:rPr>
          <w:rFonts w:hint="eastAsia" w:ascii="宋体" w:hAnsi="宋体" w:eastAsia="宋体" w:cs="宋体"/>
          <w:color w:val="auto"/>
          <w:sz w:val="24"/>
          <w:szCs w:val="24"/>
          <w:highlight w:val="none"/>
        </w:rPr>
        <w:t>14.3 如报价文件由邮局或专人送交，报价人应将报价文件按第14.1条至14.2条中的规定进行密封和标记后，按磋商邀请函注明的地址送至接收人。</w:t>
      </w:r>
      <w:bookmarkEnd w:id="102"/>
      <w:bookmarkEnd w:id="103"/>
    </w:p>
    <w:p w14:paraId="77FC2759">
      <w:pPr>
        <w:pStyle w:val="7"/>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如果未按上述规定进行密封和标记，采购代理机构将不承担由此造成的对报价文件的误投或提前拆封的责任。</w:t>
      </w:r>
    </w:p>
    <w:p w14:paraId="5BCA1725">
      <w:pPr>
        <w:pStyle w:val="20"/>
        <w:keepNext w:val="0"/>
        <w:keepLines w:val="0"/>
        <w:pageBreakBefore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bookmarkStart w:id="104" w:name="_Toc165520705"/>
      <w:bookmarkStart w:id="105" w:name="_Toc203302908"/>
      <w:r>
        <w:rPr>
          <w:rFonts w:hint="eastAsia" w:ascii="宋体" w:hAnsi="宋体" w:eastAsia="宋体" w:cs="宋体"/>
          <w:color w:val="auto"/>
          <w:sz w:val="24"/>
          <w:szCs w:val="24"/>
          <w:highlight w:val="none"/>
        </w:rPr>
        <w:t>14.5报价文件应在磋商邀请中规定的截止时间前送达，迟到的报价文件为无效报价文件，将被拒绝。</w:t>
      </w:r>
      <w:bookmarkEnd w:id="104"/>
      <w:bookmarkEnd w:id="105"/>
    </w:p>
    <w:p w14:paraId="509C876E">
      <w:pPr>
        <w:pStyle w:val="20"/>
        <w:keepNext w:val="0"/>
        <w:keepLines w:val="0"/>
        <w:pageBreakBefore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bookmarkStart w:id="106" w:name="_Toc1000091878"/>
      <w:bookmarkStart w:id="107" w:name="_Toc945572797"/>
      <w:r>
        <w:rPr>
          <w:rFonts w:hint="eastAsia" w:ascii="宋体" w:hAnsi="宋体" w:eastAsia="宋体" w:cs="宋体"/>
          <w:color w:val="auto"/>
          <w:sz w:val="24"/>
          <w:szCs w:val="24"/>
          <w:highlight w:val="none"/>
        </w:rPr>
        <w:t>14.6报价人在磋商响应截止时间前，可以对所提交的采购文件进行修改或者撤回，并书面通知采购代理机构。修改的内容和撤回通知应当按本须知要求签署、盖章、密封，并作为报价文件的组成部分。</w:t>
      </w:r>
      <w:bookmarkEnd w:id="106"/>
      <w:bookmarkEnd w:id="107"/>
    </w:p>
    <w:p w14:paraId="29B7378B">
      <w:pPr>
        <w:pStyle w:val="20"/>
        <w:keepNext w:val="0"/>
        <w:keepLines w:val="0"/>
        <w:pageBreakBefore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bookmarkStart w:id="108" w:name="_Toc450443558"/>
      <w:bookmarkStart w:id="109" w:name="_Toc1324910940"/>
      <w:r>
        <w:rPr>
          <w:rFonts w:hint="eastAsia" w:ascii="宋体" w:hAnsi="宋体" w:eastAsia="宋体" w:cs="宋体"/>
          <w:color w:val="auto"/>
          <w:sz w:val="24"/>
          <w:szCs w:val="24"/>
          <w:highlight w:val="none"/>
        </w:rPr>
        <w:t>14.7报价人在磋商响应截止期后不得修改、撤回报价文件。报价人在报价截止期后修改报价文件的，其磋商响应将被拒绝。</w:t>
      </w:r>
      <w:bookmarkEnd w:id="108"/>
      <w:bookmarkEnd w:id="109"/>
    </w:p>
    <w:p w14:paraId="231C710C">
      <w:pPr>
        <w:pStyle w:val="20"/>
        <w:keepNext w:val="0"/>
        <w:keepLines w:val="0"/>
        <w:pageBreakBefore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bookmarkStart w:id="110" w:name="_Toc732840508"/>
      <w:bookmarkStart w:id="111" w:name="_Toc386207668"/>
      <w:r>
        <w:rPr>
          <w:rFonts w:hint="eastAsia" w:ascii="宋体" w:hAnsi="宋体" w:eastAsia="宋体" w:cs="宋体"/>
          <w:color w:val="auto"/>
          <w:sz w:val="24"/>
          <w:szCs w:val="24"/>
          <w:highlight w:val="none"/>
        </w:rPr>
        <w:t>14.8 属于市场竞争不充分的科研项目，以及需要扶持的科技成果转化项目，符合实质性响应要求，提交最后报价的报价人可以为2家。属于政府购买服务项目的，在采购过程中符合要求的报价人只有2家的，竞争性磋商采购活动可以继续进行，采购过程中符合要求的报价人只有1家的，应当终止采购活动，发布项目终止公告并说明原因，重新开展采购活动。</w:t>
      </w:r>
      <w:bookmarkEnd w:id="110"/>
      <w:bookmarkEnd w:id="111"/>
    </w:p>
    <w:p w14:paraId="3F1A8497">
      <w:pPr>
        <w:pStyle w:val="20"/>
        <w:keepNext w:val="0"/>
        <w:keepLines w:val="0"/>
        <w:pageBreakBefore w:val="0"/>
        <w:kinsoku/>
        <w:wordWrap/>
        <w:overflowPunct/>
        <w:topLinePunct w:val="0"/>
        <w:autoSpaceDE/>
        <w:autoSpaceDN/>
        <w:bidi w:val="0"/>
        <w:adjustRightInd/>
        <w:spacing w:line="360" w:lineRule="auto"/>
        <w:ind w:left="0" w:leftChars="0" w:firstLine="482" w:firstLineChars="200"/>
        <w:jc w:val="center"/>
        <w:textAlignment w:val="auto"/>
        <w:outlineLvl w:val="1"/>
        <w:rPr>
          <w:rFonts w:hint="eastAsia" w:ascii="宋体" w:hAnsi="宋体" w:eastAsia="宋体" w:cs="宋体"/>
          <w:b/>
          <w:color w:val="auto"/>
          <w:sz w:val="24"/>
          <w:szCs w:val="24"/>
          <w:highlight w:val="none"/>
        </w:rPr>
      </w:pPr>
      <w:bookmarkStart w:id="112" w:name="_Toc11958"/>
      <w:bookmarkStart w:id="113" w:name="_Toc1596217521"/>
      <w:bookmarkStart w:id="114" w:name="_Toc29006"/>
      <w:bookmarkStart w:id="115" w:name="_Toc493964606"/>
      <w:bookmarkStart w:id="116" w:name="_Toc8763"/>
      <w:bookmarkStart w:id="117" w:name="_Toc2005"/>
      <w:r>
        <w:rPr>
          <w:rFonts w:hint="eastAsia" w:ascii="宋体" w:hAnsi="宋体" w:eastAsia="宋体" w:cs="宋体"/>
          <w:b/>
          <w:color w:val="auto"/>
          <w:sz w:val="24"/>
          <w:szCs w:val="24"/>
          <w:highlight w:val="none"/>
        </w:rPr>
        <w:t>五、报价文件的评估和比较</w:t>
      </w:r>
      <w:bookmarkEnd w:id="112"/>
      <w:bookmarkEnd w:id="113"/>
      <w:bookmarkEnd w:id="114"/>
      <w:bookmarkEnd w:id="115"/>
      <w:bookmarkEnd w:id="116"/>
      <w:bookmarkEnd w:id="117"/>
    </w:p>
    <w:p w14:paraId="186F506F">
      <w:pPr>
        <w:pStyle w:val="7"/>
        <w:keepNext w:val="0"/>
        <w:keepLines w:val="0"/>
        <w:pageBreakBefore w:val="0"/>
        <w:kinsoku/>
        <w:wordWrap/>
        <w:overflowPunct/>
        <w:topLinePunct w:val="0"/>
        <w:autoSpaceDE/>
        <w:autoSpaceDN/>
        <w:bidi w:val="0"/>
        <w:adjustRightInd/>
        <w:spacing w:line="360" w:lineRule="auto"/>
        <w:ind w:left="0" w:leftChars="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15.磋商时间</w:t>
      </w:r>
    </w:p>
    <w:p w14:paraId="1AC9B4B7">
      <w:pPr>
        <w:pStyle w:val="7"/>
        <w:keepNext w:val="0"/>
        <w:keepLines w:val="0"/>
        <w:pageBreakBefore w:val="0"/>
        <w:kinsoku/>
        <w:wordWrap/>
        <w:overflowPunct/>
        <w:topLinePunct w:val="0"/>
        <w:autoSpaceDE/>
        <w:autoSpaceDN/>
        <w:bidi w:val="0"/>
        <w:adjustRightInd/>
        <w:spacing w:line="360" w:lineRule="auto"/>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 xml:space="preserve"> 15.1在报价人须知前附表中所规定的时间、地点磋商（如有推迟情形，以推迟后的时间、地点为准）。</w:t>
      </w:r>
    </w:p>
    <w:p w14:paraId="1F89DFF1">
      <w:pPr>
        <w:pStyle w:val="7"/>
        <w:keepNext w:val="0"/>
        <w:keepLines w:val="0"/>
        <w:pageBreakBefore w:val="0"/>
        <w:kinsoku/>
        <w:wordWrap/>
        <w:overflowPunct/>
        <w:topLinePunct w:val="0"/>
        <w:autoSpaceDE/>
        <w:autoSpaceDN/>
        <w:bidi w:val="0"/>
        <w:adjustRightInd/>
        <w:spacing w:line="360" w:lineRule="auto"/>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15.2磋商由采购代理机构主持，邀请采购人、报价人和有关方面代表参加。报价人一般应派授权代表参加磋商，并办理签到手续。</w:t>
      </w:r>
    </w:p>
    <w:p w14:paraId="40E27ED4">
      <w:pPr>
        <w:pStyle w:val="7"/>
        <w:keepNext w:val="0"/>
        <w:keepLines w:val="0"/>
        <w:pageBreakBefore w:val="0"/>
        <w:kinsoku/>
        <w:wordWrap/>
        <w:overflowPunct/>
        <w:topLinePunct w:val="0"/>
        <w:autoSpaceDE/>
        <w:autoSpaceDN/>
        <w:bidi w:val="0"/>
        <w:adjustRightInd/>
        <w:spacing w:line="360" w:lineRule="auto"/>
        <w:ind w:left="0" w:leftChars="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16.磋商小组</w:t>
      </w:r>
    </w:p>
    <w:p w14:paraId="005BF56E">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采购代理机构将根据项目的特点及相关规定组建磋商小组，磋商小组由技术、经济、法律方面的专家和采购人代表组成。成员为3人及以上单数组成，专家不能少于三分之二。磋商小组将对报价文件进行审查、质疑、评估和比较，进行磋商并做出授予合同的建议。</w:t>
      </w:r>
    </w:p>
    <w:p w14:paraId="44AA92FD">
      <w:pPr>
        <w:pStyle w:val="7"/>
        <w:keepNext w:val="0"/>
        <w:keepLines w:val="0"/>
        <w:pageBreakBefore w:val="0"/>
        <w:kinsoku/>
        <w:wordWrap/>
        <w:overflowPunct/>
        <w:topLinePunct w:val="0"/>
        <w:autoSpaceDE/>
        <w:autoSpaceDN/>
        <w:bidi w:val="0"/>
        <w:adjustRightInd/>
        <w:spacing w:line="360" w:lineRule="auto"/>
        <w:ind w:left="0" w:leftChars="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17.报价文件的初审</w:t>
      </w:r>
    </w:p>
    <w:p w14:paraId="60E8ADAC">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对所有报价人的评估，都采用相同的程序和标准。评议过程将严格按照采购文件的要求和条件进行。</w:t>
      </w:r>
    </w:p>
    <w:p w14:paraId="2368BCA9">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有关报价文件的审查、澄清、评估和比较以及推荐成交候选人的一切情况都不得透露给任一报价人或与</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磋商工作无关的人员。</w:t>
      </w:r>
    </w:p>
    <w:p w14:paraId="7AEC9A4B">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报价人任何试图影响磋商小组对报价文件的评审、比较或者推荐候选人的行为，都将导致其磋商响应被拒绝，并被没收磋商保证金。</w:t>
      </w:r>
    </w:p>
    <w:p w14:paraId="745E4732">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17.1磋商小组将对报价文件进行审查，以确定报价文件是否完整、有无计算上的错误、是否提交了磋商保证金、文件是否已正确签署。 </w:t>
      </w:r>
    </w:p>
    <w:p w14:paraId="355D767F">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算术错误将按以下方法更正：</w:t>
      </w:r>
    </w:p>
    <w:p w14:paraId="5D61A29E">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(1)报价文件中报价一览表内容与报价文件中明细表内容不一致的，以报价一览表为准。</w:t>
      </w:r>
    </w:p>
    <w:p w14:paraId="7C39C2D4">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34EB8A54">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如果报价人不接受按上述方法对报价文件中的算术错误进行更正，其响应将被拒绝并没收其磋商保证金。</w:t>
      </w:r>
    </w:p>
    <w:p w14:paraId="77815096">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17.3资格性检查和符合性检查 </w:t>
      </w:r>
    </w:p>
    <w:p w14:paraId="13DD20FB">
      <w:pPr>
        <w:keepNext w:val="0"/>
        <w:keepLines w:val="0"/>
        <w:pageBreakBefore w:val="0"/>
        <w:kinsoku/>
        <w:wordWrap/>
        <w:overflowPunct/>
        <w:topLinePunct w:val="0"/>
        <w:autoSpaceDE/>
        <w:autoSpaceDN/>
        <w:bidi w:val="0"/>
        <w:adjustRightInd/>
        <w:spacing w:line="360" w:lineRule="auto"/>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17.3.1资格性检查。依据法律法规和采购文件的规定，在对报价文件详细评估之前，磋商小组将依据报价人提交的报价文件按报价人须知前附表2所述的资格性要求对报价人进行资格审查, 以确定其是否具备磋商资格。如果报价人不具备磋商资格，不满足采购文件所规定的资格标准或提供资格证明文件不全的, 其磋商响应将被拒绝。</w:t>
      </w:r>
    </w:p>
    <w:p w14:paraId="5BFA6949">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17.3.2符合性检查。依据采购文件的规定，磋商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14:paraId="68A797D5">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(1)未按规定由报价人的法定代表人或其授权代表签字；或未加盖报价人公章的；或签字人未提供单位有效授权委托书的；</w:t>
      </w:r>
    </w:p>
    <w:p w14:paraId="2B68FEE7">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(2)未按规定提交磋商保证金的；</w:t>
      </w:r>
    </w:p>
    <w:p w14:paraId="6CB5C12D">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(3)磋商响应有效期不满足采购文件要求的；</w:t>
      </w:r>
    </w:p>
    <w:p w14:paraId="7FCB2D55">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(4)报价文件内容与采购文件内容及要求有重大偏离或保留的；</w:t>
      </w:r>
    </w:p>
    <w:p w14:paraId="03F8E026">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(5)报价人提交的是可选择的报价；</w:t>
      </w:r>
    </w:p>
    <w:p w14:paraId="1F62329B">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(6)报价人未按采购文件要求进行分项报价；</w:t>
      </w:r>
    </w:p>
    <w:p w14:paraId="63B0AB91">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(7)报价文件中提供虚假或失实资料的；</w:t>
      </w:r>
    </w:p>
    <w:p w14:paraId="49E0E6EA">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(8)不符合采购文件中规定的其它实质性条款。</w:t>
      </w:r>
    </w:p>
    <w:p w14:paraId="23CF44F1">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磋商小组决定报价的响应性只根据报价文件本身的内容，而不寻求其他的外部证据。</w:t>
      </w:r>
    </w:p>
    <w:p w14:paraId="17E09DDB">
      <w:pPr>
        <w:pStyle w:val="7"/>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17.4报价人提交的报价文件将给予保密，但不予退回。</w:t>
      </w:r>
    </w:p>
    <w:p w14:paraId="7454CC20">
      <w:pPr>
        <w:pStyle w:val="4"/>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bookmarkStart w:id="118" w:name="_Toc25296"/>
      <w:r>
        <w:rPr>
          <w:rFonts w:hint="eastAsia" w:ascii="宋体" w:hAnsi="宋体" w:eastAsia="宋体" w:cs="宋体"/>
          <w:color w:val="auto"/>
          <w:sz w:val="24"/>
          <w:szCs w:val="24"/>
          <w:highlight w:val="none"/>
        </w:rPr>
        <w:t>17.5报价人资格和报价产品均必须满足中华人民共和国相关法律法规及行业的强制性要求，否则将作无效响应处理。</w:t>
      </w:r>
      <w:bookmarkEnd w:id="118"/>
    </w:p>
    <w:p w14:paraId="3C4944A6">
      <w:pPr>
        <w:pStyle w:val="4"/>
        <w:keepNext w:val="0"/>
        <w:keepLines w:val="0"/>
        <w:pageBreakBefore w:val="0"/>
        <w:kinsoku/>
        <w:wordWrap/>
        <w:overflowPunct/>
        <w:topLinePunct w:val="0"/>
        <w:autoSpaceDE/>
        <w:autoSpaceDN/>
        <w:bidi w:val="0"/>
        <w:adjustRightInd/>
        <w:snapToGrid w:val="0"/>
        <w:spacing w:line="360" w:lineRule="auto"/>
        <w:ind w:left="0" w:leftChars="0" w:firstLine="0"/>
        <w:textAlignment w:val="auto"/>
        <w:outlineLvl w:val="9"/>
        <w:rPr>
          <w:rFonts w:hint="eastAsia" w:ascii="宋体" w:hAnsi="宋体" w:eastAsia="宋体" w:cs="宋体"/>
          <w:color w:val="auto"/>
          <w:sz w:val="24"/>
          <w:szCs w:val="24"/>
          <w:highlight w:val="none"/>
        </w:rPr>
      </w:pPr>
      <w:bookmarkStart w:id="119" w:name="_Toc17314"/>
      <w:r>
        <w:rPr>
          <w:rFonts w:hint="eastAsia" w:ascii="宋体" w:hAnsi="宋体" w:eastAsia="宋体" w:cs="宋体"/>
          <w:b/>
          <w:color w:val="auto"/>
          <w:sz w:val="24"/>
          <w:szCs w:val="24"/>
          <w:highlight w:val="none"/>
        </w:rPr>
        <w:t>18.磋商相应文件的澄清</w:t>
      </w:r>
      <w:bookmarkEnd w:id="119"/>
    </w:p>
    <w:p w14:paraId="11EC5CC3">
      <w:pPr>
        <w:pStyle w:val="4"/>
        <w:keepNext w:val="0"/>
        <w:keepLines w:val="0"/>
        <w:pageBreakBefore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bookmarkStart w:id="120" w:name="_Toc15722"/>
      <w:r>
        <w:rPr>
          <w:rFonts w:hint="eastAsia" w:ascii="宋体" w:hAnsi="宋体" w:eastAsia="宋体" w:cs="宋体"/>
          <w:color w:val="auto"/>
          <w:sz w:val="24"/>
          <w:szCs w:val="24"/>
          <w:highlight w:val="none"/>
        </w:rPr>
        <w:t>18.1对采购文件中含义不明确、同类问题表述不一致或者有明显文字和计算错误的内容，磋商小组可以书面形式要求报价人作出必要的澄清、说明或者纠正。报价人的澄清、说明或者补正应当在磋商小组规定的时间内以书面形式作出，由其法定代表人或者授权代表签字，并不得超出报价文件的范围或者改变报价文件的实质性内容。</w:t>
      </w:r>
      <w:bookmarkEnd w:id="120"/>
    </w:p>
    <w:p w14:paraId="081E0756">
      <w:pPr>
        <w:pStyle w:val="7"/>
        <w:keepNext w:val="0"/>
        <w:keepLines w:val="0"/>
        <w:pageBreakBefore w:val="0"/>
        <w:kinsoku/>
        <w:wordWrap/>
        <w:overflowPunct/>
        <w:topLinePunct w:val="0"/>
        <w:autoSpaceDE/>
        <w:autoSpaceDN/>
        <w:bidi w:val="0"/>
        <w:adjustRightInd/>
        <w:spacing w:line="360" w:lineRule="auto"/>
        <w:ind w:left="0" w:leftChars="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19.比较与评价</w:t>
      </w:r>
    </w:p>
    <w:p w14:paraId="6943AF93">
      <w:pPr>
        <w:pStyle w:val="7"/>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磋商小组将按报价人须知前附表3所述评审方法与标准，对资格性检查和符合性检查合格的采购文件进行商务和技术评估，综合比较与评价。</w:t>
      </w:r>
    </w:p>
    <w:p w14:paraId="2099667A">
      <w:pPr>
        <w:pStyle w:val="7"/>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对漏（缺）报项的处理：采购文件中要求列入报价的费用（含配置、功能），漏（缺）报的视同已含在报价总价中。但在评审时取有效报价人该项最高报价加入漏（缺）报人的磋商响应报价进行评审。对多报及赠送项的价格评审时不予核减，全部进入评审价评议。</w:t>
      </w:r>
    </w:p>
    <w:p w14:paraId="39610435">
      <w:pPr>
        <w:pStyle w:val="7"/>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p w14:paraId="3F2A119D">
      <w:pPr>
        <w:pStyle w:val="20"/>
        <w:keepNext w:val="0"/>
        <w:keepLines w:val="0"/>
        <w:pageBreakBefore w:val="0"/>
        <w:kinsoku/>
        <w:wordWrap/>
        <w:overflowPunct/>
        <w:topLinePunct w:val="0"/>
        <w:autoSpaceDE/>
        <w:autoSpaceDN/>
        <w:bidi w:val="0"/>
        <w:adjustRightInd/>
        <w:spacing w:line="360" w:lineRule="auto"/>
        <w:ind w:left="0" w:leftChars="0"/>
        <w:jc w:val="center"/>
        <w:textAlignment w:val="auto"/>
        <w:outlineLvl w:val="1"/>
        <w:rPr>
          <w:rFonts w:hint="eastAsia" w:ascii="宋体" w:hAnsi="宋体" w:eastAsia="宋体" w:cs="宋体"/>
          <w:b/>
          <w:color w:val="auto"/>
          <w:sz w:val="24"/>
          <w:szCs w:val="24"/>
          <w:highlight w:val="none"/>
        </w:rPr>
      </w:pPr>
      <w:bookmarkStart w:id="121" w:name="_Toc5413"/>
      <w:bookmarkStart w:id="122" w:name="_Toc1827389125"/>
      <w:bookmarkStart w:id="123" w:name="_Toc12165"/>
      <w:bookmarkStart w:id="124" w:name="_Toc30683"/>
      <w:bookmarkStart w:id="125" w:name="_Toc1339953744"/>
      <w:bookmarkStart w:id="126" w:name="_Toc26366"/>
      <w:r>
        <w:rPr>
          <w:rFonts w:hint="eastAsia" w:ascii="宋体" w:hAnsi="宋体" w:eastAsia="宋体" w:cs="宋体"/>
          <w:b/>
          <w:color w:val="auto"/>
          <w:sz w:val="24"/>
          <w:szCs w:val="24"/>
          <w:highlight w:val="none"/>
        </w:rPr>
        <w:t>六、成交与签订合同</w:t>
      </w:r>
      <w:bookmarkEnd w:id="121"/>
      <w:bookmarkEnd w:id="122"/>
      <w:bookmarkEnd w:id="123"/>
      <w:bookmarkEnd w:id="124"/>
      <w:bookmarkEnd w:id="125"/>
      <w:bookmarkEnd w:id="126"/>
    </w:p>
    <w:p w14:paraId="2424D678">
      <w:pPr>
        <w:pStyle w:val="7"/>
        <w:keepNext w:val="0"/>
        <w:keepLines w:val="0"/>
        <w:pageBreakBefore w:val="0"/>
        <w:kinsoku/>
        <w:wordWrap/>
        <w:overflowPunct/>
        <w:topLinePunct w:val="0"/>
        <w:autoSpaceDE/>
        <w:autoSpaceDN/>
        <w:bidi w:val="0"/>
        <w:adjustRightInd/>
        <w:spacing w:line="360" w:lineRule="auto"/>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20.成交准则</w:t>
      </w:r>
    </w:p>
    <w:p w14:paraId="0C17FC95">
      <w:pPr>
        <w:pStyle w:val="7"/>
        <w:keepNext w:val="0"/>
        <w:keepLines w:val="0"/>
        <w:pageBreakBefore w:val="0"/>
        <w:kinsoku/>
        <w:wordWrap/>
        <w:overflowPunct/>
        <w:topLinePunct w:val="0"/>
        <w:autoSpaceDE/>
        <w:autoSpaceDN/>
        <w:bidi w:val="0"/>
        <w:adjustRightInd/>
        <w:spacing w:line="360" w:lineRule="auto"/>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20.1报价人的报价文件符合采购文件要求，按采购文件确定评审方法、标准，经磋商小组评审并推荐成交候选人。 </w:t>
      </w:r>
    </w:p>
    <w:p w14:paraId="2C0A6325">
      <w:pPr>
        <w:pStyle w:val="7"/>
        <w:keepNext w:val="0"/>
        <w:keepLines w:val="0"/>
        <w:pageBreakBefore w:val="0"/>
        <w:kinsoku/>
        <w:wordWrap/>
        <w:overflowPunct/>
        <w:topLinePunct w:val="0"/>
        <w:autoSpaceDE/>
        <w:autoSpaceDN/>
        <w:bidi w:val="0"/>
        <w:adjustRightInd/>
        <w:spacing w:line="360" w:lineRule="auto"/>
        <w:ind w:left="0" w:leftChars="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21.成交通知</w:t>
      </w:r>
    </w:p>
    <w:p w14:paraId="6DEB74D8">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21.1磋商结束后，磋商结果经采购人确认后，采购代理机构应自成交人确定之日起2个工作日内在</w:t>
      </w:r>
      <w:r>
        <w:rPr>
          <w:rFonts w:hint="eastAsia" w:ascii="宋体" w:hAnsi="宋体" w:eastAsia="宋体" w:cs="宋体"/>
          <w:color w:val="auto"/>
          <w:sz w:val="24"/>
          <w:szCs w:val="24"/>
          <w:highlight w:val="none"/>
          <w:lang w:eastAsia="zh-CN"/>
        </w:rPr>
        <w:t>厦门招投标网</w:t>
      </w:r>
      <w:r>
        <w:rPr>
          <w:rFonts w:hint="eastAsia" w:ascii="宋体" w:hAnsi="宋体" w:eastAsia="宋体" w:cs="宋体"/>
          <w:color w:val="auto"/>
          <w:sz w:val="24"/>
          <w:szCs w:val="24"/>
          <w:highlight w:val="none"/>
        </w:rPr>
        <w:t>上对成交结果进行公告，同时采购代理机构向成交供应商发出成交通知书。成交通知书对采购人和成交供应商具有同等法律效力。成交通知书发出后，采购人改变成交结果或者成交供应商放弃成交，应承担相应的法律责任。</w:t>
      </w:r>
    </w:p>
    <w:p w14:paraId="709CBB2F">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21.2《成交通知书》发出同时应将未成交通知书发送给其他报价人。</w:t>
      </w:r>
    </w:p>
    <w:p w14:paraId="60AB61E5">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21.3《成交通知书》将作为签订合同的依据。采购合同签订后，《成交通知书》成为合同的一部分。</w:t>
      </w:r>
    </w:p>
    <w:p w14:paraId="44BF69DD">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21.4《成交通知书》发出后5个工作日内，采购代理机构以原缴交方式向未成交的报价人退还其磋商保证金（含保函）。在合同签订后5个工作日内，以原缴交方式退还成交供应商的磋商保证金。</w:t>
      </w:r>
    </w:p>
    <w:p w14:paraId="7BC9CC26">
      <w:pPr>
        <w:pStyle w:val="7"/>
        <w:keepNext w:val="0"/>
        <w:keepLines w:val="0"/>
        <w:pageBreakBefore w:val="0"/>
        <w:kinsoku/>
        <w:wordWrap/>
        <w:overflowPunct/>
        <w:topLinePunct w:val="0"/>
        <w:autoSpaceDE/>
        <w:autoSpaceDN/>
        <w:bidi w:val="0"/>
        <w:adjustRightInd/>
        <w:spacing w:line="360" w:lineRule="auto"/>
        <w:ind w:left="0" w:leftChars="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22.签订合同</w:t>
      </w:r>
    </w:p>
    <w:p w14:paraId="26C89750">
      <w:pPr>
        <w:pStyle w:val="7"/>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采购人、成交供应商在《成交通知书》发出之日起30日内，根据采购文件确定的事项和成交供应商报价文件，参照本采购文件第四章的《合同》文本签订合同。双方所签订的合同不得对采购文件和成交供应商报价文件作实质性修改。逾期未签订合同，按照有关法律规定承担相应的法律责任；属成交供应商责任的，采购代理机构将没收磋商保证金，以抵偿对采购人造成的损失。采购人逾期不与成交供应商签订合同的，按政府采购的有关规定处理。</w:t>
      </w:r>
    </w:p>
    <w:p w14:paraId="7680FC50">
      <w:pPr>
        <w:pStyle w:val="7"/>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采购文件、采购文件的修改文件、成交供应商的报价文件、补充或修改的文件及澄清或承诺文件等，均为双方签订合同的组成部分，并与合同一并作为本采购文件所列采购项目的互补性法律文件，与合同具有同等法律效力。</w:t>
      </w:r>
    </w:p>
    <w:p w14:paraId="1E19CAE6">
      <w:pPr>
        <w:pStyle w:val="7"/>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22.3采购人在合同履行中，需追加与合同标的相同的货物或者服务的，在不改变合同其他条款的前提下，可与供应商协商签订补充合同，但所有补充合同的采购金额不得超过原合同采购金额的10%。</w:t>
      </w:r>
    </w:p>
    <w:p w14:paraId="054D1961">
      <w:pPr>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22.4成交供应商因不可抗力或者自身原因不能履行</w:t>
      </w:r>
      <w:r>
        <w:rPr>
          <w:rFonts w:hint="eastAsia" w:ascii="宋体" w:hAnsi="宋体" w:eastAsia="宋体" w:cs="宋体"/>
          <w:color w:val="auto"/>
          <w:sz w:val="24"/>
          <w:szCs w:val="24"/>
          <w:highlight w:val="none"/>
          <w:lang w:eastAsia="zh-CN"/>
        </w:rPr>
        <w:t>采购合同</w:t>
      </w:r>
      <w:r>
        <w:rPr>
          <w:rFonts w:hint="eastAsia" w:ascii="宋体" w:hAnsi="宋体" w:eastAsia="宋体" w:cs="宋体"/>
          <w:color w:val="auto"/>
          <w:sz w:val="24"/>
          <w:szCs w:val="24"/>
          <w:highlight w:val="none"/>
        </w:rPr>
        <w:t>的，采购人可以与排位在成交供应商之后第一位的</w:t>
      </w:r>
      <w:r>
        <w:rPr>
          <w:rFonts w:hint="eastAsia" w:ascii="宋体" w:hAnsi="宋体" w:eastAsia="宋体" w:cs="宋体"/>
          <w:color w:val="auto"/>
          <w:sz w:val="24"/>
          <w:szCs w:val="24"/>
          <w:highlight w:val="none"/>
          <w:lang w:eastAsia="zh-CN"/>
        </w:rPr>
        <w:t>成交候选供应商</w:t>
      </w:r>
      <w:r>
        <w:rPr>
          <w:rFonts w:hint="eastAsia" w:ascii="宋体" w:hAnsi="宋体" w:eastAsia="宋体" w:cs="宋体"/>
          <w:color w:val="auto"/>
          <w:sz w:val="24"/>
          <w:szCs w:val="24"/>
          <w:highlight w:val="none"/>
        </w:rPr>
        <w:t>签订</w:t>
      </w:r>
      <w:r>
        <w:rPr>
          <w:rFonts w:hint="eastAsia" w:ascii="宋体" w:hAnsi="宋体" w:eastAsia="宋体" w:cs="宋体"/>
          <w:color w:val="auto"/>
          <w:sz w:val="24"/>
          <w:szCs w:val="24"/>
          <w:highlight w:val="none"/>
          <w:lang w:eastAsia="zh-CN"/>
        </w:rPr>
        <w:t>采购合同</w:t>
      </w:r>
      <w:r>
        <w:rPr>
          <w:rFonts w:hint="eastAsia" w:ascii="宋体" w:hAnsi="宋体" w:eastAsia="宋体" w:cs="宋体"/>
          <w:color w:val="auto"/>
          <w:sz w:val="24"/>
          <w:szCs w:val="24"/>
          <w:highlight w:val="none"/>
        </w:rPr>
        <w:t>，以此类推。且在此情况下，作为成交供应商之后第一位的</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候选供应商应同意与采购人按不高于其最终报价签订采购合同。</w:t>
      </w:r>
    </w:p>
    <w:p w14:paraId="083A613F">
      <w:pPr>
        <w:pStyle w:val="7"/>
        <w:keepNext w:val="0"/>
        <w:keepLines w:val="0"/>
        <w:pageBreakBefore w:val="0"/>
        <w:kinsoku/>
        <w:wordWrap/>
        <w:overflowPunct/>
        <w:topLinePunct w:val="0"/>
        <w:autoSpaceDE/>
        <w:autoSpaceDN/>
        <w:bidi w:val="0"/>
        <w:adjustRightInd/>
        <w:spacing w:line="360" w:lineRule="auto"/>
        <w:ind w:left="0" w:leftChars="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23.</w:t>
      </w:r>
      <w:r>
        <w:rPr>
          <w:rFonts w:hint="eastAsia" w:ascii="宋体" w:hAnsi="宋体" w:eastAsia="宋体" w:cs="宋体"/>
          <w:b/>
          <w:color w:val="auto"/>
          <w:sz w:val="24"/>
          <w:szCs w:val="24"/>
          <w:highlight w:val="none"/>
          <w:lang w:eastAsia="zh-CN"/>
        </w:rPr>
        <w:t>代理服务费</w:t>
      </w:r>
    </w:p>
    <w:p w14:paraId="5EC20864">
      <w:pPr>
        <w:pStyle w:val="7"/>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成交供应商应按须知前附表一次性向采购代理机构交纳</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w:t>
      </w:r>
    </w:p>
    <w:p w14:paraId="5C1E8437">
      <w:pPr>
        <w:spacing w:line="360" w:lineRule="auto"/>
        <w:jc w:val="center"/>
        <w:outlineLvl w:val="9"/>
        <w:rPr>
          <w:rFonts w:hint="eastAsia" w:ascii="宋体" w:hAnsi="宋体" w:eastAsia="宋体" w:cs="宋体"/>
          <w:b/>
          <w:bCs/>
          <w:color w:val="auto"/>
          <w:sz w:val="24"/>
          <w:szCs w:val="24"/>
          <w:highlight w:val="none"/>
        </w:rPr>
      </w:pPr>
    </w:p>
    <w:p w14:paraId="727006AB">
      <w:pPr>
        <w:spacing w:line="360" w:lineRule="auto"/>
        <w:jc w:val="center"/>
        <w:outlineLvl w:val="9"/>
        <w:rPr>
          <w:rFonts w:hint="eastAsia" w:ascii="宋体" w:hAnsi="宋体" w:eastAsia="宋体" w:cs="宋体"/>
          <w:b/>
          <w:bCs/>
          <w:color w:val="auto"/>
          <w:sz w:val="24"/>
          <w:szCs w:val="24"/>
          <w:highlight w:val="none"/>
        </w:rPr>
      </w:pPr>
    </w:p>
    <w:p w14:paraId="1D4EC957">
      <w:pPr>
        <w:spacing w:line="360" w:lineRule="auto"/>
        <w:jc w:val="center"/>
        <w:outlineLvl w:val="9"/>
        <w:rPr>
          <w:rFonts w:hint="eastAsia" w:ascii="宋体" w:hAnsi="宋体" w:eastAsia="宋体" w:cs="宋体"/>
          <w:b/>
          <w:bCs/>
          <w:color w:val="auto"/>
          <w:sz w:val="24"/>
          <w:szCs w:val="24"/>
          <w:highlight w:val="none"/>
        </w:rPr>
      </w:pPr>
    </w:p>
    <w:p w14:paraId="52A5CD34">
      <w:pPr>
        <w:spacing w:line="360" w:lineRule="auto"/>
        <w:jc w:val="center"/>
        <w:outlineLvl w:val="9"/>
        <w:rPr>
          <w:rFonts w:hint="eastAsia" w:ascii="宋体" w:hAnsi="宋体" w:eastAsia="宋体" w:cs="宋体"/>
          <w:b/>
          <w:bCs/>
          <w:color w:val="auto"/>
          <w:sz w:val="24"/>
          <w:szCs w:val="24"/>
          <w:highlight w:val="none"/>
        </w:rPr>
      </w:pPr>
    </w:p>
    <w:p w14:paraId="3390E0B2">
      <w:pPr>
        <w:spacing w:line="360" w:lineRule="auto"/>
        <w:jc w:val="center"/>
        <w:outlineLvl w:val="9"/>
        <w:rPr>
          <w:rFonts w:hint="eastAsia" w:ascii="宋体" w:hAnsi="宋体" w:eastAsia="宋体" w:cs="宋体"/>
          <w:b/>
          <w:bCs/>
          <w:color w:val="auto"/>
          <w:sz w:val="24"/>
          <w:szCs w:val="24"/>
          <w:highlight w:val="none"/>
        </w:rPr>
      </w:pPr>
    </w:p>
    <w:p w14:paraId="204DDC08">
      <w:pPr>
        <w:spacing w:line="360" w:lineRule="auto"/>
        <w:jc w:val="center"/>
        <w:outlineLvl w:val="9"/>
        <w:rPr>
          <w:rFonts w:hint="eastAsia" w:ascii="宋体" w:hAnsi="宋体" w:eastAsia="宋体" w:cs="宋体"/>
          <w:b/>
          <w:bCs/>
          <w:color w:val="auto"/>
          <w:sz w:val="24"/>
          <w:szCs w:val="24"/>
          <w:highlight w:val="none"/>
        </w:rPr>
      </w:pPr>
    </w:p>
    <w:p w14:paraId="24FAC625">
      <w:pPr>
        <w:spacing w:line="360" w:lineRule="auto"/>
        <w:jc w:val="center"/>
        <w:outlineLvl w:val="9"/>
        <w:rPr>
          <w:rFonts w:hint="eastAsia" w:ascii="宋体" w:hAnsi="宋体" w:eastAsia="宋体" w:cs="宋体"/>
          <w:b/>
          <w:bCs/>
          <w:color w:val="auto"/>
          <w:sz w:val="24"/>
          <w:szCs w:val="24"/>
          <w:highlight w:val="none"/>
        </w:rPr>
      </w:pPr>
    </w:p>
    <w:p w14:paraId="597F1A2D">
      <w:pPr>
        <w:spacing w:line="360" w:lineRule="auto"/>
        <w:jc w:val="center"/>
        <w:outlineLvl w:val="9"/>
        <w:rPr>
          <w:rFonts w:hint="eastAsia" w:ascii="宋体" w:hAnsi="宋体" w:eastAsia="宋体" w:cs="宋体"/>
          <w:b/>
          <w:bCs/>
          <w:color w:val="auto"/>
          <w:sz w:val="24"/>
          <w:szCs w:val="24"/>
          <w:highlight w:val="none"/>
        </w:rPr>
      </w:pPr>
    </w:p>
    <w:p w14:paraId="3625DFE5">
      <w:pPr>
        <w:spacing w:line="360" w:lineRule="auto"/>
        <w:jc w:val="center"/>
        <w:outlineLvl w:val="9"/>
        <w:rPr>
          <w:rFonts w:hint="eastAsia" w:ascii="宋体" w:hAnsi="宋体" w:eastAsia="宋体" w:cs="宋体"/>
          <w:b/>
          <w:bCs/>
          <w:color w:val="auto"/>
          <w:sz w:val="24"/>
          <w:szCs w:val="24"/>
          <w:highlight w:val="none"/>
        </w:rPr>
      </w:pPr>
    </w:p>
    <w:p w14:paraId="0FC1B600">
      <w:pPr>
        <w:spacing w:line="360" w:lineRule="auto"/>
        <w:jc w:val="center"/>
        <w:outlineLvl w:val="9"/>
        <w:rPr>
          <w:rFonts w:hint="eastAsia" w:ascii="宋体" w:hAnsi="宋体" w:eastAsia="宋体" w:cs="宋体"/>
          <w:b/>
          <w:bCs/>
          <w:color w:val="auto"/>
          <w:sz w:val="24"/>
          <w:szCs w:val="24"/>
          <w:highlight w:val="none"/>
        </w:rPr>
      </w:pPr>
    </w:p>
    <w:p w14:paraId="55A21ECC">
      <w:pPr>
        <w:spacing w:line="360" w:lineRule="auto"/>
        <w:jc w:val="center"/>
        <w:outlineLvl w:val="9"/>
        <w:rPr>
          <w:rFonts w:hint="eastAsia" w:ascii="宋体" w:hAnsi="宋体" w:eastAsia="宋体" w:cs="宋体"/>
          <w:b/>
          <w:bCs/>
          <w:color w:val="auto"/>
          <w:sz w:val="24"/>
          <w:szCs w:val="24"/>
          <w:highlight w:val="none"/>
        </w:rPr>
      </w:pPr>
    </w:p>
    <w:p w14:paraId="6DF23C78">
      <w:pPr>
        <w:spacing w:line="360" w:lineRule="auto"/>
        <w:jc w:val="center"/>
        <w:outlineLvl w:val="9"/>
        <w:rPr>
          <w:rFonts w:hint="eastAsia" w:ascii="宋体" w:hAnsi="宋体" w:eastAsia="宋体" w:cs="宋体"/>
          <w:b/>
          <w:bCs/>
          <w:color w:val="auto"/>
          <w:sz w:val="24"/>
          <w:szCs w:val="24"/>
          <w:highlight w:val="none"/>
        </w:rPr>
      </w:pPr>
    </w:p>
    <w:p w14:paraId="1E8E43F0">
      <w:pPr>
        <w:spacing w:line="360" w:lineRule="auto"/>
        <w:jc w:val="center"/>
        <w:outlineLvl w:val="9"/>
        <w:rPr>
          <w:rFonts w:hint="eastAsia" w:ascii="宋体" w:hAnsi="宋体" w:eastAsia="宋体" w:cs="宋体"/>
          <w:b/>
          <w:bCs/>
          <w:color w:val="auto"/>
          <w:sz w:val="24"/>
          <w:szCs w:val="24"/>
          <w:highlight w:val="none"/>
        </w:rPr>
      </w:pPr>
    </w:p>
    <w:p w14:paraId="33BF466F">
      <w:pPr>
        <w:spacing w:line="360" w:lineRule="auto"/>
        <w:outlineLvl w:val="9"/>
        <w:rPr>
          <w:rFonts w:hint="eastAsia" w:ascii="宋体" w:hAnsi="宋体" w:eastAsia="宋体" w:cs="宋体"/>
          <w:b/>
          <w:bCs/>
          <w:color w:val="auto"/>
          <w:sz w:val="24"/>
          <w:szCs w:val="24"/>
          <w:highlight w:val="none"/>
        </w:rPr>
      </w:pPr>
    </w:p>
    <w:p w14:paraId="69926E6D">
      <w:pPr>
        <w:spacing w:line="360" w:lineRule="auto"/>
        <w:jc w:val="center"/>
        <w:outlineLvl w:val="9"/>
        <w:rPr>
          <w:rFonts w:hint="eastAsia" w:ascii="宋体" w:hAnsi="宋体" w:eastAsia="宋体" w:cs="宋体"/>
          <w:b/>
          <w:bCs/>
          <w:color w:val="auto"/>
          <w:sz w:val="32"/>
          <w:szCs w:val="32"/>
          <w:highlight w:val="none"/>
        </w:rPr>
        <w:sectPr>
          <w:pgSz w:w="11906" w:h="16838"/>
          <w:pgMar w:top="1440" w:right="1797" w:bottom="1440" w:left="1797" w:header="851" w:footer="992" w:gutter="0"/>
          <w:cols w:space="720" w:num="1"/>
          <w:docGrid w:linePitch="312" w:charSpace="0"/>
        </w:sectPr>
      </w:pPr>
    </w:p>
    <w:p w14:paraId="006A4751">
      <w:pPr>
        <w:spacing w:line="360" w:lineRule="auto"/>
        <w:jc w:val="center"/>
        <w:outlineLvl w:val="0"/>
        <w:rPr>
          <w:rFonts w:hint="eastAsia" w:ascii="宋体" w:hAnsi="宋体" w:eastAsia="宋体" w:cs="宋体"/>
          <w:b/>
          <w:bCs/>
          <w:color w:val="auto"/>
          <w:sz w:val="24"/>
          <w:szCs w:val="24"/>
          <w:highlight w:val="none"/>
        </w:rPr>
      </w:pPr>
      <w:bookmarkStart w:id="127" w:name="_Toc1751617698"/>
      <w:bookmarkStart w:id="128" w:name="_Toc413047537"/>
      <w:bookmarkStart w:id="129" w:name="_Toc24141"/>
      <w:bookmarkStart w:id="130" w:name="_Toc2932"/>
      <w:r>
        <w:rPr>
          <w:rFonts w:hint="eastAsia" w:ascii="宋体" w:hAnsi="宋体" w:eastAsia="宋体" w:cs="宋体"/>
          <w:b/>
          <w:bCs/>
          <w:color w:val="auto"/>
          <w:sz w:val="32"/>
          <w:szCs w:val="32"/>
          <w:highlight w:val="none"/>
        </w:rPr>
        <w:t>第三章  磋商内容及要求</w:t>
      </w:r>
      <w:bookmarkEnd w:id="127"/>
      <w:bookmarkEnd w:id="128"/>
      <w:bookmarkEnd w:id="129"/>
      <w:bookmarkEnd w:id="130"/>
    </w:p>
    <w:p w14:paraId="0A48178D">
      <w:pPr>
        <w:pStyle w:val="3"/>
        <w:keepNext w:val="0"/>
        <w:keepLines w:val="0"/>
        <w:spacing w:before="0" w:after="0" w:line="360" w:lineRule="auto"/>
        <w:ind w:firstLine="482" w:firstLineChars="200"/>
        <w:jc w:val="left"/>
        <w:rPr>
          <w:rFonts w:hint="eastAsia" w:ascii="宋体" w:hAnsi="宋体" w:eastAsia="宋体" w:cs="宋体"/>
          <w:bCs w:val="0"/>
          <w:color w:val="auto"/>
          <w:kern w:val="0"/>
          <w:sz w:val="24"/>
          <w:szCs w:val="24"/>
          <w:highlight w:val="none"/>
        </w:rPr>
      </w:pPr>
      <w:bookmarkStart w:id="131" w:name="_Toc59433551"/>
      <w:bookmarkStart w:id="132" w:name="_Toc11778"/>
      <w:bookmarkStart w:id="133" w:name="_Toc407027487"/>
      <w:bookmarkStart w:id="134" w:name="_Toc6232"/>
      <w:bookmarkStart w:id="135" w:name="_Toc9809"/>
      <w:r>
        <w:rPr>
          <w:rFonts w:hint="eastAsia" w:ascii="宋体" w:hAnsi="宋体" w:eastAsia="宋体" w:cs="宋体"/>
          <w:bCs w:val="0"/>
          <w:color w:val="auto"/>
          <w:kern w:val="0"/>
          <w:sz w:val="24"/>
          <w:szCs w:val="24"/>
          <w:highlight w:val="none"/>
        </w:rPr>
        <w:t>一、项目背景</w:t>
      </w:r>
      <w:bookmarkEnd w:id="131"/>
      <w:bookmarkEnd w:id="132"/>
      <w:bookmarkEnd w:id="133"/>
      <w:bookmarkEnd w:id="134"/>
      <w:bookmarkEnd w:id="135"/>
    </w:p>
    <w:p w14:paraId="5F63B6AA">
      <w:pPr>
        <w:pStyle w:val="24"/>
        <w:keepNext w:val="0"/>
        <w:keepLines w:val="0"/>
        <w:pageBreakBefore w:val="0"/>
        <w:widowControl w:val="0"/>
        <w:numPr>
          <w:ilvl w:val="1"/>
          <w:numId w:val="3"/>
        </w:numPr>
        <w:tabs>
          <w:tab w:val="left" w:pos="993"/>
        </w:tabs>
        <w:kinsoku/>
        <w:wordWrap/>
        <w:overflowPunct/>
        <w:topLinePunct w:val="0"/>
        <w:autoSpaceDE/>
        <w:autoSpaceDN/>
        <w:bidi w:val="0"/>
        <w:adjustRightInd/>
        <w:snapToGrid/>
        <w:spacing w:line="360" w:lineRule="auto"/>
        <w:ind w:left="0" w:firstLine="480" w:firstLineChars="200"/>
        <w:textAlignment w:val="auto"/>
        <w:rPr>
          <w:rFonts w:ascii="宋体" w:hAnsi="宋体"/>
          <w:color w:val="auto"/>
          <w:sz w:val="24"/>
          <w:highlight w:val="none"/>
        </w:rPr>
      </w:pPr>
      <w:bookmarkStart w:id="136" w:name="OLE_LINK59"/>
      <w:r>
        <w:rPr>
          <w:rFonts w:hint="eastAsia" w:ascii="宋体" w:hAnsi="宋体"/>
          <w:color w:val="auto"/>
          <w:sz w:val="24"/>
          <w:highlight w:val="none"/>
        </w:rPr>
        <w:t>为充实基层工会力量，加强工会专干队伍建设，</w:t>
      </w:r>
      <w:bookmarkEnd w:id="136"/>
      <w:r>
        <w:rPr>
          <w:rFonts w:hint="eastAsia" w:ascii="宋体" w:hAnsi="宋体"/>
          <w:color w:val="auto"/>
          <w:sz w:val="24"/>
          <w:highlight w:val="none"/>
        </w:rPr>
        <w:t>根据</w:t>
      </w:r>
      <w:r>
        <w:rPr>
          <w:rFonts w:hint="eastAsia" w:ascii="宋体" w:hAnsi="宋体"/>
          <w:color w:val="auto"/>
          <w:sz w:val="24"/>
          <w:highlight w:val="none"/>
          <w:lang w:eastAsia="zh-CN"/>
        </w:rPr>
        <w:t>全总《工会社会工作者管理办法（试行）》（总工办发</w:t>
      </w:r>
      <w:r>
        <w:rPr>
          <w:rFonts w:hint="eastAsia" w:ascii="宋体" w:hAnsi="宋体"/>
          <w:color w:val="auto"/>
          <w:sz w:val="24"/>
          <w:highlight w:val="none"/>
        </w:rPr>
        <w:t>[20</w:t>
      </w:r>
      <w:r>
        <w:rPr>
          <w:rFonts w:hint="eastAsia" w:ascii="宋体" w:hAnsi="宋体"/>
          <w:color w:val="auto"/>
          <w:sz w:val="24"/>
          <w:highlight w:val="none"/>
          <w:lang w:val="en-US" w:eastAsia="zh-CN"/>
        </w:rPr>
        <w:t>24</w:t>
      </w:r>
      <w:r>
        <w:rPr>
          <w:rFonts w:hint="eastAsia" w:ascii="宋体" w:hAnsi="宋体"/>
          <w:color w:val="auto"/>
          <w:sz w:val="24"/>
          <w:highlight w:val="none"/>
        </w:rPr>
        <w:t>]</w:t>
      </w:r>
      <w:r>
        <w:rPr>
          <w:rFonts w:hint="eastAsia" w:ascii="宋体" w:hAnsi="宋体"/>
          <w:color w:val="auto"/>
          <w:sz w:val="24"/>
          <w:highlight w:val="none"/>
          <w:lang w:val="en-US" w:eastAsia="zh-CN"/>
        </w:rPr>
        <w:t>25号</w:t>
      </w:r>
      <w:r>
        <w:rPr>
          <w:rFonts w:hint="eastAsia" w:ascii="宋体" w:hAnsi="宋体"/>
          <w:color w:val="auto"/>
          <w:sz w:val="24"/>
          <w:highlight w:val="none"/>
          <w:lang w:eastAsia="zh-CN"/>
        </w:rPr>
        <w:t>）、《福建省工会专干管理办法》（</w:t>
      </w:r>
      <w:r>
        <w:rPr>
          <w:rFonts w:hint="eastAsia" w:ascii="宋体" w:hAnsi="宋体"/>
          <w:color w:val="auto"/>
          <w:sz w:val="24"/>
          <w:highlight w:val="none"/>
        </w:rPr>
        <w:t>闽工[201</w:t>
      </w:r>
      <w:r>
        <w:rPr>
          <w:rFonts w:hint="eastAsia" w:ascii="宋体" w:hAnsi="宋体"/>
          <w:color w:val="auto"/>
          <w:sz w:val="24"/>
          <w:highlight w:val="none"/>
          <w:lang w:val="en-US" w:eastAsia="zh-CN"/>
        </w:rPr>
        <w:t>6</w:t>
      </w:r>
      <w:r>
        <w:rPr>
          <w:rFonts w:hint="eastAsia" w:ascii="宋体" w:hAnsi="宋体"/>
          <w:color w:val="auto"/>
          <w:sz w:val="24"/>
          <w:highlight w:val="none"/>
        </w:rPr>
        <w:t>]8</w:t>
      </w:r>
      <w:r>
        <w:rPr>
          <w:rFonts w:hint="eastAsia" w:ascii="宋体" w:hAnsi="宋体"/>
          <w:color w:val="auto"/>
          <w:sz w:val="24"/>
          <w:highlight w:val="none"/>
          <w:lang w:val="en-US" w:eastAsia="zh-CN"/>
        </w:rPr>
        <w:t>5</w:t>
      </w:r>
      <w:r>
        <w:rPr>
          <w:rFonts w:hint="eastAsia" w:ascii="宋体" w:hAnsi="宋体"/>
          <w:color w:val="auto"/>
          <w:sz w:val="24"/>
          <w:highlight w:val="none"/>
        </w:rPr>
        <w:t>号</w:t>
      </w:r>
      <w:r>
        <w:rPr>
          <w:rFonts w:hint="eastAsia" w:ascii="宋体" w:hAnsi="宋体"/>
          <w:color w:val="auto"/>
          <w:sz w:val="24"/>
          <w:highlight w:val="none"/>
          <w:lang w:eastAsia="zh-CN"/>
        </w:rPr>
        <w:t>）、</w:t>
      </w:r>
      <w:r>
        <w:rPr>
          <w:rFonts w:hint="eastAsia" w:ascii="宋体" w:hAnsi="宋体"/>
          <w:color w:val="auto"/>
          <w:sz w:val="24"/>
          <w:highlight w:val="none"/>
        </w:rPr>
        <w:t>《福建省总工会关于解除暂停招聘工会专干的通知》（闽工[2019]81号）、《厦门市总工会工会专干管理办法》（厦工[2017]71号）文件要求，参照《厦门市事业单位补充工作人员暂行规定》（厦委办[2005]38号）文件执行，结合工作实际，制定</w:t>
      </w:r>
      <w:r>
        <w:rPr>
          <w:rFonts w:hint="eastAsia" w:ascii="宋体" w:hAnsi="宋体"/>
          <w:color w:val="auto"/>
          <w:sz w:val="24"/>
          <w:highlight w:val="none"/>
          <w:lang w:eastAsia="zh-CN"/>
        </w:rPr>
        <w:t>《厦门市总工会2025年下半年工会专干和集体协商指导员招聘考务服务机构采购</w:t>
      </w:r>
      <w:r>
        <w:rPr>
          <w:rFonts w:hint="eastAsia" w:ascii="宋体" w:hAnsi="宋体"/>
          <w:color w:val="auto"/>
          <w:sz w:val="24"/>
          <w:highlight w:val="none"/>
        </w:rPr>
        <w:t>方案</w:t>
      </w:r>
      <w:r>
        <w:rPr>
          <w:rFonts w:hint="eastAsia" w:ascii="宋体" w:hAnsi="宋体"/>
          <w:color w:val="auto"/>
          <w:sz w:val="24"/>
          <w:highlight w:val="none"/>
          <w:lang w:eastAsia="zh-CN"/>
        </w:rPr>
        <w:t>》</w:t>
      </w:r>
      <w:r>
        <w:rPr>
          <w:rFonts w:hint="eastAsia" w:ascii="宋体" w:hAnsi="宋体"/>
          <w:color w:val="auto"/>
          <w:sz w:val="24"/>
          <w:highlight w:val="none"/>
        </w:rPr>
        <w:t>。</w:t>
      </w:r>
    </w:p>
    <w:p w14:paraId="52D28287">
      <w:pPr>
        <w:pStyle w:val="24"/>
        <w:keepNext w:val="0"/>
        <w:keepLines w:val="0"/>
        <w:pageBreakBefore w:val="0"/>
        <w:widowControl w:val="0"/>
        <w:numPr>
          <w:ilvl w:val="1"/>
          <w:numId w:val="3"/>
        </w:numPr>
        <w:tabs>
          <w:tab w:val="left" w:pos="993"/>
        </w:tabs>
        <w:kinsoku/>
        <w:wordWrap/>
        <w:overflowPunct/>
        <w:topLinePunct w:val="0"/>
        <w:autoSpaceDE/>
        <w:autoSpaceDN/>
        <w:bidi w:val="0"/>
        <w:adjustRightInd/>
        <w:snapToGrid/>
        <w:spacing w:line="360" w:lineRule="auto"/>
        <w:ind w:left="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olor w:val="auto"/>
          <w:sz w:val="24"/>
          <w:highlight w:val="none"/>
        </w:rPr>
        <w:t>本次</w:t>
      </w:r>
      <w:r>
        <w:rPr>
          <w:rFonts w:hint="eastAsia" w:ascii="宋体" w:hAnsi="宋体"/>
          <w:color w:val="auto"/>
          <w:sz w:val="24"/>
          <w:highlight w:val="none"/>
          <w:lang w:val="en-US" w:eastAsia="zh-CN"/>
        </w:rPr>
        <w:t>项目拟通过采购方式择选一家第三方机构负责</w:t>
      </w:r>
      <w:r>
        <w:rPr>
          <w:rFonts w:hint="eastAsia" w:ascii="宋体" w:hAnsi="宋体"/>
          <w:color w:val="auto"/>
          <w:sz w:val="24"/>
          <w:highlight w:val="none"/>
        </w:rPr>
        <w:t>工会专干</w:t>
      </w:r>
      <w:r>
        <w:rPr>
          <w:rFonts w:hint="eastAsia" w:ascii="宋体" w:hAnsi="宋体"/>
          <w:color w:val="auto"/>
          <w:sz w:val="24"/>
          <w:highlight w:val="none"/>
          <w:lang w:val="en-US" w:eastAsia="zh-CN"/>
        </w:rPr>
        <w:t>招聘事项。</w:t>
      </w:r>
    </w:p>
    <w:p w14:paraId="2632A519">
      <w:pPr>
        <w:pStyle w:val="4"/>
        <w:spacing w:line="360" w:lineRule="auto"/>
        <w:ind w:firstLine="482" w:firstLineChars="200"/>
        <w:jc w:val="left"/>
        <w:outlineLvl w:val="1"/>
        <w:rPr>
          <w:rFonts w:hint="eastAsia" w:ascii="宋体" w:hAnsi="宋体" w:eastAsia="宋体" w:cs="宋体"/>
          <w:color w:val="auto"/>
          <w:sz w:val="24"/>
          <w:szCs w:val="24"/>
          <w:highlight w:val="none"/>
          <w:lang w:val="en-US" w:eastAsia="zh-CN"/>
        </w:rPr>
      </w:pPr>
      <w:bookmarkStart w:id="137" w:name="_Toc28414"/>
      <w:bookmarkStart w:id="138" w:name="_Toc1209816005"/>
      <w:bookmarkStart w:id="139" w:name="_Toc24469"/>
      <w:bookmarkStart w:id="140" w:name="_Toc163694040"/>
      <w:bookmarkStart w:id="141" w:name="_Toc7862"/>
      <w:bookmarkStart w:id="142" w:name="_Toc22014"/>
      <w:r>
        <w:rPr>
          <w:rFonts w:hint="eastAsia" w:cs="宋体"/>
          <w:b/>
          <w:color w:val="auto"/>
          <w:sz w:val="24"/>
          <w:szCs w:val="24"/>
          <w:highlight w:val="none"/>
        </w:rPr>
        <w:t>二、技术要求</w:t>
      </w:r>
      <w:bookmarkEnd w:id="137"/>
      <w:bookmarkEnd w:id="138"/>
      <w:bookmarkEnd w:id="139"/>
      <w:bookmarkEnd w:id="140"/>
      <w:bookmarkEnd w:id="141"/>
      <w:bookmarkEnd w:id="142"/>
    </w:p>
    <w:p w14:paraId="1426463B">
      <w:pPr>
        <w:pStyle w:val="24"/>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ind w:left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2.1招聘岗位</w:t>
      </w:r>
      <w:r>
        <w:rPr>
          <w:rFonts w:hint="eastAsia" w:ascii="宋体" w:hAnsi="宋体" w:cs="Times New Roman"/>
          <w:color w:val="auto"/>
          <w:sz w:val="24"/>
          <w:highlight w:val="none"/>
          <w:lang w:val="en-US" w:eastAsia="zh-CN"/>
        </w:rPr>
        <w:t xml:space="preserve"> </w:t>
      </w:r>
    </w:p>
    <w:p w14:paraId="0A15CCBC">
      <w:pPr>
        <w:pStyle w:val="24"/>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2.1.1本次招聘工会专干41名，专职集体协商指导员9名。</w:t>
      </w:r>
    </w:p>
    <w:p w14:paraId="62E4F565">
      <w:pPr>
        <w:pStyle w:val="24"/>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ind w:leftChars="200"/>
        <w:textAlignment w:val="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2.1.2工会专干定岗在镇街、开发区（产业园区）和区域性、行业性工会联合会。</w:t>
      </w:r>
      <w:r>
        <w:rPr>
          <w:rFonts w:hint="eastAsia" w:ascii="宋体" w:hAnsi="宋体" w:cs="Times New Roman"/>
          <w:color w:val="auto"/>
          <w:sz w:val="24"/>
          <w:highlight w:val="none"/>
          <w:lang w:val="en-US" w:eastAsia="zh-CN"/>
        </w:rPr>
        <w:t>专职集体协商指导员定岗在市总工会、各区总工会和自贸区工会。</w:t>
      </w:r>
    </w:p>
    <w:p w14:paraId="281C8E9D">
      <w:pPr>
        <w:pStyle w:val="24"/>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ind w:left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2.1.3具体项目</w:t>
      </w:r>
    </w:p>
    <w:tbl>
      <w:tblPr>
        <w:tblStyle w:val="13"/>
        <w:tblW w:w="5158" w:type="pct"/>
        <w:tblInd w:w="-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3"/>
        <w:gridCol w:w="1816"/>
        <w:gridCol w:w="4910"/>
        <w:gridCol w:w="1308"/>
      </w:tblGrid>
      <w:tr w14:paraId="130CC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4" w:type="pct"/>
            <w:tcBorders>
              <w:top w:val="single" w:color="000000" w:sz="4" w:space="0"/>
              <w:left w:val="single" w:color="000000" w:sz="4" w:space="0"/>
              <w:bottom w:val="single" w:color="000000" w:sz="4" w:space="0"/>
              <w:right w:val="single" w:color="000000" w:sz="4" w:space="0"/>
            </w:tcBorders>
            <w:noWrap w:val="0"/>
            <w:vAlign w:val="center"/>
          </w:tcPr>
          <w:p w14:paraId="5968E30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pacing w:val="8"/>
                <w:kern w:val="2"/>
                <w:sz w:val="24"/>
                <w:szCs w:val="24"/>
                <w:highlight w:val="none"/>
              </w:rPr>
            </w:pPr>
            <w:r>
              <w:rPr>
                <w:rFonts w:hint="eastAsia" w:ascii="宋体" w:hAnsi="宋体" w:eastAsia="宋体" w:cs="宋体"/>
                <w:color w:val="auto"/>
                <w:spacing w:val="8"/>
                <w:kern w:val="2"/>
                <w:sz w:val="24"/>
                <w:szCs w:val="24"/>
                <w:highlight w:val="none"/>
                <w:lang w:val="en-US" w:eastAsia="zh-CN" w:bidi="ar"/>
              </w:rPr>
              <w:t>序号</w:t>
            </w:r>
          </w:p>
        </w:tc>
        <w:tc>
          <w:tcPr>
            <w:tcW w:w="3822" w:type="pct"/>
            <w:gridSpan w:val="2"/>
            <w:tcBorders>
              <w:top w:val="single" w:color="000000" w:sz="4" w:space="0"/>
              <w:left w:val="single" w:color="000000" w:sz="4" w:space="0"/>
              <w:bottom w:val="single" w:color="000000" w:sz="4" w:space="0"/>
              <w:right w:val="single" w:color="000000" w:sz="4" w:space="0"/>
            </w:tcBorders>
            <w:noWrap w:val="0"/>
            <w:vAlign w:val="center"/>
          </w:tcPr>
          <w:p w14:paraId="6F3E243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pacing w:val="8"/>
                <w:kern w:val="2"/>
                <w:sz w:val="24"/>
                <w:szCs w:val="24"/>
                <w:highlight w:val="none"/>
              </w:rPr>
            </w:pPr>
            <w:r>
              <w:rPr>
                <w:rFonts w:hint="eastAsia" w:ascii="宋体" w:hAnsi="宋体" w:eastAsia="宋体" w:cs="宋体"/>
                <w:color w:val="auto"/>
                <w:spacing w:val="8"/>
                <w:kern w:val="2"/>
                <w:sz w:val="24"/>
                <w:szCs w:val="24"/>
                <w:highlight w:val="none"/>
                <w:lang w:val="en-US" w:eastAsia="zh-CN" w:bidi="ar"/>
              </w:rPr>
              <w:t>服务内容</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69E4888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pacing w:val="8"/>
                <w:kern w:val="2"/>
                <w:sz w:val="24"/>
                <w:szCs w:val="24"/>
                <w:highlight w:val="none"/>
              </w:rPr>
            </w:pPr>
            <w:r>
              <w:rPr>
                <w:rFonts w:hint="eastAsia" w:ascii="宋体" w:hAnsi="宋体" w:eastAsia="宋体" w:cs="宋体"/>
                <w:color w:val="auto"/>
                <w:spacing w:val="8"/>
                <w:kern w:val="2"/>
                <w:sz w:val="24"/>
                <w:szCs w:val="24"/>
                <w:highlight w:val="none"/>
                <w:lang w:val="en-US" w:eastAsia="zh-CN" w:bidi="ar"/>
              </w:rPr>
              <w:t>暂估数量</w:t>
            </w:r>
          </w:p>
        </w:tc>
      </w:tr>
      <w:tr w14:paraId="2657A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4" w:type="pct"/>
            <w:tcBorders>
              <w:top w:val="single" w:color="000000" w:sz="4" w:space="0"/>
              <w:left w:val="single" w:color="000000" w:sz="4" w:space="0"/>
              <w:bottom w:val="single" w:color="000000" w:sz="4" w:space="0"/>
              <w:right w:val="single" w:color="000000" w:sz="4" w:space="0"/>
            </w:tcBorders>
            <w:noWrap w:val="0"/>
            <w:vAlign w:val="center"/>
          </w:tcPr>
          <w:p w14:paraId="2BE2DE6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pacing w:val="8"/>
                <w:kern w:val="2"/>
                <w:sz w:val="24"/>
                <w:szCs w:val="24"/>
                <w:highlight w:val="none"/>
              </w:rPr>
            </w:pPr>
            <w:r>
              <w:rPr>
                <w:rFonts w:hint="eastAsia" w:ascii="宋体" w:hAnsi="宋体" w:eastAsia="宋体" w:cs="宋体"/>
                <w:color w:val="auto"/>
                <w:spacing w:val="8"/>
                <w:kern w:val="2"/>
                <w:sz w:val="24"/>
                <w:szCs w:val="24"/>
                <w:highlight w:val="none"/>
                <w:lang w:val="en-US" w:eastAsia="zh-CN" w:bidi="ar"/>
              </w:rPr>
              <w:t>1</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65201A7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pacing w:val="8"/>
                <w:kern w:val="2"/>
                <w:sz w:val="24"/>
                <w:szCs w:val="24"/>
                <w:highlight w:val="none"/>
              </w:rPr>
            </w:pPr>
            <w:r>
              <w:rPr>
                <w:rFonts w:hint="eastAsia" w:ascii="宋体" w:hAnsi="宋体" w:eastAsia="宋体" w:cs="宋体"/>
                <w:color w:val="auto"/>
                <w:spacing w:val="8"/>
                <w:kern w:val="2"/>
                <w:sz w:val="24"/>
                <w:szCs w:val="24"/>
                <w:highlight w:val="none"/>
                <w:lang w:val="en-US" w:eastAsia="zh-CN" w:bidi="ar"/>
              </w:rPr>
              <w:t>笔试命题</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3C5FB01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spacing w:val="8"/>
                <w:kern w:val="2"/>
                <w:sz w:val="24"/>
                <w:szCs w:val="24"/>
                <w:highlight w:val="none"/>
              </w:rPr>
            </w:pPr>
            <w:r>
              <w:rPr>
                <w:rFonts w:hint="eastAsia" w:ascii="宋体" w:hAnsi="宋体" w:eastAsia="宋体" w:cs="宋体"/>
                <w:color w:val="auto"/>
                <w:spacing w:val="8"/>
                <w:kern w:val="2"/>
                <w:sz w:val="24"/>
                <w:szCs w:val="24"/>
                <w:highlight w:val="none"/>
                <w:lang w:val="en-US" w:eastAsia="zh-CN" w:bidi="ar"/>
              </w:rPr>
              <w:t>行政职业能力测试、简单应用文写作，体现工会专业知识题目若干</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3AC0E2B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pacing w:val="8"/>
                <w:kern w:val="2"/>
                <w:sz w:val="24"/>
                <w:szCs w:val="24"/>
                <w:highlight w:val="none"/>
              </w:rPr>
            </w:pPr>
            <w:r>
              <w:rPr>
                <w:rFonts w:hint="eastAsia" w:ascii="宋体" w:hAnsi="宋体" w:eastAsia="宋体" w:cs="宋体"/>
                <w:color w:val="auto"/>
                <w:spacing w:val="8"/>
                <w:kern w:val="2"/>
                <w:sz w:val="24"/>
                <w:szCs w:val="24"/>
                <w:highlight w:val="none"/>
                <w:lang w:val="en-US" w:eastAsia="zh-CN" w:bidi="ar"/>
              </w:rPr>
              <w:t>1套</w:t>
            </w:r>
          </w:p>
        </w:tc>
      </w:tr>
      <w:tr w14:paraId="5B6B7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4" w:type="pct"/>
            <w:tcBorders>
              <w:top w:val="single" w:color="000000" w:sz="4" w:space="0"/>
              <w:left w:val="single" w:color="000000" w:sz="4" w:space="0"/>
              <w:bottom w:val="single" w:color="000000" w:sz="4" w:space="0"/>
              <w:right w:val="single" w:color="000000" w:sz="4" w:space="0"/>
            </w:tcBorders>
            <w:noWrap w:val="0"/>
            <w:vAlign w:val="center"/>
          </w:tcPr>
          <w:p w14:paraId="0A12CF4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pacing w:val="8"/>
                <w:kern w:val="2"/>
                <w:sz w:val="24"/>
                <w:szCs w:val="24"/>
                <w:highlight w:val="none"/>
              </w:rPr>
            </w:pPr>
            <w:r>
              <w:rPr>
                <w:rFonts w:hint="eastAsia" w:ascii="宋体" w:hAnsi="宋体" w:eastAsia="宋体" w:cs="宋体"/>
                <w:color w:val="auto"/>
                <w:spacing w:val="8"/>
                <w:kern w:val="2"/>
                <w:sz w:val="24"/>
                <w:szCs w:val="24"/>
                <w:highlight w:val="none"/>
                <w:lang w:val="en-US" w:eastAsia="zh-CN" w:bidi="ar"/>
              </w:rPr>
              <w:t>2</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2F36D35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pacing w:val="8"/>
                <w:kern w:val="2"/>
                <w:sz w:val="24"/>
                <w:szCs w:val="24"/>
                <w:highlight w:val="none"/>
              </w:rPr>
            </w:pPr>
            <w:r>
              <w:rPr>
                <w:rFonts w:hint="eastAsia" w:ascii="宋体" w:hAnsi="宋体" w:eastAsia="宋体" w:cs="宋体"/>
                <w:color w:val="auto"/>
                <w:spacing w:val="8"/>
                <w:kern w:val="2"/>
                <w:sz w:val="24"/>
                <w:szCs w:val="24"/>
                <w:highlight w:val="none"/>
                <w:lang w:val="en-US" w:eastAsia="zh-CN" w:bidi="ar"/>
              </w:rPr>
              <w:t>面试命题</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5EE70C2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spacing w:val="8"/>
                <w:kern w:val="2"/>
                <w:sz w:val="24"/>
                <w:szCs w:val="24"/>
                <w:highlight w:val="none"/>
              </w:rPr>
            </w:pPr>
            <w:r>
              <w:rPr>
                <w:rFonts w:hint="eastAsia" w:ascii="宋体" w:hAnsi="宋体" w:eastAsia="宋体" w:cs="宋体"/>
                <w:color w:val="auto"/>
                <w:spacing w:val="8"/>
                <w:kern w:val="2"/>
                <w:sz w:val="24"/>
                <w:szCs w:val="24"/>
                <w:highlight w:val="none"/>
                <w:lang w:val="en-US" w:eastAsia="zh-CN" w:bidi="ar"/>
              </w:rPr>
              <w:t xml:space="preserve">结构化面试公共卷命题 </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7F44F8D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pacing w:val="8"/>
                <w:kern w:val="2"/>
                <w:sz w:val="24"/>
                <w:szCs w:val="24"/>
                <w:highlight w:val="none"/>
              </w:rPr>
            </w:pPr>
            <w:r>
              <w:rPr>
                <w:rFonts w:hint="eastAsia" w:ascii="宋体" w:hAnsi="宋体" w:eastAsia="宋体" w:cs="宋体"/>
                <w:color w:val="auto"/>
                <w:spacing w:val="8"/>
                <w:kern w:val="2"/>
                <w:sz w:val="24"/>
                <w:szCs w:val="24"/>
                <w:highlight w:val="none"/>
                <w:lang w:val="en-US" w:eastAsia="zh-CN" w:bidi="ar"/>
              </w:rPr>
              <w:t>1套</w:t>
            </w:r>
          </w:p>
        </w:tc>
      </w:tr>
      <w:tr w14:paraId="0D45A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4" w:type="pct"/>
            <w:tcBorders>
              <w:top w:val="single" w:color="000000" w:sz="4" w:space="0"/>
              <w:left w:val="single" w:color="000000" w:sz="4" w:space="0"/>
              <w:bottom w:val="single" w:color="000000" w:sz="4" w:space="0"/>
              <w:right w:val="single" w:color="000000" w:sz="4" w:space="0"/>
            </w:tcBorders>
            <w:noWrap w:val="0"/>
            <w:vAlign w:val="center"/>
          </w:tcPr>
          <w:p w14:paraId="4385ED6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pacing w:val="8"/>
                <w:kern w:val="2"/>
                <w:sz w:val="24"/>
                <w:szCs w:val="24"/>
                <w:highlight w:val="none"/>
              </w:rPr>
            </w:pPr>
            <w:r>
              <w:rPr>
                <w:rFonts w:hint="eastAsia" w:ascii="宋体" w:hAnsi="宋体" w:eastAsia="宋体" w:cs="宋体"/>
                <w:color w:val="auto"/>
                <w:spacing w:val="8"/>
                <w:kern w:val="2"/>
                <w:sz w:val="24"/>
                <w:szCs w:val="24"/>
                <w:highlight w:val="none"/>
                <w:lang w:val="en-US" w:eastAsia="zh-CN" w:bidi="ar"/>
              </w:rPr>
              <w:t>3</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6B3595F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pacing w:val="8"/>
                <w:kern w:val="2"/>
                <w:sz w:val="24"/>
                <w:szCs w:val="24"/>
                <w:highlight w:val="none"/>
              </w:rPr>
            </w:pPr>
            <w:r>
              <w:rPr>
                <w:rFonts w:hint="eastAsia" w:ascii="宋体" w:hAnsi="宋体" w:eastAsia="宋体" w:cs="宋体"/>
                <w:color w:val="auto"/>
                <w:spacing w:val="8"/>
                <w:kern w:val="2"/>
                <w:sz w:val="24"/>
                <w:szCs w:val="24"/>
                <w:highlight w:val="none"/>
                <w:lang w:val="en-US" w:eastAsia="zh-CN" w:bidi="ar"/>
              </w:rPr>
              <w:t>笔试制卷、阅卷、登分、试卷押运</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4770BA1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spacing w:val="8"/>
                <w:kern w:val="2"/>
                <w:sz w:val="24"/>
                <w:szCs w:val="24"/>
                <w:highlight w:val="none"/>
              </w:rPr>
            </w:pPr>
            <w:r>
              <w:rPr>
                <w:rFonts w:hint="eastAsia" w:ascii="宋体" w:hAnsi="宋体" w:eastAsia="宋体" w:cs="宋体"/>
                <w:color w:val="auto"/>
                <w:spacing w:val="8"/>
                <w:kern w:val="2"/>
                <w:sz w:val="24"/>
                <w:szCs w:val="24"/>
                <w:highlight w:val="none"/>
                <w:lang w:val="en-US" w:eastAsia="zh-CN" w:bidi="ar"/>
              </w:rPr>
              <w:t>标准答题卡考试制卷、阅卷、登分服务；非标准答题卡考试制卷、阅卷、登分服务；试卷押运服务</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31B15D9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pacing w:val="8"/>
                <w:kern w:val="2"/>
                <w:sz w:val="24"/>
                <w:szCs w:val="24"/>
                <w:highlight w:val="none"/>
              </w:rPr>
            </w:pPr>
            <w:r>
              <w:rPr>
                <w:rFonts w:hint="eastAsia" w:ascii="宋体" w:hAnsi="宋体" w:cs="宋体"/>
                <w:color w:val="auto"/>
                <w:spacing w:val="8"/>
                <w:kern w:val="2"/>
                <w:sz w:val="24"/>
                <w:szCs w:val="24"/>
                <w:highlight w:val="none"/>
                <w:lang w:val="en-US" w:eastAsia="zh-CN" w:bidi="ar"/>
              </w:rPr>
              <w:t>5000</w:t>
            </w:r>
            <w:r>
              <w:rPr>
                <w:rFonts w:hint="eastAsia" w:ascii="宋体" w:hAnsi="宋体" w:eastAsia="宋体" w:cs="宋体"/>
                <w:color w:val="auto"/>
                <w:spacing w:val="8"/>
                <w:kern w:val="2"/>
                <w:sz w:val="24"/>
                <w:szCs w:val="24"/>
                <w:highlight w:val="none"/>
                <w:lang w:val="en-US" w:eastAsia="zh-CN" w:bidi="ar"/>
              </w:rPr>
              <w:t>份</w:t>
            </w:r>
          </w:p>
        </w:tc>
      </w:tr>
      <w:tr w14:paraId="09C01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4" w:type="pct"/>
            <w:tcBorders>
              <w:top w:val="single" w:color="000000" w:sz="4" w:space="0"/>
              <w:left w:val="single" w:color="000000" w:sz="4" w:space="0"/>
              <w:bottom w:val="single" w:color="000000" w:sz="4" w:space="0"/>
              <w:right w:val="single" w:color="000000" w:sz="4" w:space="0"/>
            </w:tcBorders>
            <w:noWrap w:val="0"/>
            <w:vAlign w:val="center"/>
          </w:tcPr>
          <w:p w14:paraId="693EBFC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pacing w:val="8"/>
                <w:kern w:val="2"/>
                <w:sz w:val="24"/>
                <w:szCs w:val="24"/>
                <w:highlight w:val="none"/>
              </w:rPr>
            </w:pPr>
            <w:r>
              <w:rPr>
                <w:rFonts w:hint="eastAsia" w:ascii="宋体" w:hAnsi="宋体" w:eastAsia="宋体" w:cs="宋体"/>
                <w:color w:val="auto"/>
                <w:spacing w:val="8"/>
                <w:kern w:val="2"/>
                <w:sz w:val="24"/>
                <w:szCs w:val="24"/>
                <w:highlight w:val="none"/>
                <w:lang w:val="en-US" w:eastAsia="zh-CN" w:bidi="ar"/>
              </w:rPr>
              <w:t>4</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487F4F7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pacing w:val="8"/>
                <w:kern w:val="2"/>
                <w:sz w:val="24"/>
                <w:szCs w:val="24"/>
                <w:highlight w:val="none"/>
              </w:rPr>
            </w:pPr>
            <w:r>
              <w:rPr>
                <w:rFonts w:hint="eastAsia" w:ascii="宋体" w:hAnsi="宋体" w:eastAsia="宋体" w:cs="宋体"/>
                <w:color w:val="auto"/>
                <w:spacing w:val="8"/>
                <w:kern w:val="2"/>
                <w:sz w:val="24"/>
                <w:szCs w:val="24"/>
                <w:highlight w:val="none"/>
                <w:lang w:val="en-US" w:eastAsia="zh-CN" w:bidi="ar"/>
              </w:rPr>
              <w:t>发布公告</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4E2AD61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spacing w:val="8"/>
                <w:kern w:val="2"/>
                <w:sz w:val="24"/>
                <w:szCs w:val="24"/>
                <w:highlight w:val="none"/>
              </w:rPr>
            </w:pPr>
            <w:r>
              <w:rPr>
                <w:rFonts w:hint="eastAsia" w:ascii="宋体" w:hAnsi="宋体" w:eastAsia="宋体" w:cs="宋体"/>
                <w:color w:val="auto"/>
                <w:spacing w:val="8"/>
                <w:kern w:val="2"/>
                <w:sz w:val="24"/>
                <w:szCs w:val="24"/>
                <w:highlight w:val="none"/>
                <w:lang w:val="en-US" w:eastAsia="zh-CN" w:bidi="ar"/>
              </w:rPr>
              <w:t>招聘简章拟定、网站发布，以及笔试、面试等考试信息公示等</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7432E49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pacing w:val="8"/>
                <w:kern w:val="2"/>
                <w:sz w:val="24"/>
                <w:szCs w:val="24"/>
                <w:highlight w:val="none"/>
              </w:rPr>
            </w:pPr>
            <w:r>
              <w:rPr>
                <w:rFonts w:hint="eastAsia" w:ascii="宋体" w:hAnsi="宋体" w:eastAsia="宋体" w:cs="宋体"/>
                <w:color w:val="auto"/>
                <w:spacing w:val="8"/>
                <w:kern w:val="2"/>
                <w:sz w:val="24"/>
                <w:szCs w:val="24"/>
                <w:highlight w:val="none"/>
                <w:lang w:val="en-US" w:eastAsia="zh-CN" w:bidi="ar"/>
              </w:rPr>
              <w:t>1项</w:t>
            </w:r>
          </w:p>
        </w:tc>
      </w:tr>
      <w:tr w14:paraId="6CB61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4" w:type="pct"/>
            <w:tcBorders>
              <w:top w:val="single" w:color="000000" w:sz="4" w:space="0"/>
              <w:left w:val="single" w:color="000000" w:sz="4" w:space="0"/>
              <w:bottom w:val="single" w:color="000000" w:sz="4" w:space="0"/>
              <w:right w:val="single" w:color="000000" w:sz="4" w:space="0"/>
            </w:tcBorders>
            <w:noWrap w:val="0"/>
            <w:vAlign w:val="center"/>
          </w:tcPr>
          <w:p w14:paraId="0C53F59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pacing w:val="8"/>
                <w:kern w:val="2"/>
                <w:sz w:val="24"/>
                <w:szCs w:val="24"/>
                <w:highlight w:val="none"/>
              </w:rPr>
            </w:pPr>
            <w:r>
              <w:rPr>
                <w:rFonts w:hint="eastAsia" w:ascii="宋体" w:hAnsi="宋体" w:eastAsia="宋体" w:cs="宋体"/>
                <w:color w:val="auto"/>
                <w:spacing w:val="8"/>
                <w:kern w:val="2"/>
                <w:sz w:val="24"/>
                <w:szCs w:val="24"/>
                <w:highlight w:val="none"/>
                <w:lang w:val="en-US" w:eastAsia="zh-CN" w:bidi="ar"/>
              </w:rPr>
              <w:t>5</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4144CC0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pacing w:val="8"/>
                <w:kern w:val="2"/>
                <w:sz w:val="24"/>
                <w:szCs w:val="24"/>
                <w:highlight w:val="none"/>
              </w:rPr>
            </w:pPr>
            <w:r>
              <w:rPr>
                <w:rFonts w:hint="eastAsia" w:ascii="宋体" w:hAnsi="宋体" w:eastAsia="宋体" w:cs="宋体"/>
                <w:color w:val="auto"/>
                <w:spacing w:val="8"/>
                <w:kern w:val="2"/>
                <w:sz w:val="24"/>
                <w:szCs w:val="24"/>
                <w:highlight w:val="none"/>
                <w:lang w:val="en-US" w:eastAsia="zh-CN" w:bidi="ar"/>
              </w:rPr>
              <w:t>笔试考务组织</w:t>
            </w:r>
          </w:p>
          <w:p w14:paraId="5B320CD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pacing w:val="8"/>
                <w:kern w:val="2"/>
                <w:sz w:val="24"/>
                <w:szCs w:val="24"/>
                <w:highlight w:val="none"/>
              </w:rPr>
            </w:pPr>
            <w:r>
              <w:rPr>
                <w:rFonts w:hint="eastAsia" w:ascii="宋体" w:hAnsi="宋体" w:eastAsia="宋体" w:cs="宋体"/>
                <w:color w:val="auto"/>
                <w:spacing w:val="8"/>
                <w:kern w:val="2"/>
                <w:sz w:val="24"/>
                <w:szCs w:val="24"/>
                <w:highlight w:val="none"/>
                <w:lang w:val="en-US" w:eastAsia="zh-CN" w:bidi="ar"/>
              </w:rPr>
              <w:t>（30人标准）</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1B0C689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spacing w:val="8"/>
                <w:kern w:val="2"/>
                <w:sz w:val="24"/>
                <w:szCs w:val="24"/>
                <w:highlight w:val="none"/>
              </w:rPr>
            </w:pPr>
            <w:r>
              <w:rPr>
                <w:rFonts w:hint="eastAsia" w:ascii="宋体" w:hAnsi="宋体" w:eastAsia="宋体" w:cs="宋体"/>
                <w:color w:val="auto"/>
                <w:spacing w:val="8"/>
                <w:kern w:val="2"/>
                <w:sz w:val="24"/>
                <w:szCs w:val="24"/>
                <w:highlight w:val="none"/>
                <w:lang w:val="en-US" w:eastAsia="zh-CN" w:bidi="ar"/>
              </w:rPr>
              <w:t>考场布置，考试材料准备，考务组织、人员协调、场地和设备租赁，笔试监考、考务人员（</w:t>
            </w:r>
            <w:r>
              <w:rPr>
                <w:rFonts w:hint="eastAsia" w:ascii="宋体" w:hAnsi="宋体" w:eastAsia="宋体" w:cs="宋体"/>
                <w:color w:val="auto"/>
                <w:kern w:val="2"/>
                <w:sz w:val="24"/>
                <w:szCs w:val="24"/>
                <w:highlight w:val="none"/>
                <w:shd w:val="clear" w:color="auto" w:fill="FFFFFF"/>
                <w:lang w:val="en-US" w:eastAsia="zh-CN" w:bidi="ar"/>
              </w:rPr>
              <w:t>考点应根据考场人数配备考场监考，50人及以下的考场至少应配备2名考场监考</w:t>
            </w:r>
            <w:r>
              <w:rPr>
                <w:rFonts w:hint="eastAsia" w:ascii="宋体" w:hAnsi="宋体" w:eastAsia="宋体" w:cs="宋体"/>
                <w:color w:val="auto"/>
                <w:spacing w:val="8"/>
                <w:kern w:val="2"/>
                <w:sz w:val="24"/>
                <w:szCs w:val="24"/>
                <w:highlight w:val="none"/>
                <w:lang w:val="en-US" w:eastAsia="zh-CN" w:bidi="ar"/>
              </w:rPr>
              <w:t>）及其他工作人员劳务费等笔试考务相关全部费用包干</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2A06F4A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pacing w:val="8"/>
                <w:kern w:val="2"/>
                <w:sz w:val="24"/>
                <w:szCs w:val="24"/>
                <w:highlight w:val="none"/>
              </w:rPr>
            </w:pPr>
            <w:r>
              <w:rPr>
                <w:rFonts w:hint="eastAsia" w:ascii="宋体" w:hAnsi="宋体" w:eastAsia="宋体" w:cs="宋体"/>
                <w:color w:val="auto"/>
                <w:spacing w:val="8"/>
                <w:kern w:val="2"/>
                <w:sz w:val="24"/>
                <w:szCs w:val="24"/>
                <w:highlight w:val="none"/>
                <w:lang w:val="en-US" w:eastAsia="zh-CN" w:bidi="ar"/>
              </w:rPr>
              <w:t>167场</w:t>
            </w:r>
          </w:p>
        </w:tc>
      </w:tr>
      <w:tr w14:paraId="150F1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4" w:type="pct"/>
            <w:tcBorders>
              <w:top w:val="single" w:color="000000" w:sz="4" w:space="0"/>
              <w:left w:val="single" w:color="000000" w:sz="4" w:space="0"/>
              <w:bottom w:val="single" w:color="000000" w:sz="4" w:space="0"/>
              <w:right w:val="single" w:color="000000" w:sz="4" w:space="0"/>
            </w:tcBorders>
            <w:noWrap w:val="0"/>
            <w:vAlign w:val="center"/>
          </w:tcPr>
          <w:p w14:paraId="12F314C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pacing w:val="8"/>
                <w:kern w:val="2"/>
                <w:sz w:val="24"/>
                <w:szCs w:val="24"/>
                <w:highlight w:val="none"/>
              </w:rPr>
            </w:pPr>
            <w:r>
              <w:rPr>
                <w:rFonts w:hint="eastAsia" w:ascii="宋体" w:hAnsi="宋体" w:eastAsia="宋体" w:cs="宋体"/>
                <w:color w:val="auto"/>
                <w:spacing w:val="8"/>
                <w:kern w:val="2"/>
                <w:sz w:val="24"/>
                <w:szCs w:val="24"/>
                <w:highlight w:val="none"/>
                <w:lang w:val="en-US" w:eastAsia="zh-CN" w:bidi="ar"/>
              </w:rPr>
              <w:t>6</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0BE5751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pacing w:val="8"/>
                <w:kern w:val="2"/>
                <w:sz w:val="24"/>
                <w:szCs w:val="24"/>
                <w:highlight w:val="none"/>
              </w:rPr>
            </w:pPr>
            <w:r>
              <w:rPr>
                <w:rFonts w:hint="eastAsia" w:ascii="宋体" w:hAnsi="宋体" w:eastAsia="宋体" w:cs="宋体"/>
                <w:color w:val="auto"/>
                <w:spacing w:val="8"/>
                <w:kern w:val="2"/>
                <w:sz w:val="24"/>
                <w:szCs w:val="24"/>
                <w:highlight w:val="none"/>
                <w:lang w:val="en-US" w:eastAsia="zh-CN" w:bidi="ar"/>
              </w:rPr>
              <w:t>面试考务组织</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5751C25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spacing w:val="8"/>
                <w:kern w:val="2"/>
                <w:sz w:val="24"/>
                <w:szCs w:val="24"/>
                <w:highlight w:val="none"/>
              </w:rPr>
            </w:pPr>
            <w:r>
              <w:rPr>
                <w:rFonts w:hint="eastAsia" w:ascii="宋体" w:hAnsi="宋体" w:eastAsia="宋体" w:cs="宋体"/>
                <w:color w:val="auto"/>
                <w:spacing w:val="8"/>
                <w:kern w:val="2"/>
                <w:sz w:val="24"/>
                <w:szCs w:val="24"/>
                <w:highlight w:val="none"/>
                <w:lang w:val="en-US" w:eastAsia="zh-CN" w:bidi="ar"/>
              </w:rPr>
              <w:t>考场布置，考试材料准备、场地和设备租赁、考务组织、人员协调，面试考官、考务人员及其他工作人员劳务费等综合服务相关费用包干</w:t>
            </w:r>
          </w:p>
        </w:tc>
        <w:tc>
          <w:tcPr>
            <w:tcW w:w="743" w:type="pct"/>
            <w:tcBorders>
              <w:top w:val="single" w:color="000000" w:sz="4" w:space="0"/>
              <w:left w:val="single" w:color="000000" w:sz="4" w:space="0"/>
              <w:bottom w:val="single" w:color="000000" w:sz="4" w:space="0"/>
              <w:right w:val="single" w:color="000000" w:sz="4" w:space="0"/>
            </w:tcBorders>
            <w:noWrap w:val="0"/>
            <w:vAlign w:val="center"/>
          </w:tcPr>
          <w:p w14:paraId="1A1A598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pacing w:val="8"/>
                <w:kern w:val="2"/>
                <w:sz w:val="24"/>
                <w:szCs w:val="24"/>
                <w:highlight w:val="none"/>
              </w:rPr>
            </w:pPr>
            <w:r>
              <w:rPr>
                <w:rFonts w:hint="eastAsia" w:ascii="宋体" w:hAnsi="宋体" w:eastAsia="宋体" w:cs="宋体"/>
                <w:color w:val="auto"/>
                <w:spacing w:val="8"/>
                <w:kern w:val="2"/>
                <w:sz w:val="24"/>
                <w:szCs w:val="24"/>
                <w:highlight w:val="none"/>
                <w:lang w:val="en-US" w:eastAsia="zh-CN" w:bidi="ar"/>
              </w:rPr>
              <w:t>9场</w:t>
            </w:r>
          </w:p>
        </w:tc>
      </w:tr>
    </w:tbl>
    <w:p w14:paraId="0EFAA9D2">
      <w:pPr>
        <w:pStyle w:val="24"/>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b/>
          <w:bCs/>
          <w:color w:val="auto"/>
          <w:sz w:val="24"/>
          <w:highlight w:val="none"/>
        </w:rPr>
      </w:pPr>
      <w:r>
        <w:rPr>
          <w:rFonts w:hint="eastAsia" w:ascii="宋体" w:hAnsi="宋体"/>
          <w:b/>
          <w:bCs/>
          <w:color w:val="auto"/>
          <w:sz w:val="24"/>
          <w:highlight w:val="none"/>
          <w:lang w:val="en-US" w:eastAsia="zh-CN"/>
        </w:rPr>
        <w:t>*2.1.4</w:t>
      </w:r>
      <w:r>
        <w:rPr>
          <w:rFonts w:hint="eastAsia" w:ascii="宋体" w:hAnsi="宋体"/>
          <w:b/>
          <w:bCs/>
          <w:color w:val="auto"/>
          <w:sz w:val="24"/>
          <w:highlight w:val="none"/>
        </w:rPr>
        <w:t>备注：场地（笔试考场、面试</w:t>
      </w:r>
      <w:r>
        <w:rPr>
          <w:rFonts w:hint="eastAsia" w:ascii="宋体" w:hAnsi="宋体"/>
          <w:b/>
          <w:bCs/>
          <w:color w:val="auto"/>
          <w:sz w:val="24"/>
          <w:highlight w:val="none"/>
          <w:lang w:eastAsia="zh-CN"/>
        </w:rPr>
        <w:t>考场</w:t>
      </w:r>
      <w:r>
        <w:rPr>
          <w:rFonts w:hint="eastAsia" w:ascii="宋体" w:hAnsi="宋体"/>
          <w:b/>
          <w:bCs/>
          <w:color w:val="auto"/>
          <w:sz w:val="24"/>
          <w:highlight w:val="none"/>
        </w:rPr>
        <w:t>、主考室</w:t>
      </w:r>
      <w:r>
        <w:rPr>
          <w:rFonts w:hint="eastAsia" w:ascii="宋体" w:hAnsi="宋体"/>
          <w:b/>
          <w:bCs/>
          <w:color w:val="auto"/>
          <w:sz w:val="24"/>
          <w:highlight w:val="none"/>
          <w:lang w:eastAsia="zh-CN"/>
        </w:rPr>
        <w:t>等</w:t>
      </w:r>
      <w:r>
        <w:rPr>
          <w:rFonts w:hint="eastAsia" w:ascii="宋体" w:hAnsi="宋体"/>
          <w:b/>
          <w:bCs/>
          <w:color w:val="auto"/>
          <w:sz w:val="24"/>
          <w:highlight w:val="none"/>
        </w:rPr>
        <w:t>）、考场录像、摄像器材租赁、考官劳务费等相关费用包含在以上报价中，不另行计算。本次招聘工作预计报名人数为</w:t>
      </w:r>
      <w:r>
        <w:rPr>
          <w:rFonts w:hint="eastAsia" w:ascii="宋体" w:hAnsi="宋体"/>
          <w:b/>
          <w:bCs/>
          <w:color w:val="auto"/>
          <w:sz w:val="24"/>
          <w:highlight w:val="none"/>
          <w:lang w:val="en-US" w:eastAsia="zh-CN"/>
        </w:rPr>
        <w:t>5000</w:t>
      </w:r>
      <w:r>
        <w:rPr>
          <w:rFonts w:hint="eastAsia" w:ascii="宋体" w:hAnsi="宋体"/>
          <w:b/>
          <w:bCs/>
          <w:color w:val="auto"/>
          <w:sz w:val="24"/>
          <w:highlight w:val="none"/>
        </w:rPr>
        <w:t>人，若报名人数少于或多于</w:t>
      </w:r>
      <w:r>
        <w:rPr>
          <w:rFonts w:hint="eastAsia" w:ascii="宋体" w:hAnsi="宋体"/>
          <w:b/>
          <w:bCs/>
          <w:color w:val="auto"/>
          <w:sz w:val="24"/>
          <w:highlight w:val="none"/>
          <w:lang w:val="en-US" w:eastAsia="zh-CN"/>
        </w:rPr>
        <w:t>5000</w:t>
      </w:r>
      <w:r>
        <w:rPr>
          <w:rFonts w:hint="eastAsia" w:ascii="宋体" w:hAnsi="宋体"/>
          <w:b/>
          <w:bCs/>
          <w:color w:val="auto"/>
          <w:sz w:val="24"/>
          <w:highlight w:val="none"/>
        </w:rPr>
        <w:t>人，则根据笔试制卷、阅卷、登分数量，考试场次等按实际费用和数量结算。考务组织（设施设备、考官人数等）必须按照行业主管部门要求。在服务本项目的过程中，必须严格落实保密规定，若因</w:t>
      </w:r>
      <w:r>
        <w:rPr>
          <w:rFonts w:hint="eastAsia" w:ascii="宋体" w:hAnsi="宋体"/>
          <w:b/>
          <w:bCs/>
          <w:color w:val="auto"/>
          <w:sz w:val="24"/>
          <w:highlight w:val="none"/>
          <w:lang w:val="en-US" w:eastAsia="zh-CN"/>
        </w:rPr>
        <w:t>成交人</w:t>
      </w:r>
      <w:r>
        <w:rPr>
          <w:rFonts w:hint="eastAsia" w:ascii="宋体" w:hAnsi="宋体"/>
          <w:b/>
          <w:bCs/>
          <w:color w:val="auto"/>
          <w:sz w:val="24"/>
          <w:highlight w:val="none"/>
        </w:rPr>
        <w:t>或其合作机构的原因导致出现与考试相关的信息泄露且造成不利社会影响的，视为</w:t>
      </w:r>
      <w:r>
        <w:rPr>
          <w:rFonts w:hint="eastAsia" w:ascii="宋体" w:hAnsi="宋体"/>
          <w:b/>
          <w:bCs/>
          <w:color w:val="auto"/>
          <w:sz w:val="24"/>
          <w:highlight w:val="none"/>
          <w:lang w:val="en-US" w:eastAsia="zh-CN"/>
        </w:rPr>
        <w:t>成交人</w:t>
      </w:r>
      <w:r>
        <w:rPr>
          <w:rFonts w:hint="eastAsia" w:ascii="宋体" w:hAnsi="宋体"/>
          <w:b/>
          <w:bCs/>
          <w:color w:val="auto"/>
          <w:sz w:val="24"/>
          <w:highlight w:val="none"/>
        </w:rPr>
        <w:t>违约，</w:t>
      </w:r>
      <w:r>
        <w:rPr>
          <w:rFonts w:hint="eastAsia" w:ascii="宋体" w:hAnsi="宋体"/>
          <w:b/>
          <w:bCs/>
          <w:color w:val="auto"/>
          <w:sz w:val="24"/>
          <w:highlight w:val="none"/>
          <w:lang w:val="en-US" w:eastAsia="zh-CN"/>
        </w:rPr>
        <w:t>招标人</w:t>
      </w:r>
      <w:r>
        <w:rPr>
          <w:rFonts w:hint="eastAsia" w:ascii="宋体" w:hAnsi="宋体"/>
          <w:b/>
          <w:bCs/>
          <w:color w:val="auto"/>
          <w:sz w:val="24"/>
          <w:highlight w:val="none"/>
        </w:rPr>
        <w:t>有权解除双方合同，有权向</w:t>
      </w:r>
      <w:r>
        <w:rPr>
          <w:rFonts w:hint="eastAsia" w:ascii="宋体" w:hAnsi="宋体"/>
          <w:b/>
          <w:bCs/>
          <w:color w:val="auto"/>
          <w:sz w:val="24"/>
          <w:highlight w:val="none"/>
          <w:lang w:val="en-US" w:eastAsia="zh-CN"/>
        </w:rPr>
        <w:t>成交人</w:t>
      </w:r>
      <w:r>
        <w:rPr>
          <w:rFonts w:hint="eastAsia" w:ascii="宋体" w:hAnsi="宋体"/>
          <w:b/>
          <w:bCs/>
          <w:color w:val="auto"/>
          <w:sz w:val="24"/>
          <w:highlight w:val="none"/>
        </w:rPr>
        <w:t>按照国家相关法律法规追究法律责任。给</w:t>
      </w:r>
      <w:r>
        <w:rPr>
          <w:rFonts w:hint="eastAsia" w:ascii="宋体" w:hAnsi="宋体"/>
          <w:b/>
          <w:bCs/>
          <w:color w:val="auto"/>
          <w:sz w:val="24"/>
          <w:highlight w:val="none"/>
          <w:lang w:val="en-US" w:eastAsia="zh-CN"/>
        </w:rPr>
        <w:t>招标人</w:t>
      </w:r>
      <w:r>
        <w:rPr>
          <w:rFonts w:hint="eastAsia" w:ascii="宋体" w:hAnsi="宋体"/>
          <w:b/>
          <w:bCs/>
          <w:color w:val="auto"/>
          <w:sz w:val="24"/>
          <w:highlight w:val="none"/>
        </w:rPr>
        <w:t>造成损失的，还必须进行赔偿。</w:t>
      </w:r>
    </w:p>
    <w:p w14:paraId="781451E4">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2.2招聘办法</w:t>
      </w:r>
    </w:p>
    <w:p w14:paraId="051B9448">
      <w:pPr>
        <w:pStyle w:val="24"/>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报价人</w:t>
      </w:r>
      <w:r>
        <w:rPr>
          <w:rFonts w:hint="eastAsia" w:ascii="宋体" w:hAnsi="宋体" w:eastAsia="宋体" w:cs="宋体"/>
          <w:color w:val="auto"/>
          <w:sz w:val="24"/>
          <w:szCs w:val="24"/>
          <w:highlight w:val="none"/>
          <w:lang w:val="en-US" w:eastAsia="zh-CN"/>
        </w:rPr>
        <w:t>应协助招标人</w:t>
      </w:r>
      <w:r>
        <w:rPr>
          <w:rFonts w:hint="eastAsia" w:ascii="宋体" w:hAnsi="宋体" w:eastAsia="宋体" w:cs="宋体"/>
          <w:color w:val="auto"/>
          <w:sz w:val="24"/>
          <w:szCs w:val="24"/>
          <w:highlight w:val="none"/>
        </w:rPr>
        <w:t>坚持公开、平等、竞争、择优原则，按发布公告、公开报名、笔试</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面试、体检、考察、公示、录用等程序面向社会公开招聘。</w:t>
      </w:r>
    </w:p>
    <w:p w14:paraId="79FCDF9D">
      <w:pPr>
        <w:pStyle w:val="24"/>
        <w:keepNext w:val="0"/>
        <w:keepLines w:val="0"/>
        <w:pageBreakBefore w:val="0"/>
        <w:widowControl w:val="0"/>
        <w:numPr>
          <w:ilvl w:val="1"/>
          <w:numId w:val="0"/>
        </w:numPr>
        <w:tabs>
          <w:tab w:val="left" w:pos="993"/>
        </w:tabs>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2.2.1</w:t>
      </w:r>
      <w:r>
        <w:rPr>
          <w:rFonts w:hint="eastAsia" w:ascii="宋体" w:hAnsi="宋体" w:eastAsia="宋体" w:cs="宋体"/>
          <w:b/>
          <w:bCs/>
          <w:color w:val="auto"/>
          <w:sz w:val="24"/>
          <w:szCs w:val="24"/>
          <w:highlight w:val="none"/>
        </w:rPr>
        <w:t>发布公告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公开发布招聘信息，通过在厦门市人力资源和社会保障局网站、厦门人才网、厦门市总工会网站、厦门市总工会微信公众号</w:t>
      </w:r>
      <w:r>
        <w:rPr>
          <w:rFonts w:hint="eastAsia" w:ascii="宋体" w:hAnsi="宋体" w:cs="宋体"/>
          <w:color w:val="auto"/>
          <w:sz w:val="24"/>
          <w:szCs w:val="24"/>
          <w:highlight w:val="none"/>
          <w:lang w:eastAsia="zh-CN"/>
        </w:rPr>
        <w:t>、招聘考务单位网站</w:t>
      </w:r>
      <w:r>
        <w:rPr>
          <w:rFonts w:hint="eastAsia" w:ascii="宋体" w:hAnsi="宋体" w:eastAsia="宋体" w:cs="宋体"/>
          <w:color w:val="auto"/>
          <w:sz w:val="24"/>
          <w:szCs w:val="24"/>
          <w:highlight w:val="none"/>
        </w:rPr>
        <w:t>等平台上公开发布招聘公告，公告应于考试前不少于20天发布，报名时间不少于7天。</w:t>
      </w:r>
    </w:p>
    <w:p w14:paraId="3E40C8DD">
      <w:pPr>
        <w:pStyle w:val="24"/>
        <w:keepNext w:val="0"/>
        <w:keepLines w:val="0"/>
        <w:pageBreakBefore w:val="0"/>
        <w:widowControl w:val="0"/>
        <w:numPr>
          <w:ilvl w:val="1"/>
          <w:numId w:val="0"/>
        </w:numPr>
        <w:tabs>
          <w:tab w:val="left" w:pos="993"/>
        </w:tabs>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2.2.2</w:t>
      </w:r>
      <w:r>
        <w:rPr>
          <w:rFonts w:hint="eastAsia" w:ascii="宋体" w:hAnsi="宋体" w:eastAsia="宋体" w:cs="宋体"/>
          <w:b/>
          <w:bCs/>
          <w:color w:val="auto"/>
          <w:sz w:val="24"/>
          <w:szCs w:val="24"/>
          <w:highlight w:val="none"/>
        </w:rPr>
        <w:t>公开报名</w:t>
      </w:r>
      <w:r>
        <w:rPr>
          <w:rFonts w:hint="eastAsia" w:ascii="宋体" w:hAnsi="宋体" w:eastAsia="宋体" w:cs="宋体"/>
          <w:color w:val="auto"/>
          <w:sz w:val="24"/>
          <w:szCs w:val="24"/>
          <w:highlight w:val="none"/>
        </w:rPr>
        <w:t>：报考人员须填写个人报名表，并提供①身份证、②户口本、③学历学位证、④社保缴交证明等扫描件，一并发至相应的用人单位邮箱。报考人员者须对报名表填写内容的真实性负责，不符合规定条件和岗位要求、通过弄虚作假手段入围或录用的，一经核实，立即取消考试和录用资格。</w:t>
      </w:r>
    </w:p>
    <w:p w14:paraId="63B75A46">
      <w:pPr>
        <w:pStyle w:val="24"/>
        <w:keepNext w:val="0"/>
        <w:keepLines w:val="0"/>
        <w:pageBreakBefore w:val="0"/>
        <w:widowControl w:val="0"/>
        <w:numPr>
          <w:ilvl w:val="1"/>
          <w:numId w:val="0"/>
        </w:numPr>
        <w:tabs>
          <w:tab w:val="left" w:pos="993"/>
        </w:tabs>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2.2.3</w:t>
      </w:r>
      <w:r>
        <w:rPr>
          <w:rFonts w:hint="eastAsia" w:ascii="宋体" w:hAnsi="宋体" w:eastAsia="宋体" w:cs="宋体"/>
          <w:b/>
          <w:bCs/>
          <w:color w:val="auto"/>
          <w:sz w:val="24"/>
          <w:szCs w:val="24"/>
          <w:highlight w:val="none"/>
        </w:rPr>
        <w:t>报名资格初审：</w:t>
      </w:r>
    </w:p>
    <w:p w14:paraId="7D508418">
      <w:pPr>
        <w:pStyle w:val="24"/>
        <w:keepNext w:val="0"/>
        <w:keepLines w:val="0"/>
        <w:pageBreakBefore w:val="0"/>
        <w:widowControl w:val="0"/>
        <w:numPr>
          <w:ilvl w:val="2"/>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2.2.3.1</w:t>
      </w:r>
      <w:r>
        <w:rPr>
          <w:rFonts w:hint="eastAsia" w:ascii="宋体" w:hAnsi="宋体" w:eastAsia="宋体" w:cs="宋体"/>
          <w:color w:val="auto"/>
          <w:sz w:val="24"/>
          <w:szCs w:val="24"/>
          <w:highlight w:val="none"/>
        </w:rPr>
        <w:t>各用人单位组织至少2名工作人员负责资格初审，并将通过资格初审的人员情况制成花名册，审核人员签字确认后报招聘领导小组。</w:t>
      </w:r>
    </w:p>
    <w:p w14:paraId="7CE1D453">
      <w:pPr>
        <w:pStyle w:val="24"/>
        <w:keepNext w:val="0"/>
        <w:keepLines w:val="0"/>
        <w:pageBreakBefore w:val="0"/>
        <w:widowControl w:val="0"/>
        <w:numPr>
          <w:ilvl w:val="2"/>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2.2.3.2</w:t>
      </w:r>
      <w:r>
        <w:rPr>
          <w:rFonts w:hint="eastAsia" w:ascii="宋体" w:hAnsi="宋体" w:eastAsia="宋体" w:cs="宋体"/>
          <w:color w:val="auto"/>
          <w:sz w:val="24"/>
          <w:szCs w:val="24"/>
          <w:highlight w:val="none"/>
        </w:rPr>
        <w:t>资格初审未通过的，用人单位电话或短信通知报考人员未通过的原因，笔试前接受申诉，由招聘领导小组受理核实后给予答复。</w:t>
      </w:r>
    </w:p>
    <w:p w14:paraId="68FC5E55">
      <w:pPr>
        <w:pStyle w:val="24"/>
        <w:keepNext w:val="0"/>
        <w:keepLines w:val="0"/>
        <w:pageBreakBefore w:val="0"/>
        <w:widowControl w:val="0"/>
        <w:numPr>
          <w:ilvl w:val="2"/>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2.2.3.3</w:t>
      </w:r>
      <w:r>
        <w:rPr>
          <w:rFonts w:hint="eastAsia" w:ascii="宋体" w:hAnsi="宋体" w:eastAsia="宋体" w:cs="宋体"/>
          <w:color w:val="auto"/>
          <w:sz w:val="24"/>
          <w:szCs w:val="24"/>
          <w:highlight w:val="none"/>
        </w:rPr>
        <w:t>相应岗位拟招考人数与符合岗位资格条件的报名人数达不到1:3比例的，经领导小组同意，原则上相应减少该岗位拟招考人数或取消该岗位招考。</w:t>
      </w:r>
    </w:p>
    <w:p w14:paraId="46F84624">
      <w:pPr>
        <w:pStyle w:val="24"/>
        <w:keepNext w:val="0"/>
        <w:keepLines w:val="0"/>
        <w:pageBreakBefore w:val="0"/>
        <w:widowControl w:val="0"/>
        <w:numPr>
          <w:ilvl w:val="1"/>
          <w:numId w:val="0"/>
        </w:numPr>
        <w:tabs>
          <w:tab w:val="left" w:pos="993"/>
        </w:tabs>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2.3</w:t>
      </w:r>
      <w:r>
        <w:rPr>
          <w:rFonts w:hint="eastAsia" w:ascii="宋体" w:hAnsi="宋体" w:eastAsia="宋体" w:cs="宋体"/>
          <w:b/>
          <w:bCs/>
          <w:color w:val="auto"/>
          <w:sz w:val="24"/>
          <w:szCs w:val="24"/>
          <w:highlight w:val="none"/>
        </w:rPr>
        <w:t>组织考核</w:t>
      </w:r>
      <w:r>
        <w:rPr>
          <w:rFonts w:hint="default" w:ascii="宋体" w:hAnsi="宋体" w:cs="宋体"/>
          <w:b/>
          <w:bCs/>
          <w:color w:val="auto"/>
          <w:sz w:val="24"/>
          <w:szCs w:val="24"/>
          <w:highlight w:val="none"/>
        </w:rPr>
        <w:t>：</w:t>
      </w:r>
    </w:p>
    <w:p w14:paraId="5A187AB7">
      <w:pPr>
        <w:pStyle w:val="24"/>
        <w:keepNext w:val="0"/>
        <w:keepLines w:val="0"/>
        <w:pageBreakBefore w:val="0"/>
        <w:widowControl w:val="0"/>
        <w:numPr>
          <w:ilvl w:val="2"/>
          <w:numId w:val="0"/>
        </w:numPr>
        <w:tabs>
          <w:tab w:val="left" w:pos="993"/>
        </w:tabs>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2.3.1</w:t>
      </w:r>
      <w:r>
        <w:rPr>
          <w:rFonts w:hint="eastAsia" w:ascii="宋体" w:hAnsi="宋体" w:eastAsia="宋体" w:cs="宋体"/>
          <w:b/>
          <w:bCs/>
          <w:color w:val="auto"/>
          <w:sz w:val="24"/>
          <w:szCs w:val="24"/>
          <w:highlight w:val="none"/>
        </w:rPr>
        <w:t>考核办法</w:t>
      </w:r>
      <w:bookmarkStart w:id="143" w:name="OLE_LINK8"/>
      <w:r>
        <w:rPr>
          <w:rFonts w:hint="eastAsia" w:ascii="宋体" w:hAnsi="宋体" w:eastAsia="宋体" w:cs="宋体"/>
          <w:b/>
          <w:bCs/>
          <w:color w:val="auto"/>
          <w:sz w:val="24"/>
          <w:szCs w:val="24"/>
          <w:highlight w:val="none"/>
          <w:lang w:eastAsia="zh-CN"/>
        </w:rPr>
        <w:t>：</w:t>
      </w:r>
    </w:p>
    <w:p w14:paraId="234934D8">
      <w:pPr>
        <w:pStyle w:val="24"/>
        <w:keepNext w:val="0"/>
        <w:keepLines w:val="0"/>
        <w:pageBreakBefore w:val="0"/>
        <w:widowControl w:val="0"/>
        <w:numPr>
          <w:ilvl w:val="3"/>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2.3.1.1</w:t>
      </w:r>
      <w:r>
        <w:rPr>
          <w:rFonts w:hint="eastAsia" w:ascii="宋体" w:hAnsi="宋体" w:eastAsia="宋体" w:cs="宋体"/>
          <w:color w:val="auto"/>
          <w:sz w:val="24"/>
          <w:szCs w:val="24"/>
          <w:highlight w:val="none"/>
        </w:rPr>
        <w:t>采取笔试与面试相结合的考核办法，笔试面试分数各占50%，最终综合分数由笔试与面试分数加权。</w:t>
      </w:r>
    </w:p>
    <w:p w14:paraId="0B2D1F4A">
      <w:pPr>
        <w:pStyle w:val="24"/>
        <w:keepNext w:val="0"/>
        <w:keepLines w:val="0"/>
        <w:pageBreakBefore w:val="0"/>
        <w:widowControl w:val="0"/>
        <w:numPr>
          <w:ilvl w:val="2"/>
          <w:numId w:val="0"/>
        </w:numPr>
        <w:tabs>
          <w:tab w:val="left" w:pos="993"/>
        </w:tabs>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2.3.2</w:t>
      </w:r>
      <w:r>
        <w:rPr>
          <w:rFonts w:hint="eastAsia" w:ascii="宋体" w:hAnsi="宋体" w:eastAsia="宋体" w:cs="宋体"/>
          <w:b/>
          <w:bCs/>
          <w:color w:val="auto"/>
          <w:sz w:val="24"/>
          <w:szCs w:val="24"/>
          <w:highlight w:val="none"/>
        </w:rPr>
        <w:t>笔试</w:t>
      </w:r>
      <w:r>
        <w:rPr>
          <w:rFonts w:hint="eastAsia" w:ascii="宋体" w:hAnsi="宋体" w:eastAsia="宋体" w:cs="宋体"/>
          <w:b/>
          <w:bCs/>
          <w:color w:val="auto"/>
          <w:sz w:val="24"/>
          <w:szCs w:val="24"/>
          <w:highlight w:val="none"/>
          <w:lang w:eastAsia="zh-CN"/>
        </w:rPr>
        <w:t>：</w:t>
      </w:r>
    </w:p>
    <w:p w14:paraId="131F09BE">
      <w:pPr>
        <w:pStyle w:val="24"/>
        <w:keepNext w:val="0"/>
        <w:keepLines w:val="0"/>
        <w:pageBreakBefore w:val="0"/>
        <w:widowControl w:val="0"/>
        <w:numPr>
          <w:ilvl w:val="3"/>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2.3.2.1</w:t>
      </w:r>
      <w:r>
        <w:rPr>
          <w:rFonts w:hint="eastAsia" w:ascii="宋体" w:hAnsi="宋体" w:eastAsia="宋体" w:cs="宋体"/>
          <w:color w:val="auto"/>
          <w:sz w:val="24"/>
          <w:szCs w:val="24"/>
          <w:highlight w:val="none"/>
        </w:rPr>
        <w:t>笔试采取闭卷方式进行，主要测试考生从事岗位工作相关的能力和知识水平，以行政能力测试为主。笔试成绩满分100分，成绩合格线为60分，成绩低于60分者(不含60分)不能进入面试。</w:t>
      </w:r>
    </w:p>
    <w:p w14:paraId="47803A53">
      <w:pPr>
        <w:pStyle w:val="24"/>
        <w:keepNext w:val="0"/>
        <w:keepLines w:val="0"/>
        <w:pageBreakBefore w:val="0"/>
        <w:widowControl w:val="0"/>
        <w:numPr>
          <w:ilvl w:val="3"/>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2.3.2.2</w:t>
      </w:r>
      <w:r>
        <w:rPr>
          <w:rFonts w:hint="eastAsia" w:ascii="宋体" w:hAnsi="宋体" w:eastAsia="宋体" w:cs="宋体"/>
          <w:color w:val="auto"/>
          <w:sz w:val="24"/>
          <w:szCs w:val="24"/>
          <w:highlight w:val="none"/>
        </w:rPr>
        <w:t>至少在开考前2天，通过厦门市总工会网站发布笔试通知，并发短信提醒考生。</w:t>
      </w:r>
    </w:p>
    <w:p w14:paraId="2EC2E6E6">
      <w:pPr>
        <w:pStyle w:val="24"/>
        <w:keepNext w:val="0"/>
        <w:keepLines w:val="0"/>
        <w:pageBreakBefore w:val="0"/>
        <w:widowControl w:val="0"/>
        <w:numPr>
          <w:ilvl w:val="2"/>
          <w:numId w:val="0"/>
        </w:numPr>
        <w:tabs>
          <w:tab w:val="left" w:pos="993"/>
        </w:tabs>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2.3.3</w:t>
      </w:r>
      <w:r>
        <w:rPr>
          <w:rFonts w:hint="eastAsia" w:ascii="宋体" w:hAnsi="宋体" w:eastAsia="宋体" w:cs="宋体"/>
          <w:b/>
          <w:bCs/>
          <w:color w:val="auto"/>
          <w:sz w:val="24"/>
          <w:szCs w:val="24"/>
          <w:highlight w:val="none"/>
        </w:rPr>
        <w:t>资格复核</w:t>
      </w:r>
      <w:r>
        <w:rPr>
          <w:rFonts w:hint="eastAsia" w:ascii="宋体" w:hAnsi="宋体" w:eastAsia="宋体" w:cs="宋体"/>
          <w:b/>
          <w:bCs/>
          <w:color w:val="auto"/>
          <w:sz w:val="24"/>
          <w:szCs w:val="24"/>
          <w:highlight w:val="none"/>
          <w:lang w:eastAsia="zh-CN"/>
        </w:rPr>
        <w:t>：</w:t>
      </w:r>
    </w:p>
    <w:p w14:paraId="71D42A15">
      <w:pPr>
        <w:pStyle w:val="24"/>
        <w:keepNext w:val="0"/>
        <w:keepLines w:val="0"/>
        <w:pageBreakBefore w:val="0"/>
        <w:widowControl w:val="0"/>
        <w:numPr>
          <w:ilvl w:val="3"/>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2.3.3.1</w:t>
      </w:r>
      <w:r>
        <w:rPr>
          <w:rFonts w:hint="eastAsia" w:ascii="宋体" w:hAnsi="宋体" w:eastAsia="宋体" w:cs="宋体"/>
          <w:color w:val="auto"/>
          <w:sz w:val="24"/>
          <w:szCs w:val="24"/>
          <w:highlight w:val="none"/>
        </w:rPr>
        <w:t>从笔试成绩达到合格线的考生中按岗位拟聘人数与面试人数1：3的比例，从高分至低分确定资格复核人选，笔试成绩合格人数达不到规定比例的，按笔试成绩合格实际人数确定。在厦门市总工会网站发布面试资格复核通知，电话或群发短信通知考生。</w:t>
      </w:r>
    </w:p>
    <w:p w14:paraId="24CFD9D9">
      <w:pPr>
        <w:pStyle w:val="24"/>
        <w:keepNext w:val="0"/>
        <w:keepLines w:val="0"/>
        <w:pageBreakBefore w:val="0"/>
        <w:widowControl w:val="0"/>
        <w:numPr>
          <w:ilvl w:val="3"/>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2.3.3.2</w:t>
      </w:r>
      <w:r>
        <w:rPr>
          <w:rFonts w:hint="eastAsia" w:ascii="宋体" w:hAnsi="宋体" w:eastAsia="宋体" w:cs="宋体"/>
          <w:color w:val="auto"/>
          <w:sz w:val="24"/>
          <w:szCs w:val="24"/>
          <w:highlight w:val="none"/>
        </w:rPr>
        <w:t>资格复核应按岗位要求提供以下原件：①身份证、②户口本、③学历学位证、④合同和社保缴交证明、⑤从事工会工作证明或财会类工作单位工作证明。各用人单位需到“学信网”“学位网”上查询认证的学历（位）证明材料或其他证明材料，资格复核通过的进入面试。</w:t>
      </w:r>
    </w:p>
    <w:p w14:paraId="2DF7424A">
      <w:pPr>
        <w:pStyle w:val="24"/>
        <w:keepNext w:val="0"/>
        <w:keepLines w:val="0"/>
        <w:pageBreakBefore w:val="0"/>
        <w:widowControl w:val="0"/>
        <w:numPr>
          <w:ilvl w:val="3"/>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2.3.3.3</w:t>
      </w:r>
      <w:r>
        <w:rPr>
          <w:rFonts w:hint="eastAsia" w:ascii="宋体" w:hAnsi="宋体" w:eastAsia="宋体" w:cs="宋体"/>
          <w:color w:val="auto"/>
          <w:sz w:val="24"/>
          <w:szCs w:val="24"/>
          <w:highlight w:val="none"/>
        </w:rPr>
        <w:t>资格复核由各用人单位负责。资格复核需由2人以上、且在纪检监察人员监督下进行。复核人和纪检监察人员在复核无误后签字确认。</w:t>
      </w:r>
    </w:p>
    <w:bookmarkEnd w:id="143"/>
    <w:p w14:paraId="4D05FB0F">
      <w:pPr>
        <w:pStyle w:val="24"/>
        <w:keepNext w:val="0"/>
        <w:keepLines w:val="0"/>
        <w:pageBreakBefore w:val="0"/>
        <w:widowControl w:val="0"/>
        <w:numPr>
          <w:ilvl w:val="2"/>
          <w:numId w:val="0"/>
        </w:numPr>
        <w:tabs>
          <w:tab w:val="left" w:pos="993"/>
        </w:tabs>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rPr>
      </w:pPr>
      <w:bookmarkStart w:id="144" w:name="OLE_LINK40"/>
      <w:r>
        <w:rPr>
          <w:rFonts w:hint="eastAsia" w:ascii="宋体" w:hAnsi="宋体" w:eastAsia="宋体" w:cs="宋体"/>
          <w:b/>
          <w:bCs/>
          <w:color w:val="auto"/>
          <w:kern w:val="2"/>
          <w:sz w:val="24"/>
          <w:szCs w:val="24"/>
          <w:highlight w:val="none"/>
          <w:lang w:val="en-US" w:eastAsia="zh-CN" w:bidi="ar-SA"/>
        </w:rPr>
        <w:t>2.3.4</w:t>
      </w:r>
      <w:r>
        <w:rPr>
          <w:rFonts w:hint="eastAsia" w:ascii="宋体" w:hAnsi="宋体" w:eastAsia="宋体" w:cs="宋体"/>
          <w:b/>
          <w:bCs/>
          <w:color w:val="auto"/>
          <w:sz w:val="24"/>
          <w:szCs w:val="24"/>
          <w:highlight w:val="none"/>
        </w:rPr>
        <w:t>面试</w:t>
      </w:r>
    </w:p>
    <w:p w14:paraId="3D714CF4">
      <w:pPr>
        <w:pStyle w:val="24"/>
        <w:keepNext w:val="0"/>
        <w:keepLines w:val="0"/>
        <w:pageBreakBefore w:val="0"/>
        <w:widowControl w:val="0"/>
        <w:numPr>
          <w:ilvl w:val="3"/>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2.3.4.1</w:t>
      </w:r>
      <w:r>
        <w:rPr>
          <w:rFonts w:hint="eastAsia" w:ascii="宋体" w:hAnsi="宋体" w:eastAsia="宋体" w:cs="宋体"/>
          <w:color w:val="auto"/>
          <w:sz w:val="24"/>
          <w:szCs w:val="24"/>
          <w:highlight w:val="none"/>
        </w:rPr>
        <w:t>至少在面试前2天在厦门市总工会网站发布面试通知。</w:t>
      </w:r>
    </w:p>
    <w:p w14:paraId="6D6ED6D9">
      <w:pPr>
        <w:pStyle w:val="24"/>
        <w:keepNext w:val="0"/>
        <w:keepLines w:val="0"/>
        <w:pageBreakBefore w:val="0"/>
        <w:widowControl w:val="0"/>
        <w:numPr>
          <w:ilvl w:val="3"/>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2.3.4.2</w:t>
      </w:r>
      <w:r>
        <w:rPr>
          <w:rFonts w:hint="eastAsia" w:ascii="宋体" w:hAnsi="宋体" w:eastAsia="宋体" w:cs="宋体"/>
          <w:color w:val="auto"/>
          <w:sz w:val="24"/>
          <w:szCs w:val="24"/>
          <w:highlight w:val="none"/>
        </w:rPr>
        <w:t>采用结构化面试形式，主要考核考生的综合素质，包括表达能力、应变能力、专业水平、岗位匹配等。面试满分为100分，合格线为60分；实际按岗位拟聘人数1:1或低于1:1比例参加面试的，面试合格成绩不得低于70分。</w:t>
      </w:r>
    </w:p>
    <w:p w14:paraId="78605D05">
      <w:pPr>
        <w:pStyle w:val="24"/>
        <w:keepNext w:val="0"/>
        <w:keepLines w:val="0"/>
        <w:pageBreakBefore w:val="0"/>
        <w:widowControl w:val="0"/>
        <w:numPr>
          <w:ilvl w:val="3"/>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2.3.4.3</w:t>
      </w:r>
      <w:r>
        <w:rPr>
          <w:rFonts w:hint="eastAsia" w:ascii="宋体" w:hAnsi="宋体" w:eastAsia="宋体" w:cs="宋体"/>
          <w:color w:val="auto"/>
          <w:sz w:val="24"/>
          <w:szCs w:val="24"/>
          <w:highlight w:val="none"/>
        </w:rPr>
        <w:t>严格执行保密及相关规定，面试根据相关程序委托专门机构出具试卷、押卷及组织考务等。面试成绩当场打分，去掉一个最高分和一个最低分后取平均数作为面试最终成绩。面试成绩当场公布，并由考生签字确认。</w:t>
      </w:r>
    </w:p>
    <w:p w14:paraId="691CD584">
      <w:pPr>
        <w:pStyle w:val="24"/>
        <w:keepNext w:val="0"/>
        <w:keepLines w:val="0"/>
        <w:pageBreakBefore w:val="0"/>
        <w:widowControl w:val="0"/>
        <w:numPr>
          <w:ilvl w:val="3"/>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2.3.4.4</w:t>
      </w:r>
      <w:r>
        <w:rPr>
          <w:rFonts w:hint="eastAsia" w:ascii="宋体" w:hAnsi="宋体" w:eastAsia="宋体" w:cs="宋体"/>
          <w:color w:val="auto"/>
          <w:sz w:val="24"/>
          <w:szCs w:val="24"/>
          <w:highlight w:val="none"/>
        </w:rPr>
        <w:t>面试由市总工会机关</w:t>
      </w:r>
      <w:r>
        <w:rPr>
          <w:rFonts w:hint="eastAsia" w:ascii="宋体" w:hAnsi="宋体" w:eastAsia="宋体" w:cs="宋体"/>
          <w:color w:val="auto"/>
          <w:sz w:val="24"/>
          <w:szCs w:val="24"/>
          <w:highlight w:val="none"/>
          <w:lang w:eastAsia="zh-CN"/>
        </w:rPr>
        <w:t>纪委</w:t>
      </w:r>
      <w:r>
        <w:rPr>
          <w:rFonts w:hint="eastAsia" w:ascii="宋体" w:hAnsi="宋体" w:eastAsia="宋体" w:cs="宋体"/>
          <w:color w:val="auto"/>
          <w:sz w:val="24"/>
          <w:szCs w:val="24"/>
          <w:highlight w:val="none"/>
        </w:rPr>
        <w:t>工作人员全程监督。</w:t>
      </w:r>
    </w:p>
    <w:p w14:paraId="79157FC0">
      <w:pPr>
        <w:pStyle w:val="24"/>
        <w:keepNext w:val="0"/>
        <w:keepLines w:val="0"/>
        <w:pageBreakBefore w:val="0"/>
        <w:widowControl w:val="0"/>
        <w:numPr>
          <w:ilvl w:val="3"/>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2.3.4.5</w:t>
      </w:r>
      <w:r>
        <w:rPr>
          <w:rFonts w:hint="eastAsia" w:ascii="宋体" w:hAnsi="宋体" w:eastAsia="宋体" w:cs="宋体"/>
          <w:color w:val="auto"/>
          <w:sz w:val="24"/>
          <w:szCs w:val="24"/>
          <w:highlight w:val="none"/>
        </w:rPr>
        <w:t>面试具体时间地点安排在市总工会官网公告，并电话或短信告知面试考生。</w:t>
      </w:r>
    </w:p>
    <w:bookmarkEnd w:id="144"/>
    <w:p w14:paraId="7915C749">
      <w:pPr>
        <w:pStyle w:val="24"/>
        <w:keepNext w:val="0"/>
        <w:keepLines w:val="0"/>
        <w:pageBreakBefore w:val="0"/>
        <w:widowControl w:val="0"/>
        <w:numPr>
          <w:ilvl w:val="2"/>
          <w:numId w:val="0"/>
        </w:numPr>
        <w:tabs>
          <w:tab w:val="left" w:pos="993"/>
        </w:tabs>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2.3.5</w:t>
      </w:r>
      <w:r>
        <w:rPr>
          <w:rFonts w:hint="eastAsia" w:ascii="宋体" w:hAnsi="宋体" w:eastAsia="宋体" w:cs="宋体"/>
          <w:b/>
          <w:bCs/>
          <w:color w:val="auto"/>
          <w:sz w:val="24"/>
          <w:szCs w:val="24"/>
          <w:highlight w:val="none"/>
        </w:rPr>
        <w:t>总分计算</w:t>
      </w:r>
    </w:p>
    <w:p w14:paraId="71DB336F">
      <w:pPr>
        <w:pStyle w:val="24"/>
        <w:keepNext w:val="0"/>
        <w:keepLines w:val="0"/>
        <w:pageBreakBefore w:val="0"/>
        <w:widowControl w:val="0"/>
        <w:numPr>
          <w:ilvl w:val="3"/>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2.3.5.1</w:t>
      </w:r>
      <w:r>
        <w:rPr>
          <w:rFonts w:hint="eastAsia" w:ascii="宋体" w:hAnsi="宋体" w:eastAsia="宋体" w:cs="宋体"/>
          <w:color w:val="auto"/>
          <w:sz w:val="24"/>
          <w:szCs w:val="24"/>
          <w:highlight w:val="none"/>
        </w:rPr>
        <w:t>综合总分合格线为60分。具体计算公式为：综合总分=笔试成绩×50%+面试成绩×50%。</w:t>
      </w:r>
    </w:p>
    <w:p w14:paraId="0643F87A">
      <w:pPr>
        <w:pStyle w:val="24"/>
        <w:keepNext w:val="0"/>
        <w:keepLines w:val="0"/>
        <w:pageBreakBefore w:val="0"/>
        <w:widowControl w:val="0"/>
        <w:numPr>
          <w:ilvl w:val="3"/>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2.3.5.2</w:t>
      </w:r>
      <w:r>
        <w:rPr>
          <w:rFonts w:hint="eastAsia" w:ascii="宋体" w:hAnsi="宋体" w:eastAsia="宋体" w:cs="宋体"/>
          <w:color w:val="auto"/>
          <w:sz w:val="24"/>
          <w:szCs w:val="24"/>
          <w:highlight w:val="none"/>
        </w:rPr>
        <w:t>各考核科目成绩均采用四舍五入方式取小数点后2位，并在考核结束2个工作日内于厦门市总工会官网等平台进行公布。</w:t>
      </w:r>
    </w:p>
    <w:p w14:paraId="6BFFB478">
      <w:pPr>
        <w:pStyle w:val="24"/>
        <w:keepNext w:val="0"/>
        <w:keepLines w:val="0"/>
        <w:pageBreakBefore w:val="0"/>
        <w:widowControl w:val="0"/>
        <w:numPr>
          <w:ilvl w:val="2"/>
          <w:numId w:val="0"/>
        </w:numPr>
        <w:tabs>
          <w:tab w:val="left" w:pos="993"/>
        </w:tabs>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2.3.6</w:t>
      </w:r>
      <w:r>
        <w:rPr>
          <w:rFonts w:hint="eastAsia" w:ascii="宋体" w:hAnsi="宋体" w:eastAsia="宋体" w:cs="宋体"/>
          <w:b/>
          <w:bCs/>
          <w:color w:val="auto"/>
          <w:sz w:val="24"/>
          <w:szCs w:val="24"/>
          <w:highlight w:val="none"/>
        </w:rPr>
        <w:t>体检</w:t>
      </w:r>
    </w:p>
    <w:p w14:paraId="389F59ED">
      <w:pPr>
        <w:pStyle w:val="24"/>
        <w:keepNext w:val="0"/>
        <w:keepLines w:val="0"/>
        <w:pageBreakBefore w:val="0"/>
        <w:widowControl w:val="0"/>
        <w:numPr>
          <w:ilvl w:val="3"/>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2.3.6.1</w:t>
      </w:r>
      <w:r>
        <w:rPr>
          <w:rFonts w:hint="eastAsia" w:ascii="宋体" w:hAnsi="宋体" w:eastAsia="宋体" w:cs="宋体"/>
          <w:color w:val="auto"/>
          <w:sz w:val="24"/>
          <w:szCs w:val="24"/>
          <w:highlight w:val="none"/>
        </w:rPr>
        <w:t>从笔试和面试成绩均合格者中，根据综合总分排名顺序，按岗位拟招聘人数1:1的比例从高分至低分确定进入体检人选。综合总分相同者，以面试成绩高者进入体检，若笔试、面试成绩均相同，则由面试小组加试，以加试成绩较高者进入体检。</w:t>
      </w:r>
    </w:p>
    <w:p w14:paraId="33F11BBE">
      <w:pPr>
        <w:pStyle w:val="24"/>
        <w:keepNext w:val="0"/>
        <w:keepLines w:val="0"/>
        <w:pageBreakBefore w:val="0"/>
        <w:widowControl w:val="0"/>
        <w:numPr>
          <w:ilvl w:val="3"/>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2.3.6.2</w:t>
      </w:r>
      <w:r>
        <w:rPr>
          <w:rFonts w:hint="eastAsia" w:ascii="宋体" w:hAnsi="宋体" w:eastAsia="宋体" w:cs="宋体"/>
          <w:color w:val="auto"/>
          <w:sz w:val="24"/>
          <w:szCs w:val="24"/>
          <w:highlight w:val="none"/>
        </w:rPr>
        <w:t>进入体检的考生在通知体检后，统一由各用人单位组织到市级三甲综合医院进行体检。不按时参加体检者，视为放弃录用资格。</w:t>
      </w:r>
    </w:p>
    <w:p w14:paraId="0FF2C946">
      <w:pPr>
        <w:pStyle w:val="24"/>
        <w:keepNext w:val="0"/>
        <w:keepLines w:val="0"/>
        <w:pageBreakBefore w:val="0"/>
        <w:widowControl w:val="0"/>
        <w:numPr>
          <w:ilvl w:val="3"/>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2.3.6.3</w:t>
      </w:r>
      <w:r>
        <w:rPr>
          <w:rFonts w:hint="eastAsia" w:ascii="宋体" w:hAnsi="宋体" w:eastAsia="宋体" w:cs="宋体"/>
          <w:color w:val="auto"/>
          <w:sz w:val="24"/>
          <w:szCs w:val="24"/>
          <w:highlight w:val="none"/>
        </w:rPr>
        <w:t>本次招聘体检参照《公务员录用体检通用标准（试行）》和《公务员录用体检操作手册(试行)》和《关于修订〈公务员录用体检通用标准(试行)〉及〈公务员录用体检操作手册(试行)〉的通知》(人社部发〔2016〕140号)的要求执行。</w:t>
      </w:r>
    </w:p>
    <w:p w14:paraId="4517FFE9">
      <w:pPr>
        <w:pStyle w:val="24"/>
        <w:keepNext w:val="0"/>
        <w:keepLines w:val="0"/>
        <w:pageBreakBefore w:val="0"/>
        <w:widowControl w:val="0"/>
        <w:numPr>
          <w:ilvl w:val="3"/>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2.3.6.4</w:t>
      </w:r>
      <w:r>
        <w:rPr>
          <w:rFonts w:hint="eastAsia" w:ascii="宋体" w:hAnsi="宋体" w:eastAsia="宋体" w:cs="宋体"/>
          <w:color w:val="auto"/>
          <w:sz w:val="24"/>
          <w:szCs w:val="24"/>
          <w:highlight w:val="none"/>
        </w:rPr>
        <w:t>考生体检的具体检测方法由体检医院结合实际确定。体（复）检费用个人自理。</w:t>
      </w:r>
    </w:p>
    <w:p w14:paraId="00B07860">
      <w:pPr>
        <w:pStyle w:val="24"/>
        <w:keepNext w:val="0"/>
        <w:keepLines w:val="0"/>
        <w:pageBreakBefore w:val="0"/>
        <w:widowControl w:val="0"/>
        <w:numPr>
          <w:ilvl w:val="2"/>
          <w:numId w:val="0"/>
        </w:numPr>
        <w:tabs>
          <w:tab w:val="left" w:pos="993"/>
        </w:tabs>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2.3.7</w:t>
      </w:r>
      <w:r>
        <w:rPr>
          <w:rFonts w:hint="eastAsia" w:ascii="宋体" w:hAnsi="宋体" w:eastAsia="宋体" w:cs="宋体"/>
          <w:b/>
          <w:bCs/>
          <w:color w:val="auto"/>
          <w:sz w:val="24"/>
          <w:szCs w:val="24"/>
          <w:highlight w:val="none"/>
        </w:rPr>
        <w:t>考察</w:t>
      </w:r>
    </w:p>
    <w:p w14:paraId="4DE8259B">
      <w:pPr>
        <w:pStyle w:val="24"/>
        <w:keepNext w:val="0"/>
        <w:keepLines w:val="0"/>
        <w:pageBreakBefore w:val="0"/>
        <w:widowControl w:val="0"/>
        <w:numPr>
          <w:ilvl w:val="3"/>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2.3.7.1</w:t>
      </w:r>
      <w:r>
        <w:rPr>
          <w:rFonts w:hint="eastAsia" w:ascii="宋体" w:hAnsi="宋体" w:eastAsia="宋体" w:cs="宋体"/>
          <w:color w:val="auto"/>
          <w:sz w:val="24"/>
          <w:szCs w:val="24"/>
          <w:highlight w:val="none"/>
        </w:rPr>
        <w:t>对体检合格的考生，分别由用人单位对其政治思想、道德品质、廉洁自律、能力素质、工作态度、学习及工作表现以及是否需要回避等情况进行考察，并对考生资格条件再次进行复核。考生提供虚假报考信息、骗取报考资格取消其录用资格。</w:t>
      </w:r>
    </w:p>
    <w:p w14:paraId="11B32D76">
      <w:pPr>
        <w:pStyle w:val="24"/>
        <w:keepNext w:val="0"/>
        <w:keepLines w:val="0"/>
        <w:pageBreakBefore w:val="0"/>
        <w:widowControl w:val="0"/>
        <w:numPr>
          <w:ilvl w:val="3"/>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2.3.7.2</w:t>
      </w:r>
      <w:r>
        <w:rPr>
          <w:rFonts w:hint="eastAsia" w:ascii="宋体" w:hAnsi="宋体" w:eastAsia="宋体" w:cs="宋体"/>
          <w:color w:val="auto"/>
          <w:sz w:val="24"/>
          <w:szCs w:val="24"/>
          <w:highlight w:val="none"/>
        </w:rPr>
        <w:t>考察时，用人单位应通过中国执行信息公开网(http://zxgk.court.gov.cn/)核实考察对象有无失信被执行情况，考生被列为失信被执行人的，应取消其录用资格。</w:t>
      </w:r>
    </w:p>
    <w:p w14:paraId="2F821DCF">
      <w:pPr>
        <w:pStyle w:val="24"/>
        <w:keepNext w:val="0"/>
        <w:keepLines w:val="0"/>
        <w:pageBreakBefore w:val="0"/>
        <w:widowControl w:val="0"/>
        <w:numPr>
          <w:ilvl w:val="3"/>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2.3.7.3</w:t>
      </w:r>
      <w:r>
        <w:rPr>
          <w:rFonts w:hint="eastAsia" w:ascii="宋体" w:hAnsi="宋体" w:eastAsia="宋体" w:cs="宋体"/>
          <w:color w:val="auto"/>
          <w:sz w:val="24"/>
          <w:szCs w:val="24"/>
          <w:highlight w:val="none"/>
        </w:rPr>
        <w:t>用人单位将考生体检、考察情况形成综合政审报告，报送招聘工作领导小组。</w:t>
      </w:r>
    </w:p>
    <w:p w14:paraId="10F60CCE">
      <w:pPr>
        <w:pStyle w:val="24"/>
        <w:keepNext w:val="0"/>
        <w:keepLines w:val="0"/>
        <w:pageBreakBefore w:val="0"/>
        <w:widowControl w:val="0"/>
        <w:numPr>
          <w:ilvl w:val="2"/>
          <w:numId w:val="0"/>
        </w:numPr>
        <w:tabs>
          <w:tab w:val="left" w:pos="993"/>
        </w:tabs>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2.3.8</w:t>
      </w:r>
      <w:r>
        <w:rPr>
          <w:rFonts w:hint="eastAsia" w:ascii="宋体" w:hAnsi="宋体" w:eastAsia="宋体" w:cs="宋体"/>
          <w:b/>
          <w:bCs/>
          <w:color w:val="auto"/>
          <w:sz w:val="24"/>
          <w:szCs w:val="24"/>
          <w:highlight w:val="none"/>
        </w:rPr>
        <w:t>递补</w:t>
      </w:r>
    </w:p>
    <w:p w14:paraId="6F47CF63">
      <w:pPr>
        <w:pStyle w:val="24"/>
        <w:keepNext w:val="0"/>
        <w:keepLines w:val="0"/>
        <w:pageBreakBefore w:val="0"/>
        <w:widowControl w:val="0"/>
        <w:numPr>
          <w:ilvl w:val="3"/>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2.3.8.1</w:t>
      </w:r>
      <w:r>
        <w:rPr>
          <w:rFonts w:hint="eastAsia" w:ascii="宋体" w:hAnsi="宋体" w:eastAsia="宋体" w:cs="宋体"/>
          <w:color w:val="auto"/>
          <w:sz w:val="24"/>
          <w:szCs w:val="24"/>
          <w:highlight w:val="none"/>
        </w:rPr>
        <w:t>遇到下列情况，可实施递补：</w:t>
      </w:r>
    </w:p>
    <w:p w14:paraId="0916299B">
      <w:pPr>
        <w:pStyle w:val="24"/>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①因故自行放弃面试、体检或考察资格；</w:t>
      </w:r>
    </w:p>
    <w:p w14:paraId="471BCB00">
      <w:pPr>
        <w:pStyle w:val="24"/>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②因体检或考察不合格的；</w:t>
      </w:r>
    </w:p>
    <w:p w14:paraId="1C5B278B">
      <w:pPr>
        <w:pStyle w:val="24"/>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③因故退出或因故被取消录用资格的；</w:t>
      </w:r>
    </w:p>
    <w:p w14:paraId="723ACAFB">
      <w:pPr>
        <w:pStyle w:val="24"/>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④已签订劳动合同，在试用期内不合格或辞职的；</w:t>
      </w:r>
    </w:p>
    <w:p w14:paraId="5E3C0346">
      <w:pPr>
        <w:pStyle w:val="24"/>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⑤其他不符合招聘规定的。</w:t>
      </w:r>
    </w:p>
    <w:p w14:paraId="1804D3F9">
      <w:pPr>
        <w:pStyle w:val="24"/>
        <w:keepNext w:val="0"/>
        <w:keepLines w:val="0"/>
        <w:pageBreakBefore w:val="0"/>
        <w:widowControl w:val="0"/>
        <w:numPr>
          <w:ilvl w:val="3"/>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2.3.8.2</w:t>
      </w:r>
      <w:r>
        <w:rPr>
          <w:rFonts w:hint="eastAsia" w:ascii="宋体" w:hAnsi="宋体" w:cs="宋体"/>
          <w:color w:val="auto"/>
          <w:kern w:val="2"/>
          <w:sz w:val="24"/>
          <w:szCs w:val="24"/>
          <w:highlight w:val="none"/>
          <w:lang w:val="en-US" w:eastAsia="zh-CN" w:bidi="ar-SA"/>
        </w:rPr>
        <w:t>以上①-③情况</w:t>
      </w:r>
      <w:r>
        <w:rPr>
          <w:rFonts w:hint="eastAsia" w:ascii="宋体" w:hAnsi="宋体" w:eastAsia="宋体" w:cs="宋体"/>
          <w:color w:val="auto"/>
          <w:sz w:val="24"/>
          <w:szCs w:val="24"/>
          <w:highlight w:val="none"/>
        </w:rPr>
        <w:t>需要递补的，由用人单位研究提出初步意见</w:t>
      </w:r>
      <w:r>
        <w:rPr>
          <w:rFonts w:hint="eastAsia" w:ascii="宋体" w:hAnsi="宋体" w:cs="宋体"/>
          <w:color w:val="auto"/>
          <w:sz w:val="24"/>
          <w:szCs w:val="24"/>
          <w:highlight w:val="none"/>
          <w:lang w:eastAsia="zh-CN"/>
        </w:rPr>
        <w:t>报招聘工作领导小组同意后，从高分到低分依次递补</w:t>
      </w:r>
      <w:r>
        <w:rPr>
          <w:rFonts w:hint="eastAsia" w:ascii="宋体" w:hAnsi="宋体" w:eastAsia="宋体" w:cs="宋体"/>
          <w:color w:val="auto"/>
          <w:sz w:val="24"/>
          <w:szCs w:val="24"/>
          <w:highlight w:val="none"/>
        </w:rPr>
        <w:t>。④</w:t>
      </w:r>
      <w:r>
        <w:rPr>
          <w:rFonts w:hint="eastAsia" w:ascii="宋体" w:hAnsi="宋体" w:cs="宋体"/>
          <w:color w:val="auto"/>
          <w:sz w:val="24"/>
          <w:szCs w:val="24"/>
          <w:highlight w:val="none"/>
          <w:lang w:eastAsia="zh-CN"/>
        </w:rPr>
        <w:t>和</w:t>
      </w:r>
      <w:r>
        <w:rPr>
          <w:rFonts w:hint="eastAsia" w:ascii="宋体" w:hAnsi="宋体" w:eastAsia="宋体" w:cs="宋体"/>
          <w:color w:val="auto"/>
          <w:sz w:val="24"/>
          <w:szCs w:val="24"/>
          <w:highlight w:val="none"/>
        </w:rPr>
        <w:t>⑤</w:t>
      </w:r>
      <w:r>
        <w:rPr>
          <w:rFonts w:hint="eastAsia" w:ascii="宋体" w:hAnsi="宋体" w:cs="宋体"/>
          <w:color w:val="auto"/>
          <w:sz w:val="24"/>
          <w:szCs w:val="24"/>
          <w:highlight w:val="none"/>
          <w:lang w:eastAsia="zh-CN"/>
        </w:rPr>
        <w:t>情况确需递补的，</w:t>
      </w:r>
      <w:r>
        <w:rPr>
          <w:rFonts w:hint="eastAsia" w:ascii="宋体" w:hAnsi="宋体" w:eastAsia="宋体" w:cs="宋体"/>
          <w:color w:val="auto"/>
          <w:sz w:val="24"/>
          <w:szCs w:val="24"/>
          <w:highlight w:val="none"/>
        </w:rPr>
        <w:t>由用人单位研究提出初步意见</w:t>
      </w:r>
      <w:r>
        <w:rPr>
          <w:rFonts w:hint="eastAsia" w:ascii="宋体" w:hAnsi="宋体" w:cs="宋体"/>
          <w:color w:val="auto"/>
          <w:sz w:val="24"/>
          <w:szCs w:val="24"/>
          <w:highlight w:val="none"/>
          <w:lang w:eastAsia="zh-CN"/>
        </w:rPr>
        <w:t>经市总基层工作部同意后</w:t>
      </w:r>
      <w:r>
        <w:rPr>
          <w:rFonts w:hint="eastAsia" w:ascii="宋体" w:hAnsi="宋体" w:eastAsia="宋体" w:cs="宋体"/>
          <w:color w:val="auto"/>
          <w:sz w:val="24"/>
          <w:szCs w:val="24"/>
          <w:highlight w:val="none"/>
        </w:rPr>
        <w:t>报市总党组</w:t>
      </w:r>
      <w:r>
        <w:rPr>
          <w:rFonts w:hint="eastAsia" w:ascii="宋体" w:hAnsi="宋体" w:cs="宋体"/>
          <w:color w:val="auto"/>
          <w:sz w:val="24"/>
          <w:szCs w:val="24"/>
          <w:highlight w:val="none"/>
          <w:lang w:eastAsia="zh-CN"/>
        </w:rPr>
        <w:t>研究通过方可</w:t>
      </w:r>
      <w:r>
        <w:rPr>
          <w:rFonts w:hint="eastAsia" w:ascii="宋体" w:hAnsi="宋体" w:eastAsia="宋体" w:cs="宋体"/>
          <w:color w:val="auto"/>
          <w:sz w:val="24"/>
          <w:szCs w:val="24"/>
          <w:highlight w:val="none"/>
        </w:rPr>
        <w:t>递补。</w:t>
      </w:r>
    </w:p>
    <w:p w14:paraId="531512B6">
      <w:pPr>
        <w:pStyle w:val="24"/>
        <w:keepNext w:val="0"/>
        <w:keepLines w:val="0"/>
        <w:pageBreakBefore w:val="0"/>
        <w:widowControl w:val="0"/>
        <w:numPr>
          <w:ilvl w:val="3"/>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2.3.8.3</w:t>
      </w:r>
      <w:r>
        <w:rPr>
          <w:rFonts w:hint="eastAsia" w:ascii="宋体" w:hAnsi="宋体" w:eastAsia="宋体" w:cs="宋体"/>
          <w:color w:val="auto"/>
          <w:sz w:val="24"/>
          <w:szCs w:val="24"/>
          <w:highlight w:val="none"/>
        </w:rPr>
        <w:t>通过面试而未被录取的考生</w:t>
      </w:r>
      <w:r>
        <w:rPr>
          <w:rFonts w:hint="eastAsia" w:ascii="宋体" w:hAnsi="宋体" w:cs="宋体"/>
          <w:color w:val="auto"/>
          <w:sz w:val="24"/>
          <w:szCs w:val="24"/>
          <w:highlight w:val="none"/>
          <w:lang w:eastAsia="zh-CN"/>
        </w:rPr>
        <w:t>分别</w:t>
      </w:r>
      <w:r>
        <w:rPr>
          <w:rFonts w:hint="eastAsia" w:ascii="宋体" w:hAnsi="宋体" w:eastAsia="宋体" w:cs="宋体"/>
          <w:color w:val="auto"/>
          <w:sz w:val="24"/>
          <w:szCs w:val="24"/>
          <w:highlight w:val="none"/>
        </w:rPr>
        <w:t>进入工会专干</w:t>
      </w:r>
      <w:r>
        <w:rPr>
          <w:rFonts w:hint="eastAsia" w:ascii="宋体" w:hAnsi="宋体" w:cs="宋体"/>
          <w:color w:val="auto"/>
          <w:sz w:val="24"/>
          <w:szCs w:val="24"/>
          <w:highlight w:val="none"/>
          <w:lang w:eastAsia="zh-CN"/>
        </w:rPr>
        <w:t>或集体协商指导员</w:t>
      </w:r>
      <w:r>
        <w:rPr>
          <w:rFonts w:hint="eastAsia" w:ascii="宋体" w:hAnsi="宋体" w:eastAsia="宋体" w:cs="宋体"/>
          <w:color w:val="auto"/>
          <w:sz w:val="24"/>
          <w:szCs w:val="24"/>
          <w:highlight w:val="none"/>
        </w:rPr>
        <w:t>储备库，储备库有效期截至下一个招聘公告发布日（不包含发布当日），且不超过1年（从本次招聘公告发布之日计起）。储备库有效期期间，各用人单位（含未参加本次招聘</w:t>
      </w:r>
      <w:r>
        <w:rPr>
          <w:rFonts w:hint="eastAsia" w:ascii="宋体" w:hAnsi="宋体" w:cs="宋体"/>
          <w:color w:val="auto"/>
          <w:sz w:val="24"/>
          <w:szCs w:val="24"/>
          <w:highlight w:val="none"/>
          <w:lang w:eastAsia="zh-CN"/>
        </w:rPr>
        <w:t>的单位</w:t>
      </w:r>
      <w:r>
        <w:rPr>
          <w:rFonts w:hint="eastAsia" w:ascii="宋体" w:hAnsi="宋体" w:eastAsia="宋体" w:cs="宋体"/>
          <w:color w:val="auto"/>
          <w:sz w:val="24"/>
          <w:szCs w:val="24"/>
          <w:highlight w:val="none"/>
        </w:rPr>
        <w:t>）因工会专干退休、辞职等需要零星补充招聘的，可以简化程序，从储备库中笔试、面试成绩均达到合格线以上的人员中按综合总分排名由高到底依次录用。</w:t>
      </w:r>
    </w:p>
    <w:p w14:paraId="26577D2F">
      <w:pPr>
        <w:pStyle w:val="24"/>
        <w:keepNext w:val="0"/>
        <w:keepLines w:val="0"/>
        <w:pageBreakBefore w:val="0"/>
        <w:widowControl w:val="0"/>
        <w:numPr>
          <w:ilvl w:val="1"/>
          <w:numId w:val="0"/>
        </w:numPr>
        <w:tabs>
          <w:tab w:val="left" w:pos="993"/>
        </w:tabs>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2.3.9</w:t>
      </w:r>
      <w:r>
        <w:rPr>
          <w:rFonts w:hint="eastAsia" w:ascii="宋体" w:hAnsi="宋体" w:eastAsia="宋体" w:cs="宋体"/>
          <w:b/>
          <w:bCs/>
          <w:color w:val="auto"/>
          <w:sz w:val="24"/>
          <w:szCs w:val="24"/>
          <w:highlight w:val="none"/>
        </w:rPr>
        <w:t>录用方式</w:t>
      </w:r>
    </w:p>
    <w:p w14:paraId="62577F31">
      <w:pPr>
        <w:pStyle w:val="24"/>
        <w:keepNext w:val="0"/>
        <w:keepLines w:val="0"/>
        <w:pageBreakBefore w:val="0"/>
        <w:widowControl w:val="0"/>
        <w:numPr>
          <w:ilvl w:val="2"/>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2.3.9.1</w:t>
      </w:r>
      <w:r>
        <w:rPr>
          <w:rFonts w:hint="eastAsia" w:ascii="宋体" w:hAnsi="宋体" w:eastAsia="宋体" w:cs="宋体"/>
          <w:b w:val="0"/>
          <w:bCs w:val="0"/>
          <w:color w:val="auto"/>
          <w:sz w:val="24"/>
          <w:szCs w:val="24"/>
          <w:highlight w:val="none"/>
        </w:rPr>
        <w:t>根据岗位要求以及考试、体检、考察结果，确定拟录用人员名单，在厦门市总工会官网公示栏公示5个工作日。</w:t>
      </w:r>
    </w:p>
    <w:p w14:paraId="01AF2162">
      <w:pPr>
        <w:pStyle w:val="24"/>
        <w:keepNext w:val="0"/>
        <w:keepLines w:val="0"/>
        <w:pageBreakBefore w:val="0"/>
        <w:widowControl w:val="0"/>
        <w:numPr>
          <w:ilvl w:val="2"/>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2.3.9.2</w:t>
      </w:r>
      <w:r>
        <w:rPr>
          <w:rFonts w:hint="eastAsia" w:ascii="宋体" w:hAnsi="宋体" w:eastAsia="宋体" w:cs="宋体"/>
          <w:b w:val="0"/>
          <w:bCs w:val="0"/>
          <w:color w:val="auto"/>
          <w:sz w:val="24"/>
          <w:szCs w:val="24"/>
          <w:highlight w:val="none"/>
        </w:rPr>
        <w:t>公示结果无异议，或经核实不影响录用的，拟录用人员原则上应于公示期满后2个月内办理入职手续，否则视为放弃录用资格。公示结果报纪检监察部门备案。</w:t>
      </w:r>
    </w:p>
    <w:p w14:paraId="7280ADEF">
      <w:pPr>
        <w:pStyle w:val="24"/>
        <w:keepNext w:val="0"/>
        <w:keepLines w:val="0"/>
        <w:pageBreakBefore w:val="0"/>
        <w:widowControl w:val="0"/>
        <w:numPr>
          <w:ilvl w:val="2"/>
          <w:numId w:val="0"/>
        </w:numPr>
        <w:tabs>
          <w:tab w:val="left" w:pos="993"/>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2.3.9.3</w:t>
      </w:r>
      <w:r>
        <w:rPr>
          <w:rFonts w:hint="eastAsia" w:ascii="宋体" w:hAnsi="宋体" w:eastAsia="宋体" w:cs="宋体"/>
          <w:b w:val="0"/>
          <w:bCs w:val="0"/>
          <w:color w:val="auto"/>
          <w:sz w:val="24"/>
          <w:szCs w:val="24"/>
          <w:highlight w:val="none"/>
        </w:rPr>
        <w:t>公示期满后，将结果报省总工会，经省总审核批准后办理录用手续。</w:t>
      </w:r>
    </w:p>
    <w:p w14:paraId="193F33DA">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2"/>
          <w:sz w:val="24"/>
          <w:szCs w:val="24"/>
          <w:highlight w:val="none"/>
          <w:lang w:val="en-US" w:eastAsia="zh-CN" w:bidi="ar-SA"/>
        </w:rPr>
        <w:t>2.4</w:t>
      </w:r>
      <w:r>
        <w:rPr>
          <w:rFonts w:hint="eastAsia" w:ascii="宋体" w:hAnsi="宋体" w:eastAsia="宋体" w:cs="宋体"/>
          <w:b/>
          <w:color w:val="auto"/>
          <w:sz w:val="24"/>
          <w:szCs w:val="24"/>
          <w:highlight w:val="none"/>
        </w:rPr>
        <w:t>技术响应要求</w:t>
      </w:r>
    </w:p>
    <w:p w14:paraId="7B471F48">
      <w:pPr>
        <w:pStyle w:val="24"/>
        <w:keepNext w:val="0"/>
        <w:keepLines w:val="0"/>
        <w:pageBreakBefore w:val="0"/>
        <w:widowControl w:val="0"/>
        <w:numPr>
          <w:ilvl w:val="1"/>
          <w:numId w:val="0"/>
        </w:numPr>
        <w:tabs>
          <w:tab w:val="left" w:pos="993"/>
        </w:tabs>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2.4.1</w:t>
      </w:r>
      <w:r>
        <w:rPr>
          <w:rFonts w:hint="eastAsia" w:ascii="宋体" w:hAnsi="宋体" w:cs="宋体"/>
          <w:color w:val="auto"/>
          <w:sz w:val="24"/>
          <w:szCs w:val="24"/>
          <w:highlight w:val="none"/>
          <w:lang w:eastAsia="zh-CN"/>
        </w:rPr>
        <w:t>报价人</w:t>
      </w:r>
      <w:r>
        <w:rPr>
          <w:rFonts w:hint="eastAsia" w:ascii="宋体" w:hAnsi="宋体" w:eastAsia="宋体" w:cs="宋体"/>
          <w:color w:val="auto"/>
          <w:sz w:val="24"/>
          <w:szCs w:val="24"/>
          <w:highlight w:val="none"/>
        </w:rPr>
        <w:t>应根据服务要求，制定相应的服务方案，服务方案具体要求详见服务要求。</w:t>
      </w:r>
    </w:p>
    <w:p w14:paraId="7BCBB5F0">
      <w:pPr>
        <w:pStyle w:val="24"/>
        <w:keepNext w:val="0"/>
        <w:keepLines w:val="0"/>
        <w:pageBreakBefore w:val="0"/>
        <w:widowControl w:val="0"/>
        <w:numPr>
          <w:ilvl w:val="1"/>
          <w:numId w:val="0"/>
        </w:numPr>
        <w:tabs>
          <w:tab w:val="left" w:pos="993"/>
        </w:tabs>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2.4.2</w:t>
      </w:r>
      <w:r>
        <w:rPr>
          <w:rFonts w:hint="eastAsia" w:ascii="宋体" w:hAnsi="宋体" w:eastAsia="宋体" w:cs="宋体"/>
          <w:color w:val="auto"/>
          <w:sz w:val="24"/>
          <w:szCs w:val="24"/>
          <w:highlight w:val="none"/>
        </w:rPr>
        <w:t>服务人员名单须报备</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，未经</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同意不得随意更换。</w:t>
      </w:r>
    </w:p>
    <w:p w14:paraId="626593A4">
      <w:pPr>
        <w:pStyle w:val="24"/>
        <w:keepNext w:val="0"/>
        <w:keepLines w:val="0"/>
        <w:pageBreakBefore w:val="0"/>
        <w:widowControl w:val="0"/>
        <w:numPr>
          <w:ilvl w:val="1"/>
          <w:numId w:val="0"/>
        </w:numPr>
        <w:tabs>
          <w:tab w:val="left" w:pos="993"/>
        </w:tabs>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2.4.3</w:t>
      </w:r>
      <w:r>
        <w:rPr>
          <w:rFonts w:hint="eastAsia" w:ascii="宋体" w:hAnsi="宋体" w:cs="宋体"/>
          <w:color w:val="auto"/>
          <w:sz w:val="24"/>
          <w:szCs w:val="24"/>
          <w:highlight w:val="none"/>
          <w:lang w:eastAsia="zh-CN"/>
        </w:rPr>
        <w:t>报价人</w:t>
      </w:r>
      <w:r>
        <w:rPr>
          <w:rFonts w:hint="eastAsia" w:ascii="宋体" w:hAnsi="宋体" w:eastAsia="宋体" w:cs="宋体"/>
          <w:color w:val="auto"/>
          <w:sz w:val="24"/>
          <w:szCs w:val="24"/>
          <w:highlight w:val="none"/>
        </w:rPr>
        <w:t>需做好安全保障工作，由</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所负责的活动，活动过程中出现的事故责任均由</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承担。</w:t>
      </w:r>
    </w:p>
    <w:p w14:paraId="21342759">
      <w:pPr>
        <w:pStyle w:val="24"/>
        <w:keepNext w:val="0"/>
        <w:keepLines w:val="0"/>
        <w:pageBreakBefore w:val="0"/>
        <w:widowControl w:val="0"/>
        <w:numPr>
          <w:ilvl w:val="1"/>
          <w:numId w:val="0"/>
        </w:numPr>
        <w:tabs>
          <w:tab w:val="left" w:pos="993"/>
        </w:tabs>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2.4.4</w:t>
      </w:r>
      <w:r>
        <w:rPr>
          <w:rFonts w:hint="eastAsia" w:ascii="宋体" w:hAnsi="宋体" w:cs="宋体"/>
          <w:color w:val="auto"/>
          <w:sz w:val="24"/>
          <w:szCs w:val="24"/>
          <w:highlight w:val="none"/>
          <w:lang w:eastAsia="zh-CN"/>
        </w:rPr>
        <w:t>报价人</w:t>
      </w:r>
      <w:r>
        <w:rPr>
          <w:rFonts w:hint="eastAsia" w:ascii="宋体" w:hAnsi="宋体" w:eastAsia="宋体" w:cs="宋体"/>
          <w:color w:val="auto"/>
          <w:sz w:val="24"/>
          <w:szCs w:val="24"/>
          <w:highlight w:val="none"/>
          <w:lang w:eastAsia="zh-CN"/>
        </w:rPr>
        <w:t>成交后</w:t>
      </w:r>
      <w:r>
        <w:rPr>
          <w:rFonts w:hint="eastAsia" w:ascii="宋体" w:hAnsi="宋体" w:eastAsia="宋体" w:cs="宋体"/>
          <w:color w:val="auto"/>
          <w:sz w:val="24"/>
          <w:szCs w:val="24"/>
          <w:highlight w:val="none"/>
        </w:rPr>
        <w:t>不得将本项目转包，否则采购人有权终止合同并追究</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的违约责任。</w:t>
      </w:r>
    </w:p>
    <w:p w14:paraId="13D35EF4">
      <w:pPr>
        <w:pStyle w:val="24"/>
        <w:keepNext w:val="0"/>
        <w:keepLines w:val="0"/>
        <w:pageBreakBefore w:val="0"/>
        <w:widowControl w:val="0"/>
        <w:numPr>
          <w:ilvl w:val="1"/>
          <w:numId w:val="0"/>
        </w:numPr>
        <w:tabs>
          <w:tab w:val="left" w:pos="993"/>
        </w:tabs>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2.4.5</w:t>
      </w:r>
      <w:r>
        <w:rPr>
          <w:rFonts w:hint="eastAsia" w:ascii="宋体" w:hAnsi="宋体" w:cs="宋体"/>
          <w:color w:val="auto"/>
          <w:sz w:val="24"/>
          <w:szCs w:val="24"/>
          <w:highlight w:val="none"/>
          <w:lang w:eastAsia="zh-CN"/>
        </w:rPr>
        <w:t>报价人</w:t>
      </w:r>
      <w:r>
        <w:rPr>
          <w:rFonts w:hint="eastAsia" w:ascii="宋体" w:hAnsi="宋体" w:eastAsia="宋体" w:cs="宋体"/>
          <w:color w:val="auto"/>
          <w:sz w:val="24"/>
          <w:szCs w:val="24"/>
          <w:highlight w:val="none"/>
        </w:rPr>
        <w:t>提供的采购标的应符合国家知识产权法律、法规的规定；</w:t>
      </w:r>
      <w:r>
        <w:rPr>
          <w:rFonts w:hint="eastAsia" w:ascii="宋体" w:hAnsi="宋体" w:cs="宋体"/>
          <w:color w:val="auto"/>
          <w:sz w:val="24"/>
          <w:szCs w:val="24"/>
          <w:highlight w:val="none"/>
          <w:lang w:eastAsia="zh-CN"/>
        </w:rPr>
        <w:t>报价人</w:t>
      </w:r>
      <w:r>
        <w:rPr>
          <w:rFonts w:hint="eastAsia" w:ascii="宋体" w:hAnsi="宋体" w:eastAsia="宋体" w:cs="宋体"/>
          <w:color w:val="auto"/>
          <w:sz w:val="24"/>
          <w:szCs w:val="24"/>
          <w:highlight w:val="none"/>
          <w:lang w:eastAsia="zh-CN"/>
        </w:rPr>
        <w:t>成交后</w:t>
      </w:r>
      <w:r>
        <w:rPr>
          <w:rFonts w:hint="eastAsia" w:ascii="宋体" w:hAnsi="宋体" w:eastAsia="宋体" w:cs="宋体"/>
          <w:color w:val="auto"/>
          <w:sz w:val="24"/>
          <w:szCs w:val="24"/>
          <w:highlight w:val="none"/>
        </w:rPr>
        <w:t>需保证采购人不受到第三方关于侵犯知识产权及专利权、商标权或工业设计权等知识产权方面的指控，若任何第三方提出此方面指控均与采购人无关，</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应与第三方交涉，并承担可能发生的一切法律责任、费用和后果；若采购因此而遭致损失，则</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应赔偿该损失。</w:t>
      </w:r>
    </w:p>
    <w:p w14:paraId="221C04B1">
      <w:pPr>
        <w:pStyle w:val="24"/>
        <w:keepNext w:val="0"/>
        <w:keepLines w:val="0"/>
        <w:pageBreakBefore w:val="0"/>
        <w:widowControl w:val="0"/>
        <w:numPr>
          <w:ilvl w:val="1"/>
          <w:numId w:val="0"/>
        </w:numPr>
        <w:tabs>
          <w:tab w:val="left" w:pos="993"/>
        </w:tabs>
        <w:kinsoku/>
        <w:wordWrap/>
        <w:overflowPunct/>
        <w:topLinePunct w:val="0"/>
        <w:autoSpaceDE/>
        <w:autoSpaceDN/>
        <w:bidi w:val="0"/>
        <w:adjustRightInd/>
        <w:snapToGrid/>
        <w:spacing w:line="360" w:lineRule="auto"/>
        <w:ind w:left="-62" w:leftChars="0" w:firstLine="482"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2.4.6</w:t>
      </w:r>
      <w:r>
        <w:rPr>
          <w:rFonts w:hint="eastAsia" w:ascii="宋体" w:hAnsi="宋体" w:cs="宋体"/>
          <w:color w:val="auto"/>
          <w:sz w:val="24"/>
          <w:szCs w:val="24"/>
          <w:highlight w:val="none"/>
          <w:lang w:eastAsia="zh-CN"/>
        </w:rPr>
        <w:t>报价人</w:t>
      </w:r>
      <w:r>
        <w:rPr>
          <w:rFonts w:hint="eastAsia" w:ascii="宋体" w:hAnsi="宋体" w:eastAsia="宋体" w:cs="宋体"/>
          <w:color w:val="auto"/>
          <w:sz w:val="24"/>
          <w:szCs w:val="24"/>
          <w:highlight w:val="none"/>
        </w:rPr>
        <w:t>应明确所提供的服务与采购需求存在的正负偏离情况。对照招标文件要求，在《技术和服务要求响应表》中逐条说明所提供的服务对采购需求的响应情况。</w:t>
      </w:r>
      <w:r>
        <w:rPr>
          <w:rFonts w:hint="eastAsia" w:ascii="宋体" w:hAnsi="宋体" w:cs="宋体"/>
          <w:color w:val="auto"/>
          <w:sz w:val="24"/>
          <w:szCs w:val="24"/>
          <w:highlight w:val="none"/>
          <w:lang w:eastAsia="zh-CN"/>
        </w:rPr>
        <w:t>报价人</w:t>
      </w:r>
      <w:r>
        <w:rPr>
          <w:rFonts w:hint="eastAsia" w:ascii="宋体" w:hAnsi="宋体" w:eastAsia="宋体" w:cs="宋体"/>
          <w:color w:val="auto"/>
          <w:sz w:val="24"/>
          <w:szCs w:val="24"/>
          <w:highlight w:val="none"/>
        </w:rPr>
        <w:t>若未对采购需求进行逐条响应，将可能导致不利的评审后果。</w:t>
      </w:r>
    </w:p>
    <w:p w14:paraId="1F45179B">
      <w:pPr>
        <w:pStyle w:val="4"/>
        <w:numPr>
          <w:ilvl w:val="0"/>
          <w:numId w:val="4"/>
        </w:numPr>
        <w:spacing w:line="360" w:lineRule="auto"/>
        <w:ind w:firstLine="482" w:firstLineChars="200"/>
        <w:jc w:val="left"/>
        <w:outlineLvl w:val="1"/>
        <w:rPr>
          <w:rFonts w:hint="eastAsia" w:cs="宋体"/>
          <w:b/>
          <w:color w:val="auto"/>
          <w:sz w:val="24"/>
          <w:szCs w:val="24"/>
          <w:highlight w:val="none"/>
        </w:rPr>
      </w:pPr>
      <w:bookmarkStart w:id="145" w:name="_Toc342"/>
      <w:bookmarkStart w:id="146" w:name="_Toc781238867"/>
      <w:bookmarkStart w:id="147" w:name="_Toc29709204"/>
      <w:bookmarkStart w:id="148" w:name="_Toc12293"/>
      <w:bookmarkStart w:id="149" w:name="_Toc8665"/>
      <w:bookmarkStart w:id="150" w:name="_Toc26292"/>
      <w:r>
        <w:rPr>
          <w:rFonts w:hint="eastAsia" w:cs="宋体"/>
          <w:b/>
          <w:color w:val="auto"/>
          <w:sz w:val="24"/>
          <w:szCs w:val="24"/>
          <w:highlight w:val="none"/>
        </w:rPr>
        <w:t>商务要求</w:t>
      </w:r>
      <w:bookmarkEnd w:id="145"/>
      <w:bookmarkEnd w:id="146"/>
      <w:bookmarkEnd w:id="147"/>
      <w:bookmarkEnd w:id="148"/>
      <w:bookmarkEnd w:id="149"/>
      <w:bookmarkEnd w:id="150"/>
    </w:p>
    <w:p w14:paraId="1F1920DB">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3.1服务地点：采购人指定地点。</w:t>
      </w:r>
    </w:p>
    <w:p w14:paraId="0719866D">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3.2服务完成时间：招聘简章发布后3个月内完成招聘相关工作。</w:t>
      </w:r>
    </w:p>
    <w:p w14:paraId="386951FB">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3.3服务通过验收条件：项目通过合格后。</w:t>
      </w:r>
    </w:p>
    <w:p w14:paraId="250AEC5A">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3.4是否收取履约保证金：否</w:t>
      </w:r>
    </w:p>
    <w:p w14:paraId="0EE6E364">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3.5是否邀请</w:t>
      </w:r>
      <w:r>
        <w:rPr>
          <w:rFonts w:hint="eastAsia" w:ascii="宋体" w:hAnsi="宋体" w:cs="宋体"/>
          <w:b w:val="0"/>
          <w:bCs w:val="0"/>
          <w:color w:val="auto"/>
          <w:kern w:val="2"/>
          <w:sz w:val="24"/>
          <w:szCs w:val="24"/>
          <w:highlight w:val="none"/>
          <w:lang w:val="en-US" w:eastAsia="zh-CN" w:bidi="ar-SA"/>
        </w:rPr>
        <w:t>报价人</w:t>
      </w:r>
      <w:r>
        <w:rPr>
          <w:rFonts w:hint="eastAsia" w:ascii="宋体" w:hAnsi="宋体" w:eastAsia="宋体" w:cs="宋体"/>
          <w:b w:val="0"/>
          <w:bCs w:val="0"/>
          <w:color w:val="auto"/>
          <w:kern w:val="2"/>
          <w:sz w:val="24"/>
          <w:szCs w:val="24"/>
          <w:highlight w:val="none"/>
          <w:lang w:val="en-US" w:eastAsia="zh-CN" w:bidi="ar-SA"/>
        </w:rPr>
        <w:t>参与验收：否</w:t>
      </w:r>
    </w:p>
    <w:p w14:paraId="4F9338F1">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3.6验收方式数据表格</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7094"/>
      </w:tblGrid>
      <w:tr w14:paraId="41D3D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pct"/>
            <w:noWrap w:val="0"/>
            <w:vAlign w:val="center"/>
          </w:tcPr>
          <w:p w14:paraId="04D9CFCB">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default" w:ascii="宋体" w:hAnsi="宋体" w:cs="宋体"/>
                <w:color w:val="auto"/>
                <w:kern w:val="0"/>
                <w:sz w:val="24"/>
                <w:highlight w:val="none"/>
              </w:rPr>
              <w:t>验收期次</w:t>
            </w:r>
          </w:p>
        </w:tc>
        <w:tc>
          <w:tcPr>
            <w:tcW w:w="4158" w:type="pct"/>
            <w:noWrap w:val="0"/>
            <w:vAlign w:val="center"/>
          </w:tcPr>
          <w:p w14:paraId="44BC51F4">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default" w:ascii="宋体" w:hAnsi="宋体" w:cs="宋体"/>
                <w:color w:val="auto"/>
                <w:kern w:val="0"/>
                <w:sz w:val="24"/>
                <w:highlight w:val="none"/>
              </w:rPr>
              <w:t>验收期次说明</w:t>
            </w:r>
          </w:p>
        </w:tc>
      </w:tr>
      <w:tr w14:paraId="4FB6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pct"/>
            <w:noWrap w:val="0"/>
            <w:vAlign w:val="center"/>
          </w:tcPr>
          <w:p w14:paraId="51CBE0B7">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w:t>
            </w:r>
          </w:p>
        </w:tc>
        <w:tc>
          <w:tcPr>
            <w:tcW w:w="4158" w:type="pct"/>
            <w:noWrap w:val="0"/>
            <w:vAlign w:val="center"/>
          </w:tcPr>
          <w:p w14:paraId="02A2DF5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highlight w:val="none"/>
                <w:lang w:eastAsia="zh-CN"/>
              </w:rPr>
            </w:pPr>
            <w:r>
              <w:rPr>
                <w:rFonts w:hint="eastAsia" w:ascii="宋体" w:hAnsi="宋体"/>
                <w:color w:val="auto"/>
                <w:sz w:val="24"/>
                <w:highlight w:val="none"/>
              </w:rPr>
              <w:t>验收依据：</w:t>
            </w:r>
            <w:r>
              <w:rPr>
                <w:rFonts w:hint="eastAsia" w:ascii="宋体" w:hAnsi="宋体"/>
                <w:color w:val="auto"/>
                <w:sz w:val="24"/>
                <w:highlight w:val="none"/>
                <w:lang w:val="en-US" w:eastAsia="zh-CN"/>
              </w:rPr>
              <w:t>采购</w:t>
            </w:r>
            <w:r>
              <w:rPr>
                <w:rFonts w:hint="eastAsia" w:ascii="宋体" w:hAnsi="宋体"/>
                <w:color w:val="auto"/>
                <w:sz w:val="24"/>
                <w:highlight w:val="none"/>
              </w:rPr>
              <w:t>文件、</w:t>
            </w:r>
            <w:r>
              <w:rPr>
                <w:rFonts w:hint="eastAsia" w:ascii="宋体" w:hAnsi="宋体"/>
                <w:color w:val="auto"/>
                <w:sz w:val="24"/>
                <w:highlight w:val="none"/>
                <w:lang w:val="en-US" w:eastAsia="zh-CN"/>
              </w:rPr>
              <w:t>报价</w:t>
            </w:r>
            <w:r>
              <w:rPr>
                <w:rFonts w:hint="eastAsia" w:ascii="宋体" w:hAnsi="宋体"/>
                <w:color w:val="auto"/>
                <w:sz w:val="24"/>
                <w:highlight w:val="none"/>
              </w:rPr>
              <w:t>文件、合同等相关材料及国家有关的广告发布规定，均为验收依据</w:t>
            </w:r>
            <w:r>
              <w:rPr>
                <w:rFonts w:hint="eastAsia" w:ascii="宋体" w:hAnsi="宋体"/>
                <w:color w:val="auto"/>
                <w:sz w:val="24"/>
                <w:highlight w:val="none"/>
                <w:lang w:eastAsia="zh-CN"/>
              </w:rPr>
              <w:t>。</w:t>
            </w:r>
          </w:p>
        </w:tc>
      </w:tr>
      <w:tr w14:paraId="4A61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pct"/>
            <w:noWrap w:val="0"/>
            <w:vAlign w:val="center"/>
          </w:tcPr>
          <w:p w14:paraId="5E4632B5">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w:t>
            </w:r>
          </w:p>
        </w:tc>
        <w:tc>
          <w:tcPr>
            <w:tcW w:w="4158" w:type="pct"/>
            <w:noWrap w:val="0"/>
            <w:vAlign w:val="center"/>
          </w:tcPr>
          <w:p w14:paraId="712BFD1A">
            <w:pPr>
              <w:keepNext w:val="0"/>
              <w:keepLines w:val="0"/>
              <w:widowControl/>
              <w:suppressLineNumbers w:val="0"/>
              <w:spacing w:before="0" w:beforeAutospacing="0" w:after="0" w:afterAutospacing="0" w:line="360" w:lineRule="auto"/>
              <w:ind w:left="0" w:right="0"/>
              <w:jc w:val="left"/>
              <w:rPr>
                <w:rFonts w:hint="default" w:ascii="宋体" w:hAnsi="宋体"/>
                <w:color w:val="auto"/>
                <w:sz w:val="24"/>
                <w:highlight w:val="none"/>
              </w:rPr>
            </w:pPr>
            <w:r>
              <w:rPr>
                <w:rFonts w:hint="eastAsia" w:ascii="宋体" w:hAnsi="宋体"/>
                <w:color w:val="auto"/>
                <w:sz w:val="24"/>
                <w:highlight w:val="none"/>
                <w:lang w:val="en-US" w:eastAsia="zh-CN"/>
              </w:rPr>
              <w:t>报价人</w:t>
            </w:r>
            <w:r>
              <w:rPr>
                <w:rFonts w:hint="eastAsia" w:ascii="宋体" w:hAnsi="宋体"/>
                <w:color w:val="auto"/>
                <w:sz w:val="24"/>
                <w:highlight w:val="none"/>
              </w:rPr>
              <w:t>提交的服务成果必须符合国家相应的有关标准、规范要求。</w:t>
            </w:r>
          </w:p>
        </w:tc>
      </w:tr>
      <w:tr w14:paraId="284F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pct"/>
            <w:noWrap w:val="0"/>
            <w:vAlign w:val="center"/>
          </w:tcPr>
          <w:p w14:paraId="57C311C1">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w:t>
            </w:r>
          </w:p>
        </w:tc>
        <w:tc>
          <w:tcPr>
            <w:tcW w:w="4158" w:type="pct"/>
            <w:noWrap w:val="0"/>
            <w:vAlign w:val="center"/>
          </w:tcPr>
          <w:p w14:paraId="4B7BD2F5">
            <w:pPr>
              <w:keepNext w:val="0"/>
              <w:keepLines w:val="0"/>
              <w:widowControl/>
              <w:suppressLineNumbers w:val="0"/>
              <w:spacing w:before="0" w:beforeAutospacing="0" w:after="0" w:afterAutospacing="0" w:line="360" w:lineRule="auto"/>
              <w:ind w:left="0" w:right="0"/>
              <w:jc w:val="left"/>
              <w:rPr>
                <w:rFonts w:hint="default" w:ascii="宋体" w:hAnsi="宋体"/>
                <w:color w:val="auto"/>
                <w:sz w:val="24"/>
                <w:highlight w:val="none"/>
              </w:rPr>
            </w:pPr>
            <w:r>
              <w:rPr>
                <w:rFonts w:hint="eastAsia" w:ascii="宋体" w:hAnsi="宋体"/>
                <w:color w:val="auto"/>
                <w:sz w:val="24"/>
                <w:highlight w:val="none"/>
                <w:lang w:val="en-US" w:eastAsia="zh-CN"/>
              </w:rPr>
              <w:t>报价人</w:t>
            </w:r>
            <w:r>
              <w:rPr>
                <w:rFonts w:hint="eastAsia" w:ascii="宋体" w:hAnsi="宋体"/>
                <w:color w:val="auto"/>
                <w:sz w:val="24"/>
                <w:highlight w:val="none"/>
              </w:rPr>
              <w:t>提供的招聘服务工作的未能符合</w:t>
            </w:r>
            <w:r>
              <w:rPr>
                <w:rFonts w:hint="eastAsia" w:ascii="宋体" w:hAnsi="宋体"/>
                <w:color w:val="auto"/>
                <w:sz w:val="24"/>
                <w:highlight w:val="none"/>
                <w:lang w:val="en-US" w:eastAsia="zh-CN"/>
              </w:rPr>
              <w:t>采购人</w:t>
            </w:r>
            <w:r>
              <w:rPr>
                <w:rFonts w:hint="eastAsia" w:ascii="宋体" w:hAnsi="宋体"/>
                <w:color w:val="auto"/>
                <w:sz w:val="24"/>
                <w:highlight w:val="none"/>
              </w:rPr>
              <w:t>的人员需求标准或服务要求的，需按</w:t>
            </w:r>
            <w:r>
              <w:rPr>
                <w:rFonts w:hint="eastAsia" w:ascii="宋体" w:hAnsi="宋体"/>
                <w:color w:val="auto"/>
                <w:sz w:val="24"/>
                <w:highlight w:val="none"/>
                <w:lang w:val="en-US" w:eastAsia="zh-CN"/>
              </w:rPr>
              <w:t>采购人</w:t>
            </w:r>
            <w:r>
              <w:rPr>
                <w:rFonts w:hint="eastAsia" w:ascii="宋体" w:hAnsi="宋体"/>
                <w:color w:val="auto"/>
                <w:sz w:val="24"/>
                <w:highlight w:val="none"/>
              </w:rPr>
              <w:t>要求进行整改直至招聘等相关服务工作验收完成。</w:t>
            </w:r>
          </w:p>
        </w:tc>
      </w:tr>
      <w:tr w14:paraId="1D51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pct"/>
            <w:noWrap w:val="0"/>
            <w:vAlign w:val="center"/>
          </w:tcPr>
          <w:p w14:paraId="30FA0D28">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4</w:t>
            </w:r>
          </w:p>
        </w:tc>
        <w:tc>
          <w:tcPr>
            <w:tcW w:w="4158" w:type="pct"/>
            <w:noWrap w:val="0"/>
            <w:vAlign w:val="center"/>
          </w:tcPr>
          <w:p w14:paraId="396A52CF">
            <w:pPr>
              <w:keepNext w:val="0"/>
              <w:keepLines w:val="0"/>
              <w:widowControl/>
              <w:suppressLineNumbers w:val="0"/>
              <w:spacing w:before="0" w:beforeAutospacing="0" w:after="0" w:afterAutospacing="0" w:line="360" w:lineRule="auto"/>
              <w:ind w:left="0" w:right="0"/>
              <w:jc w:val="left"/>
              <w:rPr>
                <w:rFonts w:hint="default" w:ascii="宋体" w:hAnsi="宋体"/>
                <w:color w:val="auto"/>
                <w:sz w:val="24"/>
                <w:highlight w:val="none"/>
              </w:rPr>
            </w:pPr>
            <w:r>
              <w:rPr>
                <w:rFonts w:hint="eastAsia" w:ascii="宋体" w:hAnsi="宋体"/>
                <w:color w:val="auto"/>
                <w:sz w:val="24"/>
                <w:highlight w:val="none"/>
              </w:rPr>
              <w:t>验收时</w:t>
            </w:r>
            <w:r>
              <w:rPr>
                <w:rFonts w:hint="eastAsia" w:ascii="宋体" w:hAnsi="宋体"/>
                <w:color w:val="auto"/>
                <w:sz w:val="24"/>
                <w:highlight w:val="none"/>
                <w:lang w:val="en-US" w:eastAsia="zh-CN"/>
              </w:rPr>
              <w:t>成交</w:t>
            </w:r>
            <w:r>
              <w:rPr>
                <w:rFonts w:hint="eastAsia" w:ascii="宋体" w:hAnsi="宋体"/>
                <w:color w:val="auto"/>
                <w:sz w:val="24"/>
                <w:highlight w:val="none"/>
              </w:rPr>
              <w:t>人必须派代表参加。</w:t>
            </w:r>
          </w:p>
        </w:tc>
      </w:tr>
      <w:tr w14:paraId="5E0A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pct"/>
            <w:noWrap w:val="0"/>
            <w:vAlign w:val="center"/>
          </w:tcPr>
          <w:p w14:paraId="674E3D7C">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w:t>
            </w:r>
          </w:p>
        </w:tc>
        <w:tc>
          <w:tcPr>
            <w:tcW w:w="4158" w:type="pct"/>
            <w:noWrap w:val="0"/>
            <w:vAlign w:val="center"/>
          </w:tcPr>
          <w:p w14:paraId="1B67B97D">
            <w:pPr>
              <w:keepNext w:val="0"/>
              <w:keepLines w:val="0"/>
              <w:widowControl/>
              <w:suppressLineNumbers w:val="0"/>
              <w:spacing w:before="0" w:beforeAutospacing="0" w:after="0" w:afterAutospacing="0" w:line="360" w:lineRule="auto"/>
              <w:ind w:left="0" w:right="0"/>
              <w:jc w:val="left"/>
              <w:rPr>
                <w:rFonts w:hint="default" w:ascii="宋体" w:hAnsi="宋体"/>
                <w:color w:val="auto"/>
                <w:sz w:val="24"/>
                <w:highlight w:val="none"/>
              </w:rPr>
            </w:pPr>
            <w:r>
              <w:rPr>
                <w:rFonts w:hint="eastAsia" w:ascii="宋体" w:hAnsi="宋体"/>
                <w:color w:val="auto"/>
                <w:sz w:val="24"/>
                <w:highlight w:val="none"/>
              </w:rPr>
              <w:t>验收过程所发生的一切费用由</w:t>
            </w:r>
            <w:r>
              <w:rPr>
                <w:rFonts w:hint="eastAsia" w:ascii="宋体" w:hAnsi="宋体"/>
                <w:color w:val="auto"/>
                <w:sz w:val="24"/>
                <w:highlight w:val="none"/>
                <w:lang w:val="en-US" w:eastAsia="zh-CN"/>
              </w:rPr>
              <w:t>成交</w:t>
            </w:r>
            <w:r>
              <w:rPr>
                <w:rFonts w:hint="eastAsia" w:ascii="宋体" w:hAnsi="宋体"/>
                <w:color w:val="auto"/>
                <w:sz w:val="24"/>
                <w:highlight w:val="none"/>
              </w:rPr>
              <w:t>人承担。</w:t>
            </w:r>
          </w:p>
        </w:tc>
      </w:tr>
    </w:tbl>
    <w:p w14:paraId="566C78A3">
      <w:pPr>
        <w:widowControl/>
        <w:spacing w:line="360" w:lineRule="auto"/>
        <w:ind w:firstLine="480" w:firstLineChars="200"/>
        <w:jc w:val="left"/>
        <w:rPr>
          <w:rFonts w:hint="eastAsia" w:ascii="宋体" w:hAnsi="宋体" w:eastAsia="宋体" w:cs="宋体"/>
          <w:b w:val="0"/>
          <w:bCs w:val="0"/>
          <w:color w:val="auto"/>
          <w:kern w:val="0"/>
          <w:sz w:val="24"/>
          <w:highlight w:val="none"/>
          <w:lang w:eastAsia="zh-CN"/>
        </w:rPr>
      </w:pPr>
      <w:r>
        <w:rPr>
          <w:rFonts w:hint="eastAsia" w:ascii="宋体" w:hAnsi="宋体" w:cs="宋体"/>
          <w:b w:val="0"/>
          <w:bCs w:val="0"/>
          <w:color w:val="auto"/>
          <w:kern w:val="0"/>
          <w:sz w:val="24"/>
          <w:highlight w:val="none"/>
          <w:lang w:val="en-US" w:eastAsia="zh-CN"/>
        </w:rPr>
        <w:t>3.7</w:t>
      </w:r>
      <w:r>
        <w:rPr>
          <w:rFonts w:ascii="宋体" w:hAnsi="宋体" w:cs="宋体"/>
          <w:b w:val="0"/>
          <w:bCs w:val="0"/>
          <w:color w:val="auto"/>
          <w:kern w:val="0"/>
          <w:sz w:val="24"/>
          <w:highlight w:val="none"/>
        </w:rPr>
        <w:t>支付方式</w:t>
      </w:r>
      <w:r>
        <w:rPr>
          <w:rFonts w:hint="eastAsia" w:ascii="宋体" w:hAnsi="宋体" w:cs="宋体"/>
          <w:b w:val="0"/>
          <w:bCs w:val="0"/>
          <w:color w:val="auto"/>
          <w:kern w:val="0"/>
          <w:sz w:val="24"/>
          <w:highlight w:val="none"/>
          <w:lang w:eastAsia="zh-CN"/>
        </w:rPr>
        <w:t>：按合同约定方式支付。</w:t>
      </w:r>
    </w:p>
    <w:p w14:paraId="4380BF6E">
      <w:pPr>
        <w:widowControl/>
        <w:spacing w:line="360" w:lineRule="auto"/>
        <w:ind w:firstLine="482" w:firstLineChars="200"/>
        <w:jc w:val="left"/>
        <w:rPr>
          <w:rFonts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3.8</w:t>
      </w:r>
      <w:r>
        <w:rPr>
          <w:rFonts w:hint="eastAsia" w:ascii="宋体" w:hAnsi="宋体" w:cs="宋体"/>
          <w:b/>
          <w:bCs/>
          <w:color w:val="auto"/>
          <w:kern w:val="0"/>
          <w:sz w:val="24"/>
          <w:highlight w:val="none"/>
        </w:rPr>
        <w:t>报价要求</w:t>
      </w:r>
    </w:p>
    <w:p w14:paraId="648AD0B6">
      <w:pPr>
        <w:widowControl/>
        <w:adjustRightInd w:val="0"/>
        <w:spacing w:line="360" w:lineRule="auto"/>
        <w:ind w:firstLine="542" w:firstLineChars="225"/>
        <w:jc w:val="left"/>
        <w:rPr>
          <w:rFonts w:hint="eastAsia" w:ascii="宋体" w:hAnsi="宋体" w:cs="宋体"/>
          <w:b/>
          <w:bCs w:val="0"/>
          <w:color w:val="auto"/>
          <w:kern w:val="0"/>
          <w:sz w:val="24"/>
          <w:highlight w:val="none"/>
        </w:rPr>
      </w:pPr>
      <w:r>
        <w:rPr>
          <w:rFonts w:hint="eastAsia" w:ascii="宋体" w:hAnsi="宋体" w:cs="宋体"/>
          <w:b/>
          <w:bCs w:val="0"/>
          <w:color w:val="auto"/>
          <w:kern w:val="0"/>
          <w:sz w:val="24"/>
          <w:highlight w:val="none"/>
          <w:lang w:val="en-US" w:eastAsia="zh-CN"/>
        </w:rPr>
        <w:t>*3.</w:t>
      </w:r>
      <w:r>
        <w:rPr>
          <w:rFonts w:hint="eastAsia" w:ascii="宋体" w:hAnsi="宋体" w:cs="宋体"/>
          <w:b/>
          <w:bCs w:val="0"/>
          <w:color w:val="auto"/>
          <w:kern w:val="0"/>
          <w:sz w:val="24"/>
          <w:highlight w:val="none"/>
        </w:rPr>
        <w:t>8.1</w:t>
      </w:r>
      <w:r>
        <w:rPr>
          <w:rFonts w:hint="eastAsia" w:ascii="宋体" w:hAnsi="宋体" w:cs="宋体"/>
          <w:b/>
          <w:color w:val="auto"/>
          <w:sz w:val="24"/>
          <w:szCs w:val="24"/>
          <w:highlight w:val="none"/>
          <w:lang w:eastAsia="zh-CN"/>
        </w:rPr>
        <w:t>本采购项目的采购总预算为人民币</w:t>
      </w:r>
      <w:r>
        <w:rPr>
          <w:rFonts w:hint="eastAsia" w:ascii="宋体" w:hAnsi="宋体" w:cs="宋体"/>
          <w:b/>
          <w:color w:val="auto"/>
          <w:sz w:val="24"/>
          <w:szCs w:val="24"/>
          <w:highlight w:val="none"/>
          <w:lang w:val="en-US" w:eastAsia="zh-CN"/>
        </w:rPr>
        <w:t>63</w:t>
      </w:r>
      <w:r>
        <w:rPr>
          <w:rFonts w:hint="eastAsia" w:ascii="宋体" w:hAnsi="宋体" w:cs="宋体"/>
          <w:b/>
          <w:color w:val="auto"/>
          <w:sz w:val="24"/>
          <w:szCs w:val="24"/>
          <w:highlight w:val="none"/>
          <w:lang w:eastAsia="zh-CN"/>
        </w:rPr>
        <w:t>万元，采购预算为总报价的最高限价，任何一次总报价超过采购预算的属无效报价。</w:t>
      </w:r>
    </w:p>
    <w:p w14:paraId="3CFBA69F">
      <w:pPr>
        <w:widowControl/>
        <w:spacing w:line="360" w:lineRule="auto"/>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lang w:val="en-US" w:eastAsia="zh-CN"/>
        </w:rPr>
        <w:t>3.</w:t>
      </w:r>
      <w:r>
        <w:rPr>
          <w:rFonts w:hint="eastAsia" w:ascii="宋体" w:hAnsi="宋体" w:cs="宋体"/>
          <w:bCs/>
          <w:color w:val="auto"/>
          <w:kern w:val="0"/>
          <w:sz w:val="24"/>
          <w:highlight w:val="none"/>
        </w:rPr>
        <w:t>8.2本次</w:t>
      </w:r>
      <w:r>
        <w:rPr>
          <w:rFonts w:hint="eastAsia" w:ascii="宋体" w:hAnsi="宋体" w:cs="宋体"/>
          <w:bCs/>
          <w:color w:val="auto"/>
          <w:kern w:val="0"/>
          <w:sz w:val="24"/>
          <w:highlight w:val="none"/>
          <w:lang w:val="en-US" w:eastAsia="zh-CN"/>
        </w:rPr>
        <w:t>采购</w:t>
      </w:r>
      <w:r>
        <w:rPr>
          <w:rFonts w:hint="eastAsia" w:ascii="宋体" w:hAnsi="宋体" w:cs="宋体"/>
          <w:bCs/>
          <w:color w:val="auto"/>
          <w:kern w:val="0"/>
          <w:sz w:val="24"/>
          <w:highlight w:val="none"/>
        </w:rPr>
        <w:t>为整体</w:t>
      </w:r>
      <w:r>
        <w:rPr>
          <w:rFonts w:hint="eastAsia" w:ascii="宋体" w:hAnsi="宋体" w:cs="宋体"/>
          <w:bCs/>
          <w:color w:val="auto"/>
          <w:kern w:val="0"/>
          <w:sz w:val="24"/>
          <w:highlight w:val="none"/>
          <w:lang w:val="en-US" w:eastAsia="zh-CN"/>
        </w:rPr>
        <w:t>采购</w:t>
      </w:r>
      <w:r>
        <w:rPr>
          <w:rFonts w:hint="eastAsia" w:ascii="宋体" w:hAnsi="宋体" w:cs="宋体"/>
          <w:bCs/>
          <w:color w:val="auto"/>
          <w:kern w:val="0"/>
          <w:sz w:val="24"/>
          <w:highlight w:val="none"/>
        </w:rPr>
        <w:t>，</w:t>
      </w:r>
      <w:r>
        <w:rPr>
          <w:rFonts w:hint="eastAsia" w:ascii="宋体" w:hAnsi="宋体" w:cs="宋体"/>
          <w:bCs/>
          <w:color w:val="auto"/>
          <w:kern w:val="0"/>
          <w:sz w:val="24"/>
          <w:highlight w:val="none"/>
          <w:lang w:eastAsia="zh-CN"/>
        </w:rPr>
        <w:t>报价人</w:t>
      </w:r>
      <w:r>
        <w:rPr>
          <w:rFonts w:hint="eastAsia" w:ascii="宋体" w:hAnsi="宋体" w:cs="宋体"/>
          <w:bCs/>
          <w:color w:val="auto"/>
          <w:kern w:val="0"/>
          <w:sz w:val="24"/>
          <w:highlight w:val="none"/>
        </w:rPr>
        <w:t>必须对</w:t>
      </w:r>
      <w:r>
        <w:rPr>
          <w:rFonts w:hint="eastAsia" w:ascii="宋体" w:hAnsi="宋体" w:cs="宋体"/>
          <w:bCs/>
          <w:color w:val="auto"/>
          <w:kern w:val="0"/>
          <w:sz w:val="24"/>
          <w:highlight w:val="none"/>
          <w:lang w:val="en-US" w:eastAsia="zh-CN"/>
        </w:rPr>
        <w:t>采购</w:t>
      </w:r>
      <w:r>
        <w:rPr>
          <w:rFonts w:hint="eastAsia" w:ascii="宋体" w:hAnsi="宋体" w:cs="宋体"/>
          <w:bCs/>
          <w:color w:val="auto"/>
          <w:kern w:val="0"/>
          <w:sz w:val="24"/>
          <w:highlight w:val="none"/>
        </w:rPr>
        <w:t>项目的所有内容及服务进行完整报价响应。拆分报价或不完整响应的将视为无效</w:t>
      </w:r>
      <w:r>
        <w:rPr>
          <w:rFonts w:hint="eastAsia" w:ascii="宋体" w:hAnsi="宋体" w:cs="宋体"/>
          <w:bCs/>
          <w:color w:val="auto"/>
          <w:kern w:val="0"/>
          <w:sz w:val="24"/>
          <w:highlight w:val="none"/>
          <w:lang w:val="en-US" w:eastAsia="zh-CN"/>
        </w:rPr>
        <w:t>报价</w:t>
      </w:r>
      <w:r>
        <w:rPr>
          <w:rFonts w:hint="eastAsia" w:ascii="宋体" w:hAnsi="宋体" w:cs="宋体"/>
          <w:bCs/>
          <w:color w:val="auto"/>
          <w:kern w:val="0"/>
          <w:sz w:val="24"/>
          <w:highlight w:val="none"/>
        </w:rPr>
        <w:t>。</w:t>
      </w:r>
    </w:p>
    <w:p w14:paraId="3FB68953">
      <w:pPr>
        <w:widowControl/>
        <w:spacing w:line="360" w:lineRule="auto"/>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lang w:val="en-US" w:eastAsia="zh-CN"/>
        </w:rPr>
        <w:t>3.</w:t>
      </w:r>
      <w:r>
        <w:rPr>
          <w:rFonts w:hint="eastAsia" w:ascii="宋体" w:hAnsi="宋体" w:cs="宋体"/>
          <w:bCs/>
          <w:color w:val="auto"/>
          <w:kern w:val="0"/>
          <w:sz w:val="24"/>
          <w:highlight w:val="none"/>
        </w:rPr>
        <w:t>8.</w:t>
      </w:r>
      <w:r>
        <w:rPr>
          <w:rFonts w:hint="eastAsia" w:ascii="宋体" w:hAnsi="宋体" w:cs="宋体"/>
          <w:bCs/>
          <w:color w:val="auto"/>
          <w:kern w:val="0"/>
          <w:sz w:val="24"/>
          <w:highlight w:val="none"/>
          <w:lang w:val="en-US" w:eastAsia="zh-CN"/>
        </w:rPr>
        <w:t>3</w:t>
      </w:r>
      <w:r>
        <w:rPr>
          <w:rFonts w:hint="eastAsia" w:ascii="宋体" w:hAnsi="宋体" w:cs="宋体"/>
          <w:bCs/>
          <w:color w:val="auto"/>
          <w:kern w:val="0"/>
          <w:sz w:val="24"/>
          <w:highlight w:val="none"/>
        </w:rPr>
        <w:t>报价采用人民币报价。</w:t>
      </w:r>
    </w:p>
    <w:p w14:paraId="254F8958">
      <w:pPr>
        <w:widowControl/>
        <w:spacing w:line="360" w:lineRule="auto"/>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lang w:val="en-US" w:eastAsia="zh-CN"/>
        </w:rPr>
        <w:t>3.</w:t>
      </w:r>
      <w:r>
        <w:rPr>
          <w:rFonts w:hint="eastAsia" w:ascii="宋体" w:hAnsi="宋体" w:cs="宋体"/>
          <w:bCs/>
          <w:color w:val="auto"/>
          <w:kern w:val="0"/>
          <w:sz w:val="24"/>
          <w:highlight w:val="none"/>
        </w:rPr>
        <w:t>8.</w:t>
      </w:r>
      <w:r>
        <w:rPr>
          <w:rFonts w:hint="eastAsia" w:ascii="宋体" w:hAnsi="宋体" w:cs="宋体"/>
          <w:bCs/>
          <w:color w:val="auto"/>
          <w:kern w:val="0"/>
          <w:sz w:val="24"/>
          <w:highlight w:val="none"/>
          <w:lang w:val="en-US" w:eastAsia="zh-CN"/>
        </w:rPr>
        <w:t>4</w:t>
      </w:r>
      <w:r>
        <w:rPr>
          <w:rFonts w:hint="eastAsia" w:ascii="宋体" w:hAnsi="宋体" w:cs="宋体"/>
          <w:bCs/>
          <w:color w:val="auto"/>
          <w:kern w:val="0"/>
          <w:sz w:val="24"/>
          <w:highlight w:val="none"/>
        </w:rPr>
        <w:t>总</w:t>
      </w:r>
      <w:r>
        <w:rPr>
          <w:rFonts w:hint="eastAsia" w:ascii="宋体" w:hAnsi="宋体" w:cs="宋体"/>
          <w:bCs/>
          <w:color w:val="auto"/>
          <w:kern w:val="0"/>
          <w:sz w:val="24"/>
          <w:highlight w:val="none"/>
          <w:lang w:val="en-US" w:eastAsia="zh-CN"/>
        </w:rPr>
        <w:t>报</w:t>
      </w:r>
      <w:r>
        <w:rPr>
          <w:rFonts w:hint="eastAsia" w:ascii="宋体" w:hAnsi="宋体" w:cs="宋体"/>
          <w:bCs/>
          <w:color w:val="auto"/>
          <w:kern w:val="0"/>
          <w:sz w:val="24"/>
          <w:highlight w:val="none"/>
        </w:rPr>
        <w:t>价为完成采购人开展招聘人员等相关工作的服务过程中所有可能发生的费用，包括差旅费、交通费、</w:t>
      </w:r>
      <w:r>
        <w:rPr>
          <w:rFonts w:hint="eastAsia" w:ascii="宋体" w:hAnsi="宋体" w:cs="宋体"/>
          <w:bCs/>
          <w:color w:val="auto"/>
          <w:kern w:val="0"/>
          <w:sz w:val="24"/>
          <w:highlight w:val="none"/>
          <w:lang w:val="en-US" w:eastAsia="zh-CN"/>
        </w:rPr>
        <w:t>考务材料费</w:t>
      </w:r>
      <w:r>
        <w:rPr>
          <w:rFonts w:hint="eastAsia" w:ascii="宋体" w:hAnsi="宋体" w:cs="宋体"/>
          <w:bCs/>
          <w:color w:val="auto"/>
          <w:kern w:val="0"/>
          <w:sz w:val="24"/>
          <w:highlight w:val="none"/>
        </w:rPr>
        <w:t>、监考费</w:t>
      </w:r>
      <w:r>
        <w:rPr>
          <w:rFonts w:hint="eastAsia" w:ascii="宋体" w:hAnsi="宋体" w:cs="宋体"/>
          <w:bCs/>
          <w:color w:val="auto"/>
          <w:kern w:val="0"/>
          <w:sz w:val="24"/>
          <w:highlight w:val="none"/>
          <w:lang w:eastAsia="zh-CN"/>
        </w:rPr>
        <w:t>、考点考场布置费、</w:t>
      </w:r>
      <w:r>
        <w:rPr>
          <w:rFonts w:hint="eastAsia" w:ascii="宋体" w:hAnsi="宋体" w:cs="宋体"/>
          <w:bCs/>
          <w:color w:val="auto"/>
          <w:kern w:val="0"/>
          <w:sz w:val="24"/>
          <w:highlight w:val="none"/>
        </w:rPr>
        <w:t>网络费、平台使用费、咨询费、通讯费、保险费、茶水费、场地使用费、设备使用费（若有）、人工费、加班费、人员培训费、广告费（推广费）、材料使用费、税费、采购代理服务费以及售后服务等一切费用。</w:t>
      </w:r>
    </w:p>
    <w:p w14:paraId="141AD70E">
      <w:pPr>
        <w:widowControl/>
        <w:spacing w:line="360" w:lineRule="auto"/>
        <w:ind w:firstLine="480" w:firstLineChars="200"/>
        <w:jc w:val="left"/>
        <w:rPr>
          <w:rFonts w:hint="eastAsia" w:ascii="宋体" w:hAnsi="宋体" w:cs="宋体"/>
          <w:bCs/>
          <w:color w:val="auto"/>
          <w:kern w:val="0"/>
          <w:sz w:val="24"/>
          <w:highlight w:val="none"/>
        </w:rPr>
      </w:pPr>
      <w:r>
        <w:rPr>
          <w:rFonts w:hint="eastAsia" w:ascii="宋体" w:hAnsi="宋体" w:cs="宋体"/>
          <w:bCs/>
          <w:color w:val="auto"/>
          <w:kern w:val="0"/>
          <w:sz w:val="24"/>
          <w:highlight w:val="none"/>
          <w:lang w:val="en-US" w:eastAsia="zh-CN"/>
        </w:rPr>
        <w:t>3.</w:t>
      </w:r>
      <w:r>
        <w:rPr>
          <w:rFonts w:hint="eastAsia" w:ascii="宋体" w:hAnsi="宋体" w:cs="宋体"/>
          <w:bCs/>
          <w:color w:val="auto"/>
          <w:kern w:val="0"/>
          <w:sz w:val="24"/>
          <w:highlight w:val="none"/>
        </w:rPr>
        <w:t>8.</w:t>
      </w:r>
      <w:r>
        <w:rPr>
          <w:rFonts w:hint="eastAsia" w:ascii="宋体" w:hAnsi="宋体" w:cs="宋体"/>
          <w:bCs/>
          <w:color w:val="auto"/>
          <w:kern w:val="0"/>
          <w:sz w:val="24"/>
          <w:highlight w:val="none"/>
          <w:lang w:val="en-US" w:eastAsia="zh-CN"/>
        </w:rPr>
        <w:t>5</w:t>
      </w:r>
      <w:r>
        <w:rPr>
          <w:rFonts w:hint="eastAsia" w:ascii="宋体" w:hAnsi="宋体" w:cs="宋体"/>
          <w:bCs/>
          <w:color w:val="auto"/>
          <w:kern w:val="0"/>
          <w:sz w:val="24"/>
          <w:highlight w:val="none"/>
          <w:lang w:eastAsia="zh-CN"/>
        </w:rPr>
        <w:t>报价人</w:t>
      </w:r>
      <w:r>
        <w:rPr>
          <w:rFonts w:hint="eastAsia" w:ascii="宋体" w:hAnsi="宋体" w:cs="宋体"/>
          <w:bCs/>
          <w:color w:val="auto"/>
          <w:kern w:val="0"/>
          <w:sz w:val="24"/>
          <w:highlight w:val="none"/>
        </w:rPr>
        <w:t>漏报的单价或每单价报价中漏报、少报的费用，视为此项费用已隐含在</w:t>
      </w:r>
      <w:r>
        <w:rPr>
          <w:rFonts w:hint="eastAsia" w:ascii="宋体" w:hAnsi="宋体" w:cs="宋体"/>
          <w:bCs/>
          <w:color w:val="auto"/>
          <w:kern w:val="0"/>
          <w:sz w:val="24"/>
          <w:highlight w:val="none"/>
          <w:lang w:val="en-US" w:eastAsia="zh-CN"/>
        </w:rPr>
        <w:t>总</w:t>
      </w:r>
      <w:r>
        <w:rPr>
          <w:rFonts w:hint="eastAsia" w:ascii="宋体" w:hAnsi="宋体" w:cs="宋体"/>
          <w:bCs/>
          <w:color w:val="auto"/>
          <w:kern w:val="0"/>
          <w:sz w:val="24"/>
          <w:highlight w:val="none"/>
        </w:rPr>
        <w:t>报价中，</w:t>
      </w:r>
      <w:r>
        <w:rPr>
          <w:rFonts w:hint="eastAsia" w:ascii="宋体" w:hAnsi="宋体" w:cs="宋体"/>
          <w:bCs/>
          <w:color w:val="auto"/>
          <w:kern w:val="0"/>
          <w:sz w:val="24"/>
          <w:highlight w:val="none"/>
          <w:lang w:val="en-US" w:eastAsia="zh-CN"/>
        </w:rPr>
        <w:t>成交</w:t>
      </w:r>
      <w:r>
        <w:rPr>
          <w:rFonts w:hint="eastAsia" w:ascii="宋体" w:hAnsi="宋体" w:cs="宋体"/>
          <w:bCs/>
          <w:color w:val="auto"/>
          <w:kern w:val="0"/>
          <w:sz w:val="24"/>
          <w:highlight w:val="none"/>
        </w:rPr>
        <w:t>后不得再向</w:t>
      </w:r>
      <w:r>
        <w:rPr>
          <w:rFonts w:hint="eastAsia" w:ascii="宋体" w:hAnsi="宋体" w:cs="宋体"/>
          <w:bCs/>
          <w:color w:val="auto"/>
          <w:kern w:val="0"/>
          <w:sz w:val="24"/>
          <w:highlight w:val="none"/>
          <w:lang w:val="en-US" w:eastAsia="zh-CN"/>
        </w:rPr>
        <w:t>采购人</w:t>
      </w:r>
      <w:r>
        <w:rPr>
          <w:rFonts w:hint="eastAsia" w:ascii="宋体" w:hAnsi="宋体" w:cs="宋体"/>
          <w:bCs/>
          <w:color w:val="auto"/>
          <w:kern w:val="0"/>
          <w:sz w:val="24"/>
          <w:highlight w:val="none"/>
        </w:rPr>
        <w:t>收取任何费用。</w:t>
      </w:r>
    </w:p>
    <w:p w14:paraId="4E9B8042">
      <w:pPr>
        <w:widowControl/>
        <w:spacing w:line="360" w:lineRule="auto"/>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lang w:val="en-US" w:eastAsia="zh-CN"/>
        </w:rPr>
        <w:t>3.8.6</w:t>
      </w:r>
      <w:r>
        <w:rPr>
          <w:rFonts w:hint="eastAsia" w:ascii="宋体" w:hAnsi="宋体" w:cs="宋体"/>
          <w:bCs/>
          <w:color w:val="auto"/>
          <w:kern w:val="0"/>
          <w:sz w:val="24"/>
          <w:highlight w:val="none"/>
          <w:lang w:eastAsia="zh-CN"/>
        </w:rPr>
        <w:t>报价人</w:t>
      </w:r>
      <w:r>
        <w:rPr>
          <w:rFonts w:hint="eastAsia" w:ascii="宋体" w:hAnsi="宋体" w:cs="宋体"/>
          <w:bCs/>
          <w:color w:val="auto"/>
          <w:kern w:val="0"/>
          <w:sz w:val="24"/>
          <w:highlight w:val="none"/>
        </w:rPr>
        <w:t>对本项目只能有一个报价，采购单位不接受有选择的报价。</w:t>
      </w:r>
    </w:p>
    <w:p w14:paraId="5A8DCB55">
      <w:pPr>
        <w:widowControl/>
        <w:spacing w:line="360" w:lineRule="auto"/>
        <w:ind w:firstLine="482" w:firstLineChars="200"/>
        <w:jc w:val="left"/>
        <w:rPr>
          <w:rFonts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3.9</w:t>
      </w:r>
      <w:r>
        <w:rPr>
          <w:rFonts w:hint="eastAsia" w:ascii="宋体" w:hAnsi="宋体" w:cs="宋体"/>
          <w:b/>
          <w:bCs/>
          <w:color w:val="auto"/>
          <w:kern w:val="0"/>
          <w:sz w:val="24"/>
          <w:highlight w:val="none"/>
        </w:rPr>
        <w:t>商务条件响应要求</w:t>
      </w:r>
    </w:p>
    <w:p w14:paraId="290D10B3">
      <w:pPr>
        <w:widowControl/>
        <w:spacing w:line="360" w:lineRule="auto"/>
        <w:ind w:firstLine="480" w:firstLineChars="200"/>
        <w:jc w:val="left"/>
        <w:rPr>
          <w:rFonts w:hint="eastAsia" w:ascii="宋体" w:hAnsi="宋体" w:cs="宋体"/>
          <w:b w:val="0"/>
          <w:bCs w:val="0"/>
          <w:color w:val="auto"/>
          <w:kern w:val="0"/>
          <w:sz w:val="24"/>
          <w:highlight w:val="none"/>
        </w:rPr>
      </w:pPr>
      <w:r>
        <w:rPr>
          <w:rFonts w:hint="eastAsia" w:ascii="宋体" w:hAnsi="宋体" w:cs="宋体"/>
          <w:b w:val="0"/>
          <w:bCs w:val="0"/>
          <w:color w:val="auto"/>
          <w:kern w:val="0"/>
          <w:sz w:val="24"/>
          <w:highlight w:val="none"/>
          <w:lang w:val="en-US" w:eastAsia="zh-CN"/>
        </w:rPr>
        <w:t>3.9.1</w:t>
      </w:r>
      <w:r>
        <w:rPr>
          <w:rFonts w:hint="eastAsia" w:ascii="宋体" w:hAnsi="宋体" w:cs="宋体"/>
          <w:b w:val="0"/>
          <w:bCs w:val="0"/>
          <w:color w:val="auto"/>
          <w:kern w:val="0"/>
          <w:sz w:val="24"/>
          <w:highlight w:val="none"/>
          <w:lang w:eastAsia="zh-CN"/>
        </w:rPr>
        <w:t>报价人</w:t>
      </w:r>
      <w:r>
        <w:rPr>
          <w:rFonts w:hint="eastAsia" w:ascii="宋体" w:hAnsi="宋体" w:cs="宋体"/>
          <w:b w:val="0"/>
          <w:bCs w:val="0"/>
          <w:color w:val="auto"/>
          <w:kern w:val="0"/>
          <w:sz w:val="24"/>
          <w:highlight w:val="none"/>
        </w:rPr>
        <w:t>应</w:t>
      </w:r>
      <w:r>
        <w:rPr>
          <w:rFonts w:hint="eastAsia" w:ascii="宋体" w:hAnsi="宋体" w:cs="宋体"/>
          <w:b w:val="0"/>
          <w:bCs w:val="0"/>
          <w:color w:val="auto"/>
          <w:kern w:val="0"/>
          <w:sz w:val="24"/>
          <w:highlight w:val="none"/>
          <w:lang w:val="en-US" w:eastAsia="zh-CN"/>
        </w:rPr>
        <w:t>在报价文件中</w:t>
      </w:r>
      <w:r>
        <w:rPr>
          <w:rFonts w:hint="eastAsia" w:ascii="宋体" w:hAnsi="宋体" w:cs="宋体"/>
          <w:b w:val="0"/>
          <w:bCs w:val="0"/>
          <w:color w:val="auto"/>
          <w:kern w:val="0"/>
          <w:sz w:val="24"/>
          <w:highlight w:val="none"/>
        </w:rPr>
        <w:t>提供</w:t>
      </w:r>
      <w:r>
        <w:rPr>
          <w:rFonts w:hint="eastAsia" w:ascii="宋体" w:hAnsi="宋体" w:cs="宋体"/>
          <w:b w:val="0"/>
          <w:bCs w:val="0"/>
          <w:color w:val="auto"/>
          <w:kern w:val="0"/>
          <w:sz w:val="24"/>
          <w:highlight w:val="none"/>
          <w:lang w:val="en-US" w:eastAsia="zh-CN"/>
        </w:rPr>
        <w:t>拟投入本项目的</w:t>
      </w:r>
      <w:r>
        <w:rPr>
          <w:rFonts w:hint="eastAsia" w:ascii="宋体" w:hAnsi="宋体" w:cs="宋体"/>
          <w:b w:val="0"/>
          <w:bCs w:val="0"/>
          <w:color w:val="auto"/>
          <w:kern w:val="0"/>
          <w:sz w:val="24"/>
          <w:highlight w:val="none"/>
        </w:rPr>
        <w:t>执行团队</w:t>
      </w:r>
      <w:r>
        <w:rPr>
          <w:rFonts w:hint="eastAsia" w:ascii="宋体" w:hAnsi="宋体" w:cs="宋体"/>
          <w:b w:val="0"/>
          <w:bCs w:val="0"/>
          <w:color w:val="auto"/>
          <w:kern w:val="0"/>
          <w:sz w:val="24"/>
          <w:highlight w:val="none"/>
          <w:lang w:val="en-US" w:eastAsia="zh-CN"/>
        </w:rPr>
        <w:t>情况</w:t>
      </w:r>
      <w:r>
        <w:rPr>
          <w:rFonts w:hint="eastAsia" w:ascii="宋体" w:hAnsi="宋体" w:cs="宋体"/>
          <w:b w:val="0"/>
          <w:bCs w:val="0"/>
          <w:color w:val="auto"/>
          <w:kern w:val="0"/>
          <w:sz w:val="24"/>
          <w:highlight w:val="none"/>
        </w:rPr>
        <w:t>。</w:t>
      </w:r>
    </w:p>
    <w:p w14:paraId="1FFC05BE">
      <w:pPr>
        <w:widowControl/>
        <w:spacing w:line="360" w:lineRule="auto"/>
        <w:ind w:firstLine="480" w:firstLineChars="200"/>
        <w:jc w:val="left"/>
        <w:rPr>
          <w:rFonts w:hint="eastAsia" w:ascii="宋体" w:hAnsi="宋体" w:cs="宋体"/>
          <w:bCs/>
          <w:color w:val="auto"/>
          <w:kern w:val="0"/>
          <w:sz w:val="24"/>
          <w:highlight w:val="none"/>
        </w:rPr>
      </w:pPr>
      <w:r>
        <w:rPr>
          <w:rFonts w:hint="eastAsia" w:ascii="宋体" w:hAnsi="宋体" w:cs="宋体"/>
          <w:b w:val="0"/>
          <w:bCs w:val="0"/>
          <w:color w:val="auto"/>
          <w:kern w:val="0"/>
          <w:sz w:val="24"/>
          <w:highlight w:val="none"/>
          <w:lang w:val="en-US" w:eastAsia="zh-CN"/>
        </w:rPr>
        <w:t>3.9.2</w:t>
      </w:r>
      <w:r>
        <w:rPr>
          <w:rFonts w:hint="eastAsia" w:ascii="宋体" w:hAnsi="宋体" w:cs="宋体"/>
          <w:b w:val="0"/>
          <w:bCs w:val="0"/>
          <w:color w:val="auto"/>
          <w:kern w:val="0"/>
          <w:sz w:val="24"/>
          <w:highlight w:val="none"/>
          <w:lang w:eastAsia="zh-CN"/>
        </w:rPr>
        <w:t>报价人</w:t>
      </w:r>
      <w:r>
        <w:rPr>
          <w:rFonts w:hint="eastAsia" w:ascii="宋体" w:hAnsi="宋体" w:cs="宋体"/>
          <w:b w:val="0"/>
          <w:bCs w:val="0"/>
          <w:color w:val="auto"/>
          <w:kern w:val="0"/>
          <w:sz w:val="24"/>
          <w:highlight w:val="none"/>
        </w:rPr>
        <w:t>应尽可能提供其承接的</w:t>
      </w:r>
      <w:r>
        <w:rPr>
          <w:rFonts w:hint="eastAsia" w:ascii="宋体" w:hAnsi="宋体" w:cs="宋体"/>
          <w:bCs/>
          <w:color w:val="auto"/>
          <w:kern w:val="0"/>
          <w:sz w:val="24"/>
          <w:highlight w:val="none"/>
        </w:rPr>
        <w:t>人才招聘服务项目业绩和履约的类似项目收到合同甲方良好评价的佐证材料。</w:t>
      </w:r>
    </w:p>
    <w:p w14:paraId="5F6DA830">
      <w:pPr>
        <w:widowControl/>
        <w:spacing w:line="360" w:lineRule="auto"/>
        <w:ind w:firstLine="482" w:firstLineChars="200"/>
        <w:jc w:val="left"/>
        <w:rPr>
          <w:rFonts w:hint="eastAsia" w:ascii="宋体" w:hAnsi="宋体" w:cs="宋体"/>
          <w:b/>
          <w:bCs w:val="0"/>
          <w:color w:val="auto"/>
          <w:kern w:val="0"/>
          <w:sz w:val="24"/>
          <w:highlight w:val="none"/>
          <w:lang w:val="en-US" w:eastAsia="zh-CN"/>
        </w:rPr>
      </w:pPr>
      <w:r>
        <w:rPr>
          <w:rFonts w:hint="eastAsia" w:ascii="宋体" w:hAnsi="宋体" w:cs="宋体"/>
          <w:b/>
          <w:bCs w:val="0"/>
          <w:color w:val="auto"/>
          <w:kern w:val="0"/>
          <w:sz w:val="24"/>
          <w:highlight w:val="none"/>
          <w:lang w:val="en-US" w:eastAsia="zh-CN"/>
        </w:rPr>
        <w:t>3.10报价人资格要求</w:t>
      </w:r>
    </w:p>
    <w:p w14:paraId="3C2ED5E4">
      <w:pPr>
        <w:widowControl/>
        <w:spacing w:line="360" w:lineRule="auto"/>
        <w:ind w:firstLine="482" w:firstLineChars="200"/>
        <w:jc w:val="left"/>
        <w:rPr>
          <w:rFonts w:hint="eastAsia" w:ascii="宋体" w:hAnsi="宋体" w:eastAsia="宋体" w:cs="宋体"/>
          <w:b/>
          <w:bCs w:val="0"/>
          <w:color w:val="auto"/>
          <w:sz w:val="24"/>
          <w:szCs w:val="24"/>
          <w:highlight w:val="none"/>
        </w:rPr>
      </w:pPr>
      <w:r>
        <w:rPr>
          <w:rFonts w:hint="eastAsia" w:ascii="宋体" w:hAnsi="宋体" w:cs="宋体"/>
          <w:b/>
          <w:bCs w:val="0"/>
          <w:color w:val="auto"/>
          <w:kern w:val="0"/>
          <w:sz w:val="24"/>
          <w:highlight w:val="none"/>
          <w:lang w:val="en-US" w:eastAsia="zh-CN"/>
        </w:rPr>
        <w:t>*3.10.1</w:t>
      </w:r>
      <w:r>
        <w:rPr>
          <w:rFonts w:hint="eastAsia" w:ascii="宋体" w:hAnsi="宋体" w:eastAsia="宋体" w:cs="宋体"/>
          <w:b/>
          <w:bCs w:val="0"/>
          <w:color w:val="auto"/>
          <w:sz w:val="24"/>
          <w:szCs w:val="24"/>
          <w:highlight w:val="none"/>
          <w:lang w:eastAsia="zh-CN"/>
        </w:rPr>
        <w:t>报价人</w:t>
      </w:r>
      <w:r>
        <w:rPr>
          <w:rFonts w:hint="eastAsia" w:ascii="宋体" w:hAnsi="宋体" w:eastAsia="宋体" w:cs="宋体"/>
          <w:b/>
          <w:bCs w:val="0"/>
          <w:color w:val="auto"/>
          <w:sz w:val="24"/>
          <w:szCs w:val="24"/>
          <w:highlight w:val="none"/>
        </w:rPr>
        <w:t>应提供工商营业执照（副本）（加盖公章）的复印件，提供税务登记证及组织机构代码证复印件。</w:t>
      </w:r>
      <w:r>
        <w:rPr>
          <w:rFonts w:hint="eastAsia" w:ascii="宋体" w:hAnsi="宋体" w:eastAsia="宋体" w:cs="宋体"/>
          <w:b/>
          <w:bCs w:val="0"/>
          <w:color w:val="auto"/>
          <w:sz w:val="24"/>
          <w:szCs w:val="24"/>
          <w:highlight w:val="none"/>
          <w:lang w:eastAsia="zh-CN"/>
        </w:rPr>
        <w:t>报价人</w:t>
      </w:r>
      <w:r>
        <w:rPr>
          <w:rFonts w:hint="eastAsia" w:ascii="宋体" w:hAnsi="宋体" w:eastAsia="宋体" w:cs="宋体"/>
          <w:b/>
          <w:bCs w:val="0"/>
          <w:color w:val="auto"/>
          <w:sz w:val="24"/>
          <w:szCs w:val="24"/>
          <w:highlight w:val="none"/>
        </w:rPr>
        <w:t>已提供加载有统一社会信用代码营业执照的，视为已提供税务登记证和组织机构代码证。</w:t>
      </w:r>
    </w:p>
    <w:p w14:paraId="579F7AFC">
      <w:pPr>
        <w:widowControl/>
        <w:spacing w:line="360" w:lineRule="auto"/>
        <w:ind w:firstLine="482" w:firstLineChars="200"/>
        <w:jc w:val="left"/>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*3.10.2</w:t>
      </w:r>
      <w:r>
        <w:rPr>
          <w:rFonts w:hint="eastAsia" w:ascii="宋体" w:hAnsi="宋体" w:eastAsia="宋体" w:cs="宋体"/>
          <w:b/>
          <w:color w:val="auto"/>
          <w:sz w:val="24"/>
          <w:szCs w:val="24"/>
          <w:highlight w:val="none"/>
          <w:lang w:eastAsia="zh-CN"/>
        </w:rPr>
        <w:t>报价人</w:t>
      </w:r>
      <w:r>
        <w:rPr>
          <w:rFonts w:hint="eastAsia" w:ascii="宋体" w:hAnsi="宋体" w:eastAsia="宋体" w:cs="宋体"/>
          <w:b/>
          <w:color w:val="auto"/>
          <w:sz w:val="24"/>
          <w:szCs w:val="24"/>
          <w:highlight w:val="none"/>
        </w:rPr>
        <w:t>全权代表若不是单位负责人或法定代表人，应提供</w:t>
      </w:r>
      <w:r>
        <w:rPr>
          <w:rFonts w:hint="eastAsia" w:ascii="宋体" w:hAnsi="宋体" w:eastAsia="宋体" w:cs="宋体"/>
          <w:b/>
          <w:color w:val="auto"/>
          <w:sz w:val="24"/>
          <w:szCs w:val="24"/>
          <w:highlight w:val="none"/>
          <w:lang w:val="en-US" w:eastAsia="zh-CN"/>
        </w:rPr>
        <w:t>单位</w:t>
      </w:r>
      <w:r>
        <w:rPr>
          <w:rFonts w:hint="eastAsia" w:ascii="宋体" w:hAnsi="宋体" w:eastAsia="宋体" w:cs="宋体"/>
          <w:b/>
          <w:color w:val="auto"/>
          <w:sz w:val="24"/>
          <w:szCs w:val="24"/>
          <w:highlight w:val="none"/>
        </w:rPr>
        <w:t>授权书原件，并提供被授权代表身份证复印件。</w:t>
      </w:r>
    </w:p>
    <w:p w14:paraId="4F6F03EE">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1"/>
        <w:rPr>
          <w:rFonts w:ascii="宋体" w:hAnsi="宋体" w:eastAsia="宋体" w:cs="宋体"/>
          <w:b/>
          <w:bCs/>
          <w:color w:val="auto"/>
          <w:kern w:val="0"/>
          <w:sz w:val="24"/>
          <w:highlight w:val="none"/>
        </w:rPr>
      </w:pPr>
      <w:bookmarkStart w:id="151" w:name="_Toc17385"/>
      <w:bookmarkStart w:id="152" w:name="_Toc233584539"/>
      <w:r>
        <w:rPr>
          <w:rFonts w:ascii="宋体" w:hAnsi="宋体" w:eastAsia="宋体" w:cs="宋体"/>
          <w:b/>
          <w:bCs/>
          <w:color w:val="auto"/>
          <w:kern w:val="0"/>
          <w:sz w:val="24"/>
          <w:highlight w:val="none"/>
        </w:rPr>
        <w:t>四、其他事项</w:t>
      </w:r>
      <w:bookmarkEnd w:id="151"/>
      <w:bookmarkEnd w:id="152"/>
    </w:p>
    <w:p w14:paraId="70F5FE4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kern w:val="0"/>
          <w:sz w:val="24"/>
          <w:highlight w:val="none"/>
        </w:rPr>
      </w:pPr>
      <w:r>
        <w:rPr>
          <w:rFonts w:ascii="宋体" w:hAnsi="宋体" w:eastAsia="宋体" w:cs="宋体"/>
          <w:color w:val="auto"/>
          <w:kern w:val="0"/>
          <w:sz w:val="24"/>
          <w:highlight w:val="none"/>
        </w:rPr>
        <w:t>1、除</w:t>
      </w:r>
      <w:r>
        <w:rPr>
          <w:rFonts w:hint="eastAsia" w:ascii="宋体" w:hAnsi="宋体" w:eastAsia="宋体" w:cs="宋体"/>
          <w:color w:val="auto"/>
          <w:kern w:val="0"/>
          <w:sz w:val="24"/>
          <w:highlight w:val="none"/>
          <w:lang w:val="en-US" w:eastAsia="zh-CN"/>
        </w:rPr>
        <w:t>采购</w:t>
      </w:r>
      <w:r>
        <w:rPr>
          <w:rFonts w:ascii="宋体" w:hAnsi="宋体" w:eastAsia="宋体" w:cs="宋体"/>
          <w:color w:val="auto"/>
          <w:kern w:val="0"/>
          <w:sz w:val="24"/>
          <w:highlight w:val="none"/>
        </w:rPr>
        <w:t>文件另有规定外，若出现有关法律、法规和规章有强制性规定但招标文件未列明的情形，则</w:t>
      </w:r>
      <w:r>
        <w:rPr>
          <w:rFonts w:hint="eastAsia" w:ascii="宋体" w:hAnsi="宋体" w:eastAsia="宋体" w:cs="宋体"/>
          <w:color w:val="auto"/>
          <w:kern w:val="0"/>
          <w:sz w:val="24"/>
          <w:highlight w:val="none"/>
          <w:lang w:eastAsia="zh-CN"/>
        </w:rPr>
        <w:t>报价人</w:t>
      </w:r>
      <w:r>
        <w:rPr>
          <w:rFonts w:ascii="宋体" w:hAnsi="宋体" w:eastAsia="宋体" w:cs="宋体"/>
          <w:color w:val="auto"/>
          <w:kern w:val="0"/>
          <w:sz w:val="24"/>
          <w:highlight w:val="none"/>
        </w:rPr>
        <w:t>应按照有关法律、法规和规章强制性规定执行。</w:t>
      </w:r>
    </w:p>
    <w:p w14:paraId="267A074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kern w:val="0"/>
          <w:sz w:val="24"/>
          <w:highlight w:val="none"/>
        </w:rPr>
      </w:pPr>
      <w:r>
        <w:rPr>
          <w:rFonts w:ascii="宋体" w:hAnsi="宋体" w:eastAsia="宋体" w:cs="宋体"/>
          <w:color w:val="auto"/>
          <w:kern w:val="0"/>
          <w:sz w:val="24"/>
          <w:highlight w:val="none"/>
        </w:rPr>
        <w:t>2、其他：无</w:t>
      </w:r>
      <w:r>
        <w:rPr>
          <w:rFonts w:hint="eastAsia" w:ascii="宋体" w:hAnsi="宋体" w:eastAsia="宋体" w:cs="宋体"/>
          <w:color w:val="auto"/>
          <w:kern w:val="0"/>
          <w:sz w:val="24"/>
          <w:highlight w:val="none"/>
        </w:rPr>
        <w:t>。</w:t>
      </w:r>
    </w:p>
    <w:p w14:paraId="0F116A27">
      <w:pPr>
        <w:pStyle w:val="12"/>
        <w:widowControl/>
        <w:spacing w:line="360" w:lineRule="auto"/>
        <w:ind w:firstLine="480" w:firstLineChars="200"/>
        <w:jc w:val="left"/>
        <w:rPr>
          <w:rFonts w:hint="eastAsia"/>
          <w:color w:val="auto"/>
          <w:highlight w:val="none"/>
        </w:rPr>
      </w:pPr>
    </w:p>
    <w:p w14:paraId="6348C01C">
      <w:pPr>
        <w:spacing w:line="360" w:lineRule="auto"/>
        <w:jc w:val="center"/>
        <w:outlineLvl w:val="0"/>
        <w:rPr>
          <w:rFonts w:hint="eastAsia" w:ascii="宋体" w:hAnsi="宋体" w:eastAsia="宋体" w:cs="宋体"/>
          <w:b/>
          <w:bCs/>
          <w:color w:val="auto"/>
          <w:sz w:val="32"/>
          <w:szCs w:val="32"/>
          <w:highlight w:val="none"/>
        </w:rPr>
        <w:sectPr>
          <w:pgSz w:w="11906" w:h="16838"/>
          <w:pgMar w:top="1440" w:right="1797" w:bottom="1440" w:left="1797" w:header="851" w:footer="992" w:gutter="0"/>
          <w:cols w:space="720" w:num="1"/>
          <w:docGrid w:linePitch="312" w:charSpace="0"/>
        </w:sectPr>
      </w:pPr>
      <w:bookmarkStart w:id="153" w:name="_Toc9798"/>
      <w:bookmarkStart w:id="154" w:name="_Toc241771581"/>
      <w:bookmarkStart w:id="155" w:name="_Toc268599010"/>
    </w:p>
    <w:p w14:paraId="41F50A4F">
      <w:pPr>
        <w:spacing w:line="360" w:lineRule="auto"/>
        <w:jc w:val="center"/>
        <w:outlineLvl w:val="0"/>
        <w:rPr>
          <w:rFonts w:hint="eastAsia" w:ascii="宋体" w:hAnsi="宋体" w:eastAsia="宋体" w:cs="宋体"/>
          <w:b/>
          <w:color w:val="auto"/>
          <w:sz w:val="24"/>
          <w:szCs w:val="24"/>
          <w:highlight w:val="none"/>
        </w:rPr>
      </w:pPr>
      <w:bookmarkStart w:id="156" w:name="_Toc1275994482"/>
      <w:bookmarkStart w:id="157" w:name="_Toc18147"/>
      <w:r>
        <w:rPr>
          <w:rFonts w:hint="eastAsia" w:ascii="宋体" w:hAnsi="宋体" w:eastAsia="宋体" w:cs="宋体"/>
          <w:b/>
          <w:bCs/>
          <w:color w:val="auto"/>
          <w:sz w:val="32"/>
          <w:szCs w:val="32"/>
          <w:highlight w:val="none"/>
        </w:rPr>
        <w:t>第四章</w:t>
      </w:r>
      <w:r>
        <w:rPr>
          <w:rFonts w:hint="default" w:ascii="宋体" w:hAnsi="宋体" w:cs="宋体"/>
          <w:b/>
          <w:bCs/>
          <w:color w:val="auto"/>
          <w:sz w:val="32"/>
          <w:szCs w:val="32"/>
          <w:highlight w:val="none"/>
        </w:rPr>
        <w:t xml:space="preserve">  </w:t>
      </w:r>
      <w:r>
        <w:rPr>
          <w:rFonts w:hint="eastAsia" w:ascii="宋体" w:hAnsi="宋体" w:cs="宋体"/>
          <w:b/>
          <w:color w:val="auto"/>
          <w:sz w:val="32"/>
          <w:szCs w:val="32"/>
          <w:highlight w:val="none"/>
          <w:lang w:eastAsia="zh-CN"/>
        </w:rPr>
        <w:t>采购合同</w:t>
      </w:r>
      <w:bookmarkEnd w:id="153"/>
      <w:bookmarkEnd w:id="154"/>
      <w:bookmarkEnd w:id="156"/>
      <w:bookmarkEnd w:id="157"/>
    </w:p>
    <w:tbl>
      <w:tblPr>
        <w:tblStyle w:val="13"/>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4"/>
      </w:tblGrid>
      <w:tr w14:paraId="2E07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824" w:type="dxa"/>
            <w:tcBorders>
              <w:top w:val="single" w:color="auto" w:sz="4" w:space="0"/>
              <w:left w:val="single" w:color="auto" w:sz="4" w:space="0"/>
              <w:bottom w:val="single" w:color="auto" w:sz="4" w:space="0"/>
              <w:right w:val="single" w:color="auto" w:sz="4" w:space="0"/>
            </w:tcBorders>
            <w:noWrap w:val="0"/>
            <w:vAlign w:val="top"/>
          </w:tcPr>
          <w:p w14:paraId="2D46417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14:paraId="3ECA47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本格式条款仅作为双方签订合同的参考，为阐明各方的权利和义务，经协商可增加新的条款、修改相关条款， 但不得与采购文件、报价文件的实质性内容相背离。</w:t>
            </w:r>
          </w:p>
        </w:tc>
      </w:tr>
    </w:tbl>
    <w:p w14:paraId="43A43D4E">
      <w:pPr>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合同号：</w:t>
      </w:r>
      <w:r>
        <w:rPr>
          <w:rFonts w:hint="eastAsia" w:ascii="宋体" w:hAnsi="宋体" w:eastAsia="宋体" w:cs="宋体"/>
          <w:color w:val="auto"/>
          <w:sz w:val="24"/>
          <w:szCs w:val="24"/>
          <w:highlight w:val="none"/>
          <w:u w:val="single"/>
        </w:rPr>
        <w:t xml:space="preserve">                  .</w:t>
      </w:r>
    </w:p>
    <w:p w14:paraId="4AB7449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签订地点：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F0DAD34">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乙方（成交供应商）：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签订日期： </w:t>
      </w:r>
      <w:r>
        <w:rPr>
          <w:rFonts w:hint="eastAsia" w:ascii="宋体" w:hAnsi="宋体" w:eastAsia="宋体" w:cs="宋体"/>
          <w:color w:val="auto"/>
          <w:sz w:val="24"/>
          <w:szCs w:val="24"/>
          <w:highlight w:val="none"/>
          <w:u w:val="single"/>
        </w:rPr>
        <w:t xml:space="preserve">     年   月   日</w:t>
      </w:r>
    </w:p>
    <w:p w14:paraId="1844137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CF5485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根据甲方委托</w:t>
      </w:r>
      <w:r>
        <w:rPr>
          <w:rFonts w:hint="eastAsia" w:ascii="宋体" w:hAnsi="宋体" w:eastAsia="宋体" w:cs="宋体"/>
          <w:color w:val="auto"/>
          <w:sz w:val="24"/>
          <w:szCs w:val="24"/>
          <w:highlight w:val="none"/>
          <w:u w:val="single"/>
        </w:rPr>
        <w:t>（采购代理机构）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进行采购（项目编号：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）的采购结果，乙方为成交供应商，现依照采购文件、</w:t>
      </w:r>
      <w:r>
        <w:rPr>
          <w:rFonts w:hint="eastAsia" w:ascii="宋体" w:hAnsi="宋体" w:eastAsia="宋体" w:cs="宋体"/>
          <w:color w:val="auto"/>
          <w:sz w:val="24"/>
          <w:szCs w:val="24"/>
          <w:highlight w:val="none"/>
          <w:u w:val="single"/>
        </w:rPr>
        <w:t>（成交供应商）</w:t>
      </w:r>
      <w:r>
        <w:rPr>
          <w:rFonts w:hint="eastAsia" w:ascii="宋体" w:hAnsi="宋体" w:eastAsia="宋体" w:cs="宋体"/>
          <w:color w:val="auto"/>
          <w:sz w:val="24"/>
          <w:szCs w:val="24"/>
          <w:highlight w:val="none"/>
        </w:rPr>
        <w:t>报价文件及有关法律、法规、规章规定的内容，双方达成如下协议：</w:t>
      </w:r>
    </w:p>
    <w:p w14:paraId="3542A683">
      <w:pPr>
        <w:spacing w:line="360" w:lineRule="auto"/>
        <w:ind w:left="69" w:leftChars="3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一、合同标的和合同价格</w:t>
      </w:r>
    </w:p>
    <w:tbl>
      <w:tblPr>
        <w:tblStyle w:val="13"/>
        <w:tblW w:w="8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236"/>
        <w:gridCol w:w="914"/>
        <w:gridCol w:w="1677"/>
        <w:gridCol w:w="1701"/>
        <w:gridCol w:w="1778"/>
      </w:tblGrid>
      <w:tr w14:paraId="163B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277" w:type="dxa"/>
            <w:tcBorders>
              <w:top w:val="single" w:color="auto" w:sz="4" w:space="0"/>
              <w:left w:val="single" w:color="auto" w:sz="4" w:space="0"/>
              <w:bottom w:val="single" w:color="auto" w:sz="4" w:space="0"/>
              <w:right w:val="single" w:color="auto" w:sz="4" w:space="0"/>
            </w:tcBorders>
            <w:noWrap w:val="0"/>
            <w:vAlign w:val="center"/>
          </w:tcPr>
          <w:p w14:paraId="3A591EC3">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75B65D1D">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服务商</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78915A82">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 量</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1E480A71">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 价</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8926B42">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 价</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51C46250">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r>
      <w:tr w14:paraId="55808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14:paraId="7473040C">
            <w:pPr>
              <w:spacing w:line="360" w:lineRule="auto"/>
              <w:ind w:left="69"/>
              <w:rPr>
                <w:rFonts w:hint="eastAsia" w:ascii="宋体" w:hAnsi="宋体" w:eastAsia="宋体" w:cs="宋体"/>
                <w:color w:val="auto"/>
                <w:sz w:val="24"/>
                <w:szCs w:val="24"/>
                <w:highlight w:val="none"/>
              </w:rPr>
            </w:pPr>
          </w:p>
          <w:p w14:paraId="6A2B85A0">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12D029F4">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14:paraId="46185F17">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14:paraId="7A9A98F7">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734DB9E1">
            <w:pPr>
              <w:spacing w:line="360" w:lineRule="auto"/>
              <w:ind w:left="69"/>
              <w:rPr>
                <w:rFonts w:hint="eastAsia" w:ascii="宋体" w:hAnsi="宋体" w:eastAsia="宋体" w:cs="宋体"/>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noWrap w:val="0"/>
            <w:vAlign w:val="top"/>
          </w:tcPr>
          <w:p w14:paraId="6B2BD246">
            <w:pPr>
              <w:spacing w:line="360" w:lineRule="auto"/>
              <w:ind w:left="69"/>
              <w:rPr>
                <w:rFonts w:hint="eastAsia" w:ascii="宋体" w:hAnsi="宋体" w:eastAsia="宋体" w:cs="宋体"/>
                <w:color w:val="auto"/>
                <w:sz w:val="24"/>
                <w:szCs w:val="24"/>
                <w:highlight w:val="none"/>
              </w:rPr>
            </w:pPr>
          </w:p>
        </w:tc>
      </w:tr>
      <w:tr w14:paraId="3A54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14:paraId="41608507">
            <w:pPr>
              <w:spacing w:line="360" w:lineRule="auto"/>
              <w:ind w:left="69"/>
              <w:rPr>
                <w:rFonts w:hint="eastAsia" w:ascii="宋体" w:hAnsi="宋体" w:eastAsia="宋体" w:cs="宋体"/>
                <w:color w:val="auto"/>
                <w:sz w:val="24"/>
                <w:szCs w:val="24"/>
                <w:highlight w:val="none"/>
              </w:rPr>
            </w:pPr>
          </w:p>
          <w:p w14:paraId="4432296A">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38FE9447">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14:paraId="33FCE5CE">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14:paraId="290E24E1">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70139D8A">
            <w:pPr>
              <w:spacing w:line="360" w:lineRule="auto"/>
              <w:ind w:left="69"/>
              <w:rPr>
                <w:rFonts w:hint="eastAsia" w:ascii="宋体" w:hAnsi="宋体" w:eastAsia="宋体" w:cs="宋体"/>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noWrap w:val="0"/>
            <w:vAlign w:val="top"/>
          </w:tcPr>
          <w:p w14:paraId="702A3FF3">
            <w:pPr>
              <w:spacing w:line="360" w:lineRule="auto"/>
              <w:ind w:left="69"/>
              <w:rPr>
                <w:rFonts w:hint="eastAsia" w:ascii="宋体" w:hAnsi="宋体" w:eastAsia="宋体" w:cs="宋体"/>
                <w:color w:val="auto"/>
                <w:sz w:val="24"/>
                <w:szCs w:val="24"/>
                <w:highlight w:val="none"/>
              </w:rPr>
            </w:pPr>
          </w:p>
        </w:tc>
      </w:tr>
      <w:tr w14:paraId="424A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14:paraId="1C698AFF">
            <w:pPr>
              <w:spacing w:line="360" w:lineRule="auto"/>
              <w:ind w:left="69"/>
              <w:rPr>
                <w:rFonts w:hint="eastAsia" w:ascii="宋体" w:hAnsi="宋体" w:eastAsia="宋体" w:cs="宋体"/>
                <w:color w:val="auto"/>
                <w:sz w:val="24"/>
                <w:szCs w:val="24"/>
                <w:highlight w:val="none"/>
              </w:rPr>
            </w:pPr>
          </w:p>
          <w:p w14:paraId="5EDBBB17">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6052ED93">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14:paraId="2258F96A">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14:paraId="75C14F2B">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2468D01">
            <w:pPr>
              <w:spacing w:line="360" w:lineRule="auto"/>
              <w:ind w:left="69"/>
              <w:rPr>
                <w:rFonts w:hint="eastAsia" w:ascii="宋体" w:hAnsi="宋体" w:eastAsia="宋体" w:cs="宋体"/>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noWrap w:val="0"/>
            <w:vAlign w:val="top"/>
          </w:tcPr>
          <w:p w14:paraId="3FB35E41">
            <w:pPr>
              <w:spacing w:line="360" w:lineRule="auto"/>
              <w:ind w:left="69"/>
              <w:rPr>
                <w:rFonts w:hint="eastAsia" w:ascii="宋体" w:hAnsi="宋体" w:eastAsia="宋体" w:cs="宋体"/>
                <w:color w:val="auto"/>
                <w:sz w:val="24"/>
                <w:szCs w:val="24"/>
                <w:highlight w:val="none"/>
              </w:rPr>
            </w:pPr>
          </w:p>
        </w:tc>
      </w:tr>
      <w:tr w14:paraId="6CDD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14:paraId="41255A22">
            <w:pPr>
              <w:spacing w:line="360" w:lineRule="auto"/>
              <w:ind w:left="69"/>
              <w:rPr>
                <w:rFonts w:hint="eastAsia" w:ascii="宋体" w:hAnsi="宋体" w:eastAsia="宋体" w:cs="宋体"/>
                <w:color w:val="auto"/>
                <w:sz w:val="24"/>
                <w:szCs w:val="24"/>
                <w:highlight w:val="none"/>
              </w:rPr>
            </w:pPr>
          </w:p>
          <w:p w14:paraId="76010728">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3A910294">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14:paraId="48860D1C">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14:paraId="1931985C">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2E756FD2">
            <w:pPr>
              <w:spacing w:line="360" w:lineRule="auto"/>
              <w:ind w:left="69"/>
              <w:rPr>
                <w:rFonts w:hint="eastAsia" w:ascii="宋体" w:hAnsi="宋体" w:eastAsia="宋体" w:cs="宋体"/>
                <w:color w:val="auto"/>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noWrap w:val="0"/>
            <w:vAlign w:val="top"/>
          </w:tcPr>
          <w:p w14:paraId="0721EAC8">
            <w:pPr>
              <w:spacing w:line="360" w:lineRule="auto"/>
              <w:ind w:left="69"/>
              <w:rPr>
                <w:rFonts w:hint="eastAsia" w:ascii="宋体" w:hAnsi="宋体" w:eastAsia="宋体" w:cs="宋体"/>
                <w:color w:val="auto"/>
                <w:sz w:val="24"/>
                <w:szCs w:val="24"/>
                <w:highlight w:val="none"/>
              </w:rPr>
            </w:pPr>
          </w:p>
        </w:tc>
      </w:tr>
    </w:tbl>
    <w:p w14:paraId="1258A61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二、乙方应按下列要求完成服务工作：</w:t>
      </w:r>
    </w:p>
    <w:p w14:paraId="4CEA1ABB">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1.服务地点：</w:t>
      </w:r>
      <w:r>
        <w:rPr>
          <w:rFonts w:hint="eastAsia" w:ascii="宋体" w:hAnsi="宋体" w:eastAsia="宋体" w:cs="宋体"/>
          <w:color w:val="auto"/>
          <w:sz w:val="24"/>
          <w:szCs w:val="24"/>
          <w:highlight w:val="none"/>
          <w:u w:val="single"/>
        </w:rPr>
        <w:t xml:space="preserve">                                                 </w:t>
      </w:r>
    </w:p>
    <w:p w14:paraId="1E3103C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2.服务进度：</w:t>
      </w:r>
      <w:r>
        <w:rPr>
          <w:rFonts w:hint="eastAsia" w:ascii="宋体" w:hAnsi="宋体" w:eastAsia="宋体" w:cs="宋体"/>
          <w:color w:val="auto"/>
          <w:sz w:val="24"/>
          <w:szCs w:val="24"/>
          <w:highlight w:val="none"/>
          <w:u w:val="single"/>
        </w:rPr>
        <w:t xml:space="preserve">                                                 </w:t>
      </w:r>
    </w:p>
    <w:p w14:paraId="77BACA0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3.服务质量要求：</w:t>
      </w:r>
      <w:r>
        <w:rPr>
          <w:rFonts w:hint="eastAsia" w:ascii="宋体" w:hAnsi="宋体" w:eastAsia="宋体" w:cs="宋体"/>
          <w:color w:val="auto"/>
          <w:sz w:val="24"/>
          <w:szCs w:val="24"/>
          <w:highlight w:val="none"/>
          <w:u w:val="single"/>
        </w:rPr>
        <w:t xml:space="preserve">                                             </w:t>
      </w:r>
    </w:p>
    <w:p w14:paraId="6141740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4.服务期限要求：</w:t>
      </w:r>
      <w:r>
        <w:rPr>
          <w:rFonts w:hint="eastAsia" w:ascii="宋体" w:hAnsi="宋体" w:eastAsia="宋体" w:cs="宋体"/>
          <w:color w:val="auto"/>
          <w:sz w:val="24"/>
          <w:szCs w:val="24"/>
          <w:highlight w:val="none"/>
          <w:u w:val="single"/>
        </w:rPr>
        <w:t xml:space="preserve">                                             </w:t>
      </w:r>
    </w:p>
    <w:p w14:paraId="4AC6BD0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三、为保证乙方有效进行服务工作，甲方应当向乙方提供下列工作条件和协作事项：</w:t>
      </w:r>
    </w:p>
    <w:p w14:paraId="2F37FCE9">
      <w:pPr>
        <w:spacing w:line="360" w:lineRule="auto"/>
        <w:ind w:right="-21" w:rightChars="-10" w:firstLine="500" w:firstLineChars="250"/>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1. 提供技术资料：</w:t>
      </w:r>
      <w:r>
        <w:rPr>
          <w:rFonts w:hint="eastAsia" w:ascii="宋体" w:hAnsi="宋体" w:eastAsia="宋体" w:cs="宋体"/>
          <w:color w:val="auto"/>
          <w:spacing w:val="-20"/>
          <w:sz w:val="24"/>
          <w:szCs w:val="24"/>
          <w:highlight w:val="none"/>
        </w:rPr>
        <w:cr/>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（3）</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（4）</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2. 提供工作条件：</w:t>
      </w:r>
    </w:p>
    <w:p w14:paraId="179F7372">
      <w:pPr>
        <w:spacing w:line="360" w:lineRule="auto"/>
        <w:ind w:right="-21" w:rightChars="-10"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（3）</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（4）</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p>
    <w:p w14:paraId="627269F5">
      <w:pPr>
        <w:spacing w:line="360" w:lineRule="auto"/>
        <w:ind w:right="-21" w:rightChars="-10" w:firstLine="480" w:firstLineChars="200"/>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z w:val="24"/>
          <w:szCs w:val="24"/>
          <w:highlight w:val="none"/>
        </w:rPr>
        <w:t>3. 其他：</w:t>
      </w:r>
      <w:r>
        <w:rPr>
          <w:rFonts w:hint="eastAsia" w:ascii="宋体" w:hAnsi="宋体" w:eastAsia="宋体" w:cs="宋体"/>
          <w:color w:val="auto"/>
          <w:spacing w:val="-20"/>
          <w:sz w:val="24"/>
          <w:szCs w:val="24"/>
          <w:highlight w:val="none"/>
          <w:u w:val="single"/>
        </w:rPr>
        <w:t xml:space="preserve">                                                                              </w:t>
      </w:r>
    </w:p>
    <w:p w14:paraId="53B39E50">
      <w:pPr>
        <w:spacing w:line="360" w:lineRule="auto"/>
        <w:ind w:right="-21" w:rightChars="-10"/>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4. 甲方提供上述工作条件和协作事项的时间及方式：</w:t>
      </w:r>
      <w:r>
        <w:rPr>
          <w:rFonts w:hint="eastAsia" w:ascii="宋体" w:hAnsi="宋体" w:eastAsia="宋体" w:cs="宋体"/>
          <w:color w:val="auto"/>
          <w:spacing w:val="-20"/>
          <w:sz w:val="24"/>
          <w:szCs w:val="24"/>
          <w:highlight w:val="none"/>
          <w:u w:val="single"/>
        </w:rPr>
        <w:t xml:space="preserve">                        </w:t>
      </w:r>
    </w:p>
    <w:p w14:paraId="417B4ACF">
      <w:pPr>
        <w:spacing w:line="360" w:lineRule="auto"/>
        <w:ind w:right="-21" w:rightChars="-10"/>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p>
    <w:p w14:paraId="1E712726">
      <w:pPr>
        <w:spacing w:line="360" w:lineRule="auto"/>
        <w:ind w:firstLine="480" w:firstLineChars="200"/>
        <w:outlineLvl w:val="9"/>
        <w:rPr>
          <w:rFonts w:hint="eastAsia" w:ascii="宋体" w:hAnsi="宋体" w:eastAsia="宋体" w:cs="宋体"/>
          <w:color w:val="auto"/>
          <w:sz w:val="24"/>
          <w:szCs w:val="24"/>
          <w:highlight w:val="none"/>
        </w:rPr>
      </w:pPr>
      <w:bookmarkStart w:id="158" w:name="_Toc27563"/>
      <w:r>
        <w:rPr>
          <w:rFonts w:hint="eastAsia" w:ascii="宋体" w:hAnsi="宋体" w:eastAsia="宋体" w:cs="宋体"/>
          <w:color w:val="auto"/>
          <w:sz w:val="24"/>
          <w:szCs w:val="24"/>
          <w:highlight w:val="none"/>
        </w:rPr>
        <w:t>四、 甲方向乙方支付服务报酬及支付方式为:</w:t>
      </w:r>
      <w:bookmarkEnd w:id="158"/>
    </w:p>
    <w:p w14:paraId="2F021F17">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1.本合同价款为固定总价价款，项目结算时除合同另有约定外均不予调整。本合同价款为</w:t>
      </w:r>
      <w:r>
        <w:rPr>
          <w:rFonts w:hint="eastAsia" w:ascii="宋体" w:hAnsi="宋体" w:eastAsia="宋体" w:cs="宋体"/>
          <w:color w:val="auto"/>
          <w:sz w:val="24"/>
          <w:szCs w:val="24"/>
          <w:highlight w:val="none"/>
          <w:u w:val="single"/>
        </w:rPr>
        <w:t xml:space="preserve">                 。</w:t>
      </w:r>
    </w:p>
    <w:p w14:paraId="374DFD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2.服务费由甲方分期支付给乙方。</w:t>
      </w:r>
    </w:p>
    <w:p w14:paraId="67509225">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具体支付方式和时间如下：</w:t>
      </w:r>
    </w:p>
    <w:p w14:paraId="7CAE82E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五、本合同的变更必须由双方协商一致，并以书面形式确定。</w:t>
      </w:r>
    </w:p>
    <w:p w14:paraId="499F826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 双方确定以下列标准和方式对乙方的服务工作成果进行验收：</w:t>
      </w:r>
    </w:p>
    <w:p w14:paraId="0D5A1FFE">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1、乙方完成服务工作的形式：</w:t>
      </w:r>
    </w:p>
    <w:p w14:paraId="70C8A08D">
      <w:pPr>
        <w:spacing w:line="360" w:lineRule="auto"/>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2、服务工作成果的验收标准：</w:t>
      </w:r>
      <w:r>
        <w:rPr>
          <w:rFonts w:hint="eastAsia" w:ascii="宋体" w:hAnsi="宋体" w:eastAsia="宋体" w:cs="宋体"/>
          <w:color w:val="auto"/>
          <w:sz w:val="24"/>
          <w:szCs w:val="24"/>
          <w:highlight w:val="none"/>
          <w:u w:val="single"/>
        </w:rPr>
        <w:t xml:space="preserve">  国家、地方和行业现行有关技术规范、标准、设计要求以及甲方有关指令。 </w:t>
      </w:r>
      <w:r>
        <w:rPr>
          <w:rFonts w:hint="eastAsia" w:ascii="宋体" w:hAnsi="宋体" w:eastAsia="宋体" w:cs="宋体"/>
          <w:color w:val="auto"/>
          <w:sz w:val="24"/>
          <w:szCs w:val="24"/>
          <w:highlight w:val="none"/>
        </w:rPr>
        <w:t xml:space="preserve"> </w:t>
      </w:r>
    </w:p>
    <w:p w14:paraId="1B79A4BC">
      <w:pPr>
        <w:spacing w:line="360" w:lineRule="auto"/>
        <w:ind w:firstLine="460" w:firstLineChars="19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3、服务工作成果的验收方法：</w:t>
      </w:r>
      <w:r>
        <w:rPr>
          <w:rFonts w:hint="eastAsia" w:ascii="宋体" w:hAnsi="宋体" w:eastAsia="宋体" w:cs="宋体"/>
          <w:color w:val="auto"/>
          <w:sz w:val="24"/>
          <w:szCs w:val="24"/>
          <w:highlight w:val="none"/>
          <w:u w:val="single"/>
        </w:rPr>
        <w:t xml:space="preserve">                        。</w:t>
      </w:r>
    </w:p>
    <w:p w14:paraId="33E5B6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4、在本合同有效期或约定的服务期内，乙方在接到甲方故障通知后               </w:t>
      </w:r>
    </w:p>
    <w:p w14:paraId="2464C0C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小时内应委派专业技术人员到现场免费提供咨询等服务。</w:t>
      </w:r>
    </w:p>
    <w:p w14:paraId="038626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七、双方确定，按以下约定承担各自的违约责任：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乙方须保障甲方在使用该服务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14:paraId="3DA8A54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八、双方确定，在本协议有效期内，甲方指定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为甲方项目联系人,乙方指定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乙方项目联系人。双方联系人应及时向对方沟通和交换有关情况，及时提交和签认有关的报告及确认单、通知单等文件，并就重要情况及时向双方的所在单位部门负责人汇报。一方变更项目联系人的,应当及时以书面形式通知另一方。末及时通知并影响本协议履行或造成损失的,应承担相应的责任。</w:t>
      </w:r>
    </w:p>
    <w:p w14:paraId="49D8C6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九、双方因履行本合同或与本合同有关一切事项而发生的争议，应协商解决。协商不成的，确定按以下第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种方式处理：</w:t>
      </w:r>
    </w:p>
    <w:p w14:paraId="0EEDB28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1.提交</w:t>
      </w:r>
      <w:r>
        <w:rPr>
          <w:rFonts w:hint="eastAsia" w:ascii="宋体" w:hAnsi="宋体" w:eastAsia="宋体" w:cs="宋体"/>
          <w:color w:val="auto"/>
          <w:sz w:val="24"/>
          <w:szCs w:val="24"/>
          <w:highlight w:val="none"/>
          <w:u w:val="single"/>
        </w:rPr>
        <w:t>（甲方所在地）</w:t>
      </w:r>
      <w:r>
        <w:rPr>
          <w:rFonts w:hint="eastAsia" w:ascii="宋体" w:hAnsi="宋体" w:eastAsia="宋体" w:cs="宋体"/>
          <w:color w:val="auto"/>
          <w:sz w:val="24"/>
          <w:szCs w:val="24"/>
          <w:highlight w:val="none"/>
        </w:rPr>
        <w:t>仲裁委员会仲裁;</w:t>
      </w:r>
    </w:p>
    <w:p w14:paraId="1725D18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2.依法向项目所在地人民法院提出诉讼。</w:t>
      </w:r>
    </w:p>
    <w:p w14:paraId="7E57D9E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十、本合同一式</w:t>
      </w:r>
      <w:r>
        <w:rPr>
          <w:rFonts w:hint="eastAsia" w:ascii="宋体" w:hAnsi="宋体" w:eastAsia="宋体" w:cs="宋体"/>
          <w:color w:val="auto"/>
          <w:sz w:val="24"/>
          <w:szCs w:val="24"/>
          <w:highlight w:val="none"/>
          <w:u w:val="single"/>
        </w:rPr>
        <w:t>三</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一</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一</w:t>
      </w:r>
      <w:r>
        <w:rPr>
          <w:rFonts w:hint="eastAsia" w:ascii="宋体" w:hAnsi="宋体" w:eastAsia="宋体" w:cs="宋体"/>
          <w:color w:val="auto"/>
          <w:sz w:val="24"/>
          <w:szCs w:val="24"/>
          <w:highlight w:val="none"/>
        </w:rPr>
        <w:t>份，送采购代理机构备份一份，具有同等法律效力.</w:t>
      </w:r>
    </w:p>
    <w:p w14:paraId="3C9E892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十一、本合同经双方签字盖章后生效，有关权利义务全部履结后自动失效。                  </w:t>
      </w:r>
    </w:p>
    <w:p w14:paraId="3A027DC7">
      <w:pPr>
        <w:spacing w:line="360" w:lineRule="auto"/>
        <w:ind w:firstLine="480" w:firstLineChars="200"/>
        <w:outlineLvl w:val="9"/>
        <w:rPr>
          <w:rFonts w:hint="eastAsia" w:ascii="宋体" w:hAnsi="宋体" w:eastAsia="宋体" w:cs="宋体"/>
          <w:color w:val="auto"/>
          <w:sz w:val="24"/>
          <w:szCs w:val="24"/>
          <w:highlight w:val="none"/>
        </w:rPr>
      </w:pPr>
      <w:bookmarkStart w:id="159" w:name="_Toc21739"/>
      <w:r>
        <w:rPr>
          <w:rFonts w:hint="eastAsia" w:ascii="宋体" w:hAnsi="宋体" w:eastAsia="宋体" w:cs="宋体"/>
          <w:color w:val="auto"/>
          <w:sz w:val="24"/>
          <w:szCs w:val="24"/>
          <w:highlight w:val="none"/>
        </w:rPr>
        <w:t>十二、补充条款。</w:t>
      </w:r>
      <w:bookmarkEnd w:id="159"/>
    </w:p>
    <w:p w14:paraId="2B43F896">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1.甲方编发的采购文件和乙方的报价文件（含修正和补充文件）以及相关的澄清确认函件（如有）均为本合同组成文件。</w:t>
      </w:r>
    </w:p>
    <w:p w14:paraId="750AFBA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2.乙方的项目组成员和经批准的技术工作方案的任何调整均必须事先获得甲方的书面批准，否则按照违约事件处理。</w:t>
      </w:r>
    </w:p>
    <w:p w14:paraId="2BE04DE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3.乙方的履约保函等合同文件必须与本合同的签订同步提交。</w:t>
      </w:r>
    </w:p>
    <w:p w14:paraId="44AA704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4.乙方必须及时和负责任地参加甲方、总监和质量监督部门组织的有关会议等活动，正确履行有关合同职责和法定职责，规范提供优质专业服务和支持。</w:t>
      </w:r>
    </w:p>
    <w:p w14:paraId="0D676E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5.本合同未尽事宜，双方另行补充。</w:t>
      </w:r>
    </w:p>
    <w:p w14:paraId="5614EA5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5301B083">
      <w:pPr>
        <w:spacing w:line="360" w:lineRule="auto"/>
        <w:rPr>
          <w:rFonts w:hint="eastAsia" w:ascii="宋体" w:hAnsi="宋体" w:eastAsia="宋体" w:cs="宋体"/>
          <w:color w:val="auto"/>
          <w:sz w:val="24"/>
          <w:szCs w:val="24"/>
          <w:highlight w:val="none"/>
        </w:rPr>
      </w:pPr>
    </w:p>
    <w:p w14:paraId="3D8A7B4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                            乙    方：</w:t>
      </w:r>
    </w:p>
    <w:p w14:paraId="4D7ED9C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                            单位地址：</w:t>
      </w:r>
    </w:p>
    <w:p w14:paraId="01B64A3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14:paraId="35CB3C1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委托代理人：</w:t>
      </w:r>
    </w:p>
    <w:p w14:paraId="3C476EC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14:paraId="6E728BC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14:paraId="2C71F5DD">
      <w:pPr>
        <w:spacing w:line="360" w:lineRule="auto"/>
        <w:outlineLvl w:val="9"/>
        <w:rPr>
          <w:rFonts w:hint="eastAsia" w:ascii="宋体" w:hAnsi="宋体" w:eastAsia="宋体" w:cs="宋体"/>
          <w:color w:val="auto"/>
          <w:sz w:val="24"/>
          <w:szCs w:val="24"/>
          <w:highlight w:val="none"/>
        </w:rPr>
      </w:pPr>
      <w:bookmarkStart w:id="160" w:name="_Toc1424"/>
      <w:r>
        <w:rPr>
          <w:rFonts w:hint="eastAsia" w:ascii="宋体" w:hAnsi="宋体" w:eastAsia="宋体" w:cs="宋体"/>
          <w:color w:val="auto"/>
          <w:sz w:val="24"/>
          <w:szCs w:val="24"/>
          <w:highlight w:val="none"/>
        </w:rPr>
        <w:t>账    号：                            账    号：</w:t>
      </w:r>
      <w:bookmarkEnd w:id="155"/>
      <w:bookmarkEnd w:id="160"/>
      <w:bookmarkStart w:id="161" w:name="_Toc268599011"/>
    </w:p>
    <w:p w14:paraId="062CE9A3">
      <w:pPr>
        <w:spacing w:line="360" w:lineRule="auto"/>
        <w:jc w:val="center"/>
        <w:outlineLvl w:val="9"/>
        <w:rPr>
          <w:rFonts w:hint="eastAsia" w:ascii="宋体" w:hAnsi="宋体" w:eastAsia="宋体" w:cs="宋体"/>
          <w:color w:val="auto"/>
          <w:sz w:val="24"/>
          <w:szCs w:val="24"/>
          <w:highlight w:val="none"/>
        </w:rPr>
      </w:pPr>
    </w:p>
    <w:p w14:paraId="09D268FF">
      <w:pPr>
        <w:spacing w:line="360" w:lineRule="auto"/>
        <w:jc w:val="center"/>
        <w:outlineLvl w:val="9"/>
        <w:rPr>
          <w:rFonts w:hint="eastAsia" w:ascii="宋体" w:hAnsi="宋体" w:eastAsia="宋体" w:cs="宋体"/>
          <w:color w:val="auto"/>
          <w:sz w:val="24"/>
          <w:szCs w:val="24"/>
          <w:highlight w:val="none"/>
        </w:rPr>
      </w:pPr>
    </w:p>
    <w:p w14:paraId="1382BD8D">
      <w:pPr>
        <w:spacing w:line="360" w:lineRule="auto"/>
        <w:jc w:val="center"/>
        <w:outlineLvl w:val="9"/>
        <w:rPr>
          <w:rFonts w:hint="eastAsia" w:ascii="宋体" w:hAnsi="宋体" w:eastAsia="宋体" w:cs="宋体"/>
          <w:color w:val="auto"/>
          <w:sz w:val="24"/>
          <w:szCs w:val="24"/>
          <w:highlight w:val="none"/>
        </w:rPr>
      </w:pPr>
    </w:p>
    <w:p w14:paraId="695DA749">
      <w:pPr>
        <w:spacing w:line="360" w:lineRule="auto"/>
        <w:jc w:val="center"/>
        <w:outlineLvl w:val="9"/>
        <w:rPr>
          <w:rFonts w:hint="eastAsia" w:ascii="宋体" w:hAnsi="宋体" w:eastAsia="宋体" w:cs="宋体"/>
          <w:color w:val="auto"/>
          <w:sz w:val="24"/>
          <w:szCs w:val="24"/>
          <w:highlight w:val="none"/>
        </w:rPr>
      </w:pPr>
    </w:p>
    <w:p w14:paraId="69346278">
      <w:pPr>
        <w:spacing w:line="360" w:lineRule="auto"/>
        <w:jc w:val="center"/>
        <w:outlineLvl w:val="9"/>
        <w:rPr>
          <w:rFonts w:hint="eastAsia" w:ascii="宋体" w:hAnsi="宋体" w:eastAsia="宋体" w:cs="宋体"/>
          <w:color w:val="auto"/>
          <w:sz w:val="24"/>
          <w:szCs w:val="24"/>
          <w:highlight w:val="none"/>
        </w:rPr>
      </w:pPr>
    </w:p>
    <w:p w14:paraId="280681B7">
      <w:pPr>
        <w:spacing w:line="360" w:lineRule="auto"/>
        <w:jc w:val="center"/>
        <w:outlineLvl w:val="9"/>
        <w:rPr>
          <w:rFonts w:hint="eastAsia" w:ascii="宋体" w:hAnsi="宋体" w:eastAsia="宋体" w:cs="宋体"/>
          <w:color w:val="auto"/>
          <w:sz w:val="24"/>
          <w:szCs w:val="24"/>
          <w:highlight w:val="none"/>
        </w:rPr>
      </w:pPr>
    </w:p>
    <w:p w14:paraId="0A075B58">
      <w:pPr>
        <w:spacing w:line="360" w:lineRule="auto"/>
        <w:jc w:val="center"/>
        <w:outlineLvl w:val="9"/>
        <w:rPr>
          <w:rFonts w:hint="eastAsia" w:ascii="宋体" w:hAnsi="宋体" w:eastAsia="宋体" w:cs="宋体"/>
          <w:color w:val="auto"/>
          <w:sz w:val="24"/>
          <w:szCs w:val="24"/>
          <w:highlight w:val="none"/>
        </w:rPr>
      </w:pPr>
    </w:p>
    <w:p w14:paraId="022DD55F">
      <w:pPr>
        <w:spacing w:line="360" w:lineRule="auto"/>
        <w:jc w:val="center"/>
        <w:outlineLvl w:val="9"/>
        <w:rPr>
          <w:rFonts w:hint="eastAsia" w:ascii="宋体" w:hAnsi="宋体" w:eastAsia="宋体" w:cs="宋体"/>
          <w:color w:val="auto"/>
          <w:sz w:val="24"/>
          <w:szCs w:val="24"/>
          <w:highlight w:val="none"/>
        </w:rPr>
      </w:pPr>
    </w:p>
    <w:p w14:paraId="274543C4">
      <w:pPr>
        <w:spacing w:line="360" w:lineRule="auto"/>
        <w:jc w:val="center"/>
        <w:outlineLvl w:val="9"/>
        <w:rPr>
          <w:rFonts w:hint="eastAsia" w:ascii="宋体" w:hAnsi="宋体" w:eastAsia="宋体" w:cs="宋体"/>
          <w:color w:val="auto"/>
          <w:sz w:val="24"/>
          <w:szCs w:val="24"/>
          <w:highlight w:val="none"/>
        </w:rPr>
      </w:pPr>
    </w:p>
    <w:p w14:paraId="464BCFFC">
      <w:pPr>
        <w:spacing w:line="360" w:lineRule="auto"/>
        <w:outlineLvl w:val="9"/>
        <w:rPr>
          <w:rFonts w:hint="eastAsia" w:ascii="宋体" w:hAnsi="宋体" w:eastAsia="宋体" w:cs="宋体"/>
          <w:color w:val="auto"/>
          <w:sz w:val="24"/>
          <w:szCs w:val="24"/>
          <w:highlight w:val="none"/>
        </w:rPr>
      </w:pPr>
    </w:p>
    <w:p w14:paraId="2EAFF21C">
      <w:pPr>
        <w:spacing w:line="360" w:lineRule="auto"/>
        <w:outlineLvl w:val="9"/>
        <w:rPr>
          <w:rFonts w:hint="eastAsia" w:ascii="宋体" w:hAnsi="宋体" w:eastAsia="宋体" w:cs="宋体"/>
          <w:color w:val="auto"/>
          <w:sz w:val="24"/>
          <w:szCs w:val="24"/>
          <w:highlight w:val="none"/>
        </w:rPr>
      </w:pPr>
    </w:p>
    <w:p w14:paraId="29DD08D4">
      <w:pPr>
        <w:spacing w:line="360" w:lineRule="auto"/>
        <w:jc w:val="center"/>
        <w:outlineLvl w:val="9"/>
        <w:rPr>
          <w:rFonts w:hint="eastAsia" w:ascii="宋体" w:hAnsi="宋体" w:eastAsia="宋体" w:cs="宋体"/>
          <w:color w:val="auto"/>
          <w:sz w:val="24"/>
          <w:szCs w:val="24"/>
          <w:highlight w:val="none"/>
        </w:rPr>
      </w:pPr>
    </w:p>
    <w:p w14:paraId="166B7FCC">
      <w:pPr>
        <w:spacing w:line="360" w:lineRule="auto"/>
        <w:jc w:val="center"/>
        <w:outlineLvl w:val="9"/>
        <w:rPr>
          <w:rFonts w:hint="eastAsia" w:ascii="宋体" w:hAnsi="宋体" w:eastAsia="宋体" w:cs="宋体"/>
          <w:color w:val="auto"/>
          <w:sz w:val="24"/>
          <w:szCs w:val="24"/>
          <w:highlight w:val="none"/>
        </w:rPr>
      </w:pPr>
    </w:p>
    <w:p w14:paraId="31DFFE50">
      <w:pPr>
        <w:spacing w:line="360" w:lineRule="auto"/>
        <w:jc w:val="center"/>
        <w:outlineLvl w:val="9"/>
        <w:rPr>
          <w:rFonts w:hint="eastAsia" w:ascii="宋体" w:hAnsi="宋体" w:eastAsia="宋体" w:cs="宋体"/>
          <w:color w:val="auto"/>
          <w:sz w:val="24"/>
          <w:szCs w:val="24"/>
          <w:highlight w:val="none"/>
        </w:rPr>
      </w:pPr>
    </w:p>
    <w:p w14:paraId="638A123A">
      <w:pPr>
        <w:spacing w:line="360" w:lineRule="auto"/>
        <w:jc w:val="center"/>
        <w:outlineLvl w:val="9"/>
        <w:rPr>
          <w:rFonts w:hint="eastAsia" w:ascii="宋体" w:hAnsi="宋体" w:eastAsia="宋体" w:cs="宋体"/>
          <w:color w:val="auto"/>
          <w:sz w:val="24"/>
          <w:szCs w:val="24"/>
          <w:highlight w:val="none"/>
        </w:rPr>
      </w:pPr>
    </w:p>
    <w:p w14:paraId="4905E74F">
      <w:pPr>
        <w:spacing w:line="360" w:lineRule="auto"/>
        <w:jc w:val="center"/>
        <w:outlineLvl w:val="9"/>
        <w:rPr>
          <w:rFonts w:hint="eastAsia" w:ascii="宋体" w:hAnsi="宋体" w:eastAsia="宋体" w:cs="宋体"/>
          <w:color w:val="auto"/>
          <w:sz w:val="24"/>
          <w:szCs w:val="24"/>
          <w:highlight w:val="none"/>
        </w:rPr>
      </w:pPr>
    </w:p>
    <w:p w14:paraId="26C92163">
      <w:pPr>
        <w:spacing w:line="360" w:lineRule="auto"/>
        <w:jc w:val="center"/>
        <w:outlineLvl w:val="9"/>
        <w:rPr>
          <w:rFonts w:hint="eastAsia" w:ascii="宋体" w:hAnsi="宋体" w:eastAsia="宋体" w:cs="宋体"/>
          <w:color w:val="auto"/>
          <w:sz w:val="24"/>
          <w:szCs w:val="24"/>
          <w:highlight w:val="none"/>
        </w:rPr>
      </w:pPr>
    </w:p>
    <w:p w14:paraId="2333ABA0">
      <w:pPr>
        <w:spacing w:line="360" w:lineRule="auto"/>
        <w:jc w:val="center"/>
        <w:outlineLvl w:val="9"/>
        <w:rPr>
          <w:rFonts w:hint="eastAsia" w:ascii="宋体" w:hAnsi="宋体" w:eastAsia="宋体" w:cs="宋体"/>
          <w:color w:val="auto"/>
          <w:sz w:val="24"/>
          <w:szCs w:val="24"/>
          <w:highlight w:val="none"/>
        </w:rPr>
      </w:pPr>
    </w:p>
    <w:p w14:paraId="16E5F425">
      <w:pPr>
        <w:spacing w:line="360" w:lineRule="auto"/>
        <w:jc w:val="center"/>
        <w:outlineLvl w:val="9"/>
        <w:rPr>
          <w:rFonts w:hint="eastAsia" w:ascii="宋体" w:hAnsi="宋体" w:eastAsia="宋体" w:cs="宋体"/>
          <w:color w:val="auto"/>
          <w:sz w:val="24"/>
          <w:szCs w:val="24"/>
          <w:highlight w:val="none"/>
        </w:rPr>
      </w:pPr>
    </w:p>
    <w:p w14:paraId="1541CB61">
      <w:pPr>
        <w:spacing w:line="360" w:lineRule="auto"/>
        <w:outlineLvl w:val="9"/>
        <w:rPr>
          <w:rFonts w:hint="eastAsia" w:ascii="宋体" w:hAnsi="宋体" w:eastAsia="宋体" w:cs="宋体"/>
          <w:color w:val="auto"/>
          <w:sz w:val="24"/>
          <w:szCs w:val="24"/>
          <w:highlight w:val="none"/>
        </w:rPr>
      </w:pPr>
    </w:p>
    <w:p w14:paraId="62C7AF5B">
      <w:pPr>
        <w:spacing w:line="360" w:lineRule="auto"/>
        <w:jc w:val="center"/>
        <w:outlineLvl w:val="9"/>
        <w:rPr>
          <w:rFonts w:hint="eastAsia" w:ascii="宋体" w:hAnsi="宋体" w:eastAsia="宋体" w:cs="宋体"/>
          <w:b/>
          <w:bCs/>
          <w:color w:val="auto"/>
          <w:sz w:val="32"/>
          <w:szCs w:val="32"/>
          <w:highlight w:val="none"/>
        </w:rPr>
      </w:pPr>
    </w:p>
    <w:p w14:paraId="7454046A">
      <w:pPr>
        <w:spacing w:line="360" w:lineRule="auto"/>
        <w:jc w:val="center"/>
        <w:outlineLvl w:val="9"/>
        <w:rPr>
          <w:rFonts w:hint="eastAsia" w:ascii="宋体" w:hAnsi="宋体" w:eastAsia="宋体" w:cs="宋体"/>
          <w:b/>
          <w:bCs/>
          <w:color w:val="auto"/>
          <w:sz w:val="32"/>
          <w:szCs w:val="32"/>
          <w:highlight w:val="none"/>
        </w:rPr>
      </w:pPr>
    </w:p>
    <w:p w14:paraId="19DBD9BF">
      <w:pPr>
        <w:spacing w:line="360" w:lineRule="auto"/>
        <w:jc w:val="center"/>
        <w:outlineLvl w:val="9"/>
        <w:rPr>
          <w:rFonts w:hint="eastAsia" w:ascii="宋体" w:hAnsi="宋体" w:eastAsia="宋体" w:cs="宋体"/>
          <w:b/>
          <w:bCs/>
          <w:color w:val="auto"/>
          <w:sz w:val="32"/>
          <w:szCs w:val="32"/>
          <w:highlight w:val="none"/>
        </w:rPr>
      </w:pPr>
    </w:p>
    <w:p w14:paraId="3DC1013E">
      <w:pPr>
        <w:spacing w:line="360" w:lineRule="auto"/>
        <w:jc w:val="center"/>
        <w:outlineLvl w:val="9"/>
        <w:rPr>
          <w:rFonts w:hint="eastAsia" w:ascii="宋体" w:hAnsi="宋体" w:eastAsia="宋体" w:cs="宋体"/>
          <w:b/>
          <w:bCs/>
          <w:color w:val="auto"/>
          <w:sz w:val="32"/>
          <w:szCs w:val="32"/>
          <w:highlight w:val="none"/>
        </w:rPr>
      </w:pPr>
    </w:p>
    <w:p w14:paraId="7371B5F3">
      <w:pPr>
        <w:spacing w:line="360" w:lineRule="auto"/>
        <w:jc w:val="center"/>
        <w:outlineLvl w:val="9"/>
        <w:rPr>
          <w:rFonts w:hint="eastAsia" w:ascii="宋体" w:hAnsi="宋体" w:eastAsia="宋体" w:cs="宋体"/>
          <w:b/>
          <w:bCs/>
          <w:color w:val="auto"/>
          <w:sz w:val="32"/>
          <w:szCs w:val="32"/>
          <w:highlight w:val="none"/>
        </w:rPr>
      </w:pPr>
    </w:p>
    <w:p w14:paraId="5EA54F18">
      <w:pPr>
        <w:spacing w:line="360" w:lineRule="auto"/>
        <w:jc w:val="center"/>
        <w:outlineLvl w:val="0"/>
        <w:rPr>
          <w:rFonts w:hint="eastAsia" w:ascii="宋体" w:hAnsi="宋体" w:eastAsia="宋体" w:cs="宋体"/>
          <w:b/>
          <w:bCs/>
          <w:color w:val="auto"/>
          <w:sz w:val="24"/>
          <w:szCs w:val="24"/>
          <w:highlight w:val="none"/>
        </w:rPr>
      </w:pPr>
      <w:bookmarkStart w:id="162" w:name="_Toc9315"/>
      <w:bookmarkStart w:id="163" w:name="_Toc18419832"/>
      <w:bookmarkStart w:id="164" w:name="_Toc2004389064"/>
      <w:bookmarkStart w:id="165" w:name="_Toc9807"/>
      <w:r>
        <w:rPr>
          <w:rFonts w:hint="eastAsia" w:ascii="宋体" w:hAnsi="宋体" w:eastAsia="宋体" w:cs="宋体"/>
          <w:b/>
          <w:bCs/>
          <w:color w:val="auto"/>
          <w:sz w:val="32"/>
          <w:szCs w:val="32"/>
          <w:highlight w:val="none"/>
        </w:rPr>
        <w:t>第五章</w:t>
      </w:r>
      <w:r>
        <w:rPr>
          <w:rFonts w:hint="default" w:ascii="宋体" w:hAnsi="宋体" w:cs="宋体"/>
          <w:b/>
          <w:bCs/>
          <w:color w:val="auto"/>
          <w:sz w:val="32"/>
          <w:szCs w:val="32"/>
          <w:highlight w:val="none"/>
        </w:rPr>
        <w:t xml:space="preserve">  </w:t>
      </w:r>
      <w:r>
        <w:rPr>
          <w:rFonts w:hint="eastAsia" w:ascii="宋体" w:hAnsi="宋体" w:eastAsia="宋体" w:cs="宋体"/>
          <w:b/>
          <w:bCs/>
          <w:color w:val="auto"/>
          <w:sz w:val="32"/>
          <w:szCs w:val="32"/>
          <w:highlight w:val="none"/>
        </w:rPr>
        <w:t>报价文件格式</w:t>
      </w:r>
      <w:bookmarkEnd w:id="161"/>
      <w:bookmarkEnd w:id="162"/>
      <w:bookmarkEnd w:id="163"/>
      <w:bookmarkEnd w:id="164"/>
      <w:bookmarkEnd w:id="165"/>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19D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noWrap w:val="0"/>
            <w:vAlign w:val="top"/>
          </w:tcPr>
          <w:p w14:paraId="06B3150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14:paraId="3D208198">
            <w:pPr>
              <w:spacing w:line="360" w:lineRule="auto"/>
              <w:ind w:left="492" w:right="13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《报价文件格式》是报价人的部分报价文件格式和签订合同时所需文件的格式。报价人应参照这些格式文件制作报价文件。</w:t>
            </w:r>
          </w:p>
        </w:tc>
      </w:tr>
    </w:tbl>
    <w:p w14:paraId="72736C39">
      <w:pPr>
        <w:spacing w:line="360" w:lineRule="auto"/>
        <w:rPr>
          <w:rFonts w:hint="eastAsia" w:ascii="宋体" w:hAnsi="宋体" w:eastAsia="宋体" w:cs="宋体"/>
          <w:b/>
          <w:color w:val="auto"/>
          <w:sz w:val="24"/>
          <w:szCs w:val="24"/>
          <w:highlight w:val="none"/>
        </w:rPr>
      </w:pPr>
    </w:p>
    <w:p w14:paraId="50510F1F">
      <w:pPr>
        <w:spacing w:line="360" w:lineRule="auto"/>
        <w:jc w:val="center"/>
        <w:rPr>
          <w:rFonts w:hint="eastAsia" w:ascii="宋体" w:hAnsi="宋体" w:eastAsia="宋体" w:cs="宋体"/>
          <w:b/>
          <w:color w:val="auto"/>
          <w:sz w:val="24"/>
          <w:szCs w:val="24"/>
          <w:highlight w:val="none"/>
        </w:rPr>
      </w:pPr>
    </w:p>
    <w:p w14:paraId="0CE81B0B">
      <w:pPr>
        <w:spacing w:line="360" w:lineRule="auto"/>
        <w:jc w:val="center"/>
        <w:rPr>
          <w:rFonts w:hint="eastAsia" w:ascii="宋体" w:hAnsi="宋体" w:eastAsia="宋体" w:cs="宋体"/>
          <w:b/>
          <w:color w:val="auto"/>
          <w:sz w:val="24"/>
          <w:szCs w:val="24"/>
          <w:highlight w:val="none"/>
        </w:rPr>
      </w:pPr>
    </w:p>
    <w:p w14:paraId="0B235EC0">
      <w:pPr>
        <w:spacing w:line="360" w:lineRule="auto"/>
        <w:jc w:val="center"/>
        <w:rPr>
          <w:rFonts w:hint="eastAsia" w:ascii="宋体" w:hAnsi="宋体" w:eastAsia="宋体" w:cs="宋体"/>
          <w:b/>
          <w:color w:val="auto"/>
          <w:sz w:val="24"/>
          <w:szCs w:val="24"/>
          <w:highlight w:val="none"/>
        </w:rPr>
      </w:pPr>
    </w:p>
    <w:p w14:paraId="032E5412">
      <w:pPr>
        <w:spacing w:line="360" w:lineRule="auto"/>
        <w:jc w:val="center"/>
        <w:rPr>
          <w:rFonts w:hint="eastAsia" w:ascii="宋体" w:hAnsi="宋体" w:eastAsia="宋体" w:cs="宋体"/>
          <w:b/>
          <w:color w:val="auto"/>
          <w:sz w:val="24"/>
          <w:szCs w:val="24"/>
          <w:highlight w:val="none"/>
        </w:rPr>
      </w:pPr>
    </w:p>
    <w:p w14:paraId="16D509B6">
      <w:pPr>
        <w:spacing w:line="360" w:lineRule="auto"/>
        <w:jc w:val="center"/>
        <w:rPr>
          <w:rFonts w:hint="eastAsia" w:ascii="宋体" w:hAnsi="宋体" w:eastAsia="宋体" w:cs="宋体"/>
          <w:b/>
          <w:color w:val="auto"/>
          <w:sz w:val="24"/>
          <w:szCs w:val="24"/>
          <w:highlight w:val="none"/>
        </w:rPr>
      </w:pPr>
    </w:p>
    <w:p w14:paraId="17DE3136">
      <w:pPr>
        <w:spacing w:line="360" w:lineRule="auto"/>
        <w:jc w:val="center"/>
        <w:rPr>
          <w:rFonts w:hint="eastAsia" w:ascii="宋体" w:hAnsi="宋体"/>
          <w:b/>
          <w:color w:val="auto"/>
          <w:sz w:val="72"/>
          <w:highlight w:val="none"/>
        </w:rPr>
      </w:pPr>
    </w:p>
    <w:p w14:paraId="40FB7AE0">
      <w:pPr>
        <w:spacing w:line="360" w:lineRule="auto"/>
        <w:jc w:val="center"/>
        <w:rPr>
          <w:rFonts w:hint="eastAsia" w:ascii="宋体" w:hAnsi="宋体"/>
          <w:b/>
          <w:color w:val="auto"/>
          <w:sz w:val="72"/>
          <w:highlight w:val="none"/>
        </w:rPr>
      </w:pPr>
    </w:p>
    <w:p w14:paraId="5B351FD5">
      <w:pPr>
        <w:spacing w:line="360" w:lineRule="auto"/>
        <w:jc w:val="center"/>
        <w:rPr>
          <w:rFonts w:hint="eastAsia" w:ascii="宋体" w:hAnsi="宋体"/>
          <w:b/>
          <w:color w:val="auto"/>
          <w:sz w:val="72"/>
          <w:highlight w:val="none"/>
        </w:rPr>
      </w:pPr>
    </w:p>
    <w:p w14:paraId="2EB9F8F7">
      <w:pPr>
        <w:spacing w:line="360" w:lineRule="auto"/>
        <w:jc w:val="center"/>
        <w:rPr>
          <w:rFonts w:hint="eastAsia" w:ascii="宋体" w:hAnsi="宋体"/>
          <w:b/>
          <w:color w:val="auto"/>
          <w:sz w:val="72"/>
          <w:highlight w:val="none"/>
        </w:rPr>
      </w:pPr>
    </w:p>
    <w:p w14:paraId="7D358FF9">
      <w:pPr>
        <w:spacing w:line="360" w:lineRule="auto"/>
        <w:jc w:val="center"/>
        <w:rPr>
          <w:rFonts w:hint="eastAsia" w:ascii="宋体" w:hAnsi="宋体"/>
          <w:b/>
          <w:color w:val="auto"/>
          <w:sz w:val="72"/>
          <w:highlight w:val="none"/>
        </w:rPr>
      </w:pPr>
    </w:p>
    <w:p w14:paraId="1188C31B">
      <w:pPr>
        <w:spacing w:line="360" w:lineRule="auto"/>
        <w:jc w:val="center"/>
        <w:rPr>
          <w:rFonts w:hint="eastAsia" w:ascii="宋体" w:hAnsi="宋体"/>
          <w:b/>
          <w:color w:val="auto"/>
          <w:sz w:val="72"/>
          <w:highlight w:val="none"/>
        </w:rPr>
      </w:pPr>
    </w:p>
    <w:p w14:paraId="689A8097">
      <w:pPr>
        <w:spacing w:line="360" w:lineRule="auto"/>
        <w:jc w:val="center"/>
        <w:rPr>
          <w:rFonts w:hint="eastAsia" w:ascii="宋体" w:hAnsi="宋体"/>
          <w:b/>
          <w:color w:val="auto"/>
          <w:sz w:val="72"/>
          <w:highlight w:val="none"/>
        </w:rPr>
      </w:pPr>
    </w:p>
    <w:p w14:paraId="503F50A1">
      <w:pPr>
        <w:spacing w:line="360" w:lineRule="auto"/>
        <w:jc w:val="center"/>
        <w:rPr>
          <w:rFonts w:hint="eastAsia" w:ascii="宋体" w:hAnsi="宋体"/>
          <w:b/>
          <w:color w:val="auto"/>
          <w:sz w:val="72"/>
          <w:highlight w:val="none"/>
        </w:rPr>
      </w:pPr>
    </w:p>
    <w:p w14:paraId="6B0CF250">
      <w:pPr>
        <w:spacing w:line="360" w:lineRule="auto"/>
        <w:jc w:val="center"/>
        <w:rPr>
          <w:rFonts w:hint="eastAsia" w:ascii="宋体" w:hAnsi="宋体"/>
          <w:b/>
          <w:color w:val="auto"/>
          <w:sz w:val="72"/>
          <w:highlight w:val="none"/>
        </w:rPr>
      </w:pPr>
      <w:r>
        <w:rPr>
          <w:rFonts w:hint="eastAsia" w:ascii="宋体" w:hAnsi="宋体"/>
          <w:b/>
          <w:color w:val="auto"/>
          <w:sz w:val="72"/>
          <w:highlight w:val="none"/>
        </w:rPr>
        <w:t>报价文件</w:t>
      </w:r>
    </w:p>
    <w:p w14:paraId="68879660">
      <w:pPr>
        <w:spacing w:line="360" w:lineRule="auto"/>
        <w:rPr>
          <w:rFonts w:hint="eastAsia" w:ascii="宋体" w:hAnsi="宋体"/>
          <w:b/>
          <w:color w:val="auto"/>
          <w:sz w:val="36"/>
          <w:highlight w:val="none"/>
        </w:rPr>
      </w:pPr>
    </w:p>
    <w:p w14:paraId="2C76596F">
      <w:pPr>
        <w:spacing w:line="360" w:lineRule="auto"/>
        <w:jc w:val="center"/>
        <w:rPr>
          <w:rFonts w:hint="eastAsia" w:ascii="宋体" w:hAnsi="宋体"/>
          <w:b/>
          <w:color w:val="auto"/>
          <w:sz w:val="36"/>
          <w:highlight w:val="none"/>
        </w:rPr>
      </w:pPr>
    </w:p>
    <w:p w14:paraId="0BD306AE">
      <w:pPr>
        <w:spacing w:line="360" w:lineRule="auto"/>
        <w:ind w:firstLine="1084" w:firstLineChars="300"/>
        <w:rPr>
          <w:rFonts w:hint="eastAsia" w:ascii="宋体" w:hAnsi="宋体"/>
          <w:b/>
          <w:color w:val="auto"/>
          <w:sz w:val="36"/>
          <w:highlight w:val="non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45BB9971">
      <w:pPr>
        <w:spacing w:line="360" w:lineRule="auto"/>
        <w:ind w:firstLine="1247" w:firstLineChars="345"/>
        <w:rPr>
          <w:rFonts w:hint="eastAsia" w:ascii="宋体" w:hAnsi="宋体"/>
          <w:b/>
          <w:color w:val="auto"/>
          <w:sz w:val="36"/>
          <w:highlight w:val="none"/>
        </w:rPr>
      </w:pPr>
      <w:r>
        <w:rPr>
          <w:rFonts w:hint="eastAsia" w:ascii="宋体" w:hAnsi="宋体"/>
          <w:b/>
          <w:color w:val="auto"/>
          <w:sz w:val="36"/>
          <w:highlight w:val="none"/>
        </w:rPr>
        <w:t>项 目 编 号：</w:t>
      </w:r>
      <w:r>
        <w:rPr>
          <w:rFonts w:hint="eastAsia" w:ascii="宋体" w:hAnsi="宋体"/>
          <w:b/>
          <w:color w:val="auto"/>
          <w:sz w:val="36"/>
          <w:highlight w:val="none"/>
          <w:u w:val="single"/>
        </w:rPr>
        <w:t xml:space="preserve">               </w:t>
      </w:r>
    </w:p>
    <w:p w14:paraId="72C975DB">
      <w:pPr>
        <w:spacing w:line="360" w:lineRule="auto"/>
        <w:rPr>
          <w:rFonts w:hint="eastAsia" w:ascii="宋体" w:hAnsi="宋体"/>
          <w:b/>
          <w:color w:val="auto"/>
          <w:sz w:val="36"/>
          <w:highlight w:val="none"/>
        </w:rPr>
      </w:pPr>
      <w:r>
        <w:rPr>
          <w:rFonts w:hint="eastAsia" w:ascii="宋体" w:hAnsi="宋体"/>
          <w:b/>
          <w:color w:val="auto"/>
          <w:sz w:val="36"/>
          <w:highlight w:val="none"/>
        </w:rPr>
        <w:t xml:space="preserve">    </w:t>
      </w:r>
    </w:p>
    <w:p w14:paraId="20F70981">
      <w:pPr>
        <w:spacing w:line="360" w:lineRule="auto"/>
        <w:rPr>
          <w:rFonts w:hint="eastAsia" w:ascii="宋体" w:hAnsi="宋体"/>
          <w:b/>
          <w:color w:val="auto"/>
          <w:sz w:val="36"/>
          <w:highlight w:val="none"/>
        </w:rPr>
      </w:pPr>
    </w:p>
    <w:p w14:paraId="4D691C3D">
      <w:pPr>
        <w:spacing w:line="360" w:lineRule="auto"/>
        <w:ind w:firstLine="708" w:firstLineChars="196"/>
        <w:rPr>
          <w:rFonts w:hint="eastAsia" w:ascii="宋体" w:hAnsi="宋体"/>
          <w:b/>
          <w:color w:val="auto"/>
          <w:sz w:val="36"/>
          <w:highlight w:val="none"/>
          <w:u w:val="single"/>
        </w:rPr>
      </w:pPr>
      <w:r>
        <w:rPr>
          <w:rFonts w:hint="eastAsia" w:ascii="宋体" w:hAnsi="宋体"/>
          <w:b/>
          <w:color w:val="auto"/>
          <w:sz w:val="36"/>
          <w:highlight w:val="none"/>
        </w:rPr>
        <w:t xml:space="preserve">   报价人名称 ：</w:t>
      </w:r>
      <w:r>
        <w:rPr>
          <w:rFonts w:hint="eastAsia" w:ascii="宋体" w:hAnsi="宋体"/>
          <w:b/>
          <w:color w:val="auto"/>
          <w:sz w:val="36"/>
          <w:highlight w:val="none"/>
          <w:u w:val="single"/>
        </w:rPr>
        <w:t xml:space="preserve">               </w:t>
      </w:r>
    </w:p>
    <w:p w14:paraId="55F4CDBF">
      <w:pPr>
        <w:spacing w:line="360" w:lineRule="auto"/>
        <w:rPr>
          <w:rFonts w:hint="eastAsia" w:ascii="宋体" w:hAnsi="宋体"/>
          <w:b/>
          <w:color w:val="auto"/>
          <w:sz w:val="36"/>
          <w:highlight w:val="none"/>
        </w:rPr>
      </w:pPr>
      <w:r>
        <w:rPr>
          <w:rFonts w:hint="eastAsia" w:ascii="宋体" w:hAnsi="宋体"/>
          <w:b/>
          <w:color w:val="auto"/>
          <w:sz w:val="36"/>
          <w:highlight w:val="none"/>
        </w:rPr>
        <w:t xml:space="preserve">       日      期 ：</w:t>
      </w:r>
      <w:r>
        <w:rPr>
          <w:rFonts w:hint="eastAsia" w:ascii="宋体" w:hAnsi="宋体"/>
          <w:b/>
          <w:color w:val="auto"/>
          <w:sz w:val="36"/>
          <w:highlight w:val="none"/>
          <w:u w:val="single"/>
        </w:rPr>
        <w:t xml:space="preserve">               </w:t>
      </w:r>
    </w:p>
    <w:p w14:paraId="071577AF">
      <w:pPr>
        <w:spacing w:line="360" w:lineRule="auto"/>
        <w:rPr>
          <w:rFonts w:hint="eastAsia" w:ascii="宋体" w:hAnsi="宋体"/>
          <w:b/>
          <w:color w:val="auto"/>
          <w:sz w:val="36"/>
          <w:highlight w:val="none"/>
        </w:rPr>
      </w:pPr>
    </w:p>
    <w:p w14:paraId="228D8EF1">
      <w:pPr>
        <w:spacing w:line="360" w:lineRule="auto"/>
        <w:rPr>
          <w:rFonts w:hint="eastAsia" w:ascii="宋体" w:hAnsi="宋体"/>
          <w:b/>
          <w:color w:val="auto"/>
          <w:sz w:val="36"/>
          <w:highlight w:val="none"/>
        </w:rPr>
      </w:pPr>
    </w:p>
    <w:p w14:paraId="36E84CAE">
      <w:pPr>
        <w:spacing w:line="360" w:lineRule="auto"/>
        <w:rPr>
          <w:rFonts w:hint="eastAsia" w:ascii="宋体" w:hAnsi="宋体"/>
          <w:b/>
          <w:color w:val="auto"/>
          <w:sz w:val="36"/>
          <w:highlight w:val="none"/>
        </w:rPr>
      </w:pPr>
    </w:p>
    <w:p w14:paraId="48895698">
      <w:pPr>
        <w:spacing w:line="360" w:lineRule="auto"/>
        <w:rPr>
          <w:rFonts w:hint="eastAsia" w:ascii="宋体" w:hAnsi="宋体"/>
          <w:b/>
          <w:color w:val="auto"/>
          <w:sz w:val="36"/>
          <w:highlight w:val="none"/>
        </w:rPr>
      </w:pPr>
    </w:p>
    <w:p w14:paraId="77F1879F">
      <w:pPr>
        <w:spacing w:line="360" w:lineRule="auto"/>
        <w:rPr>
          <w:rFonts w:hint="eastAsia" w:ascii="宋体" w:hAnsi="宋体"/>
          <w:b/>
          <w:color w:val="auto"/>
          <w:sz w:val="36"/>
          <w:highlight w:val="none"/>
        </w:rPr>
      </w:pPr>
    </w:p>
    <w:p w14:paraId="74B24E6A">
      <w:pPr>
        <w:spacing w:line="360" w:lineRule="auto"/>
        <w:rPr>
          <w:rFonts w:hint="eastAsia" w:ascii="宋体" w:hAnsi="宋体"/>
          <w:b/>
          <w:color w:val="auto"/>
          <w:sz w:val="36"/>
          <w:highlight w:val="none"/>
        </w:rPr>
      </w:pPr>
    </w:p>
    <w:p w14:paraId="61E90087">
      <w:pPr>
        <w:pStyle w:val="4"/>
        <w:snapToGrid w:val="0"/>
        <w:spacing w:line="360" w:lineRule="auto"/>
        <w:ind w:firstLine="0"/>
        <w:jc w:val="center"/>
        <w:rPr>
          <w:rFonts w:hint="eastAsia" w:eastAsia="宋体" w:cs="宋体"/>
          <w:b/>
          <w:bCs/>
          <w:color w:val="auto"/>
          <w:sz w:val="24"/>
          <w:szCs w:val="24"/>
          <w:highlight w:val="none"/>
        </w:rPr>
      </w:pPr>
      <w:r>
        <w:rPr>
          <w:rFonts w:hint="eastAsia" w:eastAsia="宋体" w:cs="宋体"/>
          <w:b/>
          <w:bCs/>
          <w:color w:val="auto"/>
          <w:sz w:val="32"/>
          <w:szCs w:val="32"/>
          <w:highlight w:val="none"/>
        </w:rPr>
        <w:t>目    录</w:t>
      </w:r>
    </w:p>
    <w:p w14:paraId="5B721A67">
      <w:pPr>
        <w:spacing w:line="360" w:lineRule="auto"/>
        <w:rPr>
          <w:rFonts w:hint="eastAsia" w:ascii="宋体" w:hAnsi="宋体" w:eastAsia="宋体" w:cs="宋体"/>
          <w:color w:val="auto"/>
          <w:sz w:val="24"/>
          <w:szCs w:val="24"/>
          <w:highlight w:val="none"/>
        </w:rPr>
      </w:pPr>
    </w:p>
    <w:p w14:paraId="474F307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磋商响应声明函</w:t>
      </w:r>
    </w:p>
    <w:p w14:paraId="4A4FF11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报价一览表</w:t>
      </w:r>
    </w:p>
    <w:p w14:paraId="562516C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磋商分项报价表</w:t>
      </w:r>
    </w:p>
    <w:p w14:paraId="4212759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服务说明一览表</w:t>
      </w:r>
    </w:p>
    <w:p w14:paraId="78A2921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范围清单 </w:t>
      </w:r>
    </w:p>
    <w:p w14:paraId="245D869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技术规格和商务偏离表</w:t>
      </w:r>
    </w:p>
    <w:p w14:paraId="328C924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报价人的资格证明文件</w:t>
      </w:r>
    </w:p>
    <w:p w14:paraId="019EF2C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关于资格的声明函</w:t>
      </w:r>
    </w:p>
    <w:p w14:paraId="638AAF7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报价人的资格声明</w:t>
      </w:r>
    </w:p>
    <w:p w14:paraId="081681B8">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单位授权书</w:t>
      </w:r>
    </w:p>
    <w:p w14:paraId="082B2FCA">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单位营业执照、税务登记证（或统一社会信用代码）</w:t>
      </w:r>
    </w:p>
    <w:p w14:paraId="092A09C9">
      <w:pPr>
        <w:spacing w:line="360" w:lineRule="auto"/>
        <w:ind w:firstLine="120" w:firstLineChars="50"/>
        <w:outlineLvl w:val="9"/>
        <w:rPr>
          <w:rFonts w:hint="eastAsia" w:ascii="宋体" w:hAnsi="宋体" w:eastAsia="宋体" w:cs="宋体"/>
          <w:color w:val="auto"/>
          <w:sz w:val="24"/>
          <w:szCs w:val="24"/>
          <w:highlight w:val="none"/>
        </w:rPr>
      </w:pPr>
      <w:bookmarkStart w:id="166" w:name="_Toc5076"/>
      <w:r>
        <w:rPr>
          <w:rFonts w:hint="eastAsia" w:ascii="宋体" w:hAnsi="宋体" w:eastAsia="宋体" w:cs="宋体"/>
          <w:color w:val="auto"/>
          <w:sz w:val="24"/>
          <w:szCs w:val="24"/>
          <w:highlight w:val="none"/>
        </w:rPr>
        <w:t xml:space="preserve">8. </w:t>
      </w:r>
      <w:bookmarkEnd w:id="166"/>
      <w:bookmarkStart w:id="167" w:name="_Toc1843"/>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bookmarkEnd w:id="167"/>
    </w:p>
    <w:p w14:paraId="54A8950F">
      <w:pPr>
        <w:spacing w:line="360" w:lineRule="auto"/>
        <w:ind w:firstLine="2183" w:firstLineChars="906"/>
        <w:rPr>
          <w:rFonts w:hint="eastAsia" w:ascii="宋体" w:hAnsi="宋体" w:eastAsia="宋体" w:cs="宋体"/>
          <w:b/>
          <w:color w:val="auto"/>
          <w:sz w:val="24"/>
          <w:szCs w:val="24"/>
          <w:highlight w:val="none"/>
        </w:rPr>
      </w:pPr>
    </w:p>
    <w:p w14:paraId="5EFD8DB3">
      <w:pPr>
        <w:spacing w:line="360" w:lineRule="auto"/>
        <w:ind w:firstLine="2183" w:firstLineChars="906"/>
        <w:rPr>
          <w:rFonts w:hint="eastAsia" w:ascii="宋体" w:hAnsi="宋体" w:eastAsia="宋体" w:cs="宋体"/>
          <w:b/>
          <w:color w:val="auto"/>
          <w:sz w:val="24"/>
          <w:szCs w:val="24"/>
          <w:highlight w:val="none"/>
        </w:rPr>
      </w:pPr>
    </w:p>
    <w:p w14:paraId="6E162193">
      <w:pPr>
        <w:spacing w:line="360" w:lineRule="auto"/>
        <w:ind w:firstLine="2183" w:firstLineChars="906"/>
        <w:rPr>
          <w:rFonts w:hint="eastAsia" w:ascii="宋体" w:hAnsi="宋体" w:eastAsia="宋体" w:cs="宋体"/>
          <w:b/>
          <w:color w:val="auto"/>
          <w:sz w:val="24"/>
          <w:szCs w:val="24"/>
          <w:highlight w:val="none"/>
        </w:rPr>
      </w:pPr>
    </w:p>
    <w:p w14:paraId="429473C9">
      <w:pPr>
        <w:spacing w:line="360" w:lineRule="auto"/>
        <w:ind w:firstLine="2183" w:firstLineChars="906"/>
        <w:rPr>
          <w:rFonts w:hint="eastAsia" w:ascii="宋体" w:hAnsi="宋体" w:eastAsia="宋体" w:cs="宋体"/>
          <w:b/>
          <w:color w:val="auto"/>
          <w:sz w:val="24"/>
          <w:szCs w:val="24"/>
          <w:highlight w:val="none"/>
        </w:rPr>
      </w:pPr>
    </w:p>
    <w:p w14:paraId="43006DD7">
      <w:pPr>
        <w:spacing w:line="360" w:lineRule="auto"/>
        <w:ind w:firstLine="2183" w:firstLineChars="906"/>
        <w:rPr>
          <w:rFonts w:hint="eastAsia" w:ascii="宋体" w:hAnsi="宋体" w:eastAsia="宋体" w:cs="宋体"/>
          <w:b/>
          <w:color w:val="auto"/>
          <w:sz w:val="24"/>
          <w:szCs w:val="24"/>
          <w:highlight w:val="none"/>
        </w:rPr>
      </w:pPr>
    </w:p>
    <w:p w14:paraId="1E12891B">
      <w:pPr>
        <w:spacing w:line="360" w:lineRule="auto"/>
        <w:ind w:firstLine="2183" w:firstLineChars="906"/>
        <w:rPr>
          <w:rFonts w:hint="eastAsia" w:ascii="宋体" w:hAnsi="宋体" w:eastAsia="宋体" w:cs="宋体"/>
          <w:b/>
          <w:color w:val="auto"/>
          <w:sz w:val="24"/>
          <w:szCs w:val="24"/>
          <w:highlight w:val="none"/>
        </w:rPr>
      </w:pPr>
    </w:p>
    <w:p w14:paraId="066C1EF7">
      <w:pPr>
        <w:spacing w:line="360" w:lineRule="auto"/>
        <w:ind w:firstLine="2183" w:firstLineChars="906"/>
        <w:rPr>
          <w:rFonts w:hint="eastAsia" w:ascii="宋体" w:hAnsi="宋体" w:eastAsia="宋体" w:cs="宋体"/>
          <w:b/>
          <w:color w:val="auto"/>
          <w:sz w:val="24"/>
          <w:szCs w:val="24"/>
          <w:highlight w:val="none"/>
        </w:rPr>
      </w:pPr>
    </w:p>
    <w:p w14:paraId="6B9EC543">
      <w:pPr>
        <w:spacing w:line="360" w:lineRule="auto"/>
        <w:ind w:firstLine="2183" w:firstLineChars="906"/>
        <w:rPr>
          <w:rFonts w:hint="eastAsia" w:ascii="宋体" w:hAnsi="宋体" w:eastAsia="宋体" w:cs="宋体"/>
          <w:b/>
          <w:color w:val="auto"/>
          <w:sz w:val="24"/>
          <w:szCs w:val="24"/>
          <w:highlight w:val="none"/>
        </w:rPr>
      </w:pPr>
    </w:p>
    <w:p w14:paraId="2FB88C84">
      <w:pPr>
        <w:spacing w:line="360" w:lineRule="auto"/>
        <w:rPr>
          <w:rFonts w:hint="eastAsia" w:ascii="宋体" w:hAnsi="宋体" w:eastAsia="宋体" w:cs="宋体"/>
          <w:b/>
          <w:color w:val="auto"/>
          <w:sz w:val="24"/>
          <w:szCs w:val="24"/>
          <w:highlight w:val="none"/>
        </w:rPr>
      </w:pPr>
    </w:p>
    <w:p w14:paraId="41213C46">
      <w:pPr>
        <w:spacing w:line="360" w:lineRule="auto"/>
        <w:ind w:firstLine="2911" w:firstLineChars="906"/>
        <w:rPr>
          <w:rFonts w:hint="eastAsia" w:ascii="宋体" w:hAnsi="宋体" w:eastAsia="宋体" w:cs="宋体"/>
          <w:b/>
          <w:color w:val="auto"/>
          <w:sz w:val="32"/>
          <w:szCs w:val="32"/>
          <w:highlight w:val="none"/>
        </w:rPr>
      </w:pPr>
    </w:p>
    <w:p w14:paraId="16A06405">
      <w:pPr>
        <w:spacing w:line="360" w:lineRule="auto"/>
        <w:ind w:firstLine="2911" w:firstLineChars="906"/>
        <w:rPr>
          <w:rFonts w:hint="eastAsia" w:ascii="宋体" w:hAnsi="宋体" w:eastAsia="宋体" w:cs="宋体"/>
          <w:b/>
          <w:color w:val="auto"/>
          <w:sz w:val="32"/>
          <w:szCs w:val="32"/>
          <w:highlight w:val="none"/>
        </w:rPr>
      </w:pPr>
    </w:p>
    <w:p w14:paraId="64BB7269">
      <w:pPr>
        <w:spacing w:line="360" w:lineRule="auto"/>
        <w:ind w:firstLine="2911" w:firstLineChars="906"/>
        <w:rPr>
          <w:rFonts w:hint="eastAsia" w:ascii="宋体" w:hAnsi="宋体" w:eastAsia="宋体" w:cs="宋体"/>
          <w:b/>
          <w:color w:val="auto"/>
          <w:sz w:val="32"/>
          <w:szCs w:val="32"/>
          <w:highlight w:val="none"/>
        </w:rPr>
      </w:pPr>
    </w:p>
    <w:p w14:paraId="12F2ECC0">
      <w:pPr>
        <w:spacing w:line="360" w:lineRule="auto"/>
        <w:ind w:firstLine="2911" w:firstLineChars="906"/>
        <w:rPr>
          <w:rFonts w:hint="eastAsia" w:ascii="宋体" w:hAnsi="宋体" w:eastAsia="宋体" w:cs="宋体"/>
          <w:b/>
          <w:color w:val="auto"/>
          <w:sz w:val="32"/>
          <w:szCs w:val="32"/>
          <w:highlight w:val="none"/>
        </w:rPr>
      </w:pPr>
    </w:p>
    <w:p w14:paraId="6FB641D6">
      <w:pPr>
        <w:spacing w:line="360" w:lineRule="auto"/>
        <w:ind w:firstLine="2911" w:firstLineChars="906"/>
        <w:rPr>
          <w:rFonts w:hint="eastAsia" w:ascii="宋体" w:hAnsi="宋体" w:eastAsia="宋体" w:cs="宋体"/>
          <w:b/>
          <w:color w:val="auto"/>
          <w:sz w:val="32"/>
          <w:szCs w:val="32"/>
          <w:highlight w:val="none"/>
        </w:rPr>
      </w:pPr>
    </w:p>
    <w:p w14:paraId="7F18B8F4">
      <w:pPr>
        <w:spacing w:line="360" w:lineRule="auto"/>
        <w:ind w:firstLine="2911" w:firstLineChars="906"/>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磋商响应声明函</w:t>
      </w:r>
    </w:p>
    <w:p w14:paraId="44825BDE">
      <w:pPr>
        <w:spacing w:line="360" w:lineRule="auto"/>
        <w:rPr>
          <w:rFonts w:hint="eastAsia" w:ascii="宋体" w:hAnsi="宋体" w:eastAsia="宋体" w:cs="宋体"/>
          <w:color w:val="auto"/>
          <w:sz w:val="24"/>
          <w:szCs w:val="24"/>
          <w:highlight w:val="none"/>
        </w:rPr>
      </w:pPr>
    </w:p>
    <w:p w14:paraId="2209BE49">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厦门万翔招标有限公司</w:t>
      </w:r>
      <w:r>
        <w:rPr>
          <w:rFonts w:hint="eastAsia" w:ascii="宋体" w:hAnsi="宋体" w:eastAsia="宋体" w:cs="宋体"/>
          <w:bCs/>
          <w:color w:val="auto"/>
          <w:sz w:val="24"/>
          <w:szCs w:val="24"/>
          <w:highlight w:val="none"/>
        </w:rPr>
        <w:t>：</w:t>
      </w:r>
    </w:p>
    <w:p w14:paraId="6B4FF6BC">
      <w:pPr>
        <w:pStyle w:val="5"/>
        <w:spacing w:after="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根据贵方为</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项目采购的磋商邀请，本签字代表</w:t>
      </w:r>
      <w:r>
        <w:rPr>
          <w:rFonts w:hint="eastAsia" w:ascii="宋体" w:hAnsi="宋体" w:eastAsia="宋体" w:cs="宋体"/>
          <w:bCs/>
          <w:color w:val="auto"/>
          <w:sz w:val="24"/>
          <w:szCs w:val="24"/>
          <w:highlight w:val="none"/>
          <w:u w:val="single"/>
        </w:rPr>
        <w:t>　　　　　（全名、职务）</w:t>
      </w:r>
      <w:r>
        <w:rPr>
          <w:rFonts w:hint="eastAsia" w:ascii="宋体" w:hAnsi="宋体" w:eastAsia="宋体" w:cs="宋体"/>
          <w:bCs/>
          <w:color w:val="auto"/>
          <w:sz w:val="24"/>
          <w:szCs w:val="24"/>
          <w:highlight w:val="none"/>
        </w:rPr>
        <w:t>经正式授权并代表报价人</w:t>
      </w:r>
      <w:r>
        <w:rPr>
          <w:rFonts w:hint="eastAsia" w:ascii="宋体" w:hAnsi="宋体" w:eastAsia="宋体" w:cs="宋体"/>
          <w:bCs/>
          <w:color w:val="auto"/>
          <w:sz w:val="24"/>
          <w:szCs w:val="24"/>
          <w:highlight w:val="none"/>
          <w:u w:val="single"/>
        </w:rPr>
        <w:t>　　　　　　　　　　（全称、地址）</w:t>
      </w:r>
      <w:r>
        <w:rPr>
          <w:rFonts w:hint="eastAsia" w:ascii="宋体" w:hAnsi="宋体" w:eastAsia="宋体" w:cs="宋体"/>
          <w:bCs/>
          <w:color w:val="auto"/>
          <w:sz w:val="24"/>
          <w:szCs w:val="24"/>
          <w:highlight w:val="none"/>
        </w:rPr>
        <w:t>提交下述文件正本一份和副本</w:t>
      </w:r>
      <w:r>
        <w:rPr>
          <w:rFonts w:hint="eastAsia" w:ascii="宋体" w:hAnsi="宋体" w:eastAsia="宋体" w:cs="宋体"/>
          <w:bCs/>
          <w:color w:val="auto"/>
          <w:sz w:val="24"/>
          <w:szCs w:val="24"/>
          <w:highlight w:val="none"/>
          <w:u w:val="single"/>
        </w:rPr>
        <w:t xml:space="preserve">  四 </w:t>
      </w:r>
      <w:r>
        <w:rPr>
          <w:rFonts w:hint="eastAsia" w:ascii="宋体" w:hAnsi="宋体" w:eastAsia="宋体" w:cs="宋体"/>
          <w:bCs/>
          <w:color w:val="auto"/>
          <w:sz w:val="24"/>
          <w:szCs w:val="24"/>
          <w:highlight w:val="none"/>
        </w:rPr>
        <w:t>份。</w:t>
      </w:r>
    </w:p>
    <w:p w14:paraId="7305FC89">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1.报价一览表</w:t>
      </w:r>
    </w:p>
    <w:p w14:paraId="327BC1DB">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2.磋商分项报价表</w:t>
      </w:r>
    </w:p>
    <w:p w14:paraId="09621D1D">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3.服务说明一览表</w:t>
      </w:r>
    </w:p>
    <w:p w14:paraId="16680944">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4.范围清单</w:t>
      </w:r>
    </w:p>
    <w:p w14:paraId="03F9D017">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5.技术规格和商务偏离表</w:t>
      </w:r>
    </w:p>
    <w:p w14:paraId="16B382B9">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6.报价人资格证明文件</w:t>
      </w:r>
    </w:p>
    <w:p w14:paraId="7231982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14:paraId="0B35B0A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.以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方式提供的金额为人民币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元的磋商保证金。</w:t>
      </w:r>
    </w:p>
    <w:p w14:paraId="4F91B5A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据此函，签字代表宣布同意如下：</w:t>
      </w:r>
    </w:p>
    <w:p w14:paraId="22CED5D8">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 xml:space="preserve">所附详细报价表中规定的应提供和交付的服务报价总价为人民币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，即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（中文表述）。</w:t>
      </w:r>
    </w:p>
    <w:p w14:paraId="1650D751">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（2）报价人已详细审查全部采购文件，包括修改文件（如有的话）以及全部参考资料和有关附件，将自行承担因对全部采购文件理解不正确或误解而产生的相应后果。</w:t>
      </w:r>
    </w:p>
    <w:p w14:paraId="767272DE">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（3）报价人将按采购文件的规定履行合同责任和义务，在被确定为</w:t>
      </w:r>
      <w:r>
        <w:rPr>
          <w:rFonts w:hint="eastAsia" w:ascii="宋体" w:hAnsi="宋体" w:eastAsia="宋体" w:cs="宋体"/>
          <w:color w:val="auto"/>
          <w:sz w:val="24"/>
          <w:szCs w:val="24"/>
          <w:highlight w:val="none"/>
        </w:rPr>
        <w:t>成交供应商</w:t>
      </w:r>
      <w:r>
        <w:rPr>
          <w:rFonts w:hint="eastAsia" w:ascii="宋体" w:hAnsi="宋体" w:eastAsia="宋体" w:cs="宋体"/>
          <w:bCs/>
          <w:color w:val="auto"/>
          <w:sz w:val="24"/>
          <w:szCs w:val="24"/>
          <w:highlight w:val="none"/>
        </w:rPr>
        <w:t>后即向贵司缴纳</w:t>
      </w:r>
      <w:r>
        <w:rPr>
          <w:rFonts w:hint="eastAsia" w:ascii="宋体" w:hAnsi="宋体" w:eastAsia="宋体" w:cs="宋体"/>
          <w:bCs/>
          <w:color w:val="auto"/>
          <w:sz w:val="24"/>
          <w:szCs w:val="24"/>
          <w:highlight w:val="none"/>
          <w:lang w:eastAsia="zh-CN"/>
        </w:rPr>
        <w:t>代理服务费</w:t>
      </w:r>
      <w:r>
        <w:rPr>
          <w:rFonts w:hint="eastAsia" w:ascii="宋体" w:hAnsi="宋体" w:eastAsia="宋体" w:cs="宋体"/>
          <w:bCs/>
          <w:color w:val="auto"/>
          <w:sz w:val="24"/>
          <w:szCs w:val="24"/>
          <w:highlight w:val="none"/>
        </w:rPr>
        <w:t>，并以贵司发出的成交通知书上规定的时间内签订采购合同。</w:t>
      </w:r>
    </w:p>
    <w:p w14:paraId="7C1C5122">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color w:val="auto"/>
          <w:sz w:val="24"/>
          <w:szCs w:val="24"/>
          <w:highlight w:val="none"/>
        </w:rPr>
        <w:t>报价人将按采购文件的规定履行合同责任和义务。</w:t>
      </w:r>
    </w:p>
    <w:p w14:paraId="41F0FC3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（5）本报价文件报价有效期：在采购文件报价人须知前附表所规定的期限内保持有效。</w:t>
      </w:r>
    </w:p>
    <w:p w14:paraId="3E46BAB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（6）如果发生采购文件第二章报价人须知第12条所述情况，则同意采购代理机构不予退还磋商保证金。</w:t>
      </w:r>
    </w:p>
    <w:p w14:paraId="35E83C6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（7）报价人同意按照采购单位要求提供与其磋商响应有关的一切数据或资料，完全理解贵方不一定要接受最低的报价或收到的任何磋商响应。</w:t>
      </w:r>
    </w:p>
    <w:p w14:paraId="023904DA">
      <w:pPr>
        <w:spacing w:line="360" w:lineRule="auto"/>
        <w:ind w:firstLine="600" w:firstLineChars="25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（8）与本磋商响应有关的一切正式往来通讯请寄：</w:t>
      </w:r>
    </w:p>
    <w:p w14:paraId="5DC5DB4B">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14:paraId="039CB837">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电话：</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传真：</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14:paraId="3D8720F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电子信箱：</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14:paraId="068ACBEB">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报价人代表签字：</w:t>
      </w:r>
      <w:r>
        <w:rPr>
          <w:rFonts w:hint="eastAsia" w:ascii="宋体" w:hAnsi="宋体" w:eastAsia="宋体" w:cs="宋体"/>
          <w:bCs/>
          <w:color w:val="auto"/>
          <w:sz w:val="24"/>
          <w:szCs w:val="24"/>
          <w:highlight w:val="none"/>
          <w:u w:val="single"/>
        </w:rPr>
        <w:t>　　　　　　　　　　　　</w:t>
      </w:r>
    </w:p>
    <w:p w14:paraId="7B5503D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报价人名称（全称并加盖公章）：</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14:paraId="244E2279">
      <w:pPr>
        <w:spacing w:line="360" w:lineRule="auto"/>
        <w:jc w:val="righ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日      期：</w:t>
      </w:r>
      <w:r>
        <w:rPr>
          <w:rFonts w:hint="eastAsia" w:ascii="宋体" w:hAnsi="宋体" w:eastAsia="宋体" w:cs="宋体"/>
          <w:bCs/>
          <w:color w:val="auto"/>
          <w:sz w:val="24"/>
          <w:szCs w:val="24"/>
          <w:highlight w:val="none"/>
          <w:u w:val="single"/>
        </w:rPr>
        <w:t>　　年　　月　　日</w:t>
      </w:r>
    </w:p>
    <w:p w14:paraId="295A8211">
      <w:pPr>
        <w:spacing w:line="360" w:lineRule="auto"/>
        <w:rPr>
          <w:rFonts w:hint="eastAsia" w:ascii="宋体" w:hAnsi="宋体" w:eastAsia="宋体" w:cs="宋体"/>
          <w:bCs/>
          <w:color w:val="auto"/>
          <w:sz w:val="24"/>
          <w:szCs w:val="24"/>
          <w:highlight w:val="none"/>
          <w:u w:val="single"/>
        </w:rPr>
      </w:pPr>
    </w:p>
    <w:p w14:paraId="0EDDACC7">
      <w:pPr>
        <w:spacing w:line="360" w:lineRule="auto"/>
        <w:rPr>
          <w:rFonts w:hint="eastAsia" w:ascii="宋体" w:hAnsi="宋体" w:eastAsia="宋体" w:cs="宋体"/>
          <w:bCs/>
          <w:color w:val="auto"/>
          <w:sz w:val="24"/>
          <w:szCs w:val="24"/>
          <w:highlight w:val="none"/>
          <w:u w:val="single"/>
        </w:rPr>
      </w:pPr>
    </w:p>
    <w:p w14:paraId="7D938BFE">
      <w:pPr>
        <w:spacing w:line="360" w:lineRule="auto"/>
        <w:rPr>
          <w:rFonts w:hint="eastAsia" w:ascii="宋体" w:hAnsi="宋体" w:eastAsia="宋体" w:cs="宋体"/>
          <w:b/>
          <w:color w:val="auto"/>
          <w:sz w:val="24"/>
          <w:szCs w:val="24"/>
          <w:highlight w:val="none"/>
        </w:rPr>
      </w:pPr>
    </w:p>
    <w:p w14:paraId="732627E4">
      <w:pPr>
        <w:spacing w:line="360" w:lineRule="auto"/>
        <w:rPr>
          <w:rFonts w:hint="eastAsia" w:ascii="宋体" w:hAnsi="宋体" w:eastAsia="宋体" w:cs="宋体"/>
          <w:b/>
          <w:color w:val="auto"/>
          <w:sz w:val="24"/>
          <w:szCs w:val="24"/>
          <w:highlight w:val="none"/>
        </w:rPr>
      </w:pPr>
    </w:p>
    <w:p w14:paraId="0A06FDB7">
      <w:pPr>
        <w:spacing w:line="360" w:lineRule="auto"/>
        <w:rPr>
          <w:rFonts w:hint="eastAsia" w:ascii="宋体" w:hAnsi="宋体" w:eastAsia="宋体" w:cs="宋体"/>
          <w:b/>
          <w:color w:val="auto"/>
          <w:sz w:val="24"/>
          <w:szCs w:val="24"/>
          <w:highlight w:val="none"/>
        </w:rPr>
      </w:pPr>
    </w:p>
    <w:p w14:paraId="2BE3959A">
      <w:pPr>
        <w:spacing w:line="360" w:lineRule="auto"/>
        <w:rPr>
          <w:rFonts w:hint="eastAsia" w:ascii="宋体" w:hAnsi="宋体" w:eastAsia="宋体" w:cs="宋体"/>
          <w:b/>
          <w:color w:val="auto"/>
          <w:sz w:val="24"/>
          <w:szCs w:val="24"/>
          <w:highlight w:val="none"/>
        </w:rPr>
      </w:pPr>
    </w:p>
    <w:p w14:paraId="0A2D5CE8">
      <w:pPr>
        <w:spacing w:line="360" w:lineRule="auto"/>
        <w:rPr>
          <w:rFonts w:hint="eastAsia" w:ascii="宋体" w:hAnsi="宋体" w:eastAsia="宋体" w:cs="宋体"/>
          <w:b/>
          <w:color w:val="auto"/>
          <w:sz w:val="24"/>
          <w:szCs w:val="24"/>
          <w:highlight w:val="none"/>
        </w:rPr>
      </w:pPr>
    </w:p>
    <w:p w14:paraId="2861D11E">
      <w:pPr>
        <w:pStyle w:val="20"/>
        <w:spacing w:line="360" w:lineRule="auto"/>
        <w:jc w:val="left"/>
        <w:outlineLvl w:val="9"/>
        <w:rPr>
          <w:rFonts w:hint="eastAsia" w:hAnsi="宋体" w:eastAsia="宋体" w:cs="宋体"/>
          <w:color w:val="auto"/>
          <w:sz w:val="24"/>
          <w:szCs w:val="24"/>
          <w:highlight w:val="none"/>
        </w:rPr>
        <w:sectPr>
          <w:pgSz w:w="11906" w:h="16838"/>
          <w:pgMar w:top="1440" w:right="1797" w:bottom="1440" w:left="1797" w:header="851" w:footer="992" w:gutter="0"/>
          <w:cols w:space="720" w:num="1"/>
          <w:docGrid w:linePitch="312" w:charSpace="0"/>
        </w:sectPr>
      </w:pPr>
    </w:p>
    <w:p w14:paraId="075E5D1D">
      <w:pPr>
        <w:pStyle w:val="20"/>
        <w:spacing w:line="360" w:lineRule="auto"/>
        <w:jc w:val="center"/>
        <w:outlineLvl w:val="9"/>
        <w:rPr>
          <w:rFonts w:hint="eastAsia" w:hAnsi="宋体" w:eastAsia="宋体" w:cs="宋体"/>
          <w:b/>
          <w:color w:val="auto"/>
          <w:sz w:val="24"/>
          <w:szCs w:val="24"/>
          <w:highlight w:val="none"/>
        </w:rPr>
      </w:pPr>
      <w:bookmarkStart w:id="168" w:name="_Toc13665937"/>
      <w:bookmarkStart w:id="169" w:name="_Toc1232689881"/>
      <w:bookmarkStart w:id="170" w:name="_Toc14262"/>
      <w:r>
        <w:rPr>
          <w:rFonts w:hint="eastAsia" w:hAnsi="宋体" w:eastAsia="宋体" w:cs="宋体"/>
          <w:b/>
          <w:color w:val="auto"/>
          <w:sz w:val="32"/>
          <w:szCs w:val="32"/>
          <w:highlight w:val="none"/>
        </w:rPr>
        <w:t>报价一览表</w:t>
      </w:r>
      <w:bookmarkEnd w:id="168"/>
      <w:bookmarkEnd w:id="169"/>
      <w:bookmarkEnd w:id="170"/>
    </w:p>
    <w:p w14:paraId="728A6A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报价人（全称并加盖公章）：               采购项目编号</w:t>
      </w:r>
      <w:r>
        <w:rPr>
          <w:rFonts w:hint="default" w:ascii="宋体" w:hAnsi="宋体" w:cs="宋体"/>
          <w:color w:val="auto"/>
          <w:sz w:val="24"/>
          <w:szCs w:val="24"/>
          <w:highlight w:val="none"/>
        </w:rPr>
        <w:t>：</w:t>
      </w:r>
      <w:r>
        <w:rPr>
          <w:rFonts w:hint="eastAsia" w:ascii="宋体" w:hAnsi="宋体" w:eastAsia="宋体" w:cs="宋体"/>
          <w:color w:val="auto"/>
          <w:sz w:val="24"/>
          <w:szCs w:val="24"/>
          <w:highlight w:val="none"/>
        </w:rPr>
        <w:t xml:space="preserve">                       货币单位：</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606"/>
        <w:gridCol w:w="850"/>
        <w:gridCol w:w="1843"/>
        <w:gridCol w:w="2994"/>
        <w:gridCol w:w="2818"/>
        <w:gridCol w:w="1701"/>
      </w:tblGrid>
      <w:tr w14:paraId="38939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7E0EFE6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序号</w:t>
            </w:r>
          </w:p>
        </w:tc>
        <w:tc>
          <w:tcPr>
            <w:tcW w:w="2606" w:type="dxa"/>
            <w:tcBorders>
              <w:top w:val="single" w:color="auto" w:sz="4" w:space="0"/>
              <w:left w:val="single" w:color="auto" w:sz="4" w:space="0"/>
              <w:bottom w:val="single" w:color="auto" w:sz="4" w:space="0"/>
              <w:right w:val="single" w:color="auto" w:sz="4" w:space="0"/>
            </w:tcBorders>
            <w:noWrap w:val="0"/>
            <w:vAlign w:val="center"/>
          </w:tcPr>
          <w:p w14:paraId="77499E1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9E651A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49CA3A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服务商</w:t>
            </w:r>
          </w:p>
        </w:tc>
        <w:tc>
          <w:tcPr>
            <w:tcW w:w="2994" w:type="dxa"/>
            <w:tcBorders>
              <w:top w:val="single" w:color="auto" w:sz="4" w:space="0"/>
              <w:left w:val="single" w:color="auto" w:sz="4" w:space="0"/>
              <w:bottom w:val="single" w:color="auto" w:sz="4" w:space="0"/>
              <w:right w:val="single" w:color="auto" w:sz="4" w:space="0"/>
            </w:tcBorders>
            <w:noWrap w:val="0"/>
            <w:vAlign w:val="center"/>
          </w:tcPr>
          <w:p w14:paraId="7F8FCCF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报价</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7022B5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6368D4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3139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38EDC67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2606" w:type="dxa"/>
            <w:tcBorders>
              <w:top w:val="single" w:color="auto" w:sz="4" w:space="0"/>
              <w:left w:val="single" w:color="auto" w:sz="4" w:space="0"/>
              <w:bottom w:val="single" w:color="auto" w:sz="4" w:space="0"/>
              <w:right w:val="single" w:color="auto" w:sz="4" w:space="0"/>
            </w:tcBorders>
            <w:noWrap w:val="0"/>
            <w:vAlign w:val="center"/>
          </w:tcPr>
          <w:p w14:paraId="7311DC62">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厦门市总工会2025年下半年工会专干和集体协商指导员招聘考务服务机构采购</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0A6A7E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74794E6">
            <w:pPr>
              <w:spacing w:line="360" w:lineRule="auto"/>
              <w:jc w:val="center"/>
              <w:rPr>
                <w:rFonts w:hint="eastAsia" w:ascii="宋体" w:hAnsi="宋体" w:eastAsia="宋体" w:cs="宋体"/>
                <w:color w:val="auto"/>
                <w:sz w:val="24"/>
                <w:szCs w:val="24"/>
                <w:highlight w:val="none"/>
              </w:rPr>
            </w:pPr>
          </w:p>
        </w:tc>
        <w:tc>
          <w:tcPr>
            <w:tcW w:w="2994" w:type="dxa"/>
            <w:tcBorders>
              <w:top w:val="single" w:color="auto" w:sz="4" w:space="0"/>
              <w:left w:val="single" w:color="auto" w:sz="4" w:space="0"/>
              <w:bottom w:val="single" w:color="auto" w:sz="4" w:space="0"/>
              <w:right w:val="single" w:color="auto" w:sz="4" w:space="0"/>
            </w:tcBorders>
            <w:noWrap w:val="0"/>
            <w:vAlign w:val="center"/>
          </w:tcPr>
          <w:p w14:paraId="51E63186">
            <w:pPr>
              <w:spacing w:line="360" w:lineRule="auto"/>
              <w:jc w:val="center"/>
              <w:rPr>
                <w:rFonts w:hint="eastAsia" w:ascii="宋体" w:hAnsi="宋体" w:eastAsia="宋体" w:cs="宋体"/>
                <w:color w:val="auto"/>
                <w:sz w:val="24"/>
                <w:szCs w:val="24"/>
                <w:highlight w:val="none"/>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66D1D8EC">
            <w:pPr>
              <w:spacing w:line="360" w:lineRule="auto"/>
              <w:jc w:val="center"/>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70D28B3">
            <w:pPr>
              <w:spacing w:line="360" w:lineRule="auto"/>
              <w:jc w:val="center"/>
              <w:rPr>
                <w:rFonts w:hint="eastAsia" w:ascii="宋体" w:hAnsi="宋体" w:eastAsia="宋体" w:cs="宋体"/>
                <w:color w:val="auto"/>
                <w:sz w:val="24"/>
                <w:szCs w:val="24"/>
                <w:highlight w:val="none"/>
              </w:rPr>
            </w:pPr>
          </w:p>
        </w:tc>
      </w:tr>
      <w:tr w14:paraId="5485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794" w:type="dxa"/>
            <w:gridSpan w:val="2"/>
            <w:tcBorders>
              <w:top w:val="single" w:color="auto" w:sz="4" w:space="0"/>
              <w:left w:val="single" w:color="auto" w:sz="4" w:space="0"/>
              <w:bottom w:val="single" w:color="auto" w:sz="4" w:space="0"/>
              <w:right w:val="single" w:color="auto" w:sz="4" w:space="0"/>
            </w:tcBorders>
            <w:noWrap w:val="0"/>
            <w:vAlign w:val="center"/>
          </w:tcPr>
          <w:p w14:paraId="05E3243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0206" w:type="dxa"/>
            <w:gridSpan w:val="5"/>
            <w:tcBorders>
              <w:top w:val="single" w:color="auto" w:sz="4" w:space="0"/>
              <w:left w:val="single" w:color="auto" w:sz="4" w:space="0"/>
              <w:bottom w:val="single" w:color="auto" w:sz="4" w:space="0"/>
              <w:right w:val="single" w:color="auto" w:sz="4" w:space="0"/>
            </w:tcBorders>
            <w:noWrap w:val="0"/>
            <w:vAlign w:val="top"/>
          </w:tcPr>
          <w:p w14:paraId="231811A3">
            <w:pPr>
              <w:spacing w:line="360" w:lineRule="auto"/>
              <w:rPr>
                <w:rFonts w:hint="eastAsia" w:ascii="宋体" w:hAnsi="宋体" w:eastAsia="宋体" w:cs="宋体"/>
                <w:color w:val="auto"/>
                <w:sz w:val="24"/>
                <w:szCs w:val="24"/>
                <w:highlight w:val="none"/>
              </w:rPr>
            </w:pPr>
          </w:p>
        </w:tc>
      </w:tr>
    </w:tbl>
    <w:p w14:paraId="2EDEF123">
      <w:pPr>
        <w:tabs>
          <w:tab w:val="left" w:pos="1300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注：1.此表正本与报价文件正本和磋商保证金凭证复印件一同装在一单独的信封内密封。</w:t>
      </w:r>
    </w:p>
    <w:p w14:paraId="2A5DFE30">
      <w:pPr>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2.详细报价清单应另纸详列，且标明所报各种服务的数量和金额。       </w:t>
      </w:r>
    </w:p>
    <w:p w14:paraId="3918B64C">
      <w:pPr>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3.当一个合同包有多个品目号时，报价人应计算出该合同包的合计价。      报价人代表签字</w:t>
      </w:r>
      <w:r>
        <w:rPr>
          <w:rFonts w:hint="eastAsia" w:ascii="宋体" w:hAnsi="宋体" w:eastAsia="宋体" w:cs="宋体"/>
          <w:color w:val="auto"/>
          <w:sz w:val="24"/>
          <w:szCs w:val="24"/>
          <w:highlight w:val="none"/>
          <w:u w:val="single"/>
        </w:rPr>
        <w:t xml:space="preserve">：               </w:t>
      </w:r>
    </w:p>
    <w:p w14:paraId="0A336984">
      <w:pPr>
        <w:spacing w:line="360" w:lineRule="auto"/>
        <w:rPr>
          <w:rFonts w:hint="eastAsia" w:ascii="宋体" w:hAnsi="宋体" w:eastAsia="宋体" w:cs="宋体"/>
          <w:b/>
          <w:color w:val="auto"/>
          <w:sz w:val="24"/>
          <w:szCs w:val="24"/>
          <w:highlight w:val="none"/>
        </w:rPr>
        <w:sectPr>
          <w:footerReference r:id="rId6" w:type="default"/>
          <w:pgSz w:w="16838" w:h="11906" w:orient="landscape"/>
          <w:pgMar w:top="1797" w:right="1440" w:bottom="1797" w:left="1440" w:header="851" w:footer="992" w:gutter="0"/>
          <w:cols w:space="720" w:num="1"/>
          <w:docGrid w:linePitch="312" w:charSpace="0"/>
        </w:sectPr>
      </w:pPr>
    </w:p>
    <w:p w14:paraId="732E14F6">
      <w:pPr>
        <w:spacing w:line="360" w:lineRule="auto"/>
        <w:ind w:firstLine="2891" w:firstLineChars="900"/>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磋商分项报价表（格式</w:t>
      </w:r>
      <w:r>
        <w:rPr>
          <w:rFonts w:hint="eastAsia" w:ascii="宋体" w:hAnsi="宋体" w:cs="宋体"/>
          <w:b/>
          <w:color w:val="auto"/>
          <w:sz w:val="32"/>
          <w:szCs w:val="32"/>
          <w:highlight w:val="none"/>
          <w:lang w:val="en-US" w:eastAsia="zh-CN"/>
        </w:rPr>
        <w:t>模板</w:t>
      </w:r>
      <w:r>
        <w:rPr>
          <w:rFonts w:hint="eastAsia" w:ascii="宋体" w:hAnsi="宋体" w:eastAsia="宋体" w:cs="宋体"/>
          <w:b/>
          <w:color w:val="auto"/>
          <w:sz w:val="32"/>
          <w:szCs w:val="32"/>
          <w:highlight w:val="none"/>
        </w:rPr>
        <w:t>）</w:t>
      </w:r>
    </w:p>
    <w:p w14:paraId="4EBE6729">
      <w:pPr>
        <w:pStyle w:val="7"/>
        <w:spacing w:line="360" w:lineRule="auto"/>
        <w:jc w:val="center"/>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（具体可根据采购文件需求拟定）</w:t>
      </w:r>
    </w:p>
    <w:p w14:paraId="46F8FACF">
      <w:pPr>
        <w:pStyle w:val="7"/>
        <w:spacing w:line="360" w:lineRule="auto"/>
        <w:jc w:val="left"/>
        <w:rPr>
          <w:rFonts w:hint="eastAsia" w:hAnsi="宋体" w:eastAsia="宋体" w:cs="宋体"/>
          <w:b/>
          <w:color w:val="auto"/>
          <w:sz w:val="24"/>
          <w:szCs w:val="24"/>
          <w:highlight w:val="none"/>
        </w:rPr>
      </w:pPr>
      <w:r>
        <w:rPr>
          <w:rFonts w:hint="eastAsia" w:hAnsi="宋体" w:eastAsia="宋体" w:cs="宋体"/>
          <w:bCs/>
          <w:color w:val="auto"/>
          <w:sz w:val="24"/>
          <w:szCs w:val="24"/>
          <w:highlight w:val="none"/>
        </w:rPr>
        <w:t>报价人名称：</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项目编号：</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货币单位：</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902"/>
        <w:gridCol w:w="2076"/>
        <w:gridCol w:w="1561"/>
        <w:gridCol w:w="1560"/>
        <w:gridCol w:w="1463"/>
      </w:tblGrid>
      <w:tr w14:paraId="3EF89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546" w:type="dxa"/>
            <w:noWrap w:val="0"/>
            <w:vAlign w:val="top"/>
          </w:tcPr>
          <w:p w14:paraId="61DBF0F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902" w:type="dxa"/>
            <w:noWrap w:val="0"/>
            <w:vAlign w:val="top"/>
          </w:tcPr>
          <w:p w14:paraId="25BFA31A">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服务合同包</w:t>
            </w:r>
          </w:p>
        </w:tc>
        <w:tc>
          <w:tcPr>
            <w:tcW w:w="2076" w:type="dxa"/>
            <w:noWrap w:val="0"/>
            <w:vAlign w:val="top"/>
          </w:tcPr>
          <w:p w14:paraId="3E413D42">
            <w:pPr>
              <w:spacing w:line="360" w:lineRule="auto"/>
              <w:rPr>
                <w:rFonts w:hint="eastAsia" w:ascii="宋体" w:hAnsi="宋体" w:eastAsia="宋体" w:cs="宋体"/>
                <w:bCs/>
                <w:color w:val="auto"/>
                <w:sz w:val="24"/>
                <w:szCs w:val="24"/>
                <w:highlight w:val="none"/>
              </w:rPr>
            </w:pPr>
          </w:p>
        </w:tc>
        <w:tc>
          <w:tcPr>
            <w:tcW w:w="1561" w:type="dxa"/>
            <w:noWrap w:val="0"/>
            <w:vAlign w:val="top"/>
          </w:tcPr>
          <w:p w14:paraId="74B8901E">
            <w:pPr>
              <w:spacing w:line="360" w:lineRule="auto"/>
              <w:rPr>
                <w:rFonts w:hint="eastAsia" w:ascii="宋体" w:hAnsi="宋体" w:eastAsia="宋体" w:cs="宋体"/>
                <w:bCs/>
                <w:color w:val="auto"/>
                <w:sz w:val="24"/>
                <w:szCs w:val="24"/>
                <w:highlight w:val="none"/>
              </w:rPr>
            </w:pPr>
          </w:p>
        </w:tc>
        <w:tc>
          <w:tcPr>
            <w:tcW w:w="1560" w:type="dxa"/>
            <w:noWrap w:val="0"/>
            <w:vAlign w:val="top"/>
          </w:tcPr>
          <w:p w14:paraId="7BADCCD3">
            <w:pPr>
              <w:spacing w:line="360" w:lineRule="auto"/>
              <w:rPr>
                <w:rFonts w:hint="eastAsia" w:ascii="宋体" w:hAnsi="宋体" w:eastAsia="宋体" w:cs="宋体"/>
                <w:bCs/>
                <w:color w:val="auto"/>
                <w:sz w:val="24"/>
                <w:szCs w:val="24"/>
                <w:highlight w:val="none"/>
              </w:rPr>
            </w:pPr>
          </w:p>
        </w:tc>
        <w:tc>
          <w:tcPr>
            <w:tcW w:w="1463" w:type="dxa"/>
            <w:noWrap w:val="0"/>
            <w:vAlign w:val="top"/>
          </w:tcPr>
          <w:p w14:paraId="13ACCC3D">
            <w:pPr>
              <w:spacing w:line="360" w:lineRule="auto"/>
              <w:rPr>
                <w:rFonts w:hint="eastAsia" w:ascii="宋体" w:hAnsi="宋体" w:eastAsia="宋体" w:cs="宋体"/>
                <w:bCs/>
                <w:color w:val="auto"/>
                <w:sz w:val="24"/>
                <w:szCs w:val="24"/>
                <w:highlight w:val="none"/>
              </w:rPr>
            </w:pPr>
          </w:p>
        </w:tc>
      </w:tr>
      <w:tr w14:paraId="6A10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6" w:type="dxa"/>
            <w:noWrap w:val="0"/>
            <w:vAlign w:val="top"/>
          </w:tcPr>
          <w:p w14:paraId="0694D8C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1902" w:type="dxa"/>
            <w:noWrap w:val="0"/>
            <w:vAlign w:val="top"/>
          </w:tcPr>
          <w:p w14:paraId="7019B16D">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服务名称</w:t>
            </w:r>
          </w:p>
          <w:p w14:paraId="4E11D4CD">
            <w:pPr>
              <w:spacing w:line="360" w:lineRule="auto"/>
              <w:rPr>
                <w:rFonts w:hint="eastAsia" w:ascii="宋体" w:hAnsi="宋体" w:eastAsia="宋体" w:cs="宋体"/>
                <w:bCs/>
                <w:color w:val="auto"/>
                <w:sz w:val="24"/>
                <w:szCs w:val="24"/>
                <w:highlight w:val="none"/>
              </w:rPr>
            </w:pPr>
          </w:p>
        </w:tc>
        <w:tc>
          <w:tcPr>
            <w:tcW w:w="2076" w:type="dxa"/>
            <w:noWrap w:val="0"/>
            <w:vAlign w:val="top"/>
          </w:tcPr>
          <w:p w14:paraId="3DF767AF">
            <w:pPr>
              <w:spacing w:line="360" w:lineRule="auto"/>
              <w:rPr>
                <w:rFonts w:hint="eastAsia" w:ascii="宋体" w:hAnsi="宋体" w:eastAsia="宋体" w:cs="宋体"/>
                <w:bCs/>
                <w:color w:val="auto"/>
                <w:sz w:val="24"/>
                <w:szCs w:val="24"/>
                <w:highlight w:val="none"/>
              </w:rPr>
            </w:pPr>
          </w:p>
        </w:tc>
        <w:tc>
          <w:tcPr>
            <w:tcW w:w="1561" w:type="dxa"/>
            <w:noWrap w:val="0"/>
            <w:vAlign w:val="top"/>
          </w:tcPr>
          <w:p w14:paraId="33483C19">
            <w:pPr>
              <w:spacing w:line="360" w:lineRule="auto"/>
              <w:rPr>
                <w:rFonts w:hint="eastAsia" w:ascii="宋体" w:hAnsi="宋体" w:eastAsia="宋体" w:cs="宋体"/>
                <w:bCs/>
                <w:color w:val="auto"/>
                <w:sz w:val="24"/>
                <w:szCs w:val="24"/>
                <w:highlight w:val="none"/>
              </w:rPr>
            </w:pPr>
          </w:p>
        </w:tc>
        <w:tc>
          <w:tcPr>
            <w:tcW w:w="1560" w:type="dxa"/>
            <w:noWrap w:val="0"/>
            <w:vAlign w:val="top"/>
          </w:tcPr>
          <w:p w14:paraId="04D85B22">
            <w:pPr>
              <w:spacing w:line="360" w:lineRule="auto"/>
              <w:rPr>
                <w:rFonts w:hint="eastAsia" w:ascii="宋体" w:hAnsi="宋体" w:eastAsia="宋体" w:cs="宋体"/>
                <w:bCs/>
                <w:color w:val="auto"/>
                <w:sz w:val="24"/>
                <w:szCs w:val="24"/>
                <w:highlight w:val="none"/>
              </w:rPr>
            </w:pPr>
          </w:p>
        </w:tc>
        <w:tc>
          <w:tcPr>
            <w:tcW w:w="1463" w:type="dxa"/>
            <w:noWrap w:val="0"/>
            <w:vAlign w:val="top"/>
          </w:tcPr>
          <w:p w14:paraId="7DA2600F">
            <w:pPr>
              <w:spacing w:line="360" w:lineRule="auto"/>
              <w:rPr>
                <w:rFonts w:hint="eastAsia" w:ascii="宋体" w:hAnsi="宋体" w:eastAsia="宋体" w:cs="宋体"/>
                <w:bCs/>
                <w:color w:val="auto"/>
                <w:sz w:val="24"/>
                <w:szCs w:val="24"/>
                <w:highlight w:val="none"/>
              </w:rPr>
            </w:pPr>
          </w:p>
        </w:tc>
      </w:tr>
      <w:tr w14:paraId="7E3A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023526C6">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1902" w:type="dxa"/>
            <w:noWrap w:val="0"/>
            <w:vAlign w:val="top"/>
          </w:tcPr>
          <w:p w14:paraId="44988DC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服务商(全称)</w:t>
            </w:r>
          </w:p>
        </w:tc>
        <w:tc>
          <w:tcPr>
            <w:tcW w:w="2076" w:type="dxa"/>
            <w:noWrap w:val="0"/>
            <w:vAlign w:val="top"/>
          </w:tcPr>
          <w:p w14:paraId="15D0F289">
            <w:pPr>
              <w:spacing w:line="360" w:lineRule="auto"/>
              <w:rPr>
                <w:rFonts w:hint="eastAsia" w:ascii="宋体" w:hAnsi="宋体" w:eastAsia="宋体" w:cs="宋体"/>
                <w:bCs/>
                <w:color w:val="auto"/>
                <w:sz w:val="24"/>
                <w:szCs w:val="24"/>
                <w:highlight w:val="none"/>
              </w:rPr>
            </w:pPr>
          </w:p>
        </w:tc>
        <w:tc>
          <w:tcPr>
            <w:tcW w:w="1561" w:type="dxa"/>
            <w:noWrap w:val="0"/>
            <w:vAlign w:val="top"/>
          </w:tcPr>
          <w:p w14:paraId="228CDA07">
            <w:pPr>
              <w:spacing w:line="360" w:lineRule="auto"/>
              <w:rPr>
                <w:rFonts w:hint="eastAsia" w:ascii="宋体" w:hAnsi="宋体" w:eastAsia="宋体" w:cs="宋体"/>
                <w:bCs/>
                <w:color w:val="auto"/>
                <w:sz w:val="24"/>
                <w:szCs w:val="24"/>
                <w:highlight w:val="none"/>
              </w:rPr>
            </w:pPr>
          </w:p>
        </w:tc>
        <w:tc>
          <w:tcPr>
            <w:tcW w:w="1560" w:type="dxa"/>
            <w:noWrap w:val="0"/>
            <w:vAlign w:val="top"/>
          </w:tcPr>
          <w:p w14:paraId="66403A67">
            <w:pPr>
              <w:spacing w:line="360" w:lineRule="auto"/>
              <w:rPr>
                <w:rFonts w:hint="eastAsia" w:ascii="宋体" w:hAnsi="宋体" w:eastAsia="宋体" w:cs="宋体"/>
                <w:bCs/>
                <w:color w:val="auto"/>
                <w:sz w:val="24"/>
                <w:szCs w:val="24"/>
                <w:highlight w:val="none"/>
              </w:rPr>
            </w:pPr>
          </w:p>
        </w:tc>
        <w:tc>
          <w:tcPr>
            <w:tcW w:w="1463" w:type="dxa"/>
            <w:noWrap w:val="0"/>
            <w:vAlign w:val="top"/>
          </w:tcPr>
          <w:p w14:paraId="1FAF5906">
            <w:pPr>
              <w:spacing w:line="360" w:lineRule="auto"/>
              <w:rPr>
                <w:rFonts w:hint="eastAsia" w:ascii="宋体" w:hAnsi="宋体" w:eastAsia="宋体" w:cs="宋体"/>
                <w:bCs/>
                <w:color w:val="auto"/>
                <w:sz w:val="24"/>
                <w:szCs w:val="24"/>
                <w:highlight w:val="none"/>
              </w:rPr>
            </w:pPr>
          </w:p>
        </w:tc>
      </w:tr>
      <w:tr w14:paraId="712E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033291F5">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1902" w:type="dxa"/>
            <w:noWrap w:val="0"/>
            <w:vAlign w:val="top"/>
          </w:tcPr>
          <w:p w14:paraId="65DC973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2076" w:type="dxa"/>
            <w:noWrap w:val="0"/>
            <w:vAlign w:val="top"/>
          </w:tcPr>
          <w:p w14:paraId="36042958">
            <w:pPr>
              <w:spacing w:line="360" w:lineRule="auto"/>
              <w:rPr>
                <w:rFonts w:hint="eastAsia" w:ascii="宋体" w:hAnsi="宋体" w:eastAsia="宋体" w:cs="宋体"/>
                <w:bCs/>
                <w:color w:val="auto"/>
                <w:sz w:val="24"/>
                <w:szCs w:val="24"/>
                <w:highlight w:val="none"/>
              </w:rPr>
            </w:pPr>
          </w:p>
        </w:tc>
        <w:tc>
          <w:tcPr>
            <w:tcW w:w="1561" w:type="dxa"/>
            <w:noWrap w:val="0"/>
            <w:vAlign w:val="top"/>
          </w:tcPr>
          <w:p w14:paraId="19B175C1">
            <w:pPr>
              <w:spacing w:line="360" w:lineRule="auto"/>
              <w:rPr>
                <w:rFonts w:hint="eastAsia" w:ascii="宋体" w:hAnsi="宋体" w:eastAsia="宋体" w:cs="宋体"/>
                <w:bCs/>
                <w:color w:val="auto"/>
                <w:sz w:val="24"/>
                <w:szCs w:val="24"/>
                <w:highlight w:val="none"/>
              </w:rPr>
            </w:pPr>
          </w:p>
        </w:tc>
        <w:tc>
          <w:tcPr>
            <w:tcW w:w="1560" w:type="dxa"/>
            <w:noWrap w:val="0"/>
            <w:vAlign w:val="top"/>
          </w:tcPr>
          <w:p w14:paraId="7350C123">
            <w:pPr>
              <w:spacing w:line="360" w:lineRule="auto"/>
              <w:rPr>
                <w:rFonts w:hint="eastAsia" w:ascii="宋体" w:hAnsi="宋体" w:eastAsia="宋体" w:cs="宋体"/>
                <w:bCs/>
                <w:color w:val="auto"/>
                <w:sz w:val="24"/>
                <w:szCs w:val="24"/>
                <w:highlight w:val="none"/>
              </w:rPr>
            </w:pPr>
          </w:p>
        </w:tc>
        <w:tc>
          <w:tcPr>
            <w:tcW w:w="1463" w:type="dxa"/>
            <w:noWrap w:val="0"/>
            <w:vAlign w:val="top"/>
          </w:tcPr>
          <w:p w14:paraId="2E60EC28">
            <w:pPr>
              <w:spacing w:line="360" w:lineRule="auto"/>
              <w:rPr>
                <w:rFonts w:hint="eastAsia" w:ascii="宋体" w:hAnsi="宋体" w:eastAsia="宋体" w:cs="宋体"/>
                <w:bCs/>
                <w:color w:val="auto"/>
                <w:sz w:val="24"/>
                <w:szCs w:val="24"/>
                <w:highlight w:val="none"/>
              </w:rPr>
            </w:pPr>
          </w:p>
        </w:tc>
      </w:tr>
      <w:tr w14:paraId="472E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78C28356">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1902" w:type="dxa"/>
            <w:noWrap w:val="0"/>
            <w:vAlign w:val="top"/>
          </w:tcPr>
          <w:p w14:paraId="46E42CC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技术服务费</w:t>
            </w:r>
          </w:p>
        </w:tc>
        <w:tc>
          <w:tcPr>
            <w:tcW w:w="2076" w:type="dxa"/>
            <w:noWrap w:val="0"/>
            <w:vAlign w:val="top"/>
          </w:tcPr>
          <w:p w14:paraId="490EEB53">
            <w:pPr>
              <w:spacing w:line="360" w:lineRule="auto"/>
              <w:rPr>
                <w:rFonts w:hint="eastAsia" w:ascii="宋体" w:hAnsi="宋体" w:eastAsia="宋体" w:cs="宋体"/>
                <w:bCs/>
                <w:color w:val="auto"/>
                <w:sz w:val="24"/>
                <w:szCs w:val="24"/>
                <w:highlight w:val="none"/>
              </w:rPr>
            </w:pPr>
          </w:p>
        </w:tc>
        <w:tc>
          <w:tcPr>
            <w:tcW w:w="1561" w:type="dxa"/>
            <w:noWrap w:val="0"/>
            <w:vAlign w:val="top"/>
          </w:tcPr>
          <w:p w14:paraId="1B116C1E">
            <w:pPr>
              <w:spacing w:line="360" w:lineRule="auto"/>
              <w:rPr>
                <w:rFonts w:hint="eastAsia" w:ascii="宋体" w:hAnsi="宋体" w:eastAsia="宋体" w:cs="宋体"/>
                <w:bCs/>
                <w:color w:val="auto"/>
                <w:sz w:val="24"/>
                <w:szCs w:val="24"/>
                <w:highlight w:val="none"/>
              </w:rPr>
            </w:pPr>
          </w:p>
        </w:tc>
        <w:tc>
          <w:tcPr>
            <w:tcW w:w="1560" w:type="dxa"/>
            <w:noWrap w:val="0"/>
            <w:vAlign w:val="top"/>
          </w:tcPr>
          <w:p w14:paraId="2758D6E2">
            <w:pPr>
              <w:spacing w:line="360" w:lineRule="auto"/>
              <w:rPr>
                <w:rFonts w:hint="eastAsia" w:ascii="宋体" w:hAnsi="宋体" w:eastAsia="宋体" w:cs="宋体"/>
                <w:bCs/>
                <w:color w:val="auto"/>
                <w:sz w:val="24"/>
                <w:szCs w:val="24"/>
                <w:highlight w:val="none"/>
              </w:rPr>
            </w:pPr>
          </w:p>
        </w:tc>
        <w:tc>
          <w:tcPr>
            <w:tcW w:w="1463" w:type="dxa"/>
            <w:noWrap w:val="0"/>
            <w:vAlign w:val="top"/>
          </w:tcPr>
          <w:p w14:paraId="5302B8B4">
            <w:pPr>
              <w:spacing w:line="360" w:lineRule="auto"/>
              <w:rPr>
                <w:rFonts w:hint="eastAsia" w:ascii="宋体" w:hAnsi="宋体" w:eastAsia="宋体" w:cs="宋体"/>
                <w:bCs/>
                <w:color w:val="auto"/>
                <w:sz w:val="24"/>
                <w:szCs w:val="24"/>
                <w:highlight w:val="none"/>
              </w:rPr>
            </w:pPr>
          </w:p>
        </w:tc>
      </w:tr>
      <w:tr w14:paraId="1B4D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60B967E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w:t>
            </w:r>
          </w:p>
        </w:tc>
        <w:tc>
          <w:tcPr>
            <w:tcW w:w="1902" w:type="dxa"/>
            <w:noWrap w:val="0"/>
            <w:vAlign w:val="top"/>
          </w:tcPr>
          <w:p w14:paraId="7B687FE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检验培训费</w:t>
            </w:r>
          </w:p>
        </w:tc>
        <w:tc>
          <w:tcPr>
            <w:tcW w:w="2076" w:type="dxa"/>
            <w:noWrap w:val="0"/>
            <w:vAlign w:val="top"/>
          </w:tcPr>
          <w:p w14:paraId="233D0447">
            <w:pPr>
              <w:spacing w:line="360" w:lineRule="auto"/>
              <w:rPr>
                <w:rFonts w:hint="eastAsia" w:ascii="宋体" w:hAnsi="宋体" w:eastAsia="宋体" w:cs="宋体"/>
                <w:bCs/>
                <w:color w:val="auto"/>
                <w:sz w:val="24"/>
                <w:szCs w:val="24"/>
                <w:highlight w:val="none"/>
              </w:rPr>
            </w:pPr>
          </w:p>
        </w:tc>
        <w:tc>
          <w:tcPr>
            <w:tcW w:w="1561" w:type="dxa"/>
            <w:noWrap w:val="0"/>
            <w:vAlign w:val="top"/>
          </w:tcPr>
          <w:p w14:paraId="74248D0F">
            <w:pPr>
              <w:spacing w:line="360" w:lineRule="auto"/>
              <w:rPr>
                <w:rFonts w:hint="eastAsia" w:ascii="宋体" w:hAnsi="宋体" w:eastAsia="宋体" w:cs="宋体"/>
                <w:bCs/>
                <w:color w:val="auto"/>
                <w:sz w:val="24"/>
                <w:szCs w:val="24"/>
                <w:highlight w:val="none"/>
              </w:rPr>
            </w:pPr>
          </w:p>
        </w:tc>
        <w:tc>
          <w:tcPr>
            <w:tcW w:w="1560" w:type="dxa"/>
            <w:noWrap w:val="0"/>
            <w:vAlign w:val="top"/>
          </w:tcPr>
          <w:p w14:paraId="590D2888">
            <w:pPr>
              <w:spacing w:line="360" w:lineRule="auto"/>
              <w:rPr>
                <w:rFonts w:hint="eastAsia" w:ascii="宋体" w:hAnsi="宋体" w:eastAsia="宋体" w:cs="宋体"/>
                <w:bCs/>
                <w:color w:val="auto"/>
                <w:sz w:val="24"/>
                <w:szCs w:val="24"/>
                <w:highlight w:val="none"/>
              </w:rPr>
            </w:pPr>
          </w:p>
        </w:tc>
        <w:tc>
          <w:tcPr>
            <w:tcW w:w="1463" w:type="dxa"/>
            <w:noWrap w:val="0"/>
            <w:vAlign w:val="top"/>
          </w:tcPr>
          <w:p w14:paraId="4AA8964D">
            <w:pPr>
              <w:spacing w:line="360" w:lineRule="auto"/>
              <w:rPr>
                <w:rFonts w:hint="eastAsia" w:ascii="宋体" w:hAnsi="宋体" w:eastAsia="宋体" w:cs="宋体"/>
                <w:bCs/>
                <w:color w:val="auto"/>
                <w:sz w:val="24"/>
                <w:szCs w:val="24"/>
                <w:highlight w:val="none"/>
              </w:rPr>
            </w:pPr>
          </w:p>
        </w:tc>
      </w:tr>
      <w:tr w14:paraId="6CAD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24DD419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w:t>
            </w:r>
          </w:p>
        </w:tc>
        <w:tc>
          <w:tcPr>
            <w:tcW w:w="1902" w:type="dxa"/>
            <w:noWrap w:val="0"/>
            <w:vAlign w:val="top"/>
          </w:tcPr>
          <w:p w14:paraId="0015C8A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保险</w:t>
            </w:r>
          </w:p>
        </w:tc>
        <w:tc>
          <w:tcPr>
            <w:tcW w:w="2076" w:type="dxa"/>
            <w:noWrap w:val="0"/>
            <w:vAlign w:val="top"/>
          </w:tcPr>
          <w:p w14:paraId="62B42169">
            <w:pPr>
              <w:spacing w:line="360" w:lineRule="auto"/>
              <w:rPr>
                <w:rFonts w:hint="eastAsia" w:ascii="宋体" w:hAnsi="宋体" w:eastAsia="宋体" w:cs="宋体"/>
                <w:bCs/>
                <w:color w:val="auto"/>
                <w:sz w:val="24"/>
                <w:szCs w:val="24"/>
                <w:highlight w:val="none"/>
              </w:rPr>
            </w:pPr>
          </w:p>
        </w:tc>
        <w:tc>
          <w:tcPr>
            <w:tcW w:w="1561" w:type="dxa"/>
            <w:noWrap w:val="0"/>
            <w:vAlign w:val="top"/>
          </w:tcPr>
          <w:p w14:paraId="563D33C4">
            <w:pPr>
              <w:spacing w:line="360" w:lineRule="auto"/>
              <w:rPr>
                <w:rFonts w:hint="eastAsia" w:ascii="宋体" w:hAnsi="宋体" w:eastAsia="宋体" w:cs="宋体"/>
                <w:bCs/>
                <w:color w:val="auto"/>
                <w:sz w:val="24"/>
                <w:szCs w:val="24"/>
                <w:highlight w:val="none"/>
              </w:rPr>
            </w:pPr>
          </w:p>
        </w:tc>
        <w:tc>
          <w:tcPr>
            <w:tcW w:w="1560" w:type="dxa"/>
            <w:noWrap w:val="0"/>
            <w:vAlign w:val="top"/>
          </w:tcPr>
          <w:p w14:paraId="7CF5AC52">
            <w:pPr>
              <w:spacing w:line="360" w:lineRule="auto"/>
              <w:rPr>
                <w:rFonts w:hint="eastAsia" w:ascii="宋体" w:hAnsi="宋体" w:eastAsia="宋体" w:cs="宋体"/>
                <w:bCs/>
                <w:color w:val="auto"/>
                <w:sz w:val="24"/>
                <w:szCs w:val="24"/>
                <w:highlight w:val="none"/>
              </w:rPr>
            </w:pPr>
          </w:p>
        </w:tc>
        <w:tc>
          <w:tcPr>
            <w:tcW w:w="1463" w:type="dxa"/>
            <w:noWrap w:val="0"/>
            <w:vAlign w:val="top"/>
          </w:tcPr>
          <w:p w14:paraId="52CE9DC6">
            <w:pPr>
              <w:spacing w:line="360" w:lineRule="auto"/>
              <w:rPr>
                <w:rFonts w:hint="eastAsia" w:ascii="宋体" w:hAnsi="宋体" w:eastAsia="宋体" w:cs="宋体"/>
                <w:bCs/>
                <w:color w:val="auto"/>
                <w:sz w:val="24"/>
                <w:szCs w:val="24"/>
                <w:highlight w:val="none"/>
              </w:rPr>
            </w:pPr>
          </w:p>
        </w:tc>
      </w:tr>
      <w:tr w14:paraId="6F24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3E9EA89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w:t>
            </w:r>
          </w:p>
        </w:tc>
        <w:tc>
          <w:tcPr>
            <w:tcW w:w="1902" w:type="dxa"/>
            <w:noWrap w:val="0"/>
            <w:vAlign w:val="top"/>
          </w:tcPr>
          <w:p w14:paraId="343B4493">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其它</w:t>
            </w:r>
          </w:p>
        </w:tc>
        <w:tc>
          <w:tcPr>
            <w:tcW w:w="2076" w:type="dxa"/>
            <w:noWrap w:val="0"/>
            <w:vAlign w:val="top"/>
          </w:tcPr>
          <w:p w14:paraId="0674A66E">
            <w:pPr>
              <w:spacing w:line="360" w:lineRule="auto"/>
              <w:rPr>
                <w:rFonts w:hint="eastAsia" w:ascii="宋体" w:hAnsi="宋体" w:eastAsia="宋体" w:cs="宋体"/>
                <w:bCs/>
                <w:color w:val="auto"/>
                <w:sz w:val="24"/>
                <w:szCs w:val="24"/>
                <w:highlight w:val="none"/>
              </w:rPr>
            </w:pPr>
          </w:p>
        </w:tc>
        <w:tc>
          <w:tcPr>
            <w:tcW w:w="1561" w:type="dxa"/>
            <w:noWrap w:val="0"/>
            <w:vAlign w:val="top"/>
          </w:tcPr>
          <w:p w14:paraId="5078644D">
            <w:pPr>
              <w:spacing w:line="360" w:lineRule="auto"/>
              <w:rPr>
                <w:rFonts w:hint="eastAsia" w:ascii="宋体" w:hAnsi="宋体" w:eastAsia="宋体" w:cs="宋体"/>
                <w:bCs/>
                <w:color w:val="auto"/>
                <w:sz w:val="24"/>
                <w:szCs w:val="24"/>
                <w:highlight w:val="none"/>
              </w:rPr>
            </w:pPr>
          </w:p>
        </w:tc>
        <w:tc>
          <w:tcPr>
            <w:tcW w:w="1560" w:type="dxa"/>
            <w:noWrap w:val="0"/>
            <w:vAlign w:val="top"/>
          </w:tcPr>
          <w:p w14:paraId="04D4B883">
            <w:pPr>
              <w:spacing w:line="360" w:lineRule="auto"/>
              <w:rPr>
                <w:rFonts w:hint="eastAsia" w:ascii="宋体" w:hAnsi="宋体" w:eastAsia="宋体" w:cs="宋体"/>
                <w:bCs/>
                <w:color w:val="auto"/>
                <w:sz w:val="24"/>
                <w:szCs w:val="24"/>
                <w:highlight w:val="none"/>
              </w:rPr>
            </w:pPr>
          </w:p>
        </w:tc>
        <w:tc>
          <w:tcPr>
            <w:tcW w:w="1463" w:type="dxa"/>
            <w:noWrap w:val="0"/>
            <w:vAlign w:val="top"/>
          </w:tcPr>
          <w:p w14:paraId="42987110">
            <w:pPr>
              <w:spacing w:line="360" w:lineRule="auto"/>
              <w:rPr>
                <w:rFonts w:hint="eastAsia" w:ascii="宋体" w:hAnsi="宋体" w:eastAsia="宋体" w:cs="宋体"/>
                <w:bCs/>
                <w:color w:val="auto"/>
                <w:sz w:val="24"/>
                <w:szCs w:val="24"/>
                <w:highlight w:val="none"/>
              </w:rPr>
            </w:pPr>
          </w:p>
        </w:tc>
      </w:tr>
      <w:tr w14:paraId="47DD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noWrap w:val="0"/>
            <w:vAlign w:val="center"/>
          </w:tcPr>
          <w:p w14:paraId="444BC797">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w:t>
            </w:r>
          </w:p>
        </w:tc>
        <w:tc>
          <w:tcPr>
            <w:tcW w:w="1902" w:type="dxa"/>
            <w:noWrap w:val="0"/>
            <w:vAlign w:val="center"/>
          </w:tcPr>
          <w:p w14:paraId="7B86BE96">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报价总价计算方式</w:t>
            </w:r>
          </w:p>
        </w:tc>
        <w:tc>
          <w:tcPr>
            <w:tcW w:w="2076" w:type="dxa"/>
            <w:noWrap w:val="0"/>
            <w:vAlign w:val="center"/>
          </w:tcPr>
          <w:p w14:paraId="607A17B8">
            <w:pPr>
              <w:spacing w:line="360" w:lineRule="auto"/>
              <w:rPr>
                <w:rFonts w:hint="eastAsia" w:ascii="宋体" w:hAnsi="宋体" w:eastAsia="宋体" w:cs="宋体"/>
                <w:bCs/>
                <w:color w:val="auto"/>
                <w:sz w:val="24"/>
                <w:szCs w:val="24"/>
                <w:highlight w:val="none"/>
              </w:rPr>
            </w:pPr>
          </w:p>
        </w:tc>
        <w:tc>
          <w:tcPr>
            <w:tcW w:w="1561" w:type="dxa"/>
            <w:noWrap w:val="0"/>
            <w:vAlign w:val="center"/>
          </w:tcPr>
          <w:p w14:paraId="4458A4AC">
            <w:pPr>
              <w:spacing w:line="360" w:lineRule="auto"/>
              <w:rPr>
                <w:rFonts w:hint="eastAsia" w:ascii="宋体" w:hAnsi="宋体" w:eastAsia="宋体" w:cs="宋体"/>
                <w:bCs/>
                <w:color w:val="auto"/>
                <w:sz w:val="24"/>
                <w:szCs w:val="24"/>
                <w:highlight w:val="none"/>
              </w:rPr>
            </w:pPr>
          </w:p>
        </w:tc>
        <w:tc>
          <w:tcPr>
            <w:tcW w:w="1560" w:type="dxa"/>
            <w:noWrap w:val="0"/>
            <w:vAlign w:val="center"/>
          </w:tcPr>
          <w:p w14:paraId="393B541B">
            <w:pPr>
              <w:spacing w:line="360" w:lineRule="auto"/>
              <w:rPr>
                <w:rFonts w:hint="eastAsia" w:ascii="宋体" w:hAnsi="宋体" w:eastAsia="宋体" w:cs="宋体"/>
                <w:bCs/>
                <w:color w:val="auto"/>
                <w:sz w:val="24"/>
                <w:szCs w:val="24"/>
                <w:highlight w:val="none"/>
              </w:rPr>
            </w:pPr>
          </w:p>
        </w:tc>
        <w:tc>
          <w:tcPr>
            <w:tcW w:w="1463" w:type="dxa"/>
            <w:noWrap w:val="0"/>
            <w:vAlign w:val="center"/>
          </w:tcPr>
          <w:p w14:paraId="02A22A41">
            <w:pPr>
              <w:spacing w:line="360" w:lineRule="auto"/>
              <w:rPr>
                <w:rFonts w:hint="eastAsia" w:ascii="宋体" w:hAnsi="宋体" w:eastAsia="宋体" w:cs="宋体"/>
                <w:bCs/>
                <w:color w:val="auto"/>
                <w:sz w:val="24"/>
                <w:szCs w:val="24"/>
                <w:highlight w:val="none"/>
              </w:rPr>
            </w:pPr>
          </w:p>
        </w:tc>
      </w:tr>
      <w:tr w14:paraId="6DF9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noWrap w:val="0"/>
            <w:vAlign w:val="center"/>
          </w:tcPr>
          <w:p w14:paraId="184E4336">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w:t>
            </w:r>
          </w:p>
        </w:tc>
        <w:tc>
          <w:tcPr>
            <w:tcW w:w="1902" w:type="dxa"/>
            <w:noWrap w:val="0"/>
            <w:vAlign w:val="center"/>
          </w:tcPr>
          <w:p w14:paraId="128E5FA7">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报价总价</w:t>
            </w:r>
          </w:p>
        </w:tc>
        <w:tc>
          <w:tcPr>
            <w:tcW w:w="2076" w:type="dxa"/>
            <w:noWrap w:val="0"/>
            <w:vAlign w:val="center"/>
          </w:tcPr>
          <w:p w14:paraId="1EC58155">
            <w:pPr>
              <w:spacing w:line="360" w:lineRule="auto"/>
              <w:rPr>
                <w:rFonts w:hint="eastAsia" w:ascii="宋体" w:hAnsi="宋体" w:eastAsia="宋体" w:cs="宋体"/>
                <w:bCs/>
                <w:color w:val="auto"/>
                <w:sz w:val="24"/>
                <w:szCs w:val="24"/>
                <w:highlight w:val="none"/>
              </w:rPr>
            </w:pPr>
          </w:p>
        </w:tc>
        <w:tc>
          <w:tcPr>
            <w:tcW w:w="1561" w:type="dxa"/>
            <w:noWrap w:val="0"/>
            <w:vAlign w:val="center"/>
          </w:tcPr>
          <w:p w14:paraId="503C065E">
            <w:pPr>
              <w:spacing w:line="360" w:lineRule="auto"/>
              <w:rPr>
                <w:rFonts w:hint="eastAsia" w:ascii="宋体" w:hAnsi="宋体" w:eastAsia="宋体" w:cs="宋体"/>
                <w:bCs/>
                <w:color w:val="auto"/>
                <w:sz w:val="24"/>
                <w:szCs w:val="24"/>
                <w:highlight w:val="none"/>
              </w:rPr>
            </w:pPr>
          </w:p>
        </w:tc>
        <w:tc>
          <w:tcPr>
            <w:tcW w:w="1560" w:type="dxa"/>
            <w:noWrap w:val="0"/>
            <w:vAlign w:val="center"/>
          </w:tcPr>
          <w:p w14:paraId="102817D6">
            <w:pPr>
              <w:spacing w:line="360" w:lineRule="auto"/>
              <w:rPr>
                <w:rFonts w:hint="eastAsia" w:ascii="宋体" w:hAnsi="宋体" w:eastAsia="宋体" w:cs="宋体"/>
                <w:bCs/>
                <w:color w:val="auto"/>
                <w:sz w:val="24"/>
                <w:szCs w:val="24"/>
                <w:highlight w:val="none"/>
              </w:rPr>
            </w:pPr>
          </w:p>
        </w:tc>
        <w:tc>
          <w:tcPr>
            <w:tcW w:w="1463" w:type="dxa"/>
            <w:noWrap w:val="0"/>
            <w:vAlign w:val="center"/>
          </w:tcPr>
          <w:p w14:paraId="14B7ABC5">
            <w:pPr>
              <w:spacing w:line="360" w:lineRule="auto"/>
              <w:rPr>
                <w:rFonts w:hint="eastAsia" w:ascii="宋体" w:hAnsi="宋体" w:eastAsia="宋体" w:cs="宋体"/>
                <w:bCs/>
                <w:color w:val="auto"/>
                <w:sz w:val="24"/>
                <w:szCs w:val="24"/>
                <w:highlight w:val="none"/>
              </w:rPr>
            </w:pPr>
          </w:p>
        </w:tc>
      </w:tr>
      <w:tr w14:paraId="24A7E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noWrap w:val="0"/>
            <w:vAlign w:val="center"/>
          </w:tcPr>
          <w:p w14:paraId="30255E2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w:t>
            </w:r>
          </w:p>
        </w:tc>
        <w:tc>
          <w:tcPr>
            <w:tcW w:w="1902" w:type="dxa"/>
            <w:noWrap w:val="0"/>
            <w:vAlign w:val="center"/>
          </w:tcPr>
          <w:p w14:paraId="6BEC359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服务期</w:t>
            </w:r>
          </w:p>
        </w:tc>
        <w:tc>
          <w:tcPr>
            <w:tcW w:w="2076" w:type="dxa"/>
            <w:noWrap w:val="0"/>
            <w:vAlign w:val="center"/>
          </w:tcPr>
          <w:p w14:paraId="39FE7BA4">
            <w:pPr>
              <w:spacing w:line="360" w:lineRule="auto"/>
              <w:rPr>
                <w:rFonts w:hint="eastAsia" w:ascii="宋体" w:hAnsi="宋体" w:eastAsia="宋体" w:cs="宋体"/>
                <w:bCs/>
                <w:color w:val="auto"/>
                <w:sz w:val="24"/>
                <w:szCs w:val="24"/>
                <w:highlight w:val="none"/>
              </w:rPr>
            </w:pPr>
          </w:p>
        </w:tc>
        <w:tc>
          <w:tcPr>
            <w:tcW w:w="1561" w:type="dxa"/>
            <w:noWrap w:val="0"/>
            <w:vAlign w:val="center"/>
          </w:tcPr>
          <w:p w14:paraId="6C7C094A">
            <w:pPr>
              <w:spacing w:line="360" w:lineRule="auto"/>
              <w:rPr>
                <w:rFonts w:hint="eastAsia" w:ascii="宋体" w:hAnsi="宋体" w:eastAsia="宋体" w:cs="宋体"/>
                <w:bCs/>
                <w:color w:val="auto"/>
                <w:sz w:val="24"/>
                <w:szCs w:val="24"/>
                <w:highlight w:val="none"/>
              </w:rPr>
            </w:pPr>
          </w:p>
        </w:tc>
        <w:tc>
          <w:tcPr>
            <w:tcW w:w="1560" w:type="dxa"/>
            <w:noWrap w:val="0"/>
            <w:vAlign w:val="center"/>
          </w:tcPr>
          <w:p w14:paraId="63EC40C9">
            <w:pPr>
              <w:spacing w:line="360" w:lineRule="auto"/>
              <w:rPr>
                <w:rFonts w:hint="eastAsia" w:ascii="宋体" w:hAnsi="宋体" w:eastAsia="宋体" w:cs="宋体"/>
                <w:bCs/>
                <w:color w:val="auto"/>
                <w:sz w:val="24"/>
                <w:szCs w:val="24"/>
                <w:highlight w:val="none"/>
              </w:rPr>
            </w:pPr>
          </w:p>
        </w:tc>
        <w:tc>
          <w:tcPr>
            <w:tcW w:w="1463" w:type="dxa"/>
            <w:noWrap w:val="0"/>
            <w:vAlign w:val="center"/>
          </w:tcPr>
          <w:p w14:paraId="1621A85E">
            <w:pPr>
              <w:spacing w:line="360" w:lineRule="auto"/>
              <w:rPr>
                <w:rFonts w:hint="eastAsia" w:ascii="宋体" w:hAnsi="宋体" w:eastAsia="宋体" w:cs="宋体"/>
                <w:bCs/>
                <w:color w:val="auto"/>
                <w:sz w:val="24"/>
                <w:szCs w:val="24"/>
                <w:highlight w:val="none"/>
              </w:rPr>
            </w:pPr>
          </w:p>
        </w:tc>
      </w:tr>
    </w:tbl>
    <w:p w14:paraId="27A4155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注：1.第1栏服务合同包/品目号系指“采购服务一览表”中该服务的合同包/品目号。</w:t>
      </w:r>
    </w:p>
    <w:p w14:paraId="103536C3">
      <w:pPr>
        <w:spacing w:line="360" w:lineRule="auto"/>
        <w:outlineLvl w:val="9"/>
        <w:rPr>
          <w:rFonts w:hint="eastAsia" w:ascii="宋体" w:hAnsi="宋体" w:eastAsia="宋体" w:cs="宋体"/>
          <w:bCs/>
          <w:color w:val="auto"/>
          <w:sz w:val="24"/>
          <w:szCs w:val="24"/>
          <w:highlight w:val="none"/>
        </w:rPr>
      </w:pPr>
      <w:bookmarkStart w:id="171" w:name="_Toc22334"/>
      <w:r>
        <w:rPr>
          <w:rFonts w:hint="eastAsia" w:ascii="宋体" w:hAnsi="宋体" w:eastAsia="宋体" w:cs="宋体"/>
          <w:bCs/>
          <w:color w:val="auto"/>
          <w:sz w:val="24"/>
          <w:szCs w:val="24"/>
          <w:highlight w:val="none"/>
        </w:rPr>
        <w:t>2.报价总价应当通过栏目9的计算方式得出。</w:t>
      </w:r>
      <w:bookmarkEnd w:id="171"/>
    </w:p>
    <w:p w14:paraId="6FDD45D0">
      <w:pPr>
        <w:spacing w:line="360" w:lineRule="auto"/>
        <w:rPr>
          <w:rFonts w:hint="eastAsia" w:ascii="宋体" w:hAnsi="宋体" w:eastAsia="宋体" w:cs="宋体"/>
          <w:bCs/>
          <w:color w:val="auto"/>
          <w:sz w:val="24"/>
          <w:szCs w:val="24"/>
          <w:highlight w:val="none"/>
        </w:rPr>
      </w:pPr>
      <w:r>
        <w:rPr>
          <w:rFonts w:hint="default" w:ascii="宋体" w:hAnsi="宋体" w:cs="宋体"/>
          <w:bCs/>
          <w:color w:val="auto"/>
          <w:sz w:val="24"/>
          <w:szCs w:val="24"/>
          <w:highlight w:val="none"/>
        </w:rPr>
        <w:t>3</w:t>
      </w:r>
      <w:r>
        <w:rPr>
          <w:rFonts w:hint="eastAsia" w:ascii="宋体" w:hAnsi="宋体" w:eastAsia="宋体" w:cs="宋体"/>
          <w:bCs/>
          <w:color w:val="auto"/>
          <w:sz w:val="24"/>
          <w:szCs w:val="24"/>
          <w:highlight w:val="none"/>
        </w:rPr>
        <w:t>.此表第10项报价总价若与报价一览表有出入，以报价一览表报价价格为准。</w:t>
      </w:r>
    </w:p>
    <w:p w14:paraId="6A5EEC59">
      <w:pPr>
        <w:spacing w:line="360" w:lineRule="auto"/>
        <w:rPr>
          <w:rFonts w:hint="eastAsia" w:ascii="宋体" w:hAnsi="宋体" w:eastAsia="宋体" w:cs="宋体"/>
          <w:bCs/>
          <w:color w:val="auto"/>
          <w:sz w:val="24"/>
          <w:szCs w:val="24"/>
          <w:highlight w:val="none"/>
        </w:rPr>
      </w:pPr>
      <w:r>
        <w:rPr>
          <w:rFonts w:hint="default" w:ascii="宋体" w:hAnsi="宋体" w:cs="宋体"/>
          <w:bCs/>
          <w:color w:val="auto"/>
          <w:sz w:val="24"/>
          <w:szCs w:val="24"/>
          <w:highlight w:val="none"/>
        </w:rPr>
        <w:t>4</w:t>
      </w:r>
      <w:r>
        <w:rPr>
          <w:rFonts w:hint="eastAsia" w:ascii="宋体" w:hAnsi="宋体" w:eastAsia="宋体" w:cs="宋体"/>
          <w:bCs/>
          <w:color w:val="auto"/>
          <w:sz w:val="24"/>
          <w:szCs w:val="24"/>
          <w:highlight w:val="none"/>
        </w:rPr>
        <w:t>.按服务的不同项目详细分项报价，若未详细分项报价将被视为没有实质性响应采购文件。</w:t>
      </w:r>
    </w:p>
    <w:p w14:paraId="2B39C58D">
      <w:pPr>
        <w:pStyle w:val="20"/>
        <w:spacing w:line="360" w:lineRule="auto"/>
        <w:outlineLvl w:val="9"/>
        <w:rPr>
          <w:rFonts w:hint="eastAsia" w:hAnsi="宋体" w:eastAsia="宋体" w:cs="宋体"/>
          <w:bCs/>
          <w:color w:val="auto"/>
          <w:sz w:val="24"/>
          <w:szCs w:val="24"/>
          <w:highlight w:val="none"/>
          <w:u w:val="single"/>
        </w:rPr>
      </w:pPr>
      <w:bookmarkStart w:id="172" w:name="_Toc285398027"/>
      <w:bookmarkStart w:id="173" w:name="_Toc160270391"/>
      <w:r>
        <w:rPr>
          <w:rFonts w:hint="eastAsia" w:hAnsi="宋体" w:eastAsia="宋体" w:cs="宋体"/>
          <w:bCs/>
          <w:color w:val="auto"/>
          <w:sz w:val="24"/>
          <w:szCs w:val="24"/>
          <w:highlight w:val="none"/>
        </w:rPr>
        <w:t>报价人代表签名：</w:t>
      </w:r>
      <w:bookmarkEnd w:id="172"/>
      <w:bookmarkEnd w:id="173"/>
      <w:r>
        <w:rPr>
          <w:rFonts w:hint="eastAsia" w:hAnsi="宋体" w:eastAsia="宋体" w:cs="宋体"/>
          <w:bCs/>
          <w:color w:val="auto"/>
          <w:sz w:val="24"/>
          <w:szCs w:val="24"/>
          <w:highlight w:val="none"/>
          <w:u w:val="single"/>
        </w:rPr>
        <w:t xml:space="preserve">                      </w:t>
      </w:r>
    </w:p>
    <w:p w14:paraId="46531A5A">
      <w:pPr>
        <w:spacing w:line="360" w:lineRule="auto"/>
        <w:jc w:val="center"/>
        <w:rPr>
          <w:rFonts w:hint="eastAsia" w:ascii="宋体" w:hAnsi="宋体" w:eastAsia="宋体" w:cs="宋体"/>
          <w:bCs/>
          <w:color w:val="auto"/>
          <w:sz w:val="24"/>
          <w:szCs w:val="24"/>
          <w:highlight w:val="none"/>
        </w:rPr>
        <w:sectPr>
          <w:footerReference r:id="rId7" w:type="default"/>
          <w:pgSz w:w="11906" w:h="16838"/>
          <w:pgMar w:top="1440" w:right="1797" w:bottom="1440" w:left="1797" w:header="851" w:footer="992" w:gutter="0"/>
          <w:cols w:space="720" w:num="1"/>
          <w:docGrid w:linePitch="312" w:charSpace="0"/>
        </w:sectPr>
      </w:pPr>
    </w:p>
    <w:p w14:paraId="130BCCA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32"/>
          <w:szCs w:val="32"/>
          <w:highlight w:val="none"/>
        </w:rPr>
        <w:t>服务说明一览表</w:t>
      </w:r>
    </w:p>
    <w:p w14:paraId="628CEB5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（按服务合同包下品目号类别分别填写）</w:t>
      </w:r>
    </w:p>
    <w:p w14:paraId="140F2350">
      <w:pPr>
        <w:spacing w:line="360" w:lineRule="auto"/>
        <w:rPr>
          <w:rFonts w:hint="eastAsia" w:ascii="宋体" w:hAnsi="宋体" w:eastAsia="宋体" w:cs="宋体"/>
          <w:color w:val="auto"/>
          <w:sz w:val="24"/>
          <w:szCs w:val="24"/>
          <w:highlight w:val="none"/>
        </w:rPr>
      </w:pPr>
    </w:p>
    <w:p w14:paraId="2A8A5B6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报价人名称</w:t>
      </w:r>
      <w:r>
        <w:rPr>
          <w:rFonts w:hint="default" w:ascii="宋体" w:hAnsi="宋体" w:cs="宋体"/>
          <w:color w:val="auto"/>
          <w:sz w:val="24"/>
          <w:szCs w:val="24"/>
          <w:highlight w:val="none"/>
        </w:rPr>
        <w:t>：</w:t>
      </w:r>
      <w:r>
        <w:rPr>
          <w:rFonts w:hint="eastAsia" w:ascii="宋体" w:hAnsi="宋体" w:eastAsia="宋体" w:cs="宋体"/>
          <w:color w:val="auto"/>
          <w:sz w:val="24"/>
          <w:szCs w:val="24"/>
          <w:highlight w:val="none"/>
        </w:rPr>
        <w:t xml:space="preserve">                                    采购项目编号</w:t>
      </w:r>
      <w:r>
        <w:rPr>
          <w:rFonts w:hint="default" w:ascii="宋体" w:hAnsi="宋体" w:cs="宋体"/>
          <w:color w:val="auto"/>
          <w:sz w:val="24"/>
          <w:szCs w:val="24"/>
          <w:highlight w:val="none"/>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1545"/>
        <w:gridCol w:w="4017"/>
        <w:gridCol w:w="1442"/>
        <w:gridCol w:w="2678"/>
        <w:gridCol w:w="824"/>
        <w:gridCol w:w="987"/>
      </w:tblGrid>
      <w:tr w14:paraId="3E62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noWrap w:val="0"/>
            <w:vAlign w:val="center"/>
          </w:tcPr>
          <w:p w14:paraId="5DE44A4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合同包号</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427FA6E9">
            <w:pPr>
              <w:spacing w:line="360" w:lineRule="auto"/>
              <w:rPr>
                <w:rFonts w:hint="eastAsia" w:ascii="宋体" w:hAnsi="宋体" w:eastAsia="宋体" w:cs="宋体"/>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D7E8AE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4017" w:type="dxa"/>
            <w:tcBorders>
              <w:top w:val="single" w:color="auto" w:sz="4" w:space="0"/>
              <w:left w:val="single" w:color="auto" w:sz="4" w:space="0"/>
              <w:bottom w:val="single" w:color="auto" w:sz="4" w:space="0"/>
              <w:right w:val="single" w:color="auto" w:sz="4" w:space="0"/>
            </w:tcBorders>
            <w:noWrap w:val="0"/>
            <w:vAlign w:val="center"/>
          </w:tcPr>
          <w:p w14:paraId="6F472E62">
            <w:pPr>
              <w:spacing w:line="360" w:lineRule="auto"/>
              <w:rPr>
                <w:rFonts w:hint="eastAsia" w:ascii="宋体" w:hAnsi="宋体" w:eastAsia="宋体" w:cs="宋体"/>
                <w:color w:val="auto"/>
                <w:sz w:val="24"/>
                <w:szCs w:val="24"/>
                <w:highlight w:val="none"/>
              </w:rPr>
            </w:pPr>
          </w:p>
        </w:tc>
        <w:tc>
          <w:tcPr>
            <w:tcW w:w="1442" w:type="dxa"/>
            <w:tcBorders>
              <w:top w:val="single" w:color="auto" w:sz="4" w:space="0"/>
              <w:left w:val="single" w:color="auto" w:sz="4" w:space="0"/>
              <w:bottom w:val="single" w:color="auto" w:sz="4" w:space="0"/>
              <w:right w:val="single" w:color="auto" w:sz="4" w:space="0"/>
            </w:tcBorders>
            <w:noWrap w:val="0"/>
            <w:vAlign w:val="center"/>
          </w:tcPr>
          <w:p w14:paraId="785EF22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服务商</w:t>
            </w:r>
          </w:p>
        </w:tc>
        <w:tc>
          <w:tcPr>
            <w:tcW w:w="2678" w:type="dxa"/>
            <w:tcBorders>
              <w:top w:val="single" w:color="auto" w:sz="4" w:space="0"/>
              <w:left w:val="single" w:color="auto" w:sz="4" w:space="0"/>
              <w:bottom w:val="single" w:color="auto" w:sz="4" w:space="0"/>
              <w:right w:val="single" w:color="auto" w:sz="4" w:space="0"/>
            </w:tcBorders>
            <w:noWrap w:val="0"/>
            <w:vAlign w:val="center"/>
          </w:tcPr>
          <w:p w14:paraId="7921744B">
            <w:pPr>
              <w:spacing w:line="360" w:lineRule="auto"/>
              <w:rPr>
                <w:rFonts w:hint="eastAsia" w:ascii="宋体" w:hAnsi="宋体" w:eastAsia="宋体" w:cs="宋体"/>
                <w:color w:val="auto"/>
                <w:sz w:val="24"/>
                <w:szCs w:val="24"/>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6CC6D56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87" w:type="dxa"/>
            <w:tcBorders>
              <w:top w:val="single" w:color="auto" w:sz="4" w:space="0"/>
              <w:left w:val="single" w:color="auto" w:sz="4" w:space="0"/>
              <w:bottom w:val="single" w:color="auto" w:sz="4" w:space="0"/>
              <w:right w:val="single" w:color="auto" w:sz="4" w:space="0"/>
            </w:tcBorders>
            <w:noWrap w:val="0"/>
            <w:vAlign w:val="top"/>
          </w:tcPr>
          <w:p w14:paraId="4B52281C">
            <w:pPr>
              <w:spacing w:line="360" w:lineRule="auto"/>
              <w:rPr>
                <w:rFonts w:hint="eastAsia" w:ascii="宋体" w:hAnsi="宋体" w:eastAsia="宋体" w:cs="宋体"/>
                <w:color w:val="auto"/>
                <w:sz w:val="24"/>
                <w:szCs w:val="24"/>
                <w:highlight w:val="none"/>
              </w:rPr>
            </w:pPr>
          </w:p>
        </w:tc>
      </w:tr>
      <w:tr w14:paraId="4D6D8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atLeast"/>
        </w:trPr>
        <w:tc>
          <w:tcPr>
            <w:tcW w:w="14176" w:type="dxa"/>
            <w:gridSpan w:val="8"/>
            <w:tcBorders>
              <w:top w:val="single" w:color="auto" w:sz="4" w:space="0"/>
              <w:left w:val="single" w:color="auto" w:sz="4" w:space="0"/>
              <w:bottom w:val="single" w:color="auto" w:sz="4" w:space="0"/>
              <w:right w:val="single" w:color="auto" w:sz="4" w:space="0"/>
            </w:tcBorders>
            <w:noWrap w:val="0"/>
            <w:vAlign w:val="top"/>
          </w:tcPr>
          <w:p w14:paraId="1F9F712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详细服务</w:t>
            </w:r>
            <w:r>
              <w:rPr>
                <w:rFonts w:hint="default" w:ascii="宋体" w:hAnsi="宋体" w:cs="宋体"/>
                <w:color w:val="auto"/>
                <w:sz w:val="24"/>
                <w:szCs w:val="24"/>
                <w:highlight w:val="none"/>
              </w:rPr>
              <w:t>事</w:t>
            </w:r>
            <w:r>
              <w:rPr>
                <w:rFonts w:hint="eastAsia" w:ascii="宋体" w:hAnsi="宋体" w:eastAsia="宋体" w:cs="宋体"/>
                <w:color w:val="auto"/>
                <w:sz w:val="24"/>
                <w:szCs w:val="24"/>
                <w:highlight w:val="none"/>
              </w:rPr>
              <w:t>项说明</w:t>
            </w:r>
          </w:p>
        </w:tc>
      </w:tr>
    </w:tbl>
    <w:p w14:paraId="00E767F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报价人代表签字</w:t>
      </w:r>
      <w:r>
        <w:rPr>
          <w:rFonts w:hint="default" w:ascii="宋体" w:hAnsi="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3D77C61D">
      <w:pPr>
        <w:spacing w:line="360" w:lineRule="auto"/>
        <w:rPr>
          <w:rFonts w:hint="eastAsia" w:ascii="宋体" w:hAnsi="宋体" w:eastAsia="宋体" w:cs="宋体"/>
          <w:color w:val="auto"/>
          <w:sz w:val="24"/>
          <w:szCs w:val="24"/>
          <w:highlight w:val="none"/>
        </w:rPr>
        <w:sectPr>
          <w:headerReference r:id="rId10" w:type="first"/>
          <w:footerReference r:id="rId13" w:type="first"/>
          <w:headerReference r:id="rId8" w:type="default"/>
          <w:footerReference r:id="rId11" w:type="default"/>
          <w:headerReference r:id="rId9" w:type="even"/>
          <w:footerReference r:id="rId12" w:type="even"/>
          <w:pgSz w:w="16838" w:h="11906" w:orient="landscape"/>
          <w:pgMar w:top="1797" w:right="1440" w:bottom="1797" w:left="1440" w:header="851" w:footer="992" w:gutter="0"/>
          <w:cols w:space="720" w:num="1"/>
          <w:docGrid w:linePitch="312" w:charSpace="0"/>
        </w:sectPr>
      </w:pPr>
    </w:p>
    <w:p w14:paraId="2D9DD3BE">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范围清单</w:t>
      </w:r>
    </w:p>
    <w:p w14:paraId="334799E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21E2C793">
      <w:pPr>
        <w:spacing w:line="360" w:lineRule="auto"/>
        <w:ind w:firstLine="6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本清单应列明服务组成的主要项和关键项的名称、数量、服务商住址及单价；</w:t>
      </w:r>
    </w:p>
    <w:p w14:paraId="69D34EBB">
      <w:pPr>
        <w:spacing w:line="360" w:lineRule="auto"/>
        <w:ind w:firstLine="6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AC15DE3">
      <w:pPr>
        <w:spacing w:line="360" w:lineRule="auto"/>
        <w:ind w:firstLine="660"/>
        <w:rPr>
          <w:rFonts w:hint="eastAsia" w:ascii="宋体" w:hAnsi="宋体" w:eastAsia="宋体" w:cs="宋体"/>
          <w:b/>
          <w:color w:val="auto"/>
          <w:sz w:val="24"/>
          <w:szCs w:val="24"/>
          <w:highlight w:val="none"/>
        </w:rPr>
      </w:pPr>
    </w:p>
    <w:p w14:paraId="4F476083">
      <w:pPr>
        <w:spacing w:line="360" w:lineRule="auto"/>
        <w:jc w:val="center"/>
        <w:rPr>
          <w:rFonts w:hint="eastAsia" w:ascii="宋体" w:hAnsi="宋体" w:eastAsia="宋体" w:cs="宋体"/>
          <w:b/>
          <w:color w:val="auto"/>
          <w:sz w:val="24"/>
          <w:szCs w:val="24"/>
          <w:highlight w:val="none"/>
        </w:rPr>
      </w:pPr>
    </w:p>
    <w:p w14:paraId="31B32053">
      <w:pPr>
        <w:spacing w:line="360" w:lineRule="auto"/>
        <w:ind w:right="480" w:firstLine="120" w:firstLineChars="5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14:paraId="0706AFA0">
      <w:pPr>
        <w:spacing w:line="360" w:lineRule="auto"/>
        <w:rPr>
          <w:rFonts w:hint="eastAsia" w:ascii="宋体" w:hAnsi="宋体" w:eastAsia="宋体" w:cs="宋体"/>
          <w:b/>
          <w:color w:val="auto"/>
          <w:sz w:val="24"/>
          <w:szCs w:val="24"/>
          <w:highlight w:val="none"/>
        </w:rPr>
      </w:pPr>
    </w:p>
    <w:p w14:paraId="5B7302A9">
      <w:pPr>
        <w:spacing w:line="360" w:lineRule="auto"/>
        <w:rPr>
          <w:rFonts w:hint="eastAsia" w:ascii="宋体" w:hAnsi="宋体" w:eastAsia="宋体" w:cs="宋体"/>
          <w:b/>
          <w:color w:val="auto"/>
          <w:sz w:val="24"/>
          <w:szCs w:val="24"/>
          <w:highlight w:val="none"/>
        </w:rPr>
      </w:pPr>
    </w:p>
    <w:p w14:paraId="6298BE57">
      <w:pPr>
        <w:spacing w:line="360" w:lineRule="auto"/>
        <w:jc w:val="center"/>
        <w:rPr>
          <w:rFonts w:hint="eastAsia" w:ascii="宋体" w:hAnsi="宋体" w:eastAsia="宋体" w:cs="宋体"/>
          <w:b/>
          <w:color w:val="auto"/>
          <w:sz w:val="24"/>
          <w:szCs w:val="24"/>
          <w:highlight w:val="none"/>
        </w:rPr>
        <w:sectPr>
          <w:footerReference r:id="rId14" w:type="default"/>
          <w:pgSz w:w="11906" w:h="16838"/>
          <w:pgMar w:top="1440" w:right="1797" w:bottom="1440" w:left="1797" w:header="851" w:footer="992" w:gutter="0"/>
          <w:cols w:space="720" w:num="1"/>
          <w:docGrid w:linePitch="312" w:charSpace="0"/>
        </w:sectPr>
      </w:pPr>
    </w:p>
    <w:p w14:paraId="54A6F5A9">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技术规格和商务偏离表</w:t>
      </w:r>
    </w:p>
    <w:p w14:paraId="2FD1E0F1">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报价人名称（</w:t>
      </w:r>
      <w:r>
        <w:rPr>
          <w:rFonts w:hint="eastAsia" w:ascii="宋体" w:hAnsi="宋体" w:cs="宋体"/>
          <w:bCs/>
          <w:color w:val="auto"/>
          <w:sz w:val="24"/>
          <w:szCs w:val="24"/>
          <w:highlight w:val="none"/>
          <w:lang w:eastAsia="zh-CN"/>
        </w:rPr>
        <w:t>全称</w:t>
      </w:r>
      <w:r>
        <w:rPr>
          <w:rFonts w:hint="eastAsia" w:ascii="宋体" w:hAnsi="宋体" w:eastAsia="宋体" w:cs="宋体"/>
          <w:bCs/>
          <w:color w:val="auto"/>
          <w:sz w:val="24"/>
          <w:szCs w:val="24"/>
          <w:highlight w:val="none"/>
        </w:rPr>
        <w:t>并加盖公章）：</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项目编号：</w:t>
      </w:r>
      <w:r>
        <w:rPr>
          <w:rFonts w:hint="eastAsia" w:ascii="宋体" w:hAnsi="宋体" w:eastAsia="宋体" w:cs="宋体"/>
          <w:bCs/>
          <w:color w:val="auto"/>
          <w:sz w:val="24"/>
          <w:szCs w:val="24"/>
          <w:highlight w:val="none"/>
          <w:u w:val="single"/>
        </w:rPr>
        <w:t xml:space="preserve">      </w:t>
      </w:r>
    </w:p>
    <w:tbl>
      <w:tblPr>
        <w:tblStyle w:val="13"/>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1800"/>
        <w:gridCol w:w="2340"/>
        <w:gridCol w:w="2880"/>
        <w:gridCol w:w="1386"/>
        <w:gridCol w:w="3834"/>
      </w:tblGrid>
      <w:tr w14:paraId="5768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6480" w:type="dxa"/>
            <w:gridSpan w:val="4"/>
            <w:tcBorders>
              <w:top w:val="single" w:color="auto" w:sz="4" w:space="0"/>
              <w:left w:val="single" w:color="auto" w:sz="4" w:space="0"/>
              <w:bottom w:val="single" w:color="auto" w:sz="4" w:space="0"/>
              <w:right w:val="single" w:color="auto" w:sz="4" w:space="0"/>
            </w:tcBorders>
            <w:noWrap w:val="0"/>
            <w:vAlign w:val="center"/>
          </w:tcPr>
          <w:p w14:paraId="6FE8D99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w:t>
            </w:r>
          </w:p>
        </w:tc>
        <w:tc>
          <w:tcPr>
            <w:tcW w:w="8100" w:type="dxa"/>
            <w:gridSpan w:val="3"/>
            <w:tcBorders>
              <w:top w:val="single" w:color="auto" w:sz="4" w:space="0"/>
              <w:left w:val="single" w:color="auto" w:sz="4" w:space="0"/>
              <w:bottom w:val="single" w:color="auto" w:sz="4" w:space="0"/>
              <w:right w:val="single" w:color="auto" w:sz="4" w:space="0"/>
            </w:tcBorders>
            <w:noWrap w:val="0"/>
            <w:vAlign w:val="center"/>
          </w:tcPr>
          <w:p w14:paraId="1B20D62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w:t>
            </w:r>
          </w:p>
        </w:tc>
      </w:tr>
      <w:tr w14:paraId="7CC1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43A613C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合同包/品目号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09C993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14A1E4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规格条目号</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2858DC7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05D1A96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磋商响应情况</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7DE665E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磋商响应对应的页码</w:t>
            </w:r>
          </w:p>
        </w:tc>
        <w:tc>
          <w:tcPr>
            <w:tcW w:w="3834" w:type="dxa"/>
            <w:tcBorders>
              <w:top w:val="single" w:color="auto" w:sz="4" w:space="0"/>
              <w:left w:val="single" w:color="auto" w:sz="4" w:space="0"/>
              <w:bottom w:val="single" w:color="auto" w:sz="4" w:space="0"/>
              <w:right w:val="single" w:color="auto" w:sz="4" w:space="0"/>
            </w:tcBorders>
            <w:noWrap w:val="0"/>
            <w:vAlign w:val="center"/>
          </w:tcPr>
          <w:p w14:paraId="5CFEDC2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1525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02D7A745">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AC727B0">
            <w:pPr>
              <w:spacing w:line="360" w:lineRule="auto"/>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62017F3C">
            <w:pPr>
              <w:spacing w:line="360" w:lineRule="auto"/>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7C417091">
            <w:pPr>
              <w:spacing w:line="360" w:lineRule="auto"/>
              <w:rPr>
                <w:rFonts w:hint="eastAsia" w:ascii="宋体" w:hAnsi="宋体" w:eastAsia="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6F24F810">
            <w:pPr>
              <w:spacing w:line="360" w:lineRule="auto"/>
              <w:rPr>
                <w:rFonts w:hint="eastAsia" w:ascii="宋体" w:hAnsi="宋体" w:eastAsia="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14:paraId="2DD5573E">
            <w:pPr>
              <w:spacing w:line="360" w:lineRule="auto"/>
              <w:rPr>
                <w:rFonts w:hint="eastAsia" w:ascii="宋体" w:hAnsi="宋体" w:eastAsia="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14:paraId="3B2B7FFB">
            <w:pPr>
              <w:spacing w:line="360" w:lineRule="auto"/>
              <w:rPr>
                <w:rFonts w:hint="eastAsia" w:ascii="宋体" w:hAnsi="宋体" w:eastAsia="宋体" w:cs="宋体"/>
                <w:color w:val="auto"/>
                <w:sz w:val="24"/>
                <w:szCs w:val="24"/>
                <w:highlight w:val="none"/>
              </w:rPr>
            </w:pPr>
          </w:p>
        </w:tc>
      </w:tr>
      <w:tr w14:paraId="3437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2256B30D">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BF644D5">
            <w:pPr>
              <w:spacing w:line="360" w:lineRule="auto"/>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2BB20ED4">
            <w:pPr>
              <w:spacing w:line="360" w:lineRule="auto"/>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6353FB54">
            <w:pPr>
              <w:spacing w:line="360" w:lineRule="auto"/>
              <w:rPr>
                <w:rFonts w:hint="eastAsia" w:ascii="宋体" w:hAnsi="宋体" w:eastAsia="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38D7602D">
            <w:pPr>
              <w:spacing w:line="360" w:lineRule="auto"/>
              <w:rPr>
                <w:rFonts w:hint="eastAsia" w:ascii="宋体" w:hAnsi="宋体" w:eastAsia="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14:paraId="2983013B">
            <w:pPr>
              <w:spacing w:line="360" w:lineRule="auto"/>
              <w:rPr>
                <w:rFonts w:hint="eastAsia" w:ascii="宋体" w:hAnsi="宋体" w:eastAsia="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14:paraId="41A6E836">
            <w:pPr>
              <w:spacing w:line="360" w:lineRule="auto"/>
              <w:rPr>
                <w:rFonts w:hint="eastAsia" w:ascii="宋体" w:hAnsi="宋体" w:eastAsia="宋体" w:cs="宋体"/>
                <w:color w:val="auto"/>
                <w:sz w:val="24"/>
                <w:szCs w:val="24"/>
                <w:highlight w:val="none"/>
              </w:rPr>
            </w:pPr>
          </w:p>
        </w:tc>
      </w:tr>
      <w:tr w14:paraId="49EE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262BAD56">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943F6BF">
            <w:pPr>
              <w:spacing w:line="360" w:lineRule="auto"/>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453D73E4">
            <w:pPr>
              <w:spacing w:line="360" w:lineRule="auto"/>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773F7832">
            <w:pPr>
              <w:spacing w:line="360" w:lineRule="auto"/>
              <w:rPr>
                <w:rFonts w:hint="eastAsia" w:ascii="宋体" w:hAnsi="宋体" w:eastAsia="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788FC2CD">
            <w:pPr>
              <w:spacing w:line="360" w:lineRule="auto"/>
              <w:rPr>
                <w:rFonts w:hint="eastAsia" w:ascii="宋体" w:hAnsi="宋体" w:eastAsia="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14:paraId="0B7767A3">
            <w:pPr>
              <w:spacing w:line="360" w:lineRule="auto"/>
              <w:rPr>
                <w:rFonts w:hint="eastAsia" w:ascii="宋体" w:hAnsi="宋体" w:eastAsia="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14:paraId="0391198D">
            <w:pPr>
              <w:spacing w:line="360" w:lineRule="auto"/>
              <w:rPr>
                <w:rFonts w:hint="eastAsia" w:ascii="宋体" w:hAnsi="宋体" w:eastAsia="宋体" w:cs="宋体"/>
                <w:color w:val="auto"/>
                <w:sz w:val="24"/>
                <w:szCs w:val="24"/>
                <w:highlight w:val="none"/>
              </w:rPr>
            </w:pPr>
          </w:p>
        </w:tc>
      </w:tr>
    </w:tbl>
    <w:p w14:paraId="368FD37D">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注：1.报价人根据采购要求逐条说明磋商响应情况。</w:t>
      </w:r>
    </w:p>
    <w:p w14:paraId="359D9A7B">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color w:val="auto"/>
          <w:sz w:val="24"/>
          <w:szCs w:val="24"/>
          <w:highlight w:val="none"/>
        </w:rPr>
        <w:t xml:space="preserve"> 报价</w:t>
      </w:r>
      <w:r>
        <w:rPr>
          <w:rFonts w:hint="eastAsia" w:ascii="宋体" w:hAnsi="宋体" w:eastAsia="宋体" w:cs="宋体"/>
          <w:color w:val="auto"/>
          <w:kern w:val="0"/>
          <w:sz w:val="24"/>
          <w:szCs w:val="24"/>
          <w:highlight w:val="none"/>
        </w:rPr>
        <w:t>人应对采购文件中的“*”号条款进行逐条响应，否则评审专家对其报价做出不利评审，报价人必须自行承担责任</w:t>
      </w:r>
      <w:r>
        <w:rPr>
          <w:rFonts w:hint="eastAsia" w:ascii="宋体" w:hAnsi="宋体" w:eastAsia="宋体" w:cs="宋体"/>
          <w:bCs/>
          <w:color w:val="auto"/>
          <w:sz w:val="24"/>
          <w:szCs w:val="24"/>
          <w:highlight w:val="none"/>
        </w:rPr>
        <w:t>。报价人存在弄虚作假行为的，将依法承担</w:t>
      </w:r>
      <w:r>
        <w:rPr>
          <w:rFonts w:hint="eastAsia" w:ascii="宋体" w:hAnsi="宋体" w:cs="宋体"/>
          <w:bCs/>
          <w:color w:val="auto"/>
          <w:sz w:val="24"/>
          <w:szCs w:val="24"/>
          <w:highlight w:val="none"/>
          <w:lang w:eastAsia="zh-CN"/>
        </w:rPr>
        <w:t>相应的法律责任</w:t>
      </w:r>
      <w:r>
        <w:rPr>
          <w:rFonts w:hint="eastAsia" w:ascii="宋体" w:hAnsi="宋体" w:eastAsia="宋体" w:cs="宋体"/>
          <w:bCs/>
          <w:color w:val="auto"/>
          <w:sz w:val="24"/>
          <w:szCs w:val="24"/>
          <w:highlight w:val="none"/>
        </w:rPr>
        <w:t>。</w:t>
      </w:r>
    </w:p>
    <w:p w14:paraId="23F25C7B">
      <w:pPr>
        <w:spacing w:line="360" w:lineRule="auto"/>
        <w:jc w:val="center"/>
        <w:rPr>
          <w:rFonts w:hint="eastAsia" w:ascii="宋体" w:hAnsi="宋体" w:eastAsia="宋体" w:cs="宋体"/>
          <w:bCs/>
          <w:color w:val="auto"/>
          <w:sz w:val="24"/>
          <w:szCs w:val="24"/>
          <w:highlight w:val="none"/>
        </w:rPr>
      </w:pPr>
    </w:p>
    <w:p w14:paraId="5AACB93B">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报价人代表签字：</w:t>
      </w:r>
      <w:r>
        <w:rPr>
          <w:rFonts w:hint="eastAsia" w:ascii="宋体" w:hAnsi="宋体" w:eastAsia="宋体" w:cs="宋体"/>
          <w:bCs/>
          <w:color w:val="auto"/>
          <w:sz w:val="24"/>
          <w:szCs w:val="24"/>
          <w:highlight w:val="none"/>
          <w:u w:val="single"/>
        </w:rPr>
        <w:t xml:space="preserve">           </w:t>
      </w:r>
    </w:p>
    <w:p w14:paraId="3FFA5C74">
      <w:pPr>
        <w:jc w:val="center"/>
        <w:outlineLvl w:val="9"/>
        <w:rPr>
          <w:rFonts w:hint="eastAsia" w:ascii="宋体" w:hAnsi="宋体" w:eastAsia="宋体" w:cs="宋体"/>
          <w:b/>
          <w:bCs/>
          <w:color w:val="auto"/>
          <w:sz w:val="32"/>
          <w:szCs w:val="32"/>
          <w:highlight w:val="none"/>
        </w:rPr>
      </w:pPr>
      <w:bookmarkStart w:id="174" w:name="_Toc12961"/>
      <w:r>
        <w:rPr>
          <w:rFonts w:hint="eastAsia" w:ascii="宋体" w:hAnsi="宋体" w:eastAsia="宋体" w:cs="宋体"/>
          <w:b/>
          <w:bCs/>
          <w:color w:val="auto"/>
          <w:sz w:val="32"/>
          <w:szCs w:val="32"/>
          <w:highlight w:val="none"/>
        </w:rPr>
        <w:t>服务人员配备表</w:t>
      </w:r>
      <w:bookmarkEnd w:id="174"/>
    </w:p>
    <w:p w14:paraId="4C6FAD9D">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报价人（全称）：                                        项目名称：</w:t>
      </w:r>
      <w:r>
        <w:rPr>
          <w:rFonts w:hint="eastAsia" w:ascii="宋体" w:hAnsi="宋体" w:eastAsia="宋体" w:cs="宋体"/>
          <w:color w:val="auto"/>
          <w:sz w:val="24"/>
          <w:szCs w:val="24"/>
          <w:highlight w:val="none"/>
          <w:u w:val="single"/>
        </w:rPr>
        <w:t xml:space="preserve">      </w:t>
      </w:r>
    </w:p>
    <w:tbl>
      <w:tblPr>
        <w:tblStyle w:val="1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29"/>
        <w:gridCol w:w="1051"/>
        <w:gridCol w:w="1563"/>
        <w:gridCol w:w="851"/>
        <w:gridCol w:w="851"/>
        <w:gridCol w:w="851"/>
        <w:gridCol w:w="948"/>
        <w:gridCol w:w="948"/>
        <w:gridCol w:w="995"/>
        <w:gridCol w:w="2772"/>
      </w:tblGrid>
      <w:tr w14:paraId="62649D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029" w:type="dxa"/>
            <w:vMerge w:val="restart"/>
            <w:tcBorders>
              <w:top w:val="single" w:color="auto" w:sz="12" w:space="0"/>
              <w:left w:val="single" w:color="auto" w:sz="12" w:space="0"/>
              <w:bottom w:val="single" w:color="auto" w:sz="4" w:space="0"/>
              <w:right w:val="single" w:color="auto" w:sz="4" w:space="0"/>
            </w:tcBorders>
            <w:noWrap w:val="0"/>
            <w:vAlign w:val="center"/>
          </w:tcPr>
          <w:p w14:paraId="6DC74198">
            <w:pPr>
              <w:spacing w:line="360" w:lineRule="auto"/>
              <w:ind w:left="69"/>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拟任职位</w:t>
            </w:r>
          </w:p>
        </w:tc>
        <w:tc>
          <w:tcPr>
            <w:tcW w:w="1051" w:type="dxa"/>
            <w:vMerge w:val="restart"/>
            <w:tcBorders>
              <w:top w:val="single" w:color="auto" w:sz="12" w:space="0"/>
              <w:left w:val="single" w:color="auto" w:sz="4" w:space="0"/>
              <w:bottom w:val="single" w:color="auto" w:sz="4" w:space="0"/>
              <w:right w:val="single" w:color="auto" w:sz="4" w:space="0"/>
            </w:tcBorders>
            <w:noWrap w:val="0"/>
            <w:vAlign w:val="center"/>
          </w:tcPr>
          <w:p w14:paraId="086CF64A">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姓名</w:t>
            </w:r>
          </w:p>
        </w:tc>
        <w:tc>
          <w:tcPr>
            <w:tcW w:w="1563" w:type="dxa"/>
            <w:vMerge w:val="restart"/>
            <w:tcBorders>
              <w:top w:val="single" w:color="auto" w:sz="12" w:space="0"/>
              <w:left w:val="single" w:color="auto" w:sz="4" w:space="0"/>
              <w:bottom w:val="single" w:color="auto" w:sz="4" w:space="0"/>
              <w:right w:val="single" w:color="auto" w:sz="4" w:space="0"/>
            </w:tcBorders>
            <w:noWrap w:val="0"/>
            <w:vAlign w:val="center"/>
          </w:tcPr>
          <w:p w14:paraId="26BA8D1F">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身份证号码</w:t>
            </w:r>
          </w:p>
        </w:tc>
        <w:tc>
          <w:tcPr>
            <w:tcW w:w="851" w:type="dxa"/>
            <w:vMerge w:val="restart"/>
            <w:tcBorders>
              <w:top w:val="single" w:color="auto" w:sz="12" w:space="0"/>
              <w:left w:val="single" w:color="auto" w:sz="4" w:space="0"/>
              <w:bottom w:val="single" w:color="auto" w:sz="4" w:space="0"/>
              <w:right w:val="single" w:color="auto" w:sz="4" w:space="0"/>
            </w:tcBorders>
            <w:noWrap w:val="0"/>
            <w:vAlign w:val="center"/>
          </w:tcPr>
          <w:p w14:paraId="47F188BF">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学历</w:t>
            </w:r>
          </w:p>
        </w:tc>
        <w:tc>
          <w:tcPr>
            <w:tcW w:w="851" w:type="dxa"/>
            <w:vMerge w:val="restart"/>
            <w:tcBorders>
              <w:top w:val="single" w:color="auto" w:sz="12" w:space="0"/>
              <w:left w:val="single" w:color="auto" w:sz="4" w:space="0"/>
              <w:bottom w:val="single" w:color="auto" w:sz="4" w:space="0"/>
              <w:right w:val="single" w:color="auto" w:sz="4" w:space="0"/>
            </w:tcBorders>
            <w:noWrap w:val="0"/>
            <w:vAlign w:val="center"/>
          </w:tcPr>
          <w:p w14:paraId="4D320726">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专业</w:t>
            </w:r>
          </w:p>
        </w:tc>
        <w:tc>
          <w:tcPr>
            <w:tcW w:w="851" w:type="dxa"/>
            <w:vMerge w:val="restart"/>
            <w:tcBorders>
              <w:top w:val="single" w:color="auto" w:sz="12" w:space="0"/>
              <w:left w:val="single" w:color="auto" w:sz="4" w:space="0"/>
              <w:bottom w:val="single" w:color="auto" w:sz="4" w:space="0"/>
              <w:right w:val="single" w:color="auto" w:sz="4" w:space="0"/>
            </w:tcBorders>
            <w:noWrap w:val="0"/>
            <w:vAlign w:val="center"/>
          </w:tcPr>
          <w:p w14:paraId="13456733">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职称</w:t>
            </w:r>
          </w:p>
        </w:tc>
        <w:tc>
          <w:tcPr>
            <w:tcW w:w="2891" w:type="dxa"/>
            <w:gridSpan w:val="3"/>
            <w:tcBorders>
              <w:top w:val="single" w:color="auto" w:sz="12" w:space="0"/>
              <w:left w:val="single" w:color="auto" w:sz="4" w:space="0"/>
              <w:bottom w:val="single" w:color="auto" w:sz="4" w:space="0"/>
              <w:right w:val="single" w:color="auto" w:sz="4" w:space="0"/>
            </w:tcBorders>
            <w:noWrap w:val="0"/>
            <w:vAlign w:val="center"/>
          </w:tcPr>
          <w:p w14:paraId="15909027">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岗位资格证明</w:t>
            </w:r>
          </w:p>
        </w:tc>
        <w:tc>
          <w:tcPr>
            <w:tcW w:w="2772" w:type="dxa"/>
            <w:vMerge w:val="restart"/>
            <w:tcBorders>
              <w:top w:val="single" w:color="auto" w:sz="12" w:space="0"/>
              <w:left w:val="single" w:color="auto" w:sz="4" w:space="0"/>
              <w:bottom w:val="single" w:color="auto" w:sz="4" w:space="0"/>
              <w:right w:val="single" w:color="auto" w:sz="12" w:space="0"/>
            </w:tcBorders>
            <w:noWrap w:val="0"/>
            <w:vAlign w:val="center"/>
          </w:tcPr>
          <w:p w14:paraId="5D8025D0">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目前受</w:t>
            </w:r>
          </w:p>
          <w:p w14:paraId="5E6B88E9">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雇单位</w:t>
            </w:r>
          </w:p>
        </w:tc>
      </w:tr>
      <w:tr w14:paraId="18A5BB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029" w:type="dxa"/>
            <w:vMerge w:val="continue"/>
            <w:tcBorders>
              <w:top w:val="single" w:color="auto" w:sz="12" w:space="0"/>
              <w:left w:val="single" w:color="auto" w:sz="12" w:space="0"/>
              <w:bottom w:val="single" w:color="auto" w:sz="4" w:space="0"/>
              <w:right w:val="single" w:color="auto" w:sz="4" w:space="0"/>
            </w:tcBorders>
            <w:noWrap w:val="0"/>
            <w:vAlign w:val="center"/>
          </w:tcPr>
          <w:p w14:paraId="77DDCAA2">
            <w:pPr>
              <w:widowControl/>
              <w:spacing w:line="360" w:lineRule="auto"/>
              <w:jc w:val="left"/>
              <w:rPr>
                <w:rFonts w:hint="eastAsia" w:ascii="宋体" w:hAnsi="宋体" w:eastAsia="宋体" w:cs="宋体"/>
                <w:b/>
                <w:color w:val="auto"/>
                <w:sz w:val="24"/>
                <w:szCs w:val="24"/>
                <w:highlight w:val="none"/>
              </w:rPr>
            </w:pPr>
          </w:p>
        </w:tc>
        <w:tc>
          <w:tcPr>
            <w:tcW w:w="1051" w:type="dxa"/>
            <w:vMerge w:val="continue"/>
            <w:tcBorders>
              <w:top w:val="single" w:color="auto" w:sz="12" w:space="0"/>
              <w:left w:val="single" w:color="auto" w:sz="4" w:space="0"/>
              <w:bottom w:val="single" w:color="auto" w:sz="4" w:space="0"/>
              <w:right w:val="single" w:color="auto" w:sz="4" w:space="0"/>
            </w:tcBorders>
            <w:noWrap w:val="0"/>
            <w:vAlign w:val="center"/>
          </w:tcPr>
          <w:p w14:paraId="6E55FC54">
            <w:pPr>
              <w:widowControl/>
              <w:spacing w:line="360" w:lineRule="auto"/>
              <w:jc w:val="left"/>
              <w:rPr>
                <w:rFonts w:hint="eastAsia" w:ascii="宋体" w:hAnsi="宋体" w:eastAsia="宋体" w:cs="宋体"/>
                <w:b/>
                <w:color w:val="auto"/>
                <w:sz w:val="24"/>
                <w:szCs w:val="24"/>
                <w:highlight w:val="none"/>
              </w:rPr>
            </w:pPr>
          </w:p>
        </w:tc>
        <w:tc>
          <w:tcPr>
            <w:tcW w:w="1563" w:type="dxa"/>
            <w:vMerge w:val="continue"/>
            <w:tcBorders>
              <w:top w:val="single" w:color="auto" w:sz="12" w:space="0"/>
              <w:left w:val="single" w:color="auto" w:sz="4" w:space="0"/>
              <w:bottom w:val="single" w:color="auto" w:sz="4" w:space="0"/>
              <w:right w:val="single" w:color="auto" w:sz="4" w:space="0"/>
            </w:tcBorders>
            <w:noWrap w:val="0"/>
            <w:vAlign w:val="center"/>
          </w:tcPr>
          <w:p w14:paraId="4B06B452">
            <w:pPr>
              <w:widowControl/>
              <w:spacing w:line="360" w:lineRule="auto"/>
              <w:jc w:val="left"/>
              <w:rPr>
                <w:rFonts w:hint="eastAsia" w:ascii="宋体" w:hAnsi="宋体" w:eastAsia="宋体" w:cs="宋体"/>
                <w:b/>
                <w:color w:val="auto"/>
                <w:sz w:val="24"/>
                <w:szCs w:val="24"/>
                <w:highlight w:val="none"/>
              </w:rPr>
            </w:pPr>
          </w:p>
        </w:tc>
        <w:tc>
          <w:tcPr>
            <w:tcW w:w="851" w:type="dxa"/>
            <w:vMerge w:val="continue"/>
            <w:tcBorders>
              <w:top w:val="single" w:color="auto" w:sz="12" w:space="0"/>
              <w:left w:val="single" w:color="auto" w:sz="4" w:space="0"/>
              <w:bottom w:val="single" w:color="auto" w:sz="4" w:space="0"/>
              <w:right w:val="single" w:color="auto" w:sz="4" w:space="0"/>
            </w:tcBorders>
            <w:noWrap w:val="0"/>
            <w:vAlign w:val="center"/>
          </w:tcPr>
          <w:p w14:paraId="1E0571E9">
            <w:pPr>
              <w:widowControl/>
              <w:spacing w:line="360" w:lineRule="auto"/>
              <w:jc w:val="left"/>
              <w:rPr>
                <w:rFonts w:hint="eastAsia" w:ascii="宋体" w:hAnsi="宋体" w:eastAsia="宋体" w:cs="宋体"/>
                <w:b/>
                <w:color w:val="auto"/>
                <w:sz w:val="24"/>
                <w:szCs w:val="24"/>
                <w:highlight w:val="none"/>
              </w:rPr>
            </w:pPr>
          </w:p>
        </w:tc>
        <w:tc>
          <w:tcPr>
            <w:tcW w:w="851" w:type="dxa"/>
            <w:vMerge w:val="continue"/>
            <w:tcBorders>
              <w:top w:val="single" w:color="auto" w:sz="12" w:space="0"/>
              <w:left w:val="single" w:color="auto" w:sz="4" w:space="0"/>
              <w:bottom w:val="single" w:color="auto" w:sz="4" w:space="0"/>
              <w:right w:val="single" w:color="auto" w:sz="4" w:space="0"/>
            </w:tcBorders>
            <w:noWrap w:val="0"/>
            <w:vAlign w:val="center"/>
          </w:tcPr>
          <w:p w14:paraId="5FEB8F98">
            <w:pPr>
              <w:widowControl/>
              <w:spacing w:line="360" w:lineRule="auto"/>
              <w:jc w:val="left"/>
              <w:rPr>
                <w:rFonts w:hint="eastAsia" w:ascii="宋体" w:hAnsi="宋体" w:eastAsia="宋体" w:cs="宋体"/>
                <w:b/>
                <w:color w:val="auto"/>
                <w:sz w:val="24"/>
                <w:szCs w:val="24"/>
                <w:highlight w:val="none"/>
              </w:rPr>
            </w:pPr>
          </w:p>
        </w:tc>
        <w:tc>
          <w:tcPr>
            <w:tcW w:w="851" w:type="dxa"/>
            <w:vMerge w:val="continue"/>
            <w:tcBorders>
              <w:top w:val="single" w:color="auto" w:sz="12" w:space="0"/>
              <w:left w:val="single" w:color="auto" w:sz="4" w:space="0"/>
              <w:bottom w:val="single" w:color="auto" w:sz="4" w:space="0"/>
              <w:right w:val="single" w:color="auto" w:sz="4" w:space="0"/>
            </w:tcBorders>
            <w:noWrap w:val="0"/>
            <w:vAlign w:val="center"/>
          </w:tcPr>
          <w:p w14:paraId="6CAE53C3">
            <w:pPr>
              <w:widowControl/>
              <w:spacing w:line="360" w:lineRule="auto"/>
              <w:jc w:val="left"/>
              <w:rPr>
                <w:rFonts w:hint="eastAsia" w:ascii="宋体" w:hAnsi="宋体" w:eastAsia="宋体" w:cs="宋体"/>
                <w:b/>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center"/>
          </w:tcPr>
          <w:p w14:paraId="09F86B25">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岗位</w:t>
            </w:r>
          </w:p>
          <w:p w14:paraId="503B3AA0">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64BFD836">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证书</w:t>
            </w:r>
          </w:p>
          <w:p w14:paraId="0CC00280">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名称</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740DFDB6">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证号</w:t>
            </w:r>
          </w:p>
        </w:tc>
        <w:tc>
          <w:tcPr>
            <w:tcW w:w="2772" w:type="dxa"/>
            <w:vMerge w:val="continue"/>
            <w:tcBorders>
              <w:top w:val="single" w:color="auto" w:sz="12" w:space="0"/>
              <w:left w:val="single" w:color="auto" w:sz="4" w:space="0"/>
              <w:bottom w:val="single" w:color="auto" w:sz="4" w:space="0"/>
              <w:right w:val="single" w:color="auto" w:sz="12" w:space="0"/>
            </w:tcBorders>
            <w:noWrap w:val="0"/>
            <w:vAlign w:val="center"/>
          </w:tcPr>
          <w:p w14:paraId="1BC6BDF5">
            <w:pPr>
              <w:widowControl/>
              <w:spacing w:line="360" w:lineRule="auto"/>
              <w:jc w:val="left"/>
              <w:rPr>
                <w:rFonts w:hint="eastAsia" w:ascii="宋体" w:hAnsi="宋体" w:eastAsia="宋体" w:cs="宋体"/>
                <w:b/>
                <w:color w:val="auto"/>
                <w:sz w:val="24"/>
                <w:szCs w:val="24"/>
                <w:highlight w:val="none"/>
              </w:rPr>
            </w:pPr>
          </w:p>
        </w:tc>
      </w:tr>
      <w:tr w14:paraId="1DAF09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29" w:type="dxa"/>
            <w:tcBorders>
              <w:top w:val="single" w:color="auto" w:sz="4" w:space="0"/>
              <w:left w:val="single" w:color="auto" w:sz="12" w:space="0"/>
              <w:bottom w:val="single" w:color="auto" w:sz="4" w:space="0"/>
              <w:right w:val="single" w:color="auto" w:sz="4" w:space="0"/>
            </w:tcBorders>
            <w:noWrap w:val="0"/>
            <w:vAlign w:val="top"/>
          </w:tcPr>
          <w:p w14:paraId="06F95AD0">
            <w:pPr>
              <w:spacing w:line="360" w:lineRule="auto"/>
              <w:ind w:left="69"/>
              <w:rPr>
                <w:rFonts w:hint="eastAsia" w:ascii="宋体" w:hAnsi="宋体" w:eastAsia="宋体" w:cs="宋体"/>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top"/>
          </w:tcPr>
          <w:p w14:paraId="6290E44D">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42E7257F">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210B1CB3">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5E379249">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C7CA60F">
            <w:pPr>
              <w:spacing w:line="360" w:lineRule="auto"/>
              <w:ind w:left="69"/>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7FDE4A98">
            <w:pPr>
              <w:spacing w:line="360" w:lineRule="auto"/>
              <w:ind w:left="69"/>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1CB9FC71">
            <w:pPr>
              <w:spacing w:line="360" w:lineRule="auto"/>
              <w:ind w:left="69"/>
              <w:rPr>
                <w:rFonts w:hint="eastAsia" w:ascii="宋体" w:hAnsi="宋体" w:eastAsia="宋体" w:cs="宋体"/>
                <w:color w:val="auto"/>
                <w:sz w:val="24"/>
                <w:szCs w:val="24"/>
                <w:highlight w:val="none"/>
              </w:rPr>
            </w:pPr>
          </w:p>
        </w:tc>
        <w:tc>
          <w:tcPr>
            <w:tcW w:w="995" w:type="dxa"/>
            <w:tcBorders>
              <w:top w:val="single" w:color="auto" w:sz="4" w:space="0"/>
              <w:left w:val="single" w:color="auto" w:sz="4" w:space="0"/>
              <w:bottom w:val="single" w:color="auto" w:sz="4" w:space="0"/>
              <w:right w:val="single" w:color="auto" w:sz="4" w:space="0"/>
            </w:tcBorders>
            <w:noWrap w:val="0"/>
            <w:vAlign w:val="top"/>
          </w:tcPr>
          <w:p w14:paraId="5D22A604">
            <w:pPr>
              <w:spacing w:line="360" w:lineRule="auto"/>
              <w:ind w:left="69"/>
              <w:rPr>
                <w:rFonts w:hint="eastAsia" w:ascii="宋体" w:hAnsi="宋体" w:eastAsia="宋体" w:cs="宋体"/>
                <w:color w:val="auto"/>
                <w:sz w:val="24"/>
                <w:szCs w:val="24"/>
                <w:highlight w:val="none"/>
              </w:rPr>
            </w:pPr>
          </w:p>
        </w:tc>
        <w:tc>
          <w:tcPr>
            <w:tcW w:w="2772" w:type="dxa"/>
            <w:tcBorders>
              <w:top w:val="single" w:color="auto" w:sz="4" w:space="0"/>
              <w:left w:val="single" w:color="auto" w:sz="4" w:space="0"/>
              <w:bottom w:val="single" w:color="auto" w:sz="4" w:space="0"/>
              <w:right w:val="single" w:color="auto" w:sz="12" w:space="0"/>
            </w:tcBorders>
            <w:noWrap w:val="0"/>
            <w:vAlign w:val="top"/>
          </w:tcPr>
          <w:p w14:paraId="0C53D501">
            <w:pPr>
              <w:spacing w:line="360" w:lineRule="auto"/>
              <w:ind w:left="69"/>
              <w:rPr>
                <w:rFonts w:hint="eastAsia" w:ascii="宋体" w:hAnsi="宋体" w:eastAsia="宋体" w:cs="宋体"/>
                <w:color w:val="auto"/>
                <w:sz w:val="24"/>
                <w:szCs w:val="24"/>
                <w:highlight w:val="none"/>
              </w:rPr>
            </w:pPr>
          </w:p>
        </w:tc>
      </w:tr>
      <w:tr w14:paraId="27A06C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29" w:type="dxa"/>
            <w:tcBorders>
              <w:top w:val="single" w:color="auto" w:sz="4" w:space="0"/>
              <w:left w:val="single" w:color="auto" w:sz="12" w:space="0"/>
              <w:bottom w:val="single" w:color="auto" w:sz="4" w:space="0"/>
              <w:right w:val="single" w:color="auto" w:sz="4" w:space="0"/>
            </w:tcBorders>
            <w:noWrap w:val="0"/>
            <w:vAlign w:val="top"/>
          </w:tcPr>
          <w:p w14:paraId="2033B58A">
            <w:pPr>
              <w:spacing w:line="360" w:lineRule="auto"/>
              <w:ind w:left="69"/>
              <w:rPr>
                <w:rFonts w:hint="eastAsia" w:ascii="宋体" w:hAnsi="宋体" w:eastAsia="宋体" w:cs="宋体"/>
                <w:color w:val="auto"/>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top"/>
          </w:tcPr>
          <w:p w14:paraId="4B1149F0">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1B43D834">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3960348">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25B3CE5E">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2454D929">
            <w:pPr>
              <w:spacing w:line="360" w:lineRule="auto"/>
              <w:ind w:left="69"/>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0231FDCB">
            <w:pPr>
              <w:spacing w:line="360" w:lineRule="auto"/>
              <w:ind w:left="69"/>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55A32120">
            <w:pPr>
              <w:spacing w:line="360" w:lineRule="auto"/>
              <w:ind w:left="69"/>
              <w:rPr>
                <w:rFonts w:hint="eastAsia" w:ascii="宋体" w:hAnsi="宋体" w:eastAsia="宋体" w:cs="宋体"/>
                <w:color w:val="auto"/>
                <w:sz w:val="24"/>
                <w:szCs w:val="24"/>
                <w:highlight w:val="none"/>
              </w:rPr>
            </w:pPr>
          </w:p>
        </w:tc>
        <w:tc>
          <w:tcPr>
            <w:tcW w:w="995" w:type="dxa"/>
            <w:tcBorders>
              <w:top w:val="single" w:color="auto" w:sz="4" w:space="0"/>
              <w:left w:val="single" w:color="auto" w:sz="4" w:space="0"/>
              <w:bottom w:val="single" w:color="auto" w:sz="4" w:space="0"/>
              <w:right w:val="single" w:color="auto" w:sz="4" w:space="0"/>
            </w:tcBorders>
            <w:noWrap w:val="0"/>
            <w:vAlign w:val="top"/>
          </w:tcPr>
          <w:p w14:paraId="0CF99D95">
            <w:pPr>
              <w:spacing w:line="360" w:lineRule="auto"/>
              <w:ind w:left="69"/>
              <w:rPr>
                <w:rFonts w:hint="eastAsia" w:ascii="宋体" w:hAnsi="宋体" w:eastAsia="宋体" w:cs="宋体"/>
                <w:color w:val="auto"/>
                <w:sz w:val="24"/>
                <w:szCs w:val="24"/>
                <w:highlight w:val="none"/>
              </w:rPr>
            </w:pPr>
          </w:p>
        </w:tc>
        <w:tc>
          <w:tcPr>
            <w:tcW w:w="2772" w:type="dxa"/>
            <w:tcBorders>
              <w:top w:val="single" w:color="auto" w:sz="4" w:space="0"/>
              <w:left w:val="single" w:color="auto" w:sz="4" w:space="0"/>
              <w:bottom w:val="single" w:color="auto" w:sz="4" w:space="0"/>
              <w:right w:val="single" w:color="auto" w:sz="12" w:space="0"/>
            </w:tcBorders>
            <w:noWrap w:val="0"/>
            <w:vAlign w:val="top"/>
          </w:tcPr>
          <w:p w14:paraId="64B6F3F4">
            <w:pPr>
              <w:spacing w:line="360" w:lineRule="auto"/>
              <w:ind w:left="69"/>
              <w:rPr>
                <w:rFonts w:hint="eastAsia" w:ascii="宋体" w:hAnsi="宋体" w:eastAsia="宋体" w:cs="宋体"/>
                <w:color w:val="auto"/>
                <w:sz w:val="24"/>
                <w:szCs w:val="24"/>
                <w:highlight w:val="none"/>
              </w:rPr>
            </w:pPr>
          </w:p>
        </w:tc>
      </w:tr>
      <w:tr w14:paraId="69F9C2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29" w:type="dxa"/>
            <w:tcBorders>
              <w:top w:val="single" w:color="auto" w:sz="4" w:space="0"/>
              <w:left w:val="single" w:color="auto" w:sz="12" w:space="0"/>
              <w:bottom w:val="single" w:color="auto" w:sz="12" w:space="0"/>
              <w:right w:val="single" w:color="auto" w:sz="4" w:space="0"/>
            </w:tcBorders>
            <w:noWrap w:val="0"/>
            <w:vAlign w:val="top"/>
          </w:tcPr>
          <w:p w14:paraId="46A93E63">
            <w:pPr>
              <w:spacing w:line="360" w:lineRule="auto"/>
              <w:ind w:left="69"/>
              <w:rPr>
                <w:rFonts w:hint="eastAsia" w:ascii="宋体" w:hAnsi="宋体" w:eastAsia="宋体" w:cs="宋体"/>
                <w:color w:val="auto"/>
                <w:sz w:val="24"/>
                <w:szCs w:val="24"/>
                <w:highlight w:val="none"/>
              </w:rPr>
            </w:pPr>
          </w:p>
        </w:tc>
        <w:tc>
          <w:tcPr>
            <w:tcW w:w="1051" w:type="dxa"/>
            <w:tcBorders>
              <w:top w:val="single" w:color="auto" w:sz="4" w:space="0"/>
              <w:left w:val="single" w:color="auto" w:sz="4" w:space="0"/>
              <w:bottom w:val="single" w:color="auto" w:sz="12" w:space="0"/>
              <w:right w:val="single" w:color="auto" w:sz="4" w:space="0"/>
            </w:tcBorders>
            <w:noWrap w:val="0"/>
            <w:vAlign w:val="top"/>
          </w:tcPr>
          <w:p w14:paraId="4ABFA655">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12" w:space="0"/>
              <w:right w:val="single" w:color="auto" w:sz="4" w:space="0"/>
            </w:tcBorders>
            <w:noWrap w:val="0"/>
            <w:vAlign w:val="top"/>
          </w:tcPr>
          <w:p w14:paraId="5036C855">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12" w:space="0"/>
              <w:right w:val="single" w:color="auto" w:sz="4" w:space="0"/>
            </w:tcBorders>
            <w:noWrap w:val="0"/>
            <w:vAlign w:val="top"/>
          </w:tcPr>
          <w:p w14:paraId="0F2BD509">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12" w:space="0"/>
              <w:right w:val="single" w:color="auto" w:sz="4" w:space="0"/>
            </w:tcBorders>
            <w:noWrap w:val="0"/>
            <w:vAlign w:val="top"/>
          </w:tcPr>
          <w:p w14:paraId="4EF9A262">
            <w:pPr>
              <w:spacing w:line="360" w:lineRule="auto"/>
              <w:ind w:left="69"/>
              <w:rPr>
                <w:rFonts w:hint="eastAsia" w:ascii="宋体" w:hAnsi="宋体" w:eastAsia="宋体" w:cs="宋体"/>
                <w:color w:val="auto"/>
                <w:sz w:val="24"/>
                <w:szCs w:val="24"/>
                <w:highlight w:val="none"/>
              </w:rPr>
            </w:pPr>
          </w:p>
        </w:tc>
        <w:tc>
          <w:tcPr>
            <w:tcW w:w="851" w:type="dxa"/>
            <w:tcBorders>
              <w:top w:val="single" w:color="auto" w:sz="4" w:space="0"/>
              <w:left w:val="single" w:color="auto" w:sz="4" w:space="0"/>
              <w:bottom w:val="single" w:color="auto" w:sz="12" w:space="0"/>
              <w:right w:val="single" w:color="auto" w:sz="4" w:space="0"/>
            </w:tcBorders>
            <w:noWrap w:val="0"/>
            <w:vAlign w:val="top"/>
          </w:tcPr>
          <w:p w14:paraId="7257154F">
            <w:pPr>
              <w:spacing w:line="360" w:lineRule="auto"/>
              <w:ind w:left="69"/>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12" w:space="0"/>
              <w:right w:val="single" w:color="auto" w:sz="4" w:space="0"/>
            </w:tcBorders>
            <w:noWrap w:val="0"/>
            <w:vAlign w:val="top"/>
          </w:tcPr>
          <w:p w14:paraId="35A8A347">
            <w:pPr>
              <w:spacing w:line="360" w:lineRule="auto"/>
              <w:ind w:left="69"/>
              <w:rPr>
                <w:rFonts w:hint="eastAsia" w:ascii="宋体" w:hAnsi="宋体" w:eastAsia="宋体" w:cs="宋体"/>
                <w:color w:val="auto"/>
                <w:sz w:val="24"/>
                <w:szCs w:val="24"/>
                <w:highlight w:val="none"/>
              </w:rPr>
            </w:pPr>
          </w:p>
        </w:tc>
        <w:tc>
          <w:tcPr>
            <w:tcW w:w="948" w:type="dxa"/>
            <w:tcBorders>
              <w:top w:val="single" w:color="auto" w:sz="4" w:space="0"/>
              <w:left w:val="single" w:color="auto" w:sz="4" w:space="0"/>
              <w:bottom w:val="single" w:color="auto" w:sz="12" w:space="0"/>
              <w:right w:val="single" w:color="auto" w:sz="4" w:space="0"/>
            </w:tcBorders>
            <w:noWrap w:val="0"/>
            <w:vAlign w:val="top"/>
          </w:tcPr>
          <w:p w14:paraId="66EB40B1">
            <w:pPr>
              <w:spacing w:line="360" w:lineRule="auto"/>
              <w:ind w:left="69"/>
              <w:rPr>
                <w:rFonts w:hint="eastAsia" w:ascii="宋体" w:hAnsi="宋体" w:eastAsia="宋体" w:cs="宋体"/>
                <w:color w:val="auto"/>
                <w:sz w:val="24"/>
                <w:szCs w:val="24"/>
                <w:highlight w:val="none"/>
              </w:rPr>
            </w:pPr>
          </w:p>
        </w:tc>
        <w:tc>
          <w:tcPr>
            <w:tcW w:w="995" w:type="dxa"/>
            <w:tcBorders>
              <w:top w:val="single" w:color="auto" w:sz="4" w:space="0"/>
              <w:left w:val="single" w:color="auto" w:sz="4" w:space="0"/>
              <w:bottom w:val="single" w:color="auto" w:sz="12" w:space="0"/>
              <w:right w:val="single" w:color="auto" w:sz="4" w:space="0"/>
            </w:tcBorders>
            <w:noWrap w:val="0"/>
            <w:vAlign w:val="top"/>
          </w:tcPr>
          <w:p w14:paraId="7E68368B">
            <w:pPr>
              <w:spacing w:line="360" w:lineRule="auto"/>
              <w:ind w:left="69"/>
              <w:rPr>
                <w:rFonts w:hint="eastAsia" w:ascii="宋体" w:hAnsi="宋体" w:eastAsia="宋体" w:cs="宋体"/>
                <w:color w:val="auto"/>
                <w:sz w:val="24"/>
                <w:szCs w:val="24"/>
                <w:highlight w:val="none"/>
              </w:rPr>
            </w:pPr>
          </w:p>
        </w:tc>
        <w:tc>
          <w:tcPr>
            <w:tcW w:w="2772" w:type="dxa"/>
            <w:tcBorders>
              <w:top w:val="single" w:color="auto" w:sz="4" w:space="0"/>
              <w:left w:val="single" w:color="auto" w:sz="4" w:space="0"/>
              <w:bottom w:val="single" w:color="auto" w:sz="12" w:space="0"/>
              <w:right w:val="single" w:color="auto" w:sz="12" w:space="0"/>
            </w:tcBorders>
            <w:noWrap w:val="0"/>
            <w:vAlign w:val="top"/>
          </w:tcPr>
          <w:p w14:paraId="7CCB9D08">
            <w:pPr>
              <w:spacing w:line="360" w:lineRule="auto"/>
              <w:ind w:left="69"/>
              <w:rPr>
                <w:rFonts w:hint="eastAsia" w:ascii="宋体" w:hAnsi="宋体" w:eastAsia="宋体" w:cs="宋体"/>
                <w:color w:val="auto"/>
                <w:sz w:val="24"/>
                <w:szCs w:val="24"/>
                <w:highlight w:val="none"/>
              </w:rPr>
            </w:pPr>
          </w:p>
        </w:tc>
      </w:tr>
    </w:tbl>
    <w:p w14:paraId="45994FC3">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8F50BF8">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61CA0869">
      <w:pPr>
        <w:spacing w:line="360" w:lineRule="auto"/>
        <w:ind w:right="-122" w:rightChars="-58"/>
        <w:rPr>
          <w:rFonts w:hint="eastAsia" w:ascii="宋体" w:hAnsi="宋体" w:eastAsia="宋体" w:cs="宋体"/>
          <w:color w:val="auto"/>
          <w:sz w:val="24"/>
          <w:szCs w:val="24"/>
          <w:highlight w:val="none"/>
        </w:rPr>
        <w:sectPr>
          <w:footerReference r:id="rId15" w:type="default"/>
          <w:pgSz w:w="16838" w:h="11906" w:orient="landscape"/>
          <w:pgMar w:top="1797" w:right="1440" w:bottom="1797" w:left="1440" w:header="851" w:footer="992" w:gutter="0"/>
          <w:cols w:space="720" w:num="1"/>
          <w:docGrid w:linePitch="312" w:charSpace="0"/>
        </w:sectPr>
      </w:pPr>
    </w:p>
    <w:p w14:paraId="637EC7B4">
      <w:pPr>
        <w:jc w:val="center"/>
        <w:outlineLvl w:val="9"/>
        <w:rPr>
          <w:rFonts w:hint="eastAsia" w:ascii="宋体" w:hAnsi="宋体" w:eastAsia="宋体" w:cs="宋体"/>
          <w:b/>
          <w:bCs/>
          <w:color w:val="auto"/>
          <w:sz w:val="24"/>
          <w:szCs w:val="24"/>
          <w:highlight w:val="none"/>
        </w:rPr>
      </w:pPr>
      <w:bookmarkStart w:id="175" w:name="_Toc19190"/>
      <w:r>
        <w:rPr>
          <w:rFonts w:hint="eastAsia" w:ascii="宋体" w:hAnsi="宋体" w:eastAsia="宋体" w:cs="宋体"/>
          <w:b/>
          <w:bCs/>
          <w:color w:val="auto"/>
          <w:sz w:val="32"/>
          <w:szCs w:val="32"/>
          <w:highlight w:val="none"/>
        </w:rPr>
        <w:t>服务人员履历表</w:t>
      </w:r>
      <w:bookmarkEnd w:id="175"/>
    </w:p>
    <w:tbl>
      <w:tblPr>
        <w:tblStyle w:val="1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1582"/>
        <w:gridCol w:w="131"/>
        <w:gridCol w:w="1474"/>
        <w:gridCol w:w="1231"/>
        <w:gridCol w:w="361"/>
        <w:gridCol w:w="898"/>
        <w:gridCol w:w="10"/>
        <w:gridCol w:w="907"/>
      </w:tblGrid>
      <w:tr w14:paraId="6F8736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12" w:space="0"/>
              <w:left w:val="single" w:color="auto" w:sz="12" w:space="0"/>
              <w:bottom w:val="single" w:color="auto" w:sz="4" w:space="0"/>
              <w:right w:val="single" w:color="auto" w:sz="4" w:space="0"/>
            </w:tcBorders>
            <w:noWrap w:val="0"/>
            <w:vAlign w:val="center"/>
          </w:tcPr>
          <w:p w14:paraId="024A0143">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713" w:type="dxa"/>
            <w:gridSpan w:val="2"/>
            <w:tcBorders>
              <w:top w:val="single" w:color="auto" w:sz="12" w:space="0"/>
              <w:left w:val="single" w:color="auto" w:sz="4" w:space="0"/>
              <w:bottom w:val="single" w:color="auto" w:sz="4" w:space="0"/>
              <w:right w:val="single" w:color="auto" w:sz="4" w:space="0"/>
            </w:tcBorders>
            <w:noWrap w:val="0"/>
            <w:vAlign w:val="center"/>
          </w:tcPr>
          <w:p w14:paraId="6D0A5224">
            <w:pPr>
              <w:spacing w:line="360" w:lineRule="auto"/>
              <w:ind w:left="69"/>
              <w:rPr>
                <w:rFonts w:hint="eastAsia" w:ascii="宋体" w:hAnsi="宋体" w:eastAsia="宋体" w:cs="宋体"/>
                <w:color w:val="auto"/>
                <w:sz w:val="24"/>
                <w:szCs w:val="24"/>
                <w:highlight w:val="none"/>
              </w:rPr>
            </w:pPr>
          </w:p>
        </w:tc>
        <w:tc>
          <w:tcPr>
            <w:tcW w:w="1474" w:type="dxa"/>
            <w:tcBorders>
              <w:top w:val="single" w:color="auto" w:sz="12" w:space="0"/>
              <w:left w:val="single" w:color="auto" w:sz="4" w:space="0"/>
              <w:bottom w:val="single" w:color="auto" w:sz="4" w:space="0"/>
              <w:right w:val="single" w:color="auto" w:sz="4" w:space="0"/>
            </w:tcBorders>
            <w:noWrap w:val="0"/>
            <w:vAlign w:val="center"/>
          </w:tcPr>
          <w:p w14:paraId="10778843">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出生年月</w:t>
            </w:r>
          </w:p>
        </w:tc>
        <w:tc>
          <w:tcPr>
            <w:tcW w:w="1592" w:type="dxa"/>
            <w:gridSpan w:val="2"/>
            <w:tcBorders>
              <w:top w:val="single" w:color="auto" w:sz="12" w:space="0"/>
              <w:left w:val="single" w:color="auto" w:sz="4" w:space="0"/>
              <w:bottom w:val="single" w:color="auto" w:sz="4" w:space="0"/>
              <w:right w:val="single" w:color="auto" w:sz="4" w:space="0"/>
            </w:tcBorders>
            <w:noWrap w:val="0"/>
            <w:vAlign w:val="center"/>
          </w:tcPr>
          <w:p w14:paraId="170C39BA">
            <w:pPr>
              <w:spacing w:line="360" w:lineRule="auto"/>
              <w:ind w:left="69"/>
              <w:rPr>
                <w:rFonts w:hint="eastAsia" w:ascii="宋体" w:hAnsi="宋体" w:eastAsia="宋体" w:cs="宋体"/>
                <w:color w:val="auto"/>
                <w:sz w:val="24"/>
                <w:szCs w:val="24"/>
                <w:highlight w:val="none"/>
              </w:rPr>
            </w:pPr>
          </w:p>
        </w:tc>
        <w:tc>
          <w:tcPr>
            <w:tcW w:w="898" w:type="dxa"/>
            <w:tcBorders>
              <w:top w:val="single" w:color="auto" w:sz="12" w:space="0"/>
              <w:left w:val="single" w:color="auto" w:sz="4" w:space="0"/>
              <w:bottom w:val="single" w:color="auto" w:sz="4" w:space="0"/>
              <w:right w:val="single" w:color="auto" w:sz="4" w:space="0"/>
            </w:tcBorders>
            <w:noWrap w:val="0"/>
            <w:vAlign w:val="center"/>
          </w:tcPr>
          <w:p w14:paraId="621FB045">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917" w:type="dxa"/>
            <w:gridSpan w:val="2"/>
            <w:tcBorders>
              <w:top w:val="single" w:color="auto" w:sz="12" w:space="0"/>
              <w:left w:val="single" w:color="auto" w:sz="4" w:space="0"/>
              <w:bottom w:val="single" w:color="auto" w:sz="4" w:space="0"/>
              <w:right w:val="single" w:color="auto" w:sz="12" w:space="0"/>
            </w:tcBorders>
            <w:noWrap w:val="0"/>
            <w:vAlign w:val="center"/>
          </w:tcPr>
          <w:p w14:paraId="47BD92F3">
            <w:pPr>
              <w:spacing w:line="360" w:lineRule="auto"/>
              <w:ind w:left="69"/>
              <w:rPr>
                <w:rFonts w:hint="eastAsia" w:ascii="宋体" w:hAnsi="宋体" w:eastAsia="宋体" w:cs="宋体"/>
                <w:color w:val="auto"/>
                <w:sz w:val="24"/>
                <w:szCs w:val="24"/>
                <w:highlight w:val="none"/>
              </w:rPr>
            </w:pPr>
          </w:p>
        </w:tc>
      </w:tr>
      <w:tr w14:paraId="29941E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14:paraId="44558FE4">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14:paraId="5E70A1BF">
            <w:pPr>
              <w:spacing w:line="360" w:lineRule="auto"/>
              <w:ind w:left="69"/>
              <w:rPr>
                <w:rFonts w:hint="eastAsia" w:ascii="宋体" w:hAnsi="宋体" w:eastAsia="宋体" w:cs="宋体"/>
                <w:color w:val="auto"/>
                <w:sz w:val="24"/>
                <w:szCs w:val="24"/>
                <w:highlight w:val="none"/>
              </w:rPr>
            </w:pPr>
          </w:p>
        </w:tc>
      </w:tr>
      <w:tr w14:paraId="212D54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14:paraId="144B1FB4">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家庭住址</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14:paraId="045E7983">
            <w:pPr>
              <w:spacing w:line="360" w:lineRule="auto"/>
              <w:ind w:left="69"/>
              <w:rPr>
                <w:rFonts w:hint="eastAsia" w:ascii="宋体" w:hAnsi="宋体" w:eastAsia="宋体" w:cs="宋体"/>
                <w:color w:val="auto"/>
                <w:sz w:val="24"/>
                <w:szCs w:val="24"/>
                <w:highlight w:val="none"/>
              </w:rPr>
            </w:pPr>
          </w:p>
        </w:tc>
      </w:tr>
      <w:tr w14:paraId="7AD7B1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14:paraId="514D3D4C">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工作单位</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14:paraId="00C06F48">
            <w:pPr>
              <w:spacing w:line="360" w:lineRule="auto"/>
              <w:ind w:left="69"/>
              <w:rPr>
                <w:rFonts w:hint="eastAsia" w:ascii="宋体" w:hAnsi="宋体" w:eastAsia="宋体" w:cs="宋体"/>
                <w:color w:val="auto"/>
                <w:sz w:val="24"/>
                <w:szCs w:val="24"/>
                <w:highlight w:val="none"/>
              </w:rPr>
            </w:pPr>
          </w:p>
        </w:tc>
      </w:tr>
      <w:tr w14:paraId="59C1AA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14:paraId="74130EF2">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岗位证书</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303D0149">
            <w:pPr>
              <w:spacing w:line="360" w:lineRule="auto"/>
              <w:ind w:left="69"/>
              <w:rPr>
                <w:rFonts w:hint="eastAsia" w:ascii="宋体" w:hAnsi="宋体" w:eastAsia="宋体" w:cs="宋体"/>
                <w:color w:val="auto"/>
                <w:sz w:val="24"/>
                <w:szCs w:val="24"/>
                <w:highlight w:val="none"/>
              </w:rPr>
            </w:pPr>
          </w:p>
        </w:tc>
        <w:tc>
          <w:tcPr>
            <w:tcW w:w="1605" w:type="dxa"/>
            <w:gridSpan w:val="2"/>
            <w:tcBorders>
              <w:top w:val="single" w:color="auto" w:sz="4" w:space="0"/>
              <w:left w:val="single" w:color="auto" w:sz="4" w:space="0"/>
              <w:bottom w:val="single" w:color="auto" w:sz="4" w:space="0"/>
              <w:right w:val="single" w:color="auto" w:sz="4" w:space="0"/>
            </w:tcBorders>
            <w:noWrap w:val="0"/>
            <w:vAlign w:val="center"/>
          </w:tcPr>
          <w:p w14:paraId="4155E453">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文化程度</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42EA6C1B">
            <w:pPr>
              <w:spacing w:line="360" w:lineRule="auto"/>
              <w:ind w:left="69"/>
              <w:rPr>
                <w:rFonts w:hint="eastAsia" w:ascii="宋体" w:hAnsi="宋体" w:eastAsia="宋体" w:cs="宋体"/>
                <w:color w:val="auto"/>
                <w:sz w:val="24"/>
                <w:szCs w:val="24"/>
                <w:highlight w:val="none"/>
              </w:rPr>
            </w:pPr>
          </w:p>
        </w:tc>
        <w:tc>
          <w:tcPr>
            <w:tcW w:w="1269" w:type="dxa"/>
            <w:gridSpan w:val="3"/>
            <w:tcBorders>
              <w:top w:val="single" w:color="auto" w:sz="4" w:space="0"/>
              <w:left w:val="single" w:color="auto" w:sz="4" w:space="0"/>
              <w:bottom w:val="single" w:color="auto" w:sz="4" w:space="0"/>
              <w:right w:val="single" w:color="auto" w:sz="4" w:space="0"/>
            </w:tcBorders>
            <w:noWrap w:val="0"/>
            <w:vAlign w:val="center"/>
          </w:tcPr>
          <w:p w14:paraId="0B7D756D">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907" w:type="dxa"/>
            <w:tcBorders>
              <w:top w:val="single" w:color="auto" w:sz="4" w:space="0"/>
              <w:left w:val="single" w:color="auto" w:sz="4" w:space="0"/>
              <w:bottom w:val="single" w:color="auto" w:sz="4" w:space="0"/>
              <w:right w:val="single" w:color="auto" w:sz="12" w:space="0"/>
            </w:tcBorders>
            <w:noWrap w:val="0"/>
            <w:vAlign w:val="center"/>
          </w:tcPr>
          <w:p w14:paraId="1E2824FE">
            <w:pPr>
              <w:spacing w:line="360" w:lineRule="auto"/>
              <w:ind w:left="69"/>
              <w:rPr>
                <w:rFonts w:hint="eastAsia" w:ascii="宋体" w:hAnsi="宋体" w:eastAsia="宋体" w:cs="宋体"/>
                <w:color w:val="auto"/>
                <w:sz w:val="24"/>
                <w:szCs w:val="24"/>
                <w:highlight w:val="none"/>
              </w:rPr>
            </w:pPr>
          </w:p>
        </w:tc>
      </w:tr>
      <w:tr w14:paraId="58CB49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928" w:type="dxa"/>
            <w:tcBorders>
              <w:top w:val="single" w:color="auto" w:sz="4" w:space="0"/>
              <w:left w:val="single" w:color="auto" w:sz="12" w:space="0"/>
              <w:bottom w:val="single" w:color="auto" w:sz="4" w:space="0"/>
              <w:right w:val="single" w:color="auto" w:sz="4" w:space="0"/>
            </w:tcBorders>
            <w:noWrap w:val="0"/>
            <w:vAlign w:val="center"/>
          </w:tcPr>
          <w:p w14:paraId="51D29B64">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1F1F7482">
            <w:pPr>
              <w:spacing w:line="360" w:lineRule="auto"/>
              <w:ind w:left="69"/>
              <w:rPr>
                <w:rFonts w:hint="eastAsia" w:ascii="宋体" w:hAnsi="宋体" w:eastAsia="宋体" w:cs="宋体"/>
                <w:color w:val="auto"/>
                <w:sz w:val="24"/>
                <w:szCs w:val="24"/>
                <w:highlight w:val="none"/>
              </w:rPr>
            </w:pPr>
          </w:p>
        </w:tc>
        <w:tc>
          <w:tcPr>
            <w:tcW w:w="1605" w:type="dxa"/>
            <w:gridSpan w:val="2"/>
            <w:tcBorders>
              <w:top w:val="single" w:color="auto" w:sz="4" w:space="0"/>
              <w:left w:val="single" w:color="auto" w:sz="4" w:space="0"/>
              <w:bottom w:val="single" w:color="auto" w:sz="4" w:space="0"/>
              <w:right w:val="single" w:color="auto" w:sz="4" w:space="0"/>
            </w:tcBorders>
            <w:noWrap w:val="0"/>
            <w:vAlign w:val="center"/>
          </w:tcPr>
          <w:p w14:paraId="0D064073">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68CEFBEE">
            <w:pPr>
              <w:spacing w:line="360" w:lineRule="auto"/>
              <w:ind w:left="69"/>
              <w:rPr>
                <w:rFonts w:hint="eastAsia" w:ascii="宋体" w:hAnsi="宋体" w:eastAsia="宋体" w:cs="宋体"/>
                <w:color w:val="auto"/>
                <w:sz w:val="24"/>
                <w:szCs w:val="24"/>
                <w:highlight w:val="none"/>
              </w:rPr>
            </w:pPr>
          </w:p>
        </w:tc>
        <w:tc>
          <w:tcPr>
            <w:tcW w:w="1269" w:type="dxa"/>
            <w:gridSpan w:val="3"/>
            <w:tcBorders>
              <w:top w:val="single" w:color="auto" w:sz="4" w:space="0"/>
              <w:left w:val="single" w:color="auto" w:sz="4" w:space="0"/>
              <w:bottom w:val="single" w:color="auto" w:sz="4" w:space="0"/>
              <w:right w:val="single" w:color="auto" w:sz="12" w:space="0"/>
            </w:tcBorders>
            <w:noWrap w:val="0"/>
            <w:vAlign w:val="center"/>
          </w:tcPr>
          <w:p w14:paraId="7EB2CE06">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工作年限</w:t>
            </w:r>
          </w:p>
        </w:tc>
        <w:tc>
          <w:tcPr>
            <w:tcW w:w="907" w:type="dxa"/>
            <w:tcBorders>
              <w:top w:val="single" w:color="auto" w:sz="4" w:space="0"/>
              <w:left w:val="single" w:color="auto" w:sz="4" w:space="0"/>
              <w:bottom w:val="single" w:color="auto" w:sz="4" w:space="0"/>
              <w:right w:val="single" w:color="auto" w:sz="12" w:space="0"/>
            </w:tcBorders>
            <w:noWrap w:val="0"/>
            <w:vAlign w:val="center"/>
          </w:tcPr>
          <w:p w14:paraId="780952AA">
            <w:pPr>
              <w:spacing w:line="360" w:lineRule="auto"/>
              <w:ind w:left="69"/>
              <w:rPr>
                <w:rFonts w:hint="eastAsia" w:ascii="宋体" w:hAnsi="宋体" w:eastAsia="宋体" w:cs="宋体"/>
                <w:color w:val="auto"/>
                <w:sz w:val="24"/>
                <w:szCs w:val="24"/>
                <w:highlight w:val="none"/>
              </w:rPr>
            </w:pPr>
          </w:p>
        </w:tc>
      </w:tr>
      <w:tr w14:paraId="70FD5B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8" w:hRule="atLeast"/>
        </w:trPr>
        <w:tc>
          <w:tcPr>
            <w:tcW w:w="1928" w:type="dxa"/>
            <w:tcBorders>
              <w:top w:val="single" w:color="auto" w:sz="4" w:space="0"/>
              <w:left w:val="single" w:color="auto" w:sz="12" w:space="0"/>
              <w:bottom w:val="single" w:color="auto" w:sz="4" w:space="0"/>
              <w:right w:val="single" w:color="auto" w:sz="4" w:space="0"/>
            </w:tcBorders>
            <w:noWrap w:val="0"/>
            <w:vAlign w:val="center"/>
          </w:tcPr>
          <w:p w14:paraId="2222BBD2">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14:paraId="3E29EFBD">
            <w:pPr>
              <w:spacing w:line="360" w:lineRule="auto"/>
              <w:ind w:left="69"/>
              <w:rPr>
                <w:rFonts w:hint="eastAsia" w:ascii="宋体" w:hAnsi="宋体" w:eastAsia="宋体" w:cs="宋体"/>
                <w:color w:val="auto"/>
                <w:sz w:val="24"/>
                <w:szCs w:val="24"/>
                <w:highlight w:val="none"/>
              </w:rPr>
            </w:pPr>
          </w:p>
          <w:p w14:paraId="24F6C53B">
            <w:pPr>
              <w:spacing w:line="360" w:lineRule="auto"/>
              <w:ind w:left="69"/>
              <w:rPr>
                <w:rFonts w:hint="eastAsia" w:ascii="宋体" w:hAnsi="宋体" w:eastAsia="宋体" w:cs="宋体"/>
                <w:color w:val="auto"/>
                <w:sz w:val="24"/>
                <w:szCs w:val="24"/>
                <w:highlight w:val="none"/>
              </w:rPr>
            </w:pPr>
          </w:p>
          <w:p w14:paraId="72089D47">
            <w:pPr>
              <w:spacing w:line="360" w:lineRule="auto"/>
              <w:ind w:left="69"/>
              <w:rPr>
                <w:rFonts w:hint="eastAsia" w:ascii="宋体" w:hAnsi="宋体" w:eastAsia="宋体" w:cs="宋体"/>
                <w:color w:val="auto"/>
                <w:sz w:val="24"/>
                <w:szCs w:val="24"/>
                <w:highlight w:val="none"/>
              </w:rPr>
            </w:pPr>
          </w:p>
          <w:p w14:paraId="4DA6F055">
            <w:pPr>
              <w:spacing w:line="360" w:lineRule="auto"/>
              <w:ind w:left="69"/>
              <w:rPr>
                <w:rFonts w:hint="eastAsia" w:ascii="宋体" w:hAnsi="宋体" w:eastAsia="宋体" w:cs="宋体"/>
                <w:color w:val="auto"/>
                <w:sz w:val="24"/>
                <w:szCs w:val="24"/>
                <w:highlight w:val="none"/>
              </w:rPr>
            </w:pPr>
          </w:p>
          <w:p w14:paraId="657CB66A">
            <w:pPr>
              <w:spacing w:line="360" w:lineRule="auto"/>
              <w:ind w:left="69"/>
              <w:rPr>
                <w:rFonts w:hint="eastAsia" w:ascii="宋体" w:hAnsi="宋体" w:eastAsia="宋体" w:cs="宋体"/>
                <w:color w:val="auto"/>
                <w:sz w:val="24"/>
                <w:szCs w:val="24"/>
                <w:highlight w:val="none"/>
              </w:rPr>
            </w:pPr>
          </w:p>
          <w:p w14:paraId="3330CEBB">
            <w:pPr>
              <w:spacing w:line="360" w:lineRule="auto"/>
              <w:ind w:left="69"/>
              <w:rPr>
                <w:rFonts w:hint="eastAsia" w:ascii="宋体" w:hAnsi="宋体" w:eastAsia="宋体" w:cs="宋体"/>
                <w:color w:val="auto"/>
                <w:sz w:val="24"/>
                <w:szCs w:val="24"/>
                <w:highlight w:val="none"/>
              </w:rPr>
            </w:pPr>
          </w:p>
          <w:p w14:paraId="001D28B2">
            <w:pPr>
              <w:spacing w:line="360" w:lineRule="auto"/>
              <w:ind w:left="69"/>
              <w:rPr>
                <w:rFonts w:hint="eastAsia" w:ascii="宋体" w:hAnsi="宋体" w:eastAsia="宋体" w:cs="宋体"/>
                <w:color w:val="auto"/>
                <w:sz w:val="24"/>
                <w:szCs w:val="24"/>
                <w:highlight w:val="none"/>
              </w:rPr>
            </w:pPr>
          </w:p>
          <w:p w14:paraId="662127E6">
            <w:pPr>
              <w:spacing w:line="360" w:lineRule="auto"/>
              <w:ind w:left="69"/>
              <w:rPr>
                <w:rFonts w:hint="eastAsia" w:ascii="宋体" w:hAnsi="宋体" w:eastAsia="宋体" w:cs="宋体"/>
                <w:color w:val="auto"/>
                <w:sz w:val="24"/>
                <w:szCs w:val="24"/>
                <w:highlight w:val="none"/>
              </w:rPr>
            </w:pPr>
          </w:p>
          <w:p w14:paraId="268F6967">
            <w:pPr>
              <w:spacing w:line="360" w:lineRule="auto"/>
              <w:ind w:left="69"/>
              <w:rPr>
                <w:rFonts w:hint="eastAsia" w:ascii="宋体" w:hAnsi="宋体" w:eastAsia="宋体" w:cs="宋体"/>
                <w:color w:val="auto"/>
                <w:sz w:val="24"/>
                <w:szCs w:val="24"/>
                <w:highlight w:val="none"/>
              </w:rPr>
            </w:pPr>
          </w:p>
          <w:p w14:paraId="0CC27496">
            <w:pPr>
              <w:spacing w:line="360" w:lineRule="auto"/>
              <w:ind w:left="69"/>
              <w:rPr>
                <w:rFonts w:hint="eastAsia" w:ascii="宋体" w:hAnsi="宋体" w:eastAsia="宋体" w:cs="宋体"/>
                <w:color w:val="auto"/>
                <w:sz w:val="24"/>
                <w:szCs w:val="24"/>
                <w:highlight w:val="none"/>
              </w:rPr>
            </w:pPr>
          </w:p>
          <w:p w14:paraId="782F5C26">
            <w:pPr>
              <w:spacing w:line="360" w:lineRule="auto"/>
              <w:ind w:left="69"/>
              <w:rPr>
                <w:rFonts w:hint="eastAsia" w:ascii="宋体" w:hAnsi="宋体" w:eastAsia="宋体" w:cs="宋体"/>
                <w:color w:val="auto"/>
                <w:sz w:val="24"/>
                <w:szCs w:val="24"/>
                <w:highlight w:val="none"/>
              </w:rPr>
            </w:pPr>
          </w:p>
          <w:p w14:paraId="4E20623C">
            <w:pPr>
              <w:spacing w:line="360" w:lineRule="auto"/>
              <w:ind w:left="69"/>
              <w:rPr>
                <w:rFonts w:hint="eastAsia" w:ascii="宋体" w:hAnsi="宋体" w:eastAsia="宋体" w:cs="宋体"/>
                <w:color w:val="auto"/>
                <w:sz w:val="24"/>
                <w:szCs w:val="24"/>
                <w:highlight w:val="none"/>
              </w:rPr>
            </w:pPr>
          </w:p>
        </w:tc>
      </w:tr>
      <w:tr w14:paraId="30E421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12" w:space="0"/>
              <w:right w:val="single" w:color="auto" w:sz="4" w:space="0"/>
            </w:tcBorders>
            <w:noWrap w:val="0"/>
            <w:vAlign w:val="center"/>
          </w:tcPr>
          <w:p w14:paraId="3952674F">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594" w:type="dxa"/>
            <w:gridSpan w:val="8"/>
            <w:tcBorders>
              <w:top w:val="single" w:color="auto" w:sz="4" w:space="0"/>
              <w:left w:val="single" w:color="auto" w:sz="4" w:space="0"/>
              <w:bottom w:val="single" w:color="auto" w:sz="12" w:space="0"/>
              <w:right w:val="single" w:color="auto" w:sz="12" w:space="0"/>
            </w:tcBorders>
            <w:noWrap w:val="0"/>
            <w:vAlign w:val="center"/>
          </w:tcPr>
          <w:p w14:paraId="29E5E822">
            <w:pPr>
              <w:spacing w:line="360" w:lineRule="auto"/>
              <w:ind w:left="69"/>
              <w:rPr>
                <w:rFonts w:hint="eastAsia" w:ascii="宋体" w:hAnsi="宋体" w:eastAsia="宋体" w:cs="宋体"/>
                <w:color w:val="auto"/>
                <w:sz w:val="24"/>
                <w:szCs w:val="24"/>
                <w:highlight w:val="none"/>
              </w:rPr>
            </w:pPr>
          </w:p>
          <w:p w14:paraId="330EBBED">
            <w:pPr>
              <w:spacing w:line="360" w:lineRule="auto"/>
              <w:ind w:left="69"/>
              <w:rPr>
                <w:rFonts w:hint="eastAsia" w:ascii="宋体" w:hAnsi="宋体" w:eastAsia="宋体" w:cs="宋体"/>
                <w:color w:val="auto"/>
                <w:sz w:val="24"/>
                <w:szCs w:val="24"/>
                <w:highlight w:val="none"/>
              </w:rPr>
            </w:pPr>
          </w:p>
          <w:p w14:paraId="68360A5B">
            <w:pPr>
              <w:spacing w:line="360" w:lineRule="auto"/>
              <w:ind w:left="69"/>
              <w:rPr>
                <w:rFonts w:hint="eastAsia" w:ascii="宋体" w:hAnsi="宋体" w:eastAsia="宋体" w:cs="宋体"/>
                <w:color w:val="auto"/>
                <w:sz w:val="24"/>
                <w:szCs w:val="24"/>
                <w:highlight w:val="none"/>
              </w:rPr>
            </w:pPr>
          </w:p>
        </w:tc>
      </w:tr>
    </w:tbl>
    <w:p w14:paraId="1720B932">
      <w:pPr>
        <w:outlineLvl w:val="9"/>
        <w:rPr>
          <w:rFonts w:hint="eastAsia" w:ascii="宋体" w:hAnsi="宋体" w:eastAsia="宋体" w:cs="宋体"/>
          <w:b w:val="0"/>
          <w:bCs w:val="0"/>
          <w:color w:val="auto"/>
          <w:sz w:val="24"/>
          <w:szCs w:val="24"/>
          <w:highlight w:val="none"/>
        </w:rPr>
      </w:pPr>
      <w:bookmarkStart w:id="176" w:name="_Toc14636"/>
      <w:r>
        <w:rPr>
          <w:rFonts w:hint="eastAsia" w:ascii="宋体" w:hAnsi="宋体" w:eastAsia="宋体" w:cs="宋体"/>
          <w:b w:val="0"/>
          <w:bCs w:val="0"/>
          <w:color w:val="auto"/>
          <w:sz w:val="24"/>
          <w:szCs w:val="24"/>
          <w:highlight w:val="none"/>
        </w:rPr>
        <w:t>注：拟派各专业人员应分别填写本表。人员没有填写本表的，视为缺此职位（岗位）</w:t>
      </w:r>
      <w:bookmarkEnd w:id="176"/>
    </w:p>
    <w:p w14:paraId="729C1090">
      <w:pPr>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 xml:space="preserve">                      </w:t>
      </w:r>
      <w:bookmarkStart w:id="177" w:name="_Toc25816"/>
      <w:r>
        <w:rPr>
          <w:rFonts w:hint="eastAsia" w:ascii="宋体" w:hAnsi="宋体" w:eastAsia="宋体" w:cs="宋体"/>
          <w:b w:val="0"/>
          <w:bCs w:val="0"/>
          <w:color w:val="auto"/>
          <w:sz w:val="24"/>
          <w:szCs w:val="24"/>
          <w:highlight w:val="none"/>
        </w:rPr>
        <w:t>报价人代表：</w:t>
      </w:r>
      <w:bookmarkEnd w:id="177"/>
      <w:r>
        <w:rPr>
          <w:rFonts w:hint="eastAsia" w:ascii="宋体" w:hAnsi="宋体" w:eastAsia="宋体" w:cs="宋体"/>
          <w:b w:val="0"/>
          <w:bCs w:val="0"/>
          <w:color w:val="auto"/>
          <w:sz w:val="24"/>
          <w:szCs w:val="24"/>
          <w:highlight w:val="none"/>
          <w:u w:val="single"/>
        </w:rPr>
        <w:t xml:space="preserve">              </w:t>
      </w:r>
    </w:p>
    <w:p w14:paraId="3519ECF2">
      <w:pPr>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178" w:name="_Toc27420"/>
      <w:r>
        <w:rPr>
          <w:rFonts w:hint="eastAsia" w:ascii="宋体" w:hAnsi="宋体" w:eastAsia="宋体" w:cs="宋体"/>
          <w:b w:val="0"/>
          <w:color w:val="auto"/>
          <w:sz w:val="24"/>
          <w:szCs w:val="24"/>
          <w:highlight w:val="none"/>
        </w:rPr>
        <w:t>日期：</w:t>
      </w:r>
      <w:bookmarkEnd w:id="178"/>
      <w:r>
        <w:rPr>
          <w:rFonts w:hint="eastAsia" w:ascii="宋体" w:hAnsi="宋体" w:eastAsia="宋体" w:cs="宋体"/>
          <w:b w:val="0"/>
          <w:bCs w:val="0"/>
          <w:color w:val="auto"/>
          <w:sz w:val="24"/>
          <w:szCs w:val="24"/>
          <w:highlight w:val="none"/>
          <w:u w:val="single"/>
        </w:rPr>
        <w:t xml:space="preserve">             </w:t>
      </w:r>
    </w:p>
    <w:p w14:paraId="08D2D12C">
      <w:pPr>
        <w:spacing w:line="360" w:lineRule="auto"/>
        <w:jc w:val="center"/>
        <w:rPr>
          <w:rFonts w:hint="eastAsia" w:ascii="宋体" w:hAnsi="宋体" w:eastAsia="宋体" w:cs="宋体"/>
          <w:color w:val="auto"/>
          <w:sz w:val="24"/>
          <w:szCs w:val="24"/>
          <w:highlight w:val="none"/>
        </w:rPr>
      </w:pPr>
    </w:p>
    <w:p w14:paraId="1786A911">
      <w:pPr>
        <w:spacing w:line="360" w:lineRule="auto"/>
        <w:jc w:val="center"/>
        <w:rPr>
          <w:rFonts w:hint="eastAsia" w:ascii="宋体" w:hAnsi="宋体" w:eastAsia="宋体" w:cs="宋体"/>
          <w:bCs/>
          <w:color w:val="auto"/>
          <w:sz w:val="24"/>
          <w:szCs w:val="24"/>
          <w:highlight w:val="none"/>
        </w:rPr>
      </w:pPr>
    </w:p>
    <w:p w14:paraId="2F195EA8">
      <w:pPr>
        <w:spacing w:line="360" w:lineRule="auto"/>
        <w:jc w:val="center"/>
        <w:rPr>
          <w:rFonts w:hint="eastAsia" w:ascii="宋体" w:hAnsi="宋体" w:eastAsia="宋体" w:cs="宋体"/>
          <w:bCs/>
          <w:color w:val="auto"/>
          <w:sz w:val="24"/>
          <w:szCs w:val="24"/>
          <w:highlight w:val="none"/>
        </w:rPr>
      </w:pPr>
    </w:p>
    <w:p w14:paraId="521BE22E">
      <w:pPr>
        <w:spacing w:line="360" w:lineRule="auto"/>
        <w:jc w:val="center"/>
        <w:rPr>
          <w:rFonts w:hint="eastAsia" w:ascii="宋体" w:hAnsi="宋体" w:eastAsia="宋体" w:cs="宋体"/>
          <w:bCs/>
          <w:color w:val="auto"/>
          <w:sz w:val="24"/>
          <w:szCs w:val="24"/>
          <w:highlight w:val="none"/>
        </w:rPr>
      </w:pPr>
    </w:p>
    <w:p w14:paraId="1223D8CF">
      <w:pPr>
        <w:outlineLvl w:val="9"/>
        <w:rPr>
          <w:rFonts w:hint="eastAsia" w:ascii="宋体" w:hAnsi="宋体" w:eastAsia="宋体" w:cs="宋体"/>
          <w:b w:val="0"/>
          <w:bCs w:val="0"/>
          <w:color w:val="auto"/>
          <w:sz w:val="32"/>
          <w:szCs w:val="32"/>
          <w:highlight w:val="none"/>
        </w:rPr>
      </w:pPr>
      <w:bookmarkStart w:id="179" w:name="_Toc14312"/>
    </w:p>
    <w:p w14:paraId="4E349735">
      <w:pPr>
        <w:jc w:val="center"/>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服务承诺质量承诺书</w:t>
      </w:r>
      <w:bookmarkEnd w:id="179"/>
    </w:p>
    <w:tbl>
      <w:tblPr>
        <w:tblStyle w:val="1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127"/>
        <w:gridCol w:w="2707"/>
        <w:gridCol w:w="1563"/>
        <w:gridCol w:w="2211"/>
      </w:tblGrid>
      <w:tr w14:paraId="595D85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12" w:space="0"/>
              <w:left w:val="single" w:color="auto" w:sz="12" w:space="0"/>
              <w:bottom w:val="single" w:color="auto" w:sz="4" w:space="0"/>
              <w:right w:val="single" w:color="auto" w:sz="4" w:space="0"/>
            </w:tcBorders>
            <w:noWrap w:val="0"/>
            <w:vAlign w:val="center"/>
          </w:tcPr>
          <w:p w14:paraId="1926BFE9">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834" w:type="dxa"/>
            <w:gridSpan w:val="2"/>
            <w:tcBorders>
              <w:top w:val="single" w:color="auto" w:sz="12" w:space="0"/>
              <w:left w:val="single" w:color="auto" w:sz="4" w:space="0"/>
              <w:bottom w:val="single" w:color="auto" w:sz="4" w:space="0"/>
              <w:right w:val="single" w:color="auto" w:sz="4" w:space="0"/>
            </w:tcBorders>
            <w:noWrap w:val="0"/>
            <w:vAlign w:val="center"/>
          </w:tcPr>
          <w:p w14:paraId="52ABE53B">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管理服务名称</w:t>
            </w:r>
          </w:p>
        </w:tc>
        <w:tc>
          <w:tcPr>
            <w:tcW w:w="1563" w:type="dxa"/>
            <w:tcBorders>
              <w:top w:val="single" w:color="auto" w:sz="12" w:space="0"/>
              <w:left w:val="single" w:color="auto" w:sz="4" w:space="0"/>
              <w:bottom w:val="single" w:color="auto" w:sz="4" w:space="0"/>
              <w:right w:val="single" w:color="auto" w:sz="4" w:space="0"/>
            </w:tcBorders>
            <w:noWrap w:val="0"/>
            <w:vAlign w:val="center"/>
          </w:tcPr>
          <w:p w14:paraId="4D5C1656">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承诺指标</w:t>
            </w:r>
          </w:p>
          <w:p w14:paraId="6330D528">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tc>
        <w:tc>
          <w:tcPr>
            <w:tcW w:w="2211" w:type="dxa"/>
            <w:tcBorders>
              <w:top w:val="single" w:color="auto" w:sz="12" w:space="0"/>
              <w:left w:val="single" w:color="auto" w:sz="4" w:space="0"/>
              <w:bottom w:val="single" w:color="auto" w:sz="4" w:space="0"/>
              <w:right w:val="single" w:color="auto" w:sz="12" w:space="0"/>
            </w:tcBorders>
            <w:noWrap w:val="0"/>
            <w:vAlign w:val="center"/>
          </w:tcPr>
          <w:p w14:paraId="2E01D666">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具体实施措施</w:t>
            </w:r>
          </w:p>
        </w:tc>
      </w:tr>
      <w:tr w14:paraId="58A64B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14:paraId="331944A1">
            <w:pPr>
              <w:numPr>
                <w:ilvl w:val="0"/>
                <w:numId w:val="5"/>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14:paraId="05C0AA1A">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管理人员专业培训合格率</w:t>
            </w:r>
          </w:p>
        </w:tc>
        <w:tc>
          <w:tcPr>
            <w:tcW w:w="1563" w:type="dxa"/>
            <w:tcBorders>
              <w:top w:val="single" w:color="auto" w:sz="4" w:space="0"/>
              <w:left w:val="single" w:color="auto" w:sz="4" w:space="0"/>
              <w:bottom w:val="single" w:color="auto" w:sz="4" w:space="0"/>
              <w:right w:val="single" w:color="auto" w:sz="4" w:space="0"/>
            </w:tcBorders>
            <w:noWrap w:val="0"/>
            <w:vAlign w:val="top"/>
          </w:tcPr>
          <w:p w14:paraId="61465405">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202B4375">
            <w:pPr>
              <w:spacing w:line="360" w:lineRule="auto"/>
              <w:ind w:left="69"/>
              <w:rPr>
                <w:rFonts w:hint="eastAsia" w:ascii="宋体" w:hAnsi="宋体" w:eastAsia="宋体" w:cs="宋体"/>
                <w:color w:val="auto"/>
                <w:sz w:val="24"/>
                <w:szCs w:val="24"/>
                <w:highlight w:val="none"/>
              </w:rPr>
            </w:pPr>
          </w:p>
        </w:tc>
      </w:tr>
      <w:tr w14:paraId="075730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14:paraId="59E33B04">
            <w:pPr>
              <w:numPr>
                <w:ilvl w:val="0"/>
                <w:numId w:val="5"/>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14:paraId="07E9F229">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投诉率</w:t>
            </w:r>
          </w:p>
        </w:tc>
        <w:tc>
          <w:tcPr>
            <w:tcW w:w="1563" w:type="dxa"/>
            <w:tcBorders>
              <w:top w:val="single" w:color="auto" w:sz="4" w:space="0"/>
              <w:left w:val="single" w:color="auto" w:sz="4" w:space="0"/>
              <w:bottom w:val="single" w:color="auto" w:sz="4" w:space="0"/>
              <w:right w:val="single" w:color="auto" w:sz="4" w:space="0"/>
            </w:tcBorders>
            <w:noWrap w:val="0"/>
            <w:vAlign w:val="top"/>
          </w:tcPr>
          <w:p w14:paraId="35196D3F">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46E7F85F">
            <w:pPr>
              <w:spacing w:line="360" w:lineRule="auto"/>
              <w:ind w:left="69"/>
              <w:rPr>
                <w:rFonts w:hint="eastAsia" w:ascii="宋体" w:hAnsi="宋体" w:eastAsia="宋体" w:cs="宋体"/>
                <w:color w:val="auto"/>
                <w:sz w:val="24"/>
                <w:szCs w:val="24"/>
                <w:highlight w:val="none"/>
              </w:rPr>
            </w:pPr>
          </w:p>
        </w:tc>
      </w:tr>
      <w:tr w14:paraId="3AB608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14:paraId="18D7A4A5">
            <w:pPr>
              <w:numPr>
                <w:ilvl w:val="0"/>
                <w:numId w:val="5"/>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14:paraId="788D4FE2">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投诉处理率</w:t>
            </w:r>
          </w:p>
        </w:tc>
        <w:tc>
          <w:tcPr>
            <w:tcW w:w="1563" w:type="dxa"/>
            <w:tcBorders>
              <w:top w:val="single" w:color="auto" w:sz="4" w:space="0"/>
              <w:left w:val="single" w:color="auto" w:sz="4" w:space="0"/>
              <w:bottom w:val="single" w:color="auto" w:sz="4" w:space="0"/>
              <w:right w:val="single" w:color="auto" w:sz="4" w:space="0"/>
            </w:tcBorders>
            <w:noWrap w:val="0"/>
            <w:vAlign w:val="top"/>
          </w:tcPr>
          <w:p w14:paraId="6504DA6F">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17C0EE38">
            <w:pPr>
              <w:spacing w:line="360" w:lineRule="auto"/>
              <w:ind w:left="69"/>
              <w:rPr>
                <w:rFonts w:hint="eastAsia" w:ascii="宋体" w:hAnsi="宋体" w:eastAsia="宋体" w:cs="宋体"/>
                <w:color w:val="auto"/>
                <w:sz w:val="24"/>
                <w:szCs w:val="24"/>
                <w:highlight w:val="none"/>
              </w:rPr>
            </w:pPr>
          </w:p>
        </w:tc>
      </w:tr>
      <w:tr w14:paraId="492214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14:paraId="5D0537CD">
            <w:pPr>
              <w:numPr>
                <w:ilvl w:val="0"/>
                <w:numId w:val="5"/>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14:paraId="05DCAC09">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客户满意率</w:t>
            </w:r>
          </w:p>
        </w:tc>
        <w:tc>
          <w:tcPr>
            <w:tcW w:w="1563" w:type="dxa"/>
            <w:tcBorders>
              <w:top w:val="single" w:color="auto" w:sz="4" w:space="0"/>
              <w:left w:val="single" w:color="auto" w:sz="4" w:space="0"/>
              <w:bottom w:val="single" w:color="auto" w:sz="4" w:space="0"/>
              <w:right w:val="single" w:color="auto" w:sz="4" w:space="0"/>
            </w:tcBorders>
            <w:noWrap w:val="0"/>
            <w:vAlign w:val="top"/>
          </w:tcPr>
          <w:p w14:paraId="7C0FC829">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73E98C94">
            <w:pPr>
              <w:spacing w:line="360" w:lineRule="auto"/>
              <w:ind w:left="69"/>
              <w:rPr>
                <w:rFonts w:hint="eastAsia" w:ascii="宋体" w:hAnsi="宋体" w:eastAsia="宋体" w:cs="宋体"/>
                <w:color w:val="auto"/>
                <w:sz w:val="24"/>
                <w:szCs w:val="24"/>
                <w:highlight w:val="none"/>
              </w:rPr>
            </w:pPr>
          </w:p>
        </w:tc>
      </w:tr>
      <w:tr w14:paraId="65BADA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14:paraId="42F0584E">
            <w:pPr>
              <w:numPr>
                <w:ilvl w:val="0"/>
                <w:numId w:val="5"/>
              </w:numPr>
              <w:spacing w:line="360" w:lineRule="auto"/>
              <w:rPr>
                <w:rFonts w:hint="eastAsia" w:ascii="宋体" w:hAnsi="宋体" w:eastAsia="宋体" w:cs="宋体"/>
                <w:color w:val="auto"/>
                <w:sz w:val="24"/>
                <w:szCs w:val="24"/>
                <w:highlight w:val="none"/>
              </w:rPr>
            </w:pPr>
          </w:p>
        </w:tc>
        <w:tc>
          <w:tcPr>
            <w:tcW w:w="1127" w:type="dxa"/>
            <w:vMerge w:val="restart"/>
            <w:tcBorders>
              <w:top w:val="single" w:color="auto" w:sz="4" w:space="0"/>
              <w:left w:val="single" w:color="auto" w:sz="4" w:space="0"/>
              <w:bottom w:val="single" w:color="auto" w:sz="12" w:space="0"/>
              <w:right w:val="single" w:color="auto" w:sz="4" w:space="0"/>
            </w:tcBorders>
            <w:noWrap w:val="0"/>
            <w:vAlign w:val="center"/>
          </w:tcPr>
          <w:p w14:paraId="76F143A7">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2707" w:type="dxa"/>
            <w:tcBorders>
              <w:top w:val="single" w:color="auto" w:sz="4" w:space="0"/>
              <w:left w:val="single" w:color="auto" w:sz="4" w:space="0"/>
              <w:bottom w:val="single" w:color="auto" w:sz="4" w:space="0"/>
              <w:right w:val="single" w:color="auto" w:sz="4" w:space="0"/>
            </w:tcBorders>
            <w:noWrap w:val="0"/>
            <w:vAlign w:val="top"/>
          </w:tcPr>
          <w:p w14:paraId="2D622CE9">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1CD8F226">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0A409145">
            <w:pPr>
              <w:spacing w:line="360" w:lineRule="auto"/>
              <w:ind w:left="69"/>
              <w:rPr>
                <w:rFonts w:hint="eastAsia" w:ascii="宋体" w:hAnsi="宋体" w:eastAsia="宋体" w:cs="宋体"/>
                <w:color w:val="auto"/>
                <w:sz w:val="24"/>
                <w:szCs w:val="24"/>
                <w:highlight w:val="none"/>
              </w:rPr>
            </w:pPr>
          </w:p>
        </w:tc>
      </w:tr>
      <w:tr w14:paraId="23E0FB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14:paraId="6F8666DB">
            <w:pPr>
              <w:numPr>
                <w:ilvl w:val="0"/>
                <w:numId w:val="5"/>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14:paraId="404A7642">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14:paraId="4BF5B77D">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0B97CB31">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027E4715">
            <w:pPr>
              <w:spacing w:line="360" w:lineRule="auto"/>
              <w:ind w:left="69"/>
              <w:rPr>
                <w:rFonts w:hint="eastAsia" w:ascii="宋体" w:hAnsi="宋体" w:eastAsia="宋体" w:cs="宋体"/>
                <w:color w:val="auto"/>
                <w:sz w:val="24"/>
                <w:szCs w:val="24"/>
                <w:highlight w:val="none"/>
              </w:rPr>
            </w:pPr>
          </w:p>
        </w:tc>
      </w:tr>
      <w:tr w14:paraId="182C15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14:paraId="046F4AF3">
            <w:pPr>
              <w:numPr>
                <w:ilvl w:val="0"/>
                <w:numId w:val="5"/>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14:paraId="2A6EC8D2">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14:paraId="248E94B4">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627542BE">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6C7682DC">
            <w:pPr>
              <w:spacing w:line="360" w:lineRule="auto"/>
              <w:ind w:left="69"/>
              <w:rPr>
                <w:rFonts w:hint="eastAsia" w:ascii="宋体" w:hAnsi="宋体" w:eastAsia="宋体" w:cs="宋体"/>
                <w:color w:val="auto"/>
                <w:sz w:val="24"/>
                <w:szCs w:val="24"/>
                <w:highlight w:val="none"/>
              </w:rPr>
            </w:pPr>
          </w:p>
        </w:tc>
      </w:tr>
      <w:tr w14:paraId="27E182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14:paraId="25A2A55F">
            <w:pPr>
              <w:numPr>
                <w:ilvl w:val="0"/>
                <w:numId w:val="5"/>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14:paraId="6DEA3AD7">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14:paraId="4F78F9EB">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276FCAB3">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42924758">
            <w:pPr>
              <w:spacing w:line="360" w:lineRule="auto"/>
              <w:ind w:left="69"/>
              <w:rPr>
                <w:rFonts w:hint="eastAsia" w:ascii="宋体" w:hAnsi="宋体" w:eastAsia="宋体" w:cs="宋体"/>
                <w:color w:val="auto"/>
                <w:sz w:val="24"/>
                <w:szCs w:val="24"/>
                <w:highlight w:val="none"/>
              </w:rPr>
            </w:pPr>
          </w:p>
        </w:tc>
      </w:tr>
      <w:tr w14:paraId="72BD7A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14:paraId="1070B91D">
            <w:pPr>
              <w:numPr>
                <w:ilvl w:val="0"/>
                <w:numId w:val="5"/>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14:paraId="6F779C8F">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14:paraId="5379C0D0">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74A7BF65">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0ECA4796">
            <w:pPr>
              <w:spacing w:line="360" w:lineRule="auto"/>
              <w:ind w:left="69"/>
              <w:rPr>
                <w:rFonts w:hint="eastAsia" w:ascii="宋体" w:hAnsi="宋体" w:eastAsia="宋体" w:cs="宋体"/>
                <w:color w:val="auto"/>
                <w:sz w:val="24"/>
                <w:szCs w:val="24"/>
                <w:highlight w:val="none"/>
              </w:rPr>
            </w:pPr>
          </w:p>
        </w:tc>
      </w:tr>
      <w:tr w14:paraId="11415F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12" w:space="0"/>
              <w:right w:val="single" w:color="auto" w:sz="4" w:space="0"/>
            </w:tcBorders>
            <w:noWrap w:val="0"/>
            <w:vAlign w:val="top"/>
          </w:tcPr>
          <w:p w14:paraId="00F870AF">
            <w:pPr>
              <w:numPr>
                <w:ilvl w:val="0"/>
                <w:numId w:val="5"/>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14:paraId="3FF0BE30">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12" w:space="0"/>
              <w:right w:val="single" w:color="auto" w:sz="4" w:space="0"/>
            </w:tcBorders>
            <w:noWrap w:val="0"/>
            <w:vAlign w:val="top"/>
          </w:tcPr>
          <w:p w14:paraId="0C3DD4A2">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12" w:space="0"/>
              <w:right w:val="single" w:color="auto" w:sz="4" w:space="0"/>
            </w:tcBorders>
            <w:noWrap w:val="0"/>
            <w:vAlign w:val="top"/>
          </w:tcPr>
          <w:p w14:paraId="0068C5E7">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12" w:space="0"/>
              <w:right w:val="single" w:color="auto" w:sz="12" w:space="0"/>
            </w:tcBorders>
            <w:noWrap w:val="0"/>
            <w:vAlign w:val="top"/>
          </w:tcPr>
          <w:p w14:paraId="4D06BA05">
            <w:pPr>
              <w:spacing w:line="360" w:lineRule="auto"/>
              <w:ind w:left="69"/>
              <w:rPr>
                <w:rFonts w:hint="eastAsia" w:ascii="宋体" w:hAnsi="宋体" w:eastAsia="宋体" w:cs="宋体"/>
                <w:color w:val="auto"/>
                <w:sz w:val="24"/>
                <w:szCs w:val="24"/>
                <w:highlight w:val="none"/>
              </w:rPr>
            </w:pPr>
          </w:p>
        </w:tc>
      </w:tr>
    </w:tbl>
    <w:p w14:paraId="43B75924">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注:以上表格可以自拟,但必须含以上项目内容</w:t>
      </w:r>
    </w:p>
    <w:p w14:paraId="038B262C">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14:paraId="5AAD77B4">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44F18C87">
      <w:pPr>
        <w:spacing w:line="360" w:lineRule="auto"/>
        <w:ind w:left="480" w:leftChars="57" w:right="-122" w:rightChars="-58" w:hanging="360" w:hangingChars="150"/>
        <w:rPr>
          <w:rFonts w:hint="eastAsia" w:ascii="宋体" w:hAnsi="宋体" w:eastAsia="宋体" w:cs="宋体"/>
          <w:color w:val="auto"/>
          <w:sz w:val="24"/>
          <w:szCs w:val="24"/>
          <w:highlight w:val="none"/>
        </w:rPr>
      </w:pPr>
    </w:p>
    <w:p w14:paraId="332F1B5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B50D27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4AC7C59">
      <w:pPr>
        <w:spacing w:line="360" w:lineRule="auto"/>
        <w:rPr>
          <w:rFonts w:hint="eastAsia" w:ascii="宋体" w:hAnsi="宋体" w:eastAsia="宋体" w:cs="宋体"/>
          <w:color w:val="auto"/>
          <w:sz w:val="24"/>
          <w:szCs w:val="24"/>
          <w:highlight w:val="none"/>
        </w:rPr>
      </w:pPr>
    </w:p>
    <w:p w14:paraId="587B76FD">
      <w:pPr>
        <w:spacing w:line="360" w:lineRule="auto"/>
        <w:rPr>
          <w:rFonts w:hint="eastAsia" w:ascii="宋体" w:hAnsi="宋体" w:eastAsia="宋体" w:cs="宋体"/>
          <w:color w:val="auto"/>
          <w:sz w:val="24"/>
          <w:szCs w:val="24"/>
          <w:highlight w:val="none"/>
        </w:rPr>
      </w:pPr>
    </w:p>
    <w:p w14:paraId="7E77558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12264A6">
      <w:pPr>
        <w:spacing w:line="360" w:lineRule="auto"/>
        <w:jc w:val="center"/>
        <w:rPr>
          <w:rFonts w:hint="eastAsia" w:ascii="宋体" w:hAnsi="宋体" w:eastAsia="宋体" w:cs="宋体"/>
          <w:bCs/>
          <w:color w:val="auto"/>
          <w:sz w:val="24"/>
          <w:szCs w:val="24"/>
          <w:highlight w:val="none"/>
        </w:rPr>
      </w:pPr>
    </w:p>
    <w:p w14:paraId="3F763D26">
      <w:pPr>
        <w:spacing w:line="360" w:lineRule="auto"/>
        <w:jc w:val="center"/>
        <w:rPr>
          <w:rFonts w:hint="eastAsia" w:ascii="宋体" w:hAnsi="宋体" w:eastAsia="宋体" w:cs="宋体"/>
          <w:bCs/>
          <w:color w:val="auto"/>
          <w:sz w:val="24"/>
          <w:szCs w:val="24"/>
          <w:highlight w:val="none"/>
        </w:rPr>
      </w:pPr>
    </w:p>
    <w:p w14:paraId="6841609B">
      <w:pPr>
        <w:spacing w:line="360" w:lineRule="auto"/>
        <w:jc w:val="center"/>
        <w:rPr>
          <w:rFonts w:hint="eastAsia" w:ascii="宋体" w:hAnsi="宋体" w:eastAsia="宋体" w:cs="宋体"/>
          <w:bCs/>
          <w:color w:val="auto"/>
          <w:sz w:val="32"/>
          <w:szCs w:val="32"/>
          <w:highlight w:val="none"/>
        </w:rPr>
      </w:pPr>
    </w:p>
    <w:p w14:paraId="113C864F">
      <w:pPr>
        <w:spacing w:line="360" w:lineRule="auto"/>
        <w:jc w:val="center"/>
        <w:rPr>
          <w:rFonts w:hint="eastAsia" w:ascii="宋体" w:hAnsi="宋体" w:eastAsia="宋体" w:cs="宋体"/>
          <w:bCs/>
          <w:color w:val="auto"/>
          <w:sz w:val="32"/>
          <w:szCs w:val="32"/>
          <w:highlight w:val="none"/>
        </w:rPr>
      </w:pPr>
    </w:p>
    <w:p w14:paraId="0F6E2D6E">
      <w:pPr>
        <w:spacing w:line="360" w:lineRule="auto"/>
        <w:jc w:val="center"/>
        <w:rPr>
          <w:rFonts w:hint="eastAsia" w:ascii="宋体" w:hAnsi="宋体" w:eastAsia="宋体" w:cs="宋体"/>
          <w:bCs/>
          <w:color w:val="auto"/>
          <w:sz w:val="32"/>
          <w:szCs w:val="32"/>
          <w:highlight w:val="none"/>
        </w:rPr>
      </w:pPr>
    </w:p>
    <w:p w14:paraId="4077B1D2">
      <w:pPr>
        <w:spacing w:line="360" w:lineRule="auto"/>
        <w:jc w:val="center"/>
        <w:rPr>
          <w:rFonts w:hint="eastAsia" w:ascii="宋体" w:hAnsi="宋体" w:eastAsia="宋体" w:cs="宋体"/>
          <w:bCs/>
          <w:color w:val="auto"/>
          <w:sz w:val="32"/>
          <w:szCs w:val="32"/>
          <w:highlight w:val="none"/>
        </w:rPr>
      </w:pPr>
    </w:p>
    <w:p w14:paraId="3875BF42">
      <w:pPr>
        <w:spacing w:line="360" w:lineRule="auto"/>
        <w:jc w:val="center"/>
        <w:rPr>
          <w:rFonts w:hint="eastAsia" w:ascii="宋体" w:hAnsi="宋体" w:eastAsia="宋体" w:cs="宋体"/>
          <w:b/>
          <w:bCs/>
          <w:color w:val="auto"/>
          <w:sz w:val="32"/>
          <w:szCs w:val="32"/>
          <w:highlight w:val="none"/>
        </w:rPr>
        <w:sectPr>
          <w:footerReference r:id="rId16" w:type="default"/>
          <w:pgSz w:w="11906" w:h="16838"/>
          <w:pgMar w:top="1134" w:right="1134" w:bottom="1134" w:left="1134" w:header="851" w:footer="992" w:gutter="0"/>
          <w:cols w:space="720" w:num="1"/>
          <w:docGrid w:type="lines" w:linePitch="312" w:charSpace="0"/>
        </w:sectPr>
      </w:pPr>
    </w:p>
    <w:p w14:paraId="6B05E141">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报价人的资格证明文件</w:t>
      </w:r>
    </w:p>
    <w:p w14:paraId="1D2CA702">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32"/>
          <w:szCs w:val="32"/>
          <w:highlight w:val="none"/>
        </w:rPr>
        <w:t>关于资格的声明函</w:t>
      </w:r>
    </w:p>
    <w:p w14:paraId="6E1A1160">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30D4A02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关于贵方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（项目编号）采购磋商邀请，本签字人愿意参加磋商，提供采购文件“采购服务及要求”中规定的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（合同包/品目号）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（服务名称），并证明提交的下列文件和说明是准确的和真实的。</w:t>
      </w:r>
    </w:p>
    <w:p w14:paraId="1C7CC44B">
      <w:pPr>
        <w:spacing w:line="360" w:lineRule="auto"/>
        <w:ind w:firstLine="480" w:firstLineChars="200"/>
        <w:rPr>
          <w:rFonts w:hint="eastAsia" w:ascii="宋体" w:hAnsi="宋体" w:eastAsia="宋体" w:cs="宋体"/>
          <w:color w:val="auto"/>
          <w:sz w:val="24"/>
          <w:szCs w:val="24"/>
          <w:highlight w:val="none"/>
        </w:rPr>
      </w:pPr>
    </w:p>
    <w:p w14:paraId="2DF3B28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1．本签字人确认资格文件中的说明以及报价文件中所有提交的文件和材料是真实的、准确的。</w:t>
      </w:r>
    </w:p>
    <w:p w14:paraId="3CAADDC2">
      <w:pPr>
        <w:spacing w:line="360" w:lineRule="auto"/>
        <w:ind w:firstLine="480" w:firstLineChars="200"/>
        <w:outlineLvl w:val="9"/>
        <w:rPr>
          <w:rFonts w:hint="eastAsia" w:ascii="宋体" w:hAnsi="宋体" w:eastAsia="宋体" w:cs="宋体"/>
          <w:color w:val="auto"/>
          <w:sz w:val="24"/>
          <w:szCs w:val="24"/>
          <w:highlight w:val="none"/>
        </w:rPr>
      </w:pPr>
      <w:bookmarkStart w:id="180" w:name="_Toc108"/>
      <w:r>
        <w:rPr>
          <w:rFonts w:hint="eastAsia" w:ascii="宋体" w:hAnsi="宋体" w:eastAsia="宋体" w:cs="宋体"/>
          <w:color w:val="auto"/>
          <w:sz w:val="24"/>
          <w:szCs w:val="24"/>
          <w:highlight w:val="none"/>
        </w:rPr>
        <w:t>2．我方的资格声明正本一份，副本</w:t>
      </w:r>
      <w:r>
        <w:rPr>
          <w:rFonts w:hint="eastAsia" w:ascii="宋体" w:hAnsi="宋体" w:eastAsia="宋体" w:cs="宋体"/>
          <w:color w:val="auto"/>
          <w:sz w:val="24"/>
          <w:szCs w:val="24"/>
          <w:highlight w:val="none"/>
          <w:u w:val="single"/>
        </w:rPr>
        <w:t>四</w:t>
      </w:r>
      <w:r>
        <w:rPr>
          <w:rFonts w:hint="eastAsia" w:ascii="宋体" w:hAnsi="宋体" w:eastAsia="宋体" w:cs="宋体"/>
          <w:color w:val="auto"/>
          <w:sz w:val="24"/>
          <w:szCs w:val="24"/>
          <w:highlight w:val="none"/>
        </w:rPr>
        <w:t>份，随报价文件一同递交。</w:t>
      </w:r>
      <w:bookmarkEnd w:id="180"/>
    </w:p>
    <w:p w14:paraId="2DBDE55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C3AF56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报价人（全称并加盖公章）：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581DF8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4452834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p>
    <w:p w14:paraId="3DA7327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EB98B0D">
      <w:pPr>
        <w:spacing w:line="360" w:lineRule="auto"/>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rPr>
        <w:t xml:space="preserve">报价人代表签字：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7F6D6D5">
      <w:pPr>
        <w:spacing w:line="360" w:lineRule="auto"/>
        <w:jc w:val="center"/>
        <w:rPr>
          <w:rFonts w:hint="eastAsia" w:ascii="宋体" w:hAnsi="宋体" w:eastAsia="宋体" w:cs="宋体"/>
          <w:bCs/>
          <w:color w:val="auto"/>
          <w:sz w:val="24"/>
          <w:szCs w:val="24"/>
          <w:highlight w:val="none"/>
        </w:rPr>
      </w:pPr>
    </w:p>
    <w:p w14:paraId="1311F505">
      <w:pPr>
        <w:spacing w:line="360" w:lineRule="auto"/>
        <w:jc w:val="center"/>
        <w:rPr>
          <w:rFonts w:hint="eastAsia" w:ascii="宋体" w:hAnsi="宋体" w:eastAsia="宋体" w:cs="宋体"/>
          <w:b/>
          <w:color w:val="auto"/>
          <w:sz w:val="24"/>
          <w:szCs w:val="24"/>
          <w:highlight w:val="none"/>
        </w:rPr>
      </w:pPr>
    </w:p>
    <w:p w14:paraId="573600BB">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w:t>
      </w:r>
    </w:p>
    <w:p w14:paraId="792836DF">
      <w:pPr>
        <w:spacing w:line="360" w:lineRule="auto"/>
        <w:rPr>
          <w:rFonts w:hint="eastAsia" w:ascii="宋体" w:hAnsi="宋体" w:eastAsia="宋体" w:cs="宋体"/>
          <w:bCs/>
          <w:color w:val="auto"/>
          <w:sz w:val="24"/>
          <w:szCs w:val="24"/>
          <w:highlight w:val="none"/>
        </w:rPr>
      </w:pPr>
    </w:p>
    <w:p w14:paraId="249FCA6C">
      <w:pPr>
        <w:spacing w:line="360" w:lineRule="auto"/>
        <w:jc w:val="center"/>
        <w:rPr>
          <w:rFonts w:hint="eastAsia" w:ascii="宋体" w:hAnsi="宋体" w:eastAsia="宋体" w:cs="宋体"/>
          <w:bCs/>
          <w:color w:val="auto"/>
          <w:sz w:val="24"/>
          <w:szCs w:val="24"/>
          <w:highlight w:val="none"/>
        </w:rPr>
        <w:sectPr>
          <w:pgSz w:w="11906" w:h="16838"/>
          <w:pgMar w:top="1134" w:right="1134" w:bottom="1134" w:left="1134" w:header="851" w:footer="992" w:gutter="0"/>
          <w:cols w:space="720" w:num="1"/>
          <w:docGrid w:type="lines" w:linePitch="312" w:charSpace="0"/>
        </w:sectPr>
      </w:pPr>
      <w:r>
        <w:rPr>
          <w:rFonts w:hint="eastAsia" w:ascii="宋体" w:hAnsi="宋体" w:eastAsia="宋体" w:cs="宋体"/>
          <w:bCs/>
          <w:color w:val="auto"/>
          <w:sz w:val="24"/>
          <w:szCs w:val="24"/>
          <w:highlight w:val="none"/>
        </w:rPr>
        <w:t xml:space="preserve">  </w:t>
      </w:r>
    </w:p>
    <w:p w14:paraId="6C12D57A">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报价人的资格声明</w:t>
      </w:r>
    </w:p>
    <w:p w14:paraId="3C427F01">
      <w:pPr>
        <w:spacing w:line="360" w:lineRule="auto"/>
        <w:jc w:val="center"/>
        <w:rPr>
          <w:rFonts w:hint="eastAsia" w:ascii="宋体" w:hAnsi="宋体" w:eastAsia="宋体" w:cs="宋体"/>
          <w:color w:val="auto"/>
          <w:sz w:val="24"/>
          <w:szCs w:val="24"/>
          <w:highlight w:val="none"/>
        </w:rPr>
      </w:pPr>
    </w:p>
    <w:p w14:paraId="165874C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1.报价人概况：                                   </w:t>
      </w:r>
    </w:p>
    <w:p w14:paraId="2293129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Ａ．报价人名称：</w:t>
      </w:r>
      <w:r>
        <w:rPr>
          <w:rFonts w:hint="eastAsia" w:ascii="宋体" w:hAnsi="宋体" w:eastAsia="宋体" w:cs="宋体"/>
          <w:color w:val="auto"/>
          <w:sz w:val="24"/>
          <w:szCs w:val="24"/>
          <w:highlight w:val="none"/>
          <w:u w:val="single"/>
        </w:rPr>
        <w:t xml:space="preserve">                               </w:t>
      </w:r>
    </w:p>
    <w:p w14:paraId="763EC236">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Ｂ．注册地址：</w:t>
      </w:r>
      <w:r>
        <w:rPr>
          <w:rFonts w:hint="eastAsia" w:ascii="宋体" w:hAnsi="宋体" w:eastAsia="宋体" w:cs="宋体"/>
          <w:color w:val="auto"/>
          <w:sz w:val="24"/>
          <w:szCs w:val="24"/>
          <w:highlight w:val="none"/>
          <w:u w:val="single"/>
        </w:rPr>
        <w:t xml:space="preserve">                                 </w:t>
      </w:r>
    </w:p>
    <w:p w14:paraId="1B48057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邮编：</w:t>
      </w:r>
      <w:r>
        <w:rPr>
          <w:rFonts w:hint="eastAsia" w:ascii="宋体" w:hAnsi="宋体" w:eastAsia="宋体" w:cs="宋体"/>
          <w:color w:val="auto"/>
          <w:sz w:val="24"/>
          <w:szCs w:val="24"/>
          <w:highlight w:val="none"/>
          <w:u w:val="single"/>
        </w:rPr>
        <w:t xml:space="preserve">         </w:t>
      </w:r>
    </w:p>
    <w:p w14:paraId="6999A051">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Ｃ．成立或注册日期：</w:t>
      </w:r>
      <w:r>
        <w:rPr>
          <w:rFonts w:hint="eastAsia" w:ascii="宋体" w:hAnsi="宋体" w:eastAsia="宋体" w:cs="宋体"/>
          <w:color w:val="auto"/>
          <w:sz w:val="24"/>
          <w:szCs w:val="24"/>
          <w:highlight w:val="none"/>
          <w:u w:val="single"/>
        </w:rPr>
        <w:t xml:space="preserve">                      </w:t>
      </w:r>
    </w:p>
    <w:p w14:paraId="36A2262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Ｄ．法定代表人：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（姓名、职务）</w:t>
      </w:r>
    </w:p>
    <w:p w14:paraId="7730E42B">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实收资本：</w:t>
      </w:r>
      <w:r>
        <w:rPr>
          <w:rFonts w:hint="eastAsia" w:ascii="宋体" w:hAnsi="宋体" w:eastAsia="宋体" w:cs="宋体"/>
          <w:color w:val="auto"/>
          <w:sz w:val="24"/>
          <w:szCs w:val="24"/>
          <w:highlight w:val="none"/>
          <w:u w:val="single"/>
        </w:rPr>
        <w:t xml:space="preserve">                    </w:t>
      </w:r>
    </w:p>
    <w:p w14:paraId="1B681D6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其中 国家资本：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法人资本：</w:t>
      </w:r>
      <w:r>
        <w:rPr>
          <w:rFonts w:hint="eastAsia" w:ascii="宋体" w:hAnsi="宋体" w:eastAsia="宋体" w:cs="宋体"/>
          <w:color w:val="auto"/>
          <w:sz w:val="24"/>
          <w:szCs w:val="24"/>
          <w:highlight w:val="none"/>
          <w:u w:val="single"/>
        </w:rPr>
        <w:t xml:space="preserve">           </w:t>
      </w:r>
    </w:p>
    <w:p w14:paraId="6C5173B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个人资本：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外商资本：</w:t>
      </w:r>
      <w:r>
        <w:rPr>
          <w:rFonts w:hint="eastAsia" w:ascii="宋体" w:hAnsi="宋体" w:eastAsia="宋体" w:cs="宋体"/>
          <w:color w:val="auto"/>
          <w:sz w:val="24"/>
          <w:szCs w:val="24"/>
          <w:highlight w:val="none"/>
          <w:u w:val="single"/>
        </w:rPr>
        <w:t xml:space="preserve">           </w:t>
      </w:r>
    </w:p>
    <w:p w14:paraId="52806A6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Ｅ．最近资产负债表（到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日为止）。</w:t>
      </w:r>
    </w:p>
    <w:p w14:paraId="5E216751">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(1)固定资产合计:</w:t>
      </w:r>
      <w:r>
        <w:rPr>
          <w:rFonts w:hint="eastAsia" w:ascii="宋体" w:hAnsi="宋体" w:eastAsia="宋体" w:cs="宋体"/>
          <w:color w:val="auto"/>
          <w:sz w:val="24"/>
          <w:szCs w:val="24"/>
          <w:highlight w:val="none"/>
          <w:u w:val="single"/>
        </w:rPr>
        <w:t xml:space="preserve">                   </w:t>
      </w:r>
    </w:p>
    <w:p w14:paraId="7C9A9A9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(2)流动资产合计:</w:t>
      </w:r>
      <w:r>
        <w:rPr>
          <w:rFonts w:hint="eastAsia" w:ascii="宋体" w:hAnsi="宋体" w:eastAsia="宋体" w:cs="宋体"/>
          <w:color w:val="auto"/>
          <w:sz w:val="24"/>
          <w:szCs w:val="24"/>
          <w:highlight w:val="none"/>
          <w:u w:val="single"/>
        </w:rPr>
        <w:t xml:space="preserve">                   </w:t>
      </w:r>
    </w:p>
    <w:p w14:paraId="57ECC1B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(3)长期负债合计:</w:t>
      </w:r>
      <w:r>
        <w:rPr>
          <w:rFonts w:hint="eastAsia" w:ascii="宋体" w:hAnsi="宋体" w:eastAsia="宋体" w:cs="宋体"/>
          <w:color w:val="auto"/>
          <w:sz w:val="24"/>
          <w:szCs w:val="24"/>
          <w:highlight w:val="none"/>
          <w:u w:val="single"/>
        </w:rPr>
        <w:t xml:space="preserve">                   </w:t>
      </w:r>
    </w:p>
    <w:p w14:paraId="38E6F05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(4)流动负债合计:</w:t>
      </w:r>
      <w:r>
        <w:rPr>
          <w:rFonts w:hint="eastAsia" w:ascii="宋体" w:hAnsi="宋体" w:eastAsia="宋体" w:cs="宋体"/>
          <w:color w:val="auto"/>
          <w:sz w:val="24"/>
          <w:szCs w:val="24"/>
          <w:highlight w:val="none"/>
          <w:u w:val="single"/>
        </w:rPr>
        <w:t xml:space="preserve">                   </w:t>
      </w:r>
    </w:p>
    <w:p w14:paraId="7387865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Ｆ．最近损益表（到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日为止）。</w:t>
      </w:r>
    </w:p>
    <w:p w14:paraId="2A766544">
      <w:pPr>
        <w:spacing w:line="360" w:lineRule="auto"/>
        <w:ind w:firstLine="840" w:firstLineChars="3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(1)本年（期）利润总额累计：</w:t>
      </w:r>
      <w:r>
        <w:rPr>
          <w:rFonts w:hint="eastAsia" w:ascii="宋体" w:hAnsi="宋体" w:eastAsia="宋体" w:cs="宋体"/>
          <w:color w:val="auto"/>
          <w:sz w:val="24"/>
          <w:szCs w:val="24"/>
          <w:highlight w:val="none"/>
          <w:u w:val="single"/>
        </w:rPr>
        <w:t xml:space="preserve">            </w:t>
      </w:r>
    </w:p>
    <w:p w14:paraId="5D24B5E0">
      <w:pPr>
        <w:spacing w:line="360" w:lineRule="auto"/>
        <w:ind w:firstLine="840" w:firstLineChars="3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(2)本年（期）净利润累计： </w:t>
      </w:r>
      <w:r>
        <w:rPr>
          <w:rFonts w:hint="eastAsia" w:ascii="宋体" w:hAnsi="宋体" w:eastAsia="宋体" w:cs="宋体"/>
          <w:color w:val="auto"/>
          <w:sz w:val="24"/>
          <w:szCs w:val="24"/>
          <w:highlight w:val="none"/>
          <w:u w:val="single"/>
        </w:rPr>
        <w:t xml:space="preserve">             </w:t>
      </w:r>
    </w:p>
    <w:p w14:paraId="2D0C185B">
      <w:pPr>
        <w:spacing w:line="360" w:lineRule="auto"/>
        <w:ind w:firstLine="840" w:firstLineChars="350"/>
        <w:rPr>
          <w:rFonts w:hint="eastAsia" w:ascii="宋体" w:hAnsi="宋体" w:eastAsia="宋体" w:cs="宋体"/>
          <w:color w:val="auto"/>
          <w:sz w:val="24"/>
          <w:szCs w:val="24"/>
          <w:highlight w:val="none"/>
        </w:rPr>
      </w:pPr>
    </w:p>
    <w:p w14:paraId="58CC74B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2.我方在此声明，我方具备并满足下列各项条款的规定。本声明如有虚假或不实之处，我方将失去合格报价人资格且我方的磋商保证金将不予退还。</w:t>
      </w:r>
    </w:p>
    <w:p w14:paraId="4571487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（1）具有独立承担民事责任的能力； </w:t>
      </w:r>
    </w:p>
    <w:p w14:paraId="2A9F6A7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（2）具有良好的商业信誉和健全的财务会计制度； </w:t>
      </w:r>
    </w:p>
    <w:p w14:paraId="253212E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（3）具有履行合同所必需的设备和专业技术能力； </w:t>
      </w:r>
    </w:p>
    <w:p w14:paraId="2456FE9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（4）有依法缴纳税收和社会保障资金的良好记录； </w:t>
      </w:r>
    </w:p>
    <w:p w14:paraId="5DC1FC9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（5）近三年内，在经营活动中没有重大违法记录。</w:t>
      </w:r>
    </w:p>
    <w:p w14:paraId="356038B5">
      <w:pPr>
        <w:spacing w:line="360" w:lineRule="auto"/>
        <w:ind w:firstLine="480" w:firstLineChars="200"/>
        <w:rPr>
          <w:rFonts w:hint="eastAsia" w:ascii="宋体" w:hAnsi="宋体" w:eastAsia="宋体" w:cs="宋体"/>
          <w:color w:val="auto"/>
          <w:sz w:val="24"/>
          <w:szCs w:val="24"/>
          <w:highlight w:val="none"/>
        </w:rPr>
      </w:pPr>
    </w:p>
    <w:p w14:paraId="3DEC4173">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3.最近三年磋商项目在国内主要用户的名称和地址：</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4DB0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6687137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用户名称和地址</w:t>
            </w:r>
          </w:p>
        </w:tc>
        <w:tc>
          <w:tcPr>
            <w:tcW w:w="2299" w:type="dxa"/>
            <w:tcBorders>
              <w:top w:val="single" w:color="auto" w:sz="4" w:space="0"/>
              <w:left w:val="single" w:color="auto" w:sz="4" w:space="0"/>
              <w:bottom w:val="single" w:color="auto" w:sz="4" w:space="0"/>
              <w:right w:val="single" w:color="auto" w:sz="4" w:space="0"/>
            </w:tcBorders>
            <w:noWrap w:val="0"/>
            <w:vAlign w:val="top"/>
          </w:tcPr>
          <w:p w14:paraId="5D13C55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299318C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463" w:type="dxa"/>
            <w:tcBorders>
              <w:top w:val="single" w:color="auto" w:sz="4" w:space="0"/>
              <w:left w:val="single" w:color="auto" w:sz="4" w:space="0"/>
              <w:bottom w:val="single" w:color="auto" w:sz="4" w:space="0"/>
              <w:right w:val="single" w:color="auto" w:sz="4" w:space="0"/>
            </w:tcBorders>
            <w:noWrap w:val="0"/>
            <w:vAlign w:val="top"/>
          </w:tcPr>
          <w:p w14:paraId="6A77877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c>
          <w:tcPr>
            <w:tcW w:w="1404" w:type="dxa"/>
            <w:tcBorders>
              <w:top w:val="single" w:color="auto" w:sz="4" w:space="0"/>
              <w:left w:val="single" w:color="auto" w:sz="4" w:space="0"/>
              <w:bottom w:val="single" w:color="auto" w:sz="4" w:space="0"/>
              <w:right w:val="single" w:color="auto" w:sz="4" w:space="0"/>
            </w:tcBorders>
            <w:noWrap w:val="0"/>
            <w:vAlign w:val="top"/>
          </w:tcPr>
          <w:p w14:paraId="70B3CD4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运行状况</w:t>
            </w:r>
          </w:p>
        </w:tc>
      </w:tr>
      <w:tr w14:paraId="4E8C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058EC1BE">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1A54E829">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65644849">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228BAE94">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37A929B7">
            <w:pPr>
              <w:spacing w:line="360" w:lineRule="auto"/>
              <w:rPr>
                <w:rFonts w:hint="eastAsia" w:ascii="宋体" w:hAnsi="宋体" w:eastAsia="宋体" w:cs="宋体"/>
                <w:color w:val="auto"/>
                <w:sz w:val="24"/>
                <w:szCs w:val="24"/>
                <w:highlight w:val="none"/>
              </w:rPr>
            </w:pPr>
          </w:p>
        </w:tc>
      </w:tr>
      <w:tr w14:paraId="7524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17663349">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3D0A9274">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496E3CFB">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36A88DCC">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163C738C">
            <w:pPr>
              <w:spacing w:line="360" w:lineRule="auto"/>
              <w:rPr>
                <w:rFonts w:hint="eastAsia" w:ascii="宋体" w:hAnsi="宋体" w:eastAsia="宋体" w:cs="宋体"/>
                <w:color w:val="auto"/>
                <w:sz w:val="24"/>
                <w:szCs w:val="24"/>
                <w:highlight w:val="none"/>
              </w:rPr>
            </w:pPr>
          </w:p>
        </w:tc>
      </w:tr>
      <w:tr w14:paraId="1858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571E04BA">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3F2F231A">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22A5111B">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681882DF">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5068ADE0">
            <w:pPr>
              <w:spacing w:line="360" w:lineRule="auto"/>
              <w:rPr>
                <w:rFonts w:hint="eastAsia" w:ascii="宋体" w:hAnsi="宋体" w:eastAsia="宋体" w:cs="宋体"/>
                <w:color w:val="auto"/>
                <w:sz w:val="24"/>
                <w:szCs w:val="24"/>
                <w:highlight w:val="none"/>
              </w:rPr>
            </w:pPr>
          </w:p>
        </w:tc>
      </w:tr>
      <w:tr w14:paraId="2D4A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44CE47EC">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1AA130AF">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3A145900">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41E58A9C">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6FE83E24">
            <w:pPr>
              <w:spacing w:line="360" w:lineRule="auto"/>
              <w:rPr>
                <w:rFonts w:hint="eastAsia" w:ascii="宋体" w:hAnsi="宋体" w:eastAsia="宋体" w:cs="宋体"/>
                <w:color w:val="auto"/>
                <w:sz w:val="24"/>
                <w:szCs w:val="24"/>
                <w:highlight w:val="none"/>
              </w:rPr>
            </w:pPr>
          </w:p>
        </w:tc>
      </w:tr>
    </w:tbl>
    <w:p w14:paraId="22A6A231">
      <w:pPr>
        <w:spacing w:line="360" w:lineRule="auto"/>
        <w:rPr>
          <w:rFonts w:hint="eastAsia" w:ascii="宋体" w:hAnsi="宋体" w:eastAsia="宋体" w:cs="宋体"/>
          <w:bCs/>
          <w:color w:val="auto"/>
          <w:sz w:val="24"/>
          <w:szCs w:val="24"/>
          <w:highlight w:val="none"/>
        </w:rPr>
      </w:pPr>
    </w:p>
    <w:p w14:paraId="76D12D7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4.单位营业执照、税务登记证见附件</w:t>
      </w:r>
    </w:p>
    <w:p w14:paraId="6FC3622D">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w:t>
      </w:r>
      <w:r>
        <w:rPr>
          <w:rFonts w:hint="eastAsia" w:ascii="宋体" w:hAnsi="宋体" w:eastAsia="宋体" w:cs="宋体"/>
          <w:color w:val="auto"/>
          <w:sz w:val="24"/>
          <w:szCs w:val="24"/>
          <w:highlight w:val="none"/>
        </w:rPr>
        <w:t>营业执照有加载统一社会信用代码的，无需提供税务登记证、组织机构代码证)</w:t>
      </w:r>
    </w:p>
    <w:p w14:paraId="1EAD3FAA">
      <w:pPr>
        <w:spacing w:line="360" w:lineRule="auto"/>
        <w:rPr>
          <w:rFonts w:hint="eastAsia" w:ascii="宋体" w:hAnsi="宋体" w:eastAsia="宋体" w:cs="宋体"/>
          <w:bCs/>
          <w:color w:val="auto"/>
          <w:sz w:val="24"/>
          <w:szCs w:val="24"/>
          <w:highlight w:val="none"/>
        </w:rPr>
      </w:pPr>
    </w:p>
    <w:p w14:paraId="2666EB9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就我方全部所知，兹证明</w:t>
      </w:r>
      <w:r>
        <w:rPr>
          <w:rFonts w:hint="eastAsia" w:ascii="宋体" w:hAnsi="宋体" w:cs="宋体"/>
          <w:bCs/>
          <w:color w:val="auto"/>
          <w:sz w:val="24"/>
          <w:szCs w:val="24"/>
          <w:highlight w:val="none"/>
          <w:lang w:eastAsia="zh-CN"/>
        </w:rPr>
        <w:t>上述</w:t>
      </w:r>
      <w:r>
        <w:rPr>
          <w:rFonts w:hint="eastAsia" w:ascii="宋体" w:hAnsi="宋体" w:eastAsia="宋体" w:cs="宋体"/>
          <w:bCs/>
          <w:color w:val="auto"/>
          <w:sz w:val="24"/>
          <w:szCs w:val="24"/>
          <w:highlight w:val="none"/>
        </w:rPr>
        <w:t>声明是真实、正确的，并已提供了全部现有资料和数据，我方同意根据贵方要求出示文件予以证实。</w:t>
      </w:r>
    </w:p>
    <w:p w14:paraId="6508928E">
      <w:pPr>
        <w:spacing w:line="360" w:lineRule="auto"/>
        <w:rPr>
          <w:rFonts w:hint="eastAsia" w:ascii="宋体" w:hAnsi="宋体" w:eastAsia="宋体" w:cs="宋体"/>
          <w:bCs/>
          <w:color w:val="auto"/>
          <w:sz w:val="24"/>
          <w:szCs w:val="24"/>
          <w:highlight w:val="none"/>
        </w:rPr>
      </w:pPr>
    </w:p>
    <w:p w14:paraId="260454EE">
      <w:pPr>
        <w:spacing w:line="360" w:lineRule="auto"/>
        <w:rPr>
          <w:rFonts w:hint="eastAsia" w:ascii="宋体" w:hAnsi="宋体" w:eastAsia="宋体" w:cs="宋体"/>
          <w:b/>
          <w:bCs/>
          <w:color w:val="auto"/>
          <w:sz w:val="24"/>
          <w:szCs w:val="24"/>
          <w:highlight w:val="none"/>
        </w:rPr>
      </w:pPr>
    </w:p>
    <w:p w14:paraId="4AF0292D">
      <w:pPr>
        <w:spacing w:line="360" w:lineRule="auto"/>
        <w:ind w:firstLine="120" w:firstLineChars="5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报价人（全称并加盖公章）：</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
          <w:bCs/>
          <w:color w:val="auto"/>
          <w:sz w:val="24"/>
          <w:szCs w:val="24"/>
          <w:highlight w:val="none"/>
        </w:rPr>
        <w:t xml:space="preserve"> </w:t>
      </w:r>
    </w:p>
    <w:p w14:paraId="64B6992B">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报价人代表签字：</w:t>
      </w:r>
      <w:r>
        <w:rPr>
          <w:rFonts w:hint="eastAsia" w:ascii="宋体" w:hAnsi="宋体" w:eastAsia="宋体" w:cs="宋体"/>
          <w:bCs/>
          <w:color w:val="auto"/>
          <w:sz w:val="24"/>
          <w:szCs w:val="24"/>
          <w:highlight w:val="none"/>
          <w:u w:val="single"/>
        </w:rPr>
        <w:t xml:space="preserve">                        </w:t>
      </w:r>
    </w:p>
    <w:p w14:paraId="200C6C2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14:paraId="634A3872">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14:paraId="05B04CFB">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14:paraId="53D50020">
      <w:pPr>
        <w:spacing w:line="360" w:lineRule="auto"/>
        <w:rPr>
          <w:rFonts w:hint="eastAsia" w:ascii="宋体" w:hAnsi="宋体" w:eastAsia="宋体" w:cs="宋体"/>
          <w:color w:val="auto"/>
          <w:sz w:val="24"/>
          <w:szCs w:val="24"/>
          <w:highlight w:val="none"/>
        </w:rPr>
      </w:pPr>
    </w:p>
    <w:p w14:paraId="5BA3105E">
      <w:pPr>
        <w:spacing w:line="360" w:lineRule="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
          <w:bCs/>
          <w:color w:val="auto"/>
          <w:sz w:val="24"/>
          <w:szCs w:val="24"/>
          <w:highlight w:val="none"/>
        </w:rPr>
        <w:t xml:space="preserve">  </w:t>
      </w:r>
    </w:p>
    <w:p w14:paraId="55F22C12">
      <w:pPr>
        <w:spacing w:line="360" w:lineRule="auto"/>
        <w:rPr>
          <w:rFonts w:hint="eastAsia" w:ascii="宋体" w:hAnsi="宋体" w:eastAsia="宋体" w:cs="宋体"/>
          <w:b/>
          <w:bCs/>
          <w:color w:val="auto"/>
          <w:sz w:val="24"/>
          <w:szCs w:val="24"/>
          <w:highlight w:val="none"/>
        </w:rPr>
      </w:pPr>
    </w:p>
    <w:p w14:paraId="343046A6">
      <w:pPr>
        <w:spacing w:line="360" w:lineRule="auto"/>
        <w:rPr>
          <w:rFonts w:hint="eastAsia" w:ascii="宋体" w:hAnsi="宋体" w:eastAsia="宋体" w:cs="宋体"/>
          <w:b/>
          <w:bCs/>
          <w:color w:val="auto"/>
          <w:sz w:val="24"/>
          <w:szCs w:val="24"/>
          <w:highlight w:val="none"/>
        </w:rPr>
      </w:pPr>
    </w:p>
    <w:p w14:paraId="61855C54">
      <w:pPr>
        <w:spacing w:line="360" w:lineRule="auto"/>
        <w:rPr>
          <w:rFonts w:hint="eastAsia" w:ascii="宋体" w:hAnsi="宋体" w:eastAsia="宋体" w:cs="宋体"/>
          <w:b/>
          <w:bCs/>
          <w:color w:val="auto"/>
          <w:sz w:val="24"/>
          <w:szCs w:val="24"/>
          <w:highlight w:val="none"/>
        </w:rPr>
      </w:pPr>
    </w:p>
    <w:p w14:paraId="60B7E5EE">
      <w:pPr>
        <w:spacing w:line="360" w:lineRule="auto"/>
        <w:rPr>
          <w:rFonts w:hint="eastAsia" w:ascii="宋体" w:hAnsi="宋体" w:eastAsia="宋体" w:cs="宋体"/>
          <w:b/>
          <w:bCs/>
          <w:color w:val="auto"/>
          <w:sz w:val="24"/>
          <w:szCs w:val="24"/>
          <w:highlight w:val="none"/>
        </w:rPr>
      </w:pPr>
    </w:p>
    <w:p w14:paraId="606BEEE3">
      <w:pPr>
        <w:spacing w:line="360" w:lineRule="auto"/>
        <w:jc w:val="center"/>
        <w:rPr>
          <w:rFonts w:hint="eastAsia" w:ascii="宋体" w:hAnsi="宋体" w:eastAsia="宋体" w:cs="宋体"/>
          <w:b/>
          <w:bCs/>
          <w:color w:val="auto"/>
          <w:sz w:val="24"/>
          <w:szCs w:val="24"/>
          <w:highlight w:val="none"/>
        </w:rPr>
      </w:pPr>
    </w:p>
    <w:p w14:paraId="7C154E55">
      <w:pPr>
        <w:spacing w:line="360" w:lineRule="auto"/>
        <w:jc w:val="center"/>
        <w:rPr>
          <w:rFonts w:hint="eastAsia" w:ascii="宋体" w:hAnsi="宋体" w:eastAsia="宋体" w:cs="宋体"/>
          <w:b/>
          <w:bCs/>
          <w:color w:val="auto"/>
          <w:sz w:val="24"/>
          <w:szCs w:val="24"/>
          <w:highlight w:val="none"/>
        </w:rPr>
      </w:pPr>
    </w:p>
    <w:p w14:paraId="19D4DEBD">
      <w:pPr>
        <w:spacing w:line="360" w:lineRule="auto"/>
        <w:jc w:val="center"/>
        <w:rPr>
          <w:rFonts w:hint="eastAsia" w:ascii="宋体" w:hAnsi="宋体" w:eastAsia="宋体" w:cs="宋体"/>
          <w:b/>
          <w:bCs/>
          <w:color w:val="auto"/>
          <w:sz w:val="24"/>
          <w:szCs w:val="24"/>
          <w:highlight w:val="none"/>
        </w:rPr>
      </w:pPr>
    </w:p>
    <w:p w14:paraId="77548959">
      <w:pPr>
        <w:spacing w:line="360" w:lineRule="auto"/>
        <w:jc w:val="center"/>
        <w:rPr>
          <w:rFonts w:hint="eastAsia" w:ascii="宋体" w:hAnsi="宋体" w:eastAsia="宋体" w:cs="宋体"/>
          <w:b/>
          <w:bCs/>
          <w:color w:val="auto"/>
          <w:sz w:val="24"/>
          <w:szCs w:val="24"/>
          <w:highlight w:val="none"/>
        </w:rPr>
      </w:pPr>
    </w:p>
    <w:p w14:paraId="77784FB0">
      <w:pPr>
        <w:spacing w:line="360" w:lineRule="auto"/>
        <w:jc w:val="center"/>
        <w:rPr>
          <w:rFonts w:hint="eastAsia" w:ascii="宋体" w:hAnsi="宋体" w:eastAsia="宋体" w:cs="宋体"/>
          <w:b/>
          <w:bCs/>
          <w:color w:val="auto"/>
          <w:sz w:val="24"/>
          <w:szCs w:val="24"/>
          <w:highlight w:val="none"/>
        </w:rPr>
      </w:pPr>
    </w:p>
    <w:p w14:paraId="1A67E7D7">
      <w:pPr>
        <w:spacing w:line="360" w:lineRule="auto"/>
        <w:jc w:val="center"/>
        <w:rPr>
          <w:rFonts w:hint="eastAsia" w:ascii="宋体" w:hAnsi="宋体" w:eastAsia="宋体" w:cs="宋体"/>
          <w:b/>
          <w:bCs/>
          <w:color w:val="auto"/>
          <w:sz w:val="24"/>
          <w:szCs w:val="24"/>
          <w:highlight w:val="none"/>
        </w:rPr>
      </w:pPr>
    </w:p>
    <w:p w14:paraId="55827040">
      <w:pPr>
        <w:spacing w:line="360" w:lineRule="auto"/>
        <w:jc w:val="center"/>
        <w:rPr>
          <w:rFonts w:hint="eastAsia" w:ascii="宋体" w:hAnsi="宋体" w:eastAsia="宋体" w:cs="宋体"/>
          <w:b/>
          <w:bCs/>
          <w:color w:val="auto"/>
          <w:sz w:val="24"/>
          <w:szCs w:val="24"/>
          <w:highlight w:val="none"/>
        </w:rPr>
      </w:pPr>
    </w:p>
    <w:p w14:paraId="2CBC0775">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32"/>
          <w:szCs w:val="32"/>
          <w:highlight w:val="none"/>
        </w:rPr>
        <w:t>单位授权书</w:t>
      </w:r>
    </w:p>
    <w:p w14:paraId="5FFA2859">
      <w:pPr>
        <w:spacing w:line="360" w:lineRule="auto"/>
        <w:jc w:val="center"/>
        <w:rPr>
          <w:rFonts w:hint="eastAsia" w:ascii="宋体" w:hAnsi="宋体" w:eastAsia="宋体" w:cs="宋体"/>
          <w:bCs/>
          <w:color w:val="auto"/>
          <w:sz w:val="24"/>
          <w:szCs w:val="24"/>
          <w:highlight w:val="none"/>
        </w:rPr>
      </w:pPr>
    </w:p>
    <w:p w14:paraId="5994AC0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厦门万翔招标有限公司：</w:t>
      </w:r>
    </w:p>
    <w:p w14:paraId="4C3EB7F6">
      <w:pPr>
        <w:pStyle w:val="7"/>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u w:val="single"/>
        </w:rPr>
        <w:t xml:space="preserve">（报价人全称）        </w:t>
      </w:r>
      <w:r>
        <w:rPr>
          <w:rFonts w:hint="eastAsia" w:hAnsi="宋体" w:eastAsia="宋体" w:cs="宋体"/>
          <w:color w:val="auto"/>
          <w:sz w:val="24"/>
          <w:szCs w:val="24"/>
          <w:highlight w:val="none"/>
        </w:rPr>
        <w:t xml:space="preserve"> 授权</w:t>
      </w:r>
      <w:r>
        <w:rPr>
          <w:rFonts w:hint="eastAsia" w:hAnsi="宋体" w:eastAsia="宋体" w:cs="宋体"/>
          <w:color w:val="auto"/>
          <w:sz w:val="24"/>
          <w:szCs w:val="24"/>
          <w:highlight w:val="none"/>
          <w:u w:val="single"/>
        </w:rPr>
        <w:t xml:space="preserve">  （报价人代表姓名）</w:t>
      </w:r>
      <w:r>
        <w:rPr>
          <w:rFonts w:hint="eastAsia" w:hAnsi="宋体" w:eastAsia="宋体" w:cs="宋体"/>
          <w:color w:val="auto"/>
          <w:sz w:val="24"/>
          <w:szCs w:val="24"/>
          <w:highlight w:val="none"/>
        </w:rPr>
        <w:t>为报价人代表，代表本公司参加贵司组织的</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项目（项目编号</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采购活动，全权代表本公司处理磋商响应过程的一切事宜，包括但不限于：（1）签署、澄清、补正、修改、撤回、提交报价文件；（2）签署并重新提交报价文件及报价；（3）退出磋商；（4）签订合同和处理有关事宜。报价人代表在采购过程中所签署的一切文件和处理与之有关的一切事务，本公司均予以认可并对此承担责任。报价人代表无转委托权。特此授权。</w:t>
      </w:r>
    </w:p>
    <w:p w14:paraId="54AB3EBD">
      <w:pPr>
        <w:pStyle w:val="7"/>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本授权书自出具之日起生效。</w:t>
      </w:r>
    </w:p>
    <w:p w14:paraId="05E0128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p>
    <w:p w14:paraId="1F5E452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部门：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14:paraId="7FA1636E">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详细通讯地址：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u w:val="single"/>
        </w:rPr>
        <w:t xml:space="preserve">              </w:t>
      </w:r>
    </w:p>
    <w:p w14:paraId="19053C8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p>
    <w:p w14:paraId="7EA5C65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附：被授权人身份证件</w:t>
      </w:r>
    </w:p>
    <w:p w14:paraId="28ED276D">
      <w:pPr>
        <w:spacing w:line="360" w:lineRule="auto"/>
        <w:ind w:firstLine="4080" w:firstLineChars="1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授权方</w:t>
      </w:r>
    </w:p>
    <w:p w14:paraId="50922161">
      <w:pPr>
        <w:spacing w:line="360" w:lineRule="auto"/>
        <w:ind w:firstLine="3960" w:firstLineChars="16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报价人（全称并加盖公章）：</w:t>
      </w:r>
      <w:r>
        <w:rPr>
          <w:rFonts w:hint="eastAsia" w:ascii="宋体" w:hAnsi="宋体" w:eastAsia="宋体" w:cs="宋体"/>
          <w:color w:val="auto"/>
          <w:sz w:val="24"/>
          <w:szCs w:val="24"/>
          <w:highlight w:val="none"/>
          <w:u w:val="single"/>
        </w:rPr>
        <w:t xml:space="preserve">                    </w:t>
      </w:r>
    </w:p>
    <w:p w14:paraId="30B6960E">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2EB8B0BB">
      <w:pPr>
        <w:spacing w:line="360" w:lineRule="auto"/>
        <w:ind w:firstLine="4080" w:firstLineChars="1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接受授权方</w:t>
      </w:r>
    </w:p>
    <w:p w14:paraId="6996452A">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14:paraId="2A4FB755">
      <w:pPr>
        <w:spacing w:line="360" w:lineRule="auto"/>
        <w:ind w:firstLine="4800" w:firstLineChars="20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11BD9528">
      <w:pPr>
        <w:pStyle w:val="20"/>
        <w:spacing w:line="360" w:lineRule="auto"/>
        <w:jc w:val="center"/>
        <w:outlineLvl w:val="9"/>
        <w:rPr>
          <w:rFonts w:hint="eastAsia" w:hAnsi="宋体" w:eastAsia="宋体" w:cs="宋体"/>
          <w:b/>
          <w:color w:val="auto"/>
          <w:sz w:val="32"/>
          <w:szCs w:val="32"/>
          <w:highlight w:val="none"/>
        </w:rPr>
      </w:pPr>
    </w:p>
    <w:p w14:paraId="56063EB8">
      <w:pPr>
        <w:pStyle w:val="20"/>
        <w:spacing w:line="360" w:lineRule="auto"/>
        <w:jc w:val="center"/>
        <w:outlineLvl w:val="9"/>
        <w:rPr>
          <w:rFonts w:hint="eastAsia" w:hAnsi="宋体" w:eastAsia="宋体" w:cs="宋体"/>
          <w:b/>
          <w:color w:val="auto"/>
          <w:sz w:val="32"/>
          <w:szCs w:val="32"/>
          <w:highlight w:val="none"/>
        </w:rPr>
      </w:pPr>
    </w:p>
    <w:p w14:paraId="06F45F96">
      <w:pPr>
        <w:pStyle w:val="20"/>
        <w:spacing w:line="360" w:lineRule="auto"/>
        <w:jc w:val="center"/>
        <w:outlineLvl w:val="9"/>
        <w:rPr>
          <w:rFonts w:hint="eastAsia" w:hAnsi="宋体" w:eastAsia="宋体" w:cs="宋体"/>
          <w:b/>
          <w:color w:val="auto"/>
          <w:sz w:val="32"/>
          <w:szCs w:val="32"/>
          <w:highlight w:val="none"/>
        </w:rPr>
      </w:pPr>
    </w:p>
    <w:p w14:paraId="5C9A854E">
      <w:pPr>
        <w:pStyle w:val="20"/>
        <w:spacing w:line="360" w:lineRule="auto"/>
        <w:jc w:val="center"/>
        <w:outlineLvl w:val="9"/>
        <w:rPr>
          <w:rFonts w:hint="eastAsia" w:hAnsi="宋体" w:eastAsia="宋体" w:cs="宋体"/>
          <w:b/>
          <w:color w:val="auto"/>
          <w:sz w:val="32"/>
          <w:szCs w:val="32"/>
          <w:highlight w:val="none"/>
        </w:rPr>
      </w:pPr>
    </w:p>
    <w:p w14:paraId="5481E4D5">
      <w:pPr>
        <w:pStyle w:val="20"/>
        <w:spacing w:line="360" w:lineRule="auto"/>
        <w:jc w:val="center"/>
        <w:outlineLvl w:val="9"/>
        <w:rPr>
          <w:rFonts w:hint="eastAsia" w:hAnsi="宋体" w:eastAsia="宋体" w:cs="宋体"/>
          <w:b/>
          <w:color w:val="auto"/>
          <w:sz w:val="32"/>
          <w:szCs w:val="32"/>
          <w:highlight w:val="none"/>
        </w:rPr>
      </w:pPr>
    </w:p>
    <w:p w14:paraId="6E3DB805">
      <w:pPr>
        <w:pStyle w:val="20"/>
        <w:spacing w:line="360" w:lineRule="auto"/>
        <w:jc w:val="center"/>
        <w:outlineLvl w:val="9"/>
        <w:rPr>
          <w:rFonts w:hint="eastAsia" w:hAnsi="宋体" w:eastAsia="宋体" w:cs="宋体"/>
          <w:b/>
          <w:color w:val="auto"/>
          <w:sz w:val="32"/>
          <w:szCs w:val="32"/>
          <w:highlight w:val="none"/>
        </w:rPr>
      </w:pPr>
      <w:bookmarkStart w:id="181" w:name="_Toc28949"/>
    </w:p>
    <w:p w14:paraId="4A9CFF2C">
      <w:pPr>
        <w:pStyle w:val="20"/>
        <w:spacing w:line="360" w:lineRule="auto"/>
        <w:jc w:val="center"/>
        <w:outlineLvl w:val="9"/>
        <w:rPr>
          <w:rFonts w:hint="eastAsia" w:hAnsi="宋体" w:eastAsia="宋体" w:cs="宋体"/>
          <w:b/>
          <w:color w:val="auto"/>
          <w:sz w:val="32"/>
          <w:szCs w:val="32"/>
          <w:highlight w:val="none"/>
        </w:rPr>
      </w:pPr>
    </w:p>
    <w:p w14:paraId="1EC6B0D3">
      <w:pPr>
        <w:pStyle w:val="20"/>
        <w:spacing w:line="360" w:lineRule="auto"/>
        <w:jc w:val="center"/>
        <w:rPr>
          <w:rFonts w:hint="eastAsia" w:hAnsi="宋体" w:eastAsia="宋体" w:cs="宋体"/>
          <w:color w:val="auto"/>
          <w:sz w:val="24"/>
          <w:szCs w:val="24"/>
          <w:highlight w:val="none"/>
        </w:rPr>
      </w:pPr>
      <w:bookmarkStart w:id="182" w:name="_Toc1521973427"/>
      <w:bookmarkStart w:id="183" w:name="_Toc473339379"/>
      <w:bookmarkStart w:id="184" w:name="_Toc13541"/>
      <w:bookmarkStart w:id="185" w:name="_Toc2407"/>
      <w:r>
        <w:rPr>
          <w:rFonts w:hint="eastAsia" w:hAnsi="宋体" w:eastAsia="宋体" w:cs="宋体"/>
          <w:b/>
          <w:color w:val="auto"/>
          <w:sz w:val="32"/>
          <w:szCs w:val="32"/>
          <w:highlight w:val="none"/>
        </w:rPr>
        <w:t>单位营业执照、税务登记证</w:t>
      </w:r>
      <w:bookmarkEnd w:id="181"/>
      <w:bookmarkEnd w:id="182"/>
      <w:bookmarkEnd w:id="183"/>
      <w:bookmarkEnd w:id="184"/>
      <w:bookmarkEnd w:id="185"/>
    </w:p>
    <w:p w14:paraId="23FC1EEF">
      <w:pPr>
        <w:spacing w:line="360" w:lineRule="auto"/>
        <w:rPr>
          <w:rFonts w:hint="eastAsia" w:ascii="宋体" w:hAnsi="宋体" w:eastAsia="宋体" w:cs="宋体"/>
          <w:color w:val="auto"/>
          <w:sz w:val="24"/>
          <w:szCs w:val="24"/>
          <w:highlight w:val="none"/>
        </w:rPr>
      </w:pPr>
    </w:p>
    <w:p w14:paraId="7AF85170">
      <w:pPr>
        <w:spacing w:line="360" w:lineRule="auto"/>
        <w:rPr>
          <w:rFonts w:hint="eastAsia" w:ascii="宋体" w:hAnsi="宋体" w:eastAsia="宋体" w:cs="宋体"/>
          <w:color w:val="auto"/>
          <w:sz w:val="24"/>
          <w:szCs w:val="24"/>
          <w:highlight w:val="none"/>
        </w:rPr>
      </w:pPr>
    </w:p>
    <w:p w14:paraId="5F59A9C4">
      <w:pPr>
        <w:spacing w:line="360" w:lineRule="auto"/>
        <w:rPr>
          <w:rFonts w:hint="eastAsia" w:ascii="宋体" w:hAnsi="宋体" w:eastAsia="宋体" w:cs="宋体"/>
          <w:color w:val="auto"/>
          <w:sz w:val="24"/>
          <w:szCs w:val="24"/>
          <w:highlight w:val="none"/>
        </w:rPr>
      </w:pPr>
    </w:p>
    <w:p w14:paraId="5B520D2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厦门万翔招标有限公司：</w:t>
      </w:r>
    </w:p>
    <w:p w14:paraId="624AA32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（签发机关名称）签发的我方单位营业执照副本复印件，该</w:t>
      </w:r>
      <w:r>
        <w:rPr>
          <w:rFonts w:hint="eastAsia" w:ascii="宋体" w:hAnsi="宋体" w:cs="宋体"/>
          <w:color w:val="auto"/>
          <w:sz w:val="24"/>
          <w:szCs w:val="24"/>
          <w:highlight w:val="none"/>
          <w:lang w:eastAsia="zh-CN"/>
        </w:rPr>
        <w:t>营业执照</w:t>
      </w:r>
      <w:r>
        <w:rPr>
          <w:rFonts w:hint="eastAsia" w:ascii="宋体" w:hAnsi="宋体" w:eastAsia="宋体" w:cs="宋体"/>
          <w:color w:val="auto"/>
          <w:sz w:val="24"/>
          <w:szCs w:val="24"/>
          <w:highlight w:val="none"/>
        </w:rPr>
        <w:t>，真实有效。</w:t>
      </w:r>
    </w:p>
    <w:p w14:paraId="1F20EC0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（签发机关名称）签发的我方税务登记证副本复印件，该证件真实有效。</w:t>
      </w:r>
    </w:p>
    <w:p w14:paraId="659BA49E">
      <w:pPr>
        <w:spacing w:line="360" w:lineRule="auto"/>
        <w:rPr>
          <w:rFonts w:hint="eastAsia" w:ascii="宋体" w:hAnsi="宋体" w:eastAsia="宋体" w:cs="宋体"/>
          <w:color w:val="auto"/>
          <w:sz w:val="24"/>
          <w:szCs w:val="24"/>
          <w:highlight w:val="none"/>
        </w:rPr>
      </w:pPr>
    </w:p>
    <w:p w14:paraId="25A3E2DD">
      <w:pPr>
        <w:pStyle w:val="5"/>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注：单位营业执照、税务登记证提供复印件，由企业加盖公章并注明复印件与原件一致。或提供含统一社会信用代码证照。</w:t>
      </w:r>
    </w:p>
    <w:p w14:paraId="44E15C7A">
      <w:pPr>
        <w:spacing w:line="360" w:lineRule="auto"/>
        <w:rPr>
          <w:rFonts w:hint="eastAsia" w:ascii="宋体" w:hAnsi="宋体" w:eastAsia="宋体" w:cs="宋体"/>
          <w:color w:val="auto"/>
          <w:sz w:val="24"/>
          <w:szCs w:val="24"/>
          <w:highlight w:val="none"/>
        </w:rPr>
      </w:pPr>
    </w:p>
    <w:p w14:paraId="25DC77EA">
      <w:pPr>
        <w:spacing w:line="360" w:lineRule="auto"/>
        <w:rPr>
          <w:rFonts w:hint="eastAsia" w:ascii="宋体" w:hAnsi="宋体" w:eastAsia="宋体" w:cs="宋体"/>
          <w:color w:val="auto"/>
          <w:sz w:val="24"/>
          <w:szCs w:val="24"/>
          <w:highlight w:val="none"/>
        </w:rPr>
      </w:pPr>
    </w:p>
    <w:p w14:paraId="44589DC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报价人（全称并加盖公章）：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0C4DCD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报价人代表签字：</w:t>
      </w:r>
      <w:r>
        <w:rPr>
          <w:rFonts w:hint="eastAsia" w:ascii="宋体" w:hAnsi="宋体" w:eastAsia="宋体" w:cs="宋体"/>
          <w:color w:val="auto"/>
          <w:sz w:val="24"/>
          <w:szCs w:val="24"/>
          <w:highlight w:val="none"/>
          <w:u w:val="single"/>
        </w:rPr>
        <w:t xml:space="preserve">                         </w:t>
      </w:r>
    </w:p>
    <w:p w14:paraId="6D0EE01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p>
    <w:p w14:paraId="4DFF9CE6">
      <w:pPr>
        <w:spacing w:line="360" w:lineRule="auto"/>
        <w:rPr>
          <w:rFonts w:hint="eastAsia" w:ascii="宋体" w:hAnsi="宋体" w:eastAsia="宋体" w:cs="宋体"/>
          <w:color w:val="auto"/>
          <w:sz w:val="24"/>
          <w:szCs w:val="24"/>
          <w:highlight w:val="none"/>
        </w:rPr>
      </w:pPr>
    </w:p>
    <w:p w14:paraId="36EC4BD4">
      <w:pPr>
        <w:spacing w:line="360" w:lineRule="auto"/>
        <w:rPr>
          <w:rFonts w:hint="eastAsia" w:ascii="宋体" w:hAnsi="宋体" w:eastAsia="宋体" w:cs="宋体"/>
          <w:color w:val="auto"/>
          <w:sz w:val="24"/>
          <w:szCs w:val="24"/>
          <w:highlight w:val="none"/>
        </w:rPr>
      </w:pPr>
    </w:p>
    <w:p w14:paraId="07D08811">
      <w:pPr>
        <w:spacing w:line="360" w:lineRule="auto"/>
        <w:rPr>
          <w:rFonts w:hint="eastAsia" w:ascii="宋体" w:hAnsi="宋体" w:eastAsia="宋体" w:cs="宋体"/>
          <w:b/>
          <w:bCs/>
          <w:color w:val="auto"/>
          <w:sz w:val="24"/>
          <w:szCs w:val="24"/>
          <w:highlight w:val="none"/>
        </w:rPr>
      </w:pPr>
    </w:p>
    <w:p w14:paraId="7067A113">
      <w:pPr>
        <w:spacing w:line="360" w:lineRule="auto"/>
        <w:rPr>
          <w:rFonts w:hint="eastAsia" w:ascii="宋体" w:hAnsi="宋体" w:eastAsia="宋体" w:cs="宋体"/>
          <w:b/>
          <w:bCs/>
          <w:color w:val="auto"/>
          <w:sz w:val="24"/>
          <w:szCs w:val="24"/>
          <w:highlight w:val="none"/>
        </w:rPr>
      </w:pPr>
    </w:p>
    <w:p w14:paraId="41326E65">
      <w:pPr>
        <w:spacing w:line="360" w:lineRule="auto"/>
        <w:rPr>
          <w:rFonts w:hint="eastAsia" w:ascii="宋体" w:hAnsi="宋体" w:eastAsia="宋体" w:cs="宋体"/>
          <w:b/>
          <w:bCs/>
          <w:color w:val="auto"/>
          <w:sz w:val="24"/>
          <w:szCs w:val="24"/>
          <w:highlight w:val="none"/>
        </w:rPr>
      </w:pPr>
    </w:p>
    <w:p w14:paraId="78442EFA">
      <w:pPr>
        <w:spacing w:line="360" w:lineRule="auto"/>
        <w:rPr>
          <w:rFonts w:hint="eastAsia" w:ascii="宋体" w:hAnsi="宋体" w:eastAsia="宋体" w:cs="宋体"/>
          <w:b/>
          <w:bCs/>
          <w:color w:val="auto"/>
          <w:sz w:val="24"/>
          <w:szCs w:val="24"/>
          <w:highlight w:val="none"/>
        </w:rPr>
      </w:pPr>
    </w:p>
    <w:p w14:paraId="5D479530">
      <w:pPr>
        <w:tabs>
          <w:tab w:val="left" w:pos="2100"/>
          <w:tab w:val="center" w:pos="4201"/>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14:paraId="27972BB9">
      <w:pPr>
        <w:tabs>
          <w:tab w:val="left" w:pos="2100"/>
          <w:tab w:val="center" w:pos="4201"/>
        </w:tabs>
        <w:spacing w:line="360" w:lineRule="auto"/>
        <w:jc w:val="left"/>
        <w:rPr>
          <w:rFonts w:hint="eastAsia" w:ascii="宋体" w:hAnsi="宋体" w:eastAsia="宋体" w:cs="宋体"/>
          <w:color w:val="auto"/>
          <w:sz w:val="24"/>
          <w:szCs w:val="24"/>
          <w:highlight w:val="none"/>
        </w:rPr>
      </w:pPr>
    </w:p>
    <w:p w14:paraId="1F2BE369">
      <w:pPr>
        <w:tabs>
          <w:tab w:val="left" w:pos="2100"/>
          <w:tab w:val="center" w:pos="4201"/>
        </w:tabs>
        <w:spacing w:line="360" w:lineRule="auto"/>
        <w:jc w:val="left"/>
        <w:rPr>
          <w:rFonts w:hint="eastAsia" w:ascii="宋体" w:hAnsi="宋体" w:eastAsia="宋体" w:cs="宋体"/>
          <w:color w:val="auto"/>
          <w:sz w:val="24"/>
          <w:szCs w:val="24"/>
          <w:highlight w:val="none"/>
        </w:rPr>
      </w:pPr>
    </w:p>
    <w:p w14:paraId="4494060D">
      <w:pPr>
        <w:tabs>
          <w:tab w:val="left" w:pos="2100"/>
          <w:tab w:val="center" w:pos="4201"/>
        </w:tabs>
        <w:spacing w:line="360" w:lineRule="auto"/>
        <w:jc w:val="left"/>
        <w:rPr>
          <w:rFonts w:hint="eastAsia" w:ascii="宋体" w:hAnsi="宋体" w:eastAsia="宋体" w:cs="宋体"/>
          <w:color w:val="auto"/>
          <w:sz w:val="24"/>
          <w:szCs w:val="24"/>
          <w:highlight w:val="none"/>
        </w:rPr>
      </w:pPr>
    </w:p>
    <w:p w14:paraId="1B31C42E">
      <w:pPr>
        <w:tabs>
          <w:tab w:val="left" w:pos="2100"/>
          <w:tab w:val="center" w:pos="4201"/>
        </w:tabs>
        <w:spacing w:line="360" w:lineRule="auto"/>
        <w:jc w:val="left"/>
        <w:rPr>
          <w:rFonts w:hint="eastAsia" w:ascii="宋体" w:hAnsi="宋体" w:eastAsia="宋体" w:cs="宋体"/>
          <w:color w:val="auto"/>
          <w:sz w:val="24"/>
          <w:szCs w:val="24"/>
          <w:highlight w:val="none"/>
        </w:rPr>
      </w:pPr>
    </w:p>
    <w:p w14:paraId="32DD87C5">
      <w:pPr>
        <w:tabs>
          <w:tab w:val="left" w:pos="2100"/>
          <w:tab w:val="center" w:pos="4201"/>
        </w:tabs>
        <w:spacing w:line="360" w:lineRule="auto"/>
        <w:jc w:val="left"/>
        <w:rPr>
          <w:rFonts w:hint="eastAsia" w:ascii="宋体" w:hAnsi="宋体" w:eastAsia="宋体" w:cs="宋体"/>
          <w:color w:val="auto"/>
          <w:sz w:val="24"/>
          <w:szCs w:val="24"/>
          <w:highlight w:val="none"/>
        </w:rPr>
      </w:pPr>
    </w:p>
    <w:p w14:paraId="48A660E3">
      <w:pPr>
        <w:spacing w:line="360" w:lineRule="auto"/>
        <w:jc w:val="center"/>
        <w:rPr>
          <w:rFonts w:hint="eastAsia" w:ascii="宋体" w:hAnsi="宋体" w:eastAsia="宋体" w:cs="宋体"/>
          <w:b/>
          <w:bCs/>
          <w:color w:val="auto"/>
          <w:sz w:val="32"/>
          <w:szCs w:val="32"/>
          <w:highlight w:val="none"/>
          <w:lang w:eastAsia="zh-CN"/>
        </w:rPr>
      </w:pPr>
    </w:p>
    <w:p w14:paraId="1B05905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eastAsia="zh-CN"/>
        </w:rPr>
        <w:t>代理服务费</w:t>
      </w:r>
      <w:r>
        <w:rPr>
          <w:rFonts w:hint="eastAsia" w:ascii="宋体" w:hAnsi="宋体" w:eastAsia="宋体" w:cs="宋体"/>
          <w:b/>
          <w:bCs/>
          <w:color w:val="auto"/>
          <w:sz w:val="32"/>
          <w:szCs w:val="32"/>
          <w:highlight w:val="none"/>
        </w:rPr>
        <w:t>承诺书</w:t>
      </w:r>
    </w:p>
    <w:p w14:paraId="2C124254">
      <w:pPr>
        <w:pStyle w:val="20"/>
        <w:spacing w:line="360" w:lineRule="auto"/>
        <w:jc w:val="center"/>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cr/>
      </w:r>
      <w:r>
        <w:rPr>
          <w:rFonts w:hint="eastAsia" w:hAnsi="宋体" w:eastAsia="宋体" w:cs="宋体"/>
          <w:color w:val="auto"/>
          <w:sz w:val="24"/>
          <w:szCs w:val="24"/>
          <w:highlight w:val="none"/>
        </w:rPr>
        <w:t xml:space="preserve">                                </w:t>
      </w:r>
    </w:p>
    <w:p w14:paraId="5828868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致：厦门万翔招标有限公司</w:t>
      </w:r>
    </w:p>
    <w:p w14:paraId="08B450A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我司在贵司组织的</w:t>
      </w:r>
      <w:r>
        <w:rPr>
          <w:rFonts w:hint="eastAsia" w:ascii="宋体" w:hAnsi="宋体" w:eastAsia="宋体" w:cs="宋体"/>
          <w:color w:val="auto"/>
          <w:sz w:val="24"/>
          <w:szCs w:val="24"/>
          <w:highlight w:val="none"/>
          <w:u w:val="single"/>
        </w:rPr>
        <w:t xml:space="preserve">         采购磋商</w:t>
      </w:r>
      <w:r>
        <w:rPr>
          <w:rFonts w:hint="eastAsia" w:ascii="宋体" w:hAnsi="宋体" w:eastAsia="宋体" w:cs="宋体"/>
          <w:color w:val="auto"/>
          <w:sz w:val="24"/>
          <w:szCs w:val="24"/>
          <w:highlight w:val="none"/>
        </w:rPr>
        <w:t>项目中报价（项目编号：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），如获成交，我们保证按采购文件的规定，以支票、汇票、电汇、现金或经贵公司认可的其他付款方式向贵司缴交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w:t>
      </w:r>
    </w:p>
    <w:p w14:paraId="788DB39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我司一旦成交，承诺凭成交通知书原件按采购文件的规定签订合同，并最迟应于合同签订前缴交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，否则，我司同意贵司在厦门招投标网上对我司“不按规定缴交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的行为”进行公示。若自公示之日起3个工作日内，我司仍未缴交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的，我司同意按每日1%计取违约金。</w:t>
      </w:r>
    </w:p>
    <w:p w14:paraId="6CB0E796">
      <w:pPr>
        <w:spacing w:line="360" w:lineRule="auto"/>
        <w:rPr>
          <w:rFonts w:hint="eastAsia" w:ascii="宋体" w:hAnsi="宋体" w:eastAsia="宋体" w:cs="宋体"/>
          <w:color w:val="auto"/>
          <w:sz w:val="24"/>
          <w:szCs w:val="24"/>
          <w:highlight w:val="none"/>
        </w:rPr>
      </w:pPr>
    </w:p>
    <w:p w14:paraId="7DE809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6480F109">
      <w:pPr>
        <w:spacing w:line="360" w:lineRule="auto"/>
        <w:rPr>
          <w:rFonts w:hint="eastAsia" w:ascii="宋体" w:hAnsi="宋体" w:eastAsia="宋体" w:cs="宋体"/>
          <w:color w:val="auto"/>
          <w:sz w:val="24"/>
          <w:szCs w:val="24"/>
          <w:highlight w:val="none"/>
        </w:rPr>
      </w:pPr>
    </w:p>
    <w:p w14:paraId="19DAA940">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报价人（全称并加盖公章）： </w:t>
      </w:r>
      <w:r>
        <w:rPr>
          <w:rFonts w:hint="eastAsia" w:ascii="宋体" w:hAnsi="宋体" w:eastAsia="宋体" w:cs="宋体"/>
          <w:color w:val="auto"/>
          <w:sz w:val="24"/>
          <w:szCs w:val="24"/>
          <w:highlight w:val="none"/>
          <w:u w:val="single"/>
        </w:rPr>
        <w:t xml:space="preserve">                          </w:t>
      </w:r>
    </w:p>
    <w:p w14:paraId="4E5F2A1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报价人代表签字：</w:t>
      </w:r>
      <w:r>
        <w:rPr>
          <w:rFonts w:hint="eastAsia" w:ascii="宋体" w:hAnsi="宋体" w:eastAsia="宋体" w:cs="宋体"/>
          <w:color w:val="auto"/>
          <w:sz w:val="24"/>
          <w:szCs w:val="24"/>
          <w:highlight w:val="none"/>
          <w:u w:val="single"/>
        </w:rPr>
        <w:t xml:space="preserve">                         </w:t>
      </w:r>
    </w:p>
    <w:p w14:paraId="4B962AB3">
      <w:pPr>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14:paraId="2FB04414">
      <w:pPr>
        <w:spacing w:line="360" w:lineRule="auto"/>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           日 期：</w:t>
      </w:r>
    </w:p>
    <w:p w14:paraId="33042B3B">
      <w:pPr>
        <w:spacing w:line="360" w:lineRule="auto"/>
        <w:rPr>
          <w:rFonts w:hint="eastAsia" w:ascii="宋体" w:hAnsi="宋体" w:eastAsia="宋体" w:cs="宋体"/>
          <w:b/>
          <w:color w:val="auto"/>
          <w:sz w:val="24"/>
          <w:szCs w:val="24"/>
          <w:highlight w:val="none"/>
        </w:rPr>
      </w:pPr>
    </w:p>
    <w:p w14:paraId="03037D30">
      <w:pPr>
        <w:spacing w:line="360" w:lineRule="auto"/>
        <w:ind w:left="68"/>
        <w:rPr>
          <w:rFonts w:hint="eastAsia" w:ascii="宋体" w:hAnsi="宋体" w:eastAsia="宋体" w:cs="宋体"/>
          <w:bCs/>
          <w:color w:val="auto"/>
          <w:sz w:val="24"/>
          <w:szCs w:val="24"/>
          <w:highlight w:val="none"/>
        </w:rPr>
      </w:pPr>
    </w:p>
    <w:p w14:paraId="2B75E462">
      <w:pPr>
        <w:spacing w:line="360" w:lineRule="auto"/>
        <w:rPr>
          <w:rFonts w:hint="eastAsia" w:ascii="宋体" w:hAnsi="宋体" w:eastAsia="宋体" w:cs="宋体"/>
          <w:bCs/>
          <w:color w:val="auto"/>
          <w:sz w:val="24"/>
          <w:szCs w:val="24"/>
          <w:highlight w:val="none"/>
        </w:rPr>
      </w:pPr>
    </w:p>
    <w:p w14:paraId="5517EEB0">
      <w:pPr>
        <w:spacing w:line="360" w:lineRule="auto"/>
        <w:rPr>
          <w:rFonts w:hint="eastAsia" w:ascii="宋体" w:hAnsi="宋体" w:eastAsia="宋体" w:cs="宋体"/>
          <w:bCs/>
          <w:color w:val="auto"/>
          <w:sz w:val="24"/>
          <w:szCs w:val="24"/>
          <w:highlight w:val="none"/>
        </w:rPr>
      </w:pPr>
    </w:p>
    <w:p w14:paraId="6408A1EC">
      <w:pPr>
        <w:spacing w:line="360" w:lineRule="auto"/>
        <w:rPr>
          <w:rFonts w:hint="eastAsia" w:ascii="宋体" w:hAnsi="宋体" w:eastAsia="宋体" w:cs="宋体"/>
          <w:bCs/>
          <w:color w:val="auto"/>
          <w:sz w:val="24"/>
          <w:szCs w:val="24"/>
          <w:highlight w:val="none"/>
        </w:rPr>
      </w:pPr>
    </w:p>
    <w:p w14:paraId="182B8478">
      <w:pPr>
        <w:spacing w:line="360" w:lineRule="auto"/>
        <w:rPr>
          <w:rFonts w:hint="eastAsia" w:ascii="宋体" w:hAnsi="宋体" w:eastAsia="宋体" w:cs="宋体"/>
          <w:bCs/>
          <w:color w:val="auto"/>
          <w:sz w:val="24"/>
          <w:szCs w:val="24"/>
          <w:highlight w:val="none"/>
        </w:rPr>
      </w:pPr>
    </w:p>
    <w:p w14:paraId="7D5D63F2">
      <w:pPr>
        <w:spacing w:line="360" w:lineRule="auto"/>
        <w:rPr>
          <w:rFonts w:hint="eastAsia" w:ascii="宋体" w:hAnsi="宋体" w:eastAsia="宋体" w:cs="宋体"/>
          <w:bCs/>
          <w:color w:val="auto"/>
          <w:sz w:val="24"/>
          <w:szCs w:val="24"/>
          <w:highlight w:val="none"/>
        </w:rPr>
      </w:pPr>
    </w:p>
    <w:p w14:paraId="71F86861">
      <w:pPr>
        <w:spacing w:line="360" w:lineRule="auto"/>
        <w:rPr>
          <w:rFonts w:hint="eastAsia" w:ascii="宋体" w:hAnsi="宋体" w:eastAsia="宋体" w:cs="宋体"/>
          <w:bCs/>
          <w:color w:val="auto"/>
          <w:sz w:val="24"/>
          <w:szCs w:val="24"/>
          <w:highlight w:val="none"/>
        </w:rPr>
      </w:pPr>
    </w:p>
    <w:p w14:paraId="1475D6C1">
      <w:pPr>
        <w:spacing w:line="360" w:lineRule="auto"/>
        <w:rPr>
          <w:rFonts w:hint="eastAsia" w:ascii="宋体" w:hAnsi="宋体" w:eastAsia="宋体" w:cs="宋体"/>
          <w:bCs/>
          <w:color w:val="auto"/>
          <w:sz w:val="24"/>
          <w:szCs w:val="24"/>
          <w:highlight w:val="none"/>
        </w:rPr>
      </w:pPr>
    </w:p>
    <w:p w14:paraId="6D59CF03">
      <w:pPr>
        <w:spacing w:line="360" w:lineRule="auto"/>
        <w:rPr>
          <w:rFonts w:hint="eastAsia" w:ascii="宋体" w:hAnsi="宋体" w:eastAsia="宋体" w:cs="宋体"/>
          <w:bCs/>
          <w:color w:val="auto"/>
          <w:sz w:val="24"/>
          <w:szCs w:val="24"/>
          <w:highlight w:val="none"/>
        </w:rPr>
      </w:pPr>
    </w:p>
    <w:p w14:paraId="0CE57CF2">
      <w:pPr>
        <w:spacing w:line="360" w:lineRule="auto"/>
        <w:rPr>
          <w:rFonts w:hint="eastAsia" w:ascii="宋体" w:hAnsi="宋体" w:eastAsia="宋体" w:cs="宋体"/>
          <w:bCs/>
          <w:color w:val="auto"/>
          <w:sz w:val="24"/>
          <w:szCs w:val="24"/>
          <w:highlight w:val="none"/>
        </w:rPr>
      </w:pPr>
    </w:p>
    <w:p w14:paraId="07DB0822">
      <w:pPr>
        <w:spacing w:line="360" w:lineRule="auto"/>
        <w:rPr>
          <w:rFonts w:hint="eastAsia" w:ascii="宋体" w:hAnsi="宋体" w:eastAsia="宋体" w:cs="宋体"/>
          <w:bCs/>
          <w:color w:val="auto"/>
          <w:sz w:val="24"/>
          <w:szCs w:val="24"/>
          <w:highlight w:val="none"/>
        </w:rPr>
      </w:pPr>
    </w:p>
    <w:p w14:paraId="6EF62BCB">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附：廉洁承诺书</w:t>
      </w:r>
    </w:p>
    <w:p w14:paraId="1337CFF0">
      <w:pPr>
        <w:widowControl/>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廉洁承诺书</w:t>
      </w:r>
    </w:p>
    <w:p w14:paraId="2D02C08A">
      <w:pPr>
        <w:widowControl/>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为促进廉洁自律有关规定的落实，打击贿赂、以权谋私等违法犯罪行为，保证各项经营活动健康有序开展，维护员工职业操守，提高合作效率，本单位在与厦门万翔招标有限公司开展报价业务活动中承诺： </w:t>
      </w:r>
    </w:p>
    <w:p w14:paraId="14852CB7">
      <w:pPr>
        <w:widowControl/>
        <w:spacing w:line="360" w:lineRule="auto"/>
        <w:ind w:left="69"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一、自觉遵守国家法律、法规，按照《中国共产党纪律处分条例》、《中华人民共和国反不正当竞争法》、《关于禁止商业贿赂行为的暂行规定》以及有关要求进行各项业务活动。</w:t>
      </w:r>
    </w:p>
    <w:p w14:paraId="5C74C3DA">
      <w:pPr>
        <w:widowControl/>
        <w:spacing w:line="360" w:lineRule="auto"/>
        <w:ind w:left="69"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向厦门万翔招标有限公司的工作人员及其亲属馈赠礼金、礼品（含有价证券）；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14:paraId="1A323818">
      <w:pPr>
        <w:widowControl/>
        <w:spacing w:line="360" w:lineRule="auto"/>
        <w:ind w:left="69"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三、不与其他经营者串通报价，不排挤其他经营者的公平竞争，损害其他经营者的合法权益；不在工程建设的预决算编制工作中弄虚作假、高估冒算。</w:t>
      </w:r>
    </w:p>
    <w:p w14:paraId="7212BA04">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四、发现厦门万翔招标有限公司的工作人员有受贿行为或索贿要求、徇私舞弊、滥用职权时，将予以举报并提供证据。举报电话：5705656或</w:t>
      </w:r>
      <w:r>
        <w:rPr>
          <w:rFonts w:hint="eastAsia" w:ascii="宋体" w:hAnsi="宋体" w:cs="宋体"/>
          <w:color w:val="auto"/>
          <w:sz w:val="24"/>
          <w:szCs w:val="24"/>
          <w:highlight w:val="none"/>
          <w:lang w:eastAsia="zh-CN"/>
        </w:rPr>
        <w:t>5706818</w:t>
      </w:r>
      <w:r>
        <w:rPr>
          <w:rFonts w:hint="eastAsia" w:ascii="宋体" w:hAnsi="宋体" w:eastAsia="宋体" w:cs="宋体"/>
          <w:color w:val="auto"/>
          <w:sz w:val="24"/>
          <w:szCs w:val="24"/>
          <w:highlight w:val="none"/>
        </w:rPr>
        <w:t>；举报邮箱：</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"mailto:zpk@iport.com.cn"</w:instrText>
      </w:r>
      <w:r>
        <w:rPr>
          <w:rFonts w:hint="eastAsia" w:ascii="宋体" w:hAnsi="宋体" w:eastAsia="宋体" w:cs="宋体"/>
          <w:color w:val="auto"/>
          <w:sz w:val="24"/>
          <w:szCs w:val="24"/>
          <w:highlight w:val="none"/>
        </w:rPr>
        <w:fldChar w:fldCharType="separate"/>
      </w:r>
      <w:r>
        <w:rPr>
          <w:rStyle w:val="18"/>
          <w:rFonts w:hint="eastAsia" w:ascii="宋体" w:hAnsi="宋体" w:cs="宋体"/>
          <w:color w:val="auto"/>
          <w:sz w:val="24"/>
          <w:szCs w:val="24"/>
          <w:highlight w:val="none"/>
          <w:lang w:eastAsia="zh-CN"/>
        </w:rPr>
        <w:t>cts@iport.com.cn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；举报信件：厦门市湖里区机场北路476号四楼厦门万翔招标有限公司 ，总经理收。</w:t>
      </w:r>
    </w:p>
    <w:p w14:paraId="188518DA">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万元人民币违约金；致使厦门万翔招标有限公司工作人员受到司法机关刑事追究（判处拘役或有期徒刑以上刑罚处罚），自判决生效之日起三日内，本单位自愿支付贵公司</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万元人民币违约金。</w:t>
      </w:r>
    </w:p>
    <w:p w14:paraId="2BE3C447">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46D2B3EF">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报价人名称（盖章）：</w:t>
      </w:r>
    </w:p>
    <w:p w14:paraId="68755CCC">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p>
    <w:p w14:paraId="12FE552B">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1D234553">
      <w:pPr>
        <w:spacing w:line="360" w:lineRule="auto"/>
        <w:ind w:left="69" w:firstLine="460" w:firstLineChars="192"/>
        <w:rPr>
          <w:rStyle w:val="16"/>
          <w:rFonts w:hint="eastAsia" w:ascii="宋体" w:hAnsi="宋体" w:eastAsia="宋体" w:cs="宋体"/>
          <w:bCs w:val="0"/>
          <w:color w:val="auto"/>
          <w:sz w:val="24"/>
          <w:szCs w:val="24"/>
          <w:highlight w:val="none"/>
        </w:rPr>
      </w:pPr>
      <w:r>
        <w:rPr>
          <w:rFonts w:hint="eastAsia" w:ascii="宋体" w:hAnsi="宋体" w:eastAsia="宋体" w:cs="宋体"/>
          <w:color w:val="auto"/>
          <w:sz w:val="24"/>
          <w:szCs w:val="24"/>
          <w:highlight w:val="none"/>
        </w:rPr>
        <w:t>日期：</w:t>
      </w:r>
    </w:p>
    <w:p w14:paraId="19CFE987">
      <w:pPr>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质疑函要求</w:t>
      </w:r>
    </w:p>
    <w:p w14:paraId="5F8A6762">
      <w:pPr>
        <w:spacing w:line="360" w:lineRule="auto"/>
        <w:ind w:firstLine="480" w:firstLineChars="200"/>
        <w:rPr>
          <w:rFonts w:hint="eastAsia" w:ascii="宋体" w:hAnsi="宋体" w:eastAsia="宋体" w:cs="宋体"/>
          <w:color w:val="auto"/>
          <w:sz w:val="24"/>
          <w:szCs w:val="24"/>
          <w:highlight w:val="none"/>
        </w:rPr>
      </w:pPr>
    </w:p>
    <w:p w14:paraId="28999E98">
      <w:pPr>
        <w:pStyle w:val="1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供应商提出质疑应当提交质疑函和必要的证明材料。质疑函应当包括下列内容：</w:t>
      </w:r>
    </w:p>
    <w:p w14:paraId="4A6CFC00">
      <w:pPr>
        <w:pStyle w:val="1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(一)供应商的姓名或者名称、地址、邮编、联系人及联系电话;</w:t>
      </w:r>
    </w:p>
    <w:p w14:paraId="4C49E336">
      <w:pPr>
        <w:pStyle w:val="1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14:paraId="607014E2">
      <w:pPr>
        <w:pStyle w:val="1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(三)具体、明确的质疑事项和与质疑事项相关的请求;</w:t>
      </w:r>
    </w:p>
    <w:p w14:paraId="01444A51">
      <w:pPr>
        <w:pStyle w:val="1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w:t>
      </w:r>
    </w:p>
    <w:p w14:paraId="444B5E0E">
      <w:pPr>
        <w:pStyle w:val="1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(五)必要的法律依据;</w:t>
      </w:r>
    </w:p>
    <w:p w14:paraId="50B7D520">
      <w:pPr>
        <w:pStyle w:val="1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14:paraId="6705B619">
      <w:pPr>
        <w:pStyle w:val="1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供应商为自然人的，应当由本人签字;供应商为法人或者其他组织的，应当由法定代表人、主要负责人，或者其授权代表签字或者盖章，并加盖公章。</w:t>
      </w:r>
    </w:p>
    <w:p w14:paraId="337229F1">
      <w:pPr>
        <w:pStyle w:val="12"/>
        <w:spacing w:line="360" w:lineRule="auto"/>
        <w:rPr>
          <w:rFonts w:hint="eastAsia" w:ascii="宋体" w:hAnsi="宋体" w:eastAsia="宋体" w:cs="宋体"/>
          <w:color w:val="auto"/>
          <w:highlight w:val="none"/>
        </w:rPr>
      </w:pPr>
    </w:p>
    <w:p w14:paraId="49E214D5">
      <w:pPr>
        <w:pStyle w:val="12"/>
        <w:spacing w:line="360" w:lineRule="auto"/>
        <w:rPr>
          <w:rFonts w:hint="eastAsia" w:ascii="宋体" w:hAnsi="宋体" w:eastAsia="宋体" w:cs="宋体"/>
          <w:color w:val="auto"/>
          <w:highlight w:val="none"/>
        </w:rPr>
      </w:pPr>
    </w:p>
    <w:p w14:paraId="487447AB">
      <w:pPr>
        <w:pStyle w:val="12"/>
        <w:spacing w:line="360" w:lineRule="auto"/>
        <w:rPr>
          <w:rFonts w:hint="eastAsia" w:ascii="宋体" w:hAnsi="宋体" w:eastAsia="宋体" w:cs="宋体"/>
          <w:color w:val="auto"/>
          <w:highlight w:val="none"/>
        </w:rPr>
      </w:pPr>
    </w:p>
    <w:p w14:paraId="23AD80EF">
      <w:pPr>
        <w:pStyle w:val="12"/>
        <w:spacing w:line="360" w:lineRule="auto"/>
        <w:rPr>
          <w:rFonts w:hint="eastAsia" w:ascii="宋体" w:hAnsi="宋体" w:eastAsia="宋体" w:cs="宋体"/>
          <w:color w:val="auto"/>
          <w:highlight w:val="none"/>
        </w:rPr>
      </w:pPr>
    </w:p>
    <w:p w14:paraId="3D3C6BB0">
      <w:pPr>
        <w:pStyle w:val="12"/>
        <w:spacing w:line="360" w:lineRule="auto"/>
        <w:rPr>
          <w:rFonts w:hint="eastAsia" w:ascii="宋体" w:hAnsi="宋体" w:eastAsia="宋体" w:cs="宋体"/>
          <w:color w:val="auto"/>
          <w:highlight w:val="none"/>
        </w:rPr>
      </w:pPr>
    </w:p>
    <w:p w14:paraId="7D985007">
      <w:pPr>
        <w:pStyle w:val="12"/>
        <w:spacing w:line="360" w:lineRule="auto"/>
        <w:rPr>
          <w:rFonts w:hint="eastAsia" w:ascii="宋体" w:hAnsi="宋体" w:eastAsia="宋体" w:cs="宋体"/>
          <w:color w:val="auto"/>
          <w:highlight w:val="none"/>
        </w:rPr>
      </w:pPr>
    </w:p>
    <w:p w14:paraId="65C84E64">
      <w:pPr>
        <w:pStyle w:val="12"/>
        <w:spacing w:line="360" w:lineRule="auto"/>
        <w:jc w:val="center"/>
        <w:rPr>
          <w:rFonts w:hint="eastAsia" w:ascii="宋体" w:hAnsi="宋体" w:eastAsia="宋体" w:cs="宋体"/>
          <w:color w:val="auto"/>
          <w:sz w:val="32"/>
          <w:szCs w:val="32"/>
          <w:highlight w:val="none"/>
        </w:rPr>
      </w:pPr>
    </w:p>
    <w:p w14:paraId="1C5CB91F">
      <w:pPr>
        <w:pStyle w:val="12"/>
        <w:spacing w:line="360" w:lineRule="auto"/>
        <w:jc w:val="center"/>
        <w:rPr>
          <w:rFonts w:hint="eastAsia" w:ascii="宋体" w:hAnsi="宋体" w:eastAsia="宋体" w:cs="宋体"/>
          <w:color w:val="auto"/>
          <w:sz w:val="32"/>
          <w:szCs w:val="32"/>
          <w:highlight w:val="none"/>
        </w:rPr>
      </w:pPr>
    </w:p>
    <w:p w14:paraId="0D37F72E">
      <w:pPr>
        <w:pStyle w:val="12"/>
        <w:spacing w:line="360" w:lineRule="auto"/>
        <w:jc w:val="center"/>
        <w:rPr>
          <w:rFonts w:hint="eastAsia" w:ascii="宋体" w:hAnsi="宋体" w:eastAsia="宋体" w:cs="宋体"/>
          <w:color w:val="auto"/>
          <w:sz w:val="32"/>
          <w:szCs w:val="32"/>
          <w:highlight w:val="none"/>
        </w:rPr>
      </w:pPr>
    </w:p>
    <w:p w14:paraId="3B3C904F">
      <w:pPr>
        <w:pStyle w:val="12"/>
        <w:spacing w:line="360" w:lineRule="auto"/>
        <w:jc w:val="center"/>
        <w:rPr>
          <w:rFonts w:hint="eastAsia" w:ascii="宋体" w:hAnsi="宋体" w:eastAsia="宋体" w:cs="宋体"/>
          <w:color w:val="auto"/>
          <w:sz w:val="32"/>
          <w:szCs w:val="32"/>
          <w:highlight w:val="none"/>
        </w:rPr>
      </w:pPr>
    </w:p>
    <w:p w14:paraId="7B38D9D5">
      <w:pPr>
        <w:pStyle w:val="12"/>
        <w:spacing w:line="360" w:lineRule="auto"/>
        <w:jc w:val="center"/>
        <w:rPr>
          <w:rFonts w:hint="eastAsia" w:ascii="宋体" w:hAnsi="宋体" w:eastAsia="宋体" w:cs="宋体"/>
          <w:color w:val="auto"/>
          <w:sz w:val="32"/>
          <w:szCs w:val="32"/>
          <w:highlight w:val="none"/>
        </w:rPr>
      </w:pPr>
    </w:p>
    <w:p w14:paraId="26129063">
      <w:pPr>
        <w:pStyle w:val="12"/>
        <w:spacing w:line="360" w:lineRule="auto"/>
        <w:jc w:val="center"/>
        <w:rPr>
          <w:rFonts w:hint="eastAsia" w:ascii="宋体" w:hAnsi="宋体" w:eastAsia="宋体" w:cs="宋体"/>
          <w:color w:val="auto"/>
          <w:sz w:val="32"/>
          <w:szCs w:val="32"/>
          <w:highlight w:val="none"/>
        </w:rPr>
      </w:pPr>
    </w:p>
    <w:p w14:paraId="508BFFDD">
      <w:pPr>
        <w:pStyle w:val="12"/>
        <w:spacing w:line="360" w:lineRule="auto"/>
        <w:jc w:val="center"/>
        <w:rPr>
          <w:rFonts w:hint="eastAsia" w:ascii="宋体" w:hAnsi="宋体" w:eastAsia="宋体" w:cs="宋体"/>
          <w:color w:val="auto"/>
          <w:sz w:val="32"/>
          <w:szCs w:val="32"/>
          <w:highlight w:val="none"/>
        </w:rPr>
      </w:pPr>
    </w:p>
    <w:p w14:paraId="502E1A72">
      <w:pPr>
        <w:pStyle w:val="12"/>
        <w:spacing w:line="360" w:lineRule="auto"/>
        <w:jc w:val="center"/>
        <w:rPr>
          <w:rFonts w:hint="eastAsia" w:ascii="宋体" w:hAnsi="宋体" w:eastAsia="宋体" w:cs="宋体"/>
          <w:color w:val="auto"/>
          <w:sz w:val="32"/>
          <w:szCs w:val="32"/>
          <w:highlight w:val="none"/>
        </w:rPr>
      </w:pPr>
    </w:p>
    <w:p w14:paraId="49D49CA3">
      <w:pPr>
        <w:pStyle w:val="12"/>
        <w:spacing w:line="360" w:lineRule="auto"/>
        <w:jc w:val="center"/>
        <w:rPr>
          <w:rFonts w:hint="eastAsia" w:ascii="宋体" w:hAnsi="宋体" w:eastAsia="宋体" w:cs="宋体"/>
          <w:color w:val="auto"/>
          <w:sz w:val="32"/>
          <w:szCs w:val="32"/>
          <w:highlight w:val="none"/>
        </w:rPr>
      </w:pPr>
    </w:p>
    <w:p w14:paraId="6087C164">
      <w:pPr>
        <w:pStyle w:val="12"/>
        <w:spacing w:line="360" w:lineRule="auto"/>
        <w:jc w:val="center"/>
        <w:rPr>
          <w:rFonts w:hint="eastAsia" w:ascii="宋体" w:hAnsi="宋体" w:eastAsia="宋体" w:cs="宋体"/>
          <w:color w:val="auto"/>
          <w:sz w:val="32"/>
          <w:szCs w:val="32"/>
          <w:highlight w:val="none"/>
        </w:rPr>
      </w:pPr>
    </w:p>
    <w:p w14:paraId="0069717B">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highlight w:val="none"/>
        </w:rPr>
      </w:pPr>
      <w:bookmarkStart w:id="186" w:name="_Toc21789"/>
      <w:bookmarkStart w:id="187" w:name="_Toc17923"/>
      <w:bookmarkStart w:id="188" w:name="_Toc1957557071"/>
      <w:bookmarkStart w:id="189" w:name="_Toc31659"/>
      <w:bookmarkStart w:id="190" w:name="_Toc1576965429"/>
      <w:r>
        <w:rPr>
          <w:rFonts w:hint="eastAsia"/>
          <w:color w:val="auto"/>
          <w:highlight w:val="none"/>
          <w:lang w:val="en-US" w:eastAsia="zh-CN"/>
        </w:rPr>
        <w:t>附件：福建省</w:t>
      </w:r>
      <w:r>
        <w:rPr>
          <w:rFonts w:hint="eastAsia"/>
          <w:color w:val="auto"/>
          <w:highlight w:val="none"/>
        </w:rPr>
        <w:t>政府采购供应商资格承诺函</w:t>
      </w:r>
      <w:bookmarkEnd w:id="186"/>
      <w:bookmarkEnd w:id="187"/>
      <w:bookmarkEnd w:id="188"/>
      <w:bookmarkEnd w:id="189"/>
      <w:bookmarkEnd w:id="190"/>
    </w:p>
    <w:p w14:paraId="65A00D4A">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致(采购人或政府采购代理机构):</w:t>
      </w:r>
    </w:p>
    <w:p w14:paraId="4EE54D58">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单位名称(自然人姓名):</w:t>
      </w:r>
    </w:p>
    <w:p w14:paraId="2EEE2B5F">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统一社会信用代码(身份证号码):</w:t>
      </w:r>
    </w:p>
    <w:p w14:paraId="06A30B7D">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w:t>
      </w:r>
    </w:p>
    <w:p w14:paraId="64995890">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联系地址和电话:</w:t>
      </w:r>
    </w:p>
    <w:p w14:paraId="1B552F71">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p>
    <w:p w14:paraId="22A837B3">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740164CA">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一、我单位(本人)</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采购文件要求以及《中华人民共和国政府采购法》第二十二条规定的条件:</w:t>
      </w:r>
    </w:p>
    <w:p w14:paraId="5F102E5E">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71681977">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31E8ED04">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41DD88E6">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63A0480D">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5.参加政府采购活动前三年内，在经营活动中没有重大违法记录</w:t>
      </w:r>
      <w:r>
        <w:rPr>
          <w:rFonts w:hint="eastAsia" w:ascii="宋体" w:hAnsi="宋体" w:eastAsia="宋体" w:cs="宋体"/>
          <w:color w:val="auto"/>
          <w:sz w:val="24"/>
          <w:szCs w:val="24"/>
          <w:highlight w:val="none"/>
          <w:lang w:eastAsia="zh-CN"/>
        </w:rPr>
        <w:t>；</w:t>
      </w:r>
    </w:p>
    <w:p w14:paraId="28E77A93">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法律、行政法规规定的其他条件。</w:t>
      </w:r>
    </w:p>
    <w:p w14:paraId="331C3946">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93AFCA1">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r>
        <w:rPr>
          <w:rFonts w:hint="eastAsia" w:ascii="宋体" w:hAnsi="宋体" w:eastAsia="宋体" w:cs="宋体"/>
          <w:color w:val="auto"/>
          <w:sz w:val="24"/>
          <w:szCs w:val="24"/>
          <w:highlight w:val="none"/>
          <w:lang w:eastAsia="zh-CN"/>
        </w:rPr>
        <w:t>和政府采购法律法规有关</w:t>
      </w:r>
      <w:r>
        <w:rPr>
          <w:rFonts w:hint="eastAsia" w:ascii="宋体" w:hAnsi="宋体" w:eastAsia="宋体" w:cs="宋体"/>
          <w:color w:val="auto"/>
          <w:sz w:val="24"/>
          <w:szCs w:val="24"/>
          <w:highlight w:val="none"/>
          <w:lang w:val="en-US" w:eastAsia="zh-CN"/>
        </w:rPr>
        <w:t>规定</w:t>
      </w:r>
      <w:r>
        <w:rPr>
          <w:rFonts w:hint="eastAsia" w:ascii="宋体" w:hAnsi="宋体" w:eastAsia="宋体" w:cs="宋体"/>
          <w:color w:val="auto"/>
          <w:sz w:val="24"/>
          <w:szCs w:val="24"/>
          <w:highlight w:val="none"/>
        </w:rPr>
        <w:t>处理。</w:t>
      </w:r>
    </w:p>
    <w:p w14:paraId="6D522C56">
      <w:pPr>
        <w:pageBreakBefore w:val="0"/>
        <w:widowControl w:val="0"/>
        <w:kinsoku/>
        <w:wordWrap/>
        <w:overflowPunct/>
        <w:topLinePunct w:val="0"/>
        <w:autoSpaceDE/>
        <w:autoSpaceDN/>
        <w:bidi w:val="0"/>
        <w:adjustRightInd/>
        <w:snapToGrid/>
        <w:spacing w:line="560" w:lineRule="exact"/>
        <w:ind w:firstLine="2640" w:firstLineChars="1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报价人</w:t>
      </w:r>
      <w:r>
        <w:rPr>
          <w:rFonts w:hint="eastAsia" w:ascii="宋体" w:hAnsi="宋体" w:eastAsia="宋体" w:cs="宋体"/>
          <w:color w:val="auto"/>
          <w:sz w:val="24"/>
          <w:szCs w:val="24"/>
          <w:highlight w:val="none"/>
        </w:rPr>
        <w:t>名称(单位公章):</w:t>
      </w:r>
    </w:p>
    <w:p w14:paraId="4A1BB60A">
      <w:pPr>
        <w:pageBreakBefore w:val="0"/>
        <w:widowControl w:val="0"/>
        <w:kinsoku/>
        <w:wordWrap/>
        <w:overflowPunct/>
        <w:topLinePunct w:val="0"/>
        <w:autoSpaceDE/>
        <w:autoSpaceDN/>
        <w:bidi w:val="0"/>
        <w:adjustRightInd/>
        <w:snapToGrid/>
        <w:spacing w:line="560" w:lineRule="exact"/>
        <w:ind w:firstLine="2640" w:firstLineChars="1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月   </w:t>
      </w:r>
      <w:r>
        <w:rPr>
          <w:rFonts w:hint="eastAsia" w:ascii="宋体" w:hAnsi="宋体" w:eastAsia="宋体" w:cs="宋体"/>
          <w:color w:val="auto"/>
          <w:sz w:val="24"/>
          <w:szCs w:val="24"/>
          <w:highlight w:val="none"/>
        </w:rPr>
        <w:t>日</w:t>
      </w:r>
    </w:p>
    <w:p w14:paraId="4775BEAA">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32"/>
          <w:szCs w:val="32"/>
          <w:highlight w:val="none"/>
        </w:rPr>
      </w:pPr>
    </w:p>
    <w:p w14:paraId="041FBC6D">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32"/>
          <w:szCs w:val="32"/>
          <w:highlight w:val="none"/>
        </w:rPr>
      </w:pPr>
    </w:p>
    <w:p w14:paraId="45C8C3E1">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09148CA">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bookmarkStart w:id="191" w:name="_Toc21670"/>
      <w:r>
        <w:rPr>
          <w:rFonts w:hint="eastAsia" w:ascii="宋体" w:hAnsi="宋体" w:eastAsia="宋体" w:cs="宋体"/>
          <w:color w:val="auto"/>
          <w:sz w:val="24"/>
          <w:szCs w:val="24"/>
          <w:highlight w:val="none"/>
        </w:rPr>
        <w:t>1.我单位(本人)专指参加政府采购活动的供应商(含自然人)</w:t>
      </w:r>
      <w:r>
        <w:rPr>
          <w:rFonts w:hint="eastAsia" w:ascii="宋体" w:hAnsi="宋体" w:eastAsia="宋体" w:cs="宋体"/>
          <w:color w:val="auto"/>
          <w:sz w:val="24"/>
          <w:szCs w:val="24"/>
          <w:highlight w:val="none"/>
          <w:lang w:eastAsia="zh-CN"/>
        </w:rPr>
        <w:t>；</w:t>
      </w:r>
      <w:bookmarkEnd w:id="191"/>
    </w:p>
    <w:p w14:paraId="759B5C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资格承诺的</w:t>
      </w:r>
      <w:r>
        <w:rPr>
          <w:rFonts w:hint="eastAsia" w:ascii="宋体" w:hAnsi="宋体" w:eastAsia="宋体" w:cs="宋体"/>
          <w:color w:val="auto"/>
          <w:sz w:val="24"/>
          <w:szCs w:val="24"/>
          <w:highlight w:val="none"/>
          <w:lang w:val="en-US" w:eastAsia="zh-CN"/>
        </w:rPr>
        <w:t>报价人</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(响应)文件中按此模板提供承诺函，否则，视为</w:t>
      </w:r>
      <w:r>
        <w:rPr>
          <w:rFonts w:hint="eastAsia" w:ascii="宋体" w:hAnsi="宋体" w:eastAsia="宋体" w:cs="宋体"/>
          <w:color w:val="auto"/>
          <w:sz w:val="24"/>
          <w:szCs w:val="24"/>
          <w:highlight w:val="none"/>
          <w:lang w:eastAsia="zh-CN"/>
        </w:rPr>
        <w:t>未按照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文件规定提交</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lang w:eastAsia="zh-CN"/>
        </w:rPr>
        <w:t>人的资格及资信文件，按资格审查不通过处理。</w:t>
      </w:r>
    </w:p>
    <w:p w14:paraId="1B8CA37A">
      <w:pPr>
        <w:spacing w:line="360" w:lineRule="auto"/>
        <w:rPr>
          <w:rFonts w:hint="eastAsia" w:ascii="宋体" w:hAnsi="宋体" w:eastAsia="宋体" w:cs="宋体"/>
          <w:color w:val="auto"/>
          <w:sz w:val="24"/>
          <w:szCs w:val="24"/>
          <w:highlight w:val="none"/>
        </w:rPr>
        <w:sectPr>
          <w:pgSz w:w="11906" w:h="16838"/>
          <w:pgMar w:top="1134" w:right="1134" w:bottom="1134" w:left="1134" w:header="851" w:footer="992" w:gutter="0"/>
          <w:cols w:space="720" w:num="1"/>
          <w:docGrid w:type="lines" w:linePitch="312" w:charSpace="0"/>
        </w:sectPr>
      </w:pPr>
    </w:p>
    <w:p w14:paraId="26AAC131">
      <w:pPr>
        <w:pStyle w:val="3"/>
        <w:jc w:val="center"/>
        <w:outlineLvl w:val="1"/>
        <w:rPr>
          <w:rFonts w:hint="eastAsia" w:ascii="宋体" w:hAnsi="宋体" w:cs="宋体"/>
          <w:color w:val="auto"/>
          <w:sz w:val="28"/>
          <w:szCs w:val="28"/>
          <w:highlight w:val="none"/>
        </w:rPr>
      </w:pPr>
      <w:bookmarkStart w:id="192" w:name="_Toc19028"/>
      <w:bookmarkStart w:id="193" w:name="_Toc515448370"/>
      <w:bookmarkStart w:id="194" w:name="_Toc481479999"/>
      <w:bookmarkStart w:id="195" w:name="_Toc482352471"/>
      <w:bookmarkStart w:id="196" w:name="_Toc29742"/>
      <w:bookmarkStart w:id="197" w:name="_Toc29977"/>
      <w:bookmarkStart w:id="198" w:name="_Toc515448957"/>
      <w:bookmarkStart w:id="199" w:name="_Toc518466688"/>
      <w:bookmarkStart w:id="200" w:name="_Toc445805337"/>
      <w:bookmarkStart w:id="201" w:name="_Toc480983544"/>
      <w:bookmarkStart w:id="202" w:name="_Toc1855495656"/>
      <w:bookmarkStart w:id="203" w:name="_Toc20916"/>
      <w:bookmarkStart w:id="204" w:name="_Toc16305"/>
      <w:bookmarkStart w:id="205" w:name="_Toc1483063142"/>
      <w:bookmarkStart w:id="206" w:name="_Toc533519525"/>
      <w:bookmarkStart w:id="207" w:name="_Toc481048051"/>
      <w:r>
        <w:rPr>
          <w:rFonts w:hint="eastAsia" w:ascii="宋体" w:hAnsi="宋体" w:cs="宋体"/>
          <w:color w:val="auto"/>
          <w:sz w:val="28"/>
          <w:szCs w:val="28"/>
          <w:highlight w:val="none"/>
        </w:rPr>
        <w:t>资格及符合性条款（带*条款）响应表</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662D9EBD">
      <w:pPr>
        <w:rPr>
          <w:rFonts w:hint="eastAsia" w:ascii="宋体" w:hAnsi="宋体" w:cs="宋体"/>
          <w:bCs/>
          <w:color w:val="auto"/>
          <w:sz w:val="24"/>
          <w:highlight w:val="none"/>
        </w:rPr>
      </w:pPr>
      <w:r>
        <w:rPr>
          <w:rFonts w:hint="eastAsia" w:ascii="宋体" w:hAnsi="宋体" w:cs="宋体"/>
          <w:bCs/>
          <w:color w:val="auto"/>
          <w:sz w:val="24"/>
          <w:highlight w:val="none"/>
        </w:rPr>
        <w:t>供应商名称：</w:t>
      </w:r>
    </w:p>
    <w:tbl>
      <w:tblPr>
        <w:tblStyle w:val="13"/>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5812"/>
        <w:gridCol w:w="992"/>
        <w:gridCol w:w="850"/>
        <w:gridCol w:w="851"/>
      </w:tblGrid>
      <w:tr w14:paraId="4332D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872" w:type="dxa"/>
            <w:noWrap w:val="0"/>
            <w:vAlign w:val="center"/>
          </w:tcPr>
          <w:p w14:paraId="608BD4B8">
            <w:pPr>
              <w:widowControl/>
              <w:jc w:val="left"/>
              <w:rPr>
                <w:rFonts w:hint="eastAsia" w:ascii="宋体" w:hAnsi="宋体" w:cs="宋体"/>
                <w:bCs/>
                <w:color w:val="auto"/>
                <w:sz w:val="24"/>
                <w:highlight w:val="none"/>
              </w:rPr>
            </w:pPr>
            <w:r>
              <w:rPr>
                <w:rFonts w:hint="eastAsia" w:ascii="宋体" w:hAnsi="宋体" w:cs="宋体"/>
                <w:bCs/>
                <w:color w:val="auto"/>
                <w:sz w:val="24"/>
                <w:highlight w:val="none"/>
              </w:rPr>
              <w:t>序号</w:t>
            </w:r>
          </w:p>
        </w:tc>
        <w:tc>
          <w:tcPr>
            <w:tcW w:w="5812" w:type="dxa"/>
            <w:noWrap w:val="0"/>
            <w:vAlign w:val="center"/>
          </w:tcPr>
          <w:p w14:paraId="11815CC4">
            <w:pPr>
              <w:widowControl/>
              <w:jc w:val="center"/>
              <w:rPr>
                <w:rFonts w:hint="eastAsia" w:ascii="宋体" w:hAnsi="宋体" w:cs="宋体"/>
                <w:bCs/>
                <w:color w:val="auto"/>
                <w:sz w:val="24"/>
                <w:highlight w:val="none"/>
              </w:rPr>
            </w:pPr>
            <w:r>
              <w:rPr>
                <w:rFonts w:hint="eastAsia" w:ascii="宋体" w:hAnsi="宋体" w:cs="宋体"/>
                <w:bCs/>
                <w:color w:val="auto"/>
                <w:sz w:val="24"/>
                <w:highlight w:val="none"/>
              </w:rPr>
              <w:t>采购文件要求</w:t>
            </w:r>
          </w:p>
        </w:tc>
        <w:tc>
          <w:tcPr>
            <w:tcW w:w="992" w:type="dxa"/>
            <w:noWrap w:val="0"/>
            <w:vAlign w:val="center"/>
          </w:tcPr>
          <w:p w14:paraId="16B93FCE">
            <w:pPr>
              <w:widowControl/>
              <w:jc w:val="center"/>
              <w:rPr>
                <w:rFonts w:hint="eastAsia" w:ascii="宋体" w:hAnsi="宋体" w:cs="宋体"/>
                <w:bCs/>
                <w:color w:val="auto"/>
                <w:sz w:val="24"/>
                <w:highlight w:val="none"/>
              </w:rPr>
            </w:pPr>
            <w:r>
              <w:rPr>
                <w:rFonts w:hint="eastAsia" w:ascii="宋体" w:hAnsi="宋体" w:cs="宋体"/>
                <w:bCs/>
                <w:color w:val="auto"/>
                <w:sz w:val="24"/>
                <w:highlight w:val="none"/>
              </w:rPr>
              <w:t>报价响应情况</w:t>
            </w:r>
          </w:p>
        </w:tc>
        <w:tc>
          <w:tcPr>
            <w:tcW w:w="850" w:type="dxa"/>
            <w:noWrap w:val="0"/>
            <w:vAlign w:val="center"/>
          </w:tcPr>
          <w:p w14:paraId="01937EEB">
            <w:pPr>
              <w:widowControl/>
              <w:jc w:val="center"/>
              <w:rPr>
                <w:rFonts w:hint="eastAsia" w:ascii="宋体" w:hAnsi="宋体" w:cs="宋体"/>
                <w:bCs/>
                <w:color w:val="auto"/>
                <w:sz w:val="24"/>
                <w:highlight w:val="none"/>
              </w:rPr>
            </w:pPr>
            <w:r>
              <w:rPr>
                <w:rFonts w:hint="eastAsia" w:ascii="宋体" w:hAnsi="宋体" w:cs="宋体"/>
                <w:bCs/>
                <w:color w:val="auto"/>
                <w:sz w:val="24"/>
                <w:highlight w:val="none"/>
              </w:rPr>
              <w:t>偏离说明</w:t>
            </w:r>
          </w:p>
        </w:tc>
        <w:tc>
          <w:tcPr>
            <w:tcW w:w="851" w:type="dxa"/>
            <w:noWrap w:val="0"/>
            <w:vAlign w:val="center"/>
          </w:tcPr>
          <w:p w14:paraId="42D4C52B">
            <w:pPr>
              <w:widowControl/>
              <w:jc w:val="center"/>
              <w:rPr>
                <w:rFonts w:hint="eastAsia" w:ascii="宋体" w:hAnsi="宋体" w:cs="宋体"/>
                <w:bCs/>
                <w:color w:val="auto"/>
                <w:sz w:val="24"/>
                <w:highlight w:val="none"/>
              </w:rPr>
            </w:pPr>
            <w:r>
              <w:rPr>
                <w:rFonts w:hint="eastAsia" w:ascii="宋体" w:hAnsi="宋体" w:cs="宋体"/>
                <w:bCs/>
                <w:color w:val="auto"/>
                <w:sz w:val="24"/>
                <w:highlight w:val="none"/>
              </w:rPr>
              <w:t>相关证明资料对应页码</w:t>
            </w:r>
          </w:p>
        </w:tc>
      </w:tr>
      <w:tr w14:paraId="1673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noWrap w:val="0"/>
            <w:vAlign w:val="center"/>
          </w:tcPr>
          <w:p w14:paraId="2049D8E0">
            <w:pPr>
              <w:widowControl/>
              <w:numPr>
                <w:ilvl w:val="0"/>
                <w:numId w:val="6"/>
              </w:numPr>
              <w:ind w:left="197" w:hanging="197"/>
              <w:jc w:val="center"/>
              <w:rPr>
                <w:rFonts w:hint="eastAsia" w:ascii="宋体" w:hAnsi="宋体" w:cs="宋体"/>
                <w:bCs/>
                <w:color w:val="auto"/>
                <w:sz w:val="24"/>
                <w:highlight w:val="none"/>
              </w:rPr>
            </w:pPr>
          </w:p>
        </w:tc>
        <w:tc>
          <w:tcPr>
            <w:tcW w:w="5812" w:type="dxa"/>
            <w:noWrap w:val="0"/>
            <w:vAlign w:val="top"/>
          </w:tcPr>
          <w:p w14:paraId="4E885706">
            <w:pPr>
              <w:widowControl/>
              <w:spacing w:line="360" w:lineRule="auto"/>
              <w:jc w:val="left"/>
              <w:rPr>
                <w:rFonts w:hint="eastAsia" w:ascii="宋体" w:hAnsi="宋体" w:eastAsia="宋体" w:cs="宋体"/>
                <w:b/>
                <w:bCs/>
                <w:color w:val="auto"/>
                <w:sz w:val="24"/>
                <w:szCs w:val="24"/>
                <w:highlight w:val="none"/>
                <w:lang w:eastAsia="zh-CN"/>
              </w:rPr>
            </w:pPr>
            <w:r>
              <w:rPr>
                <w:rFonts w:hint="eastAsia" w:ascii="宋体" w:hAnsi="宋体" w:cs="宋体"/>
                <w:b/>
                <w:bCs w:val="0"/>
                <w:color w:val="auto"/>
                <w:kern w:val="0"/>
                <w:sz w:val="24"/>
                <w:highlight w:val="none"/>
                <w:lang w:val="en-US" w:eastAsia="zh-CN"/>
              </w:rPr>
              <w:t>*3.10.1</w:t>
            </w:r>
            <w:r>
              <w:rPr>
                <w:rFonts w:hint="eastAsia" w:ascii="宋体" w:hAnsi="宋体" w:eastAsia="宋体" w:cs="宋体"/>
                <w:b/>
                <w:bCs w:val="0"/>
                <w:color w:val="auto"/>
                <w:sz w:val="24"/>
                <w:szCs w:val="24"/>
                <w:highlight w:val="none"/>
                <w:lang w:eastAsia="zh-CN"/>
              </w:rPr>
              <w:t>报价人</w:t>
            </w:r>
            <w:r>
              <w:rPr>
                <w:rFonts w:hint="eastAsia" w:ascii="宋体" w:hAnsi="宋体" w:eastAsia="宋体" w:cs="宋体"/>
                <w:b/>
                <w:bCs w:val="0"/>
                <w:color w:val="auto"/>
                <w:sz w:val="24"/>
                <w:szCs w:val="24"/>
                <w:highlight w:val="none"/>
              </w:rPr>
              <w:t>应提供工商营业执照（副本）（加盖公章）的复印件，提供税务登记证及组织机构代码证复印件。</w:t>
            </w:r>
            <w:r>
              <w:rPr>
                <w:rFonts w:hint="eastAsia" w:ascii="宋体" w:hAnsi="宋体" w:eastAsia="宋体" w:cs="宋体"/>
                <w:b/>
                <w:bCs w:val="0"/>
                <w:color w:val="auto"/>
                <w:sz w:val="24"/>
                <w:szCs w:val="24"/>
                <w:highlight w:val="none"/>
                <w:lang w:eastAsia="zh-CN"/>
              </w:rPr>
              <w:t>报价人</w:t>
            </w:r>
            <w:r>
              <w:rPr>
                <w:rFonts w:hint="eastAsia" w:ascii="宋体" w:hAnsi="宋体" w:eastAsia="宋体" w:cs="宋体"/>
                <w:b/>
                <w:bCs w:val="0"/>
                <w:color w:val="auto"/>
                <w:sz w:val="24"/>
                <w:szCs w:val="24"/>
                <w:highlight w:val="none"/>
              </w:rPr>
              <w:t>已提供加载有统一社会信用代码营业执照的，视为已提供税务登记证和组织机构代码证。</w:t>
            </w:r>
          </w:p>
        </w:tc>
        <w:tc>
          <w:tcPr>
            <w:tcW w:w="992" w:type="dxa"/>
            <w:noWrap w:val="0"/>
            <w:vAlign w:val="center"/>
          </w:tcPr>
          <w:p w14:paraId="0C7BC675">
            <w:pPr>
              <w:widowControl/>
              <w:jc w:val="center"/>
              <w:rPr>
                <w:rFonts w:hint="eastAsia" w:ascii="宋体" w:hAnsi="宋体" w:cs="宋体"/>
                <w:bCs/>
                <w:color w:val="auto"/>
                <w:sz w:val="24"/>
                <w:highlight w:val="none"/>
              </w:rPr>
            </w:pPr>
          </w:p>
        </w:tc>
        <w:tc>
          <w:tcPr>
            <w:tcW w:w="850" w:type="dxa"/>
            <w:noWrap w:val="0"/>
            <w:vAlign w:val="center"/>
          </w:tcPr>
          <w:p w14:paraId="03BA8C40">
            <w:pPr>
              <w:widowControl/>
              <w:jc w:val="center"/>
              <w:rPr>
                <w:rFonts w:hint="eastAsia" w:ascii="宋体" w:hAnsi="宋体" w:cs="宋体"/>
                <w:bCs/>
                <w:color w:val="auto"/>
                <w:sz w:val="24"/>
                <w:highlight w:val="none"/>
              </w:rPr>
            </w:pPr>
          </w:p>
        </w:tc>
        <w:tc>
          <w:tcPr>
            <w:tcW w:w="851" w:type="dxa"/>
            <w:noWrap w:val="0"/>
            <w:vAlign w:val="center"/>
          </w:tcPr>
          <w:p w14:paraId="49F8611E">
            <w:pPr>
              <w:widowControl/>
              <w:jc w:val="center"/>
              <w:rPr>
                <w:rFonts w:hint="eastAsia" w:ascii="宋体" w:hAnsi="宋体" w:cs="宋体"/>
                <w:bCs/>
                <w:color w:val="auto"/>
                <w:sz w:val="24"/>
                <w:highlight w:val="none"/>
              </w:rPr>
            </w:pPr>
          </w:p>
        </w:tc>
      </w:tr>
      <w:tr w14:paraId="6BEA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noWrap w:val="0"/>
            <w:vAlign w:val="center"/>
          </w:tcPr>
          <w:p w14:paraId="77944E20">
            <w:pPr>
              <w:widowControl/>
              <w:numPr>
                <w:ilvl w:val="0"/>
                <w:numId w:val="6"/>
              </w:numPr>
              <w:ind w:left="197" w:hanging="197"/>
              <w:jc w:val="center"/>
              <w:rPr>
                <w:rFonts w:hint="eastAsia" w:ascii="宋体" w:hAnsi="宋体" w:cs="宋体"/>
                <w:bCs/>
                <w:color w:val="auto"/>
                <w:sz w:val="24"/>
                <w:highlight w:val="none"/>
              </w:rPr>
            </w:pPr>
          </w:p>
        </w:tc>
        <w:tc>
          <w:tcPr>
            <w:tcW w:w="5812" w:type="dxa"/>
            <w:noWrap w:val="0"/>
            <w:vAlign w:val="top"/>
          </w:tcPr>
          <w:p w14:paraId="4B1A34E4">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val="0"/>
                <w:color w:val="auto"/>
                <w:sz w:val="24"/>
                <w:szCs w:val="24"/>
                <w:highlight w:val="none"/>
                <w:lang w:val="en-US" w:eastAsia="zh-CN"/>
              </w:rPr>
              <w:t>*3.10.2</w:t>
            </w:r>
            <w:r>
              <w:rPr>
                <w:rFonts w:hint="eastAsia" w:ascii="宋体" w:hAnsi="宋体" w:eastAsia="宋体" w:cs="宋体"/>
                <w:b/>
                <w:color w:val="auto"/>
                <w:sz w:val="24"/>
                <w:szCs w:val="24"/>
                <w:highlight w:val="none"/>
                <w:lang w:eastAsia="zh-CN"/>
              </w:rPr>
              <w:t>报价人</w:t>
            </w:r>
            <w:r>
              <w:rPr>
                <w:rFonts w:hint="eastAsia" w:ascii="宋体" w:hAnsi="宋体" w:eastAsia="宋体" w:cs="宋体"/>
                <w:b/>
                <w:color w:val="auto"/>
                <w:sz w:val="24"/>
                <w:szCs w:val="24"/>
                <w:highlight w:val="none"/>
              </w:rPr>
              <w:t>全权代表若不是单位负责人或法定代表人，应提供</w:t>
            </w:r>
            <w:r>
              <w:rPr>
                <w:rFonts w:hint="eastAsia" w:ascii="宋体" w:hAnsi="宋体" w:eastAsia="宋体" w:cs="宋体"/>
                <w:b/>
                <w:color w:val="auto"/>
                <w:sz w:val="24"/>
                <w:szCs w:val="24"/>
                <w:highlight w:val="none"/>
                <w:lang w:val="en-US" w:eastAsia="zh-CN"/>
              </w:rPr>
              <w:t>单位</w:t>
            </w:r>
            <w:r>
              <w:rPr>
                <w:rFonts w:hint="eastAsia" w:ascii="宋体" w:hAnsi="宋体" w:eastAsia="宋体" w:cs="宋体"/>
                <w:b/>
                <w:color w:val="auto"/>
                <w:sz w:val="24"/>
                <w:szCs w:val="24"/>
                <w:highlight w:val="none"/>
              </w:rPr>
              <w:t>授权书原件，并提供被授权代表身份证复印件。</w:t>
            </w:r>
          </w:p>
        </w:tc>
        <w:tc>
          <w:tcPr>
            <w:tcW w:w="992" w:type="dxa"/>
            <w:noWrap w:val="0"/>
            <w:vAlign w:val="center"/>
          </w:tcPr>
          <w:p w14:paraId="51CF6BC5">
            <w:pPr>
              <w:widowControl/>
              <w:jc w:val="center"/>
              <w:rPr>
                <w:rFonts w:hint="eastAsia" w:ascii="宋体" w:hAnsi="宋体" w:cs="宋体"/>
                <w:bCs/>
                <w:color w:val="auto"/>
                <w:sz w:val="24"/>
                <w:highlight w:val="none"/>
              </w:rPr>
            </w:pPr>
          </w:p>
        </w:tc>
        <w:tc>
          <w:tcPr>
            <w:tcW w:w="850" w:type="dxa"/>
            <w:noWrap w:val="0"/>
            <w:vAlign w:val="center"/>
          </w:tcPr>
          <w:p w14:paraId="56575FEF">
            <w:pPr>
              <w:widowControl/>
              <w:jc w:val="center"/>
              <w:rPr>
                <w:rFonts w:hint="eastAsia" w:ascii="宋体" w:hAnsi="宋体" w:cs="宋体"/>
                <w:bCs/>
                <w:color w:val="auto"/>
                <w:sz w:val="24"/>
                <w:highlight w:val="none"/>
              </w:rPr>
            </w:pPr>
          </w:p>
        </w:tc>
        <w:tc>
          <w:tcPr>
            <w:tcW w:w="851" w:type="dxa"/>
            <w:noWrap w:val="0"/>
            <w:vAlign w:val="center"/>
          </w:tcPr>
          <w:p w14:paraId="36659D46">
            <w:pPr>
              <w:widowControl/>
              <w:jc w:val="center"/>
              <w:rPr>
                <w:rFonts w:hint="eastAsia" w:ascii="宋体" w:hAnsi="宋体" w:cs="宋体"/>
                <w:bCs/>
                <w:color w:val="auto"/>
                <w:sz w:val="24"/>
                <w:highlight w:val="none"/>
              </w:rPr>
            </w:pPr>
          </w:p>
        </w:tc>
      </w:tr>
      <w:tr w14:paraId="794C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noWrap w:val="0"/>
            <w:vAlign w:val="center"/>
          </w:tcPr>
          <w:p w14:paraId="64991768">
            <w:pPr>
              <w:widowControl/>
              <w:numPr>
                <w:ilvl w:val="0"/>
                <w:numId w:val="6"/>
              </w:numPr>
              <w:ind w:left="197" w:hanging="197"/>
              <w:jc w:val="center"/>
              <w:rPr>
                <w:rFonts w:hint="eastAsia" w:ascii="宋体" w:hAnsi="宋体" w:cs="宋体"/>
                <w:bCs/>
                <w:color w:val="auto"/>
                <w:sz w:val="24"/>
                <w:highlight w:val="none"/>
              </w:rPr>
            </w:pPr>
          </w:p>
        </w:tc>
        <w:tc>
          <w:tcPr>
            <w:tcW w:w="5812" w:type="dxa"/>
            <w:noWrap w:val="0"/>
            <w:vAlign w:val="top"/>
          </w:tcPr>
          <w:p w14:paraId="2F5AD2F0">
            <w:pPr>
              <w:pStyle w:val="24"/>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textAlignment w:val="auto"/>
              <w:rPr>
                <w:rFonts w:hint="eastAsia" w:ascii="宋体" w:hAnsi="宋体" w:cs="宋体"/>
                <w:b/>
                <w:bCs/>
                <w:color w:val="auto"/>
                <w:sz w:val="24"/>
                <w:szCs w:val="24"/>
                <w:highlight w:val="none"/>
              </w:rPr>
            </w:pPr>
            <w:r>
              <w:rPr>
                <w:rFonts w:hint="eastAsia" w:ascii="宋体" w:hAnsi="宋体"/>
                <w:b/>
                <w:bCs/>
                <w:color w:val="auto"/>
                <w:sz w:val="24"/>
                <w:highlight w:val="none"/>
                <w:lang w:val="en-US" w:eastAsia="zh-CN"/>
              </w:rPr>
              <w:t>*2.1.4</w:t>
            </w:r>
            <w:r>
              <w:rPr>
                <w:rFonts w:hint="eastAsia" w:ascii="宋体" w:hAnsi="宋体"/>
                <w:b/>
                <w:bCs/>
                <w:color w:val="auto"/>
                <w:sz w:val="24"/>
                <w:highlight w:val="none"/>
              </w:rPr>
              <w:t>备注：场地（笔试考场、面试</w:t>
            </w:r>
            <w:r>
              <w:rPr>
                <w:rFonts w:hint="eastAsia" w:ascii="宋体" w:hAnsi="宋体"/>
                <w:b/>
                <w:bCs/>
                <w:color w:val="auto"/>
                <w:sz w:val="24"/>
                <w:highlight w:val="none"/>
                <w:lang w:eastAsia="zh-CN"/>
              </w:rPr>
              <w:t>考场</w:t>
            </w:r>
            <w:r>
              <w:rPr>
                <w:rFonts w:hint="eastAsia" w:ascii="宋体" w:hAnsi="宋体"/>
                <w:b/>
                <w:bCs/>
                <w:color w:val="auto"/>
                <w:sz w:val="24"/>
                <w:highlight w:val="none"/>
              </w:rPr>
              <w:t>、主考室</w:t>
            </w:r>
            <w:r>
              <w:rPr>
                <w:rFonts w:hint="eastAsia" w:ascii="宋体" w:hAnsi="宋体"/>
                <w:b/>
                <w:bCs/>
                <w:color w:val="auto"/>
                <w:sz w:val="24"/>
                <w:highlight w:val="none"/>
                <w:lang w:eastAsia="zh-CN"/>
              </w:rPr>
              <w:t>等</w:t>
            </w:r>
            <w:r>
              <w:rPr>
                <w:rFonts w:hint="eastAsia" w:ascii="宋体" w:hAnsi="宋体"/>
                <w:b/>
                <w:bCs/>
                <w:color w:val="auto"/>
                <w:sz w:val="24"/>
                <w:highlight w:val="none"/>
              </w:rPr>
              <w:t>）、考场录像、摄像器材租赁、考官劳务费等相关费用包含在以上报价中，不另行计算。本次招聘工作预计报名人数为</w:t>
            </w:r>
            <w:r>
              <w:rPr>
                <w:rFonts w:hint="eastAsia" w:ascii="宋体" w:hAnsi="宋体"/>
                <w:b/>
                <w:bCs/>
                <w:color w:val="auto"/>
                <w:sz w:val="24"/>
                <w:highlight w:val="none"/>
                <w:lang w:val="en-US" w:eastAsia="zh-CN"/>
              </w:rPr>
              <w:t>5000</w:t>
            </w:r>
            <w:r>
              <w:rPr>
                <w:rFonts w:hint="eastAsia" w:ascii="宋体" w:hAnsi="宋体"/>
                <w:b/>
                <w:bCs/>
                <w:color w:val="auto"/>
                <w:sz w:val="24"/>
                <w:highlight w:val="none"/>
              </w:rPr>
              <w:t>人，若报名人数少于或多于</w:t>
            </w:r>
            <w:r>
              <w:rPr>
                <w:rFonts w:hint="eastAsia" w:ascii="宋体" w:hAnsi="宋体"/>
                <w:b/>
                <w:bCs/>
                <w:color w:val="auto"/>
                <w:sz w:val="24"/>
                <w:highlight w:val="none"/>
                <w:lang w:val="en-US" w:eastAsia="zh-CN"/>
              </w:rPr>
              <w:t>5000</w:t>
            </w:r>
            <w:r>
              <w:rPr>
                <w:rFonts w:hint="eastAsia" w:ascii="宋体" w:hAnsi="宋体"/>
                <w:b/>
                <w:bCs/>
                <w:color w:val="auto"/>
                <w:sz w:val="24"/>
                <w:highlight w:val="none"/>
              </w:rPr>
              <w:t>人，则根据笔试制卷、阅卷、登分数量，考试场次等按实际费用和数量结算。考务组织（设施设备、考官人数等）必须按照行业主管部门要求。在服务本项目的过程中，必须严格落实保密规定，若因</w:t>
            </w:r>
            <w:r>
              <w:rPr>
                <w:rFonts w:hint="eastAsia" w:ascii="宋体" w:hAnsi="宋体"/>
                <w:b/>
                <w:bCs/>
                <w:color w:val="auto"/>
                <w:sz w:val="24"/>
                <w:highlight w:val="none"/>
                <w:lang w:val="en-US" w:eastAsia="zh-CN"/>
              </w:rPr>
              <w:t>成交人</w:t>
            </w:r>
            <w:r>
              <w:rPr>
                <w:rFonts w:hint="eastAsia" w:ascii="宋体" w:hAnsi="宋体"/>
                <w:b/>
                <w:bCs/>
                <w:color w:val="auto"/>
                <w:sz w:val="24"/>
                <w:highlight w:val="none"/>
              </w:rPr>
              <w:t>或其合作机构的原因导致出现与考试相关的信息泄露且造成不利社会影响的，视为</w:t>
            </w:r>
            <w:r>
              <w:rPr>
                <w:rFonts w:hint="eastAsia" w:ascii="宋体" w:hAnsi="宋体"/>
                <w:b/>
                <w:bCs/>
                <w:color w:val="auto"/>
                <w:sz w:val="24"/>
                <w:highlight w:val="none"/>
                <w:lang w:val="en-US" w:eastAsia="zh-CN"/>
              </w:rPr>
              <w:t>成交人</w:t>
            </w:r>
            <w:r>
              <w:rPr>
                <w:rFonts w:hint="eastAsia" w:ascii="宋体" w:hAnsi="宋体"/>
                <w:b/>
                <w:bCs/>
                <w:color w:val="auto"/>
                <w:sz w:val="24"/>
                <w:highlight w:val="none"/>
              </w:rPr>
              <w:t>违约，</w:t>
            </w:r>
            <w:r>
              <w:rPr>
                <w:rFonts w:hint="eastAsia" w:ascii="宋体" w:hAnsi="宋体"/>
                <w:b/>
                <w:bCs/>
                <w:color w:val="auto"/>
                <w:sz w:val="24"/>
                <w:highlight w:val="none"/>
                <w:lang w:val="en-US" w:eastAsia="zh-CN"/>
              </w:rPr>
              <w:t>招标人</w:t>
            </w:r>
            <w:r>
              <w:rPr>
                <w:rFonts w:hint="eastAsia" w:ascii="宋体" w:hAnsi="宋体"/>
                <w:b/>
                <w:bCs/>
                <w:color w:val="auto"/>
                <w:sz w:val="24"/>
                <w:highlight w:val="none"/>
              </w:rPr>
              <w:t>有权解除双方合同，有权向</w:t>
            </w:r>
            <w:r>
              <w:rPr>
                <w:rFonts w:hint="eastAsia" w:ascii="宋体" w:hAnsi="宋体"/>
                <w:b/>
                <w:bCs/>
                <w:color w:val="auto"/>
                <w:sz w:val="24"/>
                <w:highlight w:val="none"/>
                <w:lang w:val="en-US" w:eastAsia="zh-CN"/>
              </w:rPr>
              <w:t>成交人</w:t>
            </w:r>
            <w:r>
              <w:rPr>
                <w:rFonts w:hint="eastAsia" w:ascii="宋体" w:hAnsi="宋体"/>
                <w:b/>
                <w:bCs/>
                <w:color w:val="auto"/>
                <w:sz w:val="24"/>
                <w:highlight w:val="none"/>
              </w:rPr>
              <w:t>按照国家相关法律法规追究法律责任。给</w:t>
            </w:r>
            <w:r>
              <w:rPr>
                <w:rFonts w:hint="eastAsia" w:ascii="宋体" w:hAnsi="宋体"/>
                <w:b/>
                <w:bCs/>
                <w:color w:val="auto"/>
                <w:sz w:val="24"/>
                <w:highlight w:val="none"/>
                <w:lang w:val="en-US" w:eastAsia="zh-CN"/>
              </w:rPr>
              <w:t>招标人</w:t>
            </w:r>
            <w:r>
              <w:rPr>
                <w:rFonts w:hint="eastAsia" w:ascii="宋体" w:hAnsi="宋体"/>
                <w:b/>
                <w:bCs/>
                <w:color w:val="auto"/>
                <w:sz w:val="24"/>
                <w:highlight w:val="none"/>
              </w:rPr>
              <w:t>造成损失的，还必须进行赔偿。</w:t>
            </w:r>
          </w:p>
        </w:tc>
        <w:tc>
          <w:tcPr>
            <w:tcW w:w="992" w:type="dxa"/>
            <w:noWrap w:val="0"/>
            <w:vAlign w:val="center"/>
          </w:tcPr>
          <w:p w14:paraId="4ED759B5">
            <w:pPr>
              <w:widowControl/>
              <w:jc w:val="center"/>
              <w:rPr>
                <w:rFonts w:hint="eastAsia" w:ascii="宋体" w:hAnsi="宋体" w:cs="宋体"/>
                <w:bCs/>
                <w:color w:val="auto"/>
                <w:sz w:val="24"/>
                <w:highlight w:val="none"/>
              </w:rPr>
            </w:pPr>
          </w:p>
        </w:tc>
        <w:tc>
          <w:tcPr>
            <w:tcW w:w="850" w:type="dxa"/>
            <w:noWrap w:val="0"/>
            <w:vAlign w:val="center"/>
          </w:tcPr>
          <w:p w14:paraId="1B8F0376">
            <w:pPr>
              <w:widowControl/>
              <w:jc w:val="center"/>
              <w:rPr>
                <w:rFonts w:hint="eastAsia" w:ascii="宋体" w:hAnsi="宋体" w:cs="宋体"/>
                <w:bCs/>
                <w:color w:val="auto"/>
                <w:sz w:val="24"/>
                <w:highlight w:val="none"/>
              </w:rPr>
            </w:pPr>
          </w:p>
        </w:tc>
        <w:tc>
          <w:tcPr>
            <w:tcW w:w="851" w:type="dxa"/>
            <w:noWrap w:val="0"/>
            <w:vAlign w:val="center"/>
          </w:tcPr>
          <w:p w14:paraId="4CE64356">
            <w:pPr>
              <w:widowControl/>
              <w:jc w:val="center"/>
              <w:rPr>
                <w:rFonts w:hint="eastAsia" w:ascii="宋体" w:hAnsi="宋体" w:cs="宋体"/>
                <w:bCs/>
                <w:color w:val="auto"/>
                <w:sz w:val="24"/>
                <w:highlight w:val="none"/>
              </w:rPr>
            </w:pPr>
          </w:p>
        </w:tc>
      </w:tr>
      <w:tr w14:paraId="498A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noWrap w:val="0"/>
            <w:vAlign w:val="center"/>
          </w:tcPr>
          <w:p w14:paraId="2B7629BD">
            <w:pPr>
              <w:widowControl/>
              <w:numPr>
                <w:ilvl w:val="0"/>
                <w:numId w:val="6"/>
              </w:numPr>
              <w:ind w:left="197" w:hanging="197"/>
              <w:jc w:val="center"/>
              <w:rPr>
                <w:rFonts w:hint="eastAsia" w:ascii="宋体" w:hAnsi="宋体" w:cs="宋体"/>
                <w:bCs/>
                <w:color w:val="auto"/>
                <w:sz w:val="24"/>
                <w:highlight w:val="none"/>
              </w:rPr>
            </w:pPr>
          </w:p>
        </w:tc>
        <w:tc>
          <w:tcPr>
            <w:tcW w:w="5812" w:type="dxa"/>
            <w:noWrap w:val="0"/>
            <w:vAlign w:val="top"/>
          </w:tcPr>
          <w:p w14:paraId="3227132E">
            <w:pPr>
              <w:widowControl/>
              <w:adjustRightInd w:val="0"/>
              <w:spacing w:line="360" w:lineRule="auto"/>
              <w:jc w:val="left"/>
              <w:rPr>
                <w:rFonts w:hint="eastAsia" w:ascii="宋体" w:hAnsi="宋体"/>
                <w:b/>
                <w:bCs/>
                <w:color w:val="auto"/>
                <w:sz w:val="24"/>
                <w:highlight w:val="none"/>
                <w:lang w:val="en-US" w:eastAsia="zh-CN"/>
              </w:rPr>
            </w:pPr>
            <w:r>
              <w:rPr>
                <w:rFonts w:hint="eastAsia" w:ascii="宋体" w:hAnsi="宋体" w:cs="宋体"/>
                <w:b/>
                <w:bCs w:val="0"/>
                <w:color w:val="auto"/>
                <w:kern w:val="0"/>
                <w:sz w:val="24"/>
                <w:highlight w:val="none"/>
                <w:lang w:val="en-US" w:eastAsia="zh-CN"/>
              </w:rPr>
              <w:t>*3.</w:t>
            </w:r>
            <w:r>
              <w:rPr>
                <w:rFonts w:hint="eastAsia" w:ascii="宋体" w:hAnsi="宋体" w:cs="宋体"/>
                <w:b/>
                <w:bCs w:val="0"/>
                <w:color w:val="auto"/>
                <w:kern w:val="0"/>
                <w:sz w:val="24"/>
                <w:highlight w:val="none"/>
              </w:rPr>
              <w:t>8.1</w:t>
            </w:r>
            <w:r>
              <w:rPr>
                <w:rFonts w:hint="eastAsia" w:ascii="宋体" w:hAnsi="宋体" w:cs="宋体"/>
                <w:b/>
                <w:color w:val="auto"/>
                <w:sz w:val="24"/>
                <w:szCs w:val="24"/>
                <w:highlight w:val="none"/>
                <w:lang w:eastAsia="zh-CN"/>
              </w:rPr>
              <w:t>本采购项目的采购总预算为人民币</w:t>
            </w:r>
            <w:r>
              <w:rPr>
                <w:rFonts w:hint="eastAsia" w:ascii="宋体" w:hAnsi="宋体" w:cs="宋体"/>
                <w:b/>
                <w:color w:val="auto"/>
                <w:sz w:val="24"/>
                <w:szCs w:val="24"/>
                <w:highlight w:val="none"/>
                <w:lang w:val="en-US" w:eastAsia="zh-CN"/>
              </w:rPr>
              <w:t>63</w:t>
            </w:r>
            <w:r>
              <w:rPr>
                <w:rFonts w:hint="eastAsia" w:ascii="宋体" w:hAnsi="宋体" w:cs="宋体"/>
                <w:b/>
                <w:color w:val="auto"/>
                <w:sz w:val="24"/>
                <w:szCs w:val="24"/>
                <w:highlight w:val="none"/>
                <w:lang w:eastAsia="zh-CN"/>
              </w:rPr>
              <w:t>万元，采购预算为总报价的最高限价，任何一次总报价超过采购预算的属无效报价。</w:t>
            </w:r>
          </w:p>
        </w:tc>
        <w:tc>
          <w:tcPr>
            <w:tcW w:w="992" w:type="dxa"/>
            <w:noWrap w:val="0"/>
            <w:vAlign w:val="center"/>
          </w:tcPr>
          <w:p w14:paraId="202C2869">
            <w:pPr>
              <w:widowControl/>
              <w:jc w:val="center"/>
              <w:rPr>
                <w:rFonts w:hint="eastAsia" w:ascii="宋体" w:hAnsi="宋体" w:cs="宋体"/>
                <w:bCs/>
                <w:color w:val="auto"/>
                <w:sz w:val="24"/>
                <w:highlight w:val="none"/>
              </w:rPr>
            </w:pPr>
          </w:p>
        </w:tc>
        <w:tc>
          <w:tcPr>
            <w:tcW w:w="850" w:type="dxa"/>
            <w:noWrap w:val="0"/>
            <w:vAlign w:val="center"/>
          </w:tcPr>
          <w:p w14:paraId="6EE38BD8">
            <w:pPr>
              <w:widowControl/>
              <w:jc w:val="center"/>
              <w:rPr>
                <w:rFonts w:hint="eastAsia" w:ascii="宋体" w:hAnsi="宋体" w:cs="宋体"/>
                <w:bCs/>
                <w:color w:val="auto"/>
                <w:sz w:val="24"/>
                <w:highlight w:val="none"/>
              </w:rPr>
            </w:pPr>
          </w:p>
        </w:tc>
        <w:tc>
          <w:tcPr>
            <w:tcW w:w="851" w:type="dxa"/>
            <w:noWrap w:val="0"/>
            <w:vAlign w:val="center"/>
          </w:tcPr>
          <w:p w14:paraId="5078AD70">
            <w:pPr>
              <w:widowControl/>
              <w:jc w:val="center"/>
              <w:rPr>
                <w:rFonts w:hint="eastAsia" w:ascii="宋体" w:hAnsi="宋体" w:cs="宋体"/>
                <w:bCs/>
                <w:color w:val="auto"/>
                <w:sz w:val="24"/>
                <w:highlight w:val="none"/>
              </w:rPr>
            </w:pPr>
          </w:p>
        </w:tc>
      </w:tr>
    </w:tbl>
    <w:p w14:paraId="1D8484F0">
      <w:pPr>
        <w:rPr>
          <w:rFonts w:hint="eastAsia" w:ascii="宋体" w:hAnsi="宋体" w:cs="宋体"/>
          <w:color w:val="auto"/>
          <w:sz w:val="24"/>
          <w:highlight w:val="none"/>
        </w:rPr>
      </w:pPr>
      <w:r>
        <w:rPr>
          <w:rFonts w:hint="eastAsia" w:ascii="宋体" w:hAnsi="宋体" w:cs="宋体"/>
          <w:color w:val="auto"/>
          <w:sz w:val="24"/>
          <w:highlight w:val="none"/>
        </w:rPr>
        <w:t>注：表格中所列带*条款若与采购文件其他部分所列不一致，以采购文件其他部分所列为准，请供应商自行修改补充</w:t>
      </w:r>
    </w:p>
    <w:p w14:paraId="5EE0464F">
      <w:pPr>
        <w:pStyle w:val="3"/>
        <w:jc w:val="center"/>
        <w:outlineLvl w:val="1"/>
        <w:rPr>
          <w:rFonts w:hint="eastAsia" w:ascii="宋体" w:hAnsi="宋体" w:eastAsia="宋体" w:cs="宋体"/>
          <w:color w:val="auto"/>
          <w:sz w:val="28"/>
          <w:szCs w:val="28"/>
          <w:highlight w:val="none"/>
        </w:rPr>
      </w:pPr>
      <w:r>
        <w:rPr>
          <w:rFonts w:hint="eastAsia" w:ascii="宋体" w:hAnsi="宋体" w:cs="宋体"/>
          <w:color w:val="auto"/>
          <w:sz w:val="28"/>
          <w:szCs w:val="28"/>
          <w:highlight w:val="none"/>
        </w:rPr>
        <w:br w:type="page"/>
      </w:r>
      <w:bookmarkStart w:id="208" w:name="_Toc20533"/>
      <w:bookmarkStart w:id="209" w:name="_Toc480983545"/>
      <w:bookmarkStart w:id="210" w:name="_Toc481048052"/>
      <w:bookmarkStart w:id="211" w:name="_Toc24294"/>
      <w:bookmarkStart w:id="212" w:name="_Toc515448958"/>
      <w:bookmarkStart w:id="213" w:name="_Toc482352472"/>
      <w:bookmarkStart w:id="214" w:name="_Toc481480000"/>
      <w:bookmarkStart w:id="215" w:name="_Toc31043"/>
      <w:bookmarkStart w:id="216" w:name="_Toc515448371"/>
      <w:bookmarkStart w:id="217" w:name="_Toc518466689"/>
      <w:bookmarkStart w:id="218" w:name="_Toc533519526"/>
      <w:bookmarkStart w:id="219" w:name="_Toc468780747"/>
      <w:bookmarkStart w:id="220" w:name="_Toc1308771226"/>
      <w:bookmarkStart w:id="221" w:name="_Toc20592"/>
      <w:r>
        <w:rPr>
          <w:rFonts w:hint="eastAsia" w:ascii="宋体" w:hAnsi="宋体" w:eastAsia="宋体" w:cs="宋体"/>
          <w:color w:val="auto"/>
          <w:sz w:val="28"/>
          <w:szCs w:val="28"/>
          <w:highlight w:val="none"/>
        </w:rPr>
        <w:t>技术评分条款响应表</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2327C6D6">
      <w:pPr>
        <w:rPr>
          <w:rFonts w:hint="eastAsia" w:ascii="宋体" w:hAnsi="宋体" w:cs="宋体"/>
          <w:color w:val="auto"/>
          <w:sz w:val="24"/>
          <w:highlight w:val="none"/>
        </w:rPr>
      </w:pPr>
      <w:r>
        <w:rPr>
          <w:rFonts w:hint="eastAsia" w:ascii="宋体" w:hAnsi="宋体" w:cs="宋体"/>
          <w:color w:val="auto"/>
          <w:sz w:val="24"/>
          <w:highlight w:val="none"/>
        </w:rPr>
        <w:t>供应商名称（加盖公章）：</w:t>
      </w:r>
    </w:p>
    <w:tbl>
      <w:tblPr>
        <w:tblStyle w:val="13"/>
        <w:tblW w:w="9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6188"/>
        <w:gridCol w:w="1043"/>
        <w:gridCol w:w="1822"/>
      </w:tblGrid>
      <w:tr w14:paraId="4A9C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blHeader/>
        </w:trPr>
        <w:tc>
          <w:tcPr>
            <w:tcW w:w="486" w:type="dxa"/>
            <w:noWrap w:val="0"/>
            <w:vAlign w:val="center"/>
          </w:tcPr>
          <w:p w14:paraId="4CB0BCF9">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6188" w:type="dxa"/>
            <w:noWrap w:val="0"/>
            <w:vAlign w:val="center"/>
          </w:tcPr>
          <w:p w14:paraId="681128FB">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评分标准</w:t>
            </w:r>
          </w:p>
        </w:tc>
        <w:tc>
          <w:tcPr>
            <w:tcW w:w="1043" w:type="dxa"/>
            <w:noWrap w:val="0"/>
            <w:vAlign w:val="center"/>
          </w:tcPr>
          <w:p w14:paraId="3F2CC1D6">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报价响应情况</w:t>
            </w:r>
          </w:p>
        </w:tc>
        <w:tc>
          <w:tcPr>
            <w:tcW w:w="1822" w:type="dxa"/>
            <w:noWrap w:val="0"/>
            <w:vAlign w:val="center"/>
          </w:tcPr>
          <w:p w14:paraId="462180E9">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相关证明资料对应页码</w:t>
            </w:r>
          </w:p>
        </w:tc>
      </w:tr>
      <w:tr w14:paraId="091A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86" w:type="dxa"/>
            <w:noWrap w:val="0"/>
            <w:vAlign w:val="center"/>
          </w:tcPr>
          <w:p w14:paraId="7757FD9A">
            <w:pPr>
              <w:widowControl/>
              <w:numPr>
                <w:ilvl w:val="0"/>
                <w:numId w:val="7"/>
              </w:numPr>
              <w:jc w:val="center"/>
              <w:rPr>
                <w:rFonts w:hint="eastAsia" w:ascii="宋体" w:hAnsi="宋体" w:cs="宋体"/>
                <w:color w:val="auto"/>
                <w:sz w:val="24"/>
                <w:highlight w:val="none"/>
              </w:rPr>
            </w:pPr>
          </w:p>
        </w:tc>
        <w:tc>
          <w:tcPr>
            <w:tcW w:w="6188" w:type="dxa"/>
            <w:noWrap w:val="0"/>
            <w:vAlign w:val="top"/>
          </w:tcPr>
          <w:p w14:paraId="23588532">
            <w:pPr>
              <w:spacing w:line="360" w:lineRule="auto"/>
              <w:rPr>
                <w:rFonts w:hint="eastAsia" w:ascii="宋体" w:hAnsi="宋体" w:cs="宋体"/>
                <w:color w:val="auto"/>
                <w:sz w:val="24"/>
                <w:highlight w:val="none"/>
              </w:rPr>
            </w:pPr>
            <w:r>
              <w:rPr>
                <w:rFonts w:hint="eastAsia" w:ascii="宋体" w:hAnsi="宋体" w:eastAsia="宋体" w:cs="宋体"/>
                <w:b w:val="0"/>
                <w:bCs/>
                <w:color w:val="auto"/>
                <w:sz w:val="24"/>
                <w:szCs w:val="24"/>
                <w:highlight w:val="none"/>
                <w:lang w:val="en-US" w:eastAsia="zh-CN"/>
              </w:rPr>
              <w:t>根据报价人针对本项目提供的</w:t>
            </w:r>
            <w:r>
              <w:rPr>
                <w:rFonts w:hint="eastAsia" w:ascii="宋体" w:hAnsi="宋体" w:eastAsia="宋体" w:cs="宋体"/>
                <w:b/>
                <w:bCs w:val="0"/>
                <w:color w:val="auto"/>
                <w:sz w:val="24"/>
                <w:szCs w:val="24"/>
                <w:highlight w:val="none"/>
                <w:lang w:val="en-US" w:eastAsia="zh-CN"/>
              </w:rPr>
              <w:t>项目需求分析</w:t>
            </w:r>
            <w:r>
              <w:rPr>
                <w:rFonts w:hint="eastAsia" w:ascii="宋体" w:hAnsi="宋体" w:eastAsia="宋体" w:cs="宋体"/>
                <w:b w:val="0"/>
                <w:bCs/>
                <w:color w:val="auto"/>
                <w:sz w:val="24"/>
                <w:szCs w:val="24"/>
                <w:highlight w:val="none"/>
                <w:lang w:val="en-US" w:eastAsia="zh-CN"/>
              </w:rPr>
              <w:t>进行评价：①有提供项目背景分析的得2分；②在满足①的基础上，方案内容阐述完整，条理清晰，对关键内容分析到位、有利于项目顺利实施的得3分； ③未提供或提供的方案有缺漏或提供方案不符合本项目要求或提供方案不与本项目无关的均不得分。</w:t>
            </w:r>
          </w:p>
        </w:tc>
        <w:tc>
          <w:tcPr>
            <w:tcW w:w="1043" w:type="dxa"/>
            <w:noWrap w:val="0"/>
            <w:vAlign w:val="center"/>
          </w:tcPr>
          <w:p w14:paraId="0A91D960">
            <w:pPr>
              <w:widowControl/>
              <w:jc w:val="left"/>
              <w:rPr>
                <w:rFonts w:hint="eastAsia" w:ascii="宋体" w:hAnsi="宋体" w:cs="宋体"/>
                <w:color w:val="auto"/>
                <w:sz w:val="24"/>
                <w:highlight w:val="none"/>
              </w:rPr>
            </w:pPr>
            <w:r>
              <w:rPr>
                <w:rFonts w:hint="eastAsia" w:ascii="宋体" w:hAnsi="宋体" w:cs="宋体"/>
                <w:color w:val="auto"/>
                <w:sz w:val="24"/>
                <w:highlight w:val="none"/>
              </w:rPr>
              <w:t>　</w:t>
            </w:r>
          </w:p>
        </w:tc>
        <w:tc>
          <w:tcPr>
            <w:tcW w:w="1822" w:type="dxa"/>
            <w:noWrap w:val="0"/>
            <w:vAlign w:val="center"/>
          </w:tcPr>
          <w:p w14:paraId="32735DBC">
            <w:pPr>
              <w:widowControl/>
              <w:jc w:val="left"/>
              <w:rPr>
                <w:rFonts w:hint="eastAsia" w:ascii="宋体" w:hAnsi="宋体" w:cs="宋体"/>
                <w:color w:val="auto"/>
                <w:sz w:val="24"/>
                <w:highlight w:val="none"/>
              </w:rPr>
            </w:pPr>
            <w:r>
              <w:rPr>
                <w:rFonts w:hint="eastAsia" w:ascii="宋体" w:hAnsi="宋体" w:cs="宋体"/>
                <w:color w:val="auto"/>
                <w:sz w:val="24"/>
                <w:highlight w:val="none"/>
              </w:rPr>
              <w:t>　</w:t>
            </w:r>
          </w:p>
        </w:tc>
      </w:tr>
      <w:tr w14:paraId="47D9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86" w:type="dxa"/>
            <w:noWrap w:val="0"/>
            <w:vAlign w:val="center"/>
          </w:tcPr>
          <w:p w14:paraId="6F1165C7">
            <w:pPr>
              <w:widowControl/>
              <w:numPr>
                <w:ilvl w:val="0"/>
                <w:numId w:val="7"/>
              </w:numPr>
              <w:jc w:val="center"/>
              <w:rPr>
                <w:rFonts w:hint="eastAsia" w:ascii="宋体" w:hAnsi="宋体" w:cs="宋体"/>
                <w:color w:val="auto"/>
                <w:sz w:val="24"/>
                <w:highlight w:val="none"/>
              </w:rPr>
            </w:pPr>
          </w:p>
        </w:tc>
        <w:tc>
          <w:tcPr>
            <w:tcW w:w="6188" w:type="dxa"/>
            <w:noWrap w:val="0"/>
            <w:vAlign w:val="center"/>
          </w:tcPr>
          <w:p w14:paraId="6F96EFF8">
            <w:pPr>
              <w:spacing w:line="360" w:lineRule="auto"/>
              <w:rPr>
                <w:rFonts w:hint="eastAsia" w:ascii="宋体" w:hAnsi="宋体" w:cs="宋体"/>
                <w:color w:val="auto"/>
                <w:sz w:val="24"/>
                <w:highlight w:val="none"/>
              </w:rPr>
            </w:pPr>
            <w:r>
              <w:rPr>
                <w:rFonts w:hint="eastAsia" w:ascii="宋体" w:hAnsi="宋体" w:eastAsia="宋体" w:cs="宋体"/>
                <w:b w:val="0"/>
                <w:bCs/>
                <w:color w:val="auto"/>
                <w:sz w:val="24"/>
                <w:szCs w:val="24"/>
                <w:highlight w:val="none"/>
              </w:rPr>
              <w:t>根据</w:t>
            </w:r>
            <w:r>
              <w:rPr>
                <w:rFonts w:hint="eastAsia" w:ascii="宋体" w:hAnsi="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人针对本项目提供的</w:t>
            </w:r>
            <w:r>
              <w:rPr>
                <w:rFonts w:hint="eastAsia" w:ascii="宋体" w:hAnsi="宋体" w:eastAsia="宋体" w:cs="宋体"/>
                <w:b/>
                <w:bCs w:val="0"/>
                <w:color w:val="auto"/>
                <w:sz w:val="24"/>
                <w:szCs w:val="24"/>
                <w:highlight w:val="none"/>
              </w:rPr>
              <w:t>总体服务方案</w:t>
            </w:r>
            <w:r>
              <w:rPr>
                <w:rFonts w:hint="eastAsia" w:ascii="宋体" w:hAnsi="宋体" w:eastAsia="宋体" w:cs="宋体"/>
                <w:b w:val="0"/>
                <w:bCs/>
                <w:color w:val="auto"/>
                <w:sz w:val="24"/>
                <w:szCs w:val="24"/>
                <w:highlight w:val="none"/>
              </w:rPr>
              <w:t>进行评价：①有提供总体服务方案，且内容需要针对本项目的难点、特点、任务重点等进行描述，能够满足本项目服务要求的得</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分；②在满足①的基础上，内容详细具体、能突出重点</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思路清晰合理、流程完整</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有利于项目顺利实施的</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符合项目情况、可实施性强的得</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分；③</w:t>
            </w:r>
            <w:r>
              <w:rPr>
                <w:rFonts w:hint="eastAsia" w:ascii="宋体" w:hAnsi="宋体" w:eastAsia="宋体" w:cs="宋体"/>
                <w:b w:val="0"/>
                <w:bCs/>
                <w:color w:val="auto"/>
                <w:sz w:val="24"/>
                <w:szCs w:val="24"/>
                <w:highlight w:val="none"/>
                <w:lang w:val="en-US" w:eastAsia="zh-CN"/>
              </w:rPr>
              <w:t>未提供或提供的方案有缺漏或提供方案不符合本项目要求或提供方案不与本项目无关的均不得分。</w:t>
            </w:r>
          </w:p>
        </w:tc>
        <w:tc>
          <w:tcPr>
            <w:tcW w:w="1043" w:type="dxa"/>
            <w:noWrap w:val="0"/>
            <w:vAlign w:val="center"/>
          </w:tcPr>
          <w:p w14:paraId="4B14004B">
            <w:pPr>
              <w:widowControl/>
              <w:jc w:val="left"/>
              <w:rPr>
                <w:rFonts w:hint="eastAsia" w:ascii="宋体" w:hAnsi="宋体" w:cs="宋体"/>
                <w:color w:val="auto"/>
                <w:sz w:val="24"/>
                <w:highlight w:val="none"/>
              </w:rPr>
            </w:pPr>
          </w:p>
        </w:tc>
        <w:tc>
          <w:tcPr>
            <w:tcW w:w="1822" w:type="dxa"/>
            <w:noWrap w:val="0"/>
            <w:vAlign w:val="center"/>
          </w:tcPr>
          <w:p w14:paraId="36DB8B1F">
            <w:pPr>
              <w:widowControl/>
              <w:jc w:val="left"/>
              <w:rPr>
                <w:rFonts w:hint="eastAsia" w:ascii="宋体" w:hAnsi="宋体" w:cs="宋体"/>
                <w:color w:val="auto"/>
                <w:sz w:val="24"/>
                <w:highlight w:val="none"/>
              </w:rPr>
            </w:pPr>
          </w:p>
        </w:tc>
      </w:tr>
      <w:tr w14:paraId="2F15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86" w:type="dxa"/>
            <w:noWrap w:val="0"/>
            <w:vAlign w:val="center"/>
          </w:tcPr>
          <w:p w14:paraId="443D0400">
            <w:pPr>
              <w:widowControl/>
              <w:numPr>
                <w:ilvl w:val="0"/>
                <w:numId w:val="7"/>
              </w:numPr>
              <w:jc w:val="center"/>
              <w:rPr>
                <w:rFonts w:hint="eastAsia" w:ascii="宋体" w:hAnsi="宋体" w:cs="宋体"/>
                <w:color w:val="auto"/>
                <w:sz w:val="24"/>
                <w:highlight w:val="none"/>
              </w:rPr>
            </w:pPr>
          </w:p>
        </w:tc>
        <w:tc>
          <w:tcPr>
            <w:tcW w:w="6188" w:type="dxa"/>
            <w:noWrap w:val="0"/>
            <w:vAlign w:val="center"/>
          </w:tcPr>
          <w:p w14:paraId="18E19BDA">
            <w:pPr>
              <w:spacing w:line="360" w:lineRule="auto"/>
              <w:rPr>
                <w:rFonts w:hint="eastAsia" w:ascii="宋体" w:hAnsi="宋体" w:cs="宋体"/>
                <w:color w:val="auto"/>
                <w:sz w:val="24"/>
                <w:highlight w:val="none"/>
              </w:rPr>
            </w:pPr>
            <w:r>
              <w:rPr>
                <w:rFonts w:hint="eastAsia" w:ascii="宋体" w:hAnsi="宋体" w:cs="宋体"/>
                <w:color w:val="auto"/>
                <w:kern w:val="0"/>
                <w:sz w:val="24"/>
                <w:highlight w:val="none"/>
              </w:rPr>
              <w:t>根据</w:t>
            </w:r>
            <w:r>
              <w:rPr>
                <w:rFonts w:hint="eastAsia" w:ascii="宋体" w:hAnsi="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人</w:t>
            </w:r>
            <w:r>
              <w:rPr>
                <w:rFonts w:hint="eastAsia" w:ascii="宋体" w:hAnsi="宋体" w:cs="宋体"/>
                <w:color w:val="auto"/>
                <w:kern w:val="0"/>
                <w:sz w:val="24"/>
                <w:highlight w:val="none"/>
              </w:rPr>
              <w:t>针对本项目提供的</w:t>
            </w:r>
            <w:r>
              <w:rPr>
                <w:rFonts w:hint="eastAsia" w:ascii="宋体" w:hAnsi="宋体" w:cs="宋体"/>
                <w:b/>
                <w:bCs/>
                <w:color w:val="auto"/>
                <w:kern w:val="0"/>
                <w:sz w:val="24"/>
                <w:highlight w:val="none"/>
              </w:rPr>
              <w:t>项目管理措施方案</w:t>
            </w:r>
            <w:r>
              <w:rPr>
                <w:rFonts w:hint="eastAsia" w:ascii="宋体" w:hAnsi="宋体" w:cs="宋体"/>
                <w:color w:val="auto"/>
                <w:kern w:val="0"/>
                <w:sz w:val="24"/>
                <w:highlight w:val="none"/>
              </w:rPr>
              <w:t>进行评分： ①有提供项目管理措施方案，且内容需要针对本项目管理过程中的关键点有具体质量控制措施，有相应的人力、物力投入安排，能够满足本项目服务要求的得</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分；②在满足①的基础上，内容详细具体、能突出重点，能够结合服务要求提供的管理措施可确保项目顺利进行，思路清晰合理、流程完整，对项目保障程度高，符合项目情况、可实施性强的得</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分；③</w:t>
            </w:r>
            <w:r>
              <w:rPr>
                <w:rFonts w:hint="eastAsia" w:ascii="宋体" w:hAnsi="宋体" w:eastAsia="宋体" w:cs="宋体"/>
                <w:b w:val="0"/>
                <w:bCs/>
                <w:color w:val="auto"/>
                <w:sz w:val="24"/>
                <w:szCs w:val="24"/>
                <w:highlight w:val="none"/>
                <w:lang w:val="en-US" w:eastAsia="zh-CN"/>
              </w:rPr>
              <w:t>未提供或提供的方案有缺漏或提供方案不符合本项目要求或提供方案不与本项目无关的均不得分。</w:t>
            </w:r>
          </w:p>
        </w:tc>
        <w:tc>
          <w:tcPr>
            <w:tcW w:w="1043" w:type="dxa"/>
            <w:noWrap w:val="0"/>
            <w:vAlign w:val="center"/>
          </w:tcPr>
          <w:p w14:paraId="7B766802">
            <w:pPr>
              <w:widowControl/>
              <w:jc w:val="left"/>
              <w:rPr>
                <w:rFonts w:hint="eastAsia" w:ascii="宋体" w:hAnsi="宋体" w:cs="宋体"/>
                <w:color w:val="auto"/>
                <w:sz w:val="24"/>
                <w:highlight w:val="none"/>
              </w:rPr>
            </w:pPr>
          </w:p>
        </w:tc>
        <w:tc>
          <w:tcPr>
            <w:tcW w:w="1822" w:type="dxa"/>
            <w:noWrap w:val="0"/>
            <w:vAlign w:val="center"/>
          </w:tcPr>
          <w:p w14:paraId="0A7B8877">
            <w:pPr>
              <w:widowControl/>
              <w:jc w:val="left"/>
              <w:rPr>
                <w:rFonts w:hint="eastAsia" w:ascii="宋体" w:hAnsi="宋体" w:cs="宋体"/>
                <w:color w:val="auto"/>
                <w:sz w:val="24"/>
                <w:highlight w:val="none"/>
              </w:rPr>
            </w:pPr>
          </w:p>
        </w:tc>
      </w:tr>
      <w:tr w14:paraId="372B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86" w:type="dxa"/>
            <w:noWrap w:val="0"/>
            <w:vAlign w:val="center"/>
          </w:tcPr>
          <w:p w14:paraId="541FA0DE">
            <w:pPr>
              <w:widowControl/>
              <w:numPr>
                <w:ilvl w:val="0"/>
                <w:numId w:val="7"/>
              </w:numPr>
              <w:jc w:val="center"/>
              <w:rPr>
                <w:rFonts w:hint="eastAsia" w:ascii="宋体" w:hAnsi="宋体" w:cs="宋体"/>
                <w:color w:val="auto"/>
                <w:sz w:val="24"/>
                <w:highlight w:val="none"/>
              </w:rPr>
            </w:pPr>
          </w:p>
        </w:tc>
        <w:tc>
          <w:tcPr>
            <w:tcW w:w="6188" w:type="dxa"/>
            <w:noWrap w:val="0"/>
            <w:vAlign w:val="center"/>
          </w:tcPr>
          <w:p w14:paraId="4A8D06E6">
            <w:pPr>
              <w:spacing w:line="360" w:lineRule="auto"/>
              <w:rPr>
                <w:rFonts w:hint="eastAsia" w:ascii="宋体" w:hAnsi="宋体" w:cs="宋体"/>
                <w:color w:val="auto"/>
                <w:sz w:val="24"/>
                <w:highlight w:val="none"/>
              </w:rPr>
            </w:pPr>
            <w:r>
              <w:rPr>
                <w:rFonts w:hint="eastAsia" w:ascii="宋体" w:hAnsi="宋体" w:cs="宋体"/>
                <w:color w:val="auto"/>
                <w:kern w:val="0"/>
                <w:sz w:val="24"/>
                <w:highlight w:val="none"/>
              </w:rPr>
              <w:t>根据</w:t>
            </w:r>
            <w:r>
              <w:rPr>
                <w:rFonts w:hint="eastAsia" w:ascii="宋体" w:hAnsi="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人</w:t>
            </w:r>
            <w:r>
              <w:rPr>
                <w:rFonts w:hint="eastAsia" w:ascii="宋体" w:hAnsi="宋体" w:cs="宋体"/>
                <w:color w:val="auto"/>
                <w:kern w:val="0"/>
                <w:sz w:val="24"/>
                <w:highlight w:val="none"/>
              </w:rPr>
              <w:t>针对本项目提供的</w:t>
            </w:r>
            <w:r>
              <w:rPr>
                <w:rFonts w:hint="eastAsia" w:ascii="宋体" w:hAnsi="宋体" w:cs="宋体"/>
                <w:b/>
                <w:bCs/>
                <w:color w:val="auto"/>
                <w:kern w:val="0"/>
                <w:sz w:val="24"/>
                <w:highlight w:val="none"/>
              </w:rPr>
              <w:t>笔试命题方案</w:t>
            </w:r>
            <w:r>
              <w:rPr>
                <w:rFonts w:hint="eastAsia" w:ascii="宋体" w:hAnsi="宋体" w:cs="宋体"/>
                <w:color w:val="auto"/>
                <w:kern w:val="0"/>
                <w:sz w:val="24"/>
                <w:highlight w:val="none"/>
              </w:rPr>
              <w:t>进行评分： ①</w:t>
            </w:r>
            <w:r>
              <w:rPr>
                <w:rFonts w:hint="eastAsia" w:ascii="宋体" w:hAnsi="宋体" w:cs="宋体"/>
                <w:color w:val="auto"/>
                <w:kern w:val="0"/>
                <w:sz w:val="24"/>
                <w:highlight w:val="none"/>
                <w:lang w:val="en-US" w:eastAsia="zh-CN"/>
              </w:rPr>
              <w:t>提供</w:t>
            </w:r>
            <w:r>
              <w:rPr>
                <w:rFonts w:hint="eastAsia" w:ascii="宋体" w:hAnsi="宋体" w:cs="宋体"/>
                <w:color w:val="auto"/>
                <w:kern w:val="0"/>
                <w:sz w:val="24"/>
                <w:highlight w:val="none"/>
              </w:rPr>
              <w:t>方案</w:t>
            </w:r>
            <w:r>
              <w:rPr>
                <w:rFonts w:hint="eastAsia" w:ascii="宋体" w:hAnsi="宋体" w:cs="宋体"/>
                <w:color w:val="auto"/>
                <w:kern w:val="0"/>
                <w:sz w:val="24"/>
                <w:highlight w:val="none"/>
                <w:lang w:val="en-US" w:eastAsia="zh-CN"/>
              </w:rPr>
              <w:t>包含</w:t>
            </w:r>
            <w:r>
              <w:rPr>
                <w:rFonts w:hint="eastAsia" w:ascii="宋体" w:hAnsi="宋体" w:cs="宋体"/>
                <w:color w:val="auto"/>
                <w:kern w:val="0"/>
                <w:sz w:val="24"/>
                <w:highlight w:val="none"/>
              </w:rPr>
              <w:t>行政职业能力测试、简单应用文写作，</w:t>
            </w:r>
            <w:r>
              <w:rPr>
                <w:rFonts w:hint="eastAsia" w:ascii="宋体" w:hAnsi="宋体" w:cs="宋体"/>
                <w:color w:val="auto"/>
                <w:kern w:val="0"/>
                <w:sz w:val="24"/>
                <w:highlight w:val="none"/>
                <w:lang w:val="en-US" w:eastAsia="zh-CN"/>
              </w:rPr>
              <w:t>能</w:t>
            </w:r>
            <w:r>
              <w:rPr>
                <w:rFonts w:hint="eastAsia" w:ascii="宋体" w:hAnsi="宋体" w:cs="宋体"/>
                <w:color w:val="auto"/>
                <w:kern w:val="0"/>
                <w:sz w:val="24"/>
                <w:highlight w:val="none"/>
              </w:rPr>
              <w:t>体现工会专业知识题目若干</w:t>
            </w:r>
            <w:r>
              <w:rPr>
                <w:rFonts w:hint="eastAsia" w:ascii="宋体" w:hAnsi="宋体" w:cs="宋体"/>
                <w:color w:val="auto"/>
                <w:kern w:val="0"/>
                <w:sz w:val="24"/>
                <w:highlight w:val="none"/>
                <w:lang w:val="en-US" w:eastAsia="zh-CN"/>
              </w:rPr>
              <w:t>等内容</w:t>
            </w:r>
            <w:r>
              <w:rPr>
                <w:rFonts w:hint="eastAsia" w:ascii="宋体" w:hAnsi="宋体" w:cs="宋体"/>
                <w:color w:val="auto"/>
                <w:kern w:val="0"/>
                <w:sz w:val="24"/>
                <w:highlight w:val="none"/>
              </w:rPr>
              <w:t>的得</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分；②满足①的基础上，方案内容阐述完整，条理清晰，对关键内容分析到位、有利于项目顺利实施的得</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分；③未提供或提供的方案有缺漏或提供方案不符合本项目要求或提供方案不与本项目无关的均不得分。</w:t>
            </w:r>
          </w:p>
        </w:tc>
        <w:tc>
          <w:tcPr>
            <w:tcW w:w="1043" w:type="dxa"/>
            <w:noWrap w:val="0"/>
            <w:vAlign w:val="center"/>
          </w:tcPr>
          <w:p w14:paraId="1D461DA6">
            <w:pPr>
              <w:widowControl/>
              <w:jc w:val="left"/>
              <w:rPr>
                <w:rFonts w:hint="eastAsia" w:ascii="宋体" w:hAnsi="宋体" w:cs="宋体"/>
                <w:color w:val="auto"/>
                <w:sz w:val="24"/>
                <w:highlight w:val="none"/>
              </w:rPr>
            </w:pPr>
          </w:p>
        </w:tc>
        <w:tc>
          <w:tcPr>
            <w:tcW w:w="1822" w:type="dxa"/>
            <w:noWrap w:val="0"/>
            <w:vAlign w:val="center"/>
          </w:tcPr>
          <w:p w14:paraId="21DB65DE">
            <w:pPr>
              <w:widowControl/>
              <w:jc w:val="left"/>
              <w:rPr>
                <w:rFonts w:hint="eastAsia" w:ascii="宋体" w:hAnsi="宋体" w:cs="宋体"/>
                <w:color w:val="auto"/>
                <w:sz w:val="24"/>
                <w:highlight w:val="none"/>
              </w:rPr>
            </w:pPr>
          </w:p>
        </w:tc>
      </w:tr>
      <w:tr w14:paraId="383A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86" w:type="dxa"/>
            <w:noWrap w:val="0"/>
            <w:vAlign w:val="center"/>
          </w:tcPr>
          <w:p w14:paraId="14888BA2">
            <w:pPr>
              <w:widowControl/>
              <w:numPr>
                <w:ilvl w:val="0"/>
                <w:numId w:val="7"/>
              </w:numPr>
              <w:jc w:val="center"/>
              <w:rPr>
                <w:rFonts w:hint="eastAsia" w:ascii="宋体" w:hAnsi="宋体" w:cs="宋体"/>
                <w:color w:val="auto"/>
                <w:sz w:val="24"/>
                <w:highlight w:val="none"/>
              </w:rPr>
            </w:pPr>
          </w:p>
        </w:tc>
        <w:tc>
          <w:tcPr>
            <w:tcW w:w="6188" w:type="dxa"/>
            <w:noWrap w:val="0"/>
            <w:vAlign w:val="center"/>
          </w:tcPr>
          <w:p w14:paraId="531CA129">
            <w:pPr>
              <w:spacing w:line="360" w:lineRule="auto"/>
              <w:rPr>
                <w:rFonts w:hint="eastAsia" w:ascii="宋体" w:hAnsi="宋体" w:cs="宋体"/>
                <w:color w:val="auto"/>
                <w:sz w:val="24"/>
                <w:highlight w:val="none"/>
              </w:rPr>
            </w:pPr>
            <w:r>
              <w:rPr>
                <w:rFonts w:hint="eastAsia" w:ascii="宋体" w:hAnsi="宋体" w:cs="宋体"/>
                <w:color w:val="auto"/>
                <w:kern w:val="0"/>
                <w:sz w:val="24"/>
                <w:highlight w:val="none"/>
              </w:rPr>
              <w:t>根据</w:t>
            </w:r>
            <w:r>
              <w:rPr>
                <w:rFonts w:hint="eastAsia" w:ascii="宋体" w:hAnsi="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人</w:t>
            </w:r>
            <w:r>
              <w:rPr>
                <w:rFonts w:hint="eastAsia" w:ascii="宋体" w:hAnsi="宋体" w:cs="宋体"/>
                <w:color w:val="auto"/>
                <w:kern w:val="0"/>
                <w:sz w:val="24"/>
                <w:highlight w:val="none"/>
              </w:rPr>
              <w:t>针对本项目提供的</w:t>
            </w:r>
            <w:r>
              <w:rPr>
                <w:rFonts w:hint="eastAsia" w:ascii="宋体" w:hAnsi="宋体" w:cs="宋体"/>
                <w:b/>
                <w:bCs/>
                <w:color w:val="auto"/>
                <w:kern w:val="0"/>
                <w:sz w:val="24"/>
                <w:highlight w:val="none"/>
              </w:rPr>
              <w:t>面试命题方案</w:t>
            </w:r>
            <w:r>
              <w:rPr>
                <w:rFonts w:hint="eastAsia" w:ascii="宋体" w:hAnsi="宋体" w:cs="宋体"/>
                <w:color w:val="auto"/>
                <w:kern w:val="0"/>
                <w:sz w:val="24"/>
                <w:highlight w:val="none"/>
              </w:rPr>
              <w:t>进行评分： ①</w:t>
            </w:r>
            <w:r>
              <w:rPr>
                <w:rFonts w:hint="eastAsia" w:ascii="宋体" w:hAnsi="宋体" w:cs="宋体"/>
                <w:color w:val="auto"/>
                <w:kern w:val="0"/>
                <w:sz w:val="24"/>
                <w:highlight w:val="none"/>
                <w:lang w:val="en-US" w:eastAsia="zh-CN"/>
              </w:rPr>
              <w:t>提供</w:t>
            </w:r>
            <w:r>
              <w:rPr>
                <w:rFonts w:hint="eastAsia" w:ascii="宋体" w:hAnsi="宋体" w:cs="宋体"/>
                <w:color w:val="auto"/>
                <w:kern w:val="0"/>
                <w:sz w:val="24"/>
                <w:highlight w:val="none"/>
              </w:rPr>
              <w:t>方案符合本项目情况的得</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分；②满足①的基础上，方案内容阐述完整，条理清晰，对关键内容分析到位、有利于项目顺利实施的得</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分；③未提供或提供的方案有缺漏或提供方案不符合本项目要求或提供方案不与本项目无关的均不得分。</w:t>
            </w:r>
          </w:p>
        </w:tc>
        <w:tc>
          <w:tcPr>
            <w:tcW w:w="1043" w:type="dxa"/>
            <w:noWrap w:val="0"/>
            <w:vAlign w:val="center"/>
          </w:tcPr>
          <w:p w14:paraId="5B785DF8">
            <w:pPr>
              <w:widowControl/>
              <w:jc w:val="left"/>
              <w:rPr>
                <w:rFonts w:hint="eastAsia" w:ascii="宋体" w:hAnsi="宋体" w:cs="宋体"/>
                <w:color w:val="auto"/>
                <w:sz w:val="24"/>
                <w:highlight w:val="none"/>
              </w:rPr>
            </w:pPr>
          </w:p>
        </w:tc>
        <w:tc>
          <w:tcPr>
            <w:tcW w:w="1822" w:type="dxa"/>
            <w:noWrap w:val="0"/>
            <w:vAlign w:val="center"/>
          </w:tcPr>
          <w:p w14:paraId="431624F3">
            <w:pPr>
              <w:widowControl/>
              <w:jc w:val="left"/>
              <w:rPr>
                <w:rFonts w:hint="eastAsia" w:ascii="宋体" w:hAnsi="宋体" w:cs="宋体"/>
                <w:color w:val="auto"/>
                <w:sz w:val="24"/>
                <w:highlight w:val="none"/>
              </w:rPr>
            </w:pPr>
          </w:p>
        </w:tc>
      </w:tr>
      <w:tr w14:paraId="2BFED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86" w:type="dxa"/>
            <w:noWrap w:val="0"/>
            <w:vAlign w:val="center"/>
          </w:tcPr>
          <w:p w14:paraId="0E703348">
            <w:pPr>
              <w:widowControl/>
              <w:numPr>
                <w:ilvl w:val="0"/>
                <w:numId w:val="7"/>
              </w:numPr>
              <w:jc w:val="center"/>
              <w:rPr>
                <w:rFonts w:hint="eastAsia" w:ascii="宋体" w:hAnsi="宋体" w:cs="宋体"/>
                <w:color w:val="auto"/>
                <w:sz w:val="24"/>
                <w:highlight w:val="none"/>
              </w:rPr>
            </w:pPr>
          </w:p>
        </w:tc>
        <w:tc>
          <w:tcPr>
            <w:tcW w:w="6188" w:type="dxa"/>
            <w:noWrap w:val="0"/>
            <w:vAlign w:val="center"/>
          </w:tcPr>
          <w:p w14:paraId="3A6C10D4">
            <w:pPr>
              <w:spacing w:line="360" w:lineRule="auto"/>
              <w:rPr>
                <w:rFonts w:hint="eastAsia" w:ascii="宋体" w:hAnsi="宋体" w:cs="宋体"/>
                <w:color w:val="auto"/>
                <w:sz w:val="24"/>
                <w:highlight w:val="none"/>
              </w:rPr>
            </w:pPr>
            <w:r>
              <w:rPr>
                <w:rFonts w:hint="eastAsia" w:ascii="宋体" w:hAnsi="宋体" w:cs="宋体"/>
                <w:color w:val="auto"/>
                <w:kern w:val="0"/>
                <w:sz w:val="24"/>
                <w:highlight w:val="none"/>
              </w:rPr>
              <w:t>根据</w:t>
            </w:r>
            <w:r>
              <w:rPr>
                <w:rFonts w:hint="eastAsia" w:ascii="宋体" w:hAnsi="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人</w:t>
            </w:r>
            <w:r>
              <w:rPr>
                <w:rFonts w:hint="eastAsia" w:ascii="宋体" w:hAnsi="宋体" w:cs="宋体"/>
                <w:color w:val="auto"/>
                <w:kern w:val="0"/>
                <w:sz w:val="24"/>
                <w:highlight w:val="none"/>
              </w:rPr>
              <w:t>针对本项目提供的</w:t>
            </w:r>
            <w:r>
              <w:rPr>
                <w:rFonts w:hint="eastAsia" w:ascii="宋体" w:hAnsi="宋体" w:cs="宋体"/>
                <w:b/>
                <w:bCs/>
                <w:color w:val="auto"/>
                <w:kern w:val="0"/>
                <w:sz w:val="24"/>
                <w:highlight w:val="none"/>
              </w:rPr>
              <w:t>笔试制卷、阅卷、登分、试卷押运方案</w:t>
            </w:r>
            <w:r>
              <w:rPr>
                <w:rFonts w:hint="eastAsia" w:ascii="宋体" w:hAnsi="宋体" w:cs="宋体"/>
                <w:color w:val="auto"/>
                <w:kern w:val="0"/>
                <w:sz w:val="24"/>
                <w:highlight w:val="none"/>
              </w:rPr>
              <w:t>进行评分： ①</w:t>
            </w:r>
            <w:r>
              <w:rPr>
                <w:rFonts w:hint="eastAsia" w:ascii="宋体" w:hAnsi="宋体" w:cs="宋体"/>
                <w:color w:val="auto"/>
                <w:kern w:val="0"/>
                <w:sz w:val="24"/>
                <w:highlight w:val="none"/>
                <w:lang w:val="en-US" w:eastAsia="zh-CN"/>
              </w:rPr>
              <w:t>提供</w:t>
            </w:r>
            <w:r>
              <w:rPr>
                <w:rFonts w:hint="eastAsia" w:ascii="宋体" w:hAnsi="宋体" w:cs="宋体"/>
                <w:color w:val="auto"/>
                <w:kern w:val="0"/>
                <w:sz w:val="24"/>
                <w:highlight w:val="none"/>
              </w:rPr>
              <w:t>方案符合本项目情况的得</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分；②满足①的基础上，方案内容阐述完整，条理清晰，对关键内容分析到位、有利于项目顺利实施的得</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分；③未提供或提供的方案有缺漏或提供方案不符合本项目要求或提供方案不与本项目无关的均不得分。</w:t>
            </w:r>
          </w:p>
        </w:tc>
        <w:tc>
          <w:tcPr>
            <w:tcW w:w="1043" w:type="dxa"/>
            <w:noWrap w:val="0"/>
            <w:vAlign w:val="center"/>
          </w:tcPr>
          <w:p w14:paraId="17BE575E">
            <w:pPr>
              <w:widowControl/>
              <w:jc w:val="left"/>
              <w:rPr>
                <w:rFonts w:hint="eastAsia" w:ascii="宋体" w:hAnsi="宋体" w:cs="宋体"/>
                <w:color w:val="auto"/>
                <w:sz w:val="24"/>
                <w:highlight w:val="none"/>
              </w:rPr>
            </w:pPr>
          </w:p>
        </w:tc>
        <w:tc>
          <w:tcPr>
            <w:tcW w:w="1822" w:type="dxa"/>
            <w:noWrap w:val="0"/>
            <w:vAlign w:val="center"/>
          </w:tcPr>
          <w:p w14:paraId="54DA23A4">
            <w:pPr>
              <w:widowControl/>
              <w:jc w:val="left"/>
              <w:rPr>
                <w:rFonts w:hint="eastAsia" w:ascii="宋体" w:hAnsi="宋体" w:cs="宋体"/>
                <w:color w:val="auto"/>
                <w:sz w:val="24"/>
                <w:highlight w:val="none"/>
              </w:rPr>
            </w:pPr>
          </w:p>
        </w:tc>
      </w:tr>
      <w:tr w14:paraId="753B8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86" w:type="dxa"/>
            <w:noWrap w:val="0"/>
            <w:vAlign w:val="center"/>
          </w:tcPr>
          <w:p w14:paraId="2E7CE6AE">
            <w:pPr>
              <w:widowControl/>
              <w:numPr>
                <w:ilvl w:val="0"/>
                <w:numId w:val="7"/>
              </w:numPr>
              <w:jc w:val="center"/>
              <w:rPr>
                <w:rFonts w:hint="eastAsia" w:ascii="宋体" w:hAnsi="宋体" w:cs="宋体"/>
                <w:color w:val="auto"/>
                <w:sz w:val="24"/>
                <w:highlight w:val="none"/>
              </w:rPr>
            </w:pPr>
          </w:p>
        </w:tc>
        <w:tc>
          <w:tcPr>
            <w:tcW w:w="6188" w:type="dxa"/>
            <w:noWrap w:val="0"/>
            <w:vAlign w:val="center"/>
          </w:tcPr>
          <w:p w14:paraId="47974FC5">
            <w:pPr>
              <w:spacing w:line="360" w:lineRule="auto"/>
              <w:rPr>
                <w:rFonts w:hint="eastAsia" w:ascii="宋体" w:hAnsi="宋体" w:cs="宋体"/>
                <w:color w:val="auto"/>
                <w:sz w:val="24"/>
                <w:highlight w:val="none"/>
              </w:rPr>
            </w:pPr>
            <w:r>
              <w:rPr>
                <w:rFonts w:hint="eastAsia" w:ascii="宋体" w:hAnsi="宋体" w:cs="宋体"/>
                <w:color w:val="auto"/>
                <w:kern w:val="0"/>
                <w:sz w:val="24"/>
                <w:highlight w:val="none"/>
              </w:rPr>
              <w:t>根据</w:t>
            </w:r>
            <w:r>
              <w:rPr>
                <w:rFonts w:hint="eastAsia" w:ascii="宋体" w:hAnsi="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人</w:t>
            </w:r>
            <w:r>
              <w:rPr>
                <w:rFonts w:hint="eastAsia" w:ascii="宋体" w:hAnsi="宋体" w:cs="宋体"/>
                <w:color w:val="auto"/>
                <w:kern w:val="0"/>
                <w:sz w:val="24"/>
                <w:highlight w:val="none"/>
              </w:rPr>
              <w:t>针对本项目提供的</w:t>
            </w:r>
            <w:r>
              <w:rPr>
                <w:rFonts w:hint="eastAsia" w:ascii="宋体" w:hAnsi="宋体" w:cs="宋体"/>
                <w:b/>
                <w:bCs/>
                <w:color w:val="auto"/>
                <w:kern w:val="0"/>
                <w:sz w:val="24"/>
                <w:highlight w:val="none"/>
              </w:rPr>
              <w:t>发布公告方案</w:t>
            </w:r>
            <w:r>
              <w:rPr>
                <w:rFonts w:hint="eastAsia" w:ascii="宋体" w:hAnsi="宋体" w:cs="宋体"/>
                <w:color w:val="auto"/>
                <w:kern w:val="0"/>
                <w:sz w:val="24"/>
                <w:highlight w:val="none"/>
              </w:rPr>
              <w:t>进行评分： ①</w:t>
            </w:r>
            <w:r>
              <w:rPr>
                <w:rFonts w:hint="eastAsia" w:ascii="宋体" w:hAnsi="宋体" w:cs="宋体"/>
                <w:color w:val="auto"/>
                <w:kern w:val="0"/>
                <w:sz w:val="24"/>
                <w:highlight w:val="none"/>
                <w:lang w:val="en-US" w:eastAsia="zh-CN"/>
              </w:rPr>
              <w:t>提供</w:t>
            </w:r>
            <w:r>
              <w:rPr>
                <w:rFonts w:hint="eastAsia" w:ascii="宋体" w:hAnsi="宋体" w:cs="宋体"/>
                <w:color w:val="auto"/>
                <w:kern w:val="0"/>
                <w:sz w:val="24"/>
                <w:highlight w:val="none"/>
              </w:rPr>
              <w:t>方案符合本项目情况的得</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分；②满足①的基础上，方案内容阐述完整，条理清晰，对关键内容分析到位、有利于项目顺利实施的得</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分；③未提供或提供的方案有缺漏或提供方案不符合本项目要求或提供方案不与本项目无关的均不得分。</w:t>
            </w:r>
          </w:p>
        </w:tc>
        <w:tc>
          <w:tcPr>
            <w:tcW w:w="1043" w:type="dxa"/>
            <w:noWrap w:val="0"/>
            <w:vAlign w:val="center"/>
          </w:tcPr>
          <w:p w14:paraId="07E56731">
            <w:pPr>
              <w:widowControl/>
              <w:jc w:val="left"/>
              <w:rPr>
                <w:rFonts w:hint="eastAsia" w:ascii="宋体" w:hAnsi="宋体" w:cs="宋体"/>
                <w:color w:val="auto"/>
                <w:sz w:val="24"/>
                <w:highlight w:val="none"/>
              </w:rPr>
            </w:pPr>
          </w:p>
        </w:tc>
        <w:tc>
          <w:tcPr>
            <w:tcW w:w="1822" w:type="dxa"/>
            <w:noWrap w:val="0"/>
            <w:vAlign w:val="center"/>
          </w:tcPr>
          <w:p w14:paraId="66F7BC12">
            <w:pPr>
              <w:widowControl/>
              <w:jc w:val="left"/>
              <w:rPr>
                <w:rFonts w:hint="eastAsia" w:ascii="宋体" w:hAnsi="宋体" w:cs="宋体"/>
                <w:color w:val="auto"/>
                <w:sz w:val="24"/>
                <w:highlight w:val="none"/>
              </w:rPr>
            </w:pPr>
          </w:p>
        </w:tc>
      </w:tr>
      <w:tr w14:paraId="387F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86" w:type="dxa"/>
            <w:noWrap w:val="0"/>
            <w:vAlign w:val="center"/>
          </w:tcPr>
          <w:p w14:paraId="21896913">
            <w:pPr>
              <w:widowControl/>
              <w:numPr>
                <w:ilvl w:val="0"/>
                <w:numId w:val="7"/>
              </w:numPr>
              <w:jc w:val="center"/>
              <w:rPr>
                <w:rFonts w:hint="eastAsia" w:ascii="宋体" w:hAnsi="宋体" w:cs="宋体"/>
                <w:color w:val="auto"/>
                <w:sz w:val="24"/>
                <w:highlight w:val="none"/>
              </w:rPr>
            </w:pPr>
          </w:p>
        </w:tc>
        <w:tc>
          <w:tcPr>
            <w:tcW w:w="6188" w:type="dxa"/>
            <w:noWrap w:val="0"/>
            <w:vAlign w:val="center"/>
          </w:tcPr>
          <w:p w14:paraId="60A24120">
            <w:pPr>
              <w:spacing w:line="360" w:lineRule="auto"/>
              <w:rPr>
                <w:rFonts w:hint="eastAsia" w:ascii="宋体" w:hAnsi="宋体" w:cs="宋体"/>
                <w:color w:val="auto"/>
                <w:sz w:val="24"/>
                <w:highlight w:val="none"/>
              </w:rPr>
            </w:pPr>
            <w:r>
              <w:rPr>
                <w:rFonts w:hint="eastAsia" w:ascii="宋体" w:hAnsi="宋体" w:cs="宋体"/>
                <w:color w:val="auto"/>
                <w:kern w:val="0"/>
                <w:sz w:val="24"/>
                <w:highlight w:val="none"/>
              </w:rPr>
              <w:t>根据</w:t>
            </w:r>
            <w:r>
              <w:rPr>
                <w:rFonts w:hint="eastAsia" w:ascii="宋体" w:hAnsi="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人</w:t>
            </w:r>
            <w:r>
              <w:rPr>
                <w:rFonts w:hint="eastAsia" w:ascii="宋体" w:hAnsi="宋体" w:cs="宋体"/>
                <w:color w:val="auto"/>
                <w:kern w:val="0"/>
                <w:sz w:val="24"/>
                <w:highlight w:val="none"/>
              </w:rPr>
              <w:t>针对本项目提供的</w:t>
            </w:r>
            <w:r>
              <w:rPr>
                <w:rFonts w:hint="eastAsia" w:ascii="宋体" w:hAnsi="宋体" w:cs="宋体"/>
                <w:b/>
                <w:bCs/>
                <w:color w:val="auto"/>
                <w:kern w:val="0"/>
                <w:sz w:val="24"/>
                <w:highlight w:val="none"/>
              </w:rPr>
              <w:t>笔试考务组织（30人标准）方案</w:t>
            </w:r>
            <w:r>
              <w:rPr>
                <w:rFonts w:hint="eastAsia" w:ascii="宋体" w:hAnsi="宋体" w:cs="宋体"/>
                <w:color w:val="auto"/>
                <w:kern w:val="0"/>
                <w:sz w:val="24"/>
                <w:highlight w:val="none"/>
              </w:rPr>
              <w:t>进行评分： ①</w:t>
            </w:r>
            <w:r>
              <w:rPr>
                <w:rFonts w:hint="eastAsia" w:ascii="宋体" w:hAnsi="宋体" w:cs="宋体"/>
                <w:color w:val="auto"/>
                <w:kern w:val="0"/>
                <w:sz w:val="24"/>
                <w:highlight w:val="none"/>
                <w:lang w:val="en-US" w:eastAsia="zh-CN"/>
              </w:rPr>
              <w:t>提供</w:t>
            </w:r>
            <w:r>
              <w:rPr>
                <w:rFonts w:hint="eastAsia" w:ascii="宋体" w:hAnsi="宋体" w:cs="宋体"/>
                <w:color w:val="auto"/>
                <w:kern w:val="0"/>
                <w:sz w:val="24"/>
                <w:highlight w:val="none"/>
              </w:rPr>
              <w:t>方案符合本项目情况的得</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分；②满足①的基础上，方案内容阐述完整，条理清晰，对关键内容分析到位、有利于项目顺利实施的得</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分；③未提供或提供的方案有缺漏或提供方案不符合本项目要求或提供方案不与本项目无关的均不得分。</w:t>
            </w:r>
          </w:p>
        </w:tc>
        <w:tc>
          <w:tcPr>
            <w:tcW w:w="1043" w:type="dxa"/>
            <w:noWrap w:val="0"/>
            <w:vAlign w:val="center"/>
          </w:tcPr>
          <w:p w14:paraId="2CCB5E01">
            <w:pPr>
              <w:widowControl/>
              <w:jc w:val="left"/>
              <w:rPr>
                <w:rFonts w:hint="eastAsia" w:ascii="宋体" w:hAnsi="宋体" w:cs="宋体"/>
                <w:color w:val="auto"/>
                <w:sz w:val="24"/>
                <w:highlight w:val="none"/>
              </w:rPr>
            </w:pPr>
          </w:p>
        </w:tc>
        <w:tc>
          <w:tcPr>
            <w:tcW w:w="1822" w:type="dxa"/>
            <w:noWrap w:val="0"/>
            <w:vAlign w:val="center"/>
          </w:tcPr>
          <w:p w14:paraId="2316BA8D">
            <w:pPr>
              <w:widowControl/>
              <w:jc w:val="left"/>
              <w:rPr>
                <w:rFonts w:hint="eastAsia" w:ascii="宋体" w:hAnsi="宋体" w:cs="宋体"/>
                <w:color w:val="auto"/>
                <w:sz w:val="24"/>
                <w:highlight w:val="none"/>
              </w:rPr>
            </w:pPr>
          </w:p>
        </w:tc>
      </w:tr>
      <w:tr w14:paraId="326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86" w:type="dxa"/>
            <w:noWrap w:val="0"/>
            <w:vAlign w:val="center"/>
          </w:tcPr>
          <w:p w14:paraId="7CC72786">
            <w:pPr>
              <w:widowControl/>
              <w:numPr>
                <w:ilvl w:val="0"/>
                <w:numId w:val="7"/>
              </w:numPr>
              <w:jc w:val="center"/>
              <w:rPr>
                <w:rFonts w:hint="eastAsia" w:ascii="宋体" w:hAnsi="宋体" w:cs="宋体"/>
                <w:color w:val="auto"/>
                <w:sz w:val="24"/>
                <w:highlight w:val="none"/>
              </w:rPr>
            </w:pPr>
          </w:p>
        </w:tc>
        <w:tc>
          <w:tcPr>
            <w:tcW w:w="6188" w:type="dxa"/>
            <w:noWrap w:val="0"/>
            <w:vAlign w:val="center"/>
          </w:tcPr>
          <w:p w14:paraId="5CAF19C6">
            <w:pPr>
              <w:spacing w:line="360" w:lineRule="auto"/>
              <w:rPr>
                <w:rFonts w:hint="eastAsia" w:ascii="宋体" w:hAnsi="宋体" w:cs="宋体"/>
                <w:color w:val="auto"/>
                <w:sz w:val="24"/>
                <w:highlight w:val="none"/>
              </w:rPr>
            </w:pPr>
            <w:r>
              <w:rPr>
                <w:rFonts w:hint="eastAsia" w:ascii="宋体" w:hAnsi="宋体" w:cs="宋体"/>
                <w:color w:val="auto"/>
                <w:kern w:val="0"/>
                <w:sz w:val="24"/>
                <w:highlight w:val="none"/>
              </w:rPr>
              <w:t>根据</w:t>
            </w:r>
            <w:r>
              <w:rPr>
                <w:rFonts w:hint="eastAsia" w:ascii="宋体" w:hAnsi="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人</w:t>
            </w:r>
            <w:r>
              <w:rPr>
                <w:rFonts w:hint="eastAsia" w:ascii="宋体" w:hAnsi="宋体" w:cs="宋体"/>
                <w:color w:val="auto"/>
                <w:kern w:val="0"/>
                <w:sz w:val="24"/>
                <w:highlight w:val="none"/>
              </w:rPr>
              <w:t>针对本项目提供的</w:t>
            </w:r>
            <w:r>
              <w:rPr>
                <w:rFonts w:hint="eastAsia" w:ascii="宋体" w:hAnsi="宋体" w:cs="宋体"/>
                <w:b/>
                <w:bCs/>
                <w:color w:val="auto"/>
                <w:kern w:val="0"/>
                <w:sz w:val="24"/>
                <w:highlight w:val="none"/>
              </w:rPr>
              <w:t>面试考务组织方案</w:t>
            </w:r>
            <w:r>
              <w:rPr>
                <w:rFonts w:hint="eastAsia" w:ascii="宋体" w:hAnsi="宋体" w:cs="宋体"/>
                <w:color w:val="auto"/>
                <w:kern w:val="0"/>
                <w:sz w:val="24"/>
                <w:highlight w:val="none"/>
              </w:rPr>
              <w:t>进行评分： ①</w:t>
            </w:r>
            <w:r>
              <w:rPr>
                <w:rFonts w:hint="eastAsia" w:ascii="宋体" w:hAnsi="宋体" w:cs="宋体"/>
                <w:color w:val="auto"/>
                <w:kern w:val="0"/>
                <w:sz w:val="24"/>
                <w:highlight w:val="none"/>
                <w:lang w:val="en-US" w:eastAsia="zh-CN"/>
              </w:rPr>
              <w:t>提供</w:t>
            </w:r>
            <w:r>
              <w:rPr>
                <w:rFonts w:hint="eastAsia" w:ascii="宋体" w:hAnsi="宋体" w:cs="宋体"/>
                <w:color w:val="auto"/>
                <w:kern w:val="0"/>
                <w:sz w:val="24"/>
                <w:highlight w:val="none"/>
              </w:rPr>
              <w:t>方案符合本项目情况的得</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分；②满足①的基础上，方案内容阐述完整，条理清晰，对关键内容分析到位、有利于项目顺利实施的得</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分；③未提供或提供的方案有缺漏或提供方案不符合本项目要求或提供方案不与本项目无关的均不得分。</w:t>
            </w:r>
          </w:p>
        </w:tc>
        <w:tc>
          <w:tcPr>
            <w:tcW w:w="1043" w:type="dxa"/>
            <w:noWrap w:val="0"/>
            <w:vAlign w:val="center"/>
          </w:tcPr>
          <w:p w14:paraId="6B03B4F3">
            <w:pPr>
              <w:widowControl/>
              <w:jc w:val="left"/>
              <w:rPr>
                <w:rFonts w:hint="eastAsia" w:ascii="宋体" w:hAnsi="宋体" w:cs="宋体"/>
                <w:color w:val="auto"/>
                <w:sz w:val="24"/>
                <w:highlight w:val="none"/>
              </w:rPr>
            </w:pPr>
          </w:p>
        </w:tc>
        <w:tc>
          <w:tcPr>
            <w:tcW w:w="1822" w:type="dxa"/>
            <w:noWrap w:val="0"/>
            <w:vAlign w:val="center"/>
          </w:tcPr>
          <w:p w14:paraId="1432FDF9">
            <w:pPr>
              <w:widowControl/>
              <w:jc w:val="left"/>
              <w:rPr>
                <w:rFonts w:hint="eastAsia" w:ascii="宋体" w:hAnsi="宋体" w:cs="宋体"/>
                <w:color w:val="auto"/>
                <w:sz w:val="24"/>
                <w:highlight w:val="none"/>
              </w:rPr>
            </w:pPr>
          </w:p>
        </w:tc>
      </w:tr>
      <w:tr w14:paraId="7E11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86" w:type="dxa"/>
            <w:noWrap w:val="0"/>
            <w:vAlign w:val="center"/>
          </w:tcPr>
          <w:p w14:paraId="20D875AD">
            <w:pPr>
              <w:widowControl/>
              <w:numPr>
                <w:ilvl w:val="0"/>
                <w:numId w:val="7"/>
              </w:numPr>
              <w:jc w:val="center"/>
              <w:rPr>
                <w:rFonts w:hint="eastAsia" w:ascii="宋体" w:hAnsi="宋体" w:cs="宋体"/>
                <w:color w:val="auto"/>
                <w:sz w:val="24"/>
                <w:highlight w:val="none"/>
              </w:rPr>
            </w:pPr>
          </w:p>
        </w:tc>
        <w:tc>
          <w:tcPr>
            <w:tcW w:w="6188" w:type="dxa"/>
            <w:noWrap w:val="0"/>
            <w:vAlign w:val="top"/>
          </w:tcPr>
          <w:p w14:paraId="0F858358">
            <w:pPr>
              <w:pStyle w:val="12"/>
              <w:widowControl/>
              <w:spacing w:line="360" w:lineRule="auto"/>
              <w:rPr>
                <w:rFonts w:hint="eastAsia" w:ascii="宋体" w:hAnsi="宋体" w:cs="宋体"/>
                <w:color w:val="auto"/>
                <w:sz w:val="24"/>
                <w:highlight w:val="none"/>
              </w:rPr>
            </w:pPr>
            <w:r>
              <w:rPr>
                <w:rFonts w:hint="eastAsia" w:ascii="宋体" w:hAnsi="宋体" w:cs="宋体"/>
                <w:color w:val="auto"/>
                <w:kern w:val="0"/>
                <w:sz w:val="24"/>
                <w:highlight w:val="none"/>
              </w:rPr>
              <w:t>根据</w:t>
            </w:r>
            <w:r>
              <w:rPr>
                <w:rFonts w:hint="eastAsia" w:ascii="宋体" w:hAnsi="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人</w:t>
            </w:r>
            <w:r>
              <w:rPr>
                <w:rFonts w:hint="eastAsia" w:ascii="宋体" w:hAnsi="宋体" w:cs="宋体"/>
                <w:color w:val="auto"/>
                <w:kern w:val="0"/>
                <w:sz w:val="24"/>
                <w:highlight w:val="none"/>
              </w:rPr>
              <w:t>针对本项目提供的</w:t>
            </w:r>
            <w:r>
              <w:rPr>
                <w:rFonts w:hint="eastAsia" w:ascii="宋体" w:hAnsi="宋体" w:cs="宋体"/>
                <w:b/>
                <w:bCs/>
                <w:color w:val="auto"/>
                <w:kern w:val="0"/>
                <w:sz w:val="24"/>
                <w:highlight w:val="none"/>
              </w:rPr>
              <w:t>考务服务培训方案</w:t>
            </w:r>
            <w:r>
              <w:rPr>
                <w:rFonts w:hint="eastAsia" w:ascii="宋体" w:hAnsi="宋体" w:cs="宋体"/>
                <w:color w:val="auto"/>
                <w:kern w:val="0"/>
                <w:sz w:val="24"/>
                <w:highlight w:val="none"/>
              </w:rPr>
              <w:t>进行评分： ①</w:t>
            </w:r>
            <w:r>
              <w:rPr>
                <w:rFonts w:hint="eastAsia" w:ascii="宋体" w:hAnsi="宋体" w:cs="宋体"/>
                <w:color w:val="auto"/>
                <w:kern w:val="0"/>
                <w:sz w:val="24"/>
                <w:highlight w:val="none"/>
                <w:lang w:val="en-US" w:eastAsia="zh-CN"/>
              </w:rPr>
              <w:t>提供</w:t>
            </w:r>
            <w:r>
              <w:rPr>
                <w:rFonts w:hint="eastAsia" w:ascii="宋体" w:hAnsi="宋体" w:cs="宋体"/>
                <w:color w:val="auto"/>
                <w:kern w:val="0"/>
                <w:sz w:val="24"/>
                <w:highlight w:val="none"/>
              </w:rPr>
              <w:t>方案</w:t>
            </w:r>
            <w:r>
              <w:rPr>
                <w:rFonts w:hint="eastAsia" w:ascii="宋体" w:hAnsi="宋体" w:cs="宋体"/>
                <w:color w:val="auto"/>
                <w:kern w:val="0"/>
                <w:sz w:val="24"/>
                <w:highlight w:val="none"/>
                <w:lang w:val="en-US" w:eastAsia="zh-CN"/>
              </w:rPr>
              <w:t>包含但不限于</w:t>
            </w:r>
            <w:r>
              <w:rPr>
                <w:rFonts w:hint="eastAsia" w:ascii="宋体" w:hAnsi="宋体" w:cs="宋体"/>
                <w:color w:val="auto"/>
                <w:kern w:val="0"/>
                <w:sz w:val="24"/>
                <w:highlight w:val="none"/>
              </w:rPr>
              <w:t>培训对象、培训内容、培训方式、培训时间</w:t>
            </w:r>
            <w:r>
              <w:rPr>
                <w:rFonts w:hint="eastAsia" w:ascii="宋体" w:hAnsi="宋体" w:cs="宋体"/>
                <w:color w:val="auto"/>
                <w:kern w:val="0"/>
                <w:sz w:val="24"/>
                <w:highlight w:val="none"/>
                <w:lang w:val="en-US" w:eastAsia="zh-CN"/>
              </w:rPr>
              <w:t>等的</w:t>
            </w:r>
            <w:r>
              <w:rPr>
                <w:rFonts w:hint="eastAsia" w:ascii="宋体" w:hAnsi="宋体" w:cs="宋体"/>
                <w:color w:val="auto"/>
                <w:kern w:val="0"/>
                <w:sz w:val="24"/>
                <w:highlight w:val="none"/>
              </w:rPr>
              <w:t>得</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分；②满足①的基础上，方案内容阐述完整，条理清晰，对关键内容分析到位、有利于项目顺利实施的得</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分；③未提供或提供的方案有缺漏或提供方案不符合本项目要求或提供方案不与本项目无关的均不得分。</w:t>
            </w:r>
          </w:p>
        </w:tc>
        <w:tc>
          <w:tcPr>
            <w:tcW w:w="1043" w:type="dxa"/>
            <w:noWrap w:val="0"/>
            <w:vAlign w:val="center"/>
          </w:tcPr>
          <w:p w14:paraId="0BD1AC54">
            <w:pPr>
              <w:widowControl/>
              <w:jc w:val="left"/>
              <w:rPr>
                <w:rFonts w:hint="eastAsia" w:ascii="宋体" w:hAnsi="宋体" w:cs="宋体"/>
                <w:color w:val="auto"/>
                <w:sz w:val="24"/>
                <w:highlight w:val="none"/>
              </w:rPr>
            </w:pPr>
          </w:p>
        </w:tc>
        <w:tc>
          <w:tcPr>
            <w:tcW w:w="1822" w:type="dxa"/>
            <w:noWrap w:val="0"/>
            <w:vAlign w:val="center"/>
          </w:tcPr>
          <w:p w14:paraId="59F17270">
            <w:pPr>
              <w:widowControl/>
              <w:jc w:val="left"/>
              <w:rPr>
                <w:rFonts w:hint="eastAsia" w:ascii="宋体" w:hAnsi="宋体" w:cs="宋体"/>
                <w:color w:val="auto"/>
                <w:sz w:val="24"/>
                <w:highlight w:val="none"/>
              </w:rPr>
            </w:pPr>
          </w:p>
        </w:tc>
      </w:tr>
      <w:tr w14:paraId="3AD5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486" w:type="dxa"/>
            <w:noWrap w:val="0"/>
            <w:vAlign w:val="center"/>
          </w:tcPr>
          <w:p w14:paraId="7BC48D5C">
            <w:pPr>
              <w:widowControl/>
              <w:numPr>
                <w:ilvl w:val="0"/>
                <w:numId w:val="7"/>
              </w:numPr>
              <w:jc w:val="center"/>
              <w:rPr>
                <w:rFonts w:hint="eastAsia" w:ascii="宋体" w:hAnsi="宋体" w:cs="宋体"/>
                <w:color w:val="auto"/>
                <w:sz w:val="24"/>
                <w:highlight w:val="none"/>
              </w:rPr>
            </w:pPr>
          </w:p>
        </w:tc>
        <w:tc>
          <w:tcPr>
            <w:tcW w:w="6188" w:type="dxa"/>
            <w:noWrap w:val="0"/>
            <w:vAlign w:val="top"/>
          </w:tcPr>
          <w:p w14:paraId="4E207555">
            <w:pPr>
              <w:pStyle w:val="12"/>
              <w:widowControl/>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根据</w:t>
            </w:r>
            <w:r>
              <w:rPr>
                <w:rFonts w:hint="eastAsia" w:ascii="宋体" w:hAnsi="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人</w:t>
            </w:r>
            <w:r>
              <w:rPr>
                <w:rFonts w:hint="eastAsia" w:ascii="宋体" w:hAnsi="宋体" w:cs="宋体"/>
                <w:color w:val="auto"/>
                <w:kern w:val="0"/>
                <w:sz w:val="24"/>
                <w:highlight w:val="none"/>
              </w:rPr>
              <w:t>针对本项目提供的</w:t>
            </w:r>
            <w:r>
              <w:rPr>
                <w:rFonts w:hint="eastAsia" w:ascii="宋体" w:hAnsi="宋体" w:cs="宋体"/>
                <w:b/>
                <w:bCs/>
                <w:color w:val="auto"/>
                <w:kern w:val="0"/>
                <w:sz w:val="24"/>
                <w:highlight w:val="none"/>
              </w:rPr>
              <w:t>招聘信息发布网站</w:t>
            </w:r>
            <w:r>
              <w:rPr>
                <w:rFonts w:hint="eastAsia" w:ascii="宋体" w:hAnsi="宋体" w:cs="宋体"/>
                <w:b/>
                <w:bCs/>
                <w:color w:val="auto"/>
                <w:kern w:val="0"/>
                <w:sz w:val="24"/>
                <w:highlight w:val="none"/>
                <w:lang w:val="en-US" w:eastAsia="zh-CN"/>
              </w:rPr>
              <w:t>及考务服务系统</w:t>
            </w:r>
            <w:r>
              <w:rPr>
                <w:rFonts w:hint="eastAsia" w:ascii="宋体" w:hAnsi="宋体" w:cs="宋体"/>
                <w:color w:val="auto"/>
                <w:kern w:val="0"/>
                <w:sz w:val="24"/>
                <w:highlight w:val="none"/>
              </w:rPr>
              <w:t>进行评分：</w:t>
            </w:r>
          </w:p>
          <w:p w14:paraId="57EE5F51">
            <w:pPr>
              <w:pStyle w:val="12"/>
              <w:widowControl/>
              <w:numPr>
                <w:ilvl w:val="-1"/>
                <w:numId w:val="0"/>
              </w:numPr>
              <w:spacing w:line="360" w:lineRule="auto"/>
              <w:rPr>
                <w:rFonts w:hint="eastAsia" w:ascii="宋体" w:hAnsi="宋体" w:cs="宋体"/>
                <w:color w:val="auto"/>
                <w:kern w:val="0"/>
                <w:sz w:val="24"/>
                <w:highlight w:val="none"/>
                <w:lang w:eastAsia="zh-CN"/>
              </w:rPr>
            </w:pPr>
            <w:r>
              <w:rPr>
                <w:rFonts w:hint="default" w:ascii="宋体" w:hAnsi="宋体" w:cs="宋体"/>
                <w:color w:val="auto"/>
                <w:kern w:val="0"/>
                <w:sz w:val="24"/>
                <w:highlight w:val="none"/>
              </w:rPr>
              <w:t>（1）</w:t>
            </w:r>
            <w:r>
              <w:rPr>
                <w:rFonts w:hint="eastAsia" w:ascii="宋体" w:hAnsi="宋体" w:cs="宋体"/>
                <w:color w:val="auto"/>
                <w:kern w:val="0"/>
                <w:sz w:val="24"/>
                <w:highlight w:val="none"/>
                <w:lang w:val="en-US" w:eastAsia="zh-CN"/>
              </w:rPr>
              <w:t>提供相关招聘信息发布网站截图及链接，提供网站为自有的得2分（自有网站需提供网站截图、链接及证明网站自有的相关证明材料）；提供的网站为非自有的得1分（非自有网站需提供网站截图及链接），满分2分</w:t>
            </w:r>
            <w:r>
              <w:rPr>
                <w:rFonts w:hint="eastAsia" w:ascii="宋体" w:hAnsi="宋体" w:cs="宋体"/>
                <w:color w:val="auto"/>
                <w:kern w:val="0"/>
                <w:sz w:val="24"/>
                <w:highlight w:val="none"/>
                <w:lang w:eastAsia="zh-CN"/>
              </w:rPr>
              <w:t>。</w:t>
            </w:r>
          </w:p>
          <w:p w14:paraId="6F107BCA">
            <w:pPr>
              <w:pStyle w:val="12"/>
              <w:widowControl/>
              <w:numPr>
                <w:ilvl w:val="-1"/>
                <w:numId w:val="0"/>
              </w:numPr>
              <w:spacing w:line="360" w:lineRule="auto"/>
              <w:rPr>
                <w:rFonts w:hint="eastAsia" w:ascii="宋体" w:hAnsi="宋体" w:cs="宋体"/>
                <w:color w:val="auto"/>
                <w:sz w:val="24"/>
                <w:highlight w:val="none"/>
              </w:rPr>
            </w:pPr>
            <w:r>
              <w:rPr>
                <w:rFonts w:hint="default" w:ascii="宋体" w:hAnsi="宋体" w:cs="宋体"/>
                <w:color w:val="auto"/>
                <w:kern w:val="0"/>
                <w:sz w:val="24"/>
                <w:highlight w:val="none"/>
              </w:rPr>
              <w:t>（2）</w:t>
            </w:r>
            <w:r>
              <w:rPr>
                <w:rFonts w:hint="eastAsia" w:ascii="宋体" w:hAnsi="宋体" w:cs="宋体"/>
                <w:color w:val="auto"/>
                <w:kern w:val="0"/>
                <w:sz w:val="24"/>
                <w:highlight w:val="none"/>
                <w:lang w:val="en-US" w:eastAsia="zh-CN"/>
              </w:rPr>
              <w:t>具备自有的</w:t>
            </w:r>
            <w:r>
              <w:rPr>
                <w:rFonts w:hint="eastAsia" w:ascii="宋体" w:hAnsi="宋体" w:cs="宋体"/>
                <w:color w:val="auto"/>
                <w:kern w:val="0"/>
                <w:sz w:val="24"/>
                <w:highlight w:val="none"/>
              </w:rPr>
              <w:t>招聘考务服务系统</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并</w:t>
            </w:r>
            <w:r>
              <w:rPr>
                <w:rFonts w:hint="eastAsia" w:ascii="宋体" w:hAnsi="宋体" w:cs="宋体"/>
                <w:color w:val="auto"/>
                <w:kern w:val="0"/>
                <w:sz w:val="24"/>
                <w:highlight w:val="none"/>
              </w:rPr>
              <w:t>提供完整的线上招聘考务服务系统</w:t>
            </w:r>
            <w:r>
              <w:rPr>
                <w:rFonts w:hint="eastAsia" w:ascii="宋体" w:hAnsi="宋体" w:cs="宋体"/>
                <w:color w:val="auto"/>
                <w:kern w:val="0"/>
                <w:sz w:val="24"/>
                <w:highlight w:val="none"/>
                <w:lang w:val="en-US" w:eastAsia="zh-CN"/>
              </w:rPr>
              <w:t>相关截图</w:t>
            </w:r>
            <w:r>
              <w:rPr>
                <w:rFonts w:hint="eastAsia" w:ascii="宋体" w:hAnsi="宋体" w:cs="宋体"/>
                <w:color w:val="auto"/>
                <w:kern w:val="0"/>
                <w:sz w:val="24"/>
                <w:highlight w:val="none"/>
              </w:rPr>
              <w:t>(包括线上报名</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成绩发布</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考务通知等</w:t>
            </w:r>
            <w:r>
              <w:rPr>
                <w:rFonts w:hint="eastAsia" w:ascii="宋体" w:hAnsi="宋体" w:cs="宋体"/>
                <w:color w:val="auto"/>
                <w:kern w:val="0"/>
                <w:sz w:val="24"/>
                <w:highlight w:val="none"/>
                <w:lang w:val="en-US" w:eastAsia="zh-CN"/>
              </w:rPr>
              <w:t>功能</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的得</w:t>
            </w:r>
            <w:r>
              <w:rPr>
                <w:rFonts w:hint="default" w:ascii="宋体" w:hAnsi="宋体" w:cs="宋体"/>
                <w:color w:val="auto"/>
                <w:kern w:val="0"/>
                <w:sz w:val="24"/>
                <w:highlight w:val="none"/>
                <w:lang w:val="en-US" w:eastAsia="zh-CN"/>
              </w:rPr>
              <w:t>3</w:t>
            </w:r>
            <w:r>
              <w:rPr>
                <w:rFonts w:hint="eastAsia" w:ascii="宋体" w:hAnsi="宋体" w:cs="宋体"/>
                <w:color w:val="auto"/>
                <w:kern w:val="0"/>
                <w:sz w:val="24"/>
                <w:highlight w:val="none"/>
                <w:lang w:val="en-US" w:eastAsia="zh-CN"/>
              </w:rPr>
              <w:t>分，满分</w:t>
            </w:r>
            <w:r>
              <w:rPr>
                <w:rFonts w:hint="default" w:ascii="宋体" w:hAnsi="宋体" w:cs="宋体"/>
                <w:color w:val="auto"/>
                <w:kern w:val="0"/>
                <w:sz w:val="24"/>
                <w:highlight w:val="none"/>
                <w:lang w:val="en-US" w:eastAsia="zh-CN"/>
              </w:rPr>
              <w:t>3</w:t>
            </w:r>
            <w:r>
              <w:rPr>
                <w:rFonts w:hint="eastAsia" w:ascii="宋体" w:hAnsi="宋体" w:cs="宋体"/>
                <w:color w:val="auto"/>
                <w:kern w:val="0"/>
                <w:sz w:val="24"/>
                <w:highlight w:val="none"/>
                <w:lang w:val="en-US" w:eastAsia="zh-CN"/>
              </w:rPr>
              <w:t>分。</w:t>
            </w:r>
          </w:p>
        </w:tc>
        <w:tc>
          <w:tcPr>
            <w:tcW w:w="1043" w:type="dxa"/>
            <w:noWrap w:val="0"/>
            <w:vAlign w:val="center"/>
          </w:tcPr>
          <w:p w14:paraId="505B3FC8">
            <w:pPr>
              <w:widowControl/>
              <w:jc w:val="left"/>
              <w:rPr>
                <w:rFonts w:hint="eastAsia" w:ascii="宋体" w:hAnsi="宋体" w:cs="宋体"/>
                <w:color w:val="auto"/>
                <w:sz w:val="24"/>
                <w:highlight w:val="none"/>
              </w:rPr>
            </w:pPr>
          </w:p>
        </w:tc>
        <w:tc>
          <w:tcPr>
            <w:tcW w:w="1822" w:type="dxa"/>
            <w:noWrap w:val="0"/>
            <w:vAlign w:val="center"/>
          </w:tcPr>
          <w:p w14:paraId="5672D34B">
            <w:pPr>
              <w:widowControl/>
              <w:jc w:val="left"/>
              <w:rPr>
                <w:rFonts w:hint="eastAsia" w:ascii="宋体" w:hAnsi="宋体" w:cs="宋体"/>
                <w:color w:val="auto"/>
                <w:sz w:val="24"/>
                <w:highlight w:val="none"/>
              </w:rPr>
            </w:pPr>
          </w:p>
        </w:tc>
      </w:tr>
      <w:tr w14:paraId="1A28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486" w:type="dxa"/>
            <w:noWrap w:val="0"/>
            <w:vAlign w:val="center"/>
          </w:tcPr>
          <w:p w14:paraId="6C69F6E3">
            <w:pPr>
              <w:widowControl/>
              <w:numPr>
                <w:ilvl w:val="0"/>
                <w:numId w:val="7"/>
              </w:numPr>
              <w:jc w:val="center"/>
              <w:rPr>
                <w:rFonts w:hint="eastAsia" w:ascii="宋体" w:hAnsi="宋体" w:cs="宋体"/>
                <w:color w:val="auto"/>
                <w:sz w:val="24"/>
                <w:highlight w:val="none"/>
              </w:rPr>
            </w:pPr>
          </w:p>
        </w:tc>
        <w:tc>
          <w:tcPr>
            <w:tcW w:w="6188" w:type="dxa"/>
            <w:noWrap w:val="0"/>
            <w:vAlign w:val="top"/>
          </w:tcPr>
          <w:p w14:paraId="66B7E6FC">
            <w:pPr>
              <w:pStyle w:val="12"/>
              <w:widowControl/>
              <w:spacing w:line="360" w:lineRule="auto"/>
              <w:rPr>
                <w:rFonts w:hint="eastAsia" w:ascii="宋体" w:hAnsi="宋体" w:cs="宋体"/>
                <w:color w:val="auto"/>
                <w:sz w:val="24"/>
                <w:highlight w:val="none"/>
              </w:rPr>
            </w:pPr>
            <w:r>
              <w:rPr>
                <w:rFonts w:hint="eastAsia" w:ascii="宋体" w:hAnsi="宋体" w:cs="宋体"/>
                <w:color w:val="auto"/>
                <w:kern w:val="0"/>
                <w:sz w:val="24"/>
                <w:highlight w:val="none"/>
              </w:rPr>
              <w:t>根据</w:t>
            </w:r>
            <w:r>
              <w:rPr>
                <w:rFonts w:hint="eastAsia" w:ascii="宋体" w:hAnsi="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人</w:t>
            </w:r>
            <w:r>
              <w:rPr>
                <w:rFonts w:hint="eastAsia" w:ascii="宋体" w:hAnsi="宋体" w:cs="宋体"/>
                <w:color w:val="auto"/>
                <w:kern w:val="0"/>
                <w:sz w:val="24"/>
                <w:highlight w:val="none"/>
              </w:rPr>
              <w:t>针对本项目提供的</w:t>
            </w:r>
            <w:r>
              <w:rPr>
                <w:rFonts w:hint="eastAsia" w:ascii="宋体" w:hAnsi="宋体" w:cs="宋体"/>
                <w:b/>
                <w:bCs/>
                <w:color w:val="auto"/>
                <w:kern w:val="0"/>
                <w:sz w:val="24"/>
                <w:highlight w:val="none"/>
              </w:rPr>
              <w:t>保密措施方案</w:t>
            </w:r>
            <w:r>
              <w:rPr>
                <w:rFonts w:hint="eastAsia" w:ascii="宋体" w:hAnsi="宋体" w:cs="宋体"/>
                <w:color w:val="auto"/>
                <w:kern w:val="0"/>
                <w:sz w:val="24"/>
                <w:highlight w:val="none"/>
              </w:rPr>
              <w:t>进行评分： ①</w:t>
            </w:r>
            <w:r>
              <w:rPr>
                <w:rFonts w:hint="eastAsia" w:ascii="宋体" w:hAnsi="宋体" w:cs="宋体"/>
                <w:color w:val="auto"/>
                <w:kern w:val="0"/>
                <w:sz w:val="24"/>
                <w:highlight w:val="none"/>
                <w:lang w:val="en-US" w:eastAsia="zh-CN"/>
              </w:rPr>
              <w:t>提供</w:t>
            </w:r>
            <w:r>
              <w:rPr>
                <w:rFonts w:hint="eastAsia" w:ascii="宋体" w:hAnsi="宋体" w:cs="宋体"/>
                <w:color w:val="auto"/>
                <w:kern w:val="0"/>
                <w:sz w:val="24"/>
                <w:highlight w:val="none"/>
              </w:rPr>
              <w:t>方案</w:t>
            </w:r>
            <w:r>
              <w:rPr>
                <w:rFonts w:hint="eastAsia" w:ascii="宋体" w:hAnsi="宋体" w:cs="宋体"/>
                <w:color w:val="auto"/>
                <w:kern w:val="0"/>
                <w:sz w:val="24"/>
                <w:highlight w:val="none"/>
                <w:lang w:val="en-US" w:eastAsia="zh-CN"/>
              </w:rPr>
              <w:t>包含但不限于</w:t>
            </w:r>
            <w:r>
              <w:rPr>
                <w:rFonts w:hint="eastAsia" w:ascii="宋体" w:hAnsi="宋体" w:cs="宋体"/>
                <w:color w:val="auto"/>
                <w:kern w:val="0"/>
                <w:sz w:val="24"/>
                <w:highlight w:val="none"/>
              </w:rPr>
              <w:t>人员保密制度</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数据保密</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试题及印刷保密</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阅卷环节保密</w:t>
            </w:r>
            <w:r>
              <w:rPr>
                <w:rFonts w:hint="eastAsia" w:ascii="宋体" w:hAnsi="宋体" w:cs="宋体"/>
                <w:color w:val="auto"/>
                <w:kern w:val="0"/>
                <w:sz w:val="24"/>
                <w:highlight w:val="none"/>
                <w:lang w:val="en-US" w:eastAsia="zh-CN"/>
              </w:rPr>
              <w:t>等的</w:t>
            </w:r>
            <w:r>
              <w:rPr>
                <w:rFonts w:hint="eastAsia" w:ascii="宋体" w:hAnsi="宋体" w:cs="宋体"/>
                <w:color w:val="auto"/>
                <w:kern w:val="0"/>
                <w:sz w:val="24"/>
                <w:highlight w:val="none"/>
              </w:rPr>
              <w:t>得</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分；②满足①的基础上，方案内容阐述完整，条理清晰，对关键内容分析到位、有利于项目顺利实施的得</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分；③未提供或提供的方案有缺漏或提供方案不符合本项目要求或提供方案不与本项目无关的均不得分。</w:t>
            </w:r>
          </w:p>
        </w:tc>
        <w:tc>
          <w:tcPr>
            <w:tcW w:w="1043" w:type="dxa"/>
            <w:noWrap w:val="0"/>
            <w:vAlign w:val="center"/>
          </w:tcPr>
          <w:p w14:paraId="61666790">
            <w:pPr>
              <w:widowControl/>
              <w:jc w:val="left"/>
              <w:rPr>
                <w:rFonts w:hint="eastAsia" w:ascii="宋体" w:hAnsi="宋体" w:cs="宋体"/>
                <w:color w:val="auto"/>
                <w:sz w:val="24"/>
                <w:highlight w:val="none"/>
              </w:rPr>
            </w:pPr>
          </w:p>
        </w:tc>
        <w:tc>
          <w:tcPr>
            <w:tcW w:w="1822" w:type="dxa"/>
            <w:noWrap w:val="0"/>
            <w:vAlign w:val="center"/>
          </w:tcPr>
          <w:p w14:paraId="4041501E">
            <w:pPr>
              <w:widowControl/>
              <w:jc w:val="left"/>
              <w:rPr>
                <w:rFonts w:hint="eastAsia" w:ascii="宋体" w:hAnsi="宋体" w:cs="宋体"/>
                <w:color w:val="auto"/>
                <w:sz w:val="24"/>
                <w:highlight w:val="none"/>
              </w:rPr>
            </w:pPr>
          </w:p>
        </w:tc>
      </w:tr>
      <w:tr w14:paraId="7D168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486" w:type="dxa"/>
            <w:noWrap w:val="0"/>
            <w:vAlign w:val="center"/>
          </w:tcPr>
          <w:p w14:paraId="72A24D1A">
            <w:pPr>
              <w:widowControl/>
              <w:numPr>
                <w:ilvl w:val="0"/>
                <w:numId w:val="7"/>
              </w:numPr>
              <w:jc w:val="center"/>
              <w:rPr>
                <w:rFonts w:hint="eastAsia" w:ascii="宋体" w:hAnsi="宋体" w:cs="宋体"/>
                <w:color w:val="auto"/>
                <w:sz w:val="24"/>
                <w:highlight w:val="none"/>
              </w:rPr>
            </w:pPr>
          </w:p>
        </w:tc>
        <w:tc>
          <w:tcPr>
            <w:tcW w:w="6188" w:type="dxa"/>
            <w:noWrap w:val="0"/>
            <w:vAlign w:val="top"/>
          </w:tcPr>
          <w:p w14:paraId="405648D1">
            <w:pPr>
              <w:pStyle w:val="12"/>
              <w:widowControl/>
              <w:spacing w:line="360" w:lineRule="auto"/>
              <w:rPr>
                <w:rFonts w:hint="eastAsia" w:ascii="宋体" w:hAnsi="宋体" w:eastAsia="宋体" w:cs="宋体"/>
                <w:b w:val="0"/>
                <w:bCs/>
                <w:color w:val="auto"/>
                <w:sz w:val="24"/>
                <w:szCs w:val="24"/>
                <w:highlight w:val="none"/>
                <w:lang w:val="en-US" w:eastAsia="zh-CN"/>
              </w:rPr>
            </w:pPr>
            <w:r>
              <w:rPr>
                <w:rFonts w:hint="eastAsia" w:ascii="宋体" w:hAnsi="宋体" w:cs="宋体"/>
                <w:color w:val="auto"/>
                <w:kern w:val="0"/>
                <w:sz w:val="24"/>
                <w:highlight w:val="none"/>
              </w:rPr>
              <w:t>根据</w:t>
            </w:r>
            <w:r>
              <w:rPr>
                <w:rFonts w:hint="eastAsia" w:ascii="宋体" w:hAnsi="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人</w:t>
            </w:r>
            <w:r>
              <w:rPr>
                <w:rFonts w:hint="eastAsia" w:ascii="宋体" w:hAnsi="宋体" w:cs="宋体"/>
                <w:color w:val="auto"/>
                <w:kern w:val="0"/>
                <w:sz w:val="24"/>
                <w:highlight w:val="none"/>
              </w:rPr>
              <w:t>针对本项目提供的</w:t>
            </w:r>
            <w:r>
              <w:rPr>
                <w:rFonts w:hint="eastAsia" w:ascii="宋体" w:hAnsi="宋体" w:cs="宋体"/>
                <w:b/>
                <w:bCs/>
                <w:color w:val="auto"/>
                <w:kern w:val="0"/>
                <w:sz w:val="24"/>
                <w:highlight w:val="none"/>
              </w:rPr>
              <w:t>服务人员稳定性的保障措施方案</w:t>
            </w:r>
            <w:r>
              <w:rPr>
                <w:rFonts w:hint="eastAsia" w:ascii="宋体" w:hAnsi="宋体" w:cs="宋体"/>
                <w:color w:val="auto"/>
                <w:kern w:val="0"/>
                <w:sz w:val="24"/>
                <w:highlight w:val="none"/>
              </w:rPr>
              <w:t>进行评分： ①</w:t>
            </w:r>
            <w:r>
              <w:rPr>
                <w:rFonts w:hint="eastAsia" w:ascii="宋体" w:hAnsi="宋体" w:cs="宋体"/>
                <w:color w:val="auto"/>
                <w:kern w:val="0"/>
                <w:sz w:val="24"/>
                <w:highlight w:val="none"/>
                <w:lang w:val="en-US" w:eastAsia="zh-CN"/>
              </w:rPr>
              <w:t>提供</w:t>
            </w:r>
            <w:r>
              <w:rPr>
                <w:rFonts w:hint="eastAsia" w:ascii="宋体" w:hAnsi="宋体" w:cs="宋体"/>
                <w:color w:val="auto"/>
                <w:kern w:val="0"/>
                <w:sz w:val="24"/>
                <w:highlight w:val="none"/>
              </w:rPr>
              <w:t>方案符合本项目情况的得</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分；②满足①的基础上，方案内容阐述完整，条理清晰，对关键内容分析到位、有利于项目顺利实施的得</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分；③未提供或提供的方案有缺漏或提供方案不符合本项目要求或提供方案不与本项目无关的均不得分。</w:t>
            </w:r>
          </w:p>
        </w:tc>
        <w:tc>
          <w:tcPr>
            <w:tcW w:w="1043" w:type="dxa"/>
            <w:noWrap w:val="0"/>
            <w:vAlign w:val="center"/>
          </w:tcPr>
          <w:p w14:paraId="5C538E7D">
            <w:pPr>
              <w:widowControl/>
              <w:jc w:val="left"/>
              <w:rPr>
                <w:rFonts w:hint="eastAsia" w:ascii="宋体" w:hAnsi="宋体" w:cs="宋体"/>
                <w:color w:val="auto"/>
                <w:sz w:val="24"/>
                <w:highlight w:val="none"/>
              </w:rPr>
            </w:pPr>
          </w:p>
        </w:tc>
        <w:tc>
          <w:tcPr>
            <w:tcW w:w="1822" w:type="dxa"/>
            <w:noWrap w:val="0"/>
            <w:vAlign w:val="center"/>
          </w:tcPr>
          <w:p w14:paraId="54A2F747">
            <w:pPr>
              <w:widowControl/>
              <w:jc w:val="left"/>
              <w:rPr>
                <w:rFonts w:hint="eastAsia" w:ascii="宋体" w:hAnsi="宋体" w:cs="宋体"/>
                <w:color w:val="auto"/>
                <w:sz w:val="24"/>
                <w:highlight w:val="none"/>
              </w:rPr>
            </w:pPr>
          </w:p>
        </w:tc>
      </w:tr>
      <w:tr w14:paraId="08C0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486" w:type="dxa"/>
            <w:noWrap w:val="0"/>
            <w:vAlign w:val="center"/>
          </w:tcPr>
          <w:p w14:paraId="688105AB">
            <w:pPr>
              <w:widowControl/>
              <w:numPr>
                <w:ilvl w:val="0"/>
                <w:numId w:val="7"/>
              </w:numPr>
              <w:jc w:val="center"/>
              <w:rPr>
                <w:rFonts w:hint="eastAsia" w:ascii="宋体" w:hAnsi="宋体" w:cs="宋体"/>
                <w:color w:val="auto"/>
                <w:sz w:val="24"/>
                <w:highlight w:val="none"/>
              </w:rPr>
            </w:pPr>
          </w:p>
        </w:tc>
        <w:tc>
          <w:tcPr>
            <w:tcW w:w="6188" w:type="dxa"/>
            <w:noWrap w:val="0"/>
            <w:vAlign w:val="top"/>
          </w:tcPr>
          <w:p w14:paraId="2C05B296">
            <w:pPr>
              <w:pStyle w:val="22"/>
              <w:spacing w:line="360" w:lineRule="auto"/>
              <w:rPr>
                <w:rFonts w:hint="eastAsia" w:ascii="宋体" w:hAnsi="宋体" w:eastAsia="宋体" w:cs="宋体"/>
                <w:b w:val="0"/>
                <w:bCs/>
                <w:color w:val="auto"/>
                <w:sz w:val="24"/>
                <w:szCs w:val="24"/>
                <w:highlight w:val="none"/>
                <w:lang w:val="en-US" w:eastAsia="zh-CN"/>
              </w:rPr>
            </w:pPr>
            <w:r>
              <w:rPr>
                <w:rFonts w:hint="eastAsia" w:ascii="宋体" w:hAnsi="宋体" w:cs="宋体"/>
                <w:color w:val="auto"/>
                <w:kern w:val="0"/>
                <w:sz w:val="24"/>
                <w:highlight w:val="none"/>
              </w:rPr>
              <w:t>根据</w:t>
            </w:r>
            <w:r>
              <w:rPr>
                <w:rFonts w:hint="eastAsia" w:ascii="宋体" w:hAnsi="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人</w:t>
            </w:r>
            <w:r>
              <w:rPr>
                <w:rFonts w:hint="eastAsia" w:ascii="宋体" w:hAnsi="宋体" w:cs="宋体"/>
                <w:color w:val="auto"/>
                <w:kern w:val="0"/>
                <w:sz w:val="24"/>
                <w:highlight w:val="none"/>
              </w:rPr>
              <w:t>针对本项目提供的</w:t>
            </w:r>
            <w:r>
              <w:rPr>
                <w:rFonts w:hint="eastAsia" w:ascii="宋体" w:hAnsi="宋体" w:cs="宋体"/>
                <w:b/>
                <w:bCs/>
                <w:color w:val="auto"/>
                <w:kern w:val="0"/>
                <w:sz w:val="24"/>
                <w:highlight w:val="none"/>
              </w:rPr>
              <w:t>服务风险防控措施方案</w:t>
            </w:r>
            <w:r>
              <w:rPr>
                <w:rFonts w:hint="eastAsia" w:ascii="宋体" w:hAnsi="宋体" w:cs="宋体"/>
                <w:color w:val="auto"/>
                <w:kern w:val="0"/>
                <w:sz w:val="24"/>
                <w:highlight w:val="none"/>
              </w:rPr>
              <w:t>进行评分： ①方案符合本项目情况的得</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分；②满足①的基础上，方案内容阐述完整，条理清晰，对关键内容分析到位、有利于项目顺利实施的得</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分；③未提供或提供的方案有缺漏或提供方案不符合本项目要求或提供方案不与本项目无关的均不得分。</w:t>
            </w:r>
          </w:p>
        </w:tc>
        <w:tc>
          <w:tcPr>
            <w:tcW w:w="1043" w:type="dxa"/>
            <w:noWrap w:val="0"/>
            <w:vAlign w:val="center"/>
          </w:tcPr>
          <w:p w14:paraId="5D877300">
            <w:pPr>
              <w:widowControl/>
              <w:jc w:val="left"/>
              <w:rPr>
                <w:rFonts w:hint="eastAsia" w:ascii="宋体" w:hAnsi="宋体" w:cs="宋体"/>
                <w:color w:val="auto"/>
                <w:sz w:val="24"/>
                <w:highlight w:val="none"/>
              </w:rPr>
            </w:pPr>
          </w:p>
        </w:tc>
        <w:tc>
          <w:tcPr>
            <w:tcW w:w="1822" w:type="dxa"/>
            <w:noWrap w:val="0"/>
            <w:vAlign w:val="center"/>
          </w:tcPr>
          <w:p w14:paraId="22C4986C">
            <w:pPr>
              <w:widowControl/>
              <w:jc w:val="left"/>
              <w:rPr>
                <w:rFonts w:hint="eastAsia" w:ascii="宋体" w:hAnsi="宋体" w:cs="宋体"/>
                <w:color w:val="auto"/>
                <w:sz w:val="24"/>
                <w:highlight w:val="none"/>
              </w:rPr>
            </w:pPr>
          </w:p>
        </w:tc>
      </w:tr>
      <w:tr w14:paraId="2F17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486" w:type="dxa"/>
            <w:noWrap w:val="0"/>
            <w:vAlign w:val="center"/>
          </w:tcPr>
          <w:p w14:paraId="7E5B0567">
            <w:pPr>
              <w:widowControl/>
              <w:numPr>
                <w:ilvl w:val="0"/>
                <w:numId w:val="7"/>
              </w:numPr>
              <w:jc w:val="center"/>
              <w:rPr>
                <w:rFonts w:hint="eastAsia" w:ascii="宋体" w:hAnsi="宋体" w:cs="宋体"/>
                <w:color w:val="auto"/>
                <w:sz w:val="24"/>
                <w:highlight w:val="none"/>
              </w:rPr>
            </w:pPr>
          </w:p>
        </w:tc>
        <w:tc>
          <w:tcPr>
            <w:tcW w:w="6188" w:type="dxa"/>
            <w:noWrap w:val="0"/>
            <w:vAlign w:val="top"/>
          </w:tcPr>
          <w:p w14:paraId="72C25386">
            <w:pPr>
              <w:pStyle w:val="22"/>
              <w:spacing w:line="360" w:lineRule="auto"/>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kern w:val="0"/>
                <w:sz w:val="24"/>
                <w:szCs w:val="20"/>
                <w:highlight w:val="none"/>
                <w:lang w:val="en-US" w:eastAsia="zh-CN" w:bidi="ar-SA"/>
              </w:rPr>
              <w:t>根据报价人针对本项目提供的</w:t>
            </w:r>
            <w:r>
              <w:rPr>
                <w:rFonts w:hint="eastAsia" w:ascii="宋体" w:hAnsi="宋体" w:eastAsia="宋体" w:cs="宋体"/>
                <w:b/>
                <w:bCs/>
                <w:color w:val="auto"/>
                <w:kern w:val="0"/>
                <w:sz w:val="24"/>
                <w:szCs w:val="20"/>
                <w:highlight w:val="none"/>
                <w:lang w:val="en-US" w:eastAsia="zh-CN" w:bidi="ar-SA"/>
              </w:rPr>
              <w:t>实施重难点、合理化建议</w:t>
            </w:r>
            <w:r>
              <w:rPr>
                <w:rFonts w:hint="eastAsia" w:ascii="宋体" w:hAnsi="宋体" w:eastAsia="宋体" w:cs="宋体"/>
                <w:color w:val="auto"/>
                <w:kern w:val="0"/>
                <w:sz w:val="24"/>
                <w:szCs w:val="20"/>
                <w:highlight w:val="none"/>
                <w:lang w:val="en-US" w:eastAsia="zh-CN" w:bidi="ar-SA"/>
              </w:rPr>
              <w:t>进行评议：①有针对本项目实施情况提供重难点、合理化建议的得1分；②在①的基础上对本项目的重点、难点作出分析，并提出解决措施、合理化建议，符合项目需求，内容完整详细、阐述全面、理解到位的得3分；③提供方案与本项目无关的或提供的方案有缺项的或提供的方案对项目实施有风险的或未提供方案的均不得分。</w:t>
            </w:r>
          </w:p>
        </w:tc>
        <w:tc>
          <w:tcPr>
            <w:tcW w:w="1043" w:type="dxa"/>
            <w:noWrap w:val="0"/>
            <w:vAlign w:val="center"/>
          </w:tcPr>
          <w:p w14:paraId="0244930E">
            <w:pPr>
              <w:widowControl/>
              <w:jc w:val="left"/>
              <w:rPr>
                <w:rFonts w:hint="eastAsia" w:ascii="宋体" w:hAnsi="宋体" w:cs="宋体"/>
                <w:color w:val="auto"/>
                <w:sz w:val="24"/>
                <w:highlight w:val="none"/>
              </w:rPr>
            </w:pPr>
          </w:p>
        </w:tc>
        <w:tc>
          <w:tcPr>
            <w:tcW w:w="1822" w:type="dxa"/>
            <w:noWrap w:val="0"/>
            <w:vAlign w:val="center"/>
          </w:tcPr>
          <w:p w14:paraId="5B8DC9F3">
            <w:pPr>
              <w:widowControl/>
              <w:jc w:val="left"/>
              <w:rPr>
                <w:rFonts w:hint="eastAsia" w:ascii="宋体" w:hAnsi="宋体" w:cs="宋体"/>
                <w:color w:val="auto"/>
                <w:sz w:val="24"/>
                <w:highlight w:val="none"/>
              </w:rPr>
            </w:pPr>
          </w:p>
        </w:tc>
      </w:tr>
      <w:tr w14:paraId="6BFB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486" w:type="dxa"/>
            <w:noWrap w:val="0"/>
            <w:vAlign w:val="center"/>
          </w:tcPr>
          <w:p w14:paraId="1FD362E9">
            <w:pPr>
              <w:widowControl/>
              <w:numPr>
                <w:ilvl w:val="0"/>
                <w:numId w:val="7"/>
              </w:numPr>
              <w:jc w:val="center"/>
              <w:rPr>
                <w:rFonts w:hint="eastAsia" w:ascii="宋体" w:hAnsi="宋体" w:cs="宋体"/>
                <w:color w:val="auto"/>
                <w:sz w:val="24"/>
                <w:highlight w:val="none"/>
              </w:rPr>
            </w:pPr>
          </w:p>
        </w:tc>
        <w:tc>
          <w:tcPr>
            <w:tcW w:w="6188" w:type="dxa"/>
            <w:noWrap w:val="0"/>
            <w:vAlign w:val="top"/>
          </w:tcPr>
          <w:p w14:paraId="041B7EFF">
            <w:pPr>
              <w:pStyle w:val="22"/>
              <w:spacing w:line="360" w:lineRule="auto"/>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人</w:t>
            </w:r>
            <w:r>
              <w:rPr>
                <w:rFonts w:hint="eastAsia" w:ascii="宋体" w:hAnsi="宋体" w:eastAsia="宋体" w:cs="宋体"/>
                <w:b w:val="0"/>
                <w:bCs w:val="0"/>
                <w:color w:val="auto"/>
                <w:sz w:val="24"/>
                <w:szCs w:val="24"/>
                <w:highlight w:val="none"/>
              </w:rPr>
              <w:t>承诺：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rPr>
              <w:t>所委派的服务人员在服务期内，若发现不符合服务人员要求的、不能胜任工作的、违反相关管理规定和纪律要求的、因工作失职或不规范履行职责造成严重后果或不良影响的，采购人要求调换服务人员的，应无条件更换</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提供满足上述要求的承诺的得</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分。 注：</w:t>
            </w:r>
            <w:r>
              <w:rPr>
                <w:rFonts w:hint="eastAsia" w:ascii="宋体" w:hAnsi="宋体" w:eastAsia="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人</w:t>
            </w:r>
            <w:r>
              <w:rPr>
                <w:rFonts w:hint="eastAsia" w:ascii="宋体" w:hAnsi="宋体" w:eastAsia="宋体" w:cs="宋体"/>
                <w:b w:val="0"/>
                <w:bCs w:val="0"/>
                <w:color w:val="auto"/>
                <w:sz w:val="24"/>
                <w:szCs w:val="24"/>
                <w:highlight w:val="none"/>
              </w:rPr>
              <w:t>须提供书面承诺（格式自拟）并加盖</w:t>
            </w:r>
            <w:r>
              <w:rPr>
                <w:rFonts w:hint="eastAsia" w:ascii="宋体" w:hAnsi="宋体" w:eastAsia="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人</w:t>
            </w:r>
            <w:r>
              <w:rPr>
                <w:rFonts w:hint="eastAsia" w:ascii="宋体" w:hAnsi="宋体" w:eastAsia="宋体" w:cs="宋体"/>
                <w:b w:val="0"/>
                <w:bCs w:val="0"/>
                <w:color w:val="auto"/>
                <w:sz w:val="24"/>
                <w:szCs w:val="24"/>
                <w:highlight w:val="none"/>
              </w:rPr>
              <w:t>公章，未提供或不符合上述要求的不得分。</w:t>
            </w:r>
          </w:p>
        </w:tc>
        <w:tc>
          <w:tcPr>
            <w:tcW w:w="1043" w:type="dxa"/>
            <w:noWrap w:val="0"/>
            <w:vAlign w:val="center"/>
          </w:tcPr>
          <w:p w14:paraId="23FE6347">
            <w:pPr>
              <w:widowControl/>
              <w:jc w:val="left"/>
              <w:rPr>
                <w:rFonts w:hint="eastAsia" w:ascii="宋体" w:hAnsi="宋体" w:cs="宋体"/>
                <w:color w:val="auto"/>
                <w:sz w:val="24"/>
                <w:highlight w:val="none"/>
              </w:rPr>
            </w:pPr>
          </w:p>
        </w:tc>
        <w:tc>
          <w:tcPr>
            <w:tcW w:w="1822" w:type="dxa"/>
            <w:noWrap w:val="0"/>
            <w:vAlign w:val="center"/>
          </w:tcPr>
          <w:p w14:paraId="7720C14E">
            <w:pPr>
              <w:widowControl/>
              <w:jc w:val="left"/>
              <w:rPr>
                <w:rFonts w:hint="eastAsia" w:ascii="宋体" w:hAnsi="宋体" w:cs="宋体"/>
                <w:color w:val="auto"/>
                <w:sz w:val="24"/>
                <w:highlight w:val="none"/>
              </w:rPr>
            </w:pPr>
          </w:p>
        </w:tc>
      </w:tr>
      <w:tr w14:paraId="4E52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486" w:type="dxa"/>
            <w:noWrap w:val="0"/>
            <w:vAlign w:val="center"/>
          </w:tcPr>
          <w:p w14:paraId="5D769B57">
            <w:pPr>
              <w:widowControl/>
              <w:numPr>
                <w:ilvl w:val="0"/>
                <w:numId w:val="7"/>
              </w:numPr>
              <w:jc w:val="center"/>
              <w:rPr>
                <w:rFonts w:hint="eastAsia" w:ascii="宋体" w:hAnsi="宋体" w:cs="宋体"/>
                <w:color w:val="auto"/>
                <w:sz w:val="24"/>
                <w:highlight w:val="none"/>
              </w:rPr>
            </w:pPr>
          </w:p>
        </w:tc>
        <w:tc>
          <w:tcPr>
            <w:tcW w:w="6188" w:type="dxa"/>
            <w:noWrap w:val="0"/>
            <w:vAlign w:val="top"/>
          </w:tcPr>
          <w:p w14:paraId="059674BB">
            <w:pPr>
              <w:pStyle w:val="22"/>
              <w:spacing w:line="360" w:lineRule="auto"/>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人是否提供各个岗位人员名单及联系方式，以及承诺各岗位人员24小时手机畅通、随时响应情况进行评分：提供各个岗位人员名单及联系方式且承诺各岗位人员24小时手机畅通、随时响应的得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分。注：</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人需提供①书面承诺函（格式可自拟）；②上述人员名单列表（列表包含人员名字、联系方式），未提供上述完整材料的不得分。</w:t>
            </w:r>
          </w:p>
        </w:tc>
        <w:tc>
          <w:tcPr>
            <w:tcW w:w="1043" w:type="dxa"/>
            <w:noWrap w:val="0"/>
            <w:vAlign w:val="center"/>
          </w:tcPr>
          <w:p w14:paraId="444EB951">
            <w:pPr>
              <w:widowControl/>
              <w:jc w:val="left"/>
              <w:rPr>
                <w:rFonts w:hint="eastAsia" w:ascii="宋体" w:hAnsi="宋体" w:cs="宋体"/>
                <w:color w:val="auto"/>
                <w:sz w:val="24"/>
                <w:highlight w:val="none"/>
              </w:rPr>
            </w:pPr>
          </w:p>
        </w:tc>
        <w:tc>
          <w:tcPr>
            <w:tcW w:w="1822" w:type="dxa"/>
            <w:noWrap w:val="0"/>
            <w:vAlign w:val="center"/>
          </w:tcPr>
          <w:p w14:paraId="1AE991A5">
            <w:pPr>
              <w:widowControl/>
              <w:jc w:val="left"/>
              <w:rPr>
                <w:rFonts w:hint="eastAsia" w:ascii="宋体" w:hAnsi="宋体" w:cs="宋体"/>
                <w:color w:val="auto"/>
                <w:sz w:val="24"/>
                <w:highlight w:val="none"/>
              </w:rPr>
            </w:pPr>
          </w:p>
        </w:tc>
      </w:tr>
      <w:tr w14:paraId="6268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486" w:type="dxa"/>
            <w:noWrap w:val="0"/>
            <w:vAlign w:val="center"/>
          </w:tcPr>
          <w:p w14:paraId="4E8BEDF9">
            <w:pPr>
              <w:widowControl/>
              <w:numPr>
                <w:ilvl w:val="0"/>
                <w:numId w:val="7"/>
              </w:numPr>
              <w:jc w:val="center"/>
              <w:rPr>
                <w:rFonts w:hint="eastAsia" w:ascii="宋体" w:hAnsi="宋体" w:cs="宋体"/>
                <w:color w:val="auto"/>
                <w:sz w:val="24"/>
                <w:highlight w:val="none"/>
              </w:rPr>
            </w:pPr>
          </w:p>
        </w:tc>
        <w:tc>
          <w:tcPr>
            <w:tcW w:w="6188" w:type="dxa"/>
            <w:noWrap w:val="0"/>
            <w:vAlign w:val="top"/>
          </w:tcPr>
          <w:p w14:paraId="1297F242">
            <w:pPr>
              <w:pStyle w:val="22"/>
              <w:spacing w:line="360" w:lineRule="auto"/>
              <w:jc w:val="both"/>
              <w:rPr>
                <w:rFonts w:hint="eastAsia" w:ascii="宋体" w:hAnsi="宋体" w:eastAsia="宋体" w:cs="宋体"/>
                <w:b w:val="0"/>
                <w:bCs/>
                <w:color w:val="auto"/>
                <w:sz w:val="24"/>
                <w:szCs w:val="24"/>
                <w:highlight w:val="none"/>
                <w:lang w:val="en-US" w:eastAsia="zh-CN"/>
              </w:rPr>
            </w:pPr>
            <w:r>
              <w:rPr>
                <w:rFonts w:hint="eastAsia" w:ascii="宋体" w:hAnsi="宋体" w:cs="宋体"/>
                <w:color w:val="auto"/>
                <w:kern w:val="0"/>
                <w:sz w:val="24"/>
                <w:highlight w:val="none"/>
              </w:rPr>
              <w:t>根据</w:t>
            </w:r>
            <w:r>
              <w:rPr>
                <w:rFonts w:hint="eastAsia" w:ascii="宋体" w:hAnsi="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人</w:t>
            </w:r>
            <w:r>
              <w:rPr>
                <w:rFonts w:hint="eastAsia" w:ascii="宋体" w:hAnsi="宋体" w:cs="宋体"/>
                <w:color w:val="auto"/>
                <w:kern w:val="0"/>
                <w:sz w:val="24"/>
                <w:highlight w:val="none"/>
              </w:rPr>
              <w:t>针对本项目提供的</w:t>
            </w:r>
            <w:r>
              <w:rPr>
                <w:rFonts w:hint="eastAsia" w:ascii="宋体" w:hAnsi="宋体" w:cs="宋体"/>
                <w:b/>
                <w:bCs/>
                <w:color w:val="auto"/>
                <w:kern w:val="0"/>
                <w:sz w:val="24"/>
                <w:highlight w:val="none"/>
              </w:rPr>
              <w:t>与采购人的沟通制度、配合方案</w:t>
            </w:r>
            <w:r>
              <w:rPr>
                <w:rFonts w:hint="eastAsia" w:ascii="宋体" w:hAnsi="宋体" w:cs="宋体"/>
                <w:color w:val="auto"/>
                <w:kern w:val="0"/>
                <w:sz w:val="24"/>
                <w:highlight w:val="none"/>
              </w:rPr>
              <w:t>进行评分： ①方案符合本项目情况的得</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分；②满足①的基础上，方案内容阐述完整，条理清晰，对关键内容分析到位、有利于项目顺利实施的得</w:t>
            </w:r>
            <w:r>
              <w:rPr>
                <w:rFonts w:hint="default" w:ascii="宋体" w:hAnsi="宋体" w:cs="宋体"/>
                <w:color w:val="auto"/>
                <w:kern w:val="0"/>
                <w:sz w:val="24"/>
                <w:highlight w:val="none"/>
                <w:lang w:val="en-US" w:eastAsia="zh-CN"/>
              </w:rPr>
              <w:t>3</w:t>
            </w:r>
            <w:r>
              <w:rPr>
                <w:rFonts w:hint="eastAsia" w:ascii="宋体" w:hAnsi="宋体" w:cs="宋体"/>
                <w:color w:val="auto"/>
                <w:kern w:val="0"/>
                <w:sz w:val="24"/>
                <w:highlight w:val="none"/>
              </w:rPr>
              <w:t>分；③未提供或提供的方案有缺漏或提供方案不符合本项目要求或提供方案不与本项目无关的均不得分。</w:t>
            </w:r>
          </w:p>
        </w:tc>
        <w:tc>
          <w:tcPr>
            <w:tcW w:w="1043" w:type="dxa"/>
            <w:noWrap w:val="0"/>
            <w:vAlign w:val="center"/>
          </w:tcPr>
          <w:p w14:paraId="37AB5E45">
            <w:pPr>
              <w:widowControl/>
              <w:jc w:val="left"/>
              <w:rPr>
                <w:rFonts w:hint="eastAsia" w:ascii="宋体" w:hAnsi="宋体" w:cs="宋体"/>
                <w:color w:val="auto"/>
                <w:sz w:val="24"/>
                <w:highlight w:val="none"/>
              </w:rPr>
            </w:pPr>
          </w:p>
        </w:tc>
        <w:tc>
          <w:tcPr>
            <w:tcW w:w="1822" w:type="dxa"/>
            <w:noWrap w:val="0"/>
            <w:vAlign w:val="center"/>
          </w:tcPr>
          <w:p w14:paraId="1F1FAFA7">
            <w:pPr>
              <w:widowControl/>
              <w:jc w:val="left"/>
              <w:rPr>
                <w:rFonts w:hint="eastAsia" w:ascii="宋体" w:hAnsi="宋体" w:cs="宋体"/>
                <w:color w:val="auto"/>
                <w:sz w:val="24"/>
                <w:highlight w:val="none"/>
              </w:rPr>
            </w:pPr>
          </w:p>
        </w:tc>
      </w:tr>
      <w:tr w14:paraId="4551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486" w:type="dxa"/>
            <w:noWrap w:val="0"/>
            <w:vAlign w:val="center"/>
          </w:tcPr>
          <w:p w14:paraId="416927E3">
            <w:pPr>
              <w:widowControl/>
              <w:numPr>
                <w:ilvl w:val="0"/>
                <w:numId w:val="7"/>
              </w:numPr>
              <w:jc w:val="center"/>
              <w:rPr>
                <w:rFonts w:hint="eastAsia" w:ascii="宋体" w:hAnsi="宋体" w:cs="宋体"/>
                <w:color w:val="auto"/>
                <w:sz w:val="24"/>
                <w:highlight w:val="none"/>
              </w:rPr>
            </w:pPr>
          </w:p>
        </w:tc>
        <w:tc>
          <w:tcPr>
            <w:tcW w:w="6188" w:type="dxa"/>
            <w:noWrap w:val="0"/>
            <w:vAlign w:val="top"/>
          </w:tcPr>
          <w:p w14:paraId="2EDC4DB7">
            <w:pPr>
              <w:pStyle w:val="22"/>
              <w:spacing w:line="360" w:lineRule="auto"/>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kern w:val="0"/>
                <w:sz w:val="24"/>
                <w:highlight w:val="none"/>
                <w:lang w:val="en-US" w:eastAsia="zh-CN"/>
              </w:rPr>
              <w:t>报价</w:t>
            </w:r>
            <w:r>
              <w:rPr>
                <w:rFonts w:hint="eastAsia" w:ascii="宋体" w:hAnsi="宋体" w:eastAsia="宋体" w:cs="宋体"/>
                <w:color w:val="auto"/>
                <w:kern w:val="0"/>
                <w:sz w:val="24"/>
                <w:highlight w:val="none"/>
              </w:rPr>
              <w:t>人承诺：“安排的服务人员在采购人办公场所应严格按照采购人有关安全生产管理有关措施和规定执行，遵守采购人的相关规定”，提供满足上述要求的承诺的得</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rPr>
              <w:t>分。 注：</w:t>
            </w:r>
            <w:r>
              <w:rPr>
                <w:rFonts w:hint="eastAsia" w:ascii="宋体" w:hAnsi="宋体" w:eastAsia="宋体" w:cs="宋体"/>
                <w:color w:val="auto"/>
                <w:kern w:val="0"/>
                <w:sz w:val="24"/>
                <w:highlight w:val="none"/>
                <w:lang w:val="en-US" w:eastAsia="zh-CN"/>
              </w:rPr>
              <w:t>报价</w:t>
            </w:r>
            <w:r>
              <w:rPr>
                <w:rFonts w:hint="eastAsia" w:ascii="宋体" w:hAnsi="宋体" w:eastAsia="宋体" w:cs="宋体"/>
                <w:color w:val="auto"/>
                <w:kern w:val="0"/>
                <w:sz w:val="24"/>
                <w:highlight w:val="none"/>
              </w:rPr>
              <w:t>人须提供书面承诺（格式自拟）并加盖</w:t>
            </w:r>
            <w:r>
              <w:rPr>
                <w:rFonts w:hint="eastAsia" w:ascii="宋体" w:hAnsi="宋体" w:eastAsia="宋体" w:cs="宋体"/>
                <w:color w:val="auto"/>
                <w:kern w:val="0"/>
                <w:sz w:val="24"/>
                <w:highlight w:val="none"/>
                <w:lang w:val="en-US" w:eastAsia="zh-CN"/>
              </w:rPr>
              <w:t>报价人</w:t>
            </w:r>
            <w:r>
              <w:rPr>
                <w:rFonts w:hint="eastAsia" w:ascii="宋体" w:hAnsi="宋体" w:eastAsia="宋体" w:cs="宋体"/>
                <w:color w:val="auto"/>
                <w:kern w:val="0"/>
                <w:sz w:val="24"/>
                <w:highlight w:val="none"/>
              </w:rPr>
              <w:t>公章，未提供或不符合上述要求的不得分。</w:t>
            </w:r>
          </w:p>
        </w:tc>
        <w:tc>
          <w:tcPr>
            <w:tcW w:w="1043" w:type="dxa"/>
            <w:noWrap w:val="0"/>
            <w:vAlign w:val="center"/>
          </w:tcPr>
          <w:p w14:paraId="3D5A2A80">
            <w:pPr>
              <w:widowControl/>
              <w:jc w:val="left"/>
              <w:rPr>
                <w:rFonts w:hint="eastAsia" w:ascii="宋体" w:hAnsi="宋体" w:cs="宋体"/>
                <w:color w:val="auto"/>
                <w:sz w:val="24"/>
                <w:highlight w:val="none"/>
              </w:rPr>
            </w:pPr>
          </w:p>
        </w:tc>
        <w:tc>
          <w:tcPr>
            <w:tcW w:w="1822" w:type="dxa"/>
            <w:noWrap w:val="0"/>
            <w:vAlign w:val="center"/>
          </w:tcPr>
          <w:p w14:paraId="374665E2">
            <w:pPr>
              <w:widowControl/>
              <w:jc w:val="left"/>
              <w:rPr>
                <w:rFonts w:hint="eastAsia" w:ascii="宋体" w:hAnsi="宋体" w:cs="宋体"/>
                <w:color w:val="auto"/>
                <w:sz w:val="24"/>
                <w:highlight w:val="none"/>
              </w:rPr>
            </w:pPr>
          </w:p>
        </w:tc>
      </w:tr>
      <w:tr w14:paraId="634D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486" w:type="dxa"/>
            <w:noWrap w:val="0"/>
            <w:vAlign w:val="center"/>
          </w:tcPr>
          <w:p w14:paraId="3C216521">
            <w:pPr>
              <w:widowControl/>
              <w:numPr>
                <w:ilvl w:val="0"/>
                <w:numId w:val="7"/>
              </w:numPr>
              <w:jc w:val="center"/>
              <w:rPr>
                <w:rFonts w:hint="eastAsia" w:ascii="宋体" w:hAnsi="宋体" w:cs="宋体"/>
                <w:color w:val="auto"/>
                <w:sz w:val="24"/>
                <w:highlight w:val="none"/>
              </w:rPr>
            </w:pPr>
          </w:p>
        </w:tc>
        <w:tc>
          <w:tcPr>
            <w:tcW w:w="6188" w:type="dxa"/>
            <w:noWrap w:val="0"/>
            <w:vAlign w:val="top"/>
          </w:tcPr>
          <w:p w14:paraId="7185992D">
            <w:pPr>
              <w:spacing w:line="360"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报价人承诺技术评分条款未列明的其他技术及服务条款响应全满足，验收时按照响应的内容及考核方案进行验收。提供书面承诺函（格式自拟）满足要求的得</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分，否则不得分。</w:t>
            </w:r>
          </w:p>
        </w:tc>
        <w:tc>
          <w:tcPr>
            <w:tcW w:w="1043" w:type="dxa"/>
            <w:noWrap w:val="0"/>
            <w:vAlign w:val="center"/>
          </w:tcPr>
          <w:p w14:paraId="081F3B03">
            <w:pPr>
              <w:widowControl/>
              <w:jc w:val="left"/>
              <w:rPr>
                <w:rFonts w:hint="eastAsia" w:ascii="宋体" w:hAnsi="宋体" w:cs="宋体"/>
                <w:color w:val="auto"/>
                <w:sz w:val="24"/>
                <w:highlight w:val="none"/>
              </w:rPr>
            </w:pPr>
          </w:p>
        </w:tc>
        <w:tc>
          <w:tcPr>
            <w:tcW w:w="1822" w:type="dxa"/>
            <w:noWrap w:val="0"/>
            <w:vAlign w:val="center"/>
          </w:tcPr>
          <w:p w14:paraId="36D9FBEA">
            <w:pPr>
              <w:widowControl/>
              <w:jc w:val="left"/>
              <w:rPr>
                <w:rFonts w:hint="eastAsia" w:ascii="宋体" w:hAnsi="宋体" w:cs="宋体"/>
                <w:color w:val="auto"/>
                <w:sz w:val="24"/>
                <w:highlight w:val="none"/>
              </w:rPr>
            </w:pPr>
          </w:p>
        </w:tc>
      </w:tr>
    </w:tbl>
    <w:p w14:paraId="423D2A5F">
      <w:pPr>
        <w:rPr>
          <w:rFonts w:hint="eastAsia" w:ascii="宋体" w:hAnsi="宋体" w:cs="宋体"/>
          <w:color w:val="auto"/>
          <w:sz w:val="24"/>
          <w:highlight w:val="none"/>
        </w:rPr>
        <w:sectPr>
          <w:pgSz w:w="11906" w:h="16838"/>
          <w:pgMar w:top="1134" w:right="1134" w:bottom="1134" w:left="1134" w:header="851" w:footer="992" w:gutter="0"/>
          <w:cols w:space="720" w:num="1"/>
          <w:docGrid w:type="lines" w:linePitch="312" w:charSpace="0"/>
        </w:sectPr>
      </w:pPr>
      <w:r>
        <w:rPr>
          <w:rFonts w:hint="eastAsia" w:ascii="宋体" w:hAnsi="宋体" w:cs="宋体"/>
          <w:color w:val="auto"/>
          <w:sz w:val="24"/>
          <w:highlight w:val="none"/>
        </w:rPr>
        <w:t>注：表格中所列条款应与评分条款逐条对应，对于条款不明确或错误部分评委有权不予采信。</w:t>
      </w:r>
    </w:p>
    <w:p w14:paraId="3F35DE55">
      <w:pPr>
        <w:pStyle w:val="3"/>
        <w:jc w:val="center"/>
        <w:outlineLvl w:val="1"/>
        <w:rPr>
          <w:rFonts w:hint="eastAsia" w:ascii="宋体" w:hAnsi="宋体" w:eastAsia="宋体" w:cs="宋体"/>
          <w:color w:val="auto"/>
          <w:sz w:val="28"/>
          <w:szCs w:val="28"/>
          <w:highlight w:val="none"/>
        </w:rPr>
      </w:pPr>
      <w:bookmarkStart w:id="222" w:name="_Toc481048053"/>
      <w:bookmarkStart w:id="223" w:name="_Toc482352473"/>
      <w:bookmarkStart w:id="224" w:name="_Toc518466690"/>
      <w:bookmarkStart w:id="225" w:name="_Toc23434"/>
      <w:bookmarkStart w:id="226" w:name="_Toc179862426"/>
      <w:bookmarkStart w:id="227" w:name="_Toc701075432"/>
      <w:bookmarkStart w:id="228" w:name="_Toc533519527"/>
      <w:bookmarkStart w:id="229" w:name="_Toc481480001"/>
      <w:bookmarkStart w:id="230" w:name="_Toc4608"/>
      <w:bookmarkStart w:id="231" w:name="_Toc14279"/>
      <w:bookmarkStart w:id="232" w:name="_Toc515448959"/>
      <w:bookmarkStart w:id="233" w:name="_Toc515448372"/>
      <w:bookmarkStart w:id="234" w:name="_Toc480983546"/>
      <w:r>
        <w:rPr>
          <w:rFonts w:hint="eastAsia" w:ascii="宋体" w:hAnsi="宋体" w:eastAsia="宋体" w:cs="宋体"/>
          <w:color w:val="auto"/>
          <w:sz w:val="28"/>
          <w:szCs w:val="28"/>
          <w:highlight w:val="none"/>
        </w:rPr>
        <w:t>商务评分条款响应表</w:t>
      </w:r>
      <w:bookmarkEnd w:id="222"/>
      <w:bookmarkEnd w:id="223"/>
      <w:bookmarkEnd w:id="224"/>
      <w:bookmarkEnd w:id="225"/>
      <w:bookmarkEnd w:id="226"/>
      <w:bookmarkEnd w:id="227"/>
      <w:bookmarkEnd w:id="228"/>
      <w:bookmarkEnd w:id="229"/>
      <w:bookmarkEnd w:id="230"/>
      <w:bookmarkEnd w:id="231"/>
      <w:bookmarkEnd w:id="232"/>
      <w:bookmarkEnd w:id="233"/>
      <w:bookmarkEnd w:id="234"/>
    </w:p>
    <w:p w14:paraId="2841B2DF">
      <w:pPr>
        <w:rPr>
          <w:rFonts w:hint="eastAsia" w:ascii="宋体" w:hAnsi="宋体" w:cs="宋体"/>
          <w:color w:val="auto"/>
          <w:sz w:val="24"/>
          <w:highlight w:val="none"/>
        </w:rPr>
      </w:pPr>
      <w:r>
        <w:rPr>
          <w:rFonts w:hint="eastAsia" w:ascii="宋体" w:hAnsi="宋体" w:cs="宋体"/>
          <w:color w:val="auto"/>
          <w:sz w:val="24"/>
          <w:highlight w:val="none"/>
        </w:rPr>
        <w:t>供应商名称（加盖公章）：</w:t>
      </w:r>
    </w:p>
    <w:tbl>
      <w:tblPr>
        <w:tblStyle w:val="13"/>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5868"/>
        <w:gridCol w:w="1291"/>
        <w:gridCol w:w="1716"/>
      </w:tblGrid>
      <w:tr w14:paraId="71FA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blHeader/>
        </w:trPr>
        <w:tc>
          <w:tcPr>
            <w:tcW w:w="504" w:type="dxa"/>
            <w:noWrap w:val="0"/>
            <w:vAlign w:val="center"/>
          </w:tcPr>
          <w:p w14:paraId="7F71933F">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5868" w:type="dxa"/>
            <w:noWrap w:val="0"/>
            <w:vAlign w:val="center"/>
          </w:tcPr>
          <w:p w14:paraId="570B7CF4">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评分标准</w:t>
            </w:r>
          </w:p>
        </w:tc>
        <w:tc>
          <w:tcPr>
            <w:tcW w:w="1291" w:type="dxa"/>
            <w:noWrap w:val="0"/>
            <w:vAlign w:val="center"/>
          </w:tcPr>
          <w:p w14:paraId="4C5711E0">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报价响应情况</w:t>
            </w:r>
          </w:p>
        </w:tc>
        <w:tc>
          <w:tcPr>
            <w:tcW w:w="1716" w:type="dxa"/>
            <w:noWrap w:val="0"/>
            <w:vAlign w:val="center"/>
          </w:tcPr>
          <w:p w14:paraId="3390CEC1">
            <w:pPr>
              <w:widowControl/>
              <w:jc w:val="center"/>
              <w:rPr>
                <w:rFonts w:hint="eastAsia" w:ascii="宋体" w:hAnsi="宋体" w:cs="宋体"/>
                <w:b/>
                <w:color w:val="auto"/>
                <w:sz w:val="24"/>
                <w:highlight w:val="none"/>
              </w:rPr>
            </w:pPr>
            <w:r>
              <w:rPr>
                <w:rFonts w:hint="eastAsia" w:ascii="宋体" w:hAnsi="宋体" w:cs="宋体"/>
                <w:b/>
                <w:color w:val="auto"/>
                <w:sz w:val="24"/>
                <w:highlight w:val="none"/>
              </w:rPr>
              <w:t>相关证明资料对应页码</w:t>
            </w:r>
          </w:p>
        </w:tc>
      </w:tr>
      <w:tr w14:paraId="4DF1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504" w:type="dxa"/>
            <w:noWrap w:val="0"/>
            <w:vAlign w:val="center"/>
          </w:tcPr>
          <w:p w14:paraId="4A3472BF">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5868" w:type="dxa"/>
            <w:noWrap w:val="0"/>
            <w:vAlign w:val="center"/>
          </w:tcPr>
          <w:p w14:paraId="2C963D1E">
            <w:pPr>
              <w:pStyle w:val="23"/>
              <w:spacing w:line="360" w:lineRule="auto"/>
              <w:jc w:val="left"/>
              <w:rPr>
                <w:rFonts w:ascii="宋体" w:hAnsi="宋体" w:cs="宋体"/>
                <w:color w:val="auto"/>
                <w:sz w:val="24"/>
                <w:highlight w:val="none"/>
              </w:rPr>
            </w:pPr>
            <w:r>
              <w:rPr>
                <w:rFonts w:hint="eastAsia" w:ascii="宋体" w:hAnsi="宋体" w:eastAsia="宋体" w:cs="宋体"/>
                <w:b w:val="0"/>
                <w:bCs w:val="0"/>
                <w:color w:val="auto"/>
                <w:kern w:val="2"/>
                <w:szCs w:val="24"/>
                <w:highlight w:val="none"/>
                <w:lang w:val="en-US" w:eastAsia="zh-CN"/>
              </w:rPr>
              <w:t>报价</w:t>
            </w:r>
            <w:r>
              <w:rPr>
                <w:rFonts w:hint="eastAsia" w:ascii="宋体" w:hAnsi="宋体" w:eastAsia="宋体" w:cs="宋体"/>
                <w:b w:val="0"/>
                <w:bCs w:val="0"/>
                <w:color w:val="auto"/>
                <w:kern w:val="2"/>
                <w:szCs w:val="24"/>
                <w:highlight w:val="none"/>
              </w:rPr>
              <w:t>人具备质量管理体系认证且在有效期内的得1分，</w:t>
            </w:r>
            <w:r>
              <w:rPr>
                <w:rFonts w:hint="eastAsia" w:ascii="宋体" w:hAnsi="宋体" w:eastAsia="宋体" w:cs="宋体"/>
                <w:b w:val="0"/>
                <w:bCs w:val="0"/>
                <w:color w:val="auto"/>
                <w:kern w:val="2"/>
                <w:szCs w:val="24"/>
                <w:highlight w:val="none"/>
                <w:lang w:val="en-US" w:eastAsia="zh-CN"/>
              </w:rPr>
              <w:t>报价</w:t>
            </w:r>
            <w:r>
              <w:rPr>
                <w:rFonts w:hint="eastAsia" w:ascii="宋体" w:hAnsi="宋体" w:eastAsia="宋体" w:cs="宋体"/>
                <w:b w:val="0"/>
                <w:bCs w:val="0"/>
                <w:color w:val="auto"/>
                <w:kern w:val="2"/>
                <w:szCs w:val="24"/>
                <w:highlight w:val="none"/>
              </w:rPr>
              <w:t>人需提供证书扫描件，否则不得分。</w:t>
            </w:r>
          </w:p>
        </w:tc>
        <w:tc>
          <w:tcPr>
            <w:tcW w:w="1291" w:type="dxa"/>
            <w:noWrap w:val="0"/>
            <w:vAlign w:val="center"/>
          </w:tcPr>
          <w:p w14:paraId="69009D88">
            <w:pPr>
              <w:widowControl/>
              <w:jc w:val="left"/>
              <w:rPr>
                <w:rFonts w:hint="eastAsia" w:ascii="宋体" w:hAnsi="宋体" w:cs="宋体"/>
                <w:color w:val="auto"/>
                <w:sz w:val="24"/>
                <w:highlight w:val="none"/>
              </w:rPr>
            </w:pPr>
            <w:r>
              <w:rPr>
                <w:rFonts w:hint="eastAsia" w:ascii="宋体" w:hAnsi="宋体" w:cs="宋体"/>
                <w:color w:val="auto"/>
                <w:sz w:val="24"/>
                <w:highlight w:val="none"/>
              </w:rPr>
              <w:t>　</w:t>
            </w:r>
          </w:p>
        </w:tc>
        <w:tc>
          <w:tcPr>
            <w:tcW w:w="1716" w:type="dxa"/>
            <w:noWrap w:val="0"/>
            <w:vAlign w:val="center"/>
          </w:tcPr>
          <w:p w14:paraId="0F4E119F">
            <w:pPr>
              <w:widowControl/>
              <w:jc w:val="left"/>
              <w:rPr>
                <w:rFonts w:hint="eastAsia" w:ascii="宋体" w:hAnsi="宋体" w:cs="宋体"/>
                <w:color w:val="auto"/>
                <w:sz w:val="24"/>
                <w:highlight w:val="none"/>
              </w:rPr>
            </w:pPr>
            <w:r>
              <w:rPr>
                <w:rFonts w:hint="eastAsia" w:ascii="宋体" w:hAnsi="宋体" w:cs="宋体"/>
                <w:color w:val="auto"/>
                <w:sz w:val="24"/>
                <w:highlight w:val="none"/>
              </w:rPr>
              <w:t>　</w:t>
            </w:r>
          </w:p>
        </w:tc>
      </w:tr>
      <w:tr w14:paraId="7119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504" w:type="dxa"/>
            <w:noWrap w:val="0"/>
            <w:vAlign w:val="center"/>
          </w:tcPr>
          <w:p w14:paraId="3E4588B8">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5868" w:type="dxa"/>
            <w:noWrap w:val="0"/>
            <w:vAlign w:val="center"/>
          </w:tcPr>
          <w:p w14:paraId="74F64DFB">
            <w:pPr>
              <w:pStyle w:val="23"/>
              <w:spacing w:line="360" w:lineRule="auto"/>
              <w:jc w:val="left"/>
              <w:rPr>
                <w:rFonts w:ascii="宋体" w:hAnsi="宋体" w:cs="宋体"/>
                <w:color w:val="auto"/>
                <w:sz w:val="24"/>
                <w:highlight w:val="none"/>
              </w:rPr>
            </w:pPr>
            <w:r>
              <w:rPr>
                <w:rFonts w:hint="eastAsia" w:ascii="宋体" w:hAnsi="宋体" w:cs="宋体"/>
                <w:b w:val="0"/>
                <w:bCs w:val="0"/>
                <w:color w:val="auto"/>
                <w:kern w:val="2"/>
                <w:szCs w:val="24"/>
                <w:highlight w:val="none"/>
              </w:rPr>
              <w:t>报价人可提供厦门本地化服务的得</w:t>
            </w:r>
            <w:r>
              <w:rPr>
                <w:rFonts w:hint="eastAsia" w:ascii="宋体" w:hAnsi="宋体" w:cs="宋体"/>
                <w:b w:val="0"/>
                <w:bCs w:val="0"/>
                <w:color w:val="auto"/>
                <w:kern w:val="2"/>
                <w:szCs w:val="24"/>
                <w:highlight w:val="none"/>
                <w:lang w:val="en-US" w:eastAsia="zh-CN"/>
              </w:rPr>
              <w:t>3</w:t>
            </w:r>
            <w:r>
              <w:rPr>
                <w:rFonts w:hint="eastAsia" w:ascii="宋体" w:hAnsi="宋体" w:cs="宋体"/>
                <w:b w:val="0"/>
                <w:bCs w:val="0"/>
                <w:color w:val="auto"/>
                <w:kern w:val="2"/>
                <w:szCs w:val="24"/>
                <w:highlight w:val="none"/>
              </w:rPr>
              <w:t>分，否则不得分。报价人可提供合作单位协议或者自身机构的营业执照证明，也可以提供在本地设立的项目部、办公室、办事处等机构证明，或者承诺成交后提供本地化服务。</w:t>
            </w:r>
          </w:p>
        </w:tc>
        <w:tc>
          <w:tcPr>
            <w:tcW w:w="1291" w:type="dxa"/>
            <w:noWrap w:val="0"/>
            <w:vAlign w:val="center"/>
          </w:tcPr>
          <w:p w14:paraId="08D80256">
            <w:pPr>
              <w:widowControl/>
              <w:jc w:val="left"/>
              <w:rPr>
                <w:rFonts w:hint="eastAsia" w:ascii="宋体" w:hAnsi="宋体" w:cs="宋体"/>
                <w:color w:val="auto"/>
                <w:sz w:val="24"/>
                <w:highlight w:val="none"/>
              </w:rPr>
            </w:pPr>
          </w:p>
        </w:tc>
        <w:tc>
          <w:tcPr>
            <w:tcW w:w="1716" w:type="dxa"/>
            <w:noWrap w:val="0"/>
            <w:vAlign w:val="center"/>
          </w:tcPr>
          <w:p w14:paraId="7B35222A">
            <w:pPr>
              <w:widowControl/>
              <w:jc w:val="left"/>
              <w:rPr>
                <w:rFonts w:hint="eastAsia" w:ascii="宋体" w:hAnsi="宋体" w:cs="宋体"/>
                <w:color w:val="auto"/>
                <w:sz w:val="24"/>
                <w:highlight w:val="none"/>
              </w:rPr>
            </w:pPr>
          </w:p>
        </w:tc>
      </w:tr>
      <w:tr w14:paraId="5896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7" w:hRule="atLeast"/>
        </w:trPr>
        <w:tc>
          <w:tcPr>
            <w:tcW w:w="504" w:type="dxa"/>
            <w:noWrap w:val="0"/>
            <w:vAlign w:val="center"/>
          </w:tcPr>
          <w:p w14:paraId="7F95149D">
            <w:pPr>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5868" w:type="dxa"/>
            <w:noWrap w:val="0"/>
            <w:vAlign w:val="center"/>
          </w:tcPr>
          <w:p w14:paraId="498FC41A">
            <w:pPr>
              <w:pStyle w:val="23"/>
              <w:spacing w:line="360" w:lineRule="auto"/>
              <w:jc w:val="left"/>
              <w:rPr>
                <w:rFonts w:ascii="宋体" w:hAnsi="宋体" w:cs="宋体"/>
                <w:color w:val="auto"/>
                <w:sz w:val="24"/>
                <w:highlight w:val="none"/>
              </w:rPr>
            </w:pPr>
            <w:r>
              <w:rPr>
                <w:rFonts w:hint="eastAsia" w:ascii="宋体" w:hAnsi="宋体" w:eastAsia="宋体" w:cs="宋体"/>
                <w:b w:val="0"/>
                <w:color w:val="auto"/>
                <w:kern w:val="2"/>
                <w:sz w:val="24"/>
                <w:szCs w:val="24"/>
                <w:highlight w:val="none"/>
              </w:rPr>
              <w:t>根据</w:t>
            </w:r>
            <w:r>
              <w:rPr>
                <w:rFonts w:hint="eastAsia" w:ascii="宋体" w:hAnsi="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人提供的【响应处理能力】进行评价：</w:t>
            </w:r>
            <w:r>
              <w:rPr>
                <w:rFonts w:hint="eastAsia" w:ascii="宋体" w:hAnsi="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人承诺：</w:t>
            </w:r>
            <w:r>
              <w:rPr>
                <w:rFonts w:hint="eastAsia" w:ascii="宋体" w:hAnsi="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对于采购人的应急服务，团队服务技术人员应及时到达服务现场，能够快速到达现场并提供服务及相关咨询服务等应急服务。在接到采购人通知后，①在60分钟（含）内能够及时到达现场处理并满足采购人需求的得3分；②在60-120分钟（含）以内到达现场处理并满足采购人需求的得2分；③在120-180分钟（含）以内到达现场处理并满足采购人需求的得1分；④其他情况不得分。本项满分3分。 注：</w:t>
            </w:r>
            <w:r>
              <w:rPr>
                <w:rFonts w:hint="eastAsia" w:ascii="宋体" w:hAnsi="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人须提供书面承诺（格式自拟）并加盖</w:t>
            </w:r>
            <w:r>
              <w:rPr>
                <w:rFonts w:hint="eastAsia" w:ascii="宋体" w:hAnsi="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人公章。未提供或不符合上述要求的不得分。</w:t>
            </w:r>
          </w:p>
        </w:tc>
        <w:tc>
          <w:tcPr>
            <w:tcW w:w="1291" w:type="dxa"/>
            <w:noWrap w:val="0"/>
            <w:vAlign w:val="center"/>
          </w:tcPr>
          <w:p w14:paraId="17997833">
            <w:pPr>
              <w:widowControl/>
              <w:jc w:val="left"/>
              <w:rPr>
                <w:rFonts w:hint="eastAsia" w:ascii="宋体" w:hAnsi="宋体" w:cs="宋体"/>
                <w:color w:val="auto"/>
                <w:sz w:val="24"/>
                <w:highlight w:val="none"/>
              </w:rPr>
            </w:pPr>
          </w:p>
        </w:tc>
        <w:tc>
          <w:tcPr>
            <w:tcW w:w="1716" w:type="dxa"/>
            <w:noWrap w:val="0"/>
            <w:vAlign w:val="center"/>
          </w:tcPr>
          <w:p w14:paraId="0980379A">
            <w:pPr>
              <w:widowControl/>
              <w:jc w:val="left"/>
              <w:rPr>
                <w:rFonts w:hint="eastAsia" w:ascii="宋体" w:hAnsi="宋体" w:cs="宋体"/>
                <w:color w:val="auto"/>
                <w:sz w:val="24"/>
                <w:highlight w:val="none"/>
              </w:rPr>
            </w:pPr>
          </w:p>
        </w:tc>
      </w:tr>
      <w:tr w14:paraId="456B1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504" w:type="dxa"/>
            <w:noWrap w:val="0"/>
            <w:vAlign w:val="center"/>
          </w:tcPr>
          <w:p w14:paraId="2829237C">
            <w:pPr>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5868" w:type="dxa"/>
            <w:noWrap w:val="0"/>
            <w:vAlign w:val="top"/>
          </w:tcPr>
          <w:p w14:paraId="40629006">
            <w:pPr>
              <w:pStyle w:val="22"/>
              <w:spacing w:line="360" w:lineRule="auto"/>
              <w:jc w:val="both"/>
              <w:rPr>
                <w:rFonts w:hint="eastAsia" w:ascii="宋体" w:hAnsi="宋体" w:cs="宋体"/>
                <w:color w:val="auto"/>
                <w:highlight w:val="none"/>
              </w:rPr>
            </w:pPr>
            <w:r>
              <w:rPr>
                <w:rFonts w:hint="eastAsia" w:ascii="宋体" w:hAnsi="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承诺：</w:t>
            </w:r>
            <w:r>
              <w:rPr>
                <w:rFonts w:hint="eastAsia" w:ascii="宋体" w:hAnsi="宋体" w:eastAsia="宋体" w:cs="宋体"/>
                <w:b w:val="0"/>
                <w:bCs w:val="0"/>
                <w:color w:val="auto"/>
                <w:sz w:val="24"/>
                <w:szCs w:val="24"/>
                <w:highlight w:val="none"/>
                <w:lang w:eastAsia="zh-CN"/>
              </w:rPr>
              <w:t>“</w:t>
            </w:r>
            <w:r>
              <w:rPr>
                <w:rFonts w:ascii="宋体" w:hAnsi="宋体" w:cs="宋体"/>
                <w:color w:val="auto"/>
                <w:sz w:val="24"/>
                <w:szCs w:val="24"/>
                <w:highlight w:val="none"/>
              </w:rPr>
              <w:t>在合同履行期间，服务人员发生劳动纠纷的，由</w:t>
            </w:r>
            <w:r>
              <w:rPr>
                <w:rFonts w:hint="eastAsia" w:ascii="宋体" w:hAnsi="宋体" w:cs="宋体"/>
                <w:color w:val="auto"/>
                <w:sz w:val="24"/>
                <w:szCs w:val="24"/>
                <w:highlight w:val="none"/>
                <w:lang w:val="en-US" w:eastAsia="zh-CN"/>
              </w:rPr>
              <w:t>报价</w:t>
            </w:r>
            <w:r>
              <w:rPr>
                <w:rFonts w:ascii="宋体" w:hAnsi="宋体" w:cs="宋体"/>
                <w:color w:val="auto"/>
                <w:sz w:val="24"/>
                <w:szCs w:val="24"/>
                <w:highlight w:val="none"/>
              </w:rPr>
              <w:t>人自行解决并承担所有责任</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提供满足上述要求的承诺的得</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分。注：</w:t>
            </w:r>
            <w:r>
              <w:rPr>
                <w:rFonts w:hint="eastAsia" w:ascii="宋体" w:hAnsi="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须提供书面承诺（格式自拟）并加盖</w:t>
            </w:r>
            <w:r>
              <w:rPr>
                <w:rFonts w:hint="eastAsia" w:ascii="宋体" w:hAnsi="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公章，未提供或不符合上述要求的不得分。</w:t>
            </w:r>
          </w:p>
        </w:tc>
        <w:tc>
          <w:tcPr>
            <w:tcW w:w="1291" w:type="dxa"/>
            <w:noWrap w:val="0"/>
            <w:vAlign w:val="center"/>
          </w:tcPr>
          <w:p w14:paraId="500CCD21">
            <w:pPr>
              <w:widowControl/>
              <w:jc w:val="left"/>
              <w:rPr>
                <w:rFonts w:hint="eastAsia" w:ascii="宋体" w:hAnsi="宋体" w:cs="宋体"/>
                <w:color w:val="auto"/>
                <w:sz w:val="24"/>
                <w:highlight w:val="none"/>
              </w:rPr>
            </w:pPr>
          </w:p>
        </w:tc>
        <w:tc>
          <w:tcPr>
            <w:tcW w:w="1716" w:type="dxa"/>
            <w:noWrap w:val="0"/>
            <w:vAlign w:val="center"/>
          </w:tcPr>
          <w:p w14:paraId="0518E79D">
            <w:pPr>
              <w:widowControl/>
              <w:jc w:val="left"/>
              <w:rPr>
                <w:rFonts w:hint="eastAsia" w:ascii="宋体" w:hAnsi="宋体" w:cs="宋体"/>
                <w:color w:val="auto"/>
                <w:sz w:val="24"/>
                <w:highlight w:val="none"/>
              </w:rPr>
            </w:pPr>
          </w:p>
        </w:tc>
      </w:tr>
      <w:tr w14:paraId="4F17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04" w:type="dxa"/>
            <w:noWrap w:val="0"/>
            <w:vAlign w:val="center"/>
          </w:tcPr>
          <w:p w14:paraId="59E9B03E">
            <w:pPr>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5868" w:type="dxa"/>
            <w:noWrap w:val="0"/>
            <w:vAlign w:val="top"/>
          </w:tcPr>
          <w:p w14:paraId="2CACEA5E">
            <w:pPr>
              <w:pStyle w:val="22"/>
              <w:spacing w:line="360" w:lineRule="auto"/>
              <w:jc w:val="both"/>
              <w:rPr>
                <w:rFonts w:ascii="宋体" w:hAnsi="宋体" w:cs="宋体"/>
                <w:color w:val="auto"/>
                <w:sz w:val="24"/>
                <w:highlight w:val="none"/>
              </w:rPr>
            </w:pPr>
            <w:r>
              <w:rPr>
                <w:rFonts w:hint="eastAsia" w:ascii="宋体" w:hAnsi="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承诺：</w:t>
            </w:r>
            <w:r>
              <w:rPr>
                <w:rFonts w:hint="eastAsia" w:ascii="宋体" w:hAnsi="宋体" w:eastAsia="宋体" w:cs="宋体"/>
                <w:b w:val="0"/>
                <w:bCs w:val="0"/>
                <w:color w:val="auto"/>
                <w:sz w:val="24"/>
                <w:szCs w:val="24"/>
                <w:highlight w:val="none"/>
                <w:lang w:eastAsia="zh-CN"/>
              </w:rPr>
              <w:t>“</w:t>
            </w:r>
            <w:r>
              <w:rPr>
                <w:rFonts w:ascii="宋体" w:hAnsi="宋体" w:cs="宋体"/>
                <w:color w:val="auto"/>
                <w:sz w:val="24"/>
                <w:szCs w:val="24"/>
                <w:highlight w:val="none"/>
              </w:rPr>
              <w:t>随时接受并积极配合采购人对其服务的考核</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提供满足上述要求的承诺的得</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分。注：</w:t>
            </w:r>
            <w:r>
              <w:rPr>
                <w:rFonts w:hint="eastAsia" w:ascii="宋体" w:hAnsi="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须提供书面承诺（格式自拟）并加盖</w:t>
            </w:r>
            <w:r>
              <w:rPr>
                <w:rFonts w:hint="eastAsia" w:ascii="宋体" w:hAnsi="宋体" w:cs="宋体"/>
                <w:b w:val="0"/>
                <w:color w:val="auto"/>
                <w:kern w:val="2"/>
                <w:sz w:val="24"/>
                <w:szCs w:val="24"/>
                <w:highlight w:val="none"/>
                <w:lang w:val="en-US" w:eastAsia="zh-CN"/>
              </w:rPr>
              <w:t>报价</w:t>
            </w:r>
            <w:r>
              <w:rPr>
                <w:rFonts w:hint="eastAsia" w:ascii="宋体" w:hAnsi="宋体" w:eastAsia="宋体" w:cs="宋体"/>
                <w:b w:val="0"/>
                <w:color w:val="auto"/>
                <w:kern w:val="2"/>
                <w:sz w:val="24"/>
                <w:szCs w:val="24"/>
                <w:highlight w:val="none"/>
              </w:rPr>
              <w:t>人</w:t>
            </w:r>
            <w:r>
              <w:rPr>
                <w:rFonts w:hint="eastAsia" w:ascii="宋体" w:hAnsi="宋体" w:eastAsia="宋体" w:cs="宋体"/>
                <w:b w:val="0"/>
                <w:bCs w:val="0"/>
                <w:color w:val="auto"/>
                <w:sz w:val="24"/>
                <w:szCs w:val="24"/>
                <w:highlight w:val="none"/>
              </w:rPr>
              <w:t>公章，未提供或不符合上述要求的不得分。</w:t>
            </w:r>
          </w:p>
        </w:tc>
        <w:tc>
          <w:tcPr>
            <w:tcW w:w="1291" w:type="dxa"/>
            <w:noWrap w:val="0"/>
            <w:vAlign w:val="center"/>
          </w:tcPr>
          <w:p w14:paraId="4129A757">
            <w:pPr>
              <w:widowControl/>
              <w:jc w:val="left"/>
              <w:rPr>
                <w:rFonts w:hint="eastAsia" w:ascii="宋体" w:hAnsi="宋体" w:cs="宋体"/>
                <w:color w:val="auto"/>
                <w:sz w:val="24"/>
                <w:highlight w:val="none"/>
              </w:rPr>
            </w:pPr>
          </w:p>
        </w:tc>
        <w:tc>
          <w:tcPr>
            <w:tcW w:w="1716" w:type="dxa"/>
            <w:noWrap w:val="0"/>
            <w:vAlign w:val="center"/>
          </w:tcPr>
          <w:p w14:paraId="7A72A7C8">
            <w:pPr>
              <w:widowControl/>
              <w:jc w:val="left"/>
              <w:rPr>
                <w:rFonts w:hint="eastAsia" w:ascii="宋体" w:hAnsi="宋体" w:cs="宋体"/>
                <w:color w:val="auto"/>
                <w:sz w:val="24"/>
                <w:highlight w:val="none"/>
              </w:rPr>
            </w:pPr>
          </w:p>
        </w:tc>
      </w:tr>
      <w:tr w14:paraId="223E8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504" w:type="dxa"/>
            <w:noWrap w:val="0"/>
            <w:vAlign w:val="center"/>
          </w:tcPr>
          <w:p w14:paraId="767C8379">
            <w:pPr>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5868" w:type="dxa"/>
            <w:noWrap w:val="0"/>
            <w:vAlign w:val="top"/>
          </w:tcPr>
          <w:p w14:paraId="52C15557">
            <w:pPr>
              <w:pStyle w:val="22"/>
              <w:spacing w:line="360" w:lineRule="auto"/>
              <w:jc w:val="both"/>
              <w:rPr>
                <w:rFonts w:ascii="宋体" w:hAnsi="宋体" w:cs="宋体"/>
                <w:color w:val="auto"/>
                <w:sz w:val="24"/>
                <w:highlight w:val="none"/>
              </w:rPr>
            </w:pPr>
            <w:r>
              <w:rPr>
                <w:rFonts w:hint="eastAsia" w:ascii="宋体" w:hAnsi="宋体" w:eastAsia="宋体" w:cs="宋体"/>
                <w:b w:val="0"/>
                <w:bCs w:val="0"/>
                <w:color w:val="auto"/>
                <w:sz w:val="24"/>
                <w:szCs w:val="24"/>
                <w:highlight w:val="none"/>
              </w:rPr>
              <w:t>针对本项目</w:t>
            </w:r>
            <w:r>
              <w:rPr>
                <w:rFonts w:hint="eastAsia" w:ascii="宋体" w:hAnsi="宋体" w:eastAsia="宋体" w:cs="宋体"/>
                <w:b w:val="0"/>
                <w:bCs w:val="0"/>
                <w:color w:val="auto"/>
                <w:sz w:val="24"/>
                <w:szCs w:val="24"/>
                <w:highlight w:val="none"/>
                <w:lang w:val="en-US" w:eastAsia="zh-CN"/>
              </w:rPr>
              <w:t>报价人</w:t>
            </w:r>
            <w:r>
              <w:rPr>
                <w:rFonts w:hint="eastAsia" w:ascii="宋体" w:hAnsi="宋体" w:eastAsia="宋体" w:cs="宋体"/>
                <w:b w:val="0"/>
                <w:bCs w:val="0"/>
                <w:color w:val="auto"/>
                <w:sz w:val="24"/>
                <w:szCs w:val="24"/>
                <w:highlight w:val="none"/>
              </w:rPr>
              <w:t>编制各项管理制度（</w:t>
            </w:r>
            <w:r>
              <w:rPr>
                <w:rFonts w:hint="eastAsia" w:ascii="宋体" w:hAnsi="宋体" w:eastAsia="宋体" w:cs="宋体"/>
                <w:b w:val="0"/>
                <w:bCs w:val="0"/>
                <w:color w:val="auto"/>
                <w:sz w:val="24"/>
                <w:szCs w:val="24"/>
                <w:highlight w:val="none"/>
                <w:lang w:val="en-US" w:eastAsia="zh-CN"/>
              </w:rPr>
              <w:t>包含</w:t>
            </w:r>
            <w:r>
              <w:rPr>
                <w:rFonts w:hint="eastAsia" w:ascii="宋体" w:hAnsi="宋体" w:eastAsia="宋体" w:cs="宋体"/>
                <w:b w:val="0"/>
                <w:bCs w:val="0"/>
                <w:color w:val="auto"/>
                <w:sz w:val="24"/>
                <w:szCs w:val="24"/>
                <w:highlight w:val="none"/>
              </w:rPr>
              <w:t>：内部管理制度、安全管理制度，应结合本项目实际情况制定），每提供一项制度，得</w:t>
            </w:r>
            <w:r>
              <w:rPr>
                <w:rFonts w:hint="eastAsia" w:ascii="宋体" w:hAnsi="宋体" w:eastAsia="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分，满分</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未提供不得分</w:t>
            </w:r>
            <w:r>
              <w:rPr>
                <w:rFonts w:hint="eastAsia" w:ascii="宋体" w:hAnsi="宋体" w:eastAsia="宋体" w:cs="宋体"/>
                <w:b w:val="0"/>
                <w:bCs w:val="0"/>
                <w:color w:val="auto"/>
                <w:sz w:val="24"/>
                <w:szCs w:val="24"/>
                <w:highlight w:val="none"/>
              </w:rPr>
              <w:t>。</w:t>
            </w:r>
          </w:p>
        </w:tc>
        <w:tc>
          <w:tcPr>
            <w:tcW w:w="1291" w:type="dxa"/>
            <w:noWrap w:val="0"/>
            <w:vAlign w:val="center"/>
          </w:tcPr>
          <w:p w14:paraId="68A2CB8E">
            <w:pPr>
              <w:widowControl/>
              <w:jc w:val="left"/>
              <w:rPr>
                <w:rFonts w:hint="eastAsia" w:ascii="宋体" w:hAnsi="宋体" w:cs="宋体"/>
                <w:color w:val="auto"/>
                <w:sz w:val="24"/>
                <w:highlight w:val="none"/>
              </w:rPr>
            </w:pPr>
          </w:p>
        </w:tc>
        <w:tc>
          <w:tcPr>
            <w:tcW w:w="1716" w:type="dxa"/>
            <w:noWrap w:val="0"/>
            <w:vAlign w:val="center"/>
          </w:tcPr>
          <w:p w14:paraId="72F0F885">
            <w:pPr>
              <w:widowControl/>
              <w:jc w:val="left"/>
              <w:rPr>
                <w:rFonts w:hint="eastAsia" w:ascii="宋体" w:hAnsi="宋体" w:cs="宋体"/>
                <w:color w:val="auto"/>
                <w:sz w:val="24"/>
                <w:highlight w:val="none"/>
              </w:rPr>
            </w:pPr>
          </w:p>
        </w:tc>
      </w:tr>
      <w:tr w14:paraId="0E29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504" w:type="dxa"/>
            <w:noWrap w:val="0"/>
            <w:vAlign w:val="center"/>
          </w:tcPr>
          <w:p w14:paraId="23C02DFB">
            <w:pPr>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5868" w:type="dxa"/>
            <w:noWrap w:val="0"/>
            <w:vAlign w:val="center"/>
          </w:tcPr>
          <w:p w14:paraId="1A36A84B">
            <w:pPr>
              <w:spacing w:line="360" w:lineRule="auto"/>
              <w:rPr>
                <w:rFonts w:ascii="宋体" w:hAnsi="宋体" w:cs="宋体"/>
                <w:color w:val="auto"/>
                <w:sz w:val="24"/>
                <w:highlight w:val="none"/>
              </w:rPr>
            </w:pPr>
            <w:r>
              <w:rPr>
                <w:rFonts w:hint="eastAsia" w:ascii="宋体" w:hAnsi="宋体" w:cs="宋体"/>
                <w:color w:val="auto"/>
                <w:kern w:val="0"/>
                <w:sz w:val="24"/>
                <w:szCs w:val="24"/>
                <w:highlight w:val="none"/>
              </w:rPr>
              <w:t>报价人承诺“成交后，在服务期内，对拟投入的所有人员安全负全部责任，如若发生安全事故，承担全部责任”的得</w:t>
            </w:r>
            <w:r>
              <w:rPr>
                <w:rFonts w:hint="eastAsia" w:ascii="宋体" w:hAnsi="宋体" w:cs="宋体"/>
                <w:color w:val="auto"/>
                <w:kern w:val="0"/>
                <w:sz w:val="24"/>
                <w:szCs w:val="24"/>
                <w:highlight w:val="none"/>
                <w:lang w:val="en-US" w:eastAsia="zh-CN"/>
              </w:rPr>
              <w:t>1分</w:t>
            </w:r>
            <w:r>
              <w:rPr>
                <w:rFonts w:hint="eastAsia" w:ascii="宋体" w:hAnsi="宋体" w:cs="宋体"/>
                <w:color w:val="auto"/>
                <w:kern w:val="0"/>
                <w:sz w:val="24"/>
                <w:szCs w:val="24"/>
                <w:highlight w:val="none"/>
              </w:rPr>
              <w:t>，须提供书面承诺函，否则不得分。</w:t>
            </w:r>
          </w:p>
        </w:tc>
        <w:tc>
          <w:tcPr>
            <w:tcW w:w="1291" w:type="dxa"/>
            <w:noWrap w:val="0"/>
            <w:vAlign w:val="center"/>
          </w:tcPr>
          <w:p w14:paraId="6CB4D6F3">
            <w:pPr>
              <w:widowControl/>
              <w:jc w:val="left"/>
              <w:rPr>
                <w:rFonts w:hint="eastAsia" w:ascii="宋体" w:hAnsi="宋体" w:cs="宋体"/>
                <w:color w:val="auto"/>
                <w:sz w:val="24"/>
                <w:highlight w:val="none"/>
              </w:rPr>
            </w:pPr>
          </w:p>
        </w:tc>
        <w:tc>
          <w:tcPr>
            <w:tcW w:w="1716" w:type="dxa"/>
            <w:noWrap w:val="0"/>
            <w:vAlign w:val="center"/>
          </w:tcPr>
          <w:p w14:paraId="237E9AD7">
            <w:pPr>
              <w:widowControl/>
              <w:jc w:val="left"/>
              <w:rPr>
                <w:rFonts w:hint="eastAsia" w:ascii="宋体" w:hAnsi="宋体" w:cs="宋体"/>
                <w:color w:val="auto"/>
                <w:sz w:val="24"/>
                <w:highlight w:val="none"/>
              </w:rPr>
            </w:pPr>
          </w:p>
        </w:tc>
      </w:tr>
      <w:tr w14:paraId="4BE2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504" w:type="dxa"/>
            <w:noWrap w:val="0"/>
            <w:vAlign w:val="center"/>
          </w:tcPr>
          <w:p w14:paraId="1271A1A9">
            <w:pPr>
              <w:jc w:val="center"/>
              <w:rPr>
                <w:rFonts w:ascii="宋体" w:hAnsi="宋体" w:cs="宋体"/>
                <w:color w:val="auto"/>
                <w:sz w:val="24"/>
                <w:highlight w:val="none"/>
              </w:rPr>
            </w:pPr>
            <w:r>
              <w:rPr>
                <w:rFonts w:hint="eastAsia" w:ascii="宋体" w:hAnsi="宋体" w:cs="宋体"/>
                <w:color w:val="auto"/>
                <w:sz w:val="24"/>
                <w:highlight w:val="none"/>
              </w:rPr>
              <w:t>8</w:t>
            </w:r>
          </w:p>
        </w:tc>
        <w:tc>
          <w:tcPr>
            <w:tcW w:w="5868" w:type="dxa"/>
            <w:noWrap w:val="0"/>
            <w:vAlign w:val="top"/>
          </w:tcPr>
          <w:p w14:paraId="27EEE333">
            <w:pPr>
              <w:pStyle w:val="22"/>
              <w:spacing w:line="360" w:lineRule="auto"/>
              <w:jc w:val="both"/>
              <w:rPr>
                <w:rFonts w:ascii="宋体" w:hAnsi="宋体" w:cs="宋体"/>
                <w:color w:val="auto"/>
                <w:sz w:val="24"/>
                <w:highlight w:val="none"/>
              </w:rPr>
            </w:pPr>
            <w:r>
              <w:rPr>
                <w:rFonts w:hint="eastAsia" w:ascii="宋体" w:hAnsi="宋体" w:eastAsia="宋体" w:cs="宋体"/>
                <w:color w:val="auto"/>
                <w:sz w:val="24"/>
                <w:szCs w:val="24"/>
                <w:highlight w:val="none"/>
              </w:rPr>
              <w:t>根据</w:t>
            </w:r>
            <w:r>
              <w:rPr>
                <w:rFonts w:hint="eastAsia" w:ascii="宋体" w:hAnsi="宋体" w:cs="宋体"/>
                <w:color w:val="auto"/>
                <w:sz w:val="24"/>
                <w:szCs w:val="24"/>
                <w:highlight w:val="none"/>
                <w:lang w:val="en-US" w:eastAsia="zh-CN"/>
              </w:rPr>
              <w:t>报价人提供自</w:t>
            </w:r>
            <w:r>
              <w:rPr>
                <w:rFonts w:hint="eastAsia" w:ascii="宋体" w:hAnsi="宋体" w:eastAsia="宋体" w:cs="宋体"/>
                <w:color w:val="auto"/>
                <w:sz w:val="24"/>
                <w:szCs w:val="24"/>
                <w:highlight w:val="none"/>
              </w:rPr>
              <w:t>2022年1月1日（以合同签订时间为准）至</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截止当日承接过的同类业绩进行评价：每提供1份业绩得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分，满分</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分。注：（1）同类业绩是指：</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人承接关于</w:t>
            </w:r>
            <w:r>
              <w:rPr>
                <w:rFonts w:hint="eastAsia" w:ascii="宋体" w:hAnsi="宋体" w:cs="宋体"/>
                <w:color w:val="auto"/>
                <w:sz w:val="24"/>
                <w:szCs w:val="24"/>
                <w:highlight w:val="none"/>
                <w:lang w:val="en-US" w:eastAsia="zh-CN"/>
              </w:rPr>
              <w:t>招聘考务服务类似</w:t>
            </w:r>
            <w:r>
              <w:rPr>
                <w:rFonts w:hint="eastAsia" w:ascii="宋体" w:hAnsi="宋体" w:eastAsia="宋体" w:cs="宋体"/>
                <w:color w:val="auto"/>
                <w:sz w:val="24"/>
                <w:szCs w:val="24"/>
                <w:highlight w:val="none"/>
              </w:rPr>
              <w:t>项目</w:t>
            </w:r>
            <w:r>
              <w:rPr>
                <w:rFonts w:hint="eastAsia" w:ascii="宋体" w:hAnsi="宋体" w:cs="宋体"/>
                <w:color w:val="auto"/>
                <w:sz w:val="24"/>
                <w:szCs w:val="24"/>
                <w:highlight w:val="none"/>
                <w:lang w:val="en-US" w:eastAsia="zh-CN"/>
              </w:rPr>
              <w:t>业绩或磋商小组认为与本项目相类似的业绩</w:t>
            </w:r>
            <w:r>
              <w:rPr>
                <w:rFonts w:hint="eastAsia" w:ascii="宋体" w:hAnsi="宋体" w:eastAsia="宋体" w:cs="宋体"/>
                <w:color w:val="auto"/>
                <w:sz w:val="24"/>
                <w:szCs w:val="24"/>
                <w:highlight w:val="none"/>
              </w:rPr>
              <w:t>。（2）需</w:t>
            </w:r>
            <w:r>
              <w:rPr>
                <w:rFonts w:hint="eastAsia" w:ascii="宋体" w:hAnsi="宋体" w:cs="宋体"/>
                <w:color w:val="auto"/>
                <w:sz w:val="24"/>
                <w:szCs w:val="24"/>
                <w:highlight w:val="none"/>
                <w:lang w:eastAsia="zh-CN"/>
              </w:rPr>
              <w:t>同时</w:t>
            </w:r>
            <w:r>
              <w:rPr>
                <w:rFonts w:hint="eastAsia" w:ascii="宋体" w:hAnsi="宋体" w:eastAsia="宋体" w:cs="宋体"/>
                <w:color w:val="auto"/>
                <w:sz w:val="24"/>
                <w:szCs w:val="24"/>
                <w:highlight w:val="none"/>
              </w:rPr>
              <w:t>提供业绩的以下证明材料，否则不计分：①采购合同文本复印件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②</w:t>
            </w:r>
            <w:r>
              <w:rPr>
                <w:rFonts w:hint="eastAsia" w:ascii="宋体" w:hAnsi="宋体" w:cs="宋体"/>
                <w:color w:val="auto"/>
                <w:sz w:val="24"/>
                <w:szCs w:val="24"/>
                <w:highlight w:val="none"/>
                <w:lang w:val="en-US" w:eastAsia="zh-CN"/>
              </w:rPr>
              <w:t>中标（成交）通知书。商务评分第8项与商务评分第9项不重复计分。</w:t>
            </w:r>
          </w:p>
        </w:tc>
        <w:tc>
          <w:tcPr>
            <w:tcW w:w="1291" w:type="dxa"/>
            <w:noWrap w:val="0"/>
            <w:vAlign w:val="center"/>
          </w:tcPr>
          <w:p w14:paraId="7FF4983F">
            <w:pPr>
              <w:widowControl/>
              <w:jc w:val="left"/>
              <w:rPr>
                <w:rFonts w:hint="eastAsia" w:ascii="宋体" w:hAnsi="宋体" w:cs="宋体"/>
                <w:color w:val="auto"/>
                <w:sz w:val="24"/>
                <w:highlight w:val="none"/>
              </w:rPr>
            </w:pPr>
          </w:p>
        </w:tc>
        <w:tc>
          <w:tcPr>
            <w:tcW w:w="1716" w:type="dxa"/>
            <w:noWrap w:val="0"/>
            <w:vAlign w:val="center"/>
          </w:tcPr>
          <w:p w14:paraId="684C9BFD">
            <w:pPr>
              <w:widowControl/>
              <w:jc w:val="left"/>
              <w:rPr>
                <w:rFonts w:hint="eastAsia" w:ascii="宋体" w:hAnsi="宋体" w:cs="宋体"/>
                <w:color w:val="auto"/>
                <w:sz w:val="24"/>
                <w:highlight w:val="none"/>
              </w:rPr>
            </w:pPr>
          </w:p>
        </w:tc>
      </w:tr>
      <w:tr w14:paraId="2B55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04" w:type="dxa"/>
            <w:noWrap w:val="0"/>
            <w:vAlign w:val="center"/>
          </w:tcPr>
          <w:p w14:paraId="59EBE639">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5868" w:type="dxa"/>
            <w:noWrap w:val="0"/>
            <w:vAlign w:val="top"/>
          </w:tcPr>
          <w:p w14:paraId="0C44175B">
            <w:pPr>
              <w:pStyle w:val="22"/>
              <w:spacing w:line="360" w:lineRule="auto"/>
              <w:jc w:val="both"/>
              <w:rPr>
                <w:rFonts w:ascii="宋体" w:hAnsi="宋体" w:cs="宋体"/>
                <w:color w:val="auto"/>
                <w:sz w:val="24"/>
                <w:highlight w:val="none"/>
              </w:rPr>
            </w:pPr>
            <w:r>
              <w:rPr>
                <w:rFonts w:hint="eastAsia" w:ascii="宋体" w:hAnsi="宋体" w:cs="宋体"/>
                <w:b w:val="0"/>
                <w:color w:val="auto"/>
                <w:kern w:val="2"/>
                <w:sz w:val="24"/>
                <w:szCs w:val="24"/>
                <w:highlight w:val="none"/>
                <w:lang w:val="en-US" w:eastAsia="zh-CN"/>
              </w:rPr>
              <w:t>根据投</w:t>
            </w:r>
            <w:r>
              <w:rPr>
                <w:rFonts w:hint="eastAsia" w:ascii="宋体" w:hAnsi="宋体" w:cs="宋体"/>
                <w:color w:val="auto"/>
                <w:sz w:val="24"/>
                <w:szCs w:val="24"/>
                <w:highlight w:val="none"/>
                <w:lang w:val="en-US" w:eastAsia="zh-CN"/>
              </w:rPr>
              <w:t>报价人提供自</w:t>
            </w:r>
            <w:r>
              <w:rPr>
                <w:rFonts w:hint="eastAsia" w:ascii="宋体" w:hAnsi="宋体" w:cs="宋体"/>
                <w:b w:val="0"/>
                <w:color w:val="auto"/>
                <w:kern w:val="2"/>
                <w:sz w:val="24"/>
                <w:szCs w:val="24"/>
                <w:highlight w:val="none"/>
                <w:lang w:val="en-US" w:eastAsia="zh-CN"/>
              </w:rPr>
              <w:t>2022年1月1日至报价截止当日获得过同类服务项目的业主单位对其履行合同情况及服务质量的评价材料（或表扬信或感谢信或验收合格的材料证明）进行评价：每提供1份正面评价材料（需体现优秀、优良、良好或满意）的得2分，满分6分。</w:t>
            </w:r>
            <w:r>
              <w:rPr>
                <w:rFonts w:hint="eastAsia" w:ascii="宋体" w:hAnsi="宋体" w:eastAsia="宋体" w:cs="宋体"/>
                <w:color w:val="auto"/>
                <w:sz w:val="24"/>
                <w:szCs w:val="24"/>
                <w:highlight w:val="none"/>
              </w:rPr>
              <w:t>注：（1）同类业绩是指：</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人承接关于</w:t>
            </w:r>
            <w:r>
              <w:rPr>
                <w:rFonts w:hint="eastAsia" w:ascii="宋体" w:hAnsi="宋体" w:cs="宋体"/>
                <w:color w:val="auto"/>
                <w:sz w:val="24"/>
                <w:szCs w:val="24"/>
                <w:highlight w:val="none"/>
                <w:lang w:val="en-US" w:eastAsia="zh-CN"/>
              </w:rPr>
              <w:t>招聘考务服务类似</w:t>
            </w:r>
            <w:r>
              <w:rPr>
                <w:rFonts w:hint="eastAsia" w:ascii="宋体" w:hAnsi="宋体" w:eastAsia="宋体" w:cs="宋体"/>
                <w:color w:val="auto"/>
                <w:sz w:val="24"/>
                <w:szCs w:val="24"/>
                <w:highlight w:val="none"/>
              </w:rPr>
              <w:t>项目</w:t>
            </w:r>
            <w:r>
              <w:rPr>
                <w:rFonts w:hint="eastAsia" w:ascii="宋体" w:hAnsi="宋体" w:cs="宋体"/>
                <w:color w:val="auto"/>
                <w:sz w:val="24"/>
                <w:szCs w:val="24"/>
                <w:highlight w:val="none"/>
                <w:lang w:val="en-US" w:eastAsia="zh-CN"/>
              </w:rPr>
              <w:t>业绩或磋商小组认为与本项目相类似的业绩</w:t>
            </w:r>
            <w:r>
              <w:rPr>
                <w:rFonts w:hint="eastAsia" w:ascii="宋体" w:hAnsi="宋体" w:eastAsia="宋体" w:cs="宋体"/>
                <w:color w:val="auto"/>
                <w:sz w:val="24"/>
                <w:szCs w:val="24"/>
                <w:highlight w:val="none"/>
              </w:rPr>
              <w:t>。（2）需</w:t>
            </w:r>
            <w:r>
              <w:rPr>
                <w:rFonts w:hint="eastAsia" w:ascii="宋体" w:hAnsi="宋体" w:eastAsia="宋体" w:cs="宋体"/>
                <w:color w:val="auto"/>
                <w:sz w:val="24"/>
                <w:szCs w:val="24"/>
                <w:highlight w:val="none"/>
                <w:lang w:val="en-US" w:eastAsia="zh-CN"/>
              </w:rPr>
              <w:t>同时</w:t>
            </w:r>
            <w:r>
              <w:rPr>
                <w:rFonts w:hint="eastAsia" w:ascii="宋体" w:hAnsi="宋体" w:eastAsia="宋体" w:cs="宋体"/>
                <w:color w:val="auto"/>
                <w:sz w:val="24"/>
                <w:szCs w:val="24"/>
                <w:highlight w:val="none"/>
              </w:rPr>
              <w:t>提供以下证明材料，否则不计分：①采购合同文本复印件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②</w:t>
            </w:r>
            <w:r>
              <w:rPr>
                <w:rFonts w:hint="eastAsia" w:ascii="宋体" w:hAnsi="宋体" w:cs="宋体"/>
                <w:color w:val="auto"/>
                <w:sz w:val="24"/>
                <w:szCs w:val="24"/>
                <w:highlight w:val="none"/>
                <w:lang w:val="en-US" w:eastAsia="zh-CN"/>
              </w:rPr>
              <w:t>中标（成交）通知书；</w:t>
            </w:r>
            <w:r>
              <w:rPr>
                <w:rFonts w:hint="eastAsia" w:ascii="宋体" w:hAnsi="宋体" w:eastAsia="宋体" w:cs="宋体"/>
                <w:color w:val="auto"/>
                <w:sz w:val="24"/>
                <w:szCs w:val="24"/>
                <w:highlight w:val="none"/>
                <w:lang w:val="en-US" w:eastAsia="zh-CN"/>
              </w:rPr>
              <w:t>③</w:t>
            </w:r>
            <w:r>
              <w:rPr>
                <w:rFonts w:hint="eastAsia" w:ascii="宋体" w:hAnsi="宋体" w:cs="宋体"/>
                <w:b w:val="0"/>
                <w:color w:val="auto"/>
                <w:kern w:val="2"/>
                <w:sz w:val="24"/>
                <w:szCs w:val="24"/>
                <w:highlight w:val="none"/>
                <w:lang w:val="en-US" w:eastAsia="zh-CN"/>
              </w:rPr>
              <w:t>评价材料（或表扬信或感谢信或验收合格的材料证明）</w:t>
            </w:r>
            <w:r>
              <w:rPr>
                <w:rFonts w:hint="eastAsia" w:ascii="宋体" w:hAnsi="宋体" w:cs="宋体"/>
                <w:color w:val="auto"/>
                <w:sz w:val="24"/>
                <w:szCs w:val="24"/>
                <w:highlight w:val="none"/>
                <w:lang w:val="en-US" w:eastAsia="zh-CN"/>
              </w:rPr>
              <w:t>。商务评分第8项与商务评分第9项不重复计分。</w:t>
            </w:r>
          </w:p>
        </w:tc>
        <w:tc>
          <w:tcPr>
            <w:tcW w:w="1291" w:type="dxa"/>
            <w:noWrap w:val="0"/>
            <w:vAlign w:val="center"/>
          </w:tcPr>
          <w:p w14:paraId="301AA3D8">
            <w:pPr>
              <w:widowControl/>
              <w:jc w:val="left"/>
              <w:rPr>
                <w:rFonts w:hint="eastAsia" w:ascii="宋体" w:hAnsi="宋体" w:cs="宋体"/>
                <w:color w:val="auto"/>
                <w:sz w:val="24"/>
                <w:highlight w:val="none"/>
              </w:rPr>
            </w:pPr>
          </w:p>
        </w:tc>
        <w:tc>
          <w:tcPr>
            <w:tcW w:w="1716" w:type="dxa"/>
            <w:noWrap w:val="0"/>
            <w:vAlign w:val="center"/>
          </w:tcPr>
          <w:p w14:paraId="05C3CAF4">
            <w:pPr>
              <w:widowControl/>
              <w:jc w:val="left"/>
              <w:rPr>
                <w:rFonts w:hint="eastAsia" w:ascii="宋体" w:hAnsi="宋体" w:cs="宋体"/>
                <w:color w:val="auto"/>
                <w:sz w:val="24"/>
                <w:highlight w:val="none"/>
              </w:rPr>
            </w:pPr>
          </w:p>
        </w:tc>
      </w:tr>
    </w:tbl>
    <w:p w14:paraId="696E8DAC">
      <w:pPr>
        <w:rPr>
          <w:color w:val="auto"/>
          <w:highlight w:val="none"/>
        </w:rPr>
      </w:pPr>
      <w:r>
        <w:rPr>
          <w:rFonts w:hint="eastAsia" w:ascii="宋体" w:hAnsi="宋体" w:cs="宋体"/>
          <w:color w:val="auto"/>
          <w:sz w:val="24"/>
          <w:highlight w:val="none"/>
        </w:rPr>
        <w:t>注：表格中所列条款应与评分条款逐条对应，对于条款不明确或错误部分评委有权不予采信。</w:t>
      </w:r>
    </w:p>
    <w:p w14:paraId="2F77E9C7">
      <w:pPr>
        <w:rPr>
          <w:color w:val="auto"/>
          <w:highlight w:val="none"/>
        </w:rPr>
        <w:sectPr>
          <w:pgSz w:w="11906" w:h="16838"/>
          <w:pgMar w:top="1134" w:right="1134" w:bottom="1134" w:left="1134" w:header="851" w:footer="992" w:gutter="0"/>
          <w:cols w:space="720" w:num="1"/>
          <w:docGrid w:type="lines" w:linePitch="312" w:charSpace="0"/>
        </w:sectPr>
      </w:pPr>
    </w:p>
    <w:p w14:paraId="1EB83AB0">
      <w:pPr>
        <w:pStyle w:val="25"/>
        <w:keepNext w:val="0"/>
        <w:keepLines w:val="0"/>
        <w:pageBreakBefore w:val="0"/>
        <w:kinsoku/>
        <w:wordWrap/>
        <w:overflowPunct/>
        <w:topLinePunct w:val="0"/>
        <w:bidi w:val="0"/>
        <w:adjustRightInd/>
        <w:spacing w:line="360" w:lineRule="auto"/>
        <w:jc w:val="center"/>
        <w:textAlignment w:val="auto"/>
        <w:outlineLvl w:val="9"/>
        <w:rPr>
          <w:rFonts w:hint="eastAsia" w:ascii="宋体" w:hAnsi="宋体" w:cs="宋体"/>
          <w:b/>
          <w:bCs/>
          <w:color w:val="auto"/>
          <w:sz w:val="28"/>
          <w:szCs w:val="28"/>
          <w:highlight w:val="none"/>
        </w:rPr>
      </w:pPr>
      <w:bookmarkStart w:id="235" w:name="_Toc21167"/>
      <w:bookmarkStart w:id="236" w:name="_Toc15245"/>
      <w:bookmarkStart w:id="237" w:name="_Toc29559"/>
      <w:bookmarkStart w:id="238" w:name="_Toc5915"/>
      <w:bookmarkStart w:id="239" w:name="_Toc19382"/>
      <w:bookmarkStart w:id="240" w:name="_Toc891"/>
      <w:r>
        <w:rPr>
          <w:rFonts w:hint="eastAsia" w:ascii="宋体" w:hAnsi="宋体" w:cs="宋体"/>
          <w:b/>
          <w:bCs/>
          <w:color w:val="auto"/>
          <w:sz w:val="28"/>
          <w:szCs w:val="28"/>
          <w:highlight w:val="none"/>
        </w:rPr>
        <w:t>承诺函</w:t>
      </w:r>
      <w:bookmarkEnd w:id="235"/>
      <w:bookmarkEnd w:id="236"/>
      <w:bookmarkEnd w:id="237"/>
      <w:bookmarkEnd w:id="238"/>
      <w:bookmarkEnd w:id="239"/>
      <w:bookmarkEnd w:id="240"/>
    </w:p>
    <w:p w14:paraId="4010D937">
      <w:pPr>
        <w:pStyle w:val="8"/>
        <w:keepNext w:val="0"/>
        <w:keepLines w:val="0"/>
        <w:pageBreakBefore w:val="0"/>
        <w:kinsoku/>
        <w:wordWrap/>
        <w:overflowPunct/>
        <w:topLinePunct w:val="0"/>
        <w:bidi w:val="0"/>
        <w:adjustRightInd/>
        <w:spacing w:line="360" w:lineRule="auto"/>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我司承诺：</w:t>
      </w:r>
    </w:p>
    <w:p w14:paraId="1D8D13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cs="宋体"/>
          <w:b w:val="0"/>
          <w:bCs w:val="0"/>
          <w:color w:val="auto"/>
          <w:sz w:val="24"/>
          <w:szCs w:val="24"/>
          <w:highlight w:val="none"/>
        </w:rPr>
      </w:pPr>
      <w:bookmarkStart w:id="241" w:name="_Toc1906"/>
      <w:r>
        <w:rPr>
          <w:rFonts w:hint="eastAsia" w:ascii="宋体" w:hAnsi="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rPr>
        <w:t>、我司非联合体报价。</w:t>
      </w:r>
      <w:bookmarkEnd w:id="241"/>
    </w:p>
    <w:p w14:paraId="441FAC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b w:val="0"/>
          <w:bCs w:val="0"/>
          <w:color w:val="auto"/>
          <w:sz w:val="24"/>
          <w:szCs w:val="24"/>
          <w:highlight w:val="none"/>
        </w:rPr>
      </w:pPr>
      <w:bookmarkStart w:id="242" w:name="_Toc13092"/>
      <w:r>
        <w:rPr>
          <w:rFonts w:hint="eastAsia" w:ascii="宋体" w:hAnsi="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rPr>
        <w:t>、报价有效期：报价截止之日起90个日历日。</w:t>
      </w:r>
    </w:p>
    <w:p w14:paraId="387E52C2">
      <w:pPr>
        <w:keepNext w:val="0"/>
        <w:keepLines w:val="0"/>
        <w:pageBreakBefore w:val="0"/>
        <w:kinsoku/>
        <w:wordWrap/>
        <w:overflowPunct/>
        <w:topLinePunct w:val="0"/>
        <w:bidi w:val="0"/>
        <w:adjustRightInd/>
        <w:spacing w:line="360" w:lineRule="auto"/>
        <w:ind w:firstLine="480" w:firstLineChars="200"/>
        <w:textAlignment w:val="auto"/>
        <w:outlineLvl w:val="9"/>
        <w:rPr>
          <w:rFonts w:hint="eastAsia" w:ascii="宋体" w:hAnsi="宋体" w:eastAsia="宋体" w:cs="宋体"/>
          <w:bCs/>
          <w:color w:val="auto"/>
          <w:sz w:val="24"/>
          <w:szCs w:val="21"/>
          <w:highlight w:val="none"/>
          <w:lang w:val="en-US" w:eastAsia="zh-CN"/>
        </w:rPr>
      </w:pPr>
      <w:bookmarkStart w:id="243" w:name="_Toc32083"/>
      <w:bookmarkStart w:id="244" w:name="_Toc20541"/>
      <w:bookmarkStart w:id="245" w:name="_Toc4442"/>
      <w:bookmarkStart w:id="246" w:name="_Toc2017"/>
      <w:bookmarkStart w:id="247" w:name="_Toc2292"/>
      <w:bookmarkStart w:id="248" w:name="_Toc18988"/>
      <w:bookmarkStart w:id="249" w:name="_Toc9786"/>
      <w:bookmarkStart w:id="250" w:name="_Toc4953"/>
      <w:bookmarkStart w:id="251" w:name="_Toc15581"/>
      <w:r>
        <w:rPr>
          <w:rFonts w:hint="eastAsia" w:ascii="宋体" w:hAnsi="宋体" w:cs="宋体"/>
          <w:bCs/>
          <w:color w:val="auto"/>
          <w:sz w:val="24"/>
          <w:szCs w:val="21"/>
          <w:highlight w:val="none"/>
          <w:lang w:val="en-US" w:eastAsia="zh-CN"/>
        </w:rPr>
        <w:t>3、</w:t>
      </w:r>
    </w:p>
    <w:p w14:paraId="4BE72C37">
      <w:pPr>
        <w:keepNext w:val="0"/>
        <w:keepLines w:val="0"/>
        <w:pageBreakBefore w:val="0"/>
        <w:kinsoku/>
        <w:wordWrap/>
        <w:overflowPunct/>
        <w:topLinePunct w:val="0"/>
        <w:bidi w:val="0"/>
        <w:adjustRightInd/>
        <w:spacing w:line="360" w:lineRule="auto"/>
        <w:ind w:firstLine="720" w:firstLineChars="300"/>
        <w:textAlignment w:val="auto"/>
        <w:outlineLvl w:val="9"/>
        <w:rPr>
          <w:rFonts w:hint="eastAsia" w:ascii="宋体" w:hAnsi="宋体" w:cs="宋体"/>
          <w:bCs/>
          <w:color w:val="auto"/>
          <w:sz w:val="24"/>
          <w:szCs w:val="21"/>
          <w:highlight w:val="none"/>
        </w:rPr>
      </w:pPr>
    </w:p>
    <w:p w14:paraId="21AC2BCC">
      <w:pPr>
        <w:keepNext w:val="0"/>
        <w:keepLines w:val="0"/>
        <w:pageBreakBefore w:val="0"/>
        <w:kinsoku/>
        <w:wordWrap/>
        <w:overflowPunct/>
        <w:topLinePunct w:val="0"/>
        <w:bidi w:val="0"/>
        <w:adjustRightInd/>
        <w:spacing w:line="360" w:lineRule="auto"/>
        <w:ind w:firstLine="720" w:firstLineChars="300"/>
        <w:textAlignment w:val="auto"/>
        <w:outlineLvl w:val="9"/>
        <w:rPr>
          <w:rFonts w:hint="eastAsia" w:ascii="宋体" w:hAnsi="宋体" w:cs="宋体"/>
          <w:bCs/>
          <w:color w:val="auto"/>
          <w:sz w:val="24"/>
          <w:szCs w:val="21"/>
          <w:highlight w:val="none"/>
        </w:rPr>
      </w:pPr>
      <w:r>
        <w:rPr>
          <w:rFonts w:hint="eastAsia" w:ascii="宋体" w:hAnsi="宋体" w:cs="宋体"/>
          <w:bCs/>
          <w:color w:val="auto"/>
          <w:sz w:val="24"/>
          <w:szCs w:val="21"/>
          <w:highlight w:val="none"/>
        </w:rPr>
        <w:t>……</w:t>
      </w:r>
      <w:bookmarkEnd w:id="243"/>
      <w:bookmarkEnd w:id="244"/>
      <w:bookmarkEnd w:id="245"/>
      <w:bookmarkEnd w:id="246"/>
      <w:bookmarkEnd w:id="247"/>
      <w:bookmarkEnd w:id="248"/>
      <w:bookmarkEnd w:id="249"/>
      <w:bookmarkEnd w:id="250"/>
      <w:bookmarkEnd w:id="251"/>
    </w:p>
    <w:p w14:paraId="147A4E3A">
      <w:pPr>
        <w:keepNext w:val="0"/>
        <w:keepLines w:val="0"/>
        <w:pageBreakBefore w:val="0"/>
        <w:kinsoku/>
        <w:wordWrap/>
        <w:overflowPunct/>
        <w:topLinePunct w:val="0"/>
        <w:bidi w:val="0"/>
        <w:adjustRightInd/>
        <w:spacing w:line="360" w:lineRule="auto"/>
        <w:textAlignment w:val="auto"/>
        <w:outlineLvl w:val="9"/>
        <w:rPr>
          <w:rFonts w:hint="eastAsia" w:ascii="宋体" w:hAnsi="宋体" w:cs="宋体"/>
          <w:color w:val="auto"/>
          <w:sz w:val="24"/>
          <w:szCs w:val="24"/>
          <w:highlight w:val="none"/>
        </w:rPr>
      </w:pPr>
    </w:p>
    <w:p w14:paraId="47657970">
      <w:pPr>
        <w:pStyle w:val="25"/>
        <w:keepNext w:val="0"/>
        <w:keepLines w:val="0"/>
        <w:pageBreakBefore w:val="0"/>
        <w:kinsoku/>
        <w:wordWrap/>
        <w:overflowPunct/>
        <w:topLinePunct w:val="0"/>
        <w:bidi w:val="0"/>
        <w:adjustRightInd/>
        <w:spacing w:line="360" w:lineRule="auto"/>
        <w:ind w:firstLine="0"/>
        <w:textAlignment w:val="auto"/>
        <w:outlineLvl w:val="9"/>
        <w:rPr>
          <w:color w:val="auto"/>
          <w:highlight w:val="none"/>
        </w:rPr>
      </w:pPr>
    </w:p>
    <w:p w14:paraId="3C849F10">
      <w:pPr>
        <w:keepNext w:val="0"/>
        <w:keepLines w:val="0"/>
        <w:pageBreakBefore w:val="0"/>
        <w:kinsoku/>
        <w:wordWrap/>
        <w:overflowPunct/>
        <w:topLinePunct w:val="0"/>
        <w:bidi w:val="0"/>
        <w:adjustRightInd/>
        <w:spacing w:line="360" w:lineRule="auto"/>
        <w:jc w:val="center"/>
        <w:textAlignment w:val="auto"/>
        <w:outlineLvl w:val="9"/>
        <w:rPr>
          <w:rFonts w:hint="eastAsia" w:ascii="宋体" w:hAnsi="宋体" w:cs="宋体"/>
          <w:b/>
          <w:bCs/>
          <w:color w:val="auto"/>
          <w:sz w:val="22"/>
          <w:szCs w:val="24"/>
          <w:highlight w:val="none"/>
        </w:rPr>
      </w:pPr>
      <w:bookmarkStart w:id="252" w:name="_Toc7758"/>
      <w:bookmarkStart w:id="253" w:name="_Toc32018"/>
      <w:bookmarkStart w:id="254" w:name="_Toc23516"/>
      <w:bookmarkStart w:id="255" w:name="_Toc10602"/>
      <w:bookmarkStart w:id="256" w:name="_Toc30042"/>
      <w:bookmarkStart w:id="257" w:name="_Toc25282"/>
      <w:bookmarkStart w:id="258" w:name="_Toc1464"/>
      <w:bookmarkStart w:id="259" w:name="_Toc28628"/>
      <w:bookmarkStart w:id="260" w:name="_Toc26729"/>
      <w:r>
        <w:rPr>
          <w:rFonts w:hint="eastAsia" w:ascii="宋体" w:hAnsi="宋体" w:cs="宋体"/>
          <w:b/>
          <w:bCs/>
          <w:color w:val="auto"/>
          <w:sz w:val="22"/>
          <w:szCs w:val="24"/>
          <w:highlight w:val="none"/>
        </w:rPr>
        <w:t>（内容可根据采购文件要求自行扩展拟定）</w:t>
      </w:r>
      <w:bookmarkEnd w:id="242"/>
      <w:bookmarkEnd w:id="252"/>
      <w:bookmarkEnd w:id="253"/>
      <w:bookmarkEnd w:id="254"/>
      <w:bookmarkEnd w:id="255"/>
      <w:bookmarkEnd w:id="256"/>
      <w:bookmarkEnd w:id="257"/>
      <w:bookmarkEnd w:id="258"/>
      <w:bookmarkEnd w:id="259"/>
      <w:bookmarkEnd w:id="260"/>
    </w:p>
    <w:p w14:paraId="226E8DB0">
      <w:pPr>
        <w:pStyle w:val="5"/>
        <w:keepNext w:val="0"/>
        <w:keepLines w:val="0"/>
        <w:pageBreakBefore w:val="0"/>
        <w:kinsoku/>
        <w:wordWrap/>
        <w:overflowPunct/>
        <w:topLinePunct w:val="0"/>
        <w:bidi w:val="0"/>
        <w:adjustRightInd/>
        <w:spacing w:after="0" w:line="360" w:lineRule="auto"/>
        <w:textAlignment w:val="auto"/>
        <w:outlineLvl w:val="9"/>
        <w:rPr>
          <w:rFonts w:hint="eastAsia" w:ascii="宋体" w:hAnsi="宋体" w:cs="宋体"/>
          <w:color w:val="auto"/>
          <w:highlight w:val="none"/>
        </w:rPr>
      </w:pPr>
    </w:p>
    <w:p w14:paraId="3AB695FE">
      <w:pPr>
        <w:keepNext w:val="0"/>
        <w:keepLines w:val="0"/>
        <w:pageBreakBefore w:val="0"/>
        <w:kinsoku/>
        <w:wordWrap/>
        <w:overflowPunct/>
        <w:topLinePunct w:val="0"/>
        <w:autoSpaceDE w:val="0"/>
        <w:autoSpaceDN w:val="0"/>
        <w:bidi w:val="0"/>
        <w:adjustRightInd/>
        <w:spacing w:line="360" w:lineRule="auto"/>
        <w:ind w:firstLine="480" w:firstLineChars="200"/>
        <w:jc w:val="left"/>
        <w:textAlignment w:val="auto"/>
        <w:outlineLvl w:val="9"/>
        <w:rPr>
          <w:rFonts w:hint="eastAsia" w:ascii="宋体" w:hAnsi="宋体" w:cs="宋体"/>
          <w:bCs/>
          <w:color w:val="auto"/>
          <w:sz w:val="24"/>
          <w:szCs w:val="21"/>
          <w:highlight w:val="none"/>
        </w:rPr>
      </w:pPr>
      <w:r>
        <w:rPr>
          <w:rFonts w:hint="eastAsia" w:ascii="宋体" w:hAnsi="宋体" w:cs="宋体"/>
          <w:bCs/>
          <w:color w:val="auto"/>
          <w:sz w:val="24"/>
          <w:szCs w:val="21"/>
          <w:highlight w:val="none"/>
        </w:rPr>
        <w:t>特此承诺！</w:t>
      </w:r>
    </w:p>
    <w:p w14:paraId="0A586496">
      <w:pPr>
        <w:keepNext w:val="0"/>
        <w:keepLines w:val="0"/>
        <w:pageBreakBefore w:val="0"/>
        <w:kinsoku/>
        <w:wordWrap/>
        <w:overflowPunct/>
        <w:topLinePunct w:val="0"/>
        <w:autoSpaceDE w:val="0"/>
        <w:autoSpaceDN w:val="0"/>
        <w:bidi w:val="0"/>
        <w:adjustRightInd/>
        <w:spacing w:line="360" w:lineRule="auto"/>
        <w:ind w:firstLine="4920" w:firstLineChars="2050"/>
        <w:jc w:val="left"/>
        <w:textAlignment w:val="auto"/>
        <w:outlineLvl w:val="9"/>
        <w:rPr>
          <w:rFonts w:hint="eastAsia" w:ascii="宋体" w:hAnsi="宋体" w:cs="宋体"/>
          <w:bCs/>
          <w:color w:val="auto"/>
          <w:sz w:val="24"/>
          <w:szCs w:val="21"/>
          <w:highlight w:val="none"/>
        </w:rPr>
      </w:pPr>
      <w:r>
        <w:rPr>
          <w:rFonts w:hint="eastAsia" w:ascii="宋体" w:hAnsi="宋体" w:cs="宋体"/>
          <w:bCs/>
          <w:color w:val="auto"/>
          <w:sz w:val="24"/>
          <w:szCs w:val="21"/>
          <w:highlight w:val="none"/>
        </w:rPr>
        <w:t>报价人名称（盖公章）：</w:t>
      </w:r>
    </w:p>
    <w:p w14:paraId="56C78B11">
      <w:pPr>
        <w:pStyle w:val="7"/>
        <w:keepNext w:val="0"/>
        <w:keepLines w:val="0"/>
        <w:pageBreakBefore w:val="0"/>
        <w:kinsoku/>
        <w:wordWrap/>
        <w:overflowPunct/>
        <w:topLinePunct w:val="0"/>
        <w:bidi w:val="0"/>
        <w:adjustRightInd/>
        <w:spacing w:line="360" w:lineRule="auto"/>
        <w:textAlignment w:val="auto"/>
        <w:outlineLvl w:val="9"/>
        <w:rPr>
          <w:color w:val="auto"/>
          <w:highlight w:val="none"/>
        </w:rPr>
      </w:pPr>
      <w:r>
        <w:rPr>
          <w:rFonts w:hint="eastAsia" w:hAnsi="宋体" w:cs="宋体"/>
          <w:bCs/>
          <w:color w:val="auto"/>
          <w:sz w:val="24"/>
          <w:highlight w:val="none"/>
        </w:rPr>
        <w:t xml:space="preserve">                                     日期：    年   月   日   </w:t>
      </w:r>
    </w:p>
    <w:p w14:paraId="5C9EE9AE">
      <w:pPr>
        <w:rPr>
          <w:color w:val="auto"/>
          <w:highlight w:val="none"/>
        </w:rPr>
      </w:pPr>
    </w:p>
    <w:p w14:paraId="6254AD54">
      <w:pPr>
        <w:rPr>
          <w:color w:val="auto"/>
          <w:highlight w:val="none"/>
        </w:rPr>
      </w:pPr>
    </w:p>
    <w:p w14:paraId="50A84DCD">
      <w:pPr>
        <w:rPr>
          <w:color w:val="auto"/>
          <w:highlight w:val="none"/>
        </w:rPr>
      </w:pPr>
    </w:p>
    <w:p w14:paraId="24870AD7">
      <w:pPr>
        <w:rPr>
          <w:color w:val="auto"/>
          <w:highlight w:val="none"/>
        </w:rPr>
      </w:pPr>
    </w:p>
    <w:p w14:paraId="01DA72BA">
      <w:pPr>
        <w:rPr>
          <w:color w:val="auto"/>
          <w:highlight w:val="none"/>
        </w:rPr>
      </w:pPr>
    </w:p>
    <w:bookmarkEnd w:id="261"/>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7607F">
    <w:pPr>
      <w:pStyle w:val="8"/>
      <w:jc w:val="center"/>
      <w:rPr>
        <w:rFonts w:hint="eastAsia" w:ascii="宋体" w:hAnsi="宋体"/>
        <w:szCs w:val="21"/>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1</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99504">
    <w:pPr>
      <w:pStyle w:val="8"/>
      <w:ind w:firstLine="4320" w:firstLineChars="2400"/>
      <w:rPr>
        <w:rFonts w:ascii="宋体" w:hAnsi="宋体"/>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859BD">
    <w:pPr>
      <w:pStyle w:val="8"/>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14:paraId="00BFDD86">
    <w:pPr>
      <w:pStyle w:val="8"/>
      <w:tabs>
        <w:tab w:val="left" w:pos="945"/>
      </w:tabs>
      <w:rPr>
        <w:rFonts w:hint="eastAsia"/>
      </w:rP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79909">
    <w:pPr>
      <w:pStyle w:val="8"/>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14:paraId="79278CC1">
    <w:pPr>
      <w:pStyle w:val="8"/>
      <w:tabs>
        <w:tab w:val="left" w:pos="945"/>
      </w:tabs>
      <w:rPr>
        <w:rFonts w:hint="eastAsia"/>
      </w:rP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11F43">
    <w:pPr>
      <w:pStyle w:val="8"/>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68</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14:paraId="3ACFC6A7">
    <w:pPr>
      <w:pStyle w:val="8"/>
      <w:tabs>
        <w:tab w:val="left" w:pos="945"/>
      </w:tabs>
      <w:rPr>
        <w:rFonts w:hint="eastAsia"/>
      </w:rPr>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B109E">
    <w:pPr>
      <w:pStyle w:val="8"/>
      <w:rPr>
        <w:rFonts w:hint="eastAsia" w:ascii="宋体" w:hAnsi="宋体"/>
      </w:rPr>
    </w:pPr>
    <w:r>
      <w:rPr>
        <w:rFonts w:hint="eastAsia"/>
      </w:rPr>
      <w:t xml:space="preserve">                                             </w:t>
    </w:r>
    <w:r>
      <w:rPr>
        <w:rFonts w:hint="eastAsia" w:ascii="宋体" w:hAnsi="宋体"/>
      </w:rPr>
      <w:t xml:space="preserve">                             </w:t>
    </w:r>
    <w:r>
      <w:rPr>
        <w:rStyle w:val="17"/>
        <w:rFonts w:hint="eastAsia" w:ascii="宋体" w:hAnsi="宋体"/>
      </w:rPr>
      <w:t>第</w:t>
    </w:r>
    <w:r>
      <w:rPr>
        <w:rFonts w:ascii="宋体" w:hAnsi="宋体"/>
      </w:rPr>
      <w:fldChar w:fldCharType="begin"/>
    </w:r>
    <w:r>
      <w:rPr>
        <w:rStyle w:val="17"/>
        <w:rFonts w:ascii="宋体" w:hAnsi="宋体"/>
      </w:rPr>
      <w:instrText xml:space="preserve"> PAGE </w:instrText>
    </w:r>
    <w:r>
      <w:rPr>
        <w:rFonts w:ascii="宋体" w:hAnsi="宋体"/>
      </w:rPr>
      <w:fldChar w:fldCharType="separate"/>
    </w:r>
    <w:r>
      <w:rPr>
        <w:rStyle w:val="17"/>
        <w:rFonts w:ascii="宋体" w:hAnsi="宋体"/>
      </w:rPr>
      <w:t>69</w:t>
    </w:r>
    <w:r>
      <w:rPr>
        <w:rFonts w:ascii="宋体" w:hAnsi="宋体"/>
      </w:rPr>
      <w:fldChar w:fldCharType="end"/>
    </w:r>
    <w:r>
      <w:rPr>
        <w:rStyle w:val="17"/>
        <w:rFonts w:hint="eastAsia" w:ascii="宋体" w:hAnsi="宋体"/>
      </w:rPr>
      <w:t>页，共</w:t>
    </w:r>
    <w:r>
      <w:rPr>
        <w:rFonts w:ascii="宋体" w:hAnsi="宋体"/>
      </w:rPr>
      <w:fldChar w:fldCharType="begin"/>
    </w:r>
    <w:r>
      <w:rPr>
        <w:rStyle w:val="17"/>
        <w:rFonts w:ascii="宋体" w:hAnsi="宋体"/>
      </w:rPr>
      <w:instrText xml:space="preserve"> NUMPAGES </w:instrText>
    </w:r>
    <w:r>
      <w:rPr>
        <w:rFonts w:ascii="宋体" w:hAnsi="宋体"/>
      </w:rPr>
      <w:fldChar w:fldCharType="separate"/>
    </w:r>
    <w:r>
      <w:rPr>
        <w:rStyle w:val="17"/>
        <w:rFonts w:ascii="宋体" w:hAnsi="宋体"/>
      </w:rPr>
      <w:t>98</w:t>
    </w:r>
    <w:r>
      <w:rPr>
        <w:rFonts w:ascii="宋体" w:hAnsi="宋体"/>
      </w:rPr>
      <w:fldChar w:fldCharType="end"/>
    </w:r>
    <w:r>
      <w:rPr>
        <w:rStyle w:val="17"/>
        <w:rFonts w:hint="eastAsia" w:ascii="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3BDAE">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D0966">
    <w:pPr>
      <w:pStyle w:val="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097F0">
    <w:pPr>
      <w:pStyle w:val="8"/>
      <w:rPr>
        <w:rFonts w:hint="eastAsia" w:ascii="宋体" w:hAnsi="宋体"/>
      </w:rPr>
    </w:pPr>
    <w:r>
      <w:rPr>
        <w:rFonts w:hint="eastAsia"/>
      </w:rPr>
      <w:t xml:space="preserve">                                      </w:t>
    </w:r>
    <w:r>
      <w:rPr>
        <w:rFonts w:hint="eastAsia" w:ascii="宋体" w:hAnsi="宋体"/>
      </w:rPr>
      <w:t xml:space="preserve"> </w:t>
    </w:r>
    <w:r>
      <w:rPr>
        <w:rStyle w:val="17"/>
        <w:rFonts w:hint="eastAsia" w:ascii="宋体" w:hAnsi="宋体"/>
      </w:rPr>
      <w:t>第</w:t>
    </w:r>
    <w:r>
      <w:rPr>
        <w:rFonts w:ascii="宋体" w:hAnsi="宋体"/>
      </w:rPr>
      <w:fldChar w:fldCharType="begin"/>
    </w:r>
    <w:r>
      <w:rPr>
        <w:rStyle w:val="17"/>
        <w:rFonts w:ascii="宋体" w:hAnsi="宋体"/>
      </w:rPr>
      <w:instrText xml:space="preserve"> PAGE </w:instrText>
    </w:r>
    <w:r>
      <w:rPr>
        <w:rFonts w:ascii="宋体" w:hAnsi="宋体"/>
      </w:rPr>
      <w:fldChar w:fldCharType="separate"/>
    </w:r>
    <w:r>
      <w:rPr>
        <w:rStyle w:val="17"/>
        <w:rFonts w:ascii="宋体" w:hAnsi="宋体"/>
      </w:rPr>
      <w:t>70</w:t>
    </w:r>
    <w:r>
      <w:rPr>
        <w:rFonts w:ascii="宋体" w:hAnsi="宋体"/>
      </w:rPr>
      <w:fldChar w:fldCharType="end"/>
    </w:r>
    <w:r>
      <w:rPr>
        <w:rStyle w:val="17"/>
        <w:rFonts w:hint="eastAsia" w:ascii="宋体" w:hAnsi="宋体"/>
      </w:rPr>
      <w:t>页，共</w:t>
    </w:r>
    <w:r>
      <w:rPr>
        <w:rFonts w:ascii="宋体" w:hAnsi="宋体"/>
      </w:rPr>
      <w:fldChar w:fldCharType="begin"/>
    </w:r>
    <w:r>
      <w:rPr>
        <w:rStyle w:val="17"/>
        <w:rFonts w:ascii="宋体" w:hAnsi="宋体"/>
      </w:rPr>
      <w:instrText xml:space="preserve"> NUMPAGES </w:instrText>
    </w:r>
    <w:r>
      <w:rPr>
        <w:rFonts w:ascii="宋体" w:hAnsi="宋体"/>
      </w:rPr>
      <w:fldChar w:fldCharType="separate"/>
    </w:r>
    <w:r>
      <w:rPr>
        <w:rStyle w:val="17"/>
        <w:rFonts w:ascii="宋体" w:hAnsi="宋体"/>
      </w:rPr>
      <w:t>98</w:t>
    </w:r>
    <w:r>
      <w:rPr>
        <w:rFonts w:ascii="宋体" w:hAnsi="宋体"/>
      </w:rPr>
      <w:fldChar w:fldCharType="end"/>
    </w:r>
    <w:r>
      <w:rPr>
        <w:rStyle w:val="17"/>
        <w:rFonts w:hint="eastAsia" w:ascii="宋体" w:hAnsi="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CDBD4">
    <w:pPr>
      <w:pStyle w:val="8"/>
      <w:jc w:val="center"/>
      <w:rPr>
        <w:rFonts w:hint="eastAsia" w:ascii="宋体" w:hAnsi="宋体"/>
      </w:rPr>
    </w:pPr>
    <w:r>
      <w:rPr>
        <w:rStyle w:val="17"/>
        <w:rFonts w:hint="eastAsia" w:ascii="宋体" w:hAnsi="宋体"/>
      </w:rPr>
      <w:t>第</w:t>
    </w:r>
    <w:r>
      <w:rPr>
        <w:rFonts w:ascii="宋体" w:hAnsi="宋体"/>
      </w:rPr>
      <w:fldChar w:fldCharType="begin"/>
    </w:r>
    <w:r>
      <w:rPr>
        <w:rStyle w:val="17"/>
        <w:rFonts w:ascii="宋体" w:hAnsi="宋体"/>
      </w:rPr>
      <w:instrText xml:space="preserve"> PAGE </w:instrText>
    </w:r>
    <w:r>
      <w:rPr>
        <w:rFonts w:ascii="宋体" w:hAnsi="宋体"/>
      </w:rPr>
      <w:fldChar w:fldCharType="separate"/>
    </w:r>
    <w:r>
      <w:rPr>
        <w:rStyle w:val="17"/>
        <w:rFonts w:ascii="宋体" w:hAnsi="宋体"/>
      </w:rPr>
      <w:t>72</w:t>
    </w:r>
    <w:r>
      <w:rPr>
        <w:rFonts w:ascii="宋体" w:hAnsi="宋体"/>
      </w:rPr>
      <w:fldChar w:fldCharType="end"/>
    </w:r>
    <w:r>
      <w:rPr>
        <w:rStyle w:val="17"/>
        <w:rFonts w:hint="eastAsia" w:ascii="宋体" w:hAnsi="宋体"/>
      </w:rPr>
      <w:t>页，共</w:t>
    </w:r>
    <w:r>
      <w:rPr>
        <w:rFonts w:ascii="宋体" w:hAnsi="宋体"/>
      </w:rPr>
      <w:fldChar w:fldCharType="begin"/>
    </w:r>
    <w:r>
      <w:rPr>
        <w:rStyle w:val="17"/>
        <w:rFonts w:ascii="宋体" w:hAnsi="宋体"/>
      </w:rPr>
      <w:instrText xml:space="preserve"> NUMPAGES </w:instrText>
    </w:r>
    <w:r>
      <w:rPr>
        <w:rFonts w:ascii="宋体" w:hAnsi="宋体"/>
      </w:rPr>
      <w:fldChar w:fldCharType="separate"/>
    </w:r>
    <w:r>
      <w:rPr>
        <w:rStyle w:val="17"/>
        <w:rFonts w:ascii="宋体" w:hAnsi="宋体"/>
      </w:rPr>
      <w:t>98</w:t>
    </w:r>
    <w:r>
      <w:rPr>
        <w:rFonts w:ascii="宋体" w:hAnsi="宋体"/>
      </w:rPr>
      <w:fldChar w:fldCharType="end"/>
    </w:r>
    <w:r>
      <w:rPr>
        <w:rStyle w:val="17"/>
        <w:rFonts w:hint="eastAsia" w:ascii="宋体" w:hAnsi="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EEBE6">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D3DD0">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D3180">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FD9D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4FE38"/>
    <w:multiLevelType w:val="singleLevel"/>
    <w:tmpl w:val="8734FE38"/>
    <w:lvl w:ilvl="0" w:tentative="0">
      <w:start w:val="1"/>
      <w:numFmt w:val="decimal"/>
      <w:lvlText w:val="%1."/>
      <w:lvlJc w:val="left"/>
      <w:pPr>
        <w:ind w:left="425" w:hanging="425"/>
      </w:pPr>
      <w:rPr>
        <w:rFonts w:hint="default"/>
      </w:rPr>
    </w:lvl>
  </w:abstractNum>
  <w:abstractNum w:abstractNumId="1">
    <w:nsid w:val="F3F016B9"/>
    <w:multiLevelType w:val="singleLevel"/>
    <w:tmpl w:val="F3F016B9"/>
    <w:lvl w:ilvl="0" w:tentative="0">
      <w:start w:val="1"/>
      <w:numFmt w:val="decimal"/>
      <w:lvlText w:val="%1."/>
      <w:lvlJc w:val="left"/>
      <w:pPr>
        <w:ind w:left="425" w:hanging="425"/>
      </w:pPr>
      <w:rPr>
        <w:rFonts w:hint="default"/>
      </w:rPr>
    </w:lvl>
  </w:abstractNum>
  <w:abstractNum w:abstractNumId="2">
    <w:nsid w:val="0C7D3F4E"/>
    <w:multiLevelType w:val="multilevel"/>
    <w:tmpl w:val="0C7D3F4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3B6AA79"/>
    <w:multiLevelType w:val="multilevel"/>
    <w:tmpl w:val="13B6AA79"/>
    <w:lvl w:ilvl="0" w:tentative="0">
      <w:start w:val="1"/>
      <w:numFmt w:val="decimal"/>
      <w:lvlText w:val="%1"/>
      <w:lvlJc w:val="left"/>
      <w:pPr>
        <w:ind w:left="425" w:hanging="425"/>
      </w:pPr>
    </w:lvl>
    <w:lvl w:ilvl="1" w:tentative="0">
      <w:start w:val="1"/>
      <w:numFmt w:val="decimal"/>
      <w:suff w:val="nothing"/>
      <w:lvlText w:val="%1.%2"/>
      <w:lvlJc w:val="left"/>
      <w:pPr>
        <w:ind w:left="5246"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
    <w:nsid w:val="2B0E0190"/>
    <w:multiLevelType w:val="multilevel"/>
    <w:tmpl w:val="2B0E0190"/>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3E3FFB4A"/>
    <w:multiLevelType w:val="singleLevel"/>
    <w:tmpl w:val="3E3FFB4A"/>
    <w:lvl w:ilvl="0" w:tentative="0">
      <w:start w:val="3"/>
      <w:numFmt w:val="chineseCounting"/>
      <w:suff w:val="nothing"/>
      <w:lvlText w:val="%1、"/>
      <w:lvlJc w:val="left"/>
      <w:rPr>
        <w:rFonts w:hint="eastAsia"/>
      </w:rPr>
    </w:lvl>
  </w:abstractNum>
  <w:abstractNum w:abstractNumId="6">
    <w:nsid w:val="72A61217"/>
    <w:multiLevelType w:val="multilevel"/>
    <w:tmpl w:val="72A61217"/>
    <w:lvl w:ilvl="0" w:tentative="0">
      <w:start w:val="1"/>
      <w:numFmt w:val="decimal"/>
      <w:lvlText w:val="%1"/>
      <w:lvlJc w:val="left"/>
      <w:pPr>
        <w:ind w:left="56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7639CC"/>
    <w:rsid w:val="5DFD0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b/>
      <w:kern w:val="44"/>
      <w:sz w:val="36"/>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0"/>
      <w:szCs w:val="32"/>
    </w:rPr>
  </w:style>
  <w:style w:type="character" w:default="1" w:styleId="15">
    <w:name w:val="Default Paragraph Font"/>
    <w:semiHidden/>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宋体" w:hAnsi="宋体"/>
      <w:kern w:val="0"/>
      <w:sz w:val="20"/>
      <w:szCs w:val="20"/>
    </w:rPr>
  </w:style>
  <w:style w:type="paragraph" w:styleId="5">
    <w:name w:val="Body Text"/>
    <w:basedOn w:val="1"/>
    <w:next w:val="6"/>
    <w:qFormat/>
    <w:uiPriority w:val="0"/>
    <w:pPr>
      <w:spacing w:after="120"/>
    </w:pPr>
    <w:rPr>
      <w:szCs w:val="24"/>
    </w:rPr>
  </w:style>
  <w:style w:type="paragraph" w:styleId="6">
    <w:name w:val="Title"/>
    <w:basedOn w:val="1"/>
    <w:next w:val="1"/>
    <w:qFormat/>
    <w:uiPriority w:val="0"/>
    <w:pPr>
      <w:spacing w:line="600" w:lineRule="exact"/>
      <w:jc w:val="center"/>
      <w:outlineLvl w:val="0"/>
    </w:pPr>
    <w:rPr>
      <w:rFonts w:ascii="Cambria" w:hAnsi="Cambria" w:eastAsia="仿宋_GB2312"/>
      <w:b/>
      <w:kern w:val="0"/>
      <w:sz w:val="32"/>
    </w:rPr>
  </w:style>
  <w:style w:type="paragraph" w:styleId="7">
    <w:name w:val="Plain Text"/>
    <w:basedOn w:val="1"/>
    <w:qFormat/>
    <w:uiPriority w:val="0"/>
    <w:rPr>
      <w:rFonts w:ascii="宋体" w:hAnsi="Courier New"/>
      <w:kern w:val="0"/>
      <w:sz w:val="20"/>
      <w:szCs w:val="20"/>
    </w:rPr>
  </w:style>
  <w:style w:type="paragraph" w:styleId="8">
    <w:name w:val="footer"/>
    <w:basedOn w:val="1"/>
    <w:unhideWhenUsed/>
    <w:qFormat/>
    <w:uiPriority w:val="0"/>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unhideWhenUsed/>
    <w:qFormat/>
    <w:uiPriority w:val="99"/>
    <w:rPr>
      <w:rFonts w:ascii="Times New Roman" w:hAnsi="Times New Roman"/>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rFonts w:asciiTheme="minorHAnsi" w:hAnsiTheme="minorHAnsi" w:eastAsiaTheme="minorEastAsia" w:cstheme="minorBidi"/>
      <w:b/>
      <w:bCs/>
    </w:rPr>
  </w:style>
  <w:style w:type="character" w:styleId="17">
    <w:name w:val="page number"/>
    <w:basedOn w:val="15"/>
    <w:qFormat/>
    <w:uiPriority w:val="0"/>
    <w:rPr>
      <w:rFonts w:asciiTheme="minorHAnsi" w:hAnsiTheme="minorHAnsi" w:eastAsiaTheme="minorEastAsia" w:cstheme="minorBidi"/>
    </w:rPr>
  </w:style>
  <w:style w:type="character" w:styleId="18">
    <w:name w:val="Hyperlink"/>
    <w:basedOn w:val="15"/>
    <w:unhideWhenUsed/>
    <w:qFormat/>
    <w:uiPriority w:val="99"/>
    <w:rPr>
      <w:rFonts w:asciiTheme="minorHAnsi" w:hAnsiTheme="minorHAnsi" w:eastAsiaTheme="minorEastAsia" w:cstheme="minorBidi"/>
      <w:color w:val="0000FF"/>
      <w:u w:val="single"/>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0">
    <w:name w:val="样式3"/>
    <w:basedOn w:val="7"/>
    <w:qFormat/>
    <w:uiPriority w:val="0"/>
    <w:pPr>
      <w:spacing w:line="0" w:lineRule="atLeast"/>
      <w:outlineLvl w:val="0"/>
    </w:pPr>
    <w:rPr>
      <w:sz w:val="28"/>
    </w:rPr>
  </w:style>
  <w:style w:type="paragraph" w:customStyle="1" w:styleId="21">
    <w:name w:val="Char Char Char Char Char Char Char"/>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paragraph" w:customStyle="1" w:styleId="22">
    <w:name w:val="null3"/>
    <w:qFormat/>
    <w:uiPriority w:val="0"/>
    <w:rPr>
      <w:rFonts w:hint="eastAsia" w:ascii="Calibri" w:hAnsi="Calibri" w:eastAsia="宋体" w:cs="Times New Roman"/>
      <w:lang w:val="en-US" w:eastAsia="zh-CN" w:bidi="ar-SA"/>
    </w:rPr>
  </w:style>
  <w:style w:type="paragraph" w:customStyle="1" w:styleId="23">
    <w:name w:val="表头文本"/>
    <w:basedOn w:val="1"/>
    <w:qFormat/>
    <w:uiPriority w:val="0"/>
    <w:pPr>
      <w:autoSpaceDE w:val="0"/>
      <w:autoSpaceDN w:val="0"/>
      <w:adjustRightInd w:val="0"/>
      <w:jc w:val="center"/>
    </w:pPr>
    <w:rPr>
      <w:rFonts w:ascii="Times New Roman" w:hAnsi="Times New Roman"/>
      <w:b/>
      <w:kern w:val="0"/>
      <w:sz w:val="24"/>
      <w:szCs w:val="20"/>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7"/>
    <w:next w:val="5"/>
    <w:qFormat/>
    <w:uiPriority w:val="0"/>
    <w:pPr>
      <w:ind w:firstLine="400"/>
      <w:jc w:val="both"/>
    </w:pPr>
    <w:rPr>
      <w:rFonts w:ascii="Times New Roman" w:hAnsi="Times New Roman"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80</Pages>
  <Words>7857</Words>
  <Characters>8501</Characters>
  <Lines>0</Lines>
  <Paragraphs>0</Paragraphs>
  <TotalTime>3</TotalTime>
  <ScaleCrop>false</ScaleCrop>
  <LinksUpToDate>false</LinksUpToDate>
  <CharactersWithSpaces>8723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2025-09-28T06:41:00Z</dcterms:created>
  <dc:creator>Dell</dc:creator>
  <cp:lastModifiedBy>WPS_1528123779</cp:lastModifiedBy>
  <dcterms:modified xsi:type="dcterms:W3CDTF">2025-09-28T07:02:48Z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eyJoZGlkIjoiODQ0NWY5YjE3NGYzMmZkYTI2NTFkNWYyOGEwODRiNzgiLCJ1c2VySWQiOiIzNzYwNDg2NTAifQ==</vt:lpwstr>
  </property>
  <property fmtid="{D5CDD505-2E9C-101B-9397-08002B2CF9AE}" pid="4" name="ICV">
    <vt:lpwstr>040BB7BF02C54C56B7F599C994E6FD75_12</vt:lpwstr>
  </property>
</Properties>
</file>