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6C0D">
      <w:pPr>
        <w:spacing w:line="360" w:lineRule="auto"/>
        <w:jc w:val="both"/>
        <w:rPr>
          <w:rFonts w:hint="eastAsia" w:ascii="宋体" w:hAnsi="宋体"/>
          <w:b/>
          <w:color w:val="auto"/>
          <w:sz w:val="72"/>
          <w:highlight w:val="none"/>
        </w:rPr>
      </w:pPr>
      <w:bookmarkStart w:id="272" w:name="_GoBack"/>
    </w:p>
    <w:p w14:paraId="38627574">
      <w:pPr>
        <w:spacing w:line="360" w:lineRule="auto"/>
        <w:jc w:val="center"/>
        <w:rPr>
          <w:rFonts w:ascii="宋体" w:hAnsi="宋体"/>
          <w:b/>
          <w:color w:val="auto"/>
          <w:sz w:val="72"/>
          <w:highlight w:val="none"/>
        </w:rPr>
      </w:pPr>
      <w:r>
        <w:rPr>
          <w:rFonts w:hint="eastAsia" w:ascii="宋体" w:hAnsi="宋体"/>
          <w:b/>
          <w:color w:val="auto"/>
          <w:sz w:val="72"/>
          <w:highlight w:val="none"/>
          <w:lang w:val="en-US" w:eastAsia="zh-CN"/>
        </w:rPr>
        <w:t xml:space="preserve">     </w:t>
      </w:r>
      <w:r>
        <w:rPr>
          <w:rFonts w:hint="eastAsia" w:ascii="宋体" w:hAnsi="宋体"/>
          <w:b/>
          <w:color w:val="auto"/>
          <w:sz w:val="72"/>
          <w:highlight w:val="none"/>
        </w:rPr>
        <w:t xml:space="preserve"> </w:t>
      </w:r>
    </w:p>
    <w:p w14:paraId="07513ABF">
      <w:pPr>
        <w:spacing w:line="360" w:lineRule="auto"/>
        <w:ind w:firstLine="1063" w:firstLineChars="147"/>
        <w:rPr>
          <w:rFonts w:ascii="宋体" w:hAnsi="宋体"/>
          <w:b/>
          <w:color w:val="auto"/>
          <w:sz w:val="72"/>
          <w:highlight w:val="none"/>
        </w:rPr>
      </w:pPr>
      <w:r>
        <w:rPr>
          <w:rFonts w:hint="eastAsia" w:ascii="宋体" w:hAnsi="宋体"/>
          <w:b/>
          <w:color w:val="auto"/>
          <w:sz w:val="72"/>
          <w:highlight w:val="none"/>
        </w:rPr>
        <w:t>招</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4ABD076B">
      <w:pPr>
        <w:spacing w:line="360" w:lineRule="auto"/>
        <w:ind w:firstLine="1438" w:firstLineChars="398"/>
        <w:rPr>
          <w:rFonts w:ascii="宋体" w:hAnsi="宋体"/>
          <w:b/>
          <w:color w:val="auto"/>
          <w:sz w:val="36"/>
          <w:highlight w:val="none"/>
        </w:rPr>
      </w:pPr>
    </w:p>
    <w:p w14:paraId="35A28186">
      <w:pPr>
        <w:spacing w:line="360" w:lineRule="auto"/>
        <w:ind w:firstLine="1438" w:firstLineChars="398"/>
        <w:rPr>
          <w:rFonts w:ascii="宋体" w:hAnsi="宋体"/>
          <w:b/>
          <w:color w:val="auto"/>
          <w:sz w:val="36"/>
          <w:highlight w:val="none"/>
        </w:rPr>
      </w:pPr>
    </w:p>
    <w:p w14:paraId="10A13854">
      <w:pPr>
        <w:spacing w:line="360" w:lineRule="auto"/>
        <w:ind w:firstLine="1438" w:firstLineChars="398"/>
        <w:rPr>
          <w:rFonts w:ascii="宋体" w:hAnsi="宋体"/>
          <w:b/>
          <w:color w:val="auto"/>
          <w:sz w:val="36"/>
          <w:highlight w:val="none"/>
        </w:rPr>
      </w:pPr>
    </w:p>
    <w:p w14:paraId="29AE3B09">
      <w:pPr>
        <w:spacing w:line="360" w:lineRule="auto"/>
        <w:ind w:firstLine="1438" w:firstLineChars="398"/>
        <w:rPr>
          <w:rFonts w:ascii="宋体" w:hAnsi="宋体"/>
          <w:b/>
          <w:color w:val="auto"/>
          <w:sz w:val="36"/>
          <w:highlight w:val="none"/>
        </w:rPr>
      </w:pPr>
    </w:p>
    <w:p w14:paraId="1BB62103">
      <w:pPr>
        <w:spacing w:line="360" w:lineRule="auto"/>
        <w:ind w:firstLine="1438" w:firstLineChars="398"/>
        <w:rPr>
          <w:rFonts w:hint="eastAsia" w:ascii="宋体" w:hAnsi="宋体" w:eastAsia="宋体"/>
          <w:b/>
          <w:color w:val="auto"/>
          <w:sz w:val="36"/>
          <w:highlight w:val="none"/>
          <w:u w:val="single"/>
          <w:lang w:val="en-US" w:eastAsia="zh-CN"/>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hint="eastAsia" w:ascii="宋体" w:hAnsi="宋体"/>
          <w:b/>
          <w:color w:val="auto"/>
          <w:sz w:val="36"/>
          <w:highlight w:val="none"/>
          <w:u w:val="none"/>
          <w:lang w:eastAsia="zh-CN"/>
        </w:rPr>
        <w:t>XM2025-TZ5199</w:t>
      </w:r>
    </w:p>
    <w:p w14:paraId="3775460A">
      <w:pPr>
        <w:spacing w:line="360" w:lineRule="auto"/>
        <w:ind w:left="3948" w:leftChars="684" w:hanging="2512" w:hangingChars="695"/>
        <w:rPr>
          <w:rFonts w:hint="eastAsia" w:ascii="宋体" w:hAnsi="宋体" w:eastAsia="宋体"/>
          <w:b/>
          <w:color w:val="auto"/>
          <w:sz w:val="36"/>
          <w:highlight w:val="none"/>
          <w:u w:val="single"/>
          <w:lang w:eastAsia="zh-CN"/>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w:t>
      </w:r>
      <w:r>
        <w:rPr>
          <w:rFonts w:hint="eastAsia" w:ascii="宋体" w:hAnsi="宋体"/>
          <w:b/>
          <w:color w:val="auto"/>
          <w:sz w:val="36"/>
          <w:highlight w:val="none"/>
          <w:lang w:eastAsia="zh-CN"/>
        </w:rPr>
        <w:t>第二十七届中国国际高新技术成果交易会厦门馆特装</w:t>
      </w:r>
    </w:p>
    <w:p w14:paraId="161ECFE3">
      <w:pPr>
        <w:spacing w:line="360" w:lineRule="auto"/>
        <w:ind w:firstLine="1438" w:firstLineChars="398"/>
        <w:rPr>
          <w:rFonts w:ascii="宋体" w:hAnsi="宋体"/>
          <w:b/>
          <w:color w:val="auto"/>
          <w:sz w:val="36"/>
          <w:highlight w:val="none"/>
        </w:rPr>
      </w:pPr>
    </w:p>
    <w:p w14:paraId="271BEEAD">
      <w:pPr>
        <w:spacing w:line="360" w:lineRule="auto"/>
        <w:ind w:firstLine="1438" w:firstLineChars="398"/>
        <w:rPr>
          <w:rFonts w:ascii="宋体" w:hAnsi="宋体"/>
          <w:b/>
          <w:color w:val="auto"/>
          <w:sz w:val="36"/>
          <w:highlight w:val="none"/>
        </w:rPr>
      </w:pPr>
    </w:p>
    <w:p w14:paraId="5462DFE4">
      <w:pPr>
        <w:spacing w:line="360" w:lineRule="auto"/>
        <w:ind w:firstLine="1438" w:firstLineChars="398"/>
        <w:rPr>
          <w:rFonts w:ascii="宋体" w:hAnsi="宋体"/>
          <w:b/>
          <w:color w:val="auto"/>
          <w:sz w:val="36"/>
          <w:highlight w:val="none"/>
        </w:rPr>
      </w:pPr>
    </w:p>
    <w:p w14:paraId="796B3DB1">
      <w:pPr>
        <w:spacing w:line="360" w:lineRule="auto"/>
        <w:ind w:firstLine="1438" w:firstLineChars="398"/>
        <w:rPr>
          <w:rFonts w:ascii="宋体" w:hAnsi="宋体"/>
          <w:b/>
          <w:color w:val="auto"/>
          <w:sz w:val="36"/>
          <w:highlight w:val="none"/>
        </w:rPr>
      </w:pPr>
    </w:p>
    <w:p w14:paraId="7C99CE5D">
      <w:pPr>
        <w:spacing w:line="360" w:lineRule="auto"/>
        <w:ind w:firstLine="1438" w:firstLineChars="398"/>
        <w:rPr>
          <w:rFonts w:ascii="宋体" w:hAnsi="宋体"/>
          <w:b/>
          <w:color w:val="auto"/>
          <w:sz w:val="36"/>
          <w:highlight w:val="none"/>
        </w:rPr>
      </w:pPr>
    </w:p>
    <w:p w14:paraId="4F8F0AE3">
      <w:pPr>
        <w:pStyle w:val="5"/>
        <w:spacing w:line="360" w:lineRule="auto"/>
        <w:ind w:firstLine="1438" w:firstLineChars="398"/>
        <w:jc w:val="left"/>
        <w:rPr>
          <w:rFonts w:hAnsi="宋体"/>
          <w:b/>
          <w:color w:val="auto"/>
          <w:spacing w:val="20"/>
          <w:sz w:val="32"/>
          <w:highlight w:val="none"/>
        </w:rPr>
      </w:pPr>
    </w:p>
    <w:p w14:paraId="76C1D12E">
      <w:pPr>
        <w:pStyle w:val="5"/>
        <w:spacing w:line="360" w:lineRule="auto"/>
        <w:ind w:firstLine="1438" w:firstLineChars="398"/>
        <w:jc w:val="left"/>
        <w:rPr>
          <w:rFonts w:hAnsi="宋体"/>
          <w:b/>
          <w:bCs/>
          <w:color w:val="auto"/>
          <w:sz w:val="32"/>
          <w:highlight w:val="none"/>
          <w:u w:val="single"/>
        </w:rPr>
      </w:pPr>
      <w:r>
        <w:rPr>
          <w:rFonts w:hint="eastAsia" w:hAnsi="宋体"/>
          <w:b/>
          <w:color w:val="auto"/>
          <w:spacing w:val="20"/>
          <w:sz w:val="32"/>
          <w:highlight w:val="none"/>
        </w:rPr>
        <w:t>采购人：厦门市科学技术局</w:t>
      </w:r>
    </w:p>
    <w:p w14:paraId="238D71CF">
      <w:pPr>
        <w:pStyle w:val="5"/>
        <w:spacing w:line="360" w:lineRule="auto"/>
        <w:ind w:firstLine="1438" w:firstLineChars="398"/>
        <w:jc w:val="left"/>
        <w:rPr>
          <w:rFonts w:hAnsi="宋体"/>
          <w:b/>
          <w:color w:val="auto"/>
          <w:sz w:val="28"/>
          <w:highlight w:val="none"/>
        </w:rPr>
      </w:pPr>
      <w:r>
        <w:rPr>
          <w:rFonts w:hint="eastAsia" w:hAnsi="宋体"/>
          <w:b/>
          <w:color w:val="auto"/>
          <w:spacing w:val="20"/>
          <w:sz w:val="32"/>
          <w:highlight w:val="none"/>
        </w:rPr>
        <w:t>招标代理机构：</w:t>
      </w:r>
      <w:r>
        <w:rPr>
          <w:rFonts w:hint="eastAsia" w:hAnsi="宋体"/>
          <w:b/>
          <w:bCs/>
          <w:color w:val="auto"/>
          <w:sz w:val="32"/>
          <w:highlight w:val="none"/>
        </w:rPr>
        <w:t>厦门万翔招标有限公司</w:t>
      </w:r>
      <w:r>
        <w:rPr>
          <w:rFonts w:hAnsi="宋体"/>
          <w:b/>
          <w:color w:val="auto"/>
          <w:spacing w:val="20"/>
          <w:sz w:val="32"/>
          <w:highlight w:val="none"/>
        </w:rPr>
        <w:t xml:space="preserve"> </w:t>
      </w:r>
    </w:p>
    <w:p w14:paraId="39B488C4">
      <w:pPr>
        <w:spacing w:line="360" w:lineRule="auto"/>
        <w:ind w:firstLine="1438" w:firstLineChars="398"/>
        <w:rPr>
          <w:rFonts w:ascii="宋体" w:hAnsi="宋体"/>
          <w:b/>
          <w:color w:val="auto"/>
          <w:sz w:val="36"/>
          <w:highlight w:val="none"/>
        </w:rPr>
      </w:pPr>
    </w:p>
    <w:p w14:paraId="10727330">
      <w:pPr>
        <w:pStyle w:val="5"/>
        <w:spacing w:line="360" w:lineRule="auto"/>
        <w:jc w:val="center"/>
        <w:outlineLvl w:val="9"/>
        <w:rPr>
          <w:rFonts w:hAnsi="宋体"/>
          <w:b/>
          <w:color w:val="auto"/>
          <w:sz w:val="32"/>
          <w:highlight w:val="none"/>
        </w:rPr>
      </w:pPr>
      <w:bookmarkStart w:id="0" w:name="_Toc20368"/>
      <w:bookmarkStart w:id="1" w:name="_Toc10342"/>
      <w:r>
        <w:rPr>
          <w:rFonts w:hint="eastAsia" w:hAnsi="宋体"/>
          <w:b/>
          <w:color w:val="auto"/>
          <w:sz w:val="32"/>
          <w:highlight w:val="none"/>
          <w:lang w:eastAsia="zh-CN"/>
        </w:rPr>
        <w:t>2025</w:t>
      </w:r>
      <w:r>
        <w:rPr>
          <w:rFonts w:hint="eastAsia" w:hAnsi="宋体"/>
          <w:b/>
          <w:color w:val="auto"/>
          <w:sz w:val="32"/>
          <w:highlight w:val="none"/>
        </w:rPr>
        <w:t>年</w:t>
      </w:r>
      <w:bookmarkEnd w:id="0"/>
      <w:bookmarkEnd w:id="1"/>
    </w:p>
    <w:p w14:paraId="1C54DF88">
      <w:pPr>
        <w:pStyle w:val="5"/>
        <w:spacing w:line="360" w:lineRule="auto"/>
        <w:jc w:val="center"/>
        <w:outlineLvl w:val="9"/>
        <w:rPr>
          <w:rFonts w:hAnsi="宋体"/>
          <w:b/>
          <w:color w:val="auto"/>
          <w:sz w:val="32"/>
          <w:highlight w:val="none"/>
        </w:rPr>
      </w:pPr>
    </w:p>
    <w:p w14:paraId="0A2A97F1">
      <w:pPr>
        <w:pStyle w:val="5"/>
        <w:spacing w:line="360" w:lineRule="auto"/>
        <w:ind w:firstLine="0" w:firstLineChars="0"/>
        <w:jc w:val="center"/>
        <w:outlineLvl w:val="9"/>
        <w:rPr>
          <w:color w:val="auto"/>
          <w:highlight w:val="none"/>
        </w:rPr>
      </w:pPr>
      <w:bookmarkStart w:id="2" w:name="_Toc22053"/>
      <w:bookmarkStart w:id="3" w:name="_Toc23970"/>
      <w:bookmarkStart w:id="4" w:name="_Toc1713467172"/>
      <w:bookmarkStart w:id="5" w:name="_Toc26734"/>
      <w:bookmarkStart w:id="6" w:name="_Toc517431111"/>
      <w:r>
        <w:rPr>
          <w:rFonts w:hint="eastAsia" w:hAnsi="宋体" w:eastAsia="宋体" w:cs="宋体"/>
          <w:b/>
          <w:bCs/>
          <w:color w:val="auto"/>
          <w:sz w:val="32"/>
          <w:szCs w:val="32"/>
          <w:highlight w:val="none"/>
        </w:rPr>
        <w:t>目   录</w:t>
      </w:r>
      <w:bookmarkEnd w:id="2"/>
      <w:bookmarkEnd w:id="3"/>
      <w:bookmarkEnd w:id="4"/>
      <w:bookmarkEnd w:id="5"/>
      <w:bookmarkEnd w:id="6"/>
      <w:r>
        <w:rPr>
          <w:rFonts w:hint="eastAsia" w:ascii="宋体" w:hAnsi="宋体" w:eastAsia="宋体" w:cs="宋体"/>
          <w:b/>
          <w:color w:val="auto"/>
          <w:sz w:val="24"/>
          <w:szCs w:val="24"/>
          <w:highlight w:val="none"/>
          <w:u w:val="single"/>
        </w:rPr>
        <w:fldChar w:fldCharType="begin"/>
      </w:r>
      <w:r>
        <w:rPr>
          <w:rFonts w:hint="eastAsia" w:ascii="宋体" w:hAnsi="宋体" w:eastAsia="宋体" w:cs="宋体"/>
          <w:b/>
          <w:color w:val="auto"/>
          <w:sz w:val="24"/>
          <w:szCs w:val="24"/>
          <w:highlight w:val="none"/>
          <w:u w:val="single"/>
        </w:rPr>
        <w:instrText xml:space="preserve">TOC \o "1-2" \h \u </w:instrText>
      </w:r>
      <w:r>
        <w:rPr>
          <w:rFonts w:hint="eastAsia" w:ascii="宋体" w:hAnsi="宋体" w:eastAsia="宋体" w:cs="宋体"/>
          <w:b/>
          <w:color w:val="auto"/>
          <w:sz w:val="24"/>
          <w:szCs w:val="24"/>
          <w:highlight w:val="none"/>
          <w:u w:val="single"/>
        </w:rPr>
        <w:fldChar w:fldCharType="separate"/>
      </w:r>
    </w:p>
    <w:p w14:paraId="172D9D6D">
      <w:pPr>
        <w:pStyle w:val="9"/>
        <w:tabs>
          <w:tab w:val="right" w:leader="dot" w:pos="8306"/>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_Toc28771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投标邀请函</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_Toc28771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26569B72">
      <w:pPr>
        <w:pStyle w:val="9"/>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_Toc26958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投标人须知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_Toc26958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6F6B3669">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_Toc14322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投标人须知前附表1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_Toc14322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5A0EEC4F">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_Toc30986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投标人须知前附表2：资格性、符合性检查表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_Toc30986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39A05CB0">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_Toc25386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投标人须知前附表3：评标方法、评标标准、定标原则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468BBB59">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_Toc13195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_Toc13195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72232CF5">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_Toc29996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_Toc29996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38EED03D">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_Toc27707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三、投标文件的编写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_Toc27707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78557B18">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_Toc19686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四、投标文件的提交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13D487C8">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_Toc11343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五、投标文件的评估和比较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_Toc11343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4CD33865">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_Toc20747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六、定标与签订合同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_Toc20747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448EE4C3">
      <w:pPr>
        <w:pStyle w:val="9"/>
        <w:tabs>
          <w:tab w:val="right" w:leader="dot" w:pos="8306"/>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_Toc1119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招标内容及要求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_Toc1119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2118416A">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_Toc1657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rPr>
        <w:t>一、项目背景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025C2753">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_Toc27095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C7EC253">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_Toc2282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1EA8D68C">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_Toc32155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四、展期服务要求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_Toc32155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0931F825">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_Toc24955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五、商务要求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7B2BCDBA">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_Toc2294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、报价要求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6E5BC96">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_Toc3682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、验收条件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_Toc3682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5AE68627">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_Toc27383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78632829">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_Toc11616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九、知识产权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0B25A32F">
      <w:pPr>
        <w:pStyle w:val="10"/>
        <w:tabs>
          <w:tab w:val="right" w:leader="dot" w:pos="8306"/>
        </w:tabs>
        <w:spacing w:line="360" w:lineRule="auto"/>
        <w:ind w:left="0" w:lef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rPr>
        <w:instrText xml:space="preserve"> HYPERLINK \l _Toc16796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u w:val="single"/>
        </w:rPr>
        <w:fldChar w:fldCharType="end"/>
      </w:r>
    </w:p>
    <w:p w14:paraId="2040B6DA">
      <w:pPr>
        <w:pStyle w:val="9"/>
        <w:tabs>
          <w:tab w:val="right" w:leader="dot" w:pos="8306"/>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_Toc1713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第四章  </w:t>
      </w:r>
      <w:r>
        <w:rPr>
          <w:rFonts w:hint="eastAsia" w:ascii="宋体" w:hAnsi="宋体" w:eastAsia="宋体" w:cs="宋体"/>
          <w:b/>
          <w:bCs/>
          <w:color w:val="auto"/>
          <w:sz w:val="24"/>
          <w:szCs w:val="24"/>
          <w:highlight w:val="none"/>
          <w:lang w:eastAsia="zh-CN"/>
        </w:rPr>
        <w:t>采购合同</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054986C5">
      <w:pPr>
        <w:pStyle w:val="9"/>
        <w:tabs>
          <w:tab w:val="right" w:leader="dot" w:pos="8306"/>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fldChar w:fldCharType="begin"/>
      </w:r>
      <w:r>
        <w:rPr>
          <w:rFonts w:hint="eastAsia" w:ascii="宋体" w:hAnsi="宋体" w:eastAsia="宋体" w:cs="宋体"/>
          <w:b/>
          <w:bCs/>
          <w:color w:val="auto"/>
          <w:sz w:val="24"/>
          <w:szCs w:val="24"/>
          <w:highlight w:val="none"/>
        </w:rPr>
        <w:instrText xml:space="preserve"> HYPERLINK \l _Toc13699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投标文件格式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_Toc13699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u w:val="single"/>
        </w:rPr>
        <w:fldChar w:fldCharType="end"/>
      </w:r>
    </w:p>
    <w:p w14:paraId="07AD9CE4">
      <w:pPr>
        <w:pStyle w:val="10"/>
        <w:tabs>
          <w:tab w:val="right" w:leader="dot" w:pos="8306"/>
        </w:tabs>
        <w:spacing w:line="360" w:lineRule="auto"/>
        <w:ind w:left="0" w:leftChars="0"/>
        <w:jc w:val="center"/>
        <w:rPr>
          <w:rFonts w:hint="eastAsia" w:ascii="宋体" w:hAnsi="宋体" w:eastAsia="宋体" w:cs="宋体"/>
          <w:color w:val="auto"/>
          <w:sz w:val="24"/>
          <w:szCs w:val="24"/>
          <w:highlight w:val="none"/>
        </w:rPr>
      </w:pPr>
    </w:p>
    <w:p w14:paraId="605DD00E">
      <w:pPr>
        <w:pStyle w:val="3"/>
        <w:spacing w:line="360" w:lineRule="auto"/>
        <w:ind w:firstLine="0" w:firstLineChars="0"/>
        <w:jc w:val="center"/>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fldChar w:fldCharType="end"/>
      </w:r>
    </w:p>
    <w:p w14:paraId="78618A8A">
      <w:pPr>
        <w:pStyle w:val="16"/>
        <w:spacing w:line="360" w:lineRule="auto"/>
        <w:jc w:val="center"/>
        <w:outlineLvl w:val="9"/>
        <w:rPr>
          <w:rFonts w:hint="eastAsia" w:hAnsi="宋体" w:eastAsia="宋体" w:cs="宋体"/>
          <w:b/>
          <w:color w:val="auto"/>
          <w:sz w:val="32"/>
          <w:szCs w:val="32"/>
          <w:highlight w:val="none"/>
        </w:rPr>
        <w:sectPr>
          <w:headerReference r:id="rId3" w:type="default"/>
          <w:footerReference r:id="rId4" w:type="default"/>
          <w:pgSz w:w="11906" w:h="16838"/>
          <w:pgMar w:top="1440" w:right="1106" w:bottom="1290" w:left="1800" w:header="851" w:footer="992" w:gutter="0"/>
          <w:pgNumType w:fmt="decimal"/>
          <w:cols w:space="720" w:num="1"/>
          <w:docGrid w:type="lines" w:linePitch="312" w:charSpace="0"/>
        </w:sectPr>
      </w:pPr>
      <w:bookmarkStart w:id="7" w:name="_Toc28771"/>
      <w:bookmarkStart w:id="8" w:name="_Toc1894874454"/>
      <w:bookmarkStart w:id="9" w:name="_Toc18981"/>
    </w:p>
    <w:p w14:paraId="440E2335">
      <w:pPr>
        <w:pStyle w:val="16"/>
        <w:spacing w:line="360" w:lineRule="auto"/>
        <w:jc w:val="center"/>
        <w:outlineLvl w:val="0"/>
        <w:rPr>
          <w:rFonts w:hint="eastAsia" w:hAnsi="宋体" w:eastAsia="宋体" w:cs="宋体"/>
          <w:b/>
          <w:bCs/>
          <w:color w:val="auto"/>
          <w:sz w:val="24"/>
          <w:szCs w:val="24"/>
          <w:highlight w:val="none"/>
        </w:rPr>
      </w:pPr>
      <w:r>
        <w:rPr>
          <w:rFonts w:hint="eastAsia" w:hAnsi="宋体" w:eastAsia="宋体" w:cs="宋体"/>
          <w:b/>
          <w:color w:val="auto"/>
          <w:sz w:val="32"/>
          <w:szCs w:val="32"/>
          <w:highlight w:val="none"/>
        </w:rPr>
        <w:t>第一章  投标邀请函</w:t>
      </w:r>
      <w:bookmarkEnd w:id="7"/>
      <w:bookmarkEnd w:id="8"/>
      <w:bookmarkEnd w:id="9"/>
    </w:p>
    <w:p w14:paraId="40DA62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eastAsia="宋体" w:cs="宋体"/>
          <w:b/>
          <w:color w:val="auto"/>
          <w:sz w:val="24"/>
          <w:szCs w:val="24"/>
          <w:highlight w:val="none"/>
          <w:u w:val="single"/>
        </w:rPr>
        <w:t>厦门市科学技术局】</w:t>
      </w:r>
      <w:r>
        <w:rPr>
          <w:rFonts w:hint="eastAsia" w:ascii="宋体" w:hAnsi="宋体" w:eastAsia="宋体" w:cs="宋体"/>
          <w:color w:val="auto"/>
          <w:sz w:val="24"/>
          <w:szCs w:val="24"/>
          <w:highlight w:val="none"/>
        </w:rPr>
        <w:t>委托，</w:t>
      </w: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对【</w:t>
      </w:r>
      <w:r>
        <w:rPr>
          <w:rFonts w:hint="eastAsia" w:ascii="宋体" w:hAnsi="宋体" w:cs="宋体"/>
          <w:b/>
          <w:bCs/>
          <w:color w:val="auto"/>
          <w:sz w:val="24"/>
          <w:szCs w:val="24"/>
          <w:highlight w:val="none"/>
          <w:u w:val="single"/>
          <w:lang w:eastAsia="zh-CN"/>
        </w:rPr>
        <w:t>第二十七届中国国际高新技术成果交易会厦门馆特装</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服务进行国内公开招标，现欢迎国内合格的投标人前来投标。</w:t>
      </w:r>
    </w:p>
    <w:p w14:paraId="2424C66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招标编号：</w:t>
      </w:r>
      <w:r>
        <w:rPr>
          <w:rFonts w:hint="eastAsia" w:ascii="宋体" w:hAnsi="宋体" w:cs="宋体"/>
          <w:color w:val="auto"/>
          <w:sz w:val="24"/>
          <w:szCs w:val="24"/>
          <w:highlight w:val="none"/>
          <w:u w:val="single"/>
          <w:lang w:eastAsia="zh-CN"/>
        </w:rPr>
        <w:t>XM2025-TZ5199</w:t>
      </w:r>
      <w:r>
        <w:rPr>
          <w:rFonts w:hint="eastAsia" w:ascii="宋体" w:hAnsi="宋体" w:eastAsia="宋体" w:cs="宋体"/>
          <w:color w:val="auto"/>
          <w:sz w:val="24"/>
          <w:szCs w:val="24"/>
          <w:highlight w:val="none"/>
          <w:u w:val="single"/>
        </w:rPr>
        <w:t>。</w:t>
      </w:r>
    </w:p>
    <w:p w14:paraId="3B8C91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招标服务名称、数量及主要技术规格：见后</w:t>
      </w:r>
      <w:r>
        <w:rPr>
          <w:rFonts w:hint="eastAsia" w:ascii="宋体" w:hAnsi="宋体" w:eastAsia="宋体" w:cs="宋体"/>
          <w:color w:val="auto"/>
          <w:sz w:val="24"/>
          <w:szCs w:val="24"/>
          <w:highlight w:val="none"/>
        </w:rPr>
        <w:t>附招标</w:t>
      </w:r>
      <w:r>
        <w:rPr>
          <w:rFonts w:hint="eastAsia" w:ascii="宋体" w:hAnsi="宋体" w:eastAsia="宋体" w:cs="宋体"/>
          <w:color w:val="auto"/>
          <w:spacing w:val="0"/>
          <w:sz w:val="24"/>
          <w:szCs w:val="24"/>
          <w:highlight w:val="none"/>
        </w:rPr>
        <w:t>服务</w:t>
      </w:r>
      <w:r>
        <w:rPr>
          <w:rFonts w:hint="eastAsia" w:ascii="宋体" w:hAnsi="宋体" w:eastAsia="宋体" w:cs="宋体"/>
          <w:color w:val="auto"/>
          <w:sz w:val="24"/>
          <w:szCs w:val="24"/>
          <w:highlight w:val="none"/>
        </w:rPr>
        <w:t>一览表。</w:t>
      </w:r>
    </w:p>
    <w:p w14:paraId="327FF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3、招标文件获取方式：</w:t>
      </w:r>
      <w:r>
        <w:rPr>
          <w:rFonts w:hint="eastAsia" w:ascii="宋体" w:hAnsi="宋体" w:cs="宋体"/>
          <w:bCs/>
          <w:color w:val="auto"/>
          <w:sz w:val="24"/>
          <w:szCs w:val="24"/>
          <w:highlight w:val="none"/>
          <w:lang w:val="en-US" w:eastAsia="zh-CN"/>
        </w:rPr>
        <w:t>2025年09月09日</w:t>
      </w:r>
      <w:r>
        <w:rPr>
          <w:rFonts w:hint="eastAsia" w:ascii="宋体" w:hAnsi="宋体" w:eastAsia="宋体" w:cs="宋体"/>
          <w:color w:val="auto"/>
          <w:sz w:val="24"/>
          <w:szCs w:val="24"/>
          <w:highlight w:val="none"/>
        </w:rPr>
        <w:t>至</w:t>
      </w:r>
      <w:r>
        <w:rPr>
          <w:rFonts w:hint="eastAsia" w:ascii="宋体" w:hAnsi="宋体" w:cs="宋体"/>
          <w:bCs/>
          <w:color w:val="auto"/>
          <w:sz w:val="24"/>
          <w:szCs w:val="24"/>
          <w:highlight w:val="none"/>
          <w:lang w:val="en-US" w:eastAsia="zh-CN"/>
        </w:rPr>
        <w:t>2025年09月16日</w:t>
      </w:r>
      <w:r>
        <w:rPr>
          <w:rFonts w:hint="eastAsia" w:ascii="宋体" w:hAnsi="宋体" w:eastAsia="宋体" w:cs="宋体"/>
          <w:color w:val="auto"/>
          <w:sz w:val="24"/>
          <w:szCs w:val="24"/>
          <w:highlight w:val="none"/>
        </w:rPr>
        <w:t>(节假日除外)上午8：30至12：00，下午2：00至5：30（北京时间）在</w:t>
      </w:r>
      <w:r>
        <w:rPr>
          <w:rFonts w:hint="eastAsia" w:ascii="宋体" w:hAnsi="宋体" w:eastAsia="宋体" w:cs="宋体"/>
          <w:b/>
          <w:bCs/>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购买招标文件，联系人及电话：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p>
    <w:p w14:paraId="18593975">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4、招标文件售价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，售后不退。</w:t>
      </w:r>
    </w:p>
    <w:p w14:paraId="4FE2EB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5、投标截止时间、地点：投标文件应于</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日上午9：00（北京时间）之前提交到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。逾期收到的或不符合规定的投标文件将被拒绝。</w:t>
      </w:r>
    </w:p>
    <w:p w14:paraId="2F973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6、开标时间、地点:</w:t>
      </w:r>
      <w:r>
        <w:rPr>
          <w:rFonts w:hint="eastAsia" w:ascii="宋体" w:hAnsi="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日上午9：00（北京时间）于</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w:t>
      </w:r>
    </w:p>
    <w:p w14:paraId="65558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7、本项目（不接受）联合体投标。</w:t>
      </w:r>
    </w:p>
    <w:p w14:paraId="14BF4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8、招标文件如有变更，</w:t>
      </w: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bCs/>
          <w:color w:val="auto"/>
          <w:sz w:val="24"/>
          <w:szCs w:val="24"/>
          <w:highlight w:val="none"/>
        </w:rPr>
        <w:t>将通过厦门招投标网（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）等媒体发布通知信息，请投标人关注</w:t>
      </w:r>
      <w:r>
        <w:rPr>
          <w:rFonts w:hint="eastAsia" w:ascii="宋体" w:hAnsi="宋体" w:eastAsia="宋体" w:cs="宋体"/>
          <w:color w:val="auto"/>
          <w:sz w:val="24"/>
          <w:szCs w:val="24"/>
          <w:highlight w:val="none"/>
        </w:rPr>
        <w:t>。</w:t>
      </w:r>
    </w:p>
    <w:p w14:paraId="779AC60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9、友情提醒：本项目仅限网下购买招标文件，投标人必须按招标文件要求递交纸质投标文件。 </w:t>
      </w:r>
    </w:p>
    <w:p w14:paraId="583D0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10、投标人对本次招标活动事项提出疑问的，请在投标截止时间十五日之前，与招标代理机构联系。来函请加盖单位公章，并提供联系人、联系电话及传真号码。</w:t>
      </w:r>
    </w:p>
    <w:p w14:paraId="444E89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11、为方便开标唱标，投标人应将开标一览表原件和投标保证金缴交凭证单独密封，并在信封上标明“开标一览表”字样，然后再装入投标文件密封袋中密封。</w:t>
      </w:r>
    </w:p>
    <w:p w14:paraId="59F5B2A0">
      <w:pPr>
        <w:keepNext w:val="0"/>
        <w:keepLines w:val="0"/>
        <w:pageBreakBefore w:val="0"/>
        <w:widowControl w:val="0"/>
        <w:tabs>
          <w:tab w:val="left" w:pos="114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12、各有关联系方式</w:t>
      </w:r>
    </w:p>
    <w:tbl>
      <w:tblPr>
        <w:tblStyle w:val="12"/>
        <w:tblW w:w="92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1544"/>
        <w:gridCol w:w="1178"/>
        <w:gridCol w:w="2784"/>
        <w:gridCol w:w="2961"/>
      </w:tblGrid>
      <w:tr w14:paraId="226C5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57" w:type="dxa"/>
            <w:noWrap w:val="0"/>
            <w:vAlign w:val="center"/>
          </w:tcPr>
          <w:p w14:paraId="1DE43467">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544" w:type="dxa"/>
            <w:noWrap w:val="0"/>
            <w:vAlign w:val="center"/>
          </w:tcPr>
          <w:p w14:paraId="7FA99B75">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78" w:type="dxa"/>
            <w:noWrap w:val="0"/>
            <w:vAlign w:val="center"/>
          </w:tcPr>
          <w:p w14:paraId="0F43BD07">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784" w:type="dxa"/>
            <w:noWrap w:val="0"/>
            <w:vAlign w:val="center"/>
          </w:tcPr>
          <w:p w14:paraId="4507472A">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961" w:type="dxa"/>
            <w:noWrap w:val="0"/>
            <w:vAlign w:val="center"/>
          </w:tcPr>
          <w:p w14:paraId="0FDECD48">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3E549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370C678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44" w:type="dxa"/>
            <w:noWrap w:val="0"/>
            <w:vAlign w:val="center"/>
          </w:tcPr>
          <w:p w14:paraId="544DCCC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78" w:type="dxa"/>
            <w:noWrap w:val="0"/>
            <w:vAlign w:val="center"/>
          </w:tcPr>
          <w:p w14:paraId="615F4F9E">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卢小姐</w:t>
            </w:r>
          </w:p>
          <w:p w14:paraId="02B1DBE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黄小姐</w:t>
            </w:r>
          </w:p>
        </w:tc>
        <w:tc>
          <w:tcPr>
            <w:tcW w:w="2784" w:type="dxa"/>
            <w:noWrap w:val="0"/>
            <w:vAlign w:val="center"/>
          </w:tcPr>
          <w:p w14:paraId="5414D93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961" w:type="dxa"/>
            <w:noWrap w:val="0"/>
            <w:vAlign w:val="center"/>
          </w:tcPr>
          <w:p w14:paraId="11DD8E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0592-5701518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5721295</w:t>
            </w:r>
          </w:p>
          <w:p w14:paraId="1010C0A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14:paraId="70F87F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4D18853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44" w:type="dxa"/>
            <w:noWrap w:val="0"/>
            <w:vAlign w:val="center"/>
          </w:tcPr>
          <w:p w14:paraId="5D736BC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售标</w:t>
            </w:r>
          </w:p>
        </w:tc>
        <w:tc>
          <w:tcPr>
            <w:tcW w:w="1178" w:type="dxa"/>
            <w:noWrap w:val="0"/>
            <w:vAlign w:val="center"/>
          </w:tcPr>
          <w:p w14:paraId="5E028A4C">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784" w:type="dxa"/>
            <w:noWrap w:val="0"/>
            <w:vAlign w:val="center"/>
          </w:tcPr>
          <w:p w14:paraId="0D662D5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负责受理招标文件出售（邮寄）</w:t>
            </w:r>
          </w:p>
        </w:tc>
        <w:tc>
          <w:tcPr>
            <w:tcW w:w="2961" w:type="dxa"/>
            <w:noWrap w:val="0"/>
            <w:vAlign w:val="center"/>
          </w:tcPr>
          <w:p w14:paraId="3E19618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4930C9DE">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14:paraId="20E3A4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0445392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44" w:type="dxa"/>
            <w:noWrap w:val="0"/>
            <w:vAlign w:val="center"/>
          </w:tcPr>
          <w:p w14:paraId="5A8AEE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178" w:type="dxa"/>
            <w:noWrap w:val="0"/>
            <w:vAlign w:val="center"/>
          </w:tcPr>
          <w:p w14:paraId="698CB12E">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784" w:type="dxa"/>
            <w:noWrap w:val="0"/>
            <w:vAlign w:val="center"/>
          </w:tcPr>
          <w:p w14:paraId="297535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投标保证金收、退</w:t>
            </w:r>
          </w:p>
        </w:tc>
        <w:tc>
          <w:tcPr>
            <w:tcW w:w="2961" w:type="dxa"/>
            <w:noWrap w:val="0"/>
            <w:vAlign w:val="center"/>
          </w:tcPr>
          <w:p w14:paraId="437D19B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67FE0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1D6329B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44" w:type="dxa"/>
            <w:noWrap w:val="0"/>
            <w:vAlign w:val="center"/>
          </w:tcPr>
          <w:p w14:paraId="1691B08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78" w:type="dxa"/>
            <w:noWrap w:val="0"/>
            <w:vAlign w:val="center"/>
          </w:tcPr>
          <w:p w14:paraId="7878120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784" w:type="dxa"/>
            <w:noWrap w:val="0"/>
            <w:vAlign w:val="center"/>
          </w:tcPr>
          <w:p w14:paraId="21386B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文件费、投标保证金到账咨询</w:t>
            </w:r>
          </w:p>
        </w:tc>
        <w:tc>
          <w:tcPr>
            <w:tcW w:w="2961" w:type="dxa"/>
            <w:noWrap w:val="0"/>
            <w:vAlign w:val="center"/>
          </w:tcPr>
          <w:p w14:paraId="44457CC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78303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3B7D16D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544" w:type="dxa"/>
            <w:noWrap w:val="0"/>
            <w:vAlign w:val="center"/>
          </w:tcPr>
          <w:p w14:paraId="11153BD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78" w:type="dxa"/>
            <w:noWrap w:val="0"/>
            <w:vAlign w:val="center"/>
          </w:tcPr>
          <w:p w14:paraId="6DC96CF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784" w:type="dxa"/>
            <w:noWrap w:val="0"/>
            <w:vAlign w:val="center"/>
          </w:tcPr>
          <w:p w14:paraId="3D3807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961" w:type="dxa"/>
            <w:noWrap w:val="0"/>
            <w:vAlign w:val="center"/>
          </w:tcPr>
          <w:p w14:paraId="2F99AE6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53B5B9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3679D5C3">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544" w:type="dxa"/>
            <w:noWrap w:val="0"/>
            <w:vAlign w:val="center"/>
          </w:tcPr>
          <w:p w14:paraId="45B6B2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78" w:type="dxa"/>
            <w:noWrap w:val="0"/>
            <w:vAlign w:val="center"/>
          </w:tcPr>
          <w:p w14:paraId="37896E9E">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784" w:type="dxa"/>
            <w:noWrap w:val="0"/>
            <w:vAlign w:val="center"/>
          </w:tcPr>
          <w:p w14:paraId="40FC4C1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欢迎投标人对项目采购过程中公告发布、招标文件购买、投标保证金缴交和退还、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收取、中标通知书发放等环节的服务进行监督。我们将竭诚为您提供最优质的服务。</w:t>
            </w:r>
          </w:p>
        </w:tc>
        <w:tc>
          <w:tcPr>
            <w:tcW w:w="2961" w:type="dxa"/>
            <w:noWrap w:val="0"/>
            <w:vAlign w:val="center"/>
          </w:tcPr>
          <w:p w14:paraId="32095EF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3AC3E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7" w:type="dxa"/>
            <w:noWrap w:val="0"/>
            <w:vAlign w:val="center"/>
          </w:tcPr>
          <w:p w14:paraId="18BFEF7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544" w:type="dxa"/>
            <w:noWrap w:val="0"/>
            <w:vAlign w:val="center"/>
          </w:tcPr>
          <w:p w14:paraId="74C2EAD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78" w:type="dxa"/>
            <w:noWrap w:val="0"/>
            <w:vAlign w:val="center"/>
          </w:tcPr>
          <w:p w14:paraId="1E46F585">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刘经理</w:t>
            </w:r>
          </w:p>
        </w:tc>
        <w:tc>
          <w:tcPr>
            <w:tcW w:w="2784" w:type="dxa"/>
            <w:noWrap w:val="0"/>
            <w:vAlign w:val="center"/>
          </w:tcPr>
          <w:p w14:paraId="42280D41">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961" w:type="dxa"/>
            <w:noWrap w:val="0"/>
            <w:vAlign w:val="center"/>
          </w:tcPr>
          <w:p w14:paraId="65E8FC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电话0592-2218761</w:t>
            </w:r>
          </w:p>
          <w:p w14:paraId="029D04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14:paraId="2F1E78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lmf</w:t>
            </w:r>
            <w:r>
              <w:rPr>
                <w:rFonts w:hint="eastAsia" w:ascii="宋体" w:hAnsi="宋体" w:eastAsia="宋体" w:cs="宋体"/>
                <w:color w:val="auto"/>
                <w:sz w:val="24"/>
                <w:szCs w:val="24"/>
                <w:highlight w:val="none"/>
              </w:rPr>
              <w:t>@iport.com.cn</w:t>
            </w:r>
          </w:p>
          <w:p w14:paraId="797C684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bl>
    <w:p w14:paraId="3E14CCAF">
      <w:pPr>
        <w:keepNext w:val="0"/>
        <w:keepLines w:val="0"/>
        <w:pageBreakBefore w:val="0"/>
        <w:widowControl w:val="0"/>
        <w:tabs>
          <w:tab w:val="left" w:pos="1140"/>
        </w:tabs>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2"/>
        <w:tblW w:w="925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47"/>
        <w:gridCol w:w="7612"/>
      </w:tblGrid>
      <w:tr w14:paraId="559A4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647" w:type="dxa"/>
            <w:noWrap w:val="0"/>
            <w:vAlign w:val="center"/>
          </w:tcPr>
          <w:p w14:paraId="0C93B08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612" w:type="dxa"/>
            <w:noWrap w:val="0"/>
            <w:vAlign w:val="center"/>
          </w:tcPr>
          <w:p w14:paraId="701AA77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64869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1647" w:type="dxa"/>
            <w:noWrap w:val="0"/>
            <w:vAlign w:val="center"/>
          </w:tcPr>
          <w:p w14:paraId="27B8CB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612" w:type="dxa"/>
            <w:noWrap w:val="0"/>
            <w:vAlign w:val="center"/>
          </w:tcPr>
          <w:p w14:paraId="748AEC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43CCA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647" w:type="dxa"/>
            <w:noWrap w:val="0"/>
            <w:vAlign w:val="center"/>
          </w:tcPr>
          <w:p w14:paraId="0A3F58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612" w:type="dxa"/>
            <w:noWrap w:val="0"/>
            <w:vAlign w:val="center"/>
          </w:tcPr>
          <w:p w14:paraId="1ACF52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6A56C7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647" w:type="dxa"/>
            <w:noWrap w:val="0"/>
            <w:vAlign w:val="center"/>
          </w:tcPr>
          <w:p w14:paraId="2AD6AC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612" w:type="dxa"/>
            <w:noWrap w:val="0"/>
            <w:vAlign w:val="center"/>
          </w:tcPr>
          <w:p w14:paraId="13A59B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1042A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注：投标人须将相关的费用缴交至上表对应的账号，缴错账号而产生的一切后果由投标人自行承担。</w:t>
      </w:r>
    </w:p>
    <w:p w14:paraId="35AAFD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14、注意事项：</w:t>
      </w:r>
    </w:p>
    <w:p w14:paraId="64AA1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（1）有意向的潜在投标人发邮件至wxsb@iport.com.cn索取招标文件购买登记表。</w:t>
      </w:r>
    </w:p>
    <w:p w14:paraId="46C95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（2）建议采用电汇或网银购买招标文件，请投标人付款时务必注明“招标编号+用途”（比如：</w:t>
      </w:r>
      <w:r>
        <w:rPr>
          <w:rFonts w:hint="eastAsia" w:ascii="宋体" w:hAnsi="宋体" w:cs="宋体"/>
          <w:color w:val="auto"/>
          <w:sz w:val="24"/>
          <w:szCs w:val="24"/>
          <w:highlight w:val="none"/>
          <w:lang w:val="en-US" w:eastAsia="zh-CN"/>
        </w:rPr>
        <w:t>XM2025-TZ5199</w:t>
      </w:r>
      <w:r>
        <w:rPr>
          <w:rFonts w:hint="default" w:ascii="宋体" w:hAnsi="宋体" w:cs="宋体"/>
          <w:color w:val="auto"/>
          <w:sz w:val="24"/>
          <w:szCs w:val="24"/>
          <w:highlight w:val="none"/>
          <w:lang w:val="en-US" w:eastAsia="zh-CN"/>
        </w:rPr>
        <w:t>文件费）。</w:t>
      </w:r>
    </w:p>
    <w:p w14:paraId="5C0FB8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投标人填好购买登记表后将加盖公章的文件购买登记表扫描件及文件购买付款凭证发至wxsb@iport.com.cn进行购买登记，收到登记资料后发送招标文件电子版，如需纸质版，招标代理机构可以邮寄，邮费需到付。</w:t>
      </w:r>
    </w:p>
    <w:p w14:paraId="586B4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（4）文件费及项目中标供应商服务费等发票均以邮件方式发送至购标指定邮箱。</w:t>
      </w:r>
    </w:p>
    <w:p w14:paraId="0FFBA2F9">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52DAB7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招标代理机构：厦门万翔招标有限公司</w:t>
      </w:r>
    </w:p>
    <w:p w14:paraId="4D2E905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址：厦门市湖里区机场北路476号四楼 </w:t>
      </w:r>
    </w:p>
    <w:p w14:paraId="5437375D">
      <w:pPr>
        <w:tabs>
          <w:tab w:val="left" w:pos="2775"/>
        </w:tabs>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 361006</w:t>
      </w:r>
    </w:p>
    <w:p w14:paraId="5BB236E2">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78A9C506">
      <w:pPr>
        <w:spacing w:line="360" w:lineRule="auto"/>
        <w:rPr>
          <w:rFonts w:hint="eastAsia" w:ascii="宋体" w:hAnsi="宋体" w:eastAsia="宋体" w:cs="宋体"/>
          <w:color w:val="auto"/>
          <w:sz w:val="24"/>
          <w:szCs w:val="24"/>
          <w:highlight w:val="none"/>
        </w:rPr>
      </w:pPr>
    </w:p>
    <w:p w14:paraId="44E7431C">
      <w:pPr>
        <w:spacing w:line="360" w:lineRule="auto"/>
        <w:rPr>
          <w:rFonts w:hint="eastAsia" w:ascii="宋体" w:hAnsi="宋体" w:eastAsia="宋体" w:cs="宋体"/>
          <w:color w:val="auto"/>
          <w:sz w:val="24"/>
          <w:szCs w:val="24"/>
          <w:highlight w:val="none"/>
        </w:rPr>
      </w:pPr>
    </w:p>
    <w:p w14:paraId="6AA02F94">
      <w:pPr>
        <w:spacing w:line="360" w:lineRule="auto"/>
        <w:rPr>
          <w:rFonts w:hint="eastAsia" w:ascii="宋体" w:hAnsi="宋体" w:eastAsia="宋体" w:cs="宋体"/>
          <w:color w:val="auto"/>
          <w:sz w:val="24"/>
          <w:szCs w:val="24"/>
          <w:highlight w:val="none"/>
        </w:rPr>
      </w:pPr>
    </w:p>
    <w:p w14:paraId="5C4F3F42">
      <w:pPr>
        <w:spacing w:line="360" w:lineRule="auto"/>
        <w:rPr>
          <w:rFonts w:hint="eastAsia" w:ascii="宋体" w:hAnsi="宋体" w:eastAsia="宋体" w:cs="宋体"/>
          <w:color w:val="auto"/>
          <w:sz w:val="24"/>
          <w:szCs w:val="24"/>
          <w:highlight w:val="none"/>
        </w:rPr>
      </w:pPr>
    </w:p>
    <w:p w14:paraId="6A5B2C70">
      <w:pPr>
        <w:spacing w:line="360" w:lineRule="auto"/>
        <w:rPr>
          <w:rFonts w:hint="eastAsia" w:ascii="宋体" w:hAnsi="宋体" w:eastAsia="宋体" w:cs="宋体"/>
          <w:color w:val="auto"/>
          <w:sz w:val="24"/>
          <w:szCs w:val="24"/>
          <w:highlight w:val="none"/>
        </w:rPr>
      </w:pPr>
    </w:p>
    <w:p w14:paraId="6F7B1608">
      <w:pPr>
        <w:spacing w:line="360" w:lineRule="auto"/>
        <w:rPr>
          <w:rFonts w:hint="eastAsia" w:ascii="宋体" w:hAnsi="宋体" w:eastAsia="宋体" w:cs="宋体"/>
          <w:color w:val="auto"/>
          <w:sz w:val="24"/>
          <w:szCs w:val="24"/>
          <w:highlight w:val="none"/>
        </w:rPr>
      </w:pPr>
    </w:p>
    <w:p w14:paraId="2EA9BD24">
      <w:pPr>
        <w:spacing w:line="360" w:lineRule="auto"/>
        <w:rPr>
          <w:rFonts w:hint="eastAsia" w:ascii="宋体" w:hAnsi="宋体" w:eastAsia="宋体" w:cs="宋体"/>
          <w:color w:val="auto"/>
          <w:sz w:val="24"/>
          <w:szCs w:val="24"/>
          <w:highlight w:val="none"/>
        </w:rPr>
      </w:pPr>
    </w:p>
    <w:p w14:paraId="76A2FBF2">
      <w:pPr>
        <w:spacing w:line="360" w:lineRule="auto"/>
        <w:rPr>
          <w:rFonts w:hint="eastAsia" w:ascii="宋体" w:hAnsi="宋体" w:eastAsia="宋体" w:cs="宋体"/>
          <w:color w:val="auto"/>
          <w:sz w:val="24"/>
          <w:szCs w:val="24"/>
          <w:highlight w:val="none"/>
        </w:rPr>
      </w:pPr>
    </w:p>
    <w:p w14:paraId="32438B16">
      <w:pPr>
        <w:spacing w:line="360" w:lineRule="auto"/>
        <w:rPr>
          <w:rFonts w:hint="eastAsia" w:ascii="宋体" w:hAnsi="宋体" w:eastAsia="宋体" w:cs="宋体"/>
          <w:color w:val="auto"/>
          <w:sz w:val="24"/>
          <w:szCs w:val="24"/>
          <w:highlight w:val="none"/>
        </w:rPr>
      </w:pPr>
    </w:p>
    <w:p w14:paraId="73FEDF27">
      <w:pPr>
        <w:spacing w:line="360" w:lineRule="auto"/>
        <w:rPr>
          <w:rFonts w:hint="eastAsia" w:ascii="宋体" w:hAnsi="宋体" w:eastAsia="宋体" w:cs="宋体"/>
          <w:color w:val="auto"/>
          <w:sz w:val="24"/>
          <w:szCs w:val="24"/>
          <w:highlight w:val="none"/>
        </w:rPr>
      </w:pPr>
    </w:p>
    <w:p w14:paraId="64E26631">
      <w:pPr>
        <w:spacing w:line="360" w:lineRule="auto"/>
        <w:rPr>
          <w:rFonts w:hint="eastAsia" w:ascii="宋体" w:hAnsi="宋体" w:eastAsia="宋体" w:cs="宋体"/>
          <w:color w:val="auto"/>
          <w:sz w:val="24"/>
          <w:szCs w:val="24"/>
          <w:highlight w:val="none"/>
        </w:rPr>
      </w:pPr>
    </w:p>
    <w:p w14:paraId="184D48F5">
      <w:pPr>
        <w:spacing w:line="360" w:lineRule="auto"/>
        <w:rPr>
          <w:rFonts w:hint="eastAsia" w:ascii="宋体" w:hAnsi="宋体" w:eastAsia="宋体" w:cs="宋体"/>
          <w:color w:val="auto"/>
          <w:sz w:val="24"/>
          <w:szCs w:val="24"/>
          <w:highlight w:val="none"/>
        </w:rPr>
      </w:pPr>
    </w:p>
    <w:p w14:paraId="698C91AB">
      <w:pPr>
        <w:spacing w:line="360" w:lineRule="auto"/>
        <w:rPr>
          <w:rFonts w:hint="eastAsia" w:ascii="宋体" w:hAnsi="宋体" w:eastAsia="宋体" w:cs="宋体"/>
          <w:color w:val="auto"/>
          <w:sz w:val="24"/>
          <w:szCs w:val="24"/>
          <w:highlight w:val="none"/>
        </w:rPr>
      </w:pPr>
    </w:p>
    <w:p w14:paraId="6C192E38">
      <w:pPr>
        <w:spacing w:line="360" w:lineRule="auto"/>
        <w:rPr>
          <w:rFonts w:hint="eastAsia" w:ascii="宋体" w:hAnsi="宋体" w:eastAsia="宋体" w:cs="宋体"/>
          <w:color w:val="auto"/>
          <w:sz w:val="24"/>
          <w:szCs w:val="24"/>
          <w:highlight w:val="none"/>
        </w:rPr>
      </w:pPr>
    </w:p>
    <w:p w14:paraId="43520AA9">
      <w:pPr>
        <w:spacing w:line="360" w:lineRule="auto"/>
        <w:rPr>
          <w:rFonts w:hint="eastAsia" w:ascii="宋体" w:hAnsi="宋体" w:eastAsia="宋体" w:cs="宋体"/>
          <w:color w:val="auto"/>
          <w:sz w:val="24"/>
          <w:szCs w:val="24"/>
          <w:highlight w:val="none"/>
        </w:rPr>
      </w:pPr>
    </w:p>
    <w:p w14:paraId="03795B7C">
      <w:pPr>
        <w:spacing w:line="360" w:lineRule="auto"/>
        <w:rPr>
          <w:rFonts w:hint="eastAsia" w:ascii="宋体" w:hAnsi="宋体" w:eastAsia="宋体" w:cs="宋体"/>
          <w:color w:val="auto"/>
          <w:sz w:val="24"/>
          <w:szCs w:val="24"/>
          <w:highlight w:val="none"/>
        </w:rPr>
      </w:pPr>
    </w:p>
    <w:p w14:paraId="3964DA41">
      <w:pPr>
        <w:spacing w:line="360" w:lineRule="auto"/>
        <w:rPr>
          <w:rFonts w:hint="eastAsia" w:ascii="宋体" w:hAnsi="宋体" w:eastAsia="宋体" w:cs="宋体"/>
          <w:color w:val="auto"/>
          <w:sz w:val="24"/>
          <w:szCs w:val="24"/>
          <w:highlight w:val="none"/>
        </w:rPr>
      </w:pPr>
    </w:p>
    <w:p w14:paraId="0C3EED5B">
      <w:pPr>
        <w:spacing w:line="360" w:lineRule="auto"/>
        <w:rPr>
          <w:rFonts w:hint="eastAsia" w:ascii="宋体" w:hAnsi="宋体" w:eastAsia="宋体" w:cs="宋体"/>
          <w:color w:val="auto"/>
          <w:sz w:val="24"/>
          <w:szCs w:val="24"/>
          <w:highlight w:val="none"/>
        </w:rPr>
        <w:sectPr>
          <w:pgSz w:w="11906" w:h="16838"/>
          <w:pgMar w:top="1440" w:right="1106" w:bottom="1290" w:left="1800" w:header="851" w:footer="992" w:gutter="0"/>
          <w:pgNumType w:fmt="decimal"/>
          <w:cols w:space="720" w:num="1"/>
          <w:docGrid w:type="lines" w:linePitch="312" w:charSpace="0"/>
        </w:sectPr>
      </w:pPr>
    </w:p>
    <w:p w14:paraId="18891A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附：招标服务一览表 </w:t>
      </w:r>
    </w:p>
    <w:p w14:paraId="3E2F8C1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招标服务一览表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778"/>
        <w:gridCol w:w="1846"/>
        <w:gridCol w:w="935"/>
        <w:gridCol w:w="1323"/>
        <w:gridCol w:w="1507"/>
        <w:gridCol w:w="1422"/>
      </w:tblGrid>
      <w:tr w14:paraId="4996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35354E95">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D924A6B">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品目号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4663D959">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项目名称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33AD1F0F">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数量</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4BC43ABE">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主要技术规格</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50C2E874">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服务地点</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AC04B8B">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服务时间</w:t>
            </w:r>
          </w:p>
        </w:tc>
      </w:tr>
      <w:tr w14:paraId="6E7D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trPr>
        <w:tc>
          <w:tcPr>
            <w:tcW w:w="1145" w:type="dxa"/>
            <w:tcBorders>
              <w:top w:val="single" w:color="auto" w:sz="4" w:space="0"/>
              <w:left w:val="single" w:color="auto" w:sz="4" w:space="0"/>
              <w:bottom w:val="single" w:color="auto" w:sz="4" w:space="0"/>
              <w:right w:val="single" w:color="auto" w:sz="4" w:space="0"/>
            </w:tcBorders>
            <w:noWrap w:val="0"/>
            <w:vAlign w:val="center"/>
          </w:tcPr>
          <w:p w14:paraId="1D993669">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XM2025-TZ5199</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99F5FDC">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8DD32D5">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第二十七届中国国际高新技术成果交易会厦门馆特装</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52E6C7D">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37D2A624">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详见招标内容及要求</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79E72B91">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采购人指定地点</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3D0E40F">
            <w:pPr>
              <w:pStyle w:val="4"/>
              <w:tabs>
                <w:tab w:val="left" w:pos="8360"/>
              </w:tabs>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详见招标内容及要求</w:t>
            </w:r>
          </w:p>
        </w:tc>
      </w:tr>
    </w:tbl>
    <w:p w14:paraId="6FA923AC">
      <w:pPr>
        <w:pStyle w:val="5"/>
        <w:keepNext w:val="0"/>
        <w:keepLines w:val="0"/>
        <w:pageBreakBefore w:val="0"/>
        <w:widowControl w:val="0"/>
        <w:tabs>
          <w:tab w:val="left" w:pos="8360"/>
        </w:tabs>
        <w:kinsoku/>
        <w:wordWrap/>
        <w:overflowPunct/>
        <w:topLinePunct w:val="0"/>
        <w:autoSpaceDE/>
        <w:autoSpaceDN/>
        <w:bidi w:val="0"/>
        <w:adjustRightInd/>
        <w:snapToGrid/>
        <w:spacing w:line="360" w:lineRule="auto"/>
        <w:ind w:firstLine="480" w:firstLineChars="200"/>
        <w:jc w:val="left"/>
        <w:textAlignment w:val="auto"/>
        <w:rPr>
          <w:rFonts w:hint="eastAsia" w:hAnsi="宋体" w:eastAsia="宋体" w:cs="宋体"/>
          <w:color w:val="auto"/>
          <w:sz w:val="24"/>
          <w:szCs w:val="24"/>
          <w:highlight w:val="none"/>
        </w:rPr>
      </w:pPr>
      <w:r>
        <w:rPr>
          <w:rFonts w:hint="eastAsia" w:hAnsi="宋体" w:eastAsia="宋体" w:cs="宋体"/>
          <w:color w:val="auto"/>
          <w:sz w:val="24"/>
          <w:szCs w:val="24"/>
          <w:highlight w:val="none"/>
        </w:rPr>
        <w:t>注：投标人可按合同包投标，对同一合同包内所有品目号内容投标时必须完整。评标与授标以合同包为单位。</w:t>
      </w:r>
    </w:p>
    <w:p w14:paraId="3D67323B">
      <w:pPr>
        <w:pStyle w:val="3"/>
        <w:spacing w:line="360" w:lineRule="auto"/>
        <w:ind w:firstLine="0"/>
        <w:rPr>
          <w:rFonts w:hint="eastAsia" w:ascii="宋体" w:hAnsi="宋体" w:eastAsia="宋体" w:cs="宋体"/>
          <w:b/>
          <w:color w:val="auto"/>
          <w:sz w:val="24"/>
          <w:szCs w:val="24"/>
          <w:highlight w:val="none"/>
        </w:rPr>
        <w:sectPr>
          <w:pgSz w:w="11906" w:h="16838"/>
          <w:pgMar w:top="1440" w:right="1106" w:bottom="1290" w:left="1800" w:header="851" w:footer="992" w:gutter="0"/>
          <w:pgNumType w:fmt="decimal"/>
          <w:cols w:space="720" w:num="1"/>
          <w:docGrid w:type="lines" w:linePitch="312" w:charSpace="0"/>
        </w:sectPr>
      </w:pPr>
    </w:p>
    <w:p w14:paraId="2AC809E4">
      <w:pPr>
        <w:pStyle w:val="16"/>
        <w:spacing w:line="360" w:lineRule="auto"/>
        <w:jc w:val="center"/>
        <w:outlineLvl w:val="0"/>
        <w:rPr>
          <w:rFonts w:hint="eastAsia" w:hAnsi="宋体" w:eastAsia="宋体" w:cs="宋体"/>
          <w:b/>
          <w:color w:val="auto"/>
          <w:sz w:val="32"/>
          <w:szCs w:val="32"/>
          <w:highlight w:val="none"/>
        </w:rPr>
      </w:pPr>
      <w:bookmarkStart w:id="10" w:name="_Toc707352312"/>
      <w:bookmarkStart w:id="11" w:name="_Toc26958"/>
      <w:bookmarkStart w:id="12" w:name="_Toc12890"/>
      <w:r>
        <w:rPr>
          <w:rFonts w:hint="eastAsia" w:hAnsi="宋体" w:eastAsia="宋体" w:cs="宋体"/>
          <w:b/>
          <w:color w:val="auto"/>
          <w:sz w:val="32"/>
          <w:szCs w:val="32"/>
          <w:highlight w:val="none"/>
        </w:rPr>
        <w:t>第二章  投标人须知</w:t>
      </w:r>
      <w:bookmarkEnd w:id="10"/>
      <w:bookmarkEnd w:id="11"/>
      <w:bookmarkEnd w:id="12"/>
    </w:p>
    <w:p w14:paraId="30D3BF5E">
      <w:pPr>
        <w:pStyle w:val="16"/>
        <w:spacing w:line="360" w:lineRule="auto"/>
        <w:jc w:val="center"/>
        <w:outlineLvl w:val="1"/>
        <w:rPr>
          <w:rFonts w:hint="eastAsia" w:hAnsi="宋体" w:eastAsia="宋体" w:cs="宋体"/>
          <w:color w:val="auto"/>
          <w:sz w:val="24"/>
          <w:szCs w:val="24"/>
          <w:highlight w:val="none"/>
        </w:rPr>
      </w:pPr>
      <w:bookmarkStart w:id="13" w:name="_Toc14322"/>
      <w:bookmarkStart w:id="14" w:name="_Toc1226137657"/>
      <w:r>
        <w:rPr>
          <w:rFonts w:hint="eastAsia" w:hAnsi="宋体" w:eastAsia="宋体" w:cs="宋体"/>
          <w:b/>
          <w:color w:val="auto"/>
          <w:sz w:val="32"/>
          <w:szCs w:val="32"/>
          <w:highlight w:val="none"/>
        </w:rPr>
        <w:t>投标人须知前附表1</w:t>
      </w:r>
      <w:bookmarkEnd w:id="13"/>
      <w:bookmarkEnd w:id="14"/>
    </w:p>
    <w:p w14:paraId="3C8E1ADC">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本须知前附表1的条款号是与《投标人须知》中条款的项号相对应的。如有矛盾，应以本须知前附表为准。 </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14:paraId="1108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top"/>
          </w:tcPr>
          <w:p w14:paraId="6135C2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080" w:type="dxa"/>
            <w:noWrap w:val="0"/>
            <w:vAlign w:val="top"/>
          </w:tcPr>
          <w:p w14:paraId="35986D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380" w:type="dxa"/>
            <w:noWrap w:val="0"/>
            <w:vAlign w:val="top"/>
          </w:tcPr>
          <w:p w14:paraId="6C879A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2FC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center"/>
          </w:tcPr>
          <w:p w14:paraId="35A6CC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noWrap w:val="0"/>
            <w:vAlign w:val="center"/>
          </w:tcPr>
          <w:p w14:paraId="3E7EB3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380" w:type="dxa"/>
            <w:noWrap w:val="0"/>
            <w:vAlign w:val="center"/>
          </w:tcPr>
          <w:p w14:paraId="709124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第二十七届中国国际高新技术成果交易会厦门馆特装</w:t>
            </w:r>
            <w:r>
              <w:rPr>
                <w:rFonts w:hint="eastAsia" w:ascii="宋体" w:hAnsi="宋体" w:eastAsia="宋体" w:cs="宋体"/>
                <w:color w:val="auto"/>
                <w:sz w:val="24"/>
                <w:szCs w:val="24"/>
                <w:highlight w:val="none"/>
              </w:rPr>
              <w:t xml:space="preserve"> </w:t>
            </w:r>
          </w:p>
          <w:p w14:paraId="309E4D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采购人名称：厦门市科学技术局</w:t>
            </w:r>
          </w:p>
          <w:p w14:paraId="0003DD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cs="宋体"/>
                <w:color w:val="auto"/>
                <w:sz w:val="24"/>
                <w:szCs w:val="24"/>
                <w:highlight w:val="none"/>
                <w:lang w:eastAsia="zh-CN"/>
              </w:rPr>
              <w:t>第二十七届中国国际高新技术成果交易会厦门馆特装，</w:t>
            </w:r>
            <w:r>
              <w:rPr>
                <w:rFonts w:hint="eastAsia" w:ascii="宋体" w:hAnsi="宋体" w:cs="宋体"/>
                <w:color w:val="auto"/>
                <w:sz w:val="24"/>
                <w:szCs w:val="24"/>
                <w:highlight w:val="none"/>
                <w:lang w:val="en-US" w:eastAsia="zh-CN"/>
              </w:rPr>
              <w:t>数量：1项</w:t>
            </w:r>
            <w:r>
              <w:rPr>
                <w:rFonts w:hint="eastAsia" w:ascii="宋体" w:hAnsi="宋体" w:eastAsia="宋体" w:cs="宋体"/>
                <w:color w:val="auto"/>
                <w:sz w:val="24"/>
                <w:szCs w:val="24"/>
                <w:highlight w:val="none"/>
              </w:rPr>
              <w:t xml:space="preserve"> </w:t>
            </w:r>
          </w:p>
          <w:p w14:paraId="47F47F0C">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none"/>
                <w:lang w:eastAsia="zh-CN"/>
              </w:rPr>
              <w:t>XM2025-TZ5199</w:t>
            </w:r>
          </w:p>
        </w:tc>
      </w:tr>
      <w:tr w14:paraId="607E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0"/>
            <w:vAlign w:val="center"/>
          </w:tcPr>
          <w:p w14:paraId="696C0A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noWrap w:val="0"/>
            <w:vAlign w:val="center"/>
          </w:tcPr>
          <w:p w14:paraId="53FE18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80" w:type="dxa"/>
            <w:noWrap w:val="0"/>
            <w:vAlign w:val="center"/>
          </w:tcPr>
          <w:p w14:paraId="32540E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0CF8A9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详见第二章《投标人须知》第3条，以及第三章《招标内容及要求》有关内容。</w:t>
            </w:r>
          </w:p>
        </w:tc>
      </w:tr>
      <w:tr w14:paraId="326D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2A695B8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noWrap w:val="0"/>
            <w:vAlign w:val="center"/>
          </w:tcPr>
          <w:p w14:paraId="6E03D6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380" w:type="dxa"/>
            <w:noWrap w:val="0"/>
            <w:vAlign w:val="center"/>
          </w:tcPr>
          <w:p w14:paraId="6BCE93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3ED7AF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有效期不足将导致其投标文件被拒绝。</w:t>
            </w:r>
          </w:p>
        </w:tc>
      </w:tr>
      <w:tr w14:paraId="18D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2378B3E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80" w:type="dxa"/>
            <w:noWrap w:val="0"/>
            <w:vAlign w:val="center"/>
          </w:tcPr>
          <w:p w14:paraId="41BEA925">
            <w:pPr>
              <w:spacing w:line="360" w:lineRule="auto"/>
              <w:jc w:val="center"/>
              <w:rPr>
                <w:rFonts w:hint="eastAsia" w:ascii="宋体" w:hAnsi="宋体" w:eastAsia="宋体" w:cs="宋体"/>
                <w:color w:val="auto"/>
                <w:sz w:val="24"/>
                <w:szCs w:val="24"/>
                <w:highlight w:val="none"/>
              </w:rPr>
            </w:pPr>
          </w:p>
        </w:tc>
        <w:tc>
          <w:tcPr>
            <w:tcW w:w="7380" w:type="dxa"/>
            <w:noWrap w:val="0"/>
            <w:vAlign w:val="center"/>
          </w:tcPr>
          <w:p w14:paraId="18B0F346">
            <w:pPr>
              <w:widowControl/>
              <w:spacing w:line="360" w:lineRule="auto"/>
              <w:jc w:val="left"/>
              <w:rPr>
                <w:rFonts w:hint="eastAsia" w:ascii="宋体" w:hAnsi="宋体" w:eastAsia="宋体" w:cs="宋体"/>
                <w:b/>
                <w:color w:val="auto"/>
                <w:sz w:val="24"/>
                <w:szCs w:val="24"/>
                <w:highlight w:val="none"/>
                <w:u w:val="single"/>
              </w:rPr>
            </w:pPr>
            <w:r>
              <w:rPr>
                <w:rFonts w:hint="eastAsia" w:ascii="宋体" w:hAnsi="宋体" w:eastAsia="宋体" w:cs="宋体"/>
                <w:color w:val="auto"/>
                <w:kern w:val="0"/>
                <w:sz w:val="24"/>
                <w:szCs w:val="24"/>
                <w:highlight w:val="none"/>
              </w:rPr>
              <w:t>投标文件递交地址：</w:t>
            </w:r>
            <w:r>
              <w:rPr>
                <w:rFonts w:hint="eastAsia" w:ascii="宋体" w:hAnsi="宋体" w:eastAsia="宋体" w:cs="宋体"/>
                <w:b/>
                <w:color w:val="auto"/>
                <w:sz w:val="24"/>
                <w:szCs w:val="24"/>
                <w:highlight w:val="none"/>
                <w:u w:val="single"/>
              </w:rPr>
              <w:t>厦门市湖里区机场北路476号四楼开标厅</w:t>
            </w:r>
          </w:p>
          <w:p w14:paraId="01C53B44">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接收人：</w:t>
            </w:r>
            <w:r>
              <w:rPr>
                <w:rFonts w:hint="eastAsia" w:ascii="宋体" w:hAnsi="宋体" w:cs="宋体"/>
                <w:color w:val="auto"/>
                <w:kern w:val="0"/>
                <w:sz w:val="24"/>
                <w:szCs w:val="24"/>
                <w:highlight w:val="none"/>
                <w:lang w:val="en-US" w:eastAsia="zh-CN"/>
              </w:rPr>
              <w:t>卢小姐、黄小姐</w:t>
            </w:r>
          </w:p>
        </w:tc>
      </w:tr>
      <w:tr w14:paraId="07F3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0" w:type="dxa"/>
            <w:noWrap w:val="0"/>
            <w:vAlign w:val="center"/>
          </w:tcPr>
          <w:p w14:paraId="3659CC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80" w:type="dxa"/>
            <w:noWrap w:val="0"/>
            <w:vAlign w:val="center"/>
          </w:tcPr>
          <w:p w14:paraId="50BB37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80" w:type="dxa"/>
            <w:noWrap w:val="0"/>
            <w:vAlign w:val="center"/>
          </w:tcPr>
          <w:p w14:paraId="1214C57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cs="宋体"/>
                <w:color w:val="auto"/>
                <w:sz w:val="24"/>
                <w:szCs w:val="24"/>
                <w:highlight w:val="none"/>
                <w:u w:val="single"/>
                <w:lang w:val="en-US" w:eastAsia="zh-CN"/>
              </w:rPr>
              <w:t>无</w:t>
            </w:r>
          </w:p>
        </w:tc>
      </w:tr>
      <w:tr w14:paraId="1D11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0" w:type="dxa"/>
            <w:noWrap w:val="0"/>
            <w:vAlign w:val="center"/>
          </w:tcPr>
          <w:p w14:paraId="79BEE3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80" w:type="dxa"/>
            <w:noWrap w:val="0"/>
            <w:vAlign w:val="center"/>
          </w:tcPr>
          <w:p w14:paraId="7F73AE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380" w:type="dxa"/>
            <w:noWrap w:val="0"/>
            <w:vAlign w:val="center"/>
          </w:tcPr>
          <w:p w14:paraId="46686D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投标文件份数：正本一份、副本四份</w:t>
            </w:r>
          </w:p>
          <w:p w14:paraId="21488282">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电子文件：（U盘或光盘介质，盖章版PDF格式文件）一份</w:t>
            </w:r>
          </w:p>
        </w:tc>
      </w:tr>
      <w:tr w14:paraId="5040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14:paraId="175BA19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80" w:type="dxa"/>
            <w:noWrap w:val="0"/>
            <w:vAlign w:val="center"/>
          </w:tcPr>
          <w:p w14:paraId="278249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7380" w:type="dxa"/>
            <w:noWrap w:val="0"/>
            <w:vAlign w:val="center"/>
          </w:tcPr>
          <w:p w14:paraId="07D7FA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评标方法、标准及定标原则(含推荐中标候选供应商数量)：</w:t>
            </w:r>
          </w:p>
          <w:p w14:paraId="67DE4F92">
            <w:pPr>
              <w:pStyle w:val="5"/>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详见《投标人须知前附表3》。</w:t>
            </w:r>
          </w:p>
        </w:tc>
      </w:tr>
      <w:tr w14:paraId="3AB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0" w:type="dxa"/>
            <w:noWrap w:val="0"/>
            <w:vAlign w:val="center"/>
          </w:tcPr>
          <w:p w14:paraId="14270E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080" w:type="dxa"/>
            <w:noWrap w:val="0"/>
            <w:vAlign w:val="center"/>
          </w:tcPr>
          <w:p w14:paraId="0E695F9A">
            <w:pPr>
              <w:spacing w:line="360" w:lineRule="auto"/>
              <w:ind w:right="-63" w:rightChars="-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7380" w:type="dxa"/>
            <w:noWrap w:val="0"/>
            <w:vAlign w:val="center"/>
          </w:tcPr>
          <w:p w14:paraId="5870AE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042EDC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收费标准：</w:t>
            </w:r>
          </w:p>
          <w:tbl>
            <w:tblPr>
              <w:tblStyle w:val="1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0777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6B15F909">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中标金额(万元)</w:t>
                  </w:r>
                </w:p>
              </w:tc>
              <w:tc>
                <w:tcPr>
                  <w:tcW w:w="2700" w:type="dxa"/>
                  <w:noWrap w:val="0"/>
                  <w:vAlign w:val="top"/>
                </w:tcPr>
                <w:p w14:paraId="5ECBB6F1">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3AF0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0495A4D6">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21ABBEF3">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071F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7FF4B5E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14:paraId="28391F88">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bl>
          <w:p w14:paraId="358E7E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的收取按差额定率累进法计算,由中标供应商支付。</w:t>
            </w:r>
            <w:r>
              <w:rPr>
                <w:rFonts w:hint="eastAsia" w:ascii="宋体" w:hAnsi="宋体" w:eastAsia="宋体" w:cs="宋体"/>
                <w:color w:val="auto"/>
                <w:sz w:val="24"/>
                <w:szCs w:val="24"/>
                <w:highlight w:val="none"/>
                <w:lang w:val="en-US" w:eastAsia="zh-CN"/>
              </w:rPr>
              <w:t>若服务费不足3000元，按3000元计取</w:t>
            </w:r>
            <w:r>
              <w:rPr>
                <w:rFonts w:hint="eastAsia" w:ascii="宋体" w:hAnsi="宋体" w:eastAsia="宋体" w:cs="宋体"/>
                <w:color w:val="auto"/>
                <w:sz w:val="24"/>
                <w:szCs w:val="24"/>
                <w:highlight w:val="none"/>
              </w:rPr>
              <w:t>。</w:t>
            </w:r>
          </w:p>
          <w:p w14:paraId="667E66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2、中标供应商以转账或汇款方式提交。</w:t>
            </w:r>
          </w:p>
        </w:tc>
      </w:tr>
      <w:tr w14:paraId="5A22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5CE425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A9A3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380" w:type="dxa"/>
            <w:tcBorders>
              <w:top w:val="single" w:color="auto" w:sz="4" w:space="0"/>
              <w:left w:val="single" w:color="auto" w:sz="4" w:space="0"/>
              <w:bottom w:val="single" w:color="auto" w:sz="4" w:space="0"/>
              <w:right w:val="single" w:color="auto" w:sz="4" w:space="0"/>
            </w:tcBorders>
            <w:noWrap w:val="0"/>
            <w:vAlign w:val="center"/>
          </w:tcPr>
          <w:p w14:paraId="476683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投标人一旦中标，应在规定时间内凭中标通知书原件与采购人签订《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》。中标供应商为中小企业的，</w:t>
            </w:r>
            <w:r>
              <w:rPr>
                <w:rFonts w:hint="eastAsia" w:ascii="宋体" w:hAnsi="宋体" w:eastAsia="宋体" w:cs="宋体"/>
                <w:color w:val="auto"/>
                <w:sz w:val="24"/>
                <w:szCs w:val="24"/>
                <w:highlight w:val="none"/>
                <w:lang w:val="en-US" w:eastAsia="zh-CN"/>
              </w:rPr>
              <w:t>如需支付履约保证金的，</w:t>
            </w:r>
            <w:r>
              <w:rPr>
                <w:rFonts w:hint="eastAsia" w:ascii="宋体" w:hAnsi="宋体" w:eastAsia="宋体" w:cs="宋体"/>
                <w:color w:val="auto"/>
                <w:spacing w:val="0"/>
                <w:sz w:val="24"/>
                <w:szCs w:val="24"/>
                <w:highlight w:val="none"/>
              </w:rPr>
              <w:t>按约定比例的50%支付</w:t>
            </w:r>
            <w:r>
              <w:rPr>
                <w:rFonts w:hint="eastAsia" w:ascii="宋体" w:hAnsi="宋体" w:eastAsia="宋体" w:cs="宋体"/>
                <w:color w:val="auto"/>
                <w:sz w:val="24"/>
                <w:szCs w:val="24"/>
                <w:highlight w:val="none"/>
              </w:rPr>
              <w:t>。</w:t>
            </w:r>
          </w:p>
        </w:tc>
      </w:tr>
      <w:tr w14:paraId="3F58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1C8AB9F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57D5F2">
            <w:pPr>
              <w:spacing w:line="360" w:lineRule="auto"/>
              <w:jc w:val="center"/>
              <w:rPr>
                <w:rFonts w:hint="eastAsia" w:ascii="宋体" w:hAnsi="宋体" w:eastAsia="宋体" w:cs="宋体"/>
                <w:color w:val="auto"/>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14:paraId="7073EF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bl>
    <w:p w14:paraId="629AF066">
      <w:pPr>
        <w:tabs>
          <w:tab w:val="left" w:pos="-1080"/>
          <w:tab w:val="left" w:pos="180"/>
          <w:tab w:val="left" w:pos="1080"/>
        </w:tabs>
        <w:spacing w:line="360" w:lineRule="auto"/>
        <w:rPr>
          <w:rFonts w:hint="eastAsia" w:ascii="宋体" w:hAnsi="宋体" w:eastAsia="宋体" w:cs="宋体"/>
          <w:b/>
          <w:color w:val="auto"/>
          <w:sz w:val="24"/>
          <w:szCs w:val="24"/>
          <w:highlight w:val="none"/>
        </w:rPr>
      </w:pPr>
    </w:p>
    <w:p w14:paraId="53092212">
      <w:pPr>
        <w:spacing w:line="360" w:lineRule="auto"/>
        <w:jc w:val="center"/>
        <w:rPr>
          <w:rFonts w:hint="eastAsia" w:ascii="宋体" w:hAnsi="宋体" w:eastAsia="宋体" w:cs="宋体"/>
          <w:b/>
          <w:bCs/>
          <w:color w:val="auto"/>
          <w:sz w:val="24"/>
          <w:szCs w:val="24"/>
          <w:highlight w:val="none"/>
          <w:u w:val="single"/>
        </w:rPr>
      </w:pPr>
    </w:p>
    <w:p w14:paraId="0B41DB81">
      <w:pPr>
        <w:spacing w:line="360" w:lineRule="auto"/>
        <w:jc w:val="center"/>
        <w:rPr>
          <w:rFonts w:hint="eastAsia" w:ascii="宋体" w:hAnsi="宋体" w:eastAsia="宋体" w:cs="宋体"/>
          <w:b/>
          <w:bCs/>
          <w:color w:val="auto"/>
          <w:sz w:val="24"/>
          <w:szCs w:val="24"/>
          <w:highlight w:val="none"/>
          <w:u w:val="single"/>
        </w:rPr>
      </w:pPr>
    </w:p>
    <w:p w14:paraId="131F2B2C">
      <w:pPr>
        <w:spacing w:line="360" w:lineRule="auto"/>
        <w:jc w:val="center"/>
        <w:rPr>
          <w:rFonts w:hint="eastAsia" w:ascii="宋体" w:hAnsi="宋体" w:eastAsia="宋体" w:cs="宋体"/>
          <w:b/>
          <w:bCs/>
          <w:color w:val="auto"/>
          <w:sz w:val="24"/>
          <w:szCs w:val="24"/>
          <w:highlight w:val="none"/>
          <w:u w:val="single"/>
        </w:rPr>
      </w:pPr>
    </w:p>
    <w:p w14:paraId="79A3A341">
      <w:pPr>
        <w:spacing w:line="360" w:lineRule="auto"/>
        <w:jc w:val="center"/>
        <w:rPr>
          <w:rFonts w:hint="eastAsia" w:ascii="宋体" w:hAnsi="宋体" w:eastAsia="宋体" w:cs="宋体"/>
          <w:b/>
          <w:bCs/>
          <w:color w:val="auto"/>
          <w:sz w:val="24"/>
          <w:szCs w:val="24"/>
          <w:highlight w:val="none"/>
          <w:u w:val="single"/>
        </w:rPr>
      </w:pPr>
    </w:p>
    <w:p w14:paraId="3791F333">
      <w:pPr>
        <w:spacing w:line="360" w:lineRule="auto"/>
        <w:jc w:val="both"/>
        <w:rPr>
          <w:rFonts w:hint="eastAsia" w:ascii="宋体" w:hAnsi="宋体" w:eastAsia="宋体" w:cs="宋体"/>
          <w:b/>
          <w:bCs/>
          <w:color w:val="auto"/>
          <w:sz w:val="24"/>
          <w:szCs w:val="24"/>
          <w:highlight w:val="none"/>
          <w:u w:val="single"/>
        </w:rPr>
      </w:pPr>
    </w:p>
    <w:p w14:paraId="6E651C88">
      <w:pPr>
        <w:spacing w:line="360" w:lineRule="auto"/>
        <w:jc w:val="center"/>
        <w:rPr>
          <w:rFonts w:hint="eastAsia" w:ascii="宋体" w:hAnsi="宋体" w:eastAsia="宋体" w:cs="宋体"/>
          <w:b/>
          <w:bCs/>
          <w:color w:val="auto"/>
          <w:sz w:val="32"/>
          <w:szCs w:val="32"/>
          <w:highlight w:val="none"/>
          <w:u w:val="single"/>
        </w:rPr>
        <w:sectPr>
          <w:footerReference r:id="rId5" w:type="default"/>
          <w:pgSz w:w="11907" w:h="16840"/>
          <w:pgMar w:top="1440" w:right="1752" w:bottom="1290" w:left="1752" w:header="851" w:footer="992" w:gutter="0"/>
          <w:pgNumType w:fmt="decimal"/>
          <w:cols w:space="720" w:num="1"/>
          <w:docGrid w:linePitch="323" w:charSpace="-2"/>
        </w:sectPr>
      </w:pPr>
    </w:p>
    <w:p w14:paraId="0D428C73">
      <w:pPr>
        <w:spacing w:line="360" w:lineRule="auto"/>
        <w:jc w:val="center"/>
        <w:outlineLvl w:val="1"/>
        <w:rPr>
          <w:rFonts w:hint="eastAsia" w:ascii="宋体" w:hAnsi="宋体" w:eastAsia="宋体" w:cs="宋体"/>
          <w:b/>
          <w:bCs/>
          <w:color w:val="auto"/>
          <w:sz w:val="24"/>
          <w:szCs w:val="24"/>
          <w:highlight w:val="none"/>
          <w:u w:val="single"/>
        </w:rPr>
      </w:pPr>
      <w:bookmarkStart w:id="15" w:name="_Toc960640977"/>
      <w:bookmarkStart w:id="16" w:name="_Toc30986"/>
      <w:r>
        <w:rPr>
          <w:rFonts w:hint="eastAsia" w:ascii="宋体" w:hAnsi="宋体" w:eastAsia="宋体" w:cs="宋体"/>
          <w:b/>
          <w:bCs/>
          <w:color w:val="auto"/>
          <w:sz w:val="32"/>
          <w:szCs w:val="32"/>
          <w:highlight w:val="none"/>
          <w:u w:val="single"/>
        </w:rPr>
        <w:t>投标人须知前附表2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15"/>
      <w:bookmarkEnd w:id="16"/>
    </w:p>
    <w:p w14:paraId="3060BD76">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本须知前附表2集中列示了符合性检查的所有条款，其内容是评标委员会在评审过程中判断投标人的投标是否有效的重要依据。</w:t>
      </w:r>
    </w:p>
    <w:tbl>
      <w:tblPr>
        <w:tblStyle w:val="12"/>
        <w:tblW w:w="873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422"/>
        <w:gridCol w:w="5925"/>
      </w:tblGrid>
      <w:tr w14:paraId="5348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noWrap w:val="0"/>
            <w:vAlign w:val="top"/>
          </w:tcPr>
          <w:p w14:paraId="30F71F5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14:paraId="46F4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34F1DA6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p w14:paraId="2717488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w:t>
            </w:r>
          </w:p>
        </w:tc>
        <w:tc>
          <w:tcPr>
            <w:tcW w:w="696" w:type="dxa"/>
            <w:tcBorders>
              <w:bottom w:val="single" w:color="auto" w:sz="4" w:space="0"/>
            </w:tcBorders>
            <w:noWrap w:val="0"/>
            <w:vAlign w:val="center"/>
          </w:tcPr>
          <w:p w14:paraId="724DEC2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1422" w:type="dxa"/>
            <w:tcBorders>
              <w:bottom w:val="single" w:color="auto" w:sz="4" w:space="0"/>
            </w:tcBorders>
            <w:noWrap w:val="0"/>
            <w:vAlign w:val="center"/>
          </w:tcPr>
          <w:p w14:paraId="64E1E91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5925" w:type="dxa"/>
            <w:tcBorders>
              <w:bottom w:val="single" w:color="auto" w:sz="4" w:space="0"/>
            </w:tcBorders>
            <w:noWrap w:val="0"/>
            <w:vAlign w:val="center"/>
          </w:tcPr>
          <w:p w14:paraId="2FF41171">
            <w:pPr>
              <w:tabs>
                <w:tab w:val="left" w:pos="2848"/>
              </w:tabs>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14:paraId="596B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3B89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51145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0B794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FE5B7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w:t>
            </w:r>
          </w:p>
          <w:p w14:paraId="773CA8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具体内容详见第二章第3条“合格的投标人”。</w:t>
            </w:r>
          </w:p>
        </w:tc>
      </w:tr>
      <w:tr w14:paraId="40DE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6FF87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882B2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A46CF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D23CB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3.1凡有能力提供本招标文件所述服务的，具备《中华人民共和国政府采购法》第二十二条第一款规定的条件且符合本招标文件规定资格要求的境内服务商均可能成为合格的投标人。</w:t>
            </w:r>
          </w:p>
          <w:p w14:paraId="10B1D0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投标人应具备《中华人民共和国政府采购法》第二十二条第一款规定的条件，并提供以下材料：</w:t>
            </w:r>
          </w:p>
          <w:p w14:paraId="42FCF20A">
            <w:pPr>
              <w:spacing w:line="360" w:lineRule="auto"/>
              <w:ind w:firstLine="319" w:firstLineChars="1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541DFA6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投标人是法人或者其他组织的应提供营业执照等证明文件，投标人是自然人的应提供有效的自然人身份证明。</w:t>
            </w:r>
          </w:p>
          <w:p w14:paraId="2BD0FBF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（2）投标人已提供加载有统一社会信用代码营业执照的，视为已提供税务登记证和组织机构代码证。</w:t>
            </w:r>
          </w:p>
          <w:p w14:paraId="3456942B">
            <w:pPr>
              <w:spacing w:line="36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tc>
      </w:tr>
      <w:tr w14:paraId="4443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787A2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D3A65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52F7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7625A5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3.5如本项目接受联合体投标，则两个或者两个以上投标人可以组成一个投标联合体，以一个投标人的身份投标。</w:t>
            </w:r>
          </w:p>
          <w:p w14:paraId="2A60ED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20B7B3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214903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（3）项目如涉及资质要求，该部分内容应由联合体中具有该资质要求的投标人承担。联合体协议及签订的采购合同应包含此项内容。</w:t>
            </w:r>
          </w:p>
          <w:p w14:paraId="5B6CE5D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（4）联合体中有同类资质的投标人按照联合体分工承担相同工作的，应当按照资质等级较低的投标人确定资质等级。</w:t>
            </w:r>
          </w:p>
        </w:tc>
      </w:tr>
      <w:tr w14:paraId="28F9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BF54F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25491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BCD4E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0C540C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tc>
      </w:tr>
      <w:tr w14:paraId="3086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12E08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19C0C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74899E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B77C6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3.7投标代理人在同一个项目中只能接受一个投标人的委托参加投标。</w:t>
            </w:r>
          </w:p>
        </w:tc>
      </w:tr>
      <w:tr w14:paraId="0295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98349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09D6B32">
            <w:pPr>
              <w:spacing w:line="360" w:lineRule="auto"/>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0DACA33">
            <w:pPr>
              <w:spacing w:line="360" w:lineRule="auto"/>
              <w:jc w:val="center"/>
              <w:rPr>
                <w:rFonts w:hint="eastAsia" w:ascii="宋体" w:hAnsi="宋体" w:eastAsia="宋体" w:cs="宋体"/>
                <w:color w:val="auto"/>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center"/>
          </w:tcPr>
          <w:p w14:paraId="73C4BBFF">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14:paraId="1913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1B1A3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6F8568F">
            <w:pPr>
              <w:spacing w:line="360" w:lineRule="auto"/>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8311D0D">
            <w:pPr>
              <w:spacing w:line="360" w:lineRule="auto"/>
              <w:jc w:val="center"/>
              <w:rPr>
                <w:rFonts w:hint="eastAsia" w:ascii="宋体" w:hAnsi="宋体" w:eastAsia="宋体" w:cs="宋体"/>
                <w:color w:val="auto"/>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887C9D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应提供工商营业执照（副本）（加盖公章）的复印件，提供税务登记证及组织机构代码证复印件。</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已提供加载有统一社会信用代码营业执照的，视为已提供税务登记证和组织机构代码证。</w:t>
            </w:r>
          </w:p>
        </w:tc>
      </w:tr>
      <w:tr w14:paraId="3A50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top"/>
          </w:tcPr>
          <w:p w14:paraId="77DC7F73">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noWrap w:val="0"/>
            <w:vAlign w:val="top"/>
          </w:tcPr>
          <w:p w14:paraId="4AB8C838">
            <w:pPr>
              <w:spacing w:line="360" w:lineRule="auto"/>
              <w:jc w:val="center"/>
              <w:rPr>
                <w:rFonts w:hint="eastAsia" w:ascii="宋体" w:hAnsi="宋体" w:eastAsia="宋体" w:cs="宋体"/>
                <w:color w:val="auto"/>
                <w:sz w:val="24"/>
                <w:szCs w:val="24"/>
                <w:highlight w:val="none"/>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64BACE7D">
            <w:pPr>
              <w:spacing w:line="360" w:lineRule="auto"/>
              <w:jc w:val="center"/>
              <w:rPr>
                <w:rFonts w:hint="eastAsia" w:ascii="宋体" w:hAnsi="宋体" w:eastAsia="宋体" w:cs="宋体"/>
                <w:color w:val="auto"/>
                <w:sz w:val="24"/>
                <w:szCs w:val="24"/>
                <w:highlight w:val="none"/>
              </w:rPr>
            </w:pPr>
          </w:p>
        </w:tc>
        <w:tc>
          <w:tcPr>
            <w:tcW w:w="5925" w:type="dxa"/>
            <w:tcBorders>
              <w:top w:val="single" w:color="auto" w:sz="4" w:space="0"/>
              <w:left w:val="single" w:color="auto" w:sz="4" w:space="0"/>
              <w:bottom w:val="single" w:color="auto" w:sz="4" w:space="0"/>
              <w:right w:val="single" w:color="auto" w:sz="4" w:space="0"/>
            </w:tcBorders>
            <w:noWrap w:val="0"/>
            <w:vAlign w:val="top"/>
          </w:tcPr>
          <w:p w14:paraId="6563A51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全权代表若不是单位负责人，应提供单位授权书原件，并提供被授权代表身份证复印件。</w:t>
            </w:r>
          </w:p>
        </w:tc>
      </w:tr>
      <w:tr w14:paraId="2A17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tcBorders>
              <w:top w:val="single" w:color="auto" w:sz="4" w:space="0"/>
              <w:left w:val="single" w:color="auto" w:sz="4" w:space="0"/>
              <w:bottom w:val="single" w:color="auto" w:sz="4" w:space="0"/>
              <w:right w:val="single" w:color="auto" w:sz="4" w:space="0"/>
            </w:tcBorders>
            <w:noWrap w:val="0"/>
            <w:vAlign w:val="top"/>
          </w:tcPr>
          <w:p w14:paraId="5C45D175">
            <w:pPr>
              <w:spacing w:line="360" w:lineRule="auto"/>
              <w:ind w:firstLine="3373" w:firstLineChars="1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符合性要求</w:t>
            </w:r>
          </w:p>
        </w:tc>
      </w:tr>
      <w:tr w14:paraId="166A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80672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6790A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80C11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D0B7C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5DE0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88BE6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5B257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70E96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712B04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投标人的投标文件未按规定的投标截止时间之前提交的，其投标将被拒绝。</w:t>
            </w:r>
          </w:p>
        </w:tc>
      </w:tr>
      <w:tr w14:paraId="125D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331D2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480F8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771A5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3D4A47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3.2投标人应遵守并符合中国的有关法律、法规和规章的规定，同时其投标服务也应符合中国的有关法律、法规和规章的规定。认可本须知中的规定。</w:t>
            </w:r>
          </w:p>
        </w:tc>
      </w:tr>
      <w:tr w14:paraId="6C01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16D12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FB0B7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5B40C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70DD3A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3.3一个投标人只能提交一个投标文件。如果投标人之间存在下列互为关联关系的情形之一的，不得同时参加本项目同一合同包投标：</w:t>
            </w:r>
          </w:p>
          <w:p w14:paraId="7DD2C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(1)法定代表人、单位负责人为同一人或夫妻关系的不同投标人；</w:t>
            </w:r>
          </w:p>
          <w:p w14:paraId="18A85E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(2)存在直接控股、管理关系的不同投标人；</w:t>
            </w:r>
          </w:p>
          <w:p w14:paraId="3F1F0C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(3)均为同一家母公司直接或间接持股50％及以上的被投资公司。</w:t>
            </w:r>
          </w:p>
        </w:tc>
      </w:tr>
      <w:tr w14:paraId="6EA3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17625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4BBE07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E8313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8BFBA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14:paraId="1160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74E41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5963F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DF9A5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A63F0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3.8投标人存在下列情形之一的，将被认定为串通投标行为并作无效投标处理：</w:t>
            </w:r>
          </w:p>
          <w:p w14:paraId="46C639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（1）投标人之间协商投标报价等投标文件的实质性内容；</w:t>
            </w:r>
          </w:p>
          <w:p w14:paraId="7D74B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（2）投标人之间约定中标供应商；</w:t>
            </w:r>
          </w:p>
          <w:p w14:paraId="50186A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（3）投标人之间约定部分投标人放弃投标或者中标；</w:t>
            </w:r>
          </w:p>
          <w:p w14:paraId="274DF2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（4）属于同一集团、协会、商会等组织成员的投标人按照该组织要求协同投标；</w:t>
            </w:r>
          </w:p>
          <w:p w14:paraId="4AD42B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（5）投标人之间为谋取中标或者排斥特定投标人而采取的其他联合行动；</w:t>
            </w:r>
          </w:p>
          <w:p w14:paraId="23CE87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（6）不同投标人的投标文件由同一单位或者个人编制；</w:t>
            </w:r>
          </w:p>
          <w:p w14:paraId="603727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（7）不同投标人委托同一单位或者个人办理投标事宜；</w:t>
            </w:r>
          </w:p>
          <w:p w14:paraId="473623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（8）不同投标人的投标文件载明的项目管理成员或者联系人员为同一人；</w:t>
            </w:r>
          </w:p>
          <w:p w14:paraId="61F507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（9）不同投标人的投标文件异常一致或者投标报价呈规律性差异；</w:t>
            </w:r>
          </w:p>
          <w:p w14:paraId="72BCDF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（10）不同投标人的投标文件相互混装；</w:t>
            </w:r>
          </w:p>
          <w:p w14:paraId="3BB3A6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（11）不同投标人的投标保证金从同一单位或者个人的账户转出。</w:t>
            </w:r>
          </w:p>
          <w:p w14:paraId="255545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（12）不同投标人的投标文件错、漏之处一致或雷同，且不能合理解释的；</w:t>
            </w:r>
          </w:p>
          <w:p w14:paraId="437252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（13）不同的投标人的法定代表人、委托代理人等由同一个单位缴纳社会保险的；</w:t>
            </w:r>
          </w:p>
          <w:p w14:paraId="205074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08BFE3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（15）有关法律、法规或规章规定的其他串通投标行为。</w:t>
            </w:r>
          </w:p>
        </w:tc>
      </w:tr>
      <w:tr w14:paraId="1EBE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B6B12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0845B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009CD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5AEF311E">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tc>
      </w:tr>
      <w:tr w14:paraId="4F2B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3D30E4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3660E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4CA73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46FDFE9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8.2除非有另外的规定，投标人可对招标服务一览表所列的全部合同包或部分合同包进行投标。招标采购单位不接受有任何可选择性的报价，每一种服务只能有一个报价，否则其投标将被拒绝。</w:t>
            </w:r>
          </w:p>
        </w:tc>
      </w:tr>
      <w:tr w14:paraId="437D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2F992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1405D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46997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721566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tc>
      </w:tr>
      <w:tr w14:paraId="3DB5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54363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72058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847F0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2AD0A80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tc>
      </w:tr>
      <w:tr w14:paraId="480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7DC0CC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5653F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7A119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13.7</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4D5C17D5">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tc>
      </w:tr>
      <w:tr w14:paraId="6D73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4BB3B2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16D31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024CF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13.9</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083D661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投标人应将上述文件按顺序装订成册、打印页码，并编列投标文件目录、资料清单，由于装订不规范或编排顺序混乱而导致投标文件被误读或漏读，该投标可能被视为无效投标或承担不利的评标结果。</w:t>
            </w:r>
          </w:p>
        </w:tc>
      </w:tr>
      <w:tr w14:paraId="0034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1EF50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F2CB8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79425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5F9B4101">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b/>
                <w:color w:val="auto"/>
                <w:sz w:val="24"/>
                <w:szCs w:val="24"/>
                <w:highlight w:val="none"/>
              </w:rPr>
              <w:t>投标文件未密封将导致其投标被拒绝。</w:t>
            </w:r>
          </w:p>
        </w:tc>
      </w:tr>
      <w:tr w14:paraId="1567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97894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2E0AD5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1F946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14.5</w:t>
            </w:r>
          </w:p>
        </w:tc>
        <w:tc>
          <w:tcPr>
            <w:tcW w:w="5925" w:type="dxa"/>
            <w:tcBorders>
              <w:top w:val="single" w:color="auto" w:sz="4" w:space="0"/>
              <w:left w:val="single" w:color="auto" w:sz="4" w:space="0"/>
              <w:bottom w:val="single" w:color="auto" w:sz="4" w:space="0"/>
              <w:right w:val="single" w:color="auto" w:sz="4" w:space="0"/>
            </w:tcBorders>
            <w:noWrap w:val="0"/>
            <w:vAlign w:val="center"/>
          </w:tcPr>
          <w:p w14:paraId="691538A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14.5投标文件应在投标邀请中规定的截止时间前送达，迟到的投标文件为无效投标文件, 将被拒收。</w:t>
            </w:r>
          </w:p>
        </w:tc>
      </w:tr>
      <w:tr w14:paraId="555D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25E93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4C816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78326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14.7</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5DF591F9">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tc>
      </w:tr>
      <w:tr w14:paraId="4993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D5DF0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DD0BE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921D56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6CA533F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17.投标人任何试图影响评委会对投标文件的评估、比较或者推荐候选人的行为，都将导致其投标按照无效投标处理，并被没收投标保证金。</w:t>
            </w:r>
          </w:p>
        </w:tc>
      </w:tr>
      <w:tr w14:paraId="2785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2FAA0E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16CF98C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A88704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79EA7029">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tc>
      </w:tr>
      <w:tr w14:paraId="4E4D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0668CF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37832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CFEE55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17.3.2</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06D4229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02B7FE5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 未按规定提交投标保证金的；</w:t>
            </w:r>
          </w:p>
          <w:p w14:paraId="3044A19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(2)投标有效期不满足招标文件要求的；</w:t>
            </w:r>
          </w:p>
          <w:p w14:paraId="3A5CE06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(3)投标内容与招标内容及要求有重大偏离或保留的；</w:t>
            </w:r>
          </w:p>
          <w:p w14:paraId="0FE1D85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(4)投标人提交的是可选择的报价；</w:t>
            </w:r>
          </w:p>
          <w:p w14:paraId="27978ED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(5)投标人未按招标文件要求对投标进行分项报价；</w:t>
            </w:r>
          </w:p>
          <w:p w14:paraId="3B3F22A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(6)投标文件中提供虚假或失实资料的；</w:t>
            </w:r>
          </w:p>
          <w:p w14:paraId="762201D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(7)不符合招标文件中规定的其它实质性条款。</w:t>
            </w:r>
          </w:p>
          <w:p w14:paraId="5EED0F83">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评标委员会决定投标的响应性只根据投标文件本身的内容，而不寻求其他的外部证据。</w:t>
            </w:r>
          </w:p>
        </w:tc>
      </w:tr>
      <w:tr w14:paraId="3358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185630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573E27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DE3FC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w:t>
            </w:r>
          </w:p>
        </w:tc>
        <w:tc>
          <w:tcPr>
            <w:tcW w:w="5925" w:type="dxa"/>
            <w:tcBorders>
              <w:top w:val="single" w:color="auto" w:sz="4" w:space="0"/>
              <w:left w:val="single" w:color="auto" w:sz="4" w:space="0"/>
              <w:bottom w:val="single" w:color="auto" w:sz="4" w:space="0"/>
              <w:right w:val="single" w:color="auto" w:sz="4" w:space="0"/>
            </w:tcBorders>
            <w:noWrap w:val="0"/>
            <w:vAlign w:val="top"/>
          </w:tcPr>
          <w:p w14:paraId="6CE8377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17.3.3投标服务必须满足中华人民共和国相关法律法规及行业的强制性要求，否则该投标人的投标将按照无效投标处理。</w:t>
            </w:r>
          </w:p>
        </w:tc>
      </w:tr>
      <w:tr w14:paraId="452F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96" w:type="dxa"/>
            <w:tcBorders>
              <w:top w:val="single" w:color="auto" w:sz="4" w:space="0"/>
            </w:tcBorders>
            <w:noWrap w:val="0"/>
            <w:vAlign w:val="center"/>
          </w:tcPr>
          <w:p w14:paraId="547E888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696" w:type="dxa"/>
            <w:tcBorders>
              <w:top w:val="single" w:color="auto" w:sz="4" w:space="0"/>
            </w:tcBorders>
            <w:noWrap w:val="0"/>
            <w:vAlign w:val="center"/>
          </w:tcPr>
          <w:p w14:paraId="02807B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tcBorders>
              <w:top w:val="single" w:color="auto" w:sz="4" w:space="0"/>
            </w:tcBorders>
            <w:noWrap w:val="0"/>
            <w:vAlign w:val="center"/>
          </w:tcPr>
          <w:p w14:paraId="435BD9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17.3.4</w:t>
            </w:r>
          </w:p>
        </w:tc>
        <w:tc>
          <w:tcPr>
            <w:tcW w:w="5925" w:type="dxa"/>
            <w:tcBorders>
              <w:top w:val="single" w:color="auto" w:sz="4" w:space="0"/>
            </w:tcBorders>
            <w:noWrap w:val="0"/>
            <w:vAlign w:val="center"/>
          </w:tcPr>
          <w:p w14:paraId="547D16C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17.3.4采购人、招标代理机构有下列情形之一的，将被认定为采购人、招标代理机构与投标人有串通投标行为，该投标人投标作无效投标处理：</w:t>
            </w:r>
          </w:p>
          <w:p w14:paraId="0B2986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14:paraId="34D329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14:paraId="53AD93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14:paraId="632086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14:paraId="719476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14:paraId="2442C8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tc>
      </w:tr>
      <w:tr w14:paraId="689E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80DE7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696" w:type="dxa"/>
            <w:noWrap w:val="0"/>
            <w:vAlign w:val="center"/>
          </w:tcPr>
          <w:p w14:paraId="5EC3BC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noWrap w:val="0"/>
            <w:vAlign w:val="center"/>
          </w:tcPr>
          <w:p w14:paraId="31B8E0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17.3.5</w:t>
            </w:r>
          </w:p>
        </w:tc>
        <w:tc>
          <w:tcPr>
            <w:tcW w:w="5925" w:type="dxa"/>
            <w:noWrap w:val="0"/>
            <w:vAlign w:val="center"/>
          </w:tcPr>
          <w:p w14:paraId="391A7CF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tc>
      </w:tr>
      <w:tr w14:paraId="36F4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696B86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696" w:type="dxa"/>
            <w:noWrap w:val="0"/>
            <w:vAlign w:val="center"/>
          </w:tcPr>
          <w:p w14:paraId="53A72C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422" w:type="dxa"/>
            <w:noWrap w:val="0"/>
            <w:vAlign w:val="center"/>
          </w:tcPr>
          <w:p w14:paraId="0AEB8FC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19.3</w:t>
            </w:r>
          </w:p>
        </w:tc>
        <w:tc>
          <w:tcPr>
            <w:tcW w:w="5925" w:type="dxa"/>
            <w:noWrap w:val="0"/>
            <w:vAlign w:val="center"/>
          </w:tcPr>
          <w:p w14:paraId="2703F2D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BD0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CCD13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696" w:type="dxa"/>
            <w:noWrap w:val="0"/>
            <w:vAlign w:val="center"/>
          </w:tcPr>
          <w:p w14:paraId="462DAE86">
            <w:pPr>
              <w:spacing w:line="360" w:lineRule="auto"/>
              <w:jc w:val="center"/>
              <w:rPr>
                <w:rFonts w:hint="eastAsia" w:ascii="宋体" w:hAnsi="宋体" w:eastAsia="宋体" w:cs="宋体"/>
                <w:color w:val="auto"/>
                <w:sz w:val="24"/>
                <w:szCs w:val="24"/>
                <w:highlight w:val="none"/>
              </w:rPr>
            </w:pPr>
          </w:p>
        </w:tc>
        <w:tc>
          <w:tcPr>
            <w:tcW w:w="1422" w:type="dxa"/>
            <w:noWrap w:val="0"/>
            <w:vAlign w:val="center"/>
          </w:tcPr>
          <w:p w14:paraId="0A07107F">
            <w:pPr>
              <w:spacing w:line="360" w:lineRule="auto"/>
              <w:jc w:val="center"/>
              <w:rPr>
                <w:rFonts w:hint="eastAsia" w:ascii="宋体" w:hAnsi="宋体" w:eastAsia="宋体" w:cs="宋体"/>
                <w:color w:val="auto"/>
                <w:sz w:val="24"/>
                <w:szCs w:val="24"/>
                <w:highlight w:val="none"/>
              </w:rPr>
            </w:pPr>
          </w:p>
        </w:tc>
        <w:tc>
          <w:tcPr>
            <w:tcW w:w="5925" w:type="dxa"/>
            <w:noWrap w:val="0"/>
            <w:vAlign w:val="center"/>
          </w:tcPr>
          <w:p w14:paraId="173F315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投标人如果为联合体投标，则必须同时满足下列要求，否则</w:t>
            </w:r>
            <w:r>
              <w:rPr>
                <w:rFonts w:hint="eastAsia" w:ascii="宋体" w:hAnsi="宋体" w:eastAsia="宋体" w:cs="宋体"/>
                <w:color w:val="auto"/>
                <w:sz w:val="24"/>
                <w:szCs w:val="24"/>
                <w:highlight w:val="none"/>
              </w:rPr>
              <w:t>该投标人的投标将按照无效投标处理</w:t>
            </w:r>
            <w:r>
              <w:rPr>
                <w:rFonts w:hint="eastAsia" w:ascii="宋体" w:hAnsi="宋体" w:eastAsia="宋体" w:cs="宋体"/>
                <w:bCs/>
                <w:color w:val="auto"/>
                <w:sz w:val="24"/>
                <w:szCs w:val="24"/>
                <w:highlight w:val="none"/>
              </w:rPr>
              <w:t>：</w:t>
            </w:r>
          </w:p>
          <w:p w14:paraId="60F4CED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①在开标一览表中注明是否联合体投标、联合体组成单位；</w:t>
            </w:r>
          </w:p>
          <w:p w14:paraId="489BC8E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②在投标文件中提供各方盖章签署的共同投标协议原件。</w:t>
            </w:r>
          </w:p>
        </w:tc>
      </w:tr>
      <w:tr w14:paraId="76CE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4D1051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696" w:type="dxa"/>
            <w:noWrap w:val="0"/>
            <w:vAlign w:val="center"/>
          </w:tcPr>
          <w:p w14:paraId="133ACA16">
            <w:pPr>
              <w:spacing w:line="360" w:lineRule="auto"/>
              <w:jc w:val="center"/>
              <w:rPr>
                <w:rFonts w:hint="eastAsia" w:ascii="宋体" w:hAnsi="宋体" w:eastAsia="宋体" w:cs="宋体"/>
                <w:color w:val="auto"/>
                <w:sz w:val="24"/>
                <w:szCs w:val="24"/>
                <w:highlight w:val="none"/>
              </w:rPr>
            </w:pPr>
          </w:p>
        </w:tc>
        <w:tc>
          <w:tcPr>
            <w:tcW w:w="1422" w:type="dxa"/>
            <w:noWrap w:val="0"/>
            <w:vAlign w:val="center"/>
          </w:tcPr>
          <w:p w14:paraId="6C50410A">
            <w:pPr>
              <w:spacing w:line="360" w:lineRule="auto"/>
              <w:jc w:val="center"/>
              <w:rPr>
                <w:rFonts w:hint="eastAsia" w:ascii="宋体" w:hAnsi="宋体" w:eastAsia="宋体" w:cs="宋体"/>
                <w:color w:val="auto"/>
                <w:sz w:val="24"/>
                <w:szCs w:val="24"/>
                <w:highlight w:val="none"/>
              </w:rPr>
            </w:pPr>
          </w:p>
        </w:tc>
        <w:tc>
          <w:tcPr>
            <w:tcW w:w="5925" w:type="dxa"/>
            <w:noWrap w:val="0"/>
            <w:vAlign w:val="center"/>
          </w:tcPr>
          <w:p w14:paraId="26B1221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投标文件中不得附有采购人不能接受的条款，</w:t>
            </w:r>
            <w:r>
              <w:rPr>
                <w:rFonts w:hint="eastAsia" w:ascii="宋体" w:hAnsi="宋体" w:eastAsia="宋体" w:cs="宋体"/>
                <w:color w:val="auto"/>
                <w:sz w:val="24"/>
                <w:szCs w:val="24"/>
                <w:highlight w:val="none"/>
              </w:rPr>
              <w:t>否则该投标人的投标将按照无效投标处理。</w:t>
            </w:r>
          </w:p>
        </w:tc>
      </w:tr>
      <w:tr w14:paraId="7429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0A5C319D">
            <w:pPr>
              <w:pStyle w:val="3"/>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696" w:type="dxa"/>
            <w:noWrap w:val="0"/>
            <w:vAlign w:val="center"/>
          </w:tcPr>
          <w:p w14:paraId="7B107105">
            <w:pPr>
              <w:pStyle w:val="3"/>
              <w:spacing w:line="360" w:lineRule="auto"/>
              <w:rPr>
                <w:rFonts w:hint="eastAsia" w:ascii="宋体" w:hAnsi="宋体" w:eastAsia="宋体" w:cs="宋体"/>
                <w:color w:val="auto"/>
                <w:sz w:val="24"/>
                <w:szCs w:val="24"/>
                <w:highlight w:val="none"/>
              </w:rPr>
            </w:pPr>
          </w:p>
        </w:tc>
        <w:tc>
          <w:tcPr>
            <w:tcW w:w="1422" w:type="dxa"/>
            <w:noWrap w:val="0"/>
            <w:vAlign w:val="center"/>
          </w:tcPr>
          <w:p w14:paraId="1A1352D1">
            <w:pPr>
              <w:pStyle w:val="3"/>
              <w:spacing w:line="360" w:lineRule="auto"/>
              <w:rPr>
                <w:rFonts w:hint="eastAsia" w:ascii="宋体" w:hAnsi="宋体" w:eastAsia="宋体" w:cs="宋体"/>
                <w:b/>
                <w:color w:val="auto"/>
                <w:sz w:val="24"/>
                <w:szCs w:val="24"/>
                <w:highlight w:val="none"/>
              </w:rPr>
            </w:pPr>
          </w:p>
        </w:tc>
        <w:tc>
          <w:tcPr>
            <w:tcW w:w="5925" w:type="dxa"/>
            <w:noWrap w:val="0"/>
            <w:vAlign w:val="center"/>
          </w:tcPr>
          <w:p w14:paraId="1C5EE342">
            <w:pPr>
              <w:pStyle w:val="3"/>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本项目以合同包为单位，对于每个合同包，投标人必须完整地提供合同包要求的所有服务，否则</w:t>
            </w:r>
            <w:r>
              <w:rPr>
                <w:rFonts w:hint="eastAsia" w:ascii="宋体" w:hAnsi="宋体" w:eastAsia="宋体" w:cs="宋体"/>
                <w:color w:val="auto"/>
                <w:sz w:val="24"/>
                <w:szCs w:val="24"/>
                <w:highlight w:val="none"/>
              </w:rPr>
              <w:t>该投标人针对该合同包的投标将按照无效投标处理</w:t>
            </w:r>
            <w:r>
              <w:rPr>
                <w:rFonts w:hint="eastAsia" w:ascii="宋体" w:hAnsi="宋体" w:eastAsia="宋体" w:cs="宋体"/>
                <w:bCs/>
                <w:color w:val="auto"/>
                <w:sz w:val="24"/>
                <w:szCs w:val="24"/>
                <w:highlight w:val="none"/>
              </w:rPr>
              <w:t>。</w:t>
            </w:r>
          </w:p>
        </w:tc>
      </w:tr>
      <w:tr w14:paraId="13F4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166C8E12">
            <w:pPr>
              <w:pStyle w:val="3"/>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696" w:type="dxa"/>
            <w:tcBorders>
              <w:bottom w:val="single" w:color="auto" w:sz="4" w:space="0"/>
            </w:tcBorders>
            <w:noWrap w:val="0"/>
            <w:vAlign w:val="center"/>
          </w:tcPr>
          <w:p w14:paraId="5BBBD058">
            <w:pPr>
              <w:pStyle w:val="3"/>
              <w:spacing w:line="360" w:lineRule="auto"/>
              <w:rPr>
                <w:rFonts w:hint="eastAsia" w:ascii="宋体" w:hAnsi="宋体" w:eastAsia="宋体" w:cs="宋体"/>
                <w:b/>
                <w:color w:val="auto"/>
                <w:sz w:val="24"/>
                <w:szCs w:val="24"/>
                <w:highlight w:val="none"/>
              </w:rPr>
            </w:pPr>
          </w:p>
        </w:tc>
        <w:tc>
          <w:tcPr>
            <w:tcW w:w="1422" w:type="dxa"/>
            <w:tcBorders>
              <w:bottom w:val="single" w:color="auto" w:sz="4" w:space="0"/>
            </w:tcBorders>
            <w:noWrap w:val="0"/>
            <w:vAlign w:val="center"/>
          </w:tcPr>
          <w:p w14:paraId="557FB7AD">
            <w:pPr>
              <w:pStyle w:val="3"/>
              <w:spacing w:line="360" w:lineRule="auto"/>
              <w:rPr>
                <w:rFonts w:hint="eastAsia" w:ascii="宋体" w:hAnsi="宋体" w:eastAsia="宋体" w:cs="宋体"/>
                <w:b/>
                <w:color w:val="auto"/>
                <w:sz w:val="24"/>
                <w:szCs w:val="24"/>
                <w:highlight w:val="none"/>
              </w:rPr>
            </w:pPr>
          </w:p>
        </w:tc>
        <w:tc>
          <w:tcPr>
            <w:tcW w:w="5925" w:type="dxa"/>
            <w:tcBorders>
              <w:bottom w:val="single" w:color="auto" w:sz="4" w:space="0"/>
            </w:tcBorders>
            <w:noWrap w:val="0"/>
            <w:vAlign w:val="center"/>
          </w:tcPr>
          <w:p w14:paraId="7F12A162">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其他不满足招标文件要求经评标委员会认定须作无效投标处理的。</w:t>
            </w:r>
          </w:p>
        </w:tc>
      </w:tr>
      <w:tr w14:paraId="0611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11450CA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696" w:type="dxa"/>
            <w:noWrap w:val="0"/>
            <w:vAlign w:val="center"/>
          </w:tcPr>
          <w:p w14:paraId="5F2B7CE1">
            <w:pPr>
              <w:spacing w:line="360" w:lineRule="auto"/>
              <w:jc w:val="center"/>
              <w:rPr>
                <w:rFonts w:hint="eastAsia" w:ascii="宋体" w:hAnsi="宋体" w:eastAsia="宋体" w:cs="宋体"/>
                <w:color w:val="auto"/>
                <w:sz w:val="24"/>
                <w:szCs w:val="24"/>
                <w:highlight w:val="none"/>
              </w:rPr>
            </w:pPr>
          </w:p>
        </w:tc>
        <w:tc>
          <w:tcPr>
            <w:tcW w:w="1422" w:type="dxa"/>
            <w:noWrap w:val="0"/>
            <w:vAlign w:val="center"/>
          </w:tcPr>
          <w:p w14:paraId="69148C59">
            <w:pPr>
              <w:spacing w:line="360" w:lineRule="auto"/>
              <w:jc w:val="center"/>
              <w:rPr>
                <w:rFonts w:hint="eastAsia" w:ascii="宋体" w:hAnsi="宋体" w:eastAsia="宋体" w:cs="宋体"/>
                <w:color w:val="auto"/>
                <w:sz w:val="24"/>
                <w:szCs w:val="24"/>
                <w:highlight w:val="none"/>
              </w:rPr>
            </w:pPr>
          </w:p>
        </w:tc>
        <w:tc>
          <w:tcPr>
            <w:tcW w:w="5925" w:type="dxa"/>
            <w:noWrap w:val="0"/>
            <w:vAlign w:val="center"/>
          </w:tcPr>
          <w:p w14:paraId="0AAEE54F">
            <w:pPr>
              <w:pStyle w:val="1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hAnsi="宋体" w:eastAsia="宋体" w:cs="宋体"/>
                <w:color w:val="auto"/>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123号）规定的包装要求，其他包装需求详见招标文件具体规定。采购人、中标供应商双方签订合同及验收环节，应包含上述包装要求的条款。</w:t>
            </w:r>
          </w:p>
        </w:tc>
      </w:tr>
      <w:tr w14:paraId="342B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1057D040">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696" w:type="dxa"/>
            <w:tcBorders>
              <w:bottom w:val="single" w:color="auto" w:sz="4" w:space="0"/>
            </w:tcBorders>
            <w:noWrap w:val="0"/>
            <w:vAlign w:val="center"/>
          </w:tcPr>
          <w:p w14:paraId="1C939808">
            <w:pPr>
              <w:spacing w:line="360" w:lineRule="auto"/>
              <w:jc w:val="center"/>
              <w:rPr>
                <w:rFonts w:hint="eastAsia" w:ascii="宋体" w:hAnsi="宋体" w:eastAsia="宋体" w:cs="宋体"/>
                <w:color w:val="auto"/>
                <w:sz w:val="24"/>
                <w:szCs w:val="24"/>
                <w:highlight w:val="none"/>
              </w:rPr>
            </w:pPr>
          </w:p>
        </w:tc>
        <w:tc>
          <w:tcPr>
            <w:tcW w:w="1422" w:type="dxa"/>
            <w:tcBorders>
              <w:bottom w:val="single" w:color="auto" w:sz="4" w:space="0"/>
            </w:tcBorders>
            <w:noWrap w:val="0"/>
            <w:vAlign w:val="center"/>
          </w:tcPr>
          <w:p w14:paraId="094075E7">
            <w:pPr>
              <w:spacing w:line="360" w:lineRule="auto"/>
              <w:jc w:val="center"/>
              <w:rPr>
                <w:rFonts w:hint="eastAsia" w:ascii="宋体" w:hAnsi="宋体" w:eastAsia="宋体" w:cs="宋体"/>
                <w:color w:val="auto"/>
                <w:sz w:val="24"/>
                <w:szCs w:val="24"/>
                <w:highlight w:val="none"/>
              </w:rPr>
            </w:pPr>
          </w:p>
        </w:tc>
        <w:tc>
          <w:tcPr>
            <w:tcW w:w="5925" w:type="dxa"/>
            <w:tcBorders>
              <w:bottom w:val="single" w:color="auto" w:sz="4" w:space="0"/>
            </w:tcBorders>
            <w:noWrap w:val="0"/>
            <w:vAlign w:val="center"/>
          </w:tcPr>
          <w:p w14:paraId="0CE767CF">
            <w:pPr>
              <w:spacing w:line="360" w:lineRule="auto"/>
              <w:rPr>
                <w:rFonts w:hint="eastAsia" w:hAnsi="宋体" w:eastAsia="宋体" w:cs="宋体"/>
                <w:color w:val="auto"/>
                <w:highlight w:val="none"/>
                <w:lang w:val="en-US" w:eastAsia="zh-CN"/>
              </w:rPr>
            </w:pP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eastAsia="zh-CN"/>
              </w:rPr>
              <w:t>项目的采购预算为人民币</w:t>
            </w:r>
            <w:r>
              <w:rPr>
                <w:rFonts w:hint="eastAsia" w:ascii="宋体" w:hAnsi="宋体" w:cs="宋体"/>
                <w:b/>
                <w:color w:val="auto"/>
                <w:sz w:val="24"/>
                <w:szCs w:val="24"/>
                <w:highlight w:val="none"/>
                <w:lang w:val="en-US" w:eastAsia="zh-CN"/>
              </w:rPr>
              <w:t>20.4</w:t>
            </w:r>
            <w:r>
              <w:rPr>
                <w:rFonts w:hint="eastAsia" w:ascii="宋体" w:hAnsi="宋体" w:eastAsia="宋体" w:cs="宋体"/>
                <w:b/>
                <w:color w:val="auto"/>
                <w:sz w:val="24"/>
                <w:szCs w:val="24"/>
                <w:highlight w:val="none"/>
                <w:lang w:eastAsia="zh-CN"/>
              </w:rPr>
              <w:t>万元，采购预算为总报价的最高限价，总报价超过采购预算的属无效报价。</w:t>
            </w:r>
          </w:p>
        </w:tc>
      </w:tr>
    </w:tbl>
    <w:p w14:paraId="1118B4AB">
      <w:pPr>
        <w:spacing w:line="360" w:lineRule="auto"/>
        <w:jc w:val="left"/>
        <w:rPr>
          <w:rFonts w:hint="eastAsia" w:ascii="宋体" w:hAnsi="宋体" w:eastAsia="宋体" w:cs="宋体"/>
          <w:bCs/>
          <w:color w:val="auto"/>
          <w:sz w:val="24"/>
          <w:szCs w:val="24"/>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Cs/>
          <w:color w:val="auto"/>
          <w:sz w:val="24"/>
          <w:szCs w:val="24"/>
          <w:highlight w:val="none"/>
        </w:rPr>
        <w:t>备注：由于编排顺序混乱而导致投标文件被误读或漏读，该投标人的投标可能被视为无效投标或承担不利的评标结果。</w:t>
      </w:r>
    </w:p>
    <w:p w14:paraId="04F9149E">
      <w:pPr>
        <w:spacing w:line="360" w:lineRule="auto"/>
        <w:jc w:val="center"/>
        <w:outlineLvl w:val="1"/>
        <w:rPr>
          <w:rFonts w:hint="eastAsia" w:ascii="宋体" w:hAnsi="宋体" w:eastAsia="宋体" w:cs="宋体"/>
          <w:b/>
          <w:color w:val="auto"/>
          <w:sz w:val="24"/>
          <w:szCs w:val="24"/>
          <w:highlight w:val="none"/>
          <w:u w:val="single"/>
        </w:rPr>
      </w:pPr>
      <w:bookmarkStart w:id="17" w:name="_Toc25386"/>
      <w:bookmarkStart w:id="18" w:name="_Toc354833373"/>
      <w:r>
        <w:rPr>
          <w:rFonts w:hint="eastAsia" w:ascii="宋体" w:hAnsi="宋体" w:eastAsia="宋体" w:cs="宋体"/>
          <w:b/>
          <w:bCs/>
          <w:color w:val="auto"/>
          <w:sz w:val="32"/>
          <w:szCs w:val="32"/>
          <w:highlight w:val="none"/>
        </w:rPr>
        <w:t>投标人须知前附表3：评标方法、评标标准、定标原则</w:t>
      </w:r>
      <w:bookmarkEnd w:id="17"/>
      <w:bookmarkEnd w:id="18"/>
    </w:p>
    <w:tbl>
      <w:tblPr>
        <w:tblStyle w:val="1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06DE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0" w:type="dxa"/>
            <w:tcBorders>
              <w:top w:val="single" w:color="auto" w:sz="4" w:space="0"/>
              <w:left w:val="single" w:color="auto" w:sz="4" w:space="0"/>
              <w:bottom w:val="single" w:color="auto" w:sz="4" w:space="0"/>
              <w:right w:val="single" w:color="auto" w:sz="4" w:space="0"/>
            </w:tcBorders>
            <w:noWrap w:val="0"/>
            <w:vAlign w:val="top"/>
          </w:tcPr>
          <w:p w14:paraId="04A4FD4B">
            <w:pPr>
              <w:pStyle w:val="3"/>
              <w:numPr>
                <w:ilvl w:val="0"/>
                <w:numId w:val="2"/>
              </w:num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p w14:paraId="3CBAA8EB">
            <w:pPr>
              <w:pStyle w:val="3"/>
              <w:spacing w:line="360" w:lineRule="auto"/>
              <w:ind w:left="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 综合评分法  □ 最低评标价法  </w:t>
            </w:r>
          </w:p>
        </w:tc>
      </w:tr>
      <w:tr w14:paraId="6E48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0B73AA87">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14:paraId="79FD32DF">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（一）具体的评标标准、权重。</w:t>
            </w:r>
          </w:p>
          <w:p w14:paraId="53B1984C">
            <w:pPr>
              <w:pStyle w:val="3"/>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p w14:paraId="04C15949">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（二）推荐中标候选供应商名单。</w:t>
            </w:r>
          </w:p>
          <w:p w14:paraId="6F061887">
            <w:pPr>
              <w:pStyle w:val="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1、中标候选供应商数量：</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个。</w:t>
            </w:r>
          </w:p>
          <w:p w14:paraId="3C89FE3A">
            <w:pPr>
              <w:pStyle w:val="3"/>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2、中标候选供应商排列顺序。经投标文件初审、澄清有关问题、比较与评价评标程序后，按以下办法推荐中标候选供应商名单的排列顺序（请按采购项目的评标方法从以下两项中选择一项打“√”）：</w:t>
            </w:r>
          </w:p>
          <w:p w14:paraId="17EB5A4B">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□采用最低评标价法的，按投标报价由低到高顺序排列。投标报价相同的，按技术指标优劣顺序排列。</w:t>
            </w:r>
          </w:p>
          <w:p w14:paraId="1E5EB45E">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采用综合评分法的，按评审后得分由高到低顺序排列。得分相同的，按投标报价由低到高顺序排列。综合得分相同且投标报价相同的，按技术得分顺序排列。综合得分相同且投标报价相同且技术得分相同的，由评标委员会投票表决。</w:t>
            </w:r>
          </w:p>
          <w:p w14:paraId="374A55C6">
            <w:pPr>
              <w:pStyle w:val="3"/>
              <w:spacing w:line="360" w:lineRule="auto"/>
              <w:ind w:firstLineChars="17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3、综合评分法特别无效投标认定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无</w:t>
            </w:r>
          </w:p>
        </w:tc>
      </w:tr>
      <w:tr w14:paraId="48AC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14:paraId="7946B55D">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三、定标原则（确定中标供应商数量：</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w:t>
            </w:r>
          </w:p>
          <w:p w14:paraId="5AC6853B">
            <w:pPr>
              <w:pStyle w:val="3"/>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采购人委托招标代理机构招标，在收到评标报告后五个工作日内，按照评标报告中推荐的中标候选供应商顺序确定中标供应商。</w:t>
            </w:r>
          </w:p>
          <w:p w14:paraId="3BBF2C6D">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采购人委托招标代理机构招标，授权评标委员会直接确定中标供应商。</w:t>
            </w:r>
          </w:p>
          <w:p w14:paraId="33813D61">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采购人自行组织招标，在评标结束后五个工作日内确定中标供应商。</w:t>
            </w:r>
          </w:p>
        </w:tc>
      </w:tr>
    </w:tbl>
    <w:p w14:paraId="45975A5D">
      <w:pPr>
        <w:pStyle w:val="3"/>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注：以联合体形式投标的，只能以联合体其中一方具备的条件作为评标依据。投标人应在投标文件中明确以联合体的确定一方的条件参与商务评分，投标人未明确的，则该投标人的该项商务评分按最低分处理。</w:t>
      </w:r>
    </w:p>
    <w:p w14:paraId="33838BD3">
      <w:pPr>
        <w:tabs>
          <w:tab w:val="left" w:pos="-1080"/>
          <w:tab w:val="left" w:pos="180"/>
          <w:tab w:val="left" w:pos="1080"/>
        </w:tabs>
        <w:spacing w:line="360" w:lineRule="auto"/>
        <w:rPr>
          <w:rFonts w:hint="eastAsia" w:ascii="宋体" w:hAnsi="宋体" w:eastAsia="宋体" w:cs="宋体"/>
          <w:b/>
          <w:color w:val="auto"/>
          <w:sz w:val="24"/>
          <w:szCs w:val="24"/>
          <w:highlight w:val="none"/>
        </w:rPr>
      </w:pPr>
    </w:p>
    <w:p w14:paraId="17D34C83">
      <w:pPr>
        <w:tabs>
          <w:tab w:val="left" w:pos="-1080"/>
          <w:tab w:val="left" w:pos="180"/>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附件：评标标准、权重</w:t>
      </w:r>
    </w:p>
    <w:p w14:paraId="06FEFC01">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（一）技术评分(F1)：按</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rPr>
        <w:t>分评分法，技术评分考虑下列因素：</w:t>
      </w:r>
    </w:p>
    <w:tbl>
      <w:tblPr>
        <w:tblStyle w:val="1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140"/>
        <w:gridCol w:w="846"/>
      </w:tblGrid>
      <w:tr w14:paraId="429B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08D6CCE4">
            <w:pPr>
              <w:pStyle w:val="17"/>
              <w:widowControl/>
              <w:spacing w:line="360" w:lineRule="auto"/>
              <w:jc w:val="center"/>
              <w:rPr>
                <w:rFonts w:hint="eastAsia" w:ascii="宋体" w:hAnsi="宋体" w:cs="Arial"/>
                <w:b/>
                <w:bCs/>
                <w:color w:val="auto"/>
                <w:kern w:val="10"/>
                <w:sz w:val="24"/>
                <w:szCs w:val="24"/>
                <w:highlight w:val="none"/>
              </w:rPr>
            </w:pPr>
            <w:r>
              <w:rPr>
                <w:rFonts w:hint="eastAsia" w:ascii="宋体" w:hAnsi="宋体" w:cs="宋体"/>
                <w:b/>
                <w:bCs/>
                <w:color w:val="auto"/>
                <w:sz w:val="24"/>
                <w:szCs w:val="24"/>
                <w:highlight w:val="none"/>
              </w:rPr>
              <w:t>序号</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67779924">
            <w:pPr>
              <w:spacing w:line="360" w:lineRule="auto"/>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bidi="ar"/>
              </w:rPr>
              <w:t>评分界定</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75EA548E">
            <w:pPr>
              <w:spacing w:line="360" w:lineRule="auto"/>
              <w:jc w:val="center"/>
              <w:rPr>
                <w:rFonts w:hint="eastAsia" w:ascii="宋体" w:hAnsi="宋体" w:cs="Arial"/>
                <w:b/>
                <w:bCs/>
                <w:color w:val="auto"/>
                <w:sz w:val="24"/>
                <w:szCs w:val="24"/>
                <w:highlight w:val="none"/>
              </w:rPr>
            </w:pPr>
            <w:r>
              <w:rPr>
                <w:rFonts w:hint="eastAsia" w:ascii="宋体" w:hAnsi="宋体" w:cs="宋体"/>
                <w:b/>
                <w:bCs/>
                <w:color w:val="auto"/>
                <w:sz w:val="24"/>
                <w:szCs w:val="24"/>
                <w:highlight w:val="none"/>
                <w:lang w:bidi="ar"/>
              </w:rPr>
              <w:t>满分</w:t>
            </w:r>
          </w:p>
          <w:p w14:paraId="1B859B40">
            <w:pPr>
              <w:spacing w:line="360" w:lineRule="auto"/>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bidi="ar"/>
              </w:rPr>
              <w:t>分值</w:t>
            </w:r>
          </w:p>
        </w:tc>
      </w:tr>
      <w:tr w14:paraId="73F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500AF448">
            <w:pPr>
              <w:pStyle w:val="17"/>
              <w:widowControl/>
              <w:spacing w:line="360" w:lineRule="auto"/>
              <w:jc w:val="center"/>
              <w:rPr>
                <w:rFonts w:hint="eastAsia" w:ascii="宋体" w:hAnsi="宋体" w:cs="Arial"/>
                <w:color w:val="auto"/>
                <w:kern w:val="10"/>
                <w:sz w:val="24"/>
                <w:szCs w:val="24"/>
                <w:highlight w:val="none"/>
              </w:rPr>
            </w:pPr>
            <w:r>
              <w:rPr>
                <w:rFonts w:hint="eastAsia" w:ascii="宋体" w:hAnsi="宋体" w:cs="宋体"/>
                <w:color w:val="auto"/>
                <w:kern w:val="10"/>
                <w:sz w:val="24"/>
                <w:szCs w:val="24"/>
                <w:highlight w:val="none"/>
              </w:rPr>
              <w:t>1</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2F98D29A">
            <w:pPr>
              <w:spacing w:line="360" w:lineRule="auto"/>
              <w:rPr>
                <w:rFonts w:hint="eastAsia" w:ascii="宋体" w:hAnsi="宋体"/>
                <w:color w:val="auto"/>
                <w:sz w:val="24"/>
                <w:szCs w:val="24"/>
                <w:highlight w:val="none"/>
              </w:rPr>
            </w:pPr>
            <w:r>
              <w:rPr>
                <w:rFonts w:hint="eastAsia" w:ascii="宋体" w:hAnsi="宋体" w:eastAsia="宋体" w:cs="宋体"/>
                <w:color w:val="auto"/>
                <w:kern w:val="0"/>
                <w:sz w:val="24"/>
                <w:szCs w:val="24"/>
                <w:highlight w:val="none"/>
              </w:rPr>
              <w:t>根据各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提供的</w:t>
            </w:r>
            <w:r>
              <w:rPr>
                <w:rFonts w:hint="eastAsia" w:ascii="宋体" w:hAnsi="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中对第三章招标内容及要求“二、技术要求”中“▲”标示的内容（共12项）作出明确的逐项响应承诺,在《技术规格和商务偏离表》中列明是否偏离，并对其真实性负责，完全满足</w:t>
            </w:r>
            <w:r>
              <w:rPr>
                <w:rFonts w:hint="eastAsia" w:ascii="宋体" w:hAnsi="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要求的得36分；采购要求每存在一项负偏离（或未响应）扣3分，直至扣完为止。</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3B7D40EA">
            <w:pPr>
              <w:spacing w:line="360" w:lineRule="auto"/>
              <w:jc w:val="center"/>
              <w:rPr>
                <w:rFonts w:hint="eastAsia" w:ascii="宋体" w:hAnsi="宋体"/>
                <w:color w:val="auto"/>
                <w:sz w:val="24"/>
                <w:szCs w:val="24"/>
                <w:highlight w:val="none"/>
              </w:rPr>
            </w:pPr>
            <w:r>
              <w:rPr>
                <w:rFonts w:hint="eastAsia" w:ascii="宋体" w:hAnsi="宋体" w:eastAsia="宋体" w:cs="宋体"/>
                <w:color w:val="auto"/>
                <w:sz w:val="24"/>
                <w:szCs w:val="24"/>
                <w:highlight w:val="none"/>
              </w:rPr>
              <w:t>36分</w:t>
            </w:r>
          </w:p>
        </w:tc>
      </w:tr>
      <w:tr w14:paraId="6126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035E503F">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2</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623948E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提供的整体设计方案是否具有创新、整体设计造型及效果是否具有视觉冲击力和震撼力，是否符合相关主题，由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进行综合评分，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bidi="ar"/>
              </w:rPr>
              <w:t>方案创新、效果冲击力强、震撼，符合主题</w:t>
            </w:r>
            <w:r>
              <w:rPr>
                <w:rFonts w:hint="eastAsia" w:ascii="宋体" w:hAnsi="宋体" w:cs="宋体"/>
                <w:color w:val="auto"/>
                <w:kern w:val="0"/>
                <w:sz w:val="24"/>
                <w:szCs w:val="24"/>
                <w:highlight w:val="none"/>
                <w:lang w:eastAsia="zh-CN" w:bidi="ar"/>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77EE9ECC">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6BF6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894B285">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3</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09A2307A">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w:t>
            </w:r>
            <w:r>
              <w:rPr>
                <w:rFonts w:hint="eastAsia" w:ascii="宋体" w:hAnsi="宋体" w:cs="宋体"/>
                <w:b w:val="0"/>
                <w:bCs w:val="0"/>
                <w:color w:val="auto"/>
                <w:sz w:val="24"/>
                <w:szCs w:val="24"/>
                <w:highlight w:val="none"/>
                <w:lang w:val="en-US" w:eastAsia="zh-CN"/>
              </w:rPr>
              <w:t>简洁</w:t>
            </w:r>
            <w:r>
              <w:rPr>
                <w:rFonts w:hint="eastAsia" w:ascii="宋体" w:hAnsi="宋体" w:cs="宋体"/>
                <w:b w:val="0"/>
                <w:bCs w:val="0"/>
                <w:color w:val="auto"/>
                <w:kern w:val="0"/>
                <w:sz w:val="24"/>
                <w:szCs w:val="24"/>
                <w:highlight w:val="none"/>
                <w:lang w:bidi="ar"/>
              </w:rPr>
              <w:t>、</w:t>
            </w:r>
            <w:r>
              <w:rPr>
                <w:rFonts w:hint="eastAsia" w:ascii="宋体" w:hAnsi="宋体" w:cs="宋体"/>
                <w:color w:val="auto"/>
                <w:kern w:val="0"/>
                <w:sz w:val="24"/>
                <w:szCs w:val="24"/>
                <w:highlight w:val="none"/>
                <w:lang w:bidi="ar"/>
              </w:rPr>
              <w:t>兼顾人流、绿色环保”展位整体设计和制作的整体效果图，由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bidi="ar"/>
              </w:rPr>
              <w:t>布局合理</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设计美观、创新性</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可行性强</w:t>
            </w:r>
            <w:r>
              <w:rPr>
                <w:rFonts w:hint="eastAsia" w:ascii="宋体" w:hAnsi="宋体" w:cs="宋体"/>
                <w:color w:val="auto"/>
                <w:kern w:val="0"/>
                <w:sz w:val="24"/>
                <w:szCs w:val="24"/>
                <w:highlight w:val="none"/>
                <w:lang w:eastAsia="zh-CN" w:bidi="ar"/>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720401BE">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5A57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55F00CDC">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4</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16692B9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针对本项目布展提供的声、光、电技术及高新技术手段，利用包含但不限于电子屏、灯光以及交互影像等展陈方式，展现相关展示内容，从多方面体现新技术、新理念与新模式，充分体现沉浸式创意布展，调动观众主动走进展位了解板块内容。搭配效果、新颖性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69070575">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3186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4FB62DC">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5</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5134C811">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提供的实物展示方案的合理性，及相关俯视图，效果图，由评委进行评分，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34E9A68">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015B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0F873351">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6</w:t>
            </w:r>
          </w:p>
        </w:tc>
        <w:tc>
          <w:tcPr>
            <w:tcW w:w="4077" w:type="pct"/>
            <w:tcBorders>
              <w:top w:val="single" w:color="auto" w:sz="4" w:space="0"/>
              <w:left w:val="single" w:color="auto" w:sz="4" w:space="0"/>
              <w:bottom w:val="single" w:color="auto" w:sz="4" w:space="0"/>
              <w:right w:val="single" w:color="auto" w:sz="4" w:space="0"/>
            </w:tcBorders>
            <w:noWrap w:val="0"/>
            <w:vAlign w:val="center"/>
          </w:tcPr>
          <w:p w14:paraId="5618998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提供布展设计是否环保，可循环布展材料的使用率由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进行综合评分，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bidi="ar"/>
              </w:rPr>
              <w:t>布展设计环保，可循环布展材料使用率高</w:t>
            </w:r>
            <w:r>
              <w:rPr>
                <w:rFonts w:hint="eastAsia" w:ascii="宋体" w:hAnsi="宋体" w:cs="宋体"/>
                <w:color w:val="auto"/>
                <w:kern w:val="0"/>
                <w:sz w:val="24"/>
                <w:szCs w:val="24"/>
                <w:highlight w:val="none"/>
                <w:lang w:eastAsia="zh-CN" w:bidi="ar"/>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w:t>
            </w:r>
            <w:r>
              <w:rPr>
                <w:rFonts w:hint="eastAsia" w:ascii="宋体" w:hAnsi="宋体" w:cs="宋体"/>
                <w:color w:val="auto"/>
                <w:kern w:val="0"/>
                <w:sz w:val="24"/>
                <w:szCs w:val="24"/>
                <w:highlight w:val="none"/>
                <w:lang w:bidi="ar"/>
              </w:rPr>
              <w:t>布展设计不环保</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未使用可循环布展材料</w:t>
            </w:r>
            <w:r>
              <w:rPr>
                <w:rFonts w:hint="eastAsia" w:ascii="宋体" w:hAnsi="宋体" w:cs="宋体"/>
                <w:color w:val="auto"/>
                <w:kern w:val="0"/>
                <w:sz w:val="24"/>
                <w:szCs w:val="24"/>
                <w:highlight w:val="none"/>
                <w:lang w:val="en-US" w:eastAsia="zh-CN" w:bidi="ar"/>
              </w:rPr>
              <w:t>或未提供方案得到</w:t>
            </w:r>
            <w:r>
              <w:rPr>
                <w:rFonts w:hint="eastAsia" w:ascii="宋体" w:hAnsi="宋体" w:cs="宋体"/>
                <w:color w:val="auto"/>
                <w:kern w:val="0"/>
                <w:sz w:val="24"/>
                <w:szCs w:val="24"/>
                <w:highlight w:val="none"/>
                <w:lang w:bidi="ar"/>
              </w:rPr>
              <w:t>的</w:t>
            </w:r>
            <w:r>
              <w:rPr>
                <w:rFonts w:hint="eastAsia" w:ascii="宋体" w:hAnsi="宋体" w:cs="宋体"/>
                <w:color w:val="auto"/>
                <w:kern w:val="0"/>
                <w:sz w:val="24"/>
                <w:szCs w:val="24"/>
                <w:highlight w:val="none"/>
                <w:lang w:val="en-US" w:eastAsia="zh-CN" w:bidi="ar"/>
              </w:rPr>
              <w:t>均</w:t>
            </w:r>
            <w:r>
              <w:rPr>
                <w:rFonts w:hint="eastAsia" w:ascii="宋体" w:hAnsi="宋体" w:cs="宋体"/>
                <w:color w:val="auto"/>
                <w:kern w:val="0"/>
                <w:sz w:val="24"/>
                <w:szCs w:val="24"/>
                <w:highlight w:val="none"/>
                <w:lang w:bidi="ar"/>
              </w:rPr>
              <w:t>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7F9279E0">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4954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174306CA">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7</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0FFD4EE6">
            <w:pPr>
              <w:pStyle w:val="11"/>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提供的施工方案（包括但不限于：实施计划、工期进度、进度控制、关键时间节点把握情况），由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6F10732">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17C7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5CCA6871">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8</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04EECE9C">
            <w:pPr>
              <w:pStyle w:val="11"/>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提供的电路图纸是否规范，包括有关用电资料（含电气结线图，电气分布图及用电总量）等具体的工程图、平面图等，由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进行评分，</w:t>
            </w:r>
            <w:r>
              <w:rPr>
                <w:rFonts w:ascii="宋体" w:hAnsi="宋体" w:cs="宋体"/>
                <w:color w:val="auto"/>
                <w:sz w:val="24"/>
                <w:szCs w:val="24"/>
                <w:highlight w:val="none"/>
              </w:rPr>
              <w:t>①</w:t>
            </w:r>
            <w:r>
              <w:rPr>
                <w:rFonts w:hint="eastAsia" w:ascii="宋体" w:hAnsi="宋体" w:cs="宋体"/>
                <w:color w:val="auto"/>
                <w:kern w:val="0"/>
                <w:highlight w:val="none"/>
                <w:lang w:bidi="ar"/>
              </w:rPr>
              <w:t>能够完整提供上述电子图纸且具有详细图纸说明</w:t>
            </w:r>
            <w:r>
              <w:rPr>
                <w:rFonts w:hint="eastAsia" w:ascii="宋体" w:hAnsi="宋体" w:cs="宋体"/>
                <w:color w:val="auto"/>
                <w:kern w:val="0"/>
                <w:highlight w:val="none"/>
                <w:lang w:val="en-US" w:eastAsia="zh-CN" w:bidi="ar"/>
              </w:rPr>
              <w:t>的</w:t>
            </w:r>
            <w:r>
              <w:rPr>
                <w:rFonts w:hint="eastAsia" w:ascii="宋体" w:hAnsi="宋体" w:cs="宋体"/>
                <w:color w:val="auto"/>
                <w:kern w:val="0"/>
                <w:highlight w:val="none"/>
                <w:lang w:bidi="ar"/>
              </w:rPr>
              <w:t>得3分；</w:t>
            </w:r>
            <w:r>
              <w:rPr>
                <w:rFonts w:ascii="宋体" w:hAnsi="宋体" w:cs="宋体"/>
                <w:color w:val="auto"/>
                <w:sz w:val="24"/>
                <w:szCs w:val="24"/>
                <w:highlight w:val="none"/>
              </w:rPr>
              <w:t>②</w:t>
            </w:r>
            <w:r>
              <w:rPr>
                <w:rFonts w:hint="eastAsia" w:ascii="宋体" w:hAnsi="宋体" w:cs="宋体"/>
                <w:color w:val="auto"/>
                <w:kern w:val="0"/>
                <w:highlight w:val="none"/>
                <w:lang w:bidi="ar"/>
              </w:rPr>
              <w:t>能够完整提供上述图纸但未提供详细图纸说明</w:t>
            </w:r>
            <w:r>
              <w:rPr>
                <w:rFonts w:hint="eastAsia" w:ascii="宋体" w:hAnsi="宋体" w:cs="宋体"/>
                <w:color w:val="auto"/>
                <w:kern w:val="0"/>
                <w:highlight w:val="none"/>
                <w:lang w:val="en-US" w:eastAsia="zh-CN" w:bidi="ar"/>
              </w:rPr>
              <w:t>的</w:t>
            </w:r>
            <w:r>
              <w:rPr>
                <w:rFonts w:hint="eastAsia" w:ascii="宋体" w:hAnsi="宋体" w:cs="宋体"/>
                <w:color w:val="auto"/>
                <w:kern w:val="0"/>
                <w:highlight w:val="none"/>
                <w:lang w:bidi="ar"/>
              </w:rPr>
              <w:t>得2分；</w:t>
            </w:r>
            <w:r>
              <w:rPr>
                <w:rFonts w:hint="default" w:ascii="宋体" w:hAnsi="宋体" w:eastAsia="宋体" w:cs="宋体"/>
                <w:color w:val="auto"/>
                <w:kern w:val="2"/>
                <w:sz w:val="24"/>
                <w:szCs w:val="24"/>
                <w:highlight w:val="none"/>
                <w:lang w:bidi="ar"/>
              </w:rPr>
              <w:t>③</w:t>
            </w:r>
            <w:r>
              <w:rPr>
                <w:rFonts w:hint="eastAsia" w:ascii="宋体" w:hAnsi="宋体" w:cs="宋体"/>
                <w:color w:val="auto"/>
                <w:kern w:val="0"/>
                <w:highlight w:val="none"/>
                <w:lang w:bidi="ar"/>
              </w:rPr>
              <w:t>仅提供部分图纸的得1分；</w:t>
            </w:r>
            <w:r>
              <w:rPr>
                <w:rFonts w:hint="eastAsia" w:ascii="宋体" w:hAnsi="宋体" w:eastAsia="宋体" w:cs="宋体"/>
                <w:color w:val="auto"/>
                <w:kern w:val="0"/>
                <w:sz w:val="24"/>
                <w:szCs w:val="24"/>
                <w:highlight w:val="none"/>
                <w:lang w:val="en-US" w:eastAsia="zh-CN" w:bidi="ar"/>
              </w:rPr>
              <w:t>④</w:t>
            </w:r>
            <w:r>
              <w:rPr>
                <w:rFonts w:hint="eastAsia" w:ascii="宋体" w:hAnsi="宋体" w:cs="宋体"/>
                <w:color w:val="auto"/>
                <w:kern w:val="0"/>
                <w:highlight w:val="none"/>
                <w:lang w:bidi="ar"/>
              </w:rPr>
              <w:t>未提供的不得分。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49D65FA">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0E66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0C39817C">
            <w:pPr>
              <w:pStyle w:val="17"/>
              <w:widowControl/>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rPr>
              <w:t>9</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2B543ED2">
            <w:pPr>
              <w:pStyle w:val="11"/>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使用材料质量水平优劣（材质说明图），结构安全等方面情况，由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进行综合评分：</w:t>
            </w:r>
            <w:r>
              <w:rPr>
                <w:rFonts w:ascii="宋体" w:hAnsi="宋体" w:cs="宋体"/>
                <w:color w:val="auto"/>
                <w:sz w:val="24"/>
                <w:szCs w:val="24"/>
                <w:highlight w:val="none"/>
              </w:rPr>
              <w:t>①</w:t>
            </w:r>
            <w:r>
              <w:rPr>
                <w:rFonts w:hint="eastAsia" w:ascii="宋体" w:hAnsi="宋体" w:cs="宋体"/>
                <w:color w:val="auto"/>
                <w:kern w:val="0"/>
                <w:highlight w:val="none"/>
                <w:lang w:bidi="ar"/>
              </w:rPr>
              <w:t>使用材料质量优异，结构安全等方面情况良好的得3分；</w:t>
            </w:r>
            <w:r>
              <w:rPr>
                <w:rFonts w:ascii="宋体" w:hAnsi="宋体" w:cs="宋体"/>
                <w:color w:val="auto"/>
                <w:sz w:val="24"/>
                <w:szCs w:val="24"/>
                <w:highlight w:val="none"/>
              </w:rPr>
              <w:t>②</w:t>
            </w:r>
            <w:r>
              <w:rPr>
                <w:rFonts w:hint="eastAsia" w:ascii="宋体" w:hAnsi="宋体" w:cs="宋体"/>
                <w:color w:val="auto"/>
                <w:kern w:val="0"/>
                <w:highlight w:val="none"/>
                <w:lang w:bidi="ar"/>
              </w:rPr>
              <w:t>使用材料质量普通，结构安全等方面情况一般的得</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分</w:t>
            </w:r>
            <w:r>
              <w:rPr>
                <w:rFonts w:hint="eastAsia" w:ascii="宋体" w:hAnsi="宋体" w:cs="宋体"/>
                <w:color w:val="auto"/>
                <w:kern w:val="0"/>
                <w:highlight w:val="none"/>
                <w:lang w:eastAsia="zh-CN" w:bidi="ar"/>
              </w:rPr>
              <w:t>；</w:t>
            </w:r>
            <w:r>
              <w:rPr>
                <w:rFonts w:hint="default" w:ascii="宋体" w:hAnsi="宋体" w:eastAsia="宋体" w:cs="宋体"/>
                <w:color w:val="auto"/>
                <w:kern w:val="2"/>
                <w:sz w:val="24"/>
                <w:szCs w:val="24"/>
                <w:highlight w:val="none"/>
                <w:lang w:bidi="ar"/>
              </w:rPr>
              <w:t>③</w:t>
            </w:r>
            <w:r>
              <w:rPr>
                <w:rFonts w:hint="eastAsia" w:ascii="宋体" w:hAnsi="宋体" w:cs="宋体"/>
                <w:color w:val="auto"/>
                <w:kern w:val="0"/>
                <w:highlight w:val="none"/>
                <w:lang w:bidi="ar"/>
              </w:rPr>
              <w:t>其余不得分。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112D952E">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2172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349D8F0E">
            <w:pPr>
              <w:pStyle w:val="17"/>
              <w:widowControl/>
              <w:spacing w:line="360" w:lineRule="auto"/>
              <w:jc w:val="center"/>
              <w:rPr>
                <w:rFonts w:ascii="宋体" w:hAnsi="宋体"/>
                <w:color w:val="auto"/>
                <w:sz w:val="24"/>
                <w:szCs w:val="24"/>
                <w:highlight w:val="none"/>
              </w:rPr>
            </w:pPr>
            <w:r>
              <w:rPr>
                <w:rFonts w:hint="eastAsia" w:ascii="宋体" w:hAnsi="宋体" w:cs="宋体"/>
                <w:color w:val="auto"/>
                <w:sz w:val="24"/>
                <w:szCs w:val="24"/>
                <w:highlight w:val="none"/>
              </w:rPr>
              <w:t>10</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5945A307">
            <w:pPr>
              <w:pStyle w:val="11"/>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是否列明各环节负责人（含总负责人、工程组和设计组等）的名单，以及承诺各环节负责人（含总负责人、工程组和设计组等）24小时手机畅通、随时响应情况，由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进行综合评分：</w:t>
            </w:r>
            <w:r>
              <w:rPr>
                <w:rFonts w:ascii="宋体" w:hAnsi="宋体" w:cs="宋体"/>
                <w:color w:val="auto"/>
                <w:sz w:val="24"/>
                <w:szCs w:val="24"/>
                <w:highlight w:val="none"/>
              </w:rPr>
              <w:t>①</w:t>
            </w:r>
            <w:r>
              <w:rPr>
                <w:rFonts w:hint="eastAsia" w:ascii="宋体" w:hAnsi="宋体" w:cs="宋体"/>
                <w:color w:val="auto"/>
                <w:kern w:val="0"/>
                <w:highlight w:val="none"/>
                <w:lang w:bidi="ar"/>
              </w:rPr>
              <w:t>列明各环节负责人名单且承诺各环节负责人24小时手机畅通、随时响应的得3分；</w:t>
            </w:r>
            <w:r>
              <w:rPr>
                <w:rFonts w:ascii="宋体" w:hAnsi="宋体" w:cs="宋体"/>
                <w:color w:val="auto"/>
                <w:sz w:val="24"/>
                <w:szCs w:val="24"/>
                <w:highlight w:val="none"/>
              </w:rPr>
              <w:t>②</w:t>
            </w:r>
            <w:r>
              <w:rPr>
                <w:rFonts w:hint="eastAsia" w:ascii="宋体" w:hAnsi="宋体" w:cs="宋体"/>
                <w:color w:val="auto"/>
                <w:kern w:val="0"/>
                <w:highlight w:val="none"/>
                <w:lang w:bidi="ar"/>
              </w:rPr>
              <w:t>列明各环节负责人名单，但未承诺各环节负责人24小时手机畅通、随时响应的得2分；</w:t>
            </w:r>
            <w:r>
              <w:rPr>
                <w:rFonts w:hint="default" w:ascii="宋体" w:hAnsi="宋体" w:eastAsia="宋体" w:cs="宋体"/>
                <w:color w:val="auto"/>
                <w:kern w:val="2"/>
                <w:sz w:val="24"/>
                <w:szCs w:val="24"/>
                <w:highlight w:val="none"/>
                <w:lang w:bidi="ar"/>
              </w:rPr>
              <w:t>③</w:t>
            </w:r>
            <w:r>
              <w:rPr>
                <w:rFonts w:hint="eastAsia" w:ascii="宋体" w:hAnsi="宋体" w:cs="宋体"/>
                <w:color w:val="auto"/>
                <w:kern w:val="0"/>
                <w:highlight w:val="none"/>
                <w:lang w:bidi="ar"/>
              </w:rPr>
              <w:t>仅列明部分环节负责人名单的得1分；</w:t>
            </w:r>
            <w:r>
              <w:rPr>
                <w:rFonts w:hint="eastAsia" w:ascii="宋体" w:hAnsi="宋体" w:eastAsia="宋体" w:cs="宋体"/>
                <w:color w:val="auto"/>
                <w:kern w:val="0"/>
                <w:sz w:val="24"/>
                <w:szCs w:val="24"/>
                <w:highlight w:val="none"/>
                <w:lang w:val="en-US" w:eastAsia="zh-CN" w:bidi="ar"/>
              </w:rPr>
              <w:t>④</w:t>
            </w:r>
            <w:r>
              <w:rPr>
                <w:rFonts w:hint="eastAsia" w:ascii="宋体" w:hAnsi="宋体" w:cs="宋体"/>
                <w:color w:val="auto"/>
                <w:kern w:val="0"/>
                <w:highlight w:val="none"/>
                <w:lang w:bidi="ar"/>
              </w:rPr>
              <w:t>其他不得分。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5D68363C">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3分</w:t>
            </w:r>
          </w:p>
        </w:tc>
      </w:tr>
      <w:tr w14:paraId="5D97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14:paraId="46EAF9CB">
            <w:pPr>
              <w:pStyle w:val="17"/>
              <w:widowControl/>
              <w:spacing w:line="360" w:lineRule="auto"/>
              <w:jc w:val="center"/>
              <w:rPr>
                <w:rFonts w:ascii="宋体" w:hAnsi="宋体"/>
                <w:color w:val="auto"/>
                <w:sz w:val="24"/>
                <w:szCs w:val="24"/>
                <w:highlight w:val="none"/>
              </w:rPr>
            </w:pPr>
            <w:r>
              <w:rPr>
                <w:rFonts w:hint="eastAsia" w:ascii="宋体" w:hAnsi="宋体" w:cs="宋体"/>
                <w:color w:val="auto"/>
                <w:sz w:val="24"/>
                <w:szCs w:val="24"/>
                <w:highlight w:val="none"/>
              </w:rPr>
              <w:t>11</w:t>
            </w:r>
          </w:p>
        </w:tc>
        <w:tc>
          <w:tcPr>
            <w:tcW w:w="4077" w:type="pct"/>
            <w:tcBorders>
              <w:top w:val="single" w:color="auto" w:sz="4" w:space="0"/>
              <w:left w:val="single" w:color="auto" w:sz="4" w:space="0"/>
              <w:bottom w:val="single" w:color="auto" w:sz="4" w:space="0"/>
              <w:right w:val="single" w:color="auto" w:sz="4" w:space="0"/>
            </w:tcBorders>
            <w:noWrap w:val="0"/>
            <w:vAlign w:val="top"/>
          </w:tcPr>
          <w:p w14:paraId="493DB7CB">
            <w:pPr>
              <w:pStyle w:val="11"/>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提供的应急方案，由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516BBDC">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bidi="ar"/>
              </w:rPr>
              <w:t>2分</w:t>
            </w:r>
          </w:p>
        </w:tc>
      </w:tr>
      <w:tr w14:paraId="2D50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2E1616A6">
            <w:pPr>
              <w:spacing w:line="360" w:lineRule="auto"/>
              <w:ind w:firstLine="480" w:firstLineChars="200"/>
              <w:jc w:val="left"/>
              <w:outlineLvl w:val="0"/>
              <w:rPr>
                <w:rFonts w:hint="eastAsia" w:ascii="宋体" w:hAnsi="宋体"/>
                <w:color w:val="auto"/>
                <w:sz w:val="24"/>
                <w:szCs w:val="24"/>
                <w:highlight w:val="none"/>
              </w:rPr>
            </w:pPr>
            <w:bookmarkStart w:id="19" w:name="_Toc4482"/>
            <w:bookmarkStart w:id="20" w:name="_Toc860055371"/>
            <w:bookmarkStart w:id="21" w:name="_Toc397957440"/>
            <w:bookmarkStart w:id="22" w:name="_Toc1342664664"/>
            <w:bookmarkStart w:id="23" w:name="_Toc1810"/>
            <w:bookmarkStart w:id="24" w:name="_Toc16193"/>
            <w:bookmarkStart w:id="25" w:name="_Toc14667"/>
            <w:r>
              <w:rPr>
                <w:rFonts w:hint="eastAsia" w:ascii="宋体" w:hAnsi="宋体" w:cs="宋体"/>
                <w:color w:val="auto"/>
                <w:sz w:val="24"/>
                <w:szCs w:val="24"/>
                <w:highlight w:val="none"/>
                <w:lang w:bidi="ar"/>
              </w:rPr>
              <w:t>说明：</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应提供证明材料并标注对应关系，未按要求提供证明材料的，认定该项技术指标不得分；</w:t>
            </w:r>
            <w:r>
              <w:rPr>
                <w:rFonts w:hint="eastAsia" w:ascii="宋体" w:hAnsi="宋体" w:cs="宋体"/>
                <w:color w:val="auto"/>
                <w:kern w:val="0"/>
                <w:sz w:val="24"/>
                <w:szCs w:val="24"/>
                <w:highlight w:val="none"/>
                <w:lang w:eastAsia="zh-CN" w:bidi="ar"/>
              </w:rPr>
              <w:t>投标人</w:t>
            </w:r>
            <w:r>
              <w:rPr>
                <w:rFonts w:hint="eastAsia" w:ascii="宋体" w:hAnsi="宋体" w:cs="宋体"/>
                <w:color w:val="auto"/>
                <w:sz w:val="24"/>
                <w:szCs w:val="24"/>
                <w:highlight w:val="none"/>
                <w:lang w:bidi="ar"/>
              </w:rPr>
              <w:t>应如实表述其服务的技术指标，如</w:t>
            </w:r>
            <w:r>
              <w:rPr>
                <w:rFonts w:hint="eastAsia" w:ascii="宋体" w:hAnsi="宋体" w:cs="宋体"/>
                <w:color w:val="auto"/>
                <w:kern w:val="0"/>
                <w:sz w:val="24"/>
                <w:szCs w:val="24"/>
                <w:highlight w:val="none"/>
                <w:lang w:eastAsia="zh-CN" w:bidi="ar"/>
              </w:rPr>
              <w:t>投标人</w:t>
            </w:r>
            <w:r>
              <w:rPr>
                <w:rFonts w:hint="eastAsia" w:ascii="宋体" w:hAnsi="宋体" w:cs="宋体"/>
                <w:color w:val="auto"/>
                <w:sz w:val="24"/>
                <w:szCs w:val="24"/>
                <w:highlight w:val="none"/>
                <w:lang w:bidi="ar"/>
              </w:rPr>
              <w:t>复制采购文件的磋商内容作为其报价文件组成内容的，</w:t>
            </w:r>
            <w:r>
              <w:rPr>
                <w:rFonts w:hint="eastAsia" w:ascii="宋体" w:hAnsi="宋体" w:cs="宋体"/>
                <w:color w:val="auto"/>
                <w:sz w:val="24"/>
                <w:szCs w:val="24"/>
                <w:highlight w:val="none"/>
                <w:lang w:eastAsia="zh-CN" w:bidi="ar"/>
              </w:rPr>
              <w:t>评标委员会</w:t>
            </w:r>
            <w:r>
              <w:rPr>
                <w:rFonts w:hint="eastAsia" w:ascii="宋体" w:hAnsi="宋体" w:cs="宋体"/>
                <w:color w:val="auto"/>
                <w:sz w:val="24"/>
                <w:szCs w:val="24"/>
                <w:highlight w:val="none"/>
                <w:lang w:bidi="ar"/>
              </w:rPr>
              <w:t>将对其作出不利的评审。</w:t>
            </w:r>
            <w:bookmarkEnd w:id="19"/>
            <w:bookmarkEnd w:id="20"/>
            <w:bookmarkEnd w:id="21"/>
            <w:bookmarkEnd w:id="22"/>
            <w:bookmarkEnd w:id="23"/>
            <w:bookmarkEnd w:id="24"/>
            <w:bookmarkEnd w:id="25"/>
          </w:p>
        </w:tc>
      </w:tr>
    </w:tbl>
    <w:p w14:paraId="6312E315">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（二）商务评分(F2)：按</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分评分法，商务评分考虑下列因素：</w:t>
      </w:r>
    </w:p>
    <w:tbl>
      <w:tblPr>
        <w:tblStyle w:val="1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96"/>
        <w:gridCol w:w="905"/>
      </w:tblGrid>
      <w:tr w14:paraId="7B80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84E4A39">
            <w:pPr>
              <w:pStyle w:val="18"/>
              <w:spacing w:line="360" w:lineRule="auto"/>
              <w:rPr>
                <w:rFonts w:ascii="宋体" w:hAnsi="宋体"/>
                <w:bCs/>
                <w:color w:val="auto"/>
                <w:kern w:val="2"/>
                <w:szCs w:val="24"/>
                <w:highlight w:val="none"/>
              </w:rPr>
            </w:pPr>
            <w:r>
              <w:rPr>
                <w:rFonts w:hint="eastAsia" w:ascii="宋体" w:hAnsi="宋体"/>
                <w:bCs/>
                <w:color w:val="auto"/>
                <w:kern w:val="2"/>
                <w:szCs w:val="24"/>
                <w:highlight w:val="none"/>
              </w:rPr>
              <w:t>序号</w:t>
            </w:r>
          </w:p>
        </w:tc>
        <w:tc>
          <w:tcPr>
            <w:tcW w:w="7196" w:type="dxa"/>
            <w:noWrap w:val="0"/>
            <w:vAlign w:val="center"/>
          </w:tcPr>
          <w:p w14:paraId="580B74AC">
            <w:pPr>
              <w:pStyle w:val="18"/>
              <w:spacing w:line="360" w:lineRule="auto"/>
              <w:rPr>
                <w:rFonts w:ascii="宋体" w:hAnsi="宋体"/>
                <w:bCs/>
                <w:color w:val="auto"/>
                <w:kern w:val="2"/>
                <w:szCs w:val="24"/>
                <w:highlight w:val="none"/>
              </w:rPr>
            </w:pPr>
            <w:r>
              <w:rPr>
                <w:rFonts w:hint="eastAsia" w:ascii="宋体" w:hAnsi="宋体"/>
                <w:bCs/>
                <w:color w:val="auto"/>
                <w:kern w:val="2"/>
                <w:szCs w:val="24"/>
                <w:highlight w:val="none"/>
              </w:rPr>
              <w:t>评分界定</w:t>
            </w:r>
          </w:p>
        </w:tc>
        <w:tc>
          <w:tcPr>
            <w:tcW w:w="905" w:type="dxa"/>
            <w:noWrap w:val="0"/>
            <w:vAlign w:val="center"/>
          </w:tcPr>
          <w:p w14:paraId="5334F22B">
            <w:pPr>
              <w:pStyle w:val="18"/>
              <w:spacing w:line="360" w:lineRule="auto"/>
              <w:rPr>
                <w:rFonts w:ascii="宋体" w:hAnsi="宋体"/>
                <w:bCs/>
                <w:color w:val="auto"/>
                <w:kern w:val="2"/>
                <w:szCs w:val="24"/>
                <w:highlight w:val="none"/>
              </w:rPr>
            </w:pPr>
            <w:r>
              <w:rPr>
                <w:rFonts w:hint="eastAsia" w:ascii="宋体" w:hAnsi="宋体"/>
                <w:bCs/>
                <w:color w:val="auto"/>
                <w:kern w:val="2"/>
                <w:szCs w:val="24"/>
                <w:highlight w:val="none"/>
              </w:rPr>
              <w:t>满分分值</w:t>
            </w:r>
          </w:p>
        </w:tc>
      </w:tr>
      <w:tr w14:paraId="170B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79E5813">
            <w:pPr>
              <w:pStyle w:val="18"/>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1</w:t>
            </w:r>
          </w:p>
        </w:tc>
        <w:tc>
          <w:tcPr>
            <w:tcW w:w="7196" w:type="dxa"/>
            <w:noWrap w:val="0"/>
            <w:vAlign w:val="center"/>
          </w:tcPr>
          <w:p w14:paraId="02C22AA0">
            <w:pPr>
              <w:pStyle w:val="18"/>
              <w:spacing w:line="360" w:lineRule="auto"/>
              <w:rPr>
                <w:rFonts w:hint="eastAsia" w:ascii="宋体" w:hAnsi="宋体"/>
                <w:bCs/>
                <w:color w:val="auto"/>
                <w:kern w:val="2"/>
                <w:szCs w:val="24"/>
                <w:highlight w:val="none"/>
              </w:rPr>
            </w:pPr>
            <w:r>
              <w:rPr>
                <w:rFonts w:hint="eastAsia" w:ascii="宋体" w:hAnsi="宋体" w:cs="宋体"/>
                <w:b w:val="0"/>
                <w:color w:val="auto"/>
                <w:szCs w:val="24"/>
                <w:highlight w:val="none"/>
                <w:lang w:eastAsia="zh-CN"/>
              </w:rPr>
              <w:t>投标人具有环境管理体系认证证书的得1分。注：投标人须提供有效证书复印件并加盖投标人公章，未提供或不符合上述要求的不得分。</w:t>
            </w:r>
          </w:p>
        </w:tc>
        <w:tc>
          <w:tcPr>
            <w:tcW w:w="905" w:type="dxa"/>
            <w:noWrap w:val="0"/>
            <w:vAlign w:val="center"/>
          </w:tcPr>
          <w:p w14:paraId="159467BC">
            <w:pPr>
              <w:pStyle w:val="18"/>
              <w:spacing w:line="360" w:lineRule="auto"/>
              <w:rPr>
                <w:rFonts w:hint="eastAsia" w:ascii="宋体" w:hAnsi="宋体"/>
                <w:bCs/>
                <w:color w:val="auto"/>
                <w:kern w:val="2"/>
                <w:szCs w:val="24"/>
                <w:highlight w:val="none"/>
              </w:rPr>
            </w:pPr>
            <w:r>
              <w:rPr>
                <w:rFonts w:hint="eastAsia" w:ascii="宋体" w:hAnsi="宋体"/>
                <w:b w:val="0"/>
                <w:color w:val="auto"/>
                <w:kern w:val="2"/>
                <w:szCs w:val="24"/>
                <w:highlight w:val="none"/>
                <w:lang w:val="en-US" w:eastAsia="zh-CN"/>
              </w:rPr>
              <w:t>1分</w:t>
            </w:r>
          </w:p>
        </w:tc>
      </w:tr>
      <w:tr w14:paraId="6CAF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2377D22">
            <w:pPr>
              <w:pStyle w:val="18"/>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2</w:t>
            </w:r>
          </w:p>
        </w:tc>
        <w:tc>
          <w:tcPr>
            <w:tcW w:w="7196" w:type="dxa"/>
            <w:noWrap w:val="0"/>
            <w:vAlign w:val="center"/>
          </w:tcPr>
          <w:p w14:paraId="7ACF5B61">
            <w:pPr>
              <w:pStyle w:val="18"/>
              <w:spacing w:line="360" w:lineRule="auto"/>
              <w:jc w:val="left"/>
              <w:rPr>
                <w:rFonts w:ascii="宋体" w:hAnsi="宋体" w:cs="宋体"/>
                <w:color w:val="auto"/>
                <w:sz w:val="24"/>
                <w:szCs w:val="24"/>
                <w:highlight w:val="none"/>
                <w:lang w:eastAsia="zh-CN"/>
              </w:rPr>
            </w:pPr>
            <w:r>
              <w:rPr>
                <w:rFonts w:hint="eastAsia" w:ascii="宋体" w:hAnsi="宋体" w:cs="宋体"/>
                <w:b w:val="0"/>
                <w:color w:val="auto"/>
                <w:szCs w:val="24"/>
                <w:highlight w:val="none"/>
                <w:lang w:eastAsia="zh-CN"/>
              </w:rPr>
              <w:t>投标人具有职业健康安全管理体系认证证书的得1分。注：投标人须提供有效证书复印件并加盖投标人公章，未提供或不符合上述要求的不得分。</w:t>
            </w:r>
          </w:p>
        </w:tc>
        <w:tc>
          <w:tcPr>
            <w:tcW w:w="905" w:type="dxa"/>
            <w:noWrap w:val="0"/>
            <w:vAlign w:val="center"/>
          </w:tcPr>
          <w:p w14:paraId="3488ECE9">
            <w:pPr>
              <w:pStyle w:val="18"/>
              <w:spacing w:line="360" w:lineRule="auto"/>
              <w:rPr>
                <w:rFonts w:hint="eastAsia" w:ascii="宋体" w:hAnsi="宋体"/>
                <w:b w:val="0"/>
                <w:color w:val="auto"/>
                <w:kern w:val="2"/>
                <w:szCs w:val="24"/>
                <w:highlight w:val="none"/>
              </w:rPr>
            </w:pPr>
            <w:r>
              <w:rPr>
                <w:rFonts w:hint="eastAsia" w:ascii="宋体" w:hAnsi="宋体"/>
                <w:b w:val="0"/>
                <w:color w:val="auto"/>
                <w:kern w:val="2"/>
                <w:szCs w:val="24"/>
                <w:highlight w:val="none"/>
                <w:lang w:val="en-US" w:eastAsia="zh-CN"/>
              </w:rPr>
              <w:t>1分</w:t>
            </w:r>
          </w:p>
        </w:tc>
      </w:tr>
      <w:tr w14:paraId="46AE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8771CC1">
            <w:pPr>
              <w:pStyle w:val="18"/>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3</w:t>
            </w:r>
          </w:p>
        </w:tc>
        <w:tc>
          <w:tcPr>
            <w:tcW w:w="7196" w:type="dxa"/>
            <w:noWrap w:val="0"/>
            <w:vAlign w:val="center"/>
          </w:tcPr>
          <w:p w14:paraId="065A55BF">
            <w:pPr>
              <w:pStyle w:val="18"/>
              <w:spacing w:line="360" w:lineRule="auto"/>
              <w:rPr>
                <w:rFonts w:ascii="宋体" w:hAnsi="宋体" w:cs="宋体"/>
                <w:color w:val="auto"/>
                <w:sz w:val="24"/>
                <w:szCs w:val="24"/>
                <w:highlight w:val="none"/>
                <w:lang w:eastAsia="zh-CN"/>
              </w:rPr>
            </w:pPr>
            <w:r>
              <w:rPr>
                <w:rFonts w:hint="eastAsia" w:ascii="宋体" w:hAnsi="宋体" w:cs="宋体"/>
                <w:b w:val="0"/>
                <w:color w:val="auto"/>
                <w:szCs w:val="24"/>
                <w:highlight w:val="none"/>
                <w:lang w:eastAsia="zh-CN"/>
              </w:rPr>
              <w:t>投标人具有质量管理体系认证证书的得1分。注：投标人须提供有效证书复印件并加盖投标人公章，未提供或不符合上述要求的不得分。</w:t>
            </w:r>
          </w:p>
        </w:tc>
        <w:tc>
          <w:tcPr>
            <w:tcW w:w="905" w:type="dxa"/>
            <w:noWrap w:val="0"/>
            <w:vAlign w:val="center"/>
          </w:tcPr>
          <w:p w14:paraId="3C2F3A90">
            <w:pPr>
              <w:pStyle w:val="18"/>
              <w:spacing w:line="360" w:lineRule="auto"/>
              <w:rPr>
                <w:rFonts w:hint="eastAsia" w:ascii="宋体" w:hAnsi="宋体"/>
                <w:b w:val="0"/>
                <w:color w:val="auto"/>
                <w:kern w:val="2"/>
                <w:szCs w:val="24"/>
                <w:highlight w:val="none"/>
              </w:rPr>
            </w:pPr>
            <w:r>
              <w:rPr>
                <w:rFonts w:hint="eastAsia" w:ascii="宋体" w:hAnsi="宋体"/>
                <w:b w:val="0"/>
                <w:color w:val="auto"/>
                <w:kern w:val="2"/>
                <w:szCs w:val="24"/>
                <w:highlight w:val="none"/>
                <w:lang w:val="en-US" w:eastAsia="zh-CN"/>
              </w:rPr>
              <w:t>1分</w:t>
            </w:r>
          </w:p>
        </w:tc>
      </w:tr>
      <w:tr w14:paraId="5B16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AD45E68">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4</w:t>
            </w:r>
          </w:p>
        </w:tc>
        <w:tc>
          <w:tcPr>
            <w:tcW w:w="7196" w:type="dxa"/>
            <w:noWrap w:val="0"/>
            <w:vAlign w:val="center"/>
          </w:tcPr>
          <w:p w14:paraId="45EAC3A0">
            <w:pPr>
              <w:pStyle w:val="18"/>
              <w:spacing w:line="360" w:lineRule="auto"/>
              <w:jc w:val="left"/>
              <w:rPr>
                <w:rFonts w:hint="eastAsia" w:ascii="宋体" w:hAnsi="宋体" w:cs="宋体"/>
                <w:b w:val="0"/>
                <w:color w:val="auto"/>
                <w:kern w:val="2"/>
                <w:sz w:val="24"/>
                <w:szCs w:val="24"/>
                <w:highlight w:val="none"/>
                <w:lang w:val="en-US" w:eastAsia="zh-CN"/>
              </w:rPr>
            </w:pPr>
            <w:r>
              <w:rPr>
                <w:rFonts w:hint="eastAsia" w:ascii="宋体" w:hAnsi="宋体" w:cs="宋体"/>
                <w:b w:val="0"/>
                <w:color w:val="auto"/>
                <w:szCs w:val="24"/>
                <w:highlight w:val="none"/>
              </w:rPr>
              <w:t>根据</w:t>
            </w:r>
            <w:r>
              <w:rPr>
                <w:rFonts w:hint="eastAsia" w:ascii="宋体" w:hAnsi="宋体" w:cs="宋体"/>
                <w:b w:val="0"/>
                <w:color w:val="auto"/>
                <w:szCs w:val="24"/>
                <w:highlight w:val="none"/>
                <w:lang w:eastAsia="zh-CN"/>
              </w:rPr>
              <w:t>投标人</w:t>
            </w:r>
            <w:r>
              <w:rPr>
                <w:rFonts w:hint="eastAsia" w:ascii="宋体" w:hAnsi="宋体" w:cs="宋体"/>
                <w:b w:val="0"/>
                <w:color w:val="auto"/>
                <w:szCs w:val="24"/>
                <w:highlight w:val="none"/>
              </w:rPr>
              <w:t>拟投入本项目人员数量进行评分：</w:t>
            </w:r>
            <w:r>
              <w:rPr>
                <w:rFonts w:hint="eastAsia" w:ascii="宋体" w:hAnsi="宋体" w:eastAsia="宋体" w:cs="宋体"/>
                <w:b w:val="0"/>
                <w:color w:val="auto"/>
                <w:szCs w:val="24"/>
                <w:highlight w:val="none"/>
              </w:rPr>
              <w:t>①</w:t>
            </w:r>
            <w:r>
              <w:rPr>
                <w:rFonts w:hint="eastAsia" w:ascii="宋体" w:hAnsi="宋体" w:eastAsia="宋体" w:cs="宋体"/>
                <w:b w:val="0"/>
                <w:color w:val="auto"/>
                <w:szCs w:val="24"/>
                <w:highlight w:val="none"/>
                <w:lang w:val="en-US" w:eastAsia="zh-CN"/>
              </w:rPr>
              <w:t>拟投入的</w:t>
            </w:r>
            <w:r>
              <w:rPr>
                <w:rFonts w:hint="eastAsia" w:ascii="宋体" w:hAnsi="宋体" w:cs="宋体"/>
                <w:b w:val="0"/>
                <w:color w:val="auto"/>
                <w:szCs w:val="24"/>
                <w:highlight w:val="none"/>
              </w:rPr>
              <w:t>人员≥</w:t>
            </w:r>
            <w:r>
              <w:rPr>
                <w:rFonts w:hint="eastAsia" w:ascii="宋体" w:hAnsi="宋体" w:cs="宋体"/>
                <w:b w:val="0"/>
                <w:color w:val="auto"/>
                <w:szCs w:val="24"/>
                <w:highlight w:val="none"/>
              </w:rPr>
              <w:t>10</w:t>
            </w:r>
            <w:r>
              <w:rPr>
                <w:rFonts w:hint="eastAsia" w:ascii="宋体" w:hAnsi="宋体" w:cs="宋体"/>
                <w:b w:val="0"/>
                <w:color w:val="auto"/>
                <w:szCs w:val="24"/>
                <w:highlight w:val="none"/>
              </w:rPr>
              <w:t>人得</w:t>
            </w:r>
            <w:r>
              <w:rPr>
                <w:rFonts w:hint="eastAsia" w:ascii="宋体" w:hAnsi="宋体" w:cs="宋体"/>
                <w:b w:val="0"/>
                <w:color w:val="auto"/>
                <w:szCs w:val="24"/>
                <w:highlight w:val="none"/>
                <w:lang w:val="en-US" w:eastAsia="zh-CN"/>
              </w:rPr>
              <w:t>3</w:t>
            </w:r>
            <w:r>
              <w:rPr>
                <w:rFonts w:hint="eastAsia" w:ascii="宋体" w:hAnsi="宋体" w:cs="宋体"/>
                <w:b w:val="0"/>
                <w:color w:val="auto"/>
                <w:szCs w:val="24"/>
                <w:highlight w:val="none"/>
              </w:rPr>
              <w:t>分</w:t>
            </w:r>
            <w:r>
              <w:rPr>
                <w:rFonts w:hint="eastAsia" w:ascii="宋体" w:hAnsi="宋体" w:cs="宋体"/>
                <w:b w:val="0"/>
                <w:color w:val="auto"/>
                <w:szCs w:val="24"/>
                <w:highlight w:val="none"/>
                <w:lang w:eastAsia="zh-CN"/>
              </w:rPr>
              <w:t>，</w:t>
            </w:r>
            <w:r>
              <w:rPr>
                <w:rFonts w:hint="eastAsia" w:ascii="宋体" w:hAnsi="宋体" w:cs="宋体"/>
                <w:b w:val="0"/>
                <w:color w:val="auto"/>
                <w:szCs w:val="24"/>
                <w:highlight w:val="none"/>
                <w:lang w:val="en-US" w:eastAsia="zh-CN"/>
              </w:rPr>
              <w:t>需提供</w:t>
            </w:r>
            <w:r>
              <w:rPr>
                <w:rFonts w:hint="eastAsia" w:ascii="宋体" w:hAnsi="宋体" w:cs="宋体"/>
                <w:b w:val="0"/>
                <w:color w:val="auto"/>
                <w:szCs w:val="24"/>
                <w:highlight w:val="none"/>
              </w:rPr>
              <w:t>劳动</w:t>
            </w:r>
            <w:r>
              <w:rPr>
                <w:rFonts w:hint="eastAsia" w:ascii="宋体" w:hAnsi="宋体" w:cs="宋体"/>
                <w:b w:val="0"/>
                <w:color w:val="auto"/>
                <w:szCs w:val="24"/>
                <w:highlight w:val="none"/>
                <w:lang w:val="en-US" w:eastAsia="zh-CN"/>
              </w:rPr>
              <w:t>合同复印件（或至投标截止日期前六个月内任意一个月（不含投标截止日期当月）的社保缴交证明材料复印件；②投标人若未能提供上述证明材料的则承诺中标后拟投入本项目人员数量不少于10人的得1分，需提供书面承诺</w:t>
            </w:r>
            <w:r>
              <w:rPr>
                <w:rFonts w:hint="eastAsia" w:ascii="宋体" w:hAnsi="宋体" w:cs="宋体"/>
                <w:b w:val="0"/>
                <w:color w:val="auto"/>
                <w:szCs w:val="24"/>
                <w:highlight w:val="none"/>
                <w:lang w:eastAsia="zh-CN"/>
              </w:rPr>
              <w:t>函；③</w:t>
            </w:r>
            <w:r>
              <w:rPr>
                <w:rFonts w:hint="eastAsia" w:ascii="宋体" w:hAnsi="宋体" w:cs="宋体"/>
                <w:b w:val="0"/>
                <w:color w:val="auto"/>
                <w:szCs w:val="24"/>
                <w:highlight w:val="none"/>
                <w:lang w:val="en-US" w:eastAsia="zh-CN"/>
              </w:rPr>
              <w:t>其余不得分。</w:t>
            </w:r>
          </w:p>
        </w:tc>
        <w:tc>
          <w:tcPr>
            <w:tcW w:w="905" w:type="dxa"/>
            <w:noWrap w:val="0"/>
            <w:vAlign w:val="center"/>
          </w:tcPr>
          <w:p w14:paraId="5CC357C5">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3</w:t>
            </w:r>
            <w:r>
              <w:rPr>
                <w:rFonts w:hint="eastAsia" w:ascii="宋体" w:hAnsi="宋体"/>
                <w:b w:val="0"/>
                <w:color w:val="auto"/>
                <w:kern w:val="2"/>
                <w:szCs w:val="24"/>
                <w:highlight w:val="none"/>
              </w:rPr>
              <w:t>分</w:t>
            </w:r>
          </w:p>
        </w:tc>
      </w:tr>
      <w:tr w14:paraId="6B0C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68E6EEE">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5</w:t>
            </w:r>
          </w:p>
        </w:tc>
        <w:tc>
          <w:tcPr>
            <w:tcW w:w="7196" w:type="dxa"/>
            <w:noWrap w:val="0"/>
            <w:vAlign w:val="top"/>
          </w:tcPr>
          <w:p w14:paraId="6C0B230D">
            <w:pPr>
              <w:pStyle w:val="19"/>
              <w:spacing w:line="360" w:lineRule="auto"/>
              <w:jc w:val="both"/>
              <w:rPr>
                <w:rFonts w:ascii="宋体" w:hAnsi="宋体" w:cs="宋体"/>
                <w:color w:val="auto"/>
                <w:sz w:val="24"/>
                <w:szCs w:val="24"/>
                <w:highlight w:val="none"/>
                <w:lang w:eastAsia="zh-CN"/>
              </w:rPr>
            </w:pPr>
            <w:r>
              <w:rPr>
                <w:rFonts w:ascii="宋体" w:hAnsi="宋体" w:cs="宋体"/>
                <w:color w:val="auto"/>
                <w:sz w:val="24"/>
                <w:szCs w:val="24"/>
                <w:highlight w:val="none"/>
                <w:lang w:eastAsia="zh-CN"/>
              </w:rPr>
              <w:t>根据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投标</w:t>
            </w:r>
            <w:r>
              <w:rPr>
                <w:rFonts w:ascii="宋体" w:hAnsi="宋体" w:cs="宋体"/>
                <w:color w:val="auto"/>
                <w:sz w:val="24"/>
                <w:szCs w:val="24"/>
                <w:highlight w:val="none"/>
                <w:lang w:eastAsia="zh-CN"/>
              </w:rPr>
              <w:t>截止时间前三年内承接的展会布展项目的业绩进行评分，</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每提供1项业绩的得</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lang w:eastAsia="zh-CN"/>
              </w:rPr>
              <w:t>分。[ 注：</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需提供合同复印件并加盖</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的公章，否则不得分。]</w:t>
            </w:r>
          </w:p>
        </w:tc>
        <w:tc>
          <w:tcPr>
            <w:tcW w:w="905" w:type="dxa"/>
            <w:noWrap w:val="0"/>
            <w:vAlign w:val="center"/>
          </w:tcPr>
          <w:p w14:paraId="1A005D99">
            <w:pPr>
              <w:pStyle w:val="18"/>
              <w:spacing w:line="360" w:lineRule="auto"/>
              <w:rPr>
                <w:rFonts w:hint="eastAsia" w:ascii="宋体" w:hAnsi="宋体" w:eastAsia="宋体"/>
                <w:b w:val="0"/>
                <w:color w:val="auto"/>
                <w:kern w:val="2"/>
                <w:szCs w:val="24"/>
                <w:highlight w:val="none"/>
                <w:lang w:val="en-US" w:eastAsia="zh-CN"/>
              </w:rPr>
            </w:pPr>
            <w:r>
              <w:rPr>
                <w:rFonts w:hint="eastAsia" w:ascii="宋体" w:hAnsi="宋体"/>
                <w:b w:val="0"/>
                <w:color w:val="auto"/>
                <w:kern w:val="2"/>
                <w:szCs w:val="24"/>
                <w:highlight w:val="none"/>
                <w:lang w:val="en-US" w:eastAsia="zh-CN"/>
              </w:rPr>
              <w:t>3</w:t>
            </w:r>
            <w:r>
              <w:rPr>
                <w:rFonts w:hint="eastAsia" w:ascii="宋体" w:hAnsi="宋体"/>
                <w:b w:val="0"/>
                <w:color w:val="auto"/>
                <w:kern w:val="2"/>
                <w:szCs w:val="24"/>
                <w:highlight w:val="none"/>
              </w:rPr>
              <w:t>分</w:t>
            </w:r>
          </w:p>
        </w:tc>
      </w:tr>
      <w:tr w14:paraId="3362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4F6A15E">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6</w:t>
            </w:r>
          </w:p>
        </w:tc>
        <w:tc>
          <w:tcPr>
            <w:tcW w:w="7196" w:type="dxa"/>
            <w:noWrap w:val="0"/>
            <w:vAlign w:val="top"/>
          </w:tcPr>
          <w:p w14:paraId="325FB731">
            <w:pPr>
              <w:pStyle w:val="19"/>
              <w:spacing w:line="360" w:lineRule="auto"/>
              <w:jc w:val="both"/>
              <w:rPr>
                <w:rFonts w:hint="eastAsia" w:ascii="宋体" w:hAnsi="宋体" w:cs="宋体"/>
                <w:b w:val="0"/>
                <w:color w:val="auto"/>
                <w:kern w:val="2"/>
                <w:sz w:val="24"/>
                <w:szCs w:val="24"/>
                <w:highlight w:val="none"/>
                <w:lang w:val="en-US" w:eastAsia="zh-CN"/>
              </w:rPr>
            </w:pPr>
            <w:r>
              <w:rPr>
                <w:rFonts w:ascii="宋体" w:hAnsi="宋体" w:cs="宋体"/>
                <w:color w:val="auto"/>
                <w:sz w:val="24"/>
                <w:szCs w:val="24"/>
                <w:highlight w:val="none"/>
                <w:lang w:eastAsia="zh-CN"/>
              </w:rPr>
              <w:t>根据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投标</w:t>
            </w:r>
            <w:r>
              <w:rPr>
                <w:rFonts w:ascii="宋体" w:hAnsi="宋体" w:cs="宋体"/>
                <w:color w:val="auto"/>
                <w:sz w:val="24"/>
                <w:szCs w:val="24"/>
                <w:highlight w:val="none"/>
                <w:lang w:eastAsia="zh-CN"/>
              </w:rPr>
              <w:t>截止时间前三年内由服务单位出具的评价意见情况进行打分，评价优良且证明材料完整的每提供1份得</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lang w:eastAsia="zh-CN"/>
              </w:rPr>
              <w:t>分。[注：</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需提供完整证明材料包括合同复印件和体现评价优良内容的书面材料。]</w:t>
            </w:r>
          </w:p>
        </w:tc>
        <w:tc>
          <w:tcPr>
            <w:tcW w:w="905" w:type="dxa"/>
            <w:noWrap w:val="0"/>
            <w:vAlign w:val="center"/>
          </w:tcPr>
          <w:p w14:paraId="7D489109">
            <w:pPr>
              <w:pStyle w:val="18"/>
              <w:spacing w:line="360" w:lineRule="auto"/>
              <w:rPr>
                <w:rFonts w:hint="eastAsia"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3</w:t>
            </w:r>
            <w:r>
              <w:rPr>
                <w:rFonts w:hint="eastAsia" w:ascii="宋体" w:hAnsi="宋体"/>
                <w:b w:val="0"/>
                <w:color w:val="auto"/>
                <w:kern w:val="2"/>
                <w:szCs w:val="24"/>
                <w:highlight w:val="none"/>
              </w:rPr>
              <w:t>分</w:t>
            </w:r>
          </w:p>
        </w:tc>
      </w:tr>
      <w:tr w14:paraId="54B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686B4CDD">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7</w:t>
            </w:r>
          </w:p>
        </w:tc>
        <w:tc>
          <w:tcPr>
            <w:tcW w:w="7196" w:type="dxa"/>
            <w:noWrap w:val="0"/>
            <w:vAlign w:val="top"/>
          </w:tcPr>
          <w:p w14:paraId="088E486F">
            <w:pPr>
              <w:pStyle w:val="19"/>
              <w:spacing w:line="360" w:lineRule="auto"/>
              <w:jc w:val="both"/>
              <w:rPr>
                <w:rFonts w:hint="eastAsia" w:ascii="宋体" w:hAnsi="宋体" w:cs="宋体"/>
                <w:b w:val="0"/>
                <w:color w:val="auto"/>
                <w:kern w:val="2"/>
                <w:sz w:val="24"/>
                <w:szCs w:val="24"/>
                <w:highlight w:val="none"/>
                <w:lang w:val="en-US" w:eastAsia="zh-CN"/>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rPr>
              <w:t>可提供厦门本地化服务的得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分，否则不得分。</w:t>
            </w: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rPr>
              <w:t>可提供合作单位协议或者自身机构的营业执照证明，也可以提供在本地设立的项目部、办公室、办事处等机构证明，或者承诺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后提供本地化服务。</w:t>
            </w:r>
          </w:p>
        </w:tc>
        <w:tc>
          <w:tcPr>
            <w:tcW w:w="905" w:type="dxa"/>
            <w:noWrap w:val="0"/>
            <w:vAlign w:val="center"/>
          </w:tcPr>
          <w:p w14:paraId="3C98C826">
            <w:pPr>
              <w:pStyle w:val="18"/>
              <w:spacing w:line="360" w:lineRule="auto"/>
              <w:rPr>
                <w:rFonts w:hint="eastAsia"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3</w:t>
            </w:r>
            <w:r>
              <w:rPr>
                <w:rFonts w:hint="eastAsia" w:ascii="宋体" w:hAnsi="宋体"/>
                <w:b w:val="0"/>
                <w:color w:val="auto"/>
                <w:kern w:val="2"/>
                <w:szCs w:val="24"/>
                <w:highlight w:val="none"/>
              </w:rPr>
              <w:t>分</w:t>
            </w:r>
          </w:p>
        </w:tc>
      </w:tr>
      <w:tr w14:paraId="1129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781AF924">
            <w:pPr>
              <w:pStyle w:val="18"/>
              <w:spacing w:line="360" w:lineRule="auto"/>
              <w:rPr>
                <w:rFonts w:hint="eastAsia" w:ascii="宋体" w:hAnsi="宋体" w:eastAsia="宋体"/>
                <w:b w:val="0"/>
                <w:color w:val="auto"/>
                <w:kern w:val="2"/>
                <w:szCs w:val="24"/>
                <w:highlight w:val="none"/>
                <w:lang w:val="en-US" w:eastAsia="zh-CN"/>
              </w:rPr>
            </w:pPr>
            <w:r>
              <w:rPr>
                <w:rFonts w:hint="eastAsia" w:ascii="宋体" w:hAnsi="宋体"/>
                <w:b w:val="0"/>
                <w:color w:val="auto"/>
                <w:kern w:val="2"/>
                <w:szCs w:val="24"/>
                <w:highlight w:val="none"/>
                <w:lang w:val="en-US" w:eastAsia="zh-CN"/>
              </w:rPr>
              <w:t>8</w:t>
            </w:r>
          </w:p>
        </w:tc>
        <w:tc>
          <w:tcPr>
            <w:tcW w:w="7196" w:type="dxa"/>
            <w:noWrap w:val="0"/>
            <w:vAlign w:val="center"/>
          </w:tcPr>
          <w:p w14:paraId="303E1002">
            <w:pPr>
              <w:pStyle w:val="18"/>
              <w:spacing w:line="360" w:lineRule="auto"/>
              <w:jc w:val="left"/>
              <w:rPr>
                <w:rFonts w:ascii="宋体" w:hAnsi="宋体" w:cs="宋体"/>
                <w:color w:val="auto"/>
                <w:sz w:val="24"/>
                <w:szCs w:val="24"/>
                <w:highlight w:val="none"/>
                <w:lang w:eastAsia="zh-CN"/>
              </w:rPr>
            </w:pPr>
            <w:r>
              <w:rPr>
                <w:rFonts w:hint="eastAsia" w:ascii="宋体" w:hAnsi="宋体" w:eastAsia="宋体" w:cs="宋体"/>
                <w:b w:val="0"/>
                <w:color w:val="auto"/>
                <w:kern w:val="0"/>
                <w:sz w:val="24"/>
                <w:szCs w:val="20"/>
                <w:highlight w:val="none"/>
                <w:lang w:val="en-US" w:eastAsia="zh-CN"/>
              </w:rPr>
              <w:t>根据</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提供的【响应处理能力】进行评价：</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承诺：</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对于采购人的应急服务，团队服务技术人员应及时到达服务现场，能够快速到达现场并提供服务及相关咨询服务等应急服务。在接到采购人通知后，在60分钟（含）内能够及时到达现场处理并满足采购人需求的得3分；在60-120分钟（含）以内到达现场处理并满足采购人需求的得2分；在120-180分钟（含）以内到达现场处理并满足采购人需求的得1分；其他情况不得分。本项满分3分。 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905" w:type="dxa"/>
            <w:noWrap w:val="0"/>
            <w:vAlign w:val="center"/>
          </w:tcPr>
          <w:p w14:paraId="57F08071">
            <w:pPr>
              <w:pStyle w:val="18"/>
              <w:spacing w:line="360" w:lineRule="auto"/>
              <w:rPr>
                <w:rFonts w:hint="eastAsia" w:ascii="宋体" w:hAnsi="宋体"/>
                <w:bCs/>
                <w:color w:val="auto"/>
                <w:kern w:val="2"/>
                <w:szCs w:val="24"/>
                <w:highlight w:val="none"/>
              </w:rPr>
            </w:pPr>
            <w:r>
              <w:rPr>
                <w:rFonts w:hint="eastAsia" w:ascii="宋体" w:hAnsi="宋体" w:cs="宋体"/>
                <w:b w:val="0"/>
                <w:color w:val="auto"/>
                <w:kern w:val="2"/>
                <w:sz w:val="24"/>
                <w:szCs w:val="24"/>
                <w:highlight w:val="none"/>
                <w:lang w:val="en-US" w:eastAsia="zh-CN"/>
              </w:rPr>
              <w:t>3分</w:t>
            </w:r>
          </w:p>
        </w:tc>
      </w:tr>
      <w:tr w14:paraId="302A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722EFE9">
            <w:pPr>
              <w:pStyle w:val="18"/>
              <w:spacing w:line="360" w:lineRule="auto"/>
              <w:rPr>
                <w:rFonts w:hint="eastAsia" w:ascii="宋体" w:hAnsi="宋体" w:eastAsia="宋体"/>
                <w:b w:val="0"/>
                <w:color w:val="auto"/>
                <w:kern w:val="2"/>
                <w:szCs w:val="24"/>
                <w:highlight w:val="none"/>
                <w:lang w:eastAsia="zh-CN"/>
              </w:rPr>
            </w:pPr>
            <w:r>
              <w:rPr>
                <w:rFonts w:hint="eastAsia" w:ascii="宋体" w:hAnsi="宋体"/>
                <w:b w:val="0"/>
                <w:color w:val="auto"/>
                <w:kern w:val="2"/>
                <w:szCs w:val="24"/>
                <w:highlight w:val="none"/>
                <w:lang w:val="en-US" w:eastAsia="zh-CN"/>
              </w:rPr>
              <w:t>9</w:t>
            </w:r>
          </w:p>
        </w:tc>
        <w:tc>
          <w:tcPr>
            <w:tcW w:w="7196" w:type="dxa"/>
            <w:noWrap w:val="0"/>
            <w:vAlign w:val="center"/>
          </w:tcPr>
          <w:p w14:paraId="3AF1F77C">
            <w:pPr>
              <w:pStyle w:val="18"/>
              <w:spacing w:line="360" w:lineRule="auto"/>
              <w:jc w:val="left"/>
              <w:rPr>
                <w:rFonts w:hint="eastAsia" w:ascii="宋体" w:hAnsi="宋体" w:cs="宋体"/>
                <w:color w:val="auto"/>
                <w:kern w:val="0"/>
                <w:sz w:val="24"/>
                <w:szCs w:val="24"/>
                <w:highlight w:val="none"/>
              </w:rPr>
            </w:pP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承诺：“在服务过程中与采购人进行充分沟通，明确采购人需求，确保服务质量满足招标文件及采购人要求”，提供满足上述要求的承诺的得</w:t>
            </w:r>
            <w:r>
              <w:rPr>
                <w:rFonts w:hint="eastAsia" w:ascii="宋体" w:hAnsi="宋体" w:cs="宋体"/>
                <w:b w:val="0"/>
                <w:color w:val="auto"/>
                <w:kern w:val="0"/>
                <w:sz w:val="24"/>
                <w:szCs w:val="20"/>
                <w:highlight w:val="none"/>
                <w:lang w:val="en-US" w:eastAsia="zh-CN"/>
              </w:rPr>
              <w:t>2</w:t>
            </w:r>
            <w:r>
              <w:rPr>
                <w:rFonts w:hint="eastAsia" w:ascii="宋体" w:hAnsi="宋体" w:eastAsia="宋体" w:cs="宋体"/>
                <w:b w:val="0"/>
                <w:color w:val="auto"/>
                <w:kern w:val="0"/>
                <w:sz w:val="24"/>
                <w:szCs w:val="20"/>
                <w:highlight w:val="none"/>
                <w:lang w:val="en-US" w:eastAsia="zh-CN"/>
              </w:rPr>
              <w:t>分。注：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905" w:type="dxa"/>
            <w:noWrap w:val="0"/>
            <w:vAlign w:val="center"/>
          </w:tcPr>
          <w:p w14:paraId="738275FC">
            <w:pPr>
              <w:pStyle w:val="18"/>
              <w:spacing w:line="360" w:lineRule="auto"/>
              <w:rPr>
                <w:rFonts w:ascii="宋体" w:hAnsi="宋体"/>
                <w:color w:val="auto"/>
                <w:sz w:val="24"/>
                <w:highlight w:val="none"/>
              </w:rPr>
            </w:pPr>
            <w:r>
              <w:rPr>
                <w:rFonts w:hint="eastAsia" w:ascii="宋体" w:hAnsi="宋体" w:cs="宋体"/>
                <w:b w:val="0"/>
                <w:color w:val="auto"/>
                <w:kern w:val="2"/>
                <w:sz w:val="24"/>
                <w:szCs w:val="24"/>
                <w:highlight w:val="none"/>
                <w:lang w:val="en-US" w:eastAsia="zh-CN"/>
              </w:rPr>
              <w:t xml:space="preserve"> 2分</w:t>
            </w:r>
          </w:p>
        </w:tc>
      </w:tr>
      <w:tr w14:paraId="3D54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3E593F2">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10</w:t>
            </w:r>
          </w:p>
        </w:tc>
        <w:tc>
          <w:tcPr>
            <w:tcW w:w="7196" w:type="dxa"/>
            <w:noWrap w:val="0"/>
            <w:vAlign w:val="top"/>
          </w:tcPr>
          <w:p w14:paraId="22520BA7">
            <w:pPr>
              <w:pStyle w:val="19"/>
              <w:spacing w:line="360" w:lineRule="auto"/>
              <w:jc w:val="both"/>
              <w:rPr>
                <w:rFonts w:hint="eastAsia" w:ascii="宋体" w:hAnsi="宋体" w:cs="宋体"/>
                <w:b w:val="0"/>
                <w:color w:val="auto"/>
                <w:kern w:val="2"/>
                <w:sz w:val="24"/>
                <w:szCs w:val="24"/>
                <w:highlight w:val="none"/>
                <w:lang w:val="en-US" w:eastAsia="zh-CN"/>
              </w:rPr>
            </w:pP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承诺：</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在承办会展期间具备相应项目承接能力，且不因</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自身原因造成工期延误等系列问题</w:t>
            </w:r>
            <w:r>
              <w:rPr>
                <w:rFonts w:hint="eastAsia" w:ascii="宋体" w:hAnsi="宋体" w:cs="宋体"/>
                <w:color w:val="auto"/>
                <w:sz w:val="24"/>
                <w:szCs w:val="24"/>
                <w:highlight w:val="none"/>
                <w:lang w:eastAsia="zh-CN"/>
              </w:rPr>
              <w:t>”</w:t>
            </w:r>
            <w:r>
              <w:rPr>
                <w:rFonts w:hint="eastAsia" w:ascii="宋体" w:hAnsi="宋体" w:eastAsia="宋体" w:cs="宋体"/>
                <w:b w:val="0"/>
                <w:color w:val="auto"/>
                <w:kern w:val="0"/>
                <w:sz w:val="24"/>
                <w:szCs w:val="20"/>
                <w:highlight w:val="none"/>
                <w:lang w:val="en-US" w:eastAsia="zh-CN"/>
              </w:rPr>
              <w:t>，提供满足上述要求的承诺的得</w:t>
            </w:r>
            <w:r>
              <w:rPr>
                <w:rFonts w:hint="eastAsia" w:ascii="宋体" w:hAnsi="宋体" w:cs="宋体"/>
                <w:b w:val="0"/>
                <w:color w:val="auto"/>
                <w:kern w:val="0"/>
                <w:sz w:val="24"/>
                <w:szCs w:val="20"/>
                <w:highlight w:val="none"/>
                <w:lang w:val="en-US" w:eastAsia="zh-CN"/>
              </w:rPr>
              <w:t>2</w:t>
            </w:r>
            <w:r>
              <w:rPr>
                <w:rFonts w:hint="eastAsia" w:ascii="宋体" w:hAnsi="宋体" w:eastAsia="宋体" w:cs="宋体"/>
                <w:b w:val="0"/>
                <w:color w:val="auto"/>
                <w:kern w:val="0"/>
                <w:sz w:val="24"/>
                <w:szCs w:val="20"/>
                <w:highlight w:val="none"/>
                <w:lang w:val="en-US" w:eastAsia="zh-CN"/>
              </w:rPr>
              <w:t>分。注：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905" w:type="dxa"/>
            <w:noWrap w:val="0"/>
            <w:vAlign w:val="center"/>
          </w:tcPr>
          <w:p w14:paraId="57BF9FB4">
            <w:pPr>
              <w:pStyle w:val="18"/>
              <w:spacing w:line="360" w:lineRule="auto"/>
              <w:rPr>
                <w:rFonts w:hint="eastAsia" w:ascii="宋体" w:hAnsi="宋体" w:cs="宋体"/>
                <w:b w:val="0"/>
                <w:color w:val="auto"/>
                <w:kern w:val="2"/>
                <w:sz w:val="24"/>
                <w:szCs w:val="24"/>
                <w:highlight w:val="none"/>
                <w:lang w:val="en-US" w:eastAsia="zh-CN"/>
              </w:rPr>
            </w:pPr>
            <w:r>
              <w:rPr>
                <w:rFonts w:hint="eastAsia" w:ascii="宋体" w:hAnsi="宋体"/>
                <w:b w:val="0"/>
                <w:color w:val="auto"/>
                <w:kern w:val="2"/>
                <w:szCs w:val="24"/>
                <w:highlight w:val="none"/>
                <w:lang w:val="en-US" w:eastAsia="zh-CN"/>
              </w:rPr>
              <w:t>2</w:t>
            </w:r>
            <w:r>
              <w:rPr>
                <w:rFonts w:hint="eastAsia" w:ascii="宋体" w:hAnsi="宋体"/>
                <w:b w:val="0"/>
                <w:color w:val="auto"/>
                <w:kern w:val="2"/>
                <w:szCs w:val="24"/>
                <w:highlight w:val="none"/>
              </w:rPr>
              <w:t>分</w:t>
            </w:r>
          </w:p>
        </w:tc>
      </w:tr>
      <w:tr w14:paraId="5D97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8C2A986">
            <w:pPr>
              <w:pStyle w:val="18"/>
              <w:spacing w:line="360" w:lineRule="auto"/>
              <w:rPr>
                <w:rFonts w:hint="default"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11</w:t>
            </w:r>
          </w:p>
        </w:tc>
        <w:tc>
          <w:tcPr>
            <w:tcW w:w="7196" w:type="dxa"/>
            <w:noWrap w:val="0"/>
            <w:vAlign w:val="center"/>
          </w:tcPr>
          <w:p w14:paraId="4A148713">
            <w:pPr>
              <w:spacing w:line="360" w:lineRule="auto"/>
              <w:rPr>
                <w:rFonts w:hint="eastAsia" w:ascii="宋体" w:hAnsi="宋体" w:cs="宋体"/>
                <w:b w:val="0"/>
                <w:color w:val="auto"/>
                <w:kern w:val="2"/>
                <w:sz w:val="24"/>
                <w:szCs w:val="24"/>
                <w:highlight w:val="none"/>
                <w:lang w:val="en-US" w:eastAsia="zh-CN"/>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承诺“</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后，在服务期内，对拟投入的所有人员安全负全部责任，如若发生安全事故，承担全部责任”</w:t>
            </w:r>
            <w:r>
              <w:rPr>
                <w:rFonts w:hint="eastAsia" w:ascii="宋体" w:hAnsi="宋体" w:eastAsia="宋体" w:cs="宋体"/>
                <w:b w:val="0"/>
                <w:color w:val="auto"/>
                <w:kern w:val="0"/>
                <w:sz w:val="24"/>
                <w:szCs w:val="20"/>
                <w:highlight w:val="none"/>
                <w:lang w:val="en-US" w:eastAsia="zh-CN"/>
              </w:rPr>
              <w:t>，提供满足上述要求的承诺的得</w:t>
            </w:r>
            <w:r>
              <w:rPr>
                <w:rFonts w:hint="eastAsia" w:ascii="宋体" w:hAnsi="宋体" w:cs="宋体"/>
                <w:b w:val="0"/>
                <w:color w:val="auto"/>
                <w:kern w:val="0"/>
                <w:sz w:val="24"/>
                <w:szCs w:val="20"/>
                <w:highlight w:val="none"/>
                <w:lang w:val="en-US" w:eastAsia="zh-CN"/>
              </w:rPr>
              <w:t>3</w:t>
            </w:r>
            <w:r>
              <w:rPr>
                <w:rFonts w:hint="eastAsia" w:ascii="宋体" w:hAnsi="宋体" w:eastAsia="宋体" w:cs="宋体"/>
                <w:b w:val="0"/>
                <w:color w:val="auto"/>
                <w:kern w:val="0"/>
                <w:sz w:val="24"/>
                <w:szCs w:val="20"/>
                <w:highlight w:val="none"/>
                <w:lang w:val="en-US" w:eastAsia="zh-CN"/>
              </w:rPr>
              <w:t>分。注：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905" w:type="dxa"/>
            <w:noWrap w:val="0"/>
            <w:vAlign w:val="center"/>
          </w:tcPr>
          <w:p w14:paraId="62184334">
            <w:pPr>
              <w:pStyle w:val="4"/>
              <w:spacing w:line="360" w:lineRule="auto"/>
              <w:jc w:val="center"/>
              <w:rPr>
                <w:rFonts w:hint="eastAsia" w:ascii="宋体" w:hAnsi="宋体" w:cs="宋体"/>
                <w:b w:val="0"/>
                <w:color w:val="auto"/>
                <w:kern w:val="2"/>
                <w:sz w:val="24"/>
                <w:szCs w:val="24"/>
                <w:highlight w:val="none"/>
                <w:lang w:val="en-US" w:eastAsia="zh-CN"/>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分</w:t>
            </w:r>
          </w:p>
        </w:tc>
      </w:tr>
    </w:tbl>
    <w:p w14:paraId="70E0BE43">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（三）价格评分(F3)：按</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分评分法，评标委员会对各有效标投标报价进行审核确定评标价，并将最低有效标的评标价设为基准价，定其价格得分为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分。按公式：价格得分＝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sym w:font="Symbol" w:char="00B4"/>
      </w:r>
      <w:r>
        <w:rPr>
          <w:rFonts w:hint="eastAsia" w:ascii="宋体" w:hAnsi="宋体" w:eastAsia="宋体" w:cs="宋体"/>
          <w:color w:val="auto"/>
          <w:sz w:val="24"/>
          <w:szCs w:val="24"/>
          <w:highlight w:val="none"/>
        </w:rPr>
        <w:t>（基准价/各个通过审核的有效投标人的评标价）计算，由此算出各个通过审核的有效投标人的价格得分。</w:t>
      </w:r>
    </w:p>
    <w:p w14:paraId="198CF886">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）综合得分= F1+F2+F3 。</w:t>
      </w:r>
    </w:p>
    <w:p w14:paraId="37516310">
      <w:pPr>
        <w:pStyle w:val="5"/>
        <w:spacing w:line="360" w:lineRule="auto"/>
        <w:ind w:firstLine="720" w:firstLineChars="30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备注：技术商务评分中涉及排名情况的评分由评标委员会根据各投标人投标文件的响应情况进行综合评议得出排名。</w:t>
      </w:r>
    </w:p>
    <w:p w14:paraId="403ECA5F">
      <w:pPr>
        <w:spacing w:line="360" w:lineRule="auto"/>
        <w:jc w:val="center"/>
        <w:rPr>
          <w:rFonts w:hint="eastAsia" w:ascii="宋体" w:hAnsi="宋体" w:eastAsia="宋体" w:cs="宋体"/>
          <w:b/>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bookmarkStart w:id="26" w:name="OLE_LINK1"/>
    </w:p>
    <w:p w14:paraId="4AF2A9A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投标人须知</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w:t>
      </w:r>
    </w:p>
    <w:bookmarkEnd w:id="26"/>
    <w:p w14:paraId="7EB49DAC">
      <w:pPr>
        <w:spacing w:line="360" w:lineRule="auto"/>
        <w:jc w:val="center"/>
        <w:outlineLvl w:val="1"/>
        <w:rPr>
          <w:rFonts w:hint="eastAsia" w:ascii="宋体" w:hAnsi="宋体" w:eastAsia="宋体" w:cs="宋体"/>
          <w:b/>
          <w:color w:val="auto"/>
          <w:sz w:val="24"/>
          <w:szCs w:val="24"/>
          <w:highlight w:val="none"/>
        </w:rPr>
      </w:pPr>
      <w:bookmarkStart w:id="27" w:name="_Toc13195"/>
      <w:bookmarkStart w:id="28" w:name="_Toc1344345389"/>
      <w:r>
        <w:rPr>
          <w:rFonts w:hint="eastAsia" w:ascii="宋体" w:hAnsi="宋体" w:eastAsia="宋体" w:cs="宋体"/>
          <w:b/>
          <w:color w:val="auto"/>
          <w:sz w:val="24"/>
          <w:szCs w:val="24"/>
          <w:highlight w:val="none"/>
        </w:rPr>
        <w:t>一、说明</w:t>
      </w:r>
      <w:bookmarkEnd w:id="27"/>
      <w:bookmarkEnd w:id="28"/>
    </w:p>
    <w:p w14:paraId="24293E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14:paraId="6E2D3C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1.1本招标文件仅适用于投标邀请中所叙述项目的服务类政府采购。</w:t>
      </w:r>
    </w:p>
    <w:p w14:paraId="6FB715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14:paraId="22E583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3A7108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“招标采购单位”系指组织本次招标活动的采购人或招标代理机构。</w:t>
      </w:r>
    </w:p>
    <w:p w14:paraId="6E38A3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“招标代理机构”系指本次招标采购项目活动组织方。</w:t>
      </w:r>
    </w:p>
    <w:p w14:paraId="359D63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“投标人”系指购买了本招标文件，且已经提交或者准备提交本次投标文件的服务商。</w:t>
      </w:r>
    </w:p>
    <w:p w14:paraId="5624FA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“服务”系指维护、管理、安装、调试、技术协助、校准、培训以及其他类似的义务。</w:t>
      </w:r>
    </w:p>
    <w:p w14:paraId="47C036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2.6“项目”系以合同包为单位。</w:t>
      </w:r>
    </w:p>
    <w:p w14:paraId="5A570F6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合格的投标人</w:t>
      </w:r>
    </w:p>
    <w:p w14:paraId="133F928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3.1凡有能力提供本招标文件所述服务的，具备《中华人民共和国政府采购法》第二十二条第一款规定的条件且符合本招标文件规定资格要求的境内服务商均可能成为合格的投标人。</w:t>
      </w:r>
    </w:p>
    <w:p w14:paraId="6F34CF0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投标人具备《中华人民共和国政府采购法》第二十二条第一款规定的条件，应提供以下材料：</w:t>
      </w:r>
    </w:p>
    <w:p w14:paraId="1027C248">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（1）法人或者其他组织的营业执照等证明文件，自然人的身份证明；</w:t>
      </w:r>
    </w:p>
    <w:p w14:paraId="7BA89991">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投标人是法人或者其他组织的应提供营业执照等证明文件，投标人是自然人的应提供有效的自然人身份证明。</w:t>
      </w:r>
    </w:p>
    <w:p w14:paraId="55E30283">
      <w:pPr>
        <w:spacing w:line="360" w:lineRule="auto"/>
        <w:ind w:firstLine="48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（2）投标人已提供加载有统一社会信用代码营业执照的，视为已提供税务登记证和组织机构代码证。</w:t>
      </w:r>
    </w:p>
    <w:p w14:paraId="07182956">
      <w:pPr>
        <w:spacing w:line="360" w:lineRule="auto"/>
        <w:ind w:firstLine="48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（3）按要求提供福建省</w:t>
      </w:r>
      <w:r>
        <w:rPr>
          <w:rFonts w:hint="eastAsia" w:ascii="宋体" w:hAnsi="宋体" w:eastAsia="宋体" w:cs="宋体"/>
          <w:b/>
          <w:color w:val="auto"/>
          <w:sz w:val="24"/>
          <w:szCs w:val="24"/>
          <w:highlight w:val="none"/>
        </w:rPr>
        <w:t>政府采购供应商资格承诺函</w:t>
      </w:r>
      <w:r>
        <w:rPr>
          <w:rFonts w:hint="eastAsia" w:ascii="宋体" w:hAnsi="宋体" w:eastAsia="宋体" w:cs="宋体"/>
          <w:b/>
          <w:color w:val="auto"/>
          <w:sz w:val="24"/>
          <w:szCs w:val="24"/>
          <w:highlight w:val="none"/>
          <w:lang w:eastAsia="zh-CN"/>
        </w:rPr>
        <w:t>。</w:t>
      </w:r>
    </w:p>
    <w:p w14:paraId="6D061D6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3.2投标人应遵守并符合中国的有关法律、法规和规章的规定，同时其投标服务也应符合中国的有关法律、法规和规章的规定。</w:t>
      </w:r>
    </w:p>
    <w:p w14:paraId="0A6D881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3.3一个投标人只能提交一个投标文件。如果投标人之间存在下列互为关联关系的情形之一的，不得同时参加本项目同一合同包投标：</w:t>
      </w:r>
    </w:p>
    <w:p w14:paraId="26C2F87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(1)法定代表人、单位负责人为同一人或夫妻关系的不同投标人；</w:t>
      </w:r>
    </w:p>
    <w:p w14:paraId="0FED606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(2)存在直接控股、管理关系的不同投标人；</w:t>
      </w:r>
    </w:p>
    <w:p w14:paraId="41F0780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(3)均为同一家母公司直接或间接持股50％及以上的被投资公司。</w:t>
      </w:r>
    </w:p>
    <w:p w14:paraId="5499030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14:paraId="2175284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3.5如本项目接受联合体投标，则两个或者两个以上投标人可以组成一个投标联合体，以一个投标人的身份投标。</w:t>
      </w:r>
    </w:p>
    <w:p w14:paraId="6769C7A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47B9510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6E29D7C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（3）项目如涉及资质要求，该部分内容应由联合体中具有该资质要求的投标人承担。联合体协议及签订的采购合同应包含此项内容。</w:t>
      </w:r>
    </w:p>
    <w:p w14:paraId="3068DEF3">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（4）联合体中有同类资质的投标人按照联合体分工承担相同工作的，应当按照资质等级较低的投标人确定资质等级。</w:t>
      </w:r>
    </w:p>
    <w:p w14:paraId="1F290DC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p w14:paraId="08616AF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3.7投标代理人在同一个项目中只能接受一个投标人的委托参加投标。</w:t>
      </w:r>
    </w:p>
    <w:p w14:paraId="62DDD7A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3.8投标人存在下列情形之一的，将被认定为串通投标行为并作无效投标处理：</w:t>
      </w:r>
    </w:p>
    <w:p w14:paraId="708E476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（1）投标人之间协商投标报价等投标文件的实质性内容；</w:t>
      </w:r>
    </w:p>
    <w:p w14:paraId="02F772F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（2）投标人之间约定中标供应商；</w:t>
      </w:r>
    </w:p>
    <w:p w14:paraId="1F72F98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（3）投标人之间约定部分投标人放弃投标或者中标；</w:t>
      </w:r>
    </w:p>
    <w:p w14:paraId="0CC8F93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（4）属于同一集团、协会、商会等组织成员的投标人按照该组织要求协同投标；</w:t>
      </w:r>
    </w:p>
    <w:p w14:paraId="6765CBB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（5）投标人之间为谋取中标或者排斥特定投标人而采取的其他联合行动；</w:t>
      </w:r>
    </w:p>
    <w:p w14:paraId="2247FDE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（6）不同投标人的投标文件由同一单位或者个人编制；</w:t>
      </w:r>
    </w:p>
    <w:p w14:paraId="434C3F4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（7）不同投标人委托同一单位或者个人办理投标事宜；</w:t>
      </w:r>
    </w:p>
    <w:p w14:paraId="267A764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（8）不同投标人的投标文件载明的项目管理成员或者联系人员为同一人；</w:t>
      </w:r>
    </w:p>
    <w:p w14:paraId="7CDD82D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（9）不同投标人的投标文件异常一致或者投标报价呈规律性差异；</w:t>
      </w:r>
    </w:p>
    <w:p w14:paraId="1E8A1F5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（10）不同投标人的投标文件相互混装；</w:t>
      </w:r>
    </w:p>
    <w:p w14:paraId="1A4EE8F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（11）不同投标人的投标保证金从同一单位或者个人的账户转出。</w:t>
      </w:r>
    </w:p>
    <w:p w14:paraId="49E0E3E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（12）不同投标人的投标文件错、漏之处一致或雷同，且不能合理解释的；</w:t>
      </w:r>
    </w:p>
    <w:p w14:paraId="664D595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（13）不同的投标人的法定代表人、委托代理人等由同一个单位缴纳社会保险的；</w:t>
      </w:r>
    </w:p>
    <w:p w14:paraId="697773B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55DB7D3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（15）有关法律、法规或规章规定的其他串通投标行为。</w:t>
      </w:r>
    </w:p>
    <w:p w14:paraId="5AC57E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投标费用</w:t>
      </w:r>
    </w:p>
    <w:p w14:paraId="00C7D1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投标人自行承担其参加投标所涉及的一切费用。</w:t>
      </w:r>
    </w:p>
    <w:p w14:paraId="22CF808D">
      <w:pPr>
        <w:spacing w:line="360" w:lineRule="auto"/>
        <w:rPr>
          <w:rFonts w:hint="eastAsia" w:ascii="宋体" w:hAnsi="宋体" w:eastAsia="宋体" w:cs="宋体"/>
          <w:color w:val="auto"/>
          <w:sz w:val="24"/>
          <w:szCs w:val="24"/>
          <w:highlight w:val="none"/>
        </w:rPr>
      </w:pPr>
    </w:p>
    <w:p w14:paraId="4C4DCAF0">
      <w:pPr>
        <w:spacing w:line="360" w:lineRule="auto"/>
        <w:jc w:val="center"/>
        <w:outlineLvl w:val="1"/>
        <w:rPr>
          <w:rFonts w:hint="eastAsia" w:ascii="宋体" w:hAnsi="宋体" w:eastAsia="宋体" w:cs="宋体"/>
          <w:b/>
          <w:color w:val="auto"/>
          <w:sz w:val="24"/>
          <w:szCs w:val="24"/>
          <w:highlight w:val="none"/>
        </w:rPr>
      </w:pPr>
      <w:bookmarkStart w:id="29" w:name="_Toc29996"/>
      <w:bookmarkStart w:id="30" w:name="_Toc822816723"/>
      <w:r>
        <w:rPr>
          <w:rFonts w:hint="eastAsia" w:ascii="宋体" w:hAnsi="宋体" w:eastAsia="宋体" w:cs="宋体"/>
          <w:b/>
          <w:color w:val="auto"/>
          <w:sz w:val="24"/>
          <w:szCs w:val="24"/>
          <w:highlight w:val="none"/>
        </w:rPr>
        <w:t>二、招标文件</w:t>
      </w:r>
      <w:bookmarkEnd w:id="29"/>
      <w:bookmarkEnd w:id="30"/>
    </w:p>
    <w:p w14:paraId="4014F6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招标文件的组成</w:t>
      </w:r>
    </w:p>
    <w:p w14:paraId="55E10E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5.1招标文件用以阐明所需服务招标程序、内容和合同主要条款。招标文件由下述部分组成：</w:t>
      </w:r>
    </w:p>
    <w:p w14:paraId="494352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（1）投标邀请函</w:t>
      </w:r>
    </w:p>
    <w:p w14:paraId="024D82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（2）投标人须知 </w:t>
      </w:r>
    </w:p>
    <w:p w14:paraId="21C7D6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（3）招标内容及要求</w:t>
      </w:r>
    </w:p>
    <w:p w14:paraId="125327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（4）合同主要条款</w:t>
      </w:r>
    </w:p>
    <w:p w14:paraId="0DFFB1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（5）投标文件格式</w:t>
      </w:r>
    </w:p>
    <w:p w14:paraId="6F8C21C9">
      <w:pPr>
        <w:spacing w:line="360" w:lineRule="auto"/>
        <w:rPr>
          <w:rFonts w:hint="eastAsia" w:ascii="宋体" w:hAnsi="宋体" w:eastAsia="宋体" w:cs="宋体"/>
          <w:color w:val="auto"/>
          <w:sz w:val="24"/>
          <w:szCs w:val="24"/>
          <w:highlight w:val="none"/>
        </w:rPr>
      </w:pPr>
      <w:bookmarkStart w:id="31" w:name="_Toc415567497"/>
      <w:bookmarkStart w:id="32" w:name="_Toc430488851"/>
      <w:bookmarkStart w:id="33" w:name="_Toc430492126"/>
      <w:bookmarkStart w:id="34" w:name="_Toc430490612"/>
      <w:bookmarkStart w:id="35" w:name="_Toc430489119"/>
      <w:bookmarkStart w:id="36" w:name="_Toc430488644"/>
      <w:bookmarkStart w:id="37" w:name="_Toc430422413"/>
      <w:r>
        <w:rPr>
          <w:rFonts w:hint="eastAsia" w:ascii="宋体" w:hAnsi="宋体" w:eastAsia="宋体" w:cs="宋体"/>
          <w:color w:val="auto"/>
          <w:sz w:val="24"/>
          <w:szCs w:val="24"/>
          <w:highlight w:val="none"/>
        </w:rPr>
        <w:t>6.</w:t>
      </w:r>
      <w:bookmarkEnd w:id="31"/>
      <w:bookmarkEnd w:id="32"/>
      <w:bookmarkEnd w:id="33"/>
      <w:bookmarkEnd w:id="34"/>
      <w:bookmarkEnd w:id="35"/>
      <w:bookmarkEnd w:id="36"/>
      <w:bookmarkEnd w:id="37"/>
      <w:r>
        <w:rPr>
          <w:rFonts w:hint="eastAsia" w:ascii="宋体" w:hAnsi="宋体" w:eastAsia="宋体" w:cs="宋体"/>
          <w:color w:val="auto"/>
          <w:sz w:val="24"/>
          <w:szCs w:val="24"/>
          <w:highlight w:val="none"/>
        </w:rPr>
        <w:t xml:space="preserve"> 招标文件的澄清及</w:t>
      </w:r>
      <w:r>
        <w:rPr>
          <w:rFonts w:hint="eastAsia" w:ascii="宋体" w:hAnsi="宋体" w:eastAsia="宋体" w:cs="宋体"/>
          <w:bCs/>
          <w:color w:val="auto"/>
          <w:sz w:val="24"/>
          <w:szCs w:val="24"/>
          <w:highlight w:val="none"/>
        </w:rPr>
        <w:t>修改</w:t>
      </w:r>
    </w:p>
    <w:p w14:paraId="5D2E5AD4">
      <w:pPr>
        <w:pStyle w:val="3"/>
        <w:spacing w:line="360" w:lineRule="auto"/>
        <w:outlineLvl w:val="9"/>
        <w:rPr>
          <w:rFonts w:hint="eastAsia" w:ascii="宋体" w:hAnsi="宋体" w:eastAsia="宋体" w:cs="宋体"/>
          <w:bCs/>
          <w:color w:val="auto"/>
          <w:sz w:val="24"/>
          <w:szCs w:val="24"/>
          <w:highlight w:val="none"/>
        </w:rPr>
      </w:pPr>
      <w:bookmarkStart w:id="38" w:name="_Toc24813"/>
      <w:bookmarkStart w:id="39" w:name="_Toc312"/>
      <w:r>
        <w:rPr>
          <w:rFonts w:hint="eastAsia" w:ascii="宋体" w:hAnsi="宋体" w:eastAsia="宋体" w:cs="宋体"/>
          <w:bCs/>
          <w:color w:val="auto"/>
          <w:sz w:val="24"/>
          <w:szCs w:val="24"/>
          <w:highlight w:val="none"/>
        </w:rPr>
        <w:t>6.1 投标人对招标文件如有疑点，可要求澄清。要求澄清应按投标邀请中载明的地址以书面形式（包括信函、传真、电子邮件，下同）通知</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将视情况在投标截止时间15个日历日（如至原定截止时间不足15个日历日，则需延长开标时间）前将书面答复发给所有投标人，并</w:t>
      </w:r>
      <w:r>
        <w:rPr>
          <w:rFonts w:hint="eastAsia" w:ascii="宋体" w:hAnsi="宋体" w:eastAsia="宋体" w:cs="宋体"/>
          <w:color w:val="auto"/>
          <w:sz w:val="24"/>
          <w:szCs w:val="24"/>
          <w:highlight w:val="none"/>
        </w:rPr>
        <w:t>在原采购信息发布媒体上发布更正公告</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该澄清内容为招标文件的组成部分。</w:t>
      </w:r>
      <w:bookmarkEnd w:id="38"/>
      <w:bookmarkEnd w:id="39"/>
    </w:p>
    <w:p w14:paraId="62F61E0B">
      <w:pPr>
        <w:pStyle w:val="3"/>
        <w:spacing w:line="360" w:lineRule="auto"/>
        <w:ind w:firstLineChars="175"/>
        <w:outlineLvl w:val="9"/>
        <w:rPr>
          <w:rFonts w:hint="eastAsia" w:ascii="宋体" w:hAnsi="宋体" w:eastAsia="宋体" w:cs="宋体"/>
          <w:bCs/>
          <w:color w:val="auto"/>
          <w:sz w:val="24"/>
          <w:szCs w:val="24"/>
          <w:highlight w:val="none"/>
        </w:rPr>
      </w:pPr>
      <w:bookmarkStart w:id="40" w:name="_Toc227"/>
      <w:r>
        <w:rPr>
          <w:rFonts w:hint="eastAsia" w:ascii="宋体" w:hAnsi="宋体" w:eastAsia="宋体" w:cs="宋体"/>
          <w:bCs/>
          <w:color w:val="auto"/>
          <w:sz w:val="24"/>
          <w:szCs w:val="24"/>
          <w:highlight w:val="none"/>
        </w:rPr>
        <w:t>6.2至投标截止时间15日（如至原定截止时间不足15个日历日，则需延长开标时间）前，</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可主动或依投标人要求澄清的问题修改招标文件，但应当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并以书面形式通知所有招标文件收受人，投标人在收到该通知后应当立即以传真形式予以确认。</w:t>
      </w:r>
      <w:r>
        <w:rPr>
          <w:rFonts w:hint="eastAsia" w:ascii="宋体" w:hAnsi="宋体" w:eastAsia="宋体" w:cs="宋体"/>
          <w:color w:val="auto"/>
          <w:sz w:val="24"/>
          <w:szCs w:val="24"/>
          <w:highlight w:val="none"/>
        </w:rPr>
        <w:t>该修改内容为招标文件的组成部分，对投标人具有约束力。但</w:t>
      </w:r>
      <w:r>
        <w:rPr>
          <w:rFonts w:hint="eastAsia" w:ascii="宋体" w:hAnsi="宋体" w:eastAsia="宋体" w:cs="宋体"/>
          <w:bCs/>
          <w:color w:val="auto"/>
          <w:sz w:val="24"/>
          <w:szCs w:val="24"/>
          <w:highlight w:val="none"/>
        </w:rPr>
        <w:t>本招标文件第6.3条规定的推迟投标截止时间和开标时间情形不受本条约束。</w:t>
      </w:r>
      <w:bookmarkEnd w:id="40"/>
    </w:p>
    <w:p w14:paraId="74C2979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w:t>
      </w:r>
      <w:r>
        <w:rPr>
          <w:rFonts w:hint="eastAsia" w:ascii="宋体" w:hAnsi="宋体" w:eastAsia="宋体" w:cs="宋体"/>
          <w:color w:val="auto"/>
          <w:sz w:val="24"/>
          <w:szCs w:val="24"/>
          <w:highlight w:val="none"/>
        </w:rPr>
        <w:t>为使投标人在准备投标文件时有合理的时间考虑投标文件的修改，招标</w:t>
      </w:r>
      <w:r>
        <w:rPr>
          <w:rFonts w:hint="eastAsia" w:ascii="宋体" w:hAnsi="宋体" w:eastAsia="宋体" w:cs="宋体"/>
          <w:bCs/>
          <w:color w:val="auto"/>
          <w:sz w:val="24"/>
          <w:szCs w:val="24"/>
          <w:highlight w:val="none"/>
        </w:rPr>
        <w:t>代理机构可酌情推迟投标截止时间和开标时间，但应当至少在投标截止时间3个日历日前将变更时间以书面形式通知所有招标文件收受人</w:t>
      </w:r>
      <w:r>
        <w:rPr>
          <w:rFonts w:hint="eastAsia" w:ascii="宋体" w:hAnsi="宋体" w:eastAsia="宋体" w:cs="宋体"/>
          <w:color w:val="auto"/>
          <w:sz w:val="24"/>
          <w:szCs w:val="24"/>
          <w:highlight w:val="none"/>
        </w:rPr>
        <w:t>，并在原采购信息发布媒体上发布更正公告。在此情况下，招标人和投标人受投标截止期制约的所有权利和义务均应延长至新的截止日期。</w:t>
      </w:r>
    </w:p>
    <w:p w14:paraId="46916B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7.项目暂停</w:t>
      </w:r>
    </w:p>
    <w:p w14:paraId="45AE5D29">
      <w:pPr>
        <w:pStyle w:val="3"/>
        <w:spacing w:line="360" w:lineRule="auto"/>
        <w:ind w:firstLineChars="175"/>
        <w:outlineLvl w:val="9"/>
        <w:rPr>
          <w:rFonts w:hint="eastAsia" w:ascii="宋体" w:hAnsi="宋体" w:eastAsia="宋体" w:cs="宋体"/>
          <w:bCs/>
          <w:color w:val="auto"/>
          <w:sz w:val="24"/>
          <w:szCs w:val="24"/>
          <w:highlight w:val="none"/>
        </w:rPr>
      </w:pPr>
      <w:bookmarkStart w:id="41" w:name="_Toc26037"/>
      <w:bookmarkStart w:id="42" w:name="_Toc29312"/>
      <w:r>
        <w:rPr>
          <w:rFonts w:hint="eastAsia" w:ascii="宋体" w:hAnsi="宋体" w:eastAsia="宋体" w:cs="宋体"/>
          <w:bCs/>
          <w:color w:val="auto"/>
          <w:sz w:val="24"/>
          <w:szCs w:val="24"/>
          <w:highlight w:val="none"/>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bookmarkEnd w:id="41"/>
      <w:bookmarkEnd w:id="42"/>
    </w:p>
    <w:p w14:paraId="46041D4A">
      <w:pPr>
        <w:spacing w:line="360" w:lineRule="auto"/>
        <w:ind w:firstLine="480" w:firstLineChars="200"/>
        <w:rPr>
          <w:rFonts w:hint="eastAsia" w:ascii="宋体" w:hAnsi="宋体" w:eastAsia="宋体" w:cs="宋体"/>
          <w:color w:val="auto"/>
          <w:sz w:val="24"/>
          <w:szCs w:val="24"/>
          <w:highlight w:val="none"/>
        </w:rPr>
      </w:pPr>
    </w:p>
    <w:p w14:paraId="728EDFEA">
      <w:pPr>
        <w:spacing w:line="360" w:lineRule="auto"/>
        <w:ind w:firstLine="480" w:firstLineChars="200"/>
        <w:rPr>
          <w:rFonts w:hint="eastAsia" w:ascii="宋体" w:hAnsi="宋体" w:eastAsia="宋体" w:cs="宋体"/>
          <w:color w:val="auto"/>
          <w:sz w:val="24"/>
          <w:szCs w:val="24"/>
          <w:highlight w:val="none"/>
        </w:rPr>
      </w:pPr>
    </w:p>
    <w:p w14:paraId="33D52883">
      <w:pPr>
        <w:spacing w:line="360" w:lineRule="auto"/>
        <w:jc w:val="center"/>
        <w:outlineLvl w:val="1"/>
        <w:rPr>
          <w:rFonts w:hint="eastAsia" w:ascii="宋体" w:hAnsi="宋体" w:eastAsia="宋体" w:cs="宋体"/>
          <w:b/>
          <w:color w:val="auto"/>
          <w:sz w:val="24"/>
          <w:szCs w:val="24"/>
          <w:highlight w:val="none"/>
        </w:rPr>
      </w:pPr>
      <w:bookmarkStart w:id="43" w:name="_Toc2107709999"/>
      <w:bookmarkStart w:id="44" w:name="_Toc27707"/>
      <w:r>
        <w:rPr>
          <w:rFonts w:hint="eastAsia" w:ascii="宋体" w:hAnsi="宋体" w:eastAsia="宋体" w:cs="宋体"/>
          <w:b/>
          <w:color w:val="auto"/>
          <w:sz w:val="24"/>
          <w:szCs w:val="24"/>
          <w:highlight w:val="none"/>
        </w:rPr>
        <w:t>三、投标文件的编写</w:t>
      </w:r>
      <w:bookmarkEnd w:id="43"/>
      <w:bookmarkEnd w:id="44"/>
    </w:p>
    <w:p w14:paraId="690A22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要求</w:t>
      </w:r>
    </w:p>
    <w:p w14:paraId="5160FC1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p w14:paraId="3C26AE9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8.2除非有另外的规定，投标人可对招标服务一览表所列的全部合同包或部分合同包进行投标。招标采购单位不接受有任何可选择性的报价，每一种服务只能有一个报价，否则其投标将被拒绝。</w:t>
      </w:r>
    </w:p>
    <w:p w14:paraId="0F6493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投标文件语言</w:t>
      </w:r>
    </w:p>
    <w:p w14:paraId="5C9003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9.1投标文件应用中文书写。投标文件中所附或所引用的文件不是中文时，应附中文译本。各种计量单位及符号应采用国际上统一使用的公制计量单位和符号。</w:t>
      </w:r>
    </w:p>
    <w:p w14:paraId="078E9A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投标文件的组成</w:t>
      </w:r>
    </w:p>
    <w:p w14:paraId="57E79E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10.1投标文件应包括下列部分：</w:t>
      </w:r>
    </w:p>
    <w:p w14:paraId="57A8DD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w:t>
      </w:r>
    </w:p>
    <w:p w14:paraId="5E71E8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14:paraId="23AB39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14:paraId="6B6982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2023FB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项目范围清单</w:t>
      </w:r>
    </w:p>
    <w:p w14:paraId="3BBBC4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12C685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投标人资格证明文件</w:t>
      </w:r>
    </w:p>
    <w:p w14:paraId="1C89D7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投标人提交的其他资料</w:t>
      </w:r>
    </w:p>
    <w:p w14:paraId="460F35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780D8E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投标保证金</w:t>
      </w:r>
    </w:p>
    <w:p w14:paraId="4E7ED3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投标有效期</w:t>
      </w:r>
    </w:p>
    <w:p w14:paraId="3FAF1E6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p w14:paraId="07789F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78027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投标保证金</w:t>
      </w:r>
    </w:p>
    <w:p w14:paraId="483EF1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投标保证金为投标文件的组成部分之一。</w:t>
      </w:r>
    </w:p>
    <w:p w14:paraId="4917B8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投标人应在提交投标文件之前向招标代理机构</w:t>
      </w:r>
      <w:r>
        <w:rPr>
          <w:rFonts w:hint="eastAsia" w:ascii="宋体" w:hAnsi="宋体" w:eastAsia="宋体" w:cs="宋体"/>
          <w:color w:val="auto"/>
          <w:sz w:val="24"/>
          <w:szCs w:val="24"/>
          <w:highlight w:val="none"/>
          <w:u w:val="single"/>
        </w:rPr>
        <w:t>指定的保证金专户</w:t>
      </w:r>
      <w:r>
        <w:rPr>
          <w:rFonts w:hint="eastAsia" w:ascii="宋体" w:hAnsi="宋体" w:eastAsia="宋体" w:cs="宋体"/>
          <w:color w:val="auto"/>
          <w:sz w:val="24"/>
          <w:szCs w:val="24"/>
          <w:highlight w:val="none"/>
        </w:rPr>
        <w:t>缴交投标保证金。联合体投标的，可以由联合体中的一方或者共同提交投标保证金，以一方名义提交投标保证金的，对联合体各方均具有约束力。</w:t>
      </w:r>
    </w:p>
    <w:p w14:paraId="553644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投标保证金用于保护本次招标活动免受投标人的行为而引起的风险。</w:t>
      </w:r>
    </w:p>
    <w:p w14:paraId="0F3012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12.4投标保证金以转账、电汇两种形式提交（不收取现金、现金支票，不能用个人卡在银联支付系统转账，否则作未提交保证金处理），投标保证金应在投标截止时间前到账。</w:t>
      </w:r>
    </w:p>
    <w:p w14:paraId="66811D5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p w14:paraId="051126F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12.6招标代理机构将在中标通知书发出之日起5个工作日内予以原额无息退还未中标供应商的投标保证金。</w:t>
      </w:r>
    </w:p>
    <w:p w14:paraId="4FC1AE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12.7在中标供应商支付所有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并签订合同后5个工作日内，招标代理机构对中标供应商的投标保证金予以原额无息退还。</w:t>
      </w:r>
    </w:p>
    <w:p w14:paraId="04F522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12.8投标保证金有效期应当与投标有效期一致。投标保证金产生的银行利息统一上缴市财政。</w:t>
      </w:r>
    </w:p>
    <w:p w14:paraId="37689D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发生以下情形之一的，投标保证金将不予退还，</w:t>
      </w:r>
      <w:r>
        <w:rPr>
          <w:rFonts w:hint="eastAsia" w:ascii="宋体" w:hAnsi="宋体" w:eastAsia="宋体" w:cs="宋体"/>
          <w:color w:val="auto"/>
          <w:sz w:val="24"/>
          <w:szCs w:val="24"/>
          <w:highlight w:val="none"/>
          <w:u w:val="single"/>
        </w:rPr>
        <w:t>由招标代理机构上缴财政部门</w:t>
      </w:r>
      <w:r>
        <w:rPr>
          <w:rFonts w:hint="eastAsia" w:ascii="宋体" w:hAnsi="宋体" w:eastAsia="宋体" w:cs="宋体"/>
          <w:color w:val="auto"/>
          <w:sz w:val="24"/>
          <w:szCs w:val="24"/>
          <w:highlight w:val="none"/>
        </w:rPr>
        <w:t>：</w:t>
      </w:r>
    </w:p>
    <w:p w14:paraId="3434C689">
      <w:pPr>
        <w:pStyle w:val="3"/>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投标人在投标截止时间后，投标有效期内撤回投标；</w:t>
      </w:r>
    </w:p>
    <w:p w14:paraId="3A0EE4A3">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（2）除因不可抗力或招标文件认可的情形外，中标供应商未能按本须知第22条规定签订合同的；</w:t>
      </w:r>
    </w:p>
    <w:p w14:paraId="2EB8CD6B">
      <w:pPr>
        <w:spacing w:line="360" w:lineRule="auto"/>
        <w:ind w:left="707" w:leftChars="228" w:hanging="228" w:hangingChars="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（3）中标供应商未按投标人须知前附表1规定缴纳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263549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（4）以他人名义投标或者以其他方式弄虚作假，骗取中标的；</w:t>
      </w:r>
    </w:p>
    <w:p w14:paraId="79595E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（5）投标人在响应文件中提供虚假材料的；</w:t>
      </w:r>
    </w:p>
    <w:p w14:paraId="4726F0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（6）在禁止参加政府采购活动的处罚有效期内，仍参加政府采购活动的；</w:t>
      </w:r>
    </w:p>
    <w:p w14:paraId="5F8130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（7）以不正当手段诋毁、排挤其他投标人的；</w:t>
      </w:r>
    </w:p>
    <w:p w14:paraId="3229CE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14:paraId="47DE84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（9）与采购人、其他投标人或者采购代理机构恶意串通的；</w:t>
      </w:r>
    </w:p>
    <w:p w14:paraId="7EF508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（10）法律、法规、规章及本招标文件中规定的其他没收投标保证金的情形。</w:t>
      </w:r>
    </w:p>
    <w:p w14:paraId="3EA17F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上述不予退还投标保证金的情形给招标采购单位造成损失的，相关责任人还应当承担赔偿责任。</w:t>
      </w:r>
    </w:p>
    <w:p w14:paraId="2FBE1F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投标文件的格式</w:t>
      </w:r>
    </w:p>
    <w:p w14:paraId="6487FD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13.1投标人须编制由本须知第10条规定文件组成的投标文件正本一份，副本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电子文件：（U盘或光盘介质，盖章版PDF格式文件）一份</w:t>
      </w:r>
      <w:r>
        <w:rPr>
          <w:rFonts w:hint="default"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正本用A4幅面纸张打印装订，副本可以用正本的完整复印件，并在封面标明“正本”、“副本”字样。正本与副本如有不一致，则以正本为准。</w:t>
      </w:r>
    </w:p>
    <w:p w14:paraId="3B9954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13.2投标文件应由投标人的法定代表人或者其授权代表签字并加盖公章，如由后者签字，应提供“单位授权委托书”。 </w:t>
      </w:r>
    </w:p>
    <w:p w14:paraId="3E1925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13.3除非有另外的规定或许可，投标使用货币为人民币。</w:t>
      </w:r>
    </w:p>
    <w:p w14:paraId="2BB742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13.4投标人应提交证明</w:t>
      </w:r>
      <w:r>
        <w:rPr>
          <w:rFonts w:hint="eastAsia" w:ascii="宋体" w:hAnsi="宋体" w:eastAsia="宋体" w:cs="宋体"/>
          <w:color w:val="auto"/>
          <w:sz w:val="24"/>
          <w:szCs w:val="24"/>
          <w:highlight w:val="none"/>
          <w:lang w:eastAsia="zh-CN"/>
        </w:rPr>
        <w:t>其拟提供</w:t>
      </w:r>
      <w:r>
        <w:rPr>
          <w:rFonts w:hint="eastAsia" w:ascii="宋体" w:hAnsi="宋体" w:eastAsia="宋体" w:cs="宋体"/>
          <w:color w:val="auto"/>
          <w:sz w:val="24"/>
          <w:szCs w:val="24"/>
          <w:highlight w:val="none"/>
        </w:rPr>
        <w:t>服务符合招标文件要求的技术响应文件，该文件可以是文字资料、图纸和数据，并须提供服务主要技术性能的详细描述。</w:t>
      </w:r>
    </w:p>
    <w:p w14:paraId="4B4CEE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投标文件的正本和全部副本均应使用不能擦去的墨料或墨水打印、书写或复印，并由法定代表人或其授权代表签署，盖投标人公章。</w:t>
      </w:r>
    </w:p>
    <w:p w14:paraId="5703B4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14:paraId="45247BA8">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p w14:paraId="0D7F7C5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13.8所有资格证明文件复印件须加盖投标人公章。</w:t>
      </w:r>
    </w:p>
    <w:p w14:paraId="317DA4C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13.9 投标人应将上述文件按顺序装订成册、打印页码，并编列投标文件目录、资料清单，由于装订不规范或编排顺序混乱而导致投标文件被误读或漏读，该投标可能被视为无效投标或承担不利的评标结果。</w:t>
      </w:r>
    </w:p>
    <w:p w14:paraId="78059382">
      <w:pPr>
        <w:spacing w:line="360" w:lineRule="auto"/>
        <w:rPr>
          <w:rFonts w:hint="eastAsia" w:ascii="宋体" w:hAnsi="宋体" w:eastAsia="宋体" w:cs="宋体"/>
          <w:color w:val="auto"/>
          <w:sz w:val="24"/>
          <w:szCs w:val="24"/>
          <w:highlight w:val="none"/>
        </w:rPr>
      </w:pPr>
    </w:p>
    <w:p w14:paraId="00A6A00E">
      <w:pPr>
        <w:spacing w:line="360" w:lineRule="auto"/>
        <w:jc w:val="center"/>
        <w:outlineLvl w:val="1"/>
        <w:rPr>
          <w:rFonts w:hint="eastAsia" w:ascii="宋体" w:hAnsi="宋体" w:eastAsia="宋体" w:cs="宋体"/>
          <w:b/>
          <w:color w:val="auto"/>
          <w:sz w:val="24"/>
          <w:szCs w:val="24"/>
          <w:highlight w:val="none"/>
        </w:rPr>
      </w:pPr>
      <w:bookmarkStart w:id="45" w:name="_Toc19686"/>
      <w:bookmarkStart w:id="46" w:name="_Toc683664588"/>
      <w:r>
        <w:rPr>
          <w:rFonts w:hint="eastAsia" w:ascii="宋体" w:hAnsi="宋体" w:eastAsia="宋体" w:cs="宋体"/>
          <w:b/>
          <w:color w:val="auto"/>
          <w:sz w:val="24"/>
          <w:szCs w:val="24"/>
          <w:highlight w:val="none"/>
        </w:rPr>
        <w:t>四、投标文件的提交</w:t>
      </w:r>
      <w:bookmarkEnd w:id="45"/>
      <w:bookmarkEnd w:id="46"/>
    </w:p>
    <w:p w14:paraId="60249F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投标文件的密封、标记和递交</w:t>
      </w:r>
    </w:p>
    <w:p w14:paraId="30035721">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14.1 投标人应将投标文件正本和全部副本分别用信封密封，并标明招标编号、投标人名称、投标服务名称及“正本”或“副本”字样。</w:t>
      </w:r>
      <w:r>
        <w:rPr>
          <w:rFonts w:hint="eastAsia" w:ascii="宋体" w:hAnsi="宋体" w:eastAsia="宋体" w:cs="宋体"/>
          <w:b/>
          <w:color w:val="auto"/>
          <w:sz w:val="24"/>
          <w:szCs w:val="24"/>
          <w:highlight w:val="none"/>
        </w:rPr>
        <w:t>投标文件未密封将导致其投标被拒绝。</w:t>
      </w:r>
    </w:p>
    <w:p w14:paraId="78F9A7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每一信封密封处应注明“于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之前（指招标邀请中规定的开标日期及时间）不准启封”的字样，并加盖投标人公章或由投标代表签字。</w:t>
      </w:r>
    </w:p>
    <w:p w14:paraId="216CBF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14.3如果投标文件由邮局或专人送交，投标人应将投标文件按照本须知第14.1条至第14.2条的规定进行密封和标记后，按投标人须知前附表1注明的地址送至接收人。</w:t>
      </w:r>
    </w:p>
    <w:p w14:paraId="24E6A0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14.4如果未按上述规定进行密封和标记，招标代理机构将不承担由此造成的对投标文件的误投或提前拆封的责任。</w:t>
      </w:r>
    </w:p>
    <w:p w14:paraId="36EEDBBB">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14.5投标文件应在投标邀请中规定的截止时间前送达，迟到的投标文件为无效投标文件, 将被拒收。</w:t>
      </w:r>
    </w:p>
    <w:p w14:paraId="4150D9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14.6投标人在投标截止时间前，可以对所提交的投标文件进行修改或者撤回，并书面通知招标代理机构。修改的内容和撤回通知应当按本须知要求签署、盖章、密封，并作为投标文件的组成部分。</w:t>
      </w:r>
    </w:p>
    <w:p w14:paraId="017612CB">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p w14:paraId="0B5ABAF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14.8投标截止时间结束后参加投标的投标人不足3家的，本次招标程序终止，除采购任务取消情形外，招标采购单位将依法重新组织招标或者采取其他方式采购。</w:t>
      </w:r>
    </w:p>
    <w:p w14:paraId="485FD98A">
      <w:pPr>
        <w:spacing w:line="360" w:lineRule="auto"/>
        <w:ind w:firstLine="480" w:firstLineChars="200"/>
        <w:rPr>
          <w:rFonts w:hint="eastAsia" w:ascii="宋体" w:hAnsi="宋体" w:eastAsia="宋体" w:cs="宋体"/>
          <w:color w:val="auto"/>
          <w:sz w:val="24"/>
          <w:szCs w:val="24"/>
          <w:highlight w:val="none"/>
        </w:rPr>
      </w:pPr>
    </w:p>
    <w:p w14:paraId="2EF87275">
      <w:pPr>
        <w:spacing w:line="360" w:lineRule="auto"/>
        <w:jc w:val="center"/>
        <w:outlineLvl w:val="1"/>
        <w:rPr>
          <w:rFonts w:hint="eastAsia" w:ascii="宋体" w:hAnsi="宋体" w:eastAsia="宋体" w:cs="宋体"/>
          <w:b/>
          <w:color w:val="auto"/>
          <w:sz w:val="24"/>
          <w:szCs w:val="24"/>
          <w:highlight w:val="none"/>
        </w:rPr>
      </w:pPr>
      <w:bookmarkStart w:id="47" w:name="_Toc11343"/>
      <w:bookmarkStart w:id="48" w:name="_Toc781969653"/>
      <w:r>
        <w:rPr>
          <w:rFonts w:hint="eastAsia" w:ascii="宋体" w:hAnsi="宋体" w:eastAsia="宋体" w:cs="宋体"/>
          <w:b/>
          <w:color w:val="auto"/>
          <w:sz w:val="24"/>
          <w:szCs w:val="24"/>
          <w:highlight w:val="none"/>
        </w:rPr>
        <w:t>五、投标文件的评估和比较</w:t>
      </w:r>
      <w:bookmarkEnd w:id="47"/>
      <w:bookmarkEnd w:id="48"/>
    </w:p>
    <w:p w14:paraId="5E080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15．开标、评标时间</w:t>
      </w:r>
    </w:p>
    <w:p w14:paraId="1D32A2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在投标人须知前附表1中所规定的时间、地点开标（如有推迟情形，以推迟后的时间、地点为准）。</w:t>
      </w:r>
    </w:p>
    <w:p w14:paraId="5389BD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15.2开标由招标代理机构主持，邀请采购人、投标人和有关方面代表参加。投标人一般应派授权代表参加开标会，并办理签到手续。</w:t>
      </w:r>
    </w:p>
    <w:p w14:paraId="44EF3E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14:paraId="2B15CA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w:t>
      </w:r>
    </w:p>
    <w:p w14:paraId="20E4BA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代理机构根据招标服务的特点依法组建评标委员会。评标委员会由技术、经济、法律方面的专家和采购人代表组成。成员为5人以上单数组成，专家人数不能少于2/3。在开标后的适当时间里由评标委员会对投标文件进行审查、质疑、评估和比较，并做出授予合同的建议。</w:t>
      </w:r>
    </w:p>
    <w:p w14:paraId="7D4ED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投标文件的初审</w:t>
      </w:r>
    </w:p>
    <w:p w14:paraId="546AD8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对所有投标人的评估，都采用相同的程序和标准。评议过程将严格按照招标文件的要求和条件进行。对不同文字文本投标文件的解释发生异议的，以中文文本为准。</w:t>
      </w:r>
    </w:p>
    <w:p w14:paraId="53DE89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有关投标文件的审查、澄清、评估和比较以及推荐中标候选人的一切情况都不得透露给任一投标人或与上述评标工作无关的人员。</w:t>
      </w:r>
    </w:p>
    <w:p w14:paraId="3985C2B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投标人任何试图影响评委会对投标文件的评估、比较或者推荐候选人的行为，都将导致其投标按照无效投标处理，并被没收投标保证金。</w:t>
      </w:r>
    </w:p>
    <w:p w14:paraId="175366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17.1招标采购单位依法对各投标文件进行资格性检查</w:t>
      </w:r>
    </w:p>
    <w:p w14:paraId="550AC6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w:t>
      </w:r>
    </w:p>
    <w:p w14:paraId="50801A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139990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2187F3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99C62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7DFB78A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108036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同时出现两种以上不一致的，按照前款规定的顺序修正。对于投标文件中计算错误的内容，评标委员会应当以书面形式要求投标人作出必要的澄清、说明或者补正。</w:t>
      </w:r>
    </w:p>
    <w:p w14:paraId="1FCFA49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p w14:paraId="0D2A97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17.3符合性检查 </w:t>
      </w:r>
    </w:p>
    <w:p w14:paraId="6CA29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17.3.1评委会将对投标文件进行审查，以确定投标文件是否完整、有无计算上的错误、是否提交了投标保证金。</w:t>
      </w:r>
    </w:p>
    <w:p w14:paraId="2AE06A2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18F683E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 未按规定提交投标保证金的；</w:t>
      </w:r>
    </w:p>
    <w:p w14:paraId="77DF052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(2)投标有效期不满足招标文件要求的；</w:t>
      </w:r>
    </w:p>
    <w:p w14:paraId="3903596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(3)投标内容与招标内容及要求有重大偏离或保留的；</w:t>
      </w:r>
    </w:p>
    <w:p w14:paraId="22F7150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(4)投标人提交的是可选择的报价；</w:t>
      </w:r>
    </w:p>
    <w:p w14:paraId="578681F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(5)投标人未按招标文件要求对投标进行分项报价；</w:t>
      </w:r>
    </w:p>
    <w:p w14:paraId="6D601C4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(6)投标文件中提供虚假或失实资料的；</w:t>
      </w:r>
    </w:p>
    <w:p w14:paraId="029B685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(7)不符合招标文件中规定的其它实质性条款。</w:t>
      </w:r>
    </w:p>
    <w:p w14:paraId="16526B0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评标委员会决定投标的响应性只根据投标文件本身的内容，而不寻求其他的外部证据。</w:t>
      </w:r>
    </w:p>
    <w:p w14:paraId="1CD0673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17.3.3投标服务必须满足中华人民共和国相关法律法规及行业的强制性要求，否则该投标人的投标将按照无效投标处理。</w:t>
      </w:r>
    </w:p>
    <w:p w14:paraId="6EB702D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17.3.4采购人、招标代理机构有下列情形之一的，将被认定为采购人、招标代理机构与投标人有串通投标行为，该投标人投标作无效投标处理：</w:t>
      </w:r>
    </w:p>
    <w:p w14:paraId="6CDE8E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14:paraId="43C4CE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14:paraId="7EEC65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14:paraId="16C4E1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14:paraId="1AEBCA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14:paraId="359A6F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p w14:paraId="30BBD83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p w14:paraId="22F44E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18.投标文件的澄清</w:t>
      </w:r>
    </w:p>
    <w:p w14:paraId="6BE5E0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4FB938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比较与评价</w:t>
      </w:r>
    </w:p>
    <w:p w14:paraId="23FFB1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19.1评标委员会将按投标人须知前附表3所述评标方法与标准，对资格性检查和符合性检查合格的投标文件进行商务和技术评估，综合比较与评价。</w:t>
      </w:r>
    </w:p>
    <w:p w14:paraId="6F9B18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14:paraId="3412201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E398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19.4评标委员会将按比较与评价最优在先原则, 排列评价顺序, 根据在投标人须知前附表3确定的中标候选人数量推荐出中标候选人。</w:t>
      </w:r>
    </w:p>
    <w:p w14:paraId="3B815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在评标期间，若出现符合本须知规定的所有投标条件的投标人不足三家情形的，本次招标程序终止，除采购任务取消情形外，招标采购单位将依法重新组织招标或者采取其他方式采购。</w:t>
      </w:r>
    </w:p>
    <w:p w14:paraId="27E1203D">
      <w:pPr>
        <w:spacing w:line="360" w:lineRule="auto"/>
        <w:ind w:firstLine="480" w:firstLineChars="200"/>
        <w:rPr>
          <w:rFonts w:hint="eastAsia" w:ascii="宋体" w:hAnsi="宋体" w:eastAsia="宋体" w:cs="宋体"/>
          <w:color w:val="auto"/>
          <w:sz w:val="24"/>
          <w:szCs w:val="24"/>
          <w:highlight w:val="none"/>
        </w:rPr>
      </w:pPr>
    </w:p>
    <w:p w14:paraId="0BD7C634">
      <w:pPr>
        <w:spacing w:line="360" w:lineRule="auto"/>
        <w:jc w:val="center"/>
        <w:outlineLvl w:val="1"/>
        <w:rPr>
          <w:rFonts w:hint="eastAsia" w:ascii="宋体" w:hAnsi="宋体" w:eastAsia="宋体" w:cs="宋体"/>
          <w:b/>
          <w:color w:val="auto"/>
          <w:sz w:val="24"/>
          <w:szCs w:val="24"/>
          <w:highlight w:val="none"/>
        </w:rPr>
      </w:pPr>
      <w:bookmarkStart w:id="49" w:name="_Toc20747"/>
      <w:bookmarkStart w:id="50" w:name="_Toc811050917"/>
      <w:r>
        <w:rPr>
          <w:rFonts w:hint="eastAsia" w:ascii="宋体" w:hAnsi="宋体" w:eastAsia="宋体" w:cs="宋体"/>
          <w:b/>
          <w:color w:val="auto"/>
          <w:sz w:val="24"/>
          <w:szCs w:val="24"/>
          <w:highlight w:val="none"/>
        </w:rPr>
        <w:t>六、定标与签订合同</w:t>
      </w:r>
      <w:bookmarkEnd w:id="49"/>
      <w:bookmarkEnd w:id="50"/>
    </w:p>
    <w:p w14:paraId="421E96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20.定标准则</w:t>
      </w:r>
    </w:p>
    <w:p w14:paraId="6D8866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20.1最低投标价不作为中标的保证。</w:t>
      </w:r>
    </w:p>
    <w:p w14:paraId="098C87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20.2投标人的投标文件符合招标文件要求，按招标文件确定评标方法、标准，经评委评审并推荐中标候选人。</w:t>
      </w:r>
    </w:p>
    <w:p w14:paraId="24CE0F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中标通知</w:t>
      </w:r>
    </w:p>
    <w:p w14:paraId="104329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21.1评标结束后，评标结果经采购人确认后，招标代理机构应自中标供应商确定之日起2个工作日内在《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 xml:space="preserve">》上对中标结果进行公告，同时招标代理机构向中标供应商发出中标通知书。中标通知书对采购人和中标供应商具有同等法律效力。中标通知书发出后，采购人改变中标结果，或者中标供应商放弃中标，应当承担相应的法律责任。 </w:t>
      </w:r>
    </w:p>
    <w:p w14:paraId="04666D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有异议的，应当在中标公告发布之日起7个工作日内，以书面形式向招标代理机构提出质疑，并附送有关证明材料。采购人、招标代理机构应当在收到投标人书面质疑后7个工作日内，对质疑内容作出答复。提出质疑的投标人对采购人、招标代理机构的答复不满意或者采购人、招标代理机构未在规定时间内答复的，可以在答复期满后15个工作日内书面向财政部门提出投诉。</w:t>
      </w:r>
    </w:p>
    <w:p w14:paraId="250B15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疑处理过程中，招标代理机构和采购人有权要求被质疑人在规定时间内就质疑事项进行说明并提交相关材料（包括被质疑人投标文件中相关复印件的原件以及其他与质疑事项有关的文件等），被质疑人应当予以配合，否则将可能承担不利的处理后果。</w:t>
      </w:r>
    </w:p>
    <w:p w14:paraId="008DFA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14:paraId="37FFD9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21.2招标代理机构应当在《中标通知书》发出的同时将落标通知书发送给未中标的其他投标人。</w:t>
      </w:r>
    </w:p>
    <w:p w14:paraId="00F783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21.3《中标通知书》将作为签订《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》的依据。《</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》签订后，《中标通知书》成为合同的一部分。</w:t>
      </w:r>
    </w:p>
    <w:p w14:paraId="510A9E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招标代理机构应当在中标通知书发出后5个工作日内退还未中标供应商的投标保证金（含保函），在采购人与中标供应商签订合同后5个工作日内，退还中标供应商的投标保证金。</w:t>
      </w:r>
    </w:p>
    <w:p w14:paraId="0F218C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22.签订合同</w:t>
      </w:r>
    </w:p>
    <w:p w14:paraId="53BD69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22.1中标供应商必须凭中标通知书原件按招标文件的规定签订合同，并最迟应于合同签订前缴交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，否则，招标代理机构有权在厦门招投标网上对中标供应商“不按规定缴交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的行为”进行公示。若自公示之日起3个工作日内，中标供应商仍未缴交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的，招标代理机构有权按每日1%计取违约金。</w:t>
      </w:r>
    </w:p>
    <w:p w14:paraId="38141E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22.2采购人、中标供应商应当在《中标通知书》发出之日起30日内，根据招标文件确定的事项和中标供应商投标文件，参照本招标文件第四章《</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》文本签订合同。双方所签订的合同不得对招标文件和中标供应商投标文件作实质性修改。中标供应商无正当理由不与采购人签订合同的，其投标保证金和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将不予退还；情节严重的（如一年内累计两次及以上出现此类情形等），招标代理机构有权上报财政部门，并建议财政部门将其列入不良行为记录名单，在一至三年内禁止其参加政府采购活动并予以通报。采购人逾期不与中标供应商签订合同的，按政府采购的有关规定处理。</w:t>
      </w:r>
    </w:p>
    <w:p w14:paraId="17009F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在合同签订前，为保证合同顺利履行，采购人有权要求中标供应商提供相关材料以便合同签订，中标供应商应当予以配合。</w:t>
      </w:r>
    </w:p>
    <w:p w14:paraId="69AA40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22.3招标文件、招标文件的修改文件、中标供应商的投标文件、补充或修改的文件及澄清或承诺文件等，均为双方签订《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》的组成部分，并与合同一并作为本招标文件所列采购项目的互补性法律文件，与合同具有同等法律效力。</w:t>
      </w:r>
    </w:p>
    <w:p w14:paraId="133D9A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22.4采购人在合同履行中，需追加与合同标的相同的服务的，在不改变合同其他条款的前提下，可与中标供应商协商签订补充合同，但所有补充合同的采购金额不得超过原合同采购金额的10%。 </w:t>
      </w:r>
    </w:p>
    <w:p w14:paraId="136EC7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22.5中标供应商因自身原因放弃中标项目、或不按照招标文件规定与采购人签订合同的、或因不可抗力或者自身原因不按合同履行的，采购人可以与排位在中标供应商之后第一位的中标候选供应商签订《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》，以此类推。排位在中标供应商之后第一位的中标候选供应商应同意与采购人按不高于其投标报价签订《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w:t>
      </w:r>
    </w:p>
    <w:p w14:paraId="09684502">
      <w:pPr>
        <w:pStyle w:val="3"/>
        <w:spacing w:line="360" w:lineRule="auto"/>
        <w:rPr>
          <w:rFonts w:hint="eastAsia" w:ascii="宋体" w:hAnsi="宋体" w:eastAsia="宋体" w:cs="宋体"/>
          <w:b/>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14:paraId="5C020718">
      <w:pPr>
        <w:pStyle w:val="3"/>
        <w:spacing w:line="360" w:lineRule="auto"/>
        <w:ind w:left="0" w:leftChars="0" w:firstLine="0" w:firstLineChars="0"/>
        <w:jc w:val="center"/>
        <w:outlineLvl w:val="0"/>
        <w:rPr>
          <w:rFonts w:hint="eastAsia" w:ascii="宋体" w:hAnsi="宋体" w:eastAsia="宋体" w:cs="宋体"/>
          <w:b/>
          <w:bCs/>
          <w:color w:val="auto"/>
          <w:sz w:val="24"/>
          <w:szCs w:val="24"/>
          <w:highlight w:val="none"/>
        </w:rPr>
      </w:pPr>
      <w:bookmarkStart w:id="51" w:name="_Toc1119"/>
      <w:bookmarkStart w:id="52" w:name="_Toc9985"/>
      <w:bookmarkStart w:id="53" w:name="_Toc948647986"/>
      <w:r>
        <w:rPr>
          <w:rFonts w:hint="eastAsia" w:ascii="宋体" w:hAnsi="宋体" w:eastAsia="宋体" w:cs="宋体"/>
          <w:b/>
          <w:color w:val="auto"/>
          <w:sz w:val="32"/>
          <w:szCs w:val="32"/>
          <w:highlight w:val="none"/>
        </w:rPr>
        <w:t xml:space="preserve">第三章  </w:t>
      </w:r>
      <w:r>
        <w:rPr>
          <w:rFonts w:hint="eastAsia" w:ascii="宋体" w:hAnsi="宋体" w:eastAsia="宋体" w:cs="宋体"/>
          <w:b/>
          <w:bCs/>
          <w:color w:val="auto"/>
          <w:sz w:val="32"/>
          <w:szCs w:val="32"/>
          <w:highlight w:val="none"/>
        </w:rPr>
        <w:t>招标内容及要求</w:t>
      </w:r>
      <w:bookmarkEnd w:id="51"/>
      <w:bookmarkEnd w:id="52"/>
      <w:bookmarkEnd w:id="53"/>
    </w:p>
    <w:p w14:paraId="0B149DE2">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提示说明：</w:t>
      </w:r>
    </w:p>
    <w:p w14:paraId="7484F281">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（1）全文中带有“*”的条款为关键性条款，对这些关键性条款的任何负偏离或不满足将导致该投标作无效投标处理。</w:t>
      </w:r>
      <w:r>
        <w:rPr>
          <w:rFonts w:hint="eastAsia" w:ascii="宋体" w:hAnsi="宋体" w:eastAsia="宋体" w:cs="宋体"/>
          <w:b/>
          <w:color w:val="auto"/>
          <w:sz w:val="24"/>
          <w:szCs w:val="24"/>
          <w:highlight w:val="none"/>
        </w:rPr>
        <w:t>投标人应对招标文件中的“*”号条款进行逐条响应，否则评标委员会对其投标做出不利评审，投标人必须自行承担责任。</w:t>
      </w:r>
    </w:p>
    <w:p w14:paraId="1BA207AB">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（2）本项目以合同包为单位，对于每个合同包，投标人必须完整地提供合同包要求的所有服务，否则该投标人针对该合同包的投标将按照无效投标处理。</w:t>
      </w:r>
    </w:p>
    <w:p w14:paraId="1FD33CF3">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（3）若招标文件第三章所述内容与其它部分的条款发生理解冲突，则以第三章所述内容为准；如招标文件发生变更，则相关条款的解释以更改通知为准。</w:t>
      </w:r>
    </w:p>
    <w:p w14:paraId="4D2BC240">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（4）经评标委员会认定要求澄清的证明文件必须在规定的时间内提供，否则其将不具有中标供应商的资格。</w:t>
      </w:r>
    </w:p>
    <w:p w14:paraId="49589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（5）本项目实行网下购买招标文件，投标人必须按招标文件要求递交纸质投标文件。</w:t>
      </w:r>
    </w:p>
    <w:p w14:paraId="4F668C46">
      <w:pPr>
        <w:pStyle w:val="6"/>
        <w:spacing w:after="0" w:line="360" w:lineRule="auto"/>
        <w:ind w:left="0"/>
        <w:rPr>
          <w:rFonts w:hint="eastAsia" w:ascii="宋体" w:hAnsi="宋体" w:eastAsia="宋体" w:cs="宋体"/>
          <w:b/>
          <w:bCs/>
          <w:color w:val="auto"/>
          <w:sz w:val="24"/>
          <w:szCs w:val="24"/>
          <w:highlight w:val="none"/>
        </w:rPr>
      </w:pPr>
    </w:p>
    <w:p w14:paraId="7E2F8F21">
      <w:pPr>
        <w:tabs>
          <w:tab w:val="left" w:pos="5130"/>
        </w:tabs>
        <w:spacing w:line="360" w:lineRule="auto"/>
        <w:ind w:firstLine="480" w:firstLineChars="200"/>
        <w:rPr>
          <w:rFonts w:hint="eastAsia" w:ascii="宋体" w:hAnsi="宋体" w:eastAsia="宋体" w:cs="宋体"/>
          <w:color w:val="auto"/>
          <w:sz w:val="24"/>
          <w:szCs w:val="24"/>
          <w:highlight w:val="none"/>
        </w:rPr>
      </w:pPr>
    </w:p>
    <w:p w14:paraId="1913786C">
      <w:pPr>
        <w:tabs>
          <w:tab w:val="left" w:pos="5130"/>
        </w:tabs>
        <w:spacing w:line="360" w:lineRule="auto"/>
        <w:ind w:firstLine="480" w:firstLineChars="200"/>
        <w:rPr>
          <w:rFonts w:hint="eastAsia" w:ascii="宋体" w:hAnsi="宋体" w:eastAsia="宋体" w:cs="宋体"/>
          <w:color w:val="auto"/>
          <w:sz w:val="24"/>
          <w:szCs w:val="24"/>
          <w:highlight w:val="none"/>
        </w:rPr>
      </w:pPr>
    </w:p>
    <w:p w14:paraId="2049716C">
      <w:pPr>
        <w:tabs>
          <w:tab w:val="left" w:pos="5130"/>
        </w:tabs>
        <w:spacing w:line="360" w:lineRule="auto"/>
        <w:ind w:firstLine="480" w:firstLineChars="200"/>
        <w:rPr>
          <w:rFonts w:hint="eastAsia" w:ascii="宋体" w:hAnsi="宋体" w:eastAsia="宋体" w:cs="宋体"/>
          <w:color w:val="auto"/>
          <w:sz w:val="24"/>
          <w:szCs w:val="24"/>
          <w:highlight w:val="none"/>
        </w:rPr>
      </w:pPr>
    </w:p>
    <w:p w14:paraId="6A5B9CA3">
      <w:pPr>
        <w:tabs>
          <w:tab w:val="left" w:pos="5130"/>
        </w:tabs>
        <w:spacing w:line="360" w:lineRule="auto"/>
        <w:ind w:firstLine="480" w:firstLineChars="200"/>
        <w:rPr>
          <w:rFonts w:hint="eastAsia" w:ascii="宋体" w:hAnsi="宋体" w:eastAsia="宋体" w:cs="宋体"/>
          <w:color w:val="auto"/>
          <w:sz w:val="24"/>
          <w:szCs w:val="24"/>
          <w:highlight w:val="none"/>
        </w:rPr>
      </w:pPr>
    </w:p>
    <w:p w14:paraId="1CDB3963">
      <w:pPr>
        <w:tabs>
          <w:tab w:val="left" w:pos="5130"/>
        </w:tabs>
        <w:spacing w:line="360" w:lineRule="auto"/>
        <w:ind w:firstLine="480" w:firstLineChars="200"/>
        <w:rPr>
          <w:rFonts w:hint="eastAsia" w:ascii="宋体" w:hAnsi="宋体" w:eastAsia="宋体" w:cs="宋体"/>
          <w:color w:val="auto"/>
          <w:sz w:val="24"/>
          <w:szCs w:val="24"/>
          <w:highlight w:val="none"/>
        </w:rPr>
      </w:pPr>
    </w:p>
    <w:p w14:paraId="2D6E89DC">
      <w:pPr>
        <w:tabs>
          <w:tab w:val="left" w:pos="5130"/>
        </w:tabs>
        <w:spacing w:line="360" w:lineRule="auto"/>
        <w:ind w:firstLine="480" w:firstLineChars="200"/>
        <w:rPr>
          <w:rFonts w:hint="eastAsia" w:ascii="宋体" w:hAnsi="宋体" w:eastAsia="宋体" w:cs="宋体"/>
          <w:color w:val="auto"/>
          <w:sz w:val="24"/>
          <w:szCs w:val="24"/>
          <w:highlight w:val="none"/>
        </w:rPr>
      </w:pPr>
    </w:p>
    <w:p w14:paraId="66A0E8D4">
      <w:pPr>
        <w:tabs>
          <w:tab w:val="left" w:pos="5130"/>
        </w:tabs>
        <w:spacing w:line="360" w:lineRule="auto"/>
        <w:ind w:firstLine="240" w:firstLineChars="100"/>
        <w:rPr>
          <w:rFonts w:hint="eastAsia" w:ascii="宋体" w:hAnsi="宋体" w:eastAsia="宋体" w:cs="宋体"/>
          <w:color w:val="auto"/>
          <w:sz w:val="24"/>
          <w:szCs w:val="24"/>
          <w:highlight w:val="none"/>
        </w:rPr>
      </w:pPr>
    </w:p>
    <w:p w14:paraId="4A2A9D60">
      <w:pPr>
        <w:tabs>
          <w:tab w:val="left" w:pos="5130"/>
        </w:tabs>
        <w:spacing w:line="360" w:lineRule="auto"/>
        <w:ind w:firstLine="480" w:firstLineChars="200"/>
        <w:rPr>
          <w:rFonts w:hint="eastAsia" w:ascii="宋体" w:hAnsi="宋体" w:eastAsia="宋体" w:cs="宋体"/>
          <w:color w:val="auto"/>
          <w:sz w:val="24"/>
          <w:szCs w:val="24"/>
          <w:highlight w:val="none"/>
        </w:rPr>
      </w:pPr>
    </w:p>
    <w:p w14:paraId="2AE519AD">
      <w:pPr>
        <w:tabs>
          <w:tab w:val="left" w:pos="5130"/>
        </w:tabs>
        <w:spacing w:line="360" w:lineRule="auto"/>
        <w:rPr>
          <w:rFonts w:hint="eastAsia" w:ascii="宋体" w:hAnsi="宋体" w:eastAsia="宋体" w:cs="宋体"/>
          <w:color w:val="auto"/>
          <w:sz w:val="24"/>
          <w:szCs w:val="24"/>
          <w:highlight w:val="none"/>
        </w:rPr>
      </w:pPr>
    </w:p>
    <w:p w14:paraId="425DD20A">
      <w:pPr>
        <w:tabs>
          <w:tab w:val="left" w:pos="5130"/>
        </w:tabs>
        <w:spacing w:line="360" w:lineRule="auto"/>
        <w:rPr>
          <w:rFonts w:hint="eastAsia" w:ascii="宋体" w:hAnsi="宋体" w:eastAsia="宋体" w:cs="宋体"/>
          <w:color w:val="auto"/>
          <w:sz w:val="24"/>
          <w:szCs w:val="24"/>
          <w:highlight w:val="none"/>
        </w:rPr>
      </w:pPr>
    </w:p>
    <w:p w14:paraId="44F3C657">
      <w:pPr>
        <w:tabs>
          <w:tab w:val="left" w:pos="5130"/>
        </w:tabs>
        <w:spacing w:line="360" w:lineRule="auto"/>
        <w:rPr>
          <w:rFonts w:hint="eastAsia" w:ascii="宋体" w:hAnsi="宋体" w:eastAsia="宋体" w:cs="宋体"/>
          <w:color w:val="auto"/>
          <w:sz w:val="24"/>
          <w:szCs w:val="24"/>
          <w:highlight w:val="none"/>
        </w:rPr>
      </w:pPr>
    </w:p>
    <w:p w14:paraId="08A56FA4">
      <w:pPr>
        <w:tabs>
          <w:tab w:val="left" w:pos="5130"/>
        </w:tabs>
        <w:spacing w:line="360" w:lineRule="auto"/>
        <w:rPr>
          <w:rFonts w:hint="eastAsia" w:ascii="宋体" w:hAnsi="宋体" w:eastAsia="宋体" w:cs="宋体"/>
          <w:color w:val="auto"/>
          <w:sz w:val="24"/>
          <w:szCs w:val="24"/>
          <w:highlight w:val="none"/>
        </w:rPr>
      </w:pPr>
    </w:p>
    <w:p w14:paraId="0C109700">
      <w:pPr>
        <w:tabs>
          <w:tab w:val="left" w:pos="5130"/>
        </w:tabs>
        <w:spacing w:line="360" w:lineRule="auto"/>
        <w:rPr>
          <w:rFonts w:hint="eastAsia" w:ascii="宋体" w:hAnsi="宋体" w:eastAsia="宋体" w:cs="宋体"/>
          <w:color w:val="auto"/>
          <w:sz w:val="24"/>
          <w:szCs w:val="24"/>
          <w:highlight w:val="none"/>
        </w:rPr>
      </w:pPr>
    </w:p>
    <w:p w14:paraId="5DC04C6B">
      <w:pPr>
        <w:pStyle w:val="2"/>
        <w:keepNext w:val="0"/>
        <w:keepLines w:val="0"/>
        <w:pageBreakBefore w:val="0"/>
        <w:kinsoku/>
        <w:wordWrap/>
        <w:overflowPunct/>
        <w:topLinePunct w:val="0"/>
        <w:autoSpaceDE/>
        <w:autoSpaceDN/>
        <w:bidi w:val="0"/>
        <w:adjustRightInd/>
        <w:snapToGrid/>
        <w:spacing w:before="0" w:after="0" w:line="360" w:lineRule="auto"/>
        <w:ind w:firstLine="482" w:firstLineChars="200"/>
        <w:jc w:val="left"/>
        <w:textAlignment w:val="auto"/>
        <w:outlineLvl w:val="1"/>
        <w:rPr>
          <w:rFonts w:hint="eastAsia" w:ascii="宋体" w:hAnsi="宋体" w:eastAsia="宋体" w:cs="宋体"/>
          <w:bCs w:val="0"/>
          <w:color w:val="auto"/>
          <w:kern w:val="0"/>
          <w:sz w:val="24"/>
          <w:szCs w:val="24"/>
          <w:highlight w:val="none"/>
        </w:rP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bookmarkStart w:id="54" w:name="_Toc9809"/>
      <w:bookmarkStart w:id="55" w:name="_Toc6232"/>
      <w:bookmarkStart w:id="56" w:name="_Toc2104011586"/>
      <w:bookmarkStart w:id="57" w:name="_Toc1657"/>
      <w:bookmarkStart w:id="58" w:name="_Toc432356150"/>
      <w:bookmarkStart w:id="59" w:name="_Toc105315000"/>
      <w:bookmarkStart w:id="60" w:name="_Toc1867553509"/>
      <w:bookmarkStart w:id="61" w:name="_Toc568629619"/>
      <w:bookmarkStart w:id="62" w:name="_Toc172776051"/>
      <w:bookmarkStart w:id="63" w:name="_Toc151886856"/>
      <w:bookmarkStart w:id="64" w:name="_Toc89791698"/>
      <w:bookmarkStart w:id="65" w:name="_Toc27716"/>
      <w:bookmarkStart w:id="66" w:name="_Toc23198"/>
      <w:bookmarkStart w:id="67" w:name="_Toc785596593"/>
      <w:bookmarkStart w:id="68" w:name="_Toc89791596"/>
      <w:bookmarkStart w:id="69" w:name="_Toc116869901"/>
      <w:bookmarkStart w:id="70" w:name="_Toc15354"/>
      <w:bookmarkStart w:id="71" w:name="_Toc116895408"/>
      <w:bookmarkStart w:id="72" w:name="_Toc90180873"/>
      <w:bookmarkStart w:id="73" w:name="_Toc951190232"/>
      <w:bookmarkStart w:id="74" w:name="_Toc20690"/>
      <w:bookmarkStart w:id="75" w:name="_Toc36974289"/>
      <w:bookmarkStart w:id="76" w:name="_Toc32815547"/>
      <w:bookmarkStart w:id="77" w:name="_Toc36974340"/>
      <w:bookmarkStart w:id="78" w:name="_Toc36885854"/>
      <w:bookmarkStart w:id="79" w:name="_Toc36973985"/>
      <w:bookmarkStart w:id="80" w:name="_Toc36974207"/>
      <w:bookmarkStart w:id="81" w:name="_Toc36867048"/>
      <w:bookmarkStart w:id="82" w:name="_Toc36974051"/>
      <w:bookmarkStart w:id="83" w:name="_Toc34471344"/>
      <w:bookmarkStart w:id="84" w:name="_Toc36973198"/>
      <w:bookmarkStart w:id="85" w:name="_Toc37236847"/>
    </w:p>
    <w:p w14:paraId="31F11860">
      <w:pPr>
        <w:pStyle w:val="2"/>
        <w:keepNext w:val="0"/>
        <w:keepLines w:val="0"/>
        <w:pageBreakBefore w:val="0"/>
        <w:kinsoku/>
        <w:wordWrap/>
        <w:overflowPunct/>
        <w:topLinePunct w:val="0"/>
        <w:autoSpaceDE/>
        <w:autoSpaceDN/>
        <w:bidi w:val="0"/>
        <w:adjustRightInd/>
        <w:snapToGrid/>
        <w:spacing w:before="0" w:after="0" w:line="360" w:lineRule="auto"/>
        <w:ind w:firstLine="482" w:firstLineChars="200"/>
        <w:jc w:val="left"/>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kern w:val="0"/>
          <w:sz w:val="24"/>
          <w:szCs w:val="24"/>
          <w:highlight w:val="none"/>
        </w:rPr>
        <w:t>一、项目背景</w:t>
      </w:r>
      <w:bookmarkEnd w:id="54"/>
      <w:bookmarkEnd w:id="55"/>
      <w:bookmarkEnd w:id="56"/>
      <w:bookmarkEnd w:id="57"/>
    </w:p>
    <w:p w14:paraId="3A767A34">
      <w:pPr>
        <w:spacing w:line="360" w:lineRule="auto"/>
        <w:ind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中国国际高新技术成果交易会（简称高交会）由深圳市人民政府共同举办，每年在深圳举行，是目前中国规模最大、最具影响力的科技类展会，有“中国科技第一展”之称。 </w:t>
      </w:r>
    </w:p>
    <w:p w14:paraId="2E688070">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bidi="ar-SA"/>
        </w:rPr>
        <w:t>本届展会共设置国际科技展、未来科技展、国之重器重大装备展、科技巨头产业链展、半导体与集成电路展、电子信息与大数据展、人工智能与机器人展、低空经济与空天展、高端装备制造展、专精特新展、新能源汽车展、高端医疗器械展、生物科技医药展、新材料展、节能环保和绿色低碳展等多个专业展，全方位展示世界高新技术发展趋势，发布高新技术最新成果，在全球范围内进行高新技术成果交易与洽谈。为推动厦门市创新科技成果与国内外的对接交流与合作，集中展示我市数字医疗服务、生物技术、医疗器械等领域新产品、新技术。</w:t>
      </w:r>
    </w:p>
    <w:p w14:paraId="1057649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p>
    <w:p w14:paraId="43D7CBB0">
      <w:pPr>
        <w:pStyle w:val="3"/>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cs="宋体"/>
          <w:b/>
          <w:color w:val="auto"/>
          <w:sz w:val="24"/>
          <w:szCs w:val="24"/>
          <w:highlight w:val="none"/>
        </w:rPr>
      </w:pPr>
      <w:bookmarkStart w:id="86" w:name="_Toc1392171733"/>
      <w:bookmarkStart w:id="87" w:name="_Toc27095"/>
      <w:bookmarkStart w:id="88" w:name="_Toc24469"/>
      <w:bookmarkStart w:id="89" w:name="_Toc7862"/>
      <w:bookmarkStart w:id="90" w:name="_Toc22014"/>
      <w:r>
        <w:rPr>
          <w:rFonts w:hint="eastAsia" w:cs="宋体"/>
          <w:b/>
          <w:color w:val="auto"/>
          <w:sz w:val="24"/>
          <w:szCs w:val="24"/>
          <w:highlight w:val="none"/>
        </w:rPr>
        <w:t>二、技术要求</w:t>
      </w:r>
      <w:bookmarkEnd w:id="86"/>
      <w:bookmarkEnd w:id="87"/>
      <w:bookmarkEnd w:id="88"/>
      <w:bookmarkEnd w:id="89"/>
      <w:bookmarkEnd w:id="90"/>
    </w:p>
    <w:p w14:paraId="203539E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（一）布展基本要求</w:t>
      </w:r>
    </w:p>
    <w:p w14:paraId="7FBA85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布展为展位整体设计和制作。要求“简洁、兼顾人流、绿色环保”。设计方案要考虑展区的总体效果，突出厦门特色和科技要素，体现开放、融合、创新的特点，应用较新较先进的技术手段体现科技含量，展示出较高的布展水平，特装施工全过程应保证安全，符合相关消防和环保的要求。</w:t>
      </w:r>
    </w:p>
    <w:p w14:paraId="61D7ED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设计制作要求：</w:t>
      </w:r>
    </w:p>
    <w:p w14:paraId="46B538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展位总体设计应具有现代美观、简洁大方、通透且具有独立性的特点，既开放包容但与周边展位也要有所区隔；多采用新技术、新产品、新手段体现展位布置</w:t>
      </w:r>
      <w:r>
        <w:rPr>
          <w:rFonts w:hint="eastAsia" w:ascii="宋体" w:hAnsi="宋体" w:eastAsia="宋体" w:cs="宋体"/>
          <w:color w:val="auto"/>
          <w:sz w:val="24"/>
          <w:szCs w:val="24"/>
          <w:highlight w:val="none"/>
        </w:rPr>
        <w:t>的现代感和技术含量；整体结构稳固，高度不超过6米，顶端须有较突出明亮的“厦门”标识，以求在展厅中能较为吸引观众；使用的材料须为可再生、可循</w:t>
      </w:r>
      <w:r>
        <w:rPr>
          <w:rFonts w:hint="eastAsia" w:ascii="宋体" w:hAnsi="宋体" w:cs="宋体"/>
          <w:color w:val="auto"/>
          <w:sz w:val="24"/>
          <w:szCs w:val="24"/>
          <w:highlight w:val="none"/>
        </w:rPr>
        <w:t>环利用材料的环保材料，体现绿色、节俭、环保的办展理念。</w:t>
      </w:r>
    </w:p>
    <w:p w14:paraId="72A8E4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其他具体需求：</w:t>
      </w:r>
    </w:p>
    <w:p w14:paraId="4CE9D6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1、如使用地台，高度不宜过高且边界须有明显标示警示，以免产生安全隐患；如使用地毯须有一定厚度，布线规范整洁，应避开观展人流动线，不影响美观和正常行走；</w:t>
      </w:r>
    </w:p>
    <w:p w14:paraId="5ADEDB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2、展位主展面须有LED全彩室内显示大屏并配有音响系统，用于播放宣传影片等；</w:t>
      </w:r>
    </w:p>
    <w:p w14:paraId="6F22A6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3、须设计制作1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个展台和电子广告屏（租用，中标后应根据甲方的需求适当调整数量），同时备有若干资料架（数量根据实际需要，需八成以上新）；（且：供应商必须协助参展企业调整视频比例，使其达到最佳展示效果）</w:t>
      </w:r>
    </w:p>
    <w:p w14:paraId="1FDFC0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4、须配有可活动洽谈桌椅2-3套（1桌4椅）；</w:t>
      </w:r>
    </w:p>
    <w:p w14:paraId="319028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5、请根据实际情况使用迎宾艺术造型台或同等功能的其他设计；</w:t>
      </w:r>
    </w:p>
    <w:p w14:paraId="66D052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6、须有一定的植物租摆，以厦门市花等为首选并搭配其他绿植；</w:t>
      </w:r>
    </w:p>
    <w:p w14:paraId="0C63EF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7、展位布置应根据参展产品规格和种类做部分适应性调整；展位用电应留足余量，中标后应与甲方对接用电需求。</w:t>
      </w:r>
    </w:p>
    <w:p w14:paraId="567065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注：在设计中多使用能体现出科技含量的，互动式的设计元素。</w:t>
      </w:r>
    </w:p>
    <w:p w14:paraId="6E1B444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（二）展馆位置</w:t>
      </w:r>
    </w:p>
    <w:p w14:paraId="4946A1B6">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厦门团展馆位于高交会展位号1</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号馆</w:t>
      </w:r>
      <w:r>
        <w:rPr>
          <w:rFonts w:hint="eastAsia" w:ascii="宋体" w:hAnsi="宋体" w:cs="宋体"/>
          <w:b/>
          <w:bCs/>
          <w:color w:val="auto"/>
          <w:sz w:val="24"/>
          <w:szCs w:val="24"/>
          <w:highlight w:val="none"/>
          <w:lang w:val="en-US" w:eastAsia="zh-CN"/>
        </w:rPr>
        <w:t>13-B34</w:t>
      </w:r>
      <w:r>
        <w:rPr>
          <w:rFonts w:hint="eastAsia" w:ascii="宋体" w:hAnsi="宋体" w:cs="宋体"/>
          <w:b/>
          <w:bCs/>
          <w:color w:val="auto"/>
          <w:sz w:val="24"/>
          <w:szCs w:val="24"/>
          <w:highlight w:val="none"/>
        </w:rPr>
        <w:t>。展位尺寸：具体详见附图一。</w:t>
      </w:r>
    </w:p>
    <w:p w14:paraId="798C79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应与相邻展位协商，保证厦门展位的展示效果</w:t>
      </w:r>
    </w:p>
    <w:p w14:paraId="27AAAC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drawing>
          <wp:inline distT="0" distB="0" distL="114300" distR="114300">
            <wp:extent cx="5277485" cy="3731260"/>
            <wp:effectExtent l="0" t="0" r="5715" b="2540"/>
            <wp:docPr id="5" name="图片 5" descr="D:/2025年科技会展/深圳高交会/展位图.jpg展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2025年科技会展/深圳高交会/展位图.jpg展位图"/>
                    <pic:cNvPicPr>
                      <a:picLocks noChangeAspect="1"/>
                    </pic:cNvPicPr>
                  </pic:nvPicPr>
                  <pic:blipFill>
                    <a:blip r:embed="rId15"/>
                    <a:srcRect t="6" b="6"/>
                    <a:stretch>
                      <a:fillRect/>
                    </a:stretch>
                  </pic:blipFill>
                  <pic:spPr>
                    <a:xfrm>
                      <a:off x="0" y="0"/>
                      <a:ext cx="5277485" cy="3731260"/>
                    </a:xfrm>
                    <a:prstGeom prst="rect">
                      <a:avLst/>
                    </a:prstGeom>
                    <a:noFill/>
                    <a:ln>
                      <a:noFill/>
                    </a:ln>
                  </pic:spPr>
                </pic:pic>
              </a:graphicData>
            </a:graphic>
          </wp:inline>
        </w:drawing>
      </w:r>
    </w:p>
    <w:p w14:paraId="325240EB">
      <w:pPr>
        <w:spacing w:line="360" w:lineRule="auto"/>
        <w:ind w:firstLine="480" w:firstLineChars="200"/>
        <w:jc w:val="center"/>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图一：第</w:t>
      </w:r>
      <w:r>
        <w:rPr>
          <w:rFonts w:hint="eastAsia" w:ascii="宋体" w:hAnsi="宋体" w:cs="宋体"/>
          <w:b w:val="0"/>
          <w:bCs w:val="0"/>
          <w:color w:val="auto"/>
          <w:sz w:val="24"/>
          <w:szCs w:val="24"/>
          <w:highlight w:val="none"/>
          <w:lang w:val="en-US" w:eastAsia="zh-CN"/>
        </w:rPr>
        <w:t>二十七</w:t>
      </w:r>
      <w:r>
        <w:rPr>
          <w:rFonts w:hint="eastAsia" w:ascii="宋体" w:hAnsi="宋体" w:cs="宋体"/>
          <w:b w:val="0"/>
          <w:bCs w:val="0"/>
          <w:color w:val="auto"/>
          <w:sz w:val="24"/>
          <w:szCs w:val="24"/>
          <w:highlight w:val="none"/>
        </w:rPr>
        <w:t>届深圳高交会1</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号馆展区图</w:t>
      </w:r>
    </w:p>
    <w:p w14:paraId="7A3F38A3">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（三）厦门馆布展思想</w:t>
      </w:r>
    </w:p>
    <w:p w14:paraId="7E8044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1、布展主题</w:t>
      </w:r>
    </w:p>
    <w:p w14:paraId="298AD0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第二十</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届高交会厦门组团展示的项目积极围绕推进“四个一”的科技创新工作重点，勇于担当，大胆创新，全面提供创新供给能力，加快科技成果转化，发展壮大新功能，增加新供给。</w:t>
      </w:r>
    </w:p>
    <w:p w14:paraId="1934C7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主要展示内容为：</w:t>
      </w:r>
    </w:p>
    <w:p w14:paraId="41FCD7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一是宣传我市在“十四五”创新发展规划、强化创新平台载体建设，优化创新生态，提升创新发展能级。</w:t>
      </w:r>
      <w:r>
        <w:rPr>
          <w:rFonts w:hint="eastAsia" w:ascii="宋体" w:hAnsi="宋体" w:eastAsia="宋体" w:cs="宋体"/>
          <w:color w:val="auto"/>
          <w:sz w:val="24"/>
          <w:szCs w:val="24"/>
          <w:highlight w:val="none"/>
        </w:rPr>
        <w:t>打造生物医药产业创新发展策源地</w:t>
      </w:r>
      <w:r>
        <w:rPr>
          <w:rFonts w:hint="eastAsia" w:ascii="宋体" w:hAnsi="宋体" w:eastAsia="宋体" w:cs="宋体"/>
          <w:color w:val="auto"/>
          <w:sz w:val="24"/>
          <w:szCs w:val="24"/>
          <w:highlight w:val="none"/>
          <w:lang w:eastAsia="zh-CN"/>
        </w:rPr>
        <w:t>，做强做大医疗器械特色产业，打造中国体外诊断之都，培育壮大应急防疫产业;做精做专创新药物研发与产业化</w:t>
      </w:r>
      <w:r>
        <w:rPr>
          <w:rFonts w:hint="eastAsia" w:ascii="宋体" w:hAnsi="宋体" w:cs="宋体"/>
          <w:color w:val="auto"/>
          <w:sz w:val="24"/>
          <w:szCs w:val="24"/>
          <w:highlight w:val="none"/>
        </w:rPr>
        <w:t>；</w:t>
      </w:r>
    </w:p>
    <w:p w14:paraId="0E12FD9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二是呈现厦门探索积累了许多发展成果和创新经验，建设高素质高颜值现代化国际化城市迈向新发展阶段、产业结构高端化、对外开放高程次等特点；</w:t>
      </w:r>
    </w:p>
    <w:p w14:paraId="079288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三是展示我市具有显示度和代表性的自主创新项目，以及需融资的科技型创业项目、需引资的科技项目及欲开拓国内外市场的科技产品；</w:t>
      </w:r>
    </w:p>
    <w:p w14:paraId="4A2F28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四是向境内外客商展现厦门对外开放的形象，凝聚各方合力，以招商引资的大突破实现经济发展的“弯道超车”。</w:t>
      </w:r>
    </w:p>
    <w:p w14:paraId="7F8A80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2、展位布局</w:t>
      </w:r>
    </w:p>
    <w:p w14:paraId="7DFF40C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设计要体现展示特点，采用四面通透、开放式的特装设计风格，将</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0㎡的展位作为一个整体进行统一布局，做到功能分区明确，形象整体、布局协调统一，色彩明亮，新颖时尚，须设计1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左右的展台和电子广告屏,并应考虑摆放较大设备所需的空间。</w:t>
      </w:r>
    </w:p>
    <w:p w14:paraId="29E735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（1）展区布展采用互动形式，突出厦门馆的位置所在，如在展位上方设立醒目的厦门展馆标志或造型及LED灯大字标；采用LED全彩幕墙、电脑等声、光、电一体化形式展示厦门形象。</w:t>
      </w:r>
    </w:p>
    <w:p w14:paraId="3C92F9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必须承担特装实施交付使用期间的各种附加费用（水、电、加班超时费）及展区花草、展柜等费用。</w:t>
      </w:r>
    </w:p>
    <w:p w14:paraId="190DD5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（3）展位特装设计中所涉及的有物品、设备以及配套的水电设施等均由成交单位提供，</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在展会期间内应配备具有相应资质的专业技术人员操作及维护。</w:t>
      </w:r>
    </w:p>
    <w:p w14:paraId="6B4F0C8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rPr>
        <w:t>▲</w:t>
      </w:r>
      <w:r>
        <w:rPr>
          <w:rFonts w:hint="eastAsia" w:ascii="宋体" w:hAnsi="宋体" w:cs="宋体"/>
          <w:color w:val="auto"/>
          <w:sz w:val="24"/>
          <w:szCs w:val="24"/>
          <w:highlight w:val="none"/>
        </w:rPr>
        <w:t>（四）展具物权归属</w:t>
      </w:r>
    </w:p>
    <w:p w14:paraId="75BB56F2">
      <w:pPr>
        <w:spacing w:line="360" w:lineRule="auto"/>
        <w:ind w:firstLine="480" w:firstLineChars="200"/>
        <w:rPr>
          <w:rFonts w:hint="default" w:ascii="宋体" w:hAnsi="宋体" w:cs="宋体"/>
          <w:b/>
          <w:bCs/>
          <w:color w:val="auto"/>
          <w:sz w:val="24"/>
          <w:szCs w:val="24"/>
          <w:highlight w:val="none"/>
          <w:lang w:val="en-US" w:eastAsia="zh-CN"/>
        </w:rPr>
      </w:pPr>
      <w:r>
        <w:rPr>
          <w:rFonts w:hint="eastAsia" w:ascii="宋体" w:hAnsi="宋体" w:cs="宋体"/>
          <w:color w:val="auto"/>
          <w:sz w:val="24"/>
          <w:szCs w:val="24"/>
          <w:highlight w:val="none"/>
        </w:rPr>
        <w:t>展期结束后，接待用艺术造型桌等的物权在保证功能使用的前提下归采购方所有，可回收利用的采购方可将物品由</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运抵采购方单位，交给采购方。</w:t>
      </w:r>
    </w:p>
    <w:p w14:paraId="301F6FA5">
      <w:pPr>
        <w:pStyle w:val="3"/>
        <w:numPr>
          <w:ilvl w:val="0"/>
          <w:numId w:val="3"/>
        </w:numPr>
        <w:spacing w:line="360" w:lineRule="auto"/>
        <w:ind w:firstLine="482" w:firstLineChars="200"/>
        <w:jc w:val="left"/>
        <w:outlineLvl w:val="1"/>
        <w:rPr>
          <w:rFonts w:hint="eastAsia" w:cs="宋体"/>
          <w:b/>
          <w:color w:val="auto"/>
          <w:sz w:val="24"/>
          <w:szCs w:val="24"/>
          <w:highlight w:val="none"/>
        </w:rPr>
      </w:pPr>
      <w:bookmarkStart w:id="91" w:name="_Toc23785"/>
      <w:bookmarkStart w:id="92" w:name="_Toc1642"/>
      <w:bookmarkStart w:id="93" w:name="_Toc2282"/>
      <w:bookmarkStart w:id="94" w:name="_Toc8665"/>
      <w:r>
        <w:rPr>
          <w:rFonts w:hint="eastAsia" w:cs="宋体"/>
          <w:b/>
          <w:color w:val="auto"/>
          <w:sz w:val="24"/>
          <w:szCs w:val="24"/>
          <w:highlight w:val="none"/>
        </w:rPr>
        <w:t>采购要求</w:t>
      </w:r>
      <w:bookmarkEnd w:id="91"/>
      <w:bookmarkEnd w:id="92"/>
      <w:bookmarkEnd w:id="93"/>
    </w:p>
    <w:p w14:paraId="2713C667">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1、本项目为整体采购的交钥匙项目。</w:t>
      </w:r>
    </w:p>
    <w:p w14:paraId="14651FEC">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2、</w:t>
      </w:r>
      <w:r>
        <w:rPr>
          <w:rFonts w:hint="eastAsia" w:cs="Arial"/>
          <w:color w:val="auto"/>
          <w:sz w:val="24"/>
          <w:szCs w:val="24"/>
          <w:highlight w:val="none"/>
          <w:lang w:eastAsia="zh-CN"/>
        </w:rPr>
        <w:t>投标人</w:t>
      </w:r>
      <w:r>
        <w:rPr>
          <w:rFonts w:hint="eastAsia" w:ascii="宋体" w:hAnsi="宋体" w:cs="Arial"/>
          <w:color w:val="auto"/>
          <w:sz w:val="24"/>
          <w:szCs w:val="24"/>
          <w:highlight w:val="none"/>
        </w:rPr>
        <w:t>所提供布展设施须符合国家有关标准。</w:t>
      </w:r>
    </w:p>
    <w:p w14:paraId="2A092770">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3、</w:t>
      </w:r>
      <w:r>
        <w:rPr>
          <w:rFonts w:hint="eastAsia" w:cs="Arial"/>
          <w:color w:val="auto"/>
          <w:sz w:val="24"/>
          <w:szCs w:val="24"/>
          <w:highlight w:val="none"/>
          <w:lang w:eastAsia="zh-CN"/>
        </w:rPr>
        <w:t>投标人</w:t>
      </w:r>
      <w:r>
        <w:rPr>
          <w:rFonts w:hint="eastAsia" w:ascii="宋体" w:hAnsi="宋体" w:cs="Arial"/>
          <w:color w:val="auto"/>
          <w:sz w:val="24"/>
          <w:szCs w:val="24"/>
          <w:highlight w:val="none"/>
        </w:rPr>
        <w:t>须提供详细的布展材料清单、布展方案的详细说明。包括但不限于满足</w:t>
      </w:r>
      <w:r>
        <w:rPr>
          <w:rFonts w:hint="eastAsia" w:cs="Arial"/>
          <w:color w:val="auto"/>
          <w:sz w:val="24"/>
          <w:szCs w:val="24"/>
          <w:highlight w:val="none"/>
          <w:lang w:eastAsia="zh-CN"/>
        </w:rPr>
        <w:t>招标文件</w:t>
      </w:r>
      <w:r>
        <w:rPr>
          <w:rFonts w:hint="eastAsia" w:ascii="宋体" w:hAnsi="宋体" w:cs="Arial"/>
          <w:color w:val="auto"/>
          <w:sz w:val="24"/>
          <w:szCs w:val="24"/>
          <w:highlight w:val="none"/>
        </w:rPr>
        <w:t>的设计文件（设计图、效果图、尺寸图、结构图（A3彩色、不加KT板）、施工图、使用材料和设计文字说明等）没有提供可视为无实质性响应文件要求。</w:t>
      </w:r>
    </w:p>
    <w:p w14:paraId="45929663">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4、</w:t>
      </w:r>
      <w:r>
        <w:rPr>
          <w:rFonts w:hint="eastAsia" w:cs="Arial"/>
          <w:color w:val="auto"/>
          <w:sz w:val="24"/>
          <w:szCs w:val="24"/>
          <w:highlight w:val="none"/>
          <w:lang w:eastAsia="zh-CN"/>
        </w:rPr>
        <w:t>投标人</w:t>
      </w:r>
      <w:r>
        <w:rPr>
          <w:rFonts w:hint="eastAsia" w:ascii="宋体" w:hAnsi="宋体" w:cs="Arial"/>
          <w:color w:val="auto"/>
          <w:sz w:val="24"/>
          <w:szCs w:val="24"/>
          <w:highlight w:val="none"/>
        </w:rPr>
        <w:t>应明确提供设计制作和要求存在的正负偏离情况。</w:t>
      </w:r>
    </w:p>
    <w:p w14:paraId="6185A7DB">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5、</w:t>
      </w:r>
      <w:r>
        <w:rPr>
          <w:rFonts w:hint="eastAsia" w:cs="Arial"/>
          <w:color w:val="auto"/>
          <w:sz w:val="24"/>
          <w:szCs w:val="24"/>
          <w:highlight w:val="none"/>
          <w:lang w:eastAsia="zh-CN"/>
        </w:rPr>
        <w:t>投标人</w:t>
      </w:r>
      <w:r>
        <w:rPr>
          <w:rFonts w:hint="eastAsia" w:ascii="宋体" w:hAnsi="宋体" w:cs="Arial"/>
          <w:color w:val="auto"/>
          <w:sz w:val="24"/>
          <w:szCs w:val="24"/>
          <w:highlight w:val="none"/>
        </w:rPr>
        <w:t>须具备一定的经济实力，具有大型展会总体设计、制作能力和经验（需提供相关证明文件），拥有专业设计、制作的人才队伍及较强的突击施工能力。</w:t>
      </w:r>
    </w:p>
    <w:p w14:paraId="1A654CF3">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6、</w:t>
      </w:r>
      <w:r>
        <w:rPr>
          <w:rFonts w:hint="eastAsia" w:cs="Arial"/>
          <w:color w:val="auto"/>
          <w:sz w:val="24"/>
          <w:szCs w:val="24"/>
          <w:highlight w:val="none"/>
          <w:lang w:eastAsia="zh-CN"/>
        </w:rPr>
        <w:t>投标人</w:t>
      </w:r>
      <w:r>
        <w:rPr>
          <w:rFonts w:hint="eastAsia" w:ascii="宋体" w:hAnsi="宋体" w:cs="Arial"/>
          <w:color w:val="auto"/>
          <w:sz w:val="24"/>
          <w:szCs w:val="24"/>
          <w:highlight w:val="none"/>
        </w:rPr>
        <w:t>拟投入的从业人员须具备相关从业资格证书，如高空作业证、电工证等。</w:t>
      </w:r>
    </w:p>
    <w:p w14:paraId="2BD49D46">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7、布展方案中须有详细的实施人员名单，拟派任本项目实施人员须具有强烈的事业心和责任心，能够完成大会公共布展任务，提供证明能够履行职责的证明材料。</w:t>
      </w:r>
    </w:p>
    <w:p w14:paraId="28685E4F">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8、</w:t>
      </w:r>
      <w:r>
        <w:rPr>
          <w:rFonts w:hint="eastAsia" w:cs="Arial"/>
          <w:color w:val="auto"/>
          <w:sz w:val="24"/>
          <w:szCs w:val="24"/>
          <w:highlight w:val="none"/>
          <w:lang w:eastAsia="zh-CN"/>
        </w:rPr>
        <w:t>投标人</w:t>
      </w:r>
      <w:r>
        <w:rPr>
          <w:rFonts w:hint="eastAsia" w:ascii="宋体" w:hAnsi="宋体" w:cs="Arial"/>
          <w:color w:val="auto"/>
          <w:sz w:val="24"/>
          <w:szCs w:val="24"/>
          <w:highlight w:val="none"/>
        </w:rPr>
        <w:t>应具有良好的商业信誉和健全的财务会计制度，具有履行合同所必需的设备和专业技术能力，有依法缴纳税收和社会保障资金的良好记录。</w:t>
      </w:r>
    </w:p>
    <w:p w14:paraId="3DD10753">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9、踏勘现场：</w:t>
      </w:r>
      <w:r>
        <w:rPr>
          <w:rFonts w:hint="eastAsia" w:cs="Arial"/>
          <w:color w:val="auto"/>
          <w:sz w:val="24"/>
          <w:szCs w:val="24"/>
          <w:highlight w:val="none"/>
          <w:lang w:eastAsia="zh-CN"/>
        </w:rPr>
        <w:t>投标人</w:t>
      </w:r>
      <w:r>
        <w:rPr>
          <w:rFonts w:hint="eastAsia" w:ascii="宋体" w:hAnsi="宋体" w:cs="Arial"/>
          <w:color w:val="auto"/>
          <w:sz w:val="24"/>
          <w:szCs w:val="24"/>
          <w:highlight w:val="none"/>
        </w:rPr>
        <w:t>可自行对现场及周围环境进行踏勘，以便获取有关编制设计文件和设计图纸所涉及现场的资料，采购人向</w:t>
      </w:r>
      <w:r>
        <w:rPr>
          <w:rFonts w:hint="eastAsia" w:cs="Arial"/>
          <w:color w:val="auto"/>
          <w:sz w:val="24"/>
          <w:szCs w:val="24"/>
          <w:highlight w:val="none"/>
          <w:lang w:eastAsia="zh-CN"/>
        </w:rPr>
        <w:t>投标人</w:t>
      </w:r>
      <w:r>
        <w:rPr>
          <w:rFonts w:hint="eastAsia" w:ascii="宋体" w:hAnsi="宋体" w:cs="Arial"/>
          <w:color w:val="auto"/>
          <w:sz w:val="24"/>
          <w:szCs w:val="24"/>
          <w:highlight w:val="none"/>
        </w:rPr>
        <w:t>提供的有关现场的资料和数据,是采购人现有的能被供应商利用的资料,采购人对</w:t>
      </w:r>
      <w:r>
        <w:rPr>
          <w:rFonts w:hint="eastAsia" w:cs="Arial"/>
          <w:color w:val="auto"/>
          <w:sz w:val="24"/>
          <w:szCs w:val="24"/>
          <w:highlight w:val="none"/>
          <w:lang w:eastAsia="zh-CN"/>
        </w:rPr>
        <w:t>投标人</w:t>
      </w:r>
      <w:r>
        <w:rPr>
          <w:rFonts w:hint="eastAsia" w:ascii="宋体" w:hAnsi="宋体" w:cs="Arial"/>
          <w:color w:val="auto"/>
          <w:sz w:val="24"/>
          <w:szCs w:val="24"/>
          <w:highlight w:val="none"/>
        </w:rPr>
        <w:t>做出的任何推论、理解和结论均不负责任，踏勘现场所发生的费用由</w:t>
      </w:r>
      <w:r>
        <w:rPr>
          <w:rFonts w:hint="eastAsia" w:cs="Arial"/>
          <w:color w:val="auto"/>
          <w:sz w:val="24"/>
          <w:szCs w:val="24"/>
          <w:highlight w:val="none"/>
          <w:lang w:eastAsia="zh-CN"/>
        </w:rPr>
        <w:t>投标人</w:t>
      </w:r>
      <w:r>
        <w:rPr>
          <w:rFonts w:hint="eastAsia" w:ascii="宋体" w:hAnsi="宋体" w:cs="Arial"/>
          <w:color w:val="auto"/>
          <w:sz w:val="24"/>
          <w:szCs w:val="24"/>
          <w:highlight w:val="none"/>
        </w:rPr>
        <w:t>自己承担。</w:t>
      </w:r>
    </w:p>
    <w:p w14:paraId="7E1CC2CB">
      <w:pPr>
        <w:pStyle w:val="3"/>
        <w:spacing w:line="360" w:lineRule="auto"/>
        <w:ind w:firstLine="480" w:firstLineChars="200"/>
        <w:jc w:val="left"/>
        <w:outlineLvl w:val="9"/>
        <w:rPr>
          <w:rFonts w:hint="eastAsia" w:ascii="宋体" w:hAnsi="宋体" w:cs="Arial"/>
          <w:color w:val="auto"/>
          <w:sz w:val="24"/>
          <w:szCs w:val="24"/>
          <w:highlight w:val="none"/>
        </w:rPr>
      </w:pPr>
      <w:r>
        <w:rPr>
          <w:rFonts w:hint="eastAsia" w:ascii="宋体" w:hAnsi="宋体" w:cs="Arial"/>
          <w:color w:val="auto"/>
          <w:sz w:val="24"/>
          <w:szCs w:val="24"/>
          <w:highlight w:val="none"/>
        </w:rPr>
        <w:t>以上要求若需要提供证明文件、材料的，均应在提交的材料上加盖供应商公章。</w:t>
      </w:r>
    </w:p>
    <w:p w14:paraId="5508B01F">
      <w:pPr>
        <w:pStyle w:val="3"/>
        <w:spacing w:line="360" w:lineRule="auto"/>
        <w:ind w:firstLine="480" w:firstLineChars="200"/>
        <w:jc w:val="left"/>
        <w:outlineLvl w:val="9"/>
        <w:rPr>
          <w:rFonts w:hint="eastAsia" w:ascii="宋体" w:hAnsi="宋体" w:cs="Arial"/>
          <w:color w:val="auto"/>
          <w:sz w:val="24"/>
          <w:szCs w:val="24"/>
          <w:highlight w:val="none"/>
        </w:rPr>
      </w:pPr>
    </w:p>
    <w:p w14:paraId="718DDED2">
      <w:pPr>
        <w:pStyle w:val="3"/>
        <w:numPr>
          <w:ilvl w:val="0"/>
          <w:numId w:val="3"/>
        </w:numPr>
        <w:spacing w:line="360" w:lineRule="auto"/>
        <w:ind w:firstLine="482" w:firstLineChars="200"/>
        <w:jc w:val="left"/>
        <w:outlineLvl w:val="1"/>
        <w:rPr>
          <w:rFonts w:hint="eastAsia" w:cs="宋体"/>
          <w:b/>
          <w:color w:val="auto"/>
          <w:sz w:val="24"/>
          <w:szCs w:val="24"/>
          <w:highlight w:val="none"/>
        </w:rPr>
      </w:pPr>
      <w:bookmarkStart w:id="95" w:name="_Toc12418"/>
      <w:bookmarkStart w:id="96" w:name="_Toc32155"/>
      <w:bookmarkStart w:id="97" w:name="_Toc20673"/>
      <w:r>
        <w:rPr>
          <w:rFonts w:hint="eastAsia" w:cs="宋体"/>
          <w:b/>
          <w:color w:val="auto"/>
          <w:sz w:val="24"/>
          <w:szCs w:val="24"/>
          <w:highlight w:val="none"/>
        </w:rPr>
        <w:t>展期服务要求</w:t>
      </w:r>
      <w:bookmarkEnd w:id="95"/>
      <w:bookmarkEnd w:id="96"/>
      <w:bookmarkEnd w:id="97"/>
    </w:p>
    <w:p w14:paraId="28BE68D2">
      <w:pPr>
        <w:pStyle w:val="3"/>
        <w:spacing w:line="360" w:lineRule="auto"/>
        <w:ind w:firstLine="480" w:firstLineChars="200"/>
        <w:jc w:val="left"/>
        <w:outlineLvl w:val="9"/>
        <w:rPr>
          <w:rFonts w:hint="eastAsia" w:cs="宋体"/>
          <w:bCs/>
          <w:color w:val="auto"/>
          <w:sz w:val="24"/>
          <w:szCs w:val="24"/>
          <w:highlight w:val="none"/>
        </w:rPr>
      </w:pPr>
      <w:r>
        <w:rPr>
          <w:rFonts w:hint="eastAsia" w:cs="宋体"/>
          <w:bCs/>
          <w:color w:val="auto"/>
          <w:sz w:val="24"/>
          <w:szCs w:val="24"/>
          <w:highlight w:val="none"/>
        </w:rPr>
        <w:t>1、</w:t>
      </w:r>
      <w:r>
        <w:rPr>
          <w:rFonts w:hint="eastAsia" w:cs="宋体"/>
          <w:bCs/>
          <w:color w:val="auto"/>
          <w:sz w:val="24"/>
          <w:szCs w:val="24"/>
          <w:highlight w:val="none"/>
          <w:lang w:eastAsia="zh-CN"/>
        </w:rPr>
        <w:t>投标人</w:t>
      </w:r>
      <w:r>
        <w:rPr>
          <w:rFonts w:hint="eastAsia" w:cs="宋体"/>
          <w:bCs/>
          <w:color w:val="auto"/>
          <w:sz w:val="24"/>
          <w:szCs w:val="24"/>
          <w:highlight w:val="none"/>
        </w:rPr>
        <w:t>应按照本采购项目特点提供现场良好的展期服务，并在响应文件中提供详细具体的展期服务承诺条款及保证。</w:t>
      </w:r>
    </w:p>
    <w:p w14:paraId="3B6EC49D">
      <w:pPr>
        <w:pStyle w:val="3"/>
        <w:spacing w:line="360" w:lineRule="auto"/>
        <w:ind w:firstLine="480" w:firstLineChars="200"/>
        <w:jc w:val="left"/>
        <w:outlineLvl w:val="9"/>
        <w:rPr>
          <w:rFonts w:hint="eastAsia" w:cs="宋体"/>
          <w:bCs/>
          <w:color w:val="auto"/>
          <w:sz w:val="24"/>
          <w:szCs w:val="24"/>
          <w:highlight w:val="none"/>
        </w:rPr>
      </w:pPr>
      <w:r>
        <w:rPr>
          <w:rFonts w:hint="eastAsia" w:cs="宋体"/>
          <w:bCs/>
          <w:color w:val="auto"/>
          <w:sz w:val="24"/>
          <w:szCs w:val="24"/>
          <w:highlight w:val="none"/>
        </w:rPr>
        <w:t>2、本批采购项目展期服务所需的费用应包含在报价中。</w:t>
      </w:r>
    </w:p>
    <w:p w14:paraId="0414523F">
      <w:pPr>
        <w:pStyle w:val="3"/>
        <w:spacing w:line="360" w:lineRule="auto"/>
        <w:ind w:firstLine="480" w:firstLineChars="200"/>
        <w:jc w:val="left"/>
        <w:outlineLvl w:val="9"/>
        <w:rPr>
          <w:rFonts w:hint="eastAsia" w:cs="宋体"/>
          <w:bCs/>
          <w:color w:val="auto"/>
          <w:sz w:val="24"/>
          <w:szCs w:val="24"/>
          <w:highlight w:val="none"/>
        </w:rPr>
      </w:pPr>
      <w:r>
        <w:rPr>
          <w:rFonts w:hint="eastAsia" w:cs="宋体"/>
          <w:bCs/>
          <w:color w:val="auto"/>
          <w:sz w:val="24"/>
          <w:szCs w:val="24"/>
          <w:highlight w:val="none"/>
        </w:rPr>
        <w:t>3、</w:t>
      </w:r>
      <w:r>
        <w:rPr>
          <w:rFonts w:hint="eastAsia" w:cs="宋体"/>
          <w:bCs/>
          <w:color w:val="auto"/>
          <w:sz w:val="24"/>
          <w:szCs w:val="24"/>
          <w:highlight w:val="none"/>
          <w:lang w:eastAsia="zh-CN"/>
        </w:rPr>
        <w:t>投标人</w:t>
      </w:r>
      <w:r>
        <w:rPr>
          <w:rFonts w:hint="eastAsia" w:cs="宋体"/>
          <w:bCs/>
          <w:color w:val="auto"/>
          <w:sz w:val="24"/>
          <w:szCs w:val="24"/>
          <w:highlight w:val="none"/>
        </w:rPr>
        <w:t>应提供布展设施相关的配套技术资料，包括操作手册（中文版）及维修保养手册等。</w:t>
      </w:r>
    </w:p>
    <w:p w14:paraId="02285D9B">
      <w:pPr>
        <w:pStyle w:val="3"/>
        <w:spacing w:line="360" w:lineRule="auto"/>
        <w:ind w:firstLine="480" w:firstLineChars="200"/>
        <w:jc w:val="left"/>
        <w:outlineLvl w:val="9"/>
        <w:rPr>
          <w:rFonts w:hint="eastAsia" w:cs="宋体"/>
          <w:bCs/>
          <w:color w:val="auto"/>
          <w:sz w:val="24"/>
          <w:szCs w:val="24"/>
          <w:highlight w:val="none"/>
        </w:rPr>
      </w:pPr>
      <w:r>
        <w:rPr>
          <w:rFonts w:hint="eastAsia" w:cs="宋体"/>
          <w:bCs/>
          <w:color w:val="auto"/>
          <w:sz w:val="24"/>
          <w:szCs w:val="24"/>
          <w:highlight w:val="none"/>
        </w:rPr>
        <w:t>4、若布展设施发生故障，供应商须在半小时内修复；特殊情况在2小时内无法恢复的，展期内</w:t>
      </w:r>
      <w:r>
        <w:rPr>
          <w:rFonts w:hint="eastAsia" w:cs="宋体"/>
          <w:bCs/>
          <w:color w:val="auto"/>
          <w:sz w:val="24"/>
          <w:szCs w:val="24"/>
          <w:highlight w:val="none"/>
          <w:lang w:eastAsia="zh-CN"/>
        </w:rPr>
        <w:t>投标人</w:t>
      </w:r>
      <w:r>
        <w:rPr>
          <w:rFonts w:hint="eastAsia" w:cs="宋体"/>
          <w:bCs/>
          <w:color w:val="auto"/>
          <w:sz w:val="24"/>
          <w:szCs w:val="24"/>
          <w:highlight w:val="none"/>
        </w:rPr>
        <w:t>应予以更换新设备或提供代用设备；在整个展期内应予提供代用设备或使设备可正常运转的措施。</w:t>
      </w:r>
    </w:p>
    <w:p w14:paraId="6CA7F632">
      <w:pPr>
        <w:pStyle w:val="3"/>
        <w:spacing w:line="360" w:lineRule="auto"/>
        <w:ind w:firstLine="480" w:firstLineChars="200"/>
        <w:jc w:val="left"/>
        <w:outlineLvl w:val="9"/>
        <w:rPr>
          <w:rFonts w:hint="eastAsia" w:cs="宋体"/>
          <w:bCs/>
          <w:color w:val="auto"/>
          <w:sz w:val="24"/>
          <w:szCs w:val="24"/>
          <w:highlight w:val="none"/>
        </w:rPr>
      </w:pPr>
      <w:r>
        <w:rPr>
          <w:rFonts w:hint="eastAsia" w:cs="宋体"/>
          <w:bCs/>
          <w:color w:val="auto"/>
          <w:sz w:val="24"/>
          <w:szCs w:val="24"/>
          <w:highlight w:val="none"/>
        </w:rPr>
        <w:t>5、</w:t>
      </w:r>
      <w:r>
        <w:rPr>
          <w:rFonts w:hint="eastAsia" w:cs="宋体"/>
          <w:bCs/>
          <w:color w:val="auto"/>
          <w:sz w:val="24"/>
          <w:szCs w:val="24"/>
          <w:highlight w:val="none"/>
          <w:lang w:eastAsia="zh-CN"/>
        </w:rPr>
        <w:t>投标人</w:t>
      </w:r>
      <w:r>
        <w:rPr>
          <w:rFonts w:hint="eastAsia" w:cs="宋体"/>
          <w:bCs/>
          <w:color w:val="auto"/>
          <w:sz w:val="24"/>
          <w:szCs w:val="24"/>
          <w:highlight w:val="none"/>
        </w:rPr>
        <w:t>认为有利于采购人的其他优惠条款应单独列明。</w:t>
      </w:r>
    </w:p>
    <w:p w14:paraId="63A12069">
      <w:pPr>
        <w:pStyle w:val="3"/>
        <w:spacing w:line="360" w:lineRule="auto"/>
        <w:ind w:firstLine="480" w:firstLineChars="200"/>
        <w:jc w:val="left"/>
        <w:outlineLvl w:val="9"/>
        <w:rPr>
          <w:rFonts w:hint="eastAsia" w:cs="宋体"/>
          <w:bCs/>
          <w:color w:val="auto"/>
          <w:sz w:val="24"/>
          <w:szCs w:val="24"/>
          <w:highlight w:val="none"/>
        </w:rPr>
      </w:pPr>
    </w:p>
    <w:p w14:paraId="1C10056F">
      <w:pPr>
        <w:pStyle w:val="3"/>
        <w:numPr>
          <w:ilvl w:val="0"/>
          <w:numId w:val="3"/>
        </w:numPr>
        <w:spacing w:line="360" w:lineRule="auto"/>
        <w:ind w:firstLine="482" w:firstLineChars="200"/>
        <w:jc w:val="left"/>
        <w:outlineLvl w:val="1"/>
        <w:rPr>
          <w:rFonts w:hint="eastAsia" w:cs="宋体"/>
          <w:b/>
          <w:color w:val="auto"/>
          <w:sz w:val="24"/>
          <w:szCs w:val="24"/>
          <w:highlight w:val="none"/>
        </w:rPr>
      </w:pPr>
      <w:bookmarkStart w:id="98" w:name="_Toc24955"/>
      <w:bookmarkStart w:id="99" w:name="_Toc26292"/>
      <w:bookmarkStart w:id="100" w:name="_Toc342"/>
      <w:r>
        <w:rPr>
          <w:rFonts w:hint="eastAsia" w:cs="宋体"/>
          <w:b/>
          <w:color w:val="auto"/>
          <w:sz w:val="24"/>
          <w:szCs w:val="24"/>
          <w:highlight w:val="none"/>
        </w:rPr>
        <w:t>商务要求</w:t>
      </w:r>
      <w:bookmarkEnd w:id="94"/>
      <w:bookmarkEnd w:id="98"/>
      <w:bookmarkEnd w:id="99"/>
      <w:bookmarkEnd w:id="100"/>
    </w:p>
    <w:p w14:paraId="3DA141C1">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1、交付地点：</w:t>
      </w:r>
      <w:r>
        <w:rPr>
          <w:rFonts w:hint="eastAsia" w:ascii="宋体" w:hAnsi="宋体"/>
          <w:color w:val="auto"/>
          <w:highlight w:val="none"/>
        </w:rPr>
        <w:t>采购人指定地点</w:t>
      </w:r>
    </w:p>
    <w:p w14:paraId="18FB56C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kern w:val="0"/>
          <w:highlight w:val="none"/>
        </w:rPr>
      </w:pPr>
      <w:r>
        <w:rPr>
          <w:rFonts w:hint="eastAsia" w:ascii="宋体" w:hAnsi="宋体" w:cs="宋体"/>
          <w:color w:val="auto"/>
          <w:kern w:val="0"/>
          <w:highlight w:val="none"/>
        </w:rPr>
        <w:t>2、服务时间：布展日期为：</w:t>
      </w:r>
      <w:r>
        <w:rPr>
          <w:rFonts w:hint="eastAsia" w:ascii="宋体" w:hAnsi="宋体" w:cs="宋体"/>
          <w:color w:val="auto"/>
          <w:kern w:val="0"/>
          <w:highlight w:val="none"/>
          <w:lang w:eastAsia="zh-CN"/>
        </w:rPr>
        <w:t>2025</w:t>
      </w:r>
      <w:r>
        <w:rPr>
          <w:rFonts w:hint="eastAsia" w:ascii="宋体" w:hAnsi="宋体" w:cs="宋体"/>
          <w:color w:val="auto"/>
          <w:kern w:val="0"/>
          <w:highlight w:val="none"/>
        </w:rPr>
        <w:t>年11月</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日至13日，具体按照组委会的有关规定执行；布展全部完成时间：于11月13日15：00（北京时间）前。</w:t>
      </w:r>
    </w:p>
    <w:p w14:paraId="286BC28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3、交付条件：供应商</w:t>
      </w:r>
      <w:r>
        <w:rPr>
          <w:rFonts w:hint="eastAsia" w:ascii="宋体" w:hAnsi="宋体" w:cs="宋体"/>
          <w:color w:val="auto"/>
          <w:kern w:val="0"/>
          <w:highlight w:val="none"/>
          <w:lang w:val="en-US" w:eastAsia="zh-CN"/>
        </w:rPr>
        <w:t>中标后</w:t>
      </w:r>
      <w:r>
        <w:rPr>
          <w:rFonts w:hint="eastAsia" w:ascii="宋体" w:hAnsi="宋体" w:cs="宋体"/>
          <w:color w:val="auto"/>
          <w:kern w:val="0"/>
          <w:highlight w:val="none"/>
        </w:rPr>
        <w:t>必须按照合同的规定，保质保量地完成采购人委托的工作，经采购人验收服务成果合格后交付。</w:t>
      </w:r>
    </w:p>
    <w:p w14:paraId="06F71B4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cs="宋体"/>
          <w:color w:val="auto"/>
          <w:sz w:val="24"/>
          <w:szCs w:val="24"/>
          <w:highlight w:val="none"/>
        </w:rPr>
      </w:pPr>
      <w:r>
        <w:rPr>
          <w:rStyle w:val="14"/>
          <w:rFonts w:hint="eastAsia" w:ascii="宋体" w:hAnsi="宋体" w:cs="宋体"/>
          <w:b w:val="0"/>
          <w:bCs w:val="0"/>
          <w:color w:val="auto"/>
          <w:kern w:val="0"/>
          <w:sz w:val="24"/>
          <w:szCs w:val="24"/>
          <w:highlight w:val="none"/>
        </w:rPr>
        <w:t>4、支付方式数据表格</w:t>
      </w:r>
    </w:p>
    <w:tbl>
      <w:tblPr>
        <w:tblStyle w:val="12"/>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33"/>
        <w:gridCol w:w="1609"/>
        <w:gridCol w:w="5510"/>
      </w:tblGrid>
      <w:tr w14:paraId="623568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38" w:type="pct"/>
            <w:tcBorders>
              <w:top w:val="outset" w:color="auto" w:sz="6" w:space="0"/>
              <w:left w:val="outset" w:color="auto" w:sz="6" w:space="0"/>
              <w:bottom w:val="outset" w:color="auto" w:sz="6" w:space="0"/>
              <w:right w:val="outset" w:color="auto" w:sz="6" w:space="0"/>
            </w:tcBorders>
            <w:noWrap w:val="0"/>
            <w:vAlign w:val="center"/>
          </w:tcPr>
          <w:p w14:paraId="69EC00AD">
            <w:pPr>
              <w:widowControl/>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支付期次</w:t>
            </w:r>
          </w:p>
        </w:tc>
        <w:tc>
          <w:tcPr>
            <w:tcW w:w="963" w:type="pct"/>
            <w:tcBorders>
              <w:top w:val="outset" w:color="auto" w:sz="6" w:space="0"/>
              <w:left w:val="outset" w:color="auto" w:sz="6" w:space="0"/>
              <w:bottom w:val="outset" w:color="auto" w:sz="6" w:space="0"/>
              <w:right w:val="outset" w:color="auto" w:sz="6" w:space="0"/>
            </w:tcBorders>
            <w:noWrap w:val="0"/>
            <w:vAlign w:val="center"/>
          </w:tcPr>
          <w:p w14:paraId="5E48E920">
            <w:pPr>
              <w:widowControl/>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支付比例(%)</w:t>
            </w:r>
          </w:p>
        </w:tc>
        <w:tc>
          <w:tcPr>
            <w:tcW w:w="3297" w:type="pct"/>
            <w:tcBorders>
              <w:top w:val="outset" w:color="auto" w:sz="6" w:space="0"/>
              <w:left w:val="outset" w:color="auto" w:sz="6" w:space="0"/>
              <w:bottom w:val="outset" w:color="auto" w:sz="6" w:space="0"/>
              <w:right w:val="outset" w:color="auto" w:sz="6" w:space="0"/>
            </w:tcBorders>
            <w:noWrap w:val="0"/>
            <w:vAlign w:val="center"/>
          </w:tcPr>
          <w:p w14:paraId="07A5B1EC">
            <w:pPr>
              <w:widowControl/>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支付期次说明</w:t>
            </w:r>
          </w:p>
        </w:tc>
      </w:tr>
      <w:tr w14:paraId="7975A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8" w:type="pct"/>
            <w:tcBorders>
              <w:top w:val="outset" w:color="auto" w:sz="6" w:space="0"/>
              <w:left w:val="outset" w:color="auto" w:sz="6" w:space="0"/>
              <w:bottom w:val="outset" w:color="auto" w:sz="6" w:space="0"/>
              <w:right w:val="outset" w:color="auto" w:sz="6" w:space="0"/>
            </w:tcBorders>
            <w:noWrap w:val="0"/>
            <w:vAlign w:val="center"/>
          </w:tcPr>
          <w:p w14:paraId="1373DA49">
            <w:pPr>
              <w:widowControl/>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963" w:type="pct"/>
            <w:tcBorders>
              <w:top w:val="outset" w:color="auto" w:sz="6" w:space="0"/>
              <w:left w:val="outset" w:color="auto" w:sz="6" w:space="0"/>
              <w:bottom w:val="outset" w:color="auto" w:sz="6" w:space="0"/>
              <w:right w:val="outset" w:color="auto" w:sz="6" w:space="0"/>
            </w:tcBorders>
            <w:noWrap w:val="0"/>
            <w:vAlign w:val="center"/>
          </w:tcPr>
          <w:p w14:paraId="2C14E1BC">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rPr>
              <w:t>60</w:t>
            </w:r>
          </w:p>
        </w:tc>
        <w:tc>
          <w:tcPr>
            <w:tcW w:w="3297" w:type="pct"/>
            <w:tcBorders>
              <w:top w:val="outset" w:color="auto" w:sz="6" w:space="0"/>
              <w:left w:val="outset" w:color="auto" w:sz="6" w:space="0"/>
              <w:bottom w:val="outset" w:color="auto" w:sz="6" w:space="0"/>
              <w:right w:val="outset" w:color="auto" w:sz="6" w:space="0"/>
            </w:tcBorders>
            <w:noWrap w:val="0"/>
            <w:vAlign w:val="center"/>
          </w:tcPr>
          <w:p w14:paraId="662DE5FF">
            <w:pPr>
              <w:widowControl/>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合同签订后15个工作日内支付成交金额的60％。</w:t>
            </w:r>
          </w:p>
        </w:tc>
      </w:tr>
      <w:tr w14:paraId="5ECC9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38" w:type="pct"/>
            <w:tcBorders>
              <w:top w:val="outset" w:color="auto" w:sz="6" w:space="0"/>
              <w:left w:val="outset" w:color="auto" w:sz="6" w:space="0"/>
              <w:bottom w:val="outset" w:color="auto" w:sz="6" w:space="0"/>
              <w:right w:val="outset" w:color="auto" w:sz="6" w:space="0"/>
            </w:tcBorders>
            <w:noWrap w:val="0"/>
            <w:vAlign w:val="center"/>
          </w:tcPr>
          <w:p w14:paraId="3C0AEA9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963" w:type="pct"/>
            <w:tcBorders>
              <w:top w:val="outset" w:color="auto" w:sz="6" w:space="0"/>
              <w:left w:val="outset" w:color="auto" w:sz="6" w:space="0"/>
              <w:bottom w:val="outset" w:color="auto" w:sz="6" w:space="0"/>
              <w:right w:val="outset" w:color="auto" w:sz="6" w:space="0"/>
            </w:tcBorders>
            <w:noWrap w:val="0"/>
            <w:vAlign w:val="center"/>
          </w:tcPr>
          <w:p w14:paraId="4FDD0402">
            <w:pPr>
              <w:widowControl/>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40</w:t>
            </w:r>
          </w:p>
        </w:tc>
        <w:tc>
          <w:tcPr>
            <w:tcW w:w="3297" w:type="pct"/>
            <w:tcBorders>
              <w:top w:val="outset" w:color="auto" w:sz="6" w:space="0"/>
              <w:left w:val="outset" w:color="auto" w:sz="6" w:space="0"/>
              <w:bottom w:val="outset" w:color="auto" w:sz="6" w:space="0"/>
              <w:right w:val="outset" w:color="auto" w:sz="6" w:space="0"/>
            </w:tcBorders>
            <w:noWrap w:val="0"/>
            <w:vAlign w:val="center"/>
          </w:tcPr>
          <w:p w14:paraId="6A319F0E">
            <w:pPr>
              <w:widowControl/>
              <w:spacing w:line="360" w:lineRule="auto"/>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项目实施验收后支付成交金额的40%。</w:t>
            </w:r>
          </w:p>
        </w:tc>
      </w:tr>
    </w:tbl>
    <w:p w14:paraId="64076D45">
      <w:pPr>
        <w:keepNext w:val="0"/>
        <w:keepLines w:val="0"/>
        <w:spacing w:before="0" w:after="0" w:line="360" w:lineRule="auto"/>
        <w:ind w:firstLine="470" w:firstLineChars="196"/>
        <w:outlineLvl w:val="9"/>
        <w:rPr>
          <w:rFonts w:hint="eastAsia" w:ascii="宋体" w:hAnsi="宋体" w:eastAsia="宋体" w:cs="宋体"/>
          <w:color w:val="auto"/>
          <w:sz w:val="24"/>
          <w:szCs w:val="24"/>
          <w:highlight w:val="none"/>
          <w:lang w:val="en-US" w:eastAsia="zh-CN"/>
        </w:rPr>
      </w:pPr>
    </w:p>
    <w:p w14:paraId="25719452">
      <w:pPr>
        <w:pStyle w:val="2"/>
        <w:keepNext w:val="0"/>
        <w:keepLines w:val="0"/>
        <w:spacing w:before="0" w:after="0" w:line="360" w:lineRule="auto"/>
        <w:ind w:firstLine="472" w:firstLineChars="196"/>
        <w:outlineLvl w:val="1"/>
        <w:rPr>
          <w:rFonts w:hint="eastAsia" w:ascii="宋体" w:hAnsi="宋体" w:eastAsia="宋体" w:cs="宋体"/>
          <w:color w:val="auto"/>
          <w:sz w:val="24"/>
          <w:szCs w:val="24"/>
          <w:highlight w:val="none"/>
        </w:rPr>
      </w:pPr>
      <w:bookmarkStart w:id="101" w:name="_Toc229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、报价要求</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101"/>
    </w:p>
    <w:p w14:paraId="40B0A441">
      <w:pPr>
        <w:spacing w:line="360" w:lineRule="auto"/>
        <w:ind w:firstLine="477" w:firstLineChars="198"/>
        <w:rPr>
          <w:rFonts w:hint="eastAsia" w:ascii="宋体" w:hAnsi="宋体" w:eastAsia="宋体" w:cs="宋体"/>
          <w:b/>
          <w:color w:val="auto"/>
          <w:spacing w:val="4"/>
          <w:sz w:val="24"/>
          <w:szCs w:val="24"/>
          <w:highlight w:val="none"/>
          <w:lang w:eastAsia="zh-CN"/>
        </w:rPr>
      </w:pP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eastAsia="zh-CN"/>
        </w:rPr>
        <w:t>项目的采购预算为人民币</w:t>
      </w:r>
      <w:r>
        <w:rPr>
          <w:rFonts w:hint="eastAsia" w:ascii="宋体" w:hAnsi="宋体" w:cs="宋体"/>
          <w:b/>
          <w:color w:val="auto"/>
          <w:sz w:val="24"/>
          <w:szCs w:val="24"/>
          <w:highlight w:val="none"/>
          <w:lang w:val="en-US" w:eastAsia="zh-CN"/>
        </w:rPr>
        <w:t>20.4</w:t>
      </w:r>
      <w:r>
        <w:rPr>
          <w:rFonts w:hint="eastAsia" w:ascii="宋体" w:hAnsi="宋体" w:eastAsia="宋体" w:cs="宋体"/>
          <w:b/>
          <w:color w:val="auto"/>
          <w:sz w:val="24"/>
          <w:szCs w:val="24"/>
          <w:highlight w:val="none"/>
          <w:lang w:eastAsia="zh-CN"/>
        </w:rPr>
        <w:t>万元，采购预算为总报价的最高限价，总报价超过采购预算的属无效报价。</w:t>
      </w:r>
    </w:p>
    <w:p w14:paraId="34F643A1">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必须对采购项目的所有内容进行报价响应。</w:t>
      </w:r>
    </w:p>
    <w:p w14:paraId="3A93D342">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本次采购为国内采购，报价以人民币为货币单位，应分单价、小计和总价。</w:t>
      </w:r>
    </w:p>
    <w:p w14:paraId="746B93C2">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总报价为本项目发生的一切费用，其包括方案设计、设备材料采购供应、系统施工安装、调试并经验收合格交付使用完毕所有可能发生的一切费用，包括设计费用、安装施工、设备主材费用、配件及辅助材料费、人工费、检验检测、调试、劳保、税金、两金、脚手架、办理行业许可所需费用、验收费用、相关伴随服务以及售后服务等费用。所有报价均应已包含国家规定的所有税费。谈判供应商应自行核算项目正常、合法运作及使用所必需的费用。供应商漏报的单价或每单价报价中漏报、少报的费用，视为此项费用已隐含在报价中，中标后不得再向采购人收取任何费用。若有个别金额较大的项目减做，相应扣除该项目的预算及其管理费。</w:t>
      </w:r>
    </w:p>
    <w:p w14:paraId="23F0D629">
      <w:pPr>
        <w:spacing w:line="360" w:lineRule="auto"/>
        <w:ind w:firstLine="480" w:firstLineChars="200"/>
        <w:rPr>
          <w:rFonts w:hint="eastAsia" w:ascii="宋体" w:hAnsi="宋体" w:eastAsia="宋体" w:cs="宋体"/>
          <w:b/>
          <w:color w:val="auto"/>
          <w:spacing w:val="-4"/>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报价中漏报、少报的费用，视为此项费用已隐含在谈判响应报价中，</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后不得再向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收取任何费用。</w:t>
      </w:r>
    </w:p>
    <w:bookmarkEnd w:id="75"/>
    <w:bookmarkEnd w:id="76"/>
    <w:bookmarkEnd w:id="77"/>
    <w:bookmarkEnd w:id="78"/>
    <w:bookmarkEnd w:id="79"/>
    <w:bookmarkEnd w:id="80"/>
    <w:bookmarkEnd w:id="81"/>
    <w:bookmarkEnd w:id="82"/>
    <w:bookmarkEnd w:id="83"/>
    <w:bookmarkEnd w:id="84"/>
    <w:bookmarkEnd w:id="85"/>
    <w:p w14:paraId="57C9C253">
      <w:pPr>
        <w:keepNext w:val="0"/>
        <w:keepLines w:val="0"/>
        <w:spacing w:before="0" w:after="0" w:line="360" w:lineRule="auto"/>
        <w:ind w:firstLine="480" w:firstLineChars="200"/>
        <w:outlineLvl w:val="9"/>
        <w:rPr>
          <w:rFonts w:hint="eastAsia" w:ascii="宋体" w:hAnsi="宋体" w:eastAsia="宋体" w:cs="宋体"/>
          <w:color w:val="auto"/>
          <w:sz w:val="24"/>
          <w:szCs w:val="24"/>
          <w:highlight w:val="none"/>
          <w:lang w:val="en-US" w:eastAsia="zh-CN"/>
        </w:rPr>
      </w:pPr>
      <w:bookmarkStart w:id="102" w:name="_Toc1653365564"/>
      <w:bookmarkStart w:id="103" w:name="_Toc26735"/>
      <w:bookmarkStart w:id="104" w:name="_Toc105315003"/>
      <w:bookmarkStart w:id="105" w:name="_Toc36974208"/>
      <w:bookmarkStart w:id="106" w:name="_Toc432356152"/>
      <w:bookmarkStart w:id="107" w:name="_Toc36973986"/>
      <w:bookmarkStart w:id="108" w:name="_Toc36974290"/>
      <w:bookmarkStart w:id="109" w:name="_Toc36885855"/>
      <w:bookmarkStart w:id="110" w:name="_Toc36973199"/>
      <w:bookmarkStart w:id="111" w:name="_Toc36974052"/>
      <w:bookmarkStart w:id="112" w:name="_Toc116869904"/>
      <w:bookmarkStart w:id="113" w:name="_Toc116895411"/>
      <w:bookmarkStart w:id="114" w:name="_Toc1926647722"/>
      <w:bookmarkStart w:id="115" w:name="_Toc90180876"/>
      <w:bookmarkStart w:id="116" w:name="_Toc236548239"/>
      <w:bookmarkStart w:id="117" w:name="_Toc36974341"/>
      <w:bookmarkStart w:id="118" w:name="_Toc24743"/>
      <w:bookmarkStart w:id="119" w:name="_Toc172776054"/>
      <w:bookmarkStart w:id="120" w:name="_Toc89791599"/>
      <w:bookmarkStart w:id="121" w:name="_Toc36867049"/>
      <w:bookmarkStart w:id="122" w:name="_Toc27125"/>
      <w:bookmarkStart w:id="123" w:name="_Toc513197613"/>
      <w:bookmarkStart w:id="124" w:name="_Toc23986"/>
      <w:bookmarkStart w:id="125" w:name="_Toc1996848829"/>
      <w:bookmarkStart w:id="126" w:name="_Toc151886859"/>
      <w:bookmarkStart w:id="127" w:name="_Toc89791701"/>
      <w:bookmarkStart w:id="128" w:name="_Toc37236848"/>
    </w:p>
    <w:p w14:paraId="09F58E3E">
      <w:pPr>
        <w:pStyle w:val="2"/>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129" w:name="_Toc3682"/>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、验收条件</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B88DD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验收条件：项目服务进行过程的每个阶段完成后，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应及时通知</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，进行相关事项的讨论，并根据</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提出的整改意见及时整改，达到</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要求可邀请</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进行验收。</w:t>
      </w:r>
    </w:p>
    <w:p w14:paraId="52923A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验收依据：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文件及国家、省、市有关的标准规定，均为验收依据。</w:t>
      </w:r>
    </w:p>
    <w:p w14:paraId="33D26F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签订承包合同，根据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文件规定和</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的谈判响应承诺约定具体事项和考核办法，</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若发生违约行为或考核不合格，</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有权终止合同的履行。</w:t>
      </w:r>
    </w:p>
    <w:p w14:paraId="1149B9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验收时</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必须派代表参加。</w:t>
      </w:r>
    </w:p>
    <w:p w14:paraId="21C6C0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验收过程所发生的一切费用由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承担。</w:t>
      </w:r>
    </w:p>
    <w:p w14:paraId="42909A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在履约过程中若有出现安全事故，其责任及相应的赔偿均由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不承担所有责任及义务。</w:t>
      </w:r>
    </w:p>
    <w:p w14:paraId="33AE3E84">
      <w:pPr>
        <w:keepNext w:val="0"/>
        <w:keepLines w:val="0"/>
        <w:spacing w:before="0" w:after="0" w:line="360" w:lineRule="auto"/>
        <w:ind w:firstLine="480" w:firstLineChars="200"/>
        <w:outlineLvl w:val="9"/>
        <w:rPr>
          <w:rFonts w:hint="eastAsia" w:ascii="宋体" w:hAnsi="宋体" w:eastAsia="宋体" w:cs="宋体"/>
          <w:color w:val="auto"/>
          <w:sz w:val="24"/>
          <w:szCs w:val="24"/>
          <w:highlight w:val="none"/>
          <w:lang w:val="en-US" w:eastAsia="zh-CN"/>
        </w:rPr>
      </w:pPr>
      <w:bookmarkStart w:id="130" w:name="_Toc1404497787"/>
      <w:bookmarkStart w:id="131" w:name="_Toc27358"/>
      <w:bookmarkStart w:id="132" w:name="_Toc528050644"/>
      <w:bookmarkStart w:id="133" w:name="_Toc4231"/>
      <w:bookmarkStart w:id="134" w:name="_Toc8214"/>
      <w:bookmarkStart w:id="135" w:name="_Toc1016957390"/>
      <w:bookmarkStart w:id="136" w:name="_Toc29363"/>
      <w:bookmarkStart w:id="137" w:name="_Toc460034773"/>
      <w:bookmarkStart w:id="138" w:name="_Toc338238196"/>
      <w:bookmarkStart w:id="139" w:name="_Toc432356158"/>
    </w:p>
    <w:p w14:paraId="76D2F147">
      <w:pPr>
        <w:pStyle w:val="2"/>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140" w:name="_Toc27383"/>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、资格证明文件</w:t>
      </w:r>
      <w:bookmarkEnd w:id="130"/>
      <w:bookmarkEnd w:id="131"/>
      <w:bookmarkEnd w:id="132"/>
      <w:bookmarkEnd w:id="133"/>
      <w:bookmarkEnd w:id="134"/>
      <w:bookmarkEnd w:id="135"/>
      <w:bookmarkEnd w:id="136"/>
      <w:bookmarkEnd w:id="137"/>
      <w:bookmarkEnd w:id="140"/>
    </w:p>
    <w:p w14:paraId="16CA008C">
      <w:pPr>
        <w:snapToGrid w:val="0"/>
        <w:spacing w:line="360" w:lineRule="auto"/>
        <w:ind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应提供工商营业执照（副本）（加盖公章）的复印件，提供税务登记证及组织机构代码证复印件。</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已提供加载有统一社会信用代码营业执照的，视为已提供税务登记证和组织机构代码证。</w:t>
      </w:r>
    </w:p>
    <w:p w14:paraId="332E45AE">
      <w:pPr>
        <w:snapToGrid w:val="0"/>
        <w:spacing w:line="360" w:lineRule="auto"/>
        <w:ind w:firstLine="354" w:firstLineChars="147"/>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全权代表若不是单位负责人，应提供单位授权书原件，并提供被授权代表身份证复印件。</w:t>
      </w:r>
    </w:p>
    <w:bookmarkEnd w:id="138"/>
    <w:bookmarkEnd w:id="139"/>
    <w:p w14:paraId="665A9B24">
      <w:pPr>
        <w:keepNext w:val="0"/>
        <w:keepLines w:val="0"/>
        <w:numPr>
          <w:ilvl w:val="0"/>
          <w:numId w:val="0"/>
        </w:numPr>
        <w:spacing w:before="0" w:after="0" w:line="360" w:lineRule="auto"/>
        <w:ind w:firstLine="480" w:firstLineChars="200"/>
        <w:jc w:val="left"/>
        <w:outlineLvl w:val="9"/>
        <w:rPr>
          <w:rFonts w:hint="eastAsia" w:ascii="宋体" w:hAnsi="宋体" w:eastAsia="宋体" w:cs="宋体"/>
          <w:color w:val="auto"/>
          <w:sz w:val="24"/>
          <w:szCs w:val="24"/>
          <w:highlight w:val="none"/>
          <w:lang w:val="en-US" w:eastAsia="zh-CN"/>
        </w:rPr>
      </w:pPr>
      <w:bookmarkStart w:id="141" w:name="_Toc21131"/>
      <w:bookmarkStart w:id="142" w:name="_Toc12111"/>
      <w:bookmarkStart w:id="143" w:name="_Toc2990"/>
      <w:bookmarkStart w:id="144" w:name="_Toc4422"/>
      <w:bookmarkStart w:id="145" w:name="_Toc29882"/>
      <w:bookmarkStart w:id="146" w:name="_Toc2111125491"/>
      <w:bookmarkStart w:id="147" w:name="_Toc1630499995"/>
      <w:bookmarkStart w:id="148" w:name="_Toc1440329092"/>
      <w:bookmarkStart w:id="149" w:name="_Toc367699414"/>
      <w:bookmarkStart w:id="150" w:name="_Toc12255"/>
      <w:bookmarkStart w:id="151" w:name="_Toc24038"/>
    </w:p>
    <w:p w14:paraId="5B0A2BAB">
      <w:pPr>
        <w:pStyle w:val="2"/>
        <w:keepNext w:val="0"/>
        <w:keepLines w:val="0"/>
        <w:numPr>
          <w:ilvl w:val="0"/>
          <w:numId w:val="0"/>
        </w:numPr>
        <w:spacing w:before="0" w:after="0" w:line="360" w:lineRule="auto"/>
        <w:ind w:firstLine="482" w:firstLineChars="200"/>
        <w:jc w:val="left"/>
        <w:rPr>
          <w:rFonts w:hint="eastAsia" w:ascii="宋体" w:hAnsi="宋体" w:eastAsia="宋体" w:cs="宋体"/>
          <w:color w:val="auto"/>
          <w:sz w:val="24"/>
          <w:szCs w:val="24"/>
          <w:highlight w:val="none"/>
          <w:lang w:val="en-US" w:eastAsia="zh-CN"/>
        </w:rPr>
      </w:pPr>
      <w:bookmarkStart w:id="152" w:name="_Toc11616"/>
      <w:r>
        <w:rPr>
          <w:rFonts w:hint="eastAsia" w:ascii="宋体" w:hAnsi="宋体" w:eastAsia="宋体" w:cs="宋体"/>
          <w:color w:val="auto"/>
          <w:sz w:val="24"/>
          <w:szCs w:val="24"/>
          <w:highlight w:val="none"/>
          <w:lang w:val="en-US" w:eastAsia="zh-CN"/>
        </w:rPr>
        <w:t>九、知识产权</w:t>
      </w:r>
      <w:bookmarkEnd w:id="141"/>
      <w:bookmarkEnd w:id="142"/>
      <w:bookmarkEnd w:id="143"/>
      <w:bookmarkEnd w:id="144"/>
      <w:bookmarkEnd w:id="145"/>
      <w:bookmarkEnd w:id="146"/>
      <w:bookmarkEnd w:id="147"/>
      <w:bookmarkEnd w:id="148"/>
      <w:bookmarkEnd w:id="149"/>
      <w:bookmarkEnd w:id="152"/>
    </w:p>
    <w:p w14:paraId="22041E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在项目实施期间</w:t>
      </w:r>
      <w:r>
        <w:rPr>
          <w:rFonts w:hint="eastAsia" w:ascii="宋体" w:hAnsi="宋体" w:eastAsia="宋体" w:cs="宋体"/>
          <w:color w:val="auto"/>
          <w:sz w:val="24"/>
          <w:szCs w:val="24"/>
          <w:highlight w:val="none"/>
        </w:rPr>
        <w:t>不受到知识产权或版权的纠纷，否则，由此产生的任何责任完全由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承担。</w:t>
      </w:r>
    </w:p>
    <w:p w14:paraId="23295580">
      <w:pPr>
        <w:pStyle w:val="2"/>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53" w:name="_Toc24725"/>
      <w:bookmarkStart w:id="154" w:name="_Toc5454"/>
      <w:bookmarkStart w:id="155" w:name="_Toc23516"/>
      <w:bookmarkStart w:id="156" w:name="_Toc28751"/>
      <w:bookmarkStart w:id="157" w:name="_Toc16796"/>
      <w:bookmarkStart w:id="158" w:name="_Toc572548113"/>
      <w:bookmarkStart w:id="159" w:name="_Toc1072457120"/>
      <w:bookmarkStart w:id="160" w:name="_Toc1110146659"/>
      <w:bookmarkStart w:id="161" w:name="_Toc22033"/>
      <w:bookmarkStart w:id="162" w:name="_Toc1827335531"/>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其他要求</w:t>
      </w:r>
      <w:bookmarkEnd w:id="150"/>
      <w:bookmarkEnd w:id="151"/>
      <w:bookmarkEnd w:id="153"/>
      <w:bookmarkEnd w:id="154"/>
      <w:bookmarkEnd w:id="155"/>
      <w:bookmarkEnd w:id="156"/>
      <w:bookmarkEnd w:id="157"/>
      <w:bookmarkEnd w:id="158"/>
      <w:bookmarkEnd w:id="159"/>
      <w:bookmarkEnd w:id="160"/>
      <w:bookmarkEnd w:id="161"/>
      <w:bookmarkEnd w:id="162"/>
    </w:p>
    <w:p w14:paraId="050554C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拟派项目活动负责人应具有同类项目的组织经验。拟投入的其它管理、设计、技术人员应齐备、专业配套、符合执业资格规定，能满足活动的需要。</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须提供相关人员职称证书的有效复印件。</w:t>
      </w:r>
    </w:p>
    <w:p w14:paraId="5E8B658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应提供项目的活动团队成员名单（注明职称、工作岗位、学历等基本情况），以及其它相关人员资料。</w:t>
      </w:r>
    </w:p>
    <w:p w14:paraId="71C7EC1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须在报价文件中提供拟安排的计划及措施等，包括：活动进度安排；</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质量保证措施；完成</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各进度所需要的最短时间及保证进度的措施等。</w:t>
      </w:r>
    </w:p>
    <w:p w14:paraId="5932DC7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方案等有关资料必须符合国家规定的有关标准、规范要求，且必须满足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文件的相关要求。</w:t>
      </w:r>
    </w:p>
    <w:p w14:paraId="534C329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及服务内容必须是自身合法开发或合法来源的全新的优质产品，并对之拥有可以依法出卖或交易的相应“物权”；任何有关产品的所有权、知识产权或担保物权可能提出的异议、有关索赔责任及费用或法律责任，均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w:t>
      </w:r>
    </w:p>
    <w:p w14:paraId="5F22948D">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本文所述服务内容及要求，应视为保证</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符合相关标准的最低要求，如有遗漏，</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应予以补充。否则，一旦成交将认为</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认同遗漏部分并免费提供。</w:t>
      </w:r>
    </w:p>
    <w:p w14:paraId="5FCA1A9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应依据采购文件要求及报价文件所作承诺履行职责，如有违约，</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有权根据协议、合同采取措施保证本次服务的顺利进行，并相应追究违约方的违约责任。</w:t>
      </w:r>
    </w:p>
    <w:p w14:paraId="333077A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在活动及验收过程中若有出现安全事故，其责任及相应的赔偿均由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不承担所有责任及义务。</w:t>
      </w:r>
    </w:p>
    <w:p w14:paraId="2A2C5BF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9、违约责任</w:t>
      </w:r>
    </w:p>
    <w:p w14:paraId="04EE1FC8">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9.1若由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原因导致本活动不能按预定日期顺利举办，</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承担由此给</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带来的直接损失并承担由此造成的一切后果</w:t>
      </w:r>
      <w:r>
        <w:rPr>
          <w:rFonts w:hint="eastAsia" w:ascii="宋体" w:hAnsi="宋体" w:eastAsia="宋体" w:cs="宋体"/>
          <w:color w:val="auto"/>
          <w:sz w:val="24"/>
          <w:szCs w:val="24"/>
          <w:highlight w:val="none"/>
          <w:lang w:eastAsia="zh-CN"/>
        </w:rPr>
        <w:t>，并退还招标人已支付的费用</w:t>
      </w:r>
      <w:r>
        <w:rPr>
          <w:rFonts w:hint="eastAsia" w:ascii="宋体" w:hAnsi="宋体" w:eastAsia="宋体" w:cs="宋体"/>
          <w:color w:val="auto"/>
          <w:sz w:val="24"/>
          <w:szCs w:val="24"/>
          <w:highlight w:val="none"/>
        </w:rPr>
        <w:t>。非因</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原因（包括但不限于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未及时提供</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资料、确认方案、不可抗力等）导致本活动不能按原定计划举办或</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未能提供合同约定服务的，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不承担责任。</w:t>
      </w:r>
    </w:p>
    <w:p w14:paraId="0ABE859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9.2因</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提供的产品或服务导致展会期间出现重大质量事故或服务过错的（包括参会人员任何人身、财产损害；展会无法持续进行等），由</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承担全部责任。如</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在前述情形中实际承担了责任的，</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同意无条件赔偿</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的一切损失，包括但不限于相关的赔偿费用、诉讼费、保全费、鉴定费、公证费、律师费、差旅费等所有费用。</w:t>
      </w:r>
    </w:p>
    <w:p w14:paraId="437458A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9.3在明确违约责任后，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应在接到</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书面通知书起七天内支付违约金、赔偿金等。</w:t>
      </w:r>
    </w:p>
    <w:p w14:paraId="5951B6DC">
      <w:pPr>
        <w:rPr>
          <w:color w:val="auto"/>
          <w:highlight w:val="none"/>
        </w:rPr>
      </w:pPr>
    </w:p>
    <w:p w14:paraId="2FB4BF56">
      <w:pPr>
        <w:tabs>
          <w:tab w:val="left" w:pos="5130"/>
        </w:tabs>
        <w:spacing w:line="360" w:lineRule="auto"/>
        <w:rPr>
          <w:rFonts w:hint="eastAsia" w:ascii="宋体" w:hAnsi="宋体" w:eastAsia="宋体" w:cs="宋体"/>
          <w:b/>
          <w:color w:val="auto"/>
          <w:sz w:val="24"/>
          <w:szCs w:val="24"/>
          <w:highlight w:val="none"/>
        </w:rPr>
      </w:pPr>
    </w:p>
    <w:p w14:paraId="4829EB88">
      <w:pPr>
        <w:tabs>
          <w:tab w:val="left" w:pos="5130"/>
        </w:tabs>
        <w:spacing w:line="360" w:lineRule="auto"/>
        <w:ind w:firstLine="480" w:firstLineChars="200"/>
        <w:rPr>
          <w:rFonts w:hint="eastAsia" w:ascii="宋体" w:hAnsi="宋体" w:eastAsia="宋体" w:cs="宋体"/>
          <w:color w:val="auto"/>
          <w:sz w:val="24"/>
          <w:szCs w:val="24"/>
          <w:highlight w:val="none"/>
        </w:rPr>
      </w:pPr>
    </w:p>
    <w:p w14:paraId="71FE210A">
      <w:pPr>
        <w:spacing w:line="360" w:lineRule="auto"/>
        <w:rPr>
          <w:rFonts w:hint="eastAsia" w:ascii="宋体" w:hAnsi="宋体" w:eastAsia="宋体" w:cs="宋体"/>
          <w:b/>
          <w:color w:val="auto"/>
          <w:sz w:val="24"/>
          <w:szCs w:val="24"/>
          <w:highlight w:val="none"/>
        </w:rPr>
      </w:pPr>
    </w:p>
    <w:p w14:paraId="135D40AB">
      <w:pPr>
        <w:spacing w:line="360" w:lineRule="auto"/>
        <w:rPr>
          <w:rFonts w:hint="eastAsia" w:ascii="宋体" w:hAnsi="宋体" w:eastAsia="宋体" w:cs="宋体"/>
          <w:b/>
          <w:color w:val="auto"/>
          <w:sz w:val="24"/>
          <w:szCs w:val="24"/>
          <w:highlight w:val="none"/>
        </w:rPr>
      </w:pPr>
    </w:p>
    <w:p w14:paraId="5FD951B9">
      <w:pPr>
        <w:spacing w:line="360" w:lineRule="auto"/>
        <w:rPr>
          <w:rFonts w:hint="eastAsia" w:ascii="宋体" w:hAnsi="宋体" w:eastAsia="宋体" w:cs="宋体"/>
          <w:b/>
          <w:color w:val="auto"/>
          <w:sz w:val="24"/>
          <w:szCs w:val="24"/>
          <w:highlight w:val="none"/>
        </w:rPr>
      </w:pPr>
    </w:p>
    <w:p w14:paraId="61647E15">
      <w:pPr>
        <w:spacing w:line="360" w:lineRule="auto"/>
        <w:rPr>
          <w:rFonts w:hint="eastAsia" w:ascii="宋体" w:hAnsi="宋体" w:eastAsia="宋体" w:cs="宋体"/>
          <w:b/>
          <w:color w:val="auto"/>
          <w:sz w:val="24"/>
          <w:szCs w:val="24"/>
          <w:highlight w:val="none"/>
        </w:rPr>
      </w:pPr>
    </w:p>
    <w:p w14:paraId="396F169B">
      <w:pPr>
        <w:spacing w:line="360" w:lineRule="auto"/>
        <w:jc w:val="center"/>
        <w:rPr>
          <w:rFonts w:hint="eastAsia" w:ascii="宋体" w:hAnsi="宋体" w:eastAsia="宋体" w:cs="宋体"/>
          <w:b/>
          <w:bCs/>
          <w:color w:val="auto"/>
          <w:sz w:val="32"/>
          <w:szCs w:val="32"/>
          <w:highlight w:val="none"/>
        </w:rPr>
        <w:sectPr>
          <w:pgSz w:w="11906" w:h="16838"/>
          <w:pgMar w:top="1440" w:right="1800" w:bottom="1440" w:left="1800" w:header="851" w:footer="992" w:gutter="0"/>
          <w:pgNumType w:fmt="decimal"/>
          <w:cols w:space="720" w:num="1"/>
          <w:docGrid w:type="lines" w:linePitch="312" w:charSpace="0"/>
        </w:sectPr>
      </w:pPr>
    </w:p>
    <w:p w14:paraId="44D48135">
      <w:pPr>
        <w:spacing w:line="360" w:lineRule="auto"/>
        <w:jc w:val="center"/>
        <w:outlineLvl w:val="0"/>
        <w:rPr>
          <w:rFonts w:hint="eastAsia" w:ascii="宋体" w:hAnsi="宋体" w:eastAsia="宋体" w:cs="宋体"/>
          <w:b/>
          <w:color w:val="auto"/>
          <w:sz w:val="24"/>
          <w:szCs w:val="24"/>
          <w:highlight w:val="none"/>
          <w:lang w:eastAsia="zh-CN"/>
        </w:rPr>
      </w:pPr>
      <w:bookmarkStart w:id="163" w:name="_Toc397702934"/>
      <w:bookmarkStart w:id="164" w:name="_Toc1713"/>
      <w:bookmarkStart w:id="165" w:name="_Toc9158"/>
      <w:r>
        <w:rPr>
          <w:rFonts w:hint="eastAsia" w:ascii="宋体" w:hAnsi="宋体" w:eastAsia="宋体" w:cs="宋体"/>
          <w:b/>
          <w:bCs/>
          <w:color w:val="auto"/>
          <w:sz w:val="32"/>
          <w:szCs w:val="32"/>
          <w:highlight w:val="none"/>
        </w:rPr>
        <w:t>第四章</w:t>
      </w:r>
      <w:r>
        <w:rPr>
          <w:rFonts w:hint="default" w:ascii="宋体" w:hAnsi="宋体" w:cs="宋体"/>
          <w:b/>
          <w:bCs/>
          <w:color w:val="auto"/>
          <w:sz w:val="32"/>
          <w:szCs w:val="32"/>
          <w:highlight w:val="none"/>
        </w:rPr>
        <w:t xml:space="preserve">  </w:t>
      </w:r>
      <w:r>
        <w:rPr>
          <w:rFonts w:hint="eastAsia" w:ascii="宋体" w:hAnsi="宋体" w:cs="宋体"/>
          <w:b/>
          <w:color w:val="auto"/>
          <w:sz w:val="32"/>
          <w:szCs w:val="32"/>
          <w:highlight w:val="none"/>
          <w:lang w:eastAsia="zh-CN"/>
        </w:rPr>
        <w:t>采购合同</w:t>
      </w:r>
      <w:bookmarkEnd w:id="163"/>
      <w:bookmarkEnd w:id="164"/>
      <w:bookmarkEnd w:id="165"/>
    </w:p>
    <w:tbl>
      <w:tblPr>
        <w:tblStyle w:val="12"/>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14:paraId="57F6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99" w:type="dxa"/>
            <w:noWrap w:val="0"/>
            <w:vAlign w:val="top"/>
          </w:tcPr>
          <w:p w14:paraId="7AEDAA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0BD6DE0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但不得与招标文件、投标文件的实质性内容相背离。</w:t>
            </w:r>
          </w:p>
        </w:tc>
      </w:tr>
    </w:tbl>
    <w:p w14:paraId="470B768A">
      <w:pPr>
        <w:spacing w:line="360" w:lineRule="auto"/>
        <w:ind w:left="-28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4DE370BF">
      <w:pPr>
        <w:spacing w:line="360" w:lineRule="auto"/>
        <w:ind w:left="-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合同号：</w:t>
      </w:r>
    </w:p>
    <w:p w14:paraId="3AE4DB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甲方(采购人)：                            签定地点：                   </w:t>
      </w:r>
    </w:p>
    <w:p w14:paraId="4A37A2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乙方（中标供应商）：               签定日期：      年   月   日</w:t>
      </w:r>
    </w:p>
    <w:p w14:paraId="7822F7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招标代理机构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进行招标采购（招标编号：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）的招标结果，乙方为中标供应商，现依照招标文件、投标文件及有关法律、法规、规章规定的内容，双方达成如下协议：</w:t>
      </w:r>
    </w:p>
    <w:p w14:paraId="0E0A67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1、合同标的和合同价格</w:t>
      </w:r>
    </w:p>
    <w:tbl>
      <w:tblPr>
        <w:tblStyle w:val="1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14:paraId="0E3B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49751DC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47420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1BA5F4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B2D0B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B4F4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65E24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720D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5F33F563">
            <w:pPr>
              <w:spacing w:line="360" w:lineRule="auto"/>
              <w:rPr>
                <w:rFonts w:hint="eastAsia" w:ascii="宋体" w:hAnsi="宋体" w:eastAsia="宋体" w:cs="宋体"/>
                <w:color w:val="auto"/>
                <w:sz w:val="24"/>
                <w:szCs w:val="24"/>
                <w:highlight w:val="none"/>
              </w:rPr>
            </w:pPr>
          </w:p>
          <w:p w14:paraId="5F4A2D57">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A732EC3">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0DC32719">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50614F11">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2BC0DD7">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E0C0A6F">
            <w:pPr>
              <w:spacing w:line="360" w:lineRule="auto"/>
              <w:rPr>
                <w:rFonts w:hint="eastAsia" w:ascii="宋体" w:hAnsi="宋体" w:eastAsia="宋体" w:cs="宋体"/>
                <w:color w:val="auto"/>
                <w:sz w:val="24"/>
                <w:szCs w:val="24"/>
                <w:highlight w:val="none"/>
              </w:rPr>
            </w:pPr>
          </w:p>
        </w:tc>
      </w:tr>
      <w:tr w14:paraId="178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65B5B6EF">
            <w:pPr>
              <w:spacing w:line="360" w:lineRule="auto"/>
              <w:rPr>
                <w:rFonts w:hint="eastAsia" w:ascii="宋体" w:hAnsi="宋体" w:eastAsia="宋体" w:cs="宋体"/>
                <w:color w:val="auto"/>
                <w:sz w:val="24"/>
                <w:szCs w:val="24"/>
                <w:highlight w:val="none"/>
              </w:rPr>
            </w:pPr>
          </w:p>
          <w:p w14:paraId="23D61CD2">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41824AC">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AFE30A7">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5884B785">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735BC7F">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700BA264">
            <w:pPr>
              <w:spacing w:line="360" w:lineRule="auto"/>
              <w:rPr>
                <w:rFonts w:hint="eastAsia" w:ascii="宋体" w:hAnsi="宋体" w:eastAsia="宋体" w:cs="宋体"/>
                <w:color w:val="auto"/>
                <w:sz w:val="24"/>
                <w:szCs w:val="24"/>
                <w:highlight w:val="none"/>
              </w:rPr>
            </w:pPr>
          </w:p>
        </w:tc>
      </w:tr>
      <w:tr w14:paraId="4F6E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003930C9">
            <w:pPr>
              <w:spacing w:line="360" w:lineRule="auto"/>
              <w:rPr>
                <w:rFonts w:hint="eastAsia" w:ascii="宋体" w:hAnsi="宋体" w:eastAsia="宋体" w:cs="宋体"/>
                <w:color w:val="auto"/>
                <w:sz w:val="24"/>
                <w:szCs w:val="24"/>
                <w:highlight w:val="none"/>
              </w:rPr>
            </w:pPr>
          </w:p>
          <w:p w14:paraId="45630DB1">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119A227">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400E92B9">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D0B3FC0">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471C3A3">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0AC3B872">
            <w:pPr>
              <w:spacing w:line="360" w:lineRule="auto"/>
              <w:rPr>
                <w:rFonts w:hint="eastAsia" w:ascii="宋体" w:hAnsi="宋体" w:eastAsia="宋体" w:cs="宋体"/>
                <w:color w:val="auto"/>
                <w:sz w:val="24"/>
                <w:szCs w:val="24"/>
                <w:highlight w:val="none"/>
              </w:rPr>
            </w:pPr>
          </w:p>
        </w:tc>
      </w:tr>
      <w:tr w14:paraId="1817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12BC51C3">
            <w:pPr>
              <w:spacing w:line="360" w:lineRule="auto"/>
              <w:rPr>
                <w:rFonts w:hint="eastAsia" w:ascii="宋体" w:hAnsi="宋体" w:eastAsia="宋体" w:cs="宋体"/>
                <w:color w:val="auto"/>
                <w:sz w:val="24"/>
                <w:szCs w:val="24"/>
                <w:highlight w:val="none"/>
              </w:rPr>
            </w:pPr>
          </w:p>
          <w:p w14:paraId="1BE9FAEA">
            <w:pPr>
              <w:spacing w:line="360" w:lineRule="auto"/>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76AA8D4">
            <w:pPr>
              <w:spacing w:line="360" w:lineRule="auto"/>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F187C47">
            <w:pPr>
              <w:spacing w:line="360" w:lineRule="auto"/>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696BB9A8">
            <w:pPr>
              <w:spacing w:line="360" w:lineRule="auto"/>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C256A89">
            <w:pPr>
              <w:spacing w:line="360" w:lineRule="auto"/>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692EC95E">
            <w:pPr>
              <w:spacing w:line="360" w:lineRule="auto"/>
              <w:rPr>
                <w:rFonts w:hint="eastAsia" w:ascii="宋体" w:hAnsi="宋体" w:eastAsia="宋体" w:cs="宋体"/>
                <w:color w:val="auto"/>
                <w:sz w:val="24"/>
                <w:szCs w:val="24"/>
                <w:highlight w:val="none"/>
              </w:rPr>
            </w:pPr>
          </w:p>
        </w:tc>
      </w:tr>
    </w:tbl>
    <w:p w14:paraId="20FF83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p>
    <w:p w14:paraId="20A8AC42">
      <w:pPr>
        <w:spacing w:line="360" w:lineRule="auto"/>
        <w:rPr>
          <w:rFonts w:hint="eastAsia" w:ascii="宋体" w:hAnsi="宋体" w:eastAsia="宋体" w:cs="宋体"/>
          <w:color w:val="auto"/>
          <w:sz w:val="24"/>
          <w:szCs w:val="24"/>
          <w:highlight w:val="none"/>
        </w:rPr>
      </w:pPr>
    </w:p>
    <w:p w14:paraId="7133A1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3、项目清单：</w:t>
      </w:r>
    </w:p>
    <w:p w14:paraId="140D790A">
      <w:pPr>
        <w:spacing w:line="360" w:lineRule="auto"/>
        <w:rPr>
          <w:rFonts w:hint="eastAsia" w:ascii="宋体" w:hAnsi="宋体" w:eastAsia="宋体" w:cs="宋体"/>
          <w:color w:val="auto"/>
          <w:sz w:val="24"/>
          <w:szCs w:val="24"/>
          <w:highlight w:val="none"/>
        </w:rPr>
      </w:pPr>
    </w:p>
    <w:p w14:paraId="57C173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4、付款方式与条件：</w:t>
      </w:r>
    </w:p>
    <w:p w14:paraId="3B413423">
      <w:pPr>
        <w:spacing w:line="360" w:lineRule="auto"/>
        <w:rPr>
          <w:rFonts w:hint="eastAsia" w:ascii="宋体" w:hAnsi="宋体" w:eastAsia="宋体" w:cs="宋体"/>
          <w:color w:val="auto"/>
          <w:sz w:val="24"/>
          <w:szCs w:val="24"/>
          <w:highlight w:val="none"/>
        </w:rPr>
      </w:pPr>
    </w:p>
    <w:p w14:paraId="0A2278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5、质量要求和技术标准：</w:t>
      </w:r>
    </w:p>
    <w:p w14:paraId="08214EBC">
      <w:pPr>
        <w:spacing w:line="360" w:lineRule="auto"/>
        <w:rPr>
          <w:rFonts w:hint="eastAsia" w:ascii="宋体" w:hAnsi="宋体" w:eastAsia="宋体" w:cs="宋体"/>
          <w:color w:val="auto"/>
          <w:sz w:val="24"/>
          <w:szCs w:val="24"/>
          <w:highlight w:val="none"/>
        </w:rPr>
      </w:pPr>
    </w:p>
    <w:p w14:paraId="75ABDC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6、技术服务、人员培训及技术资料</w:t>
      </w:r>
    </w:p>
    <w:p w14:paraId="28C164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（技术服务、人员培训及技术资料应按招标文件要求填列。）</w:t>
      </w:r>
    </w:p>
    <w:p w14:paraId="4B4C04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7、验收</w:t>
      </w:r>
    </w:p>
    <w:p w14:paraId="79DD27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（项目验收标准和方法应按招标文件要求填列。）验收结果经双方确认后，双方代表必须按规定的验收交接单上的项目对照本合同填好验收结果并签名盖章。</w:t>
      </w:r>
    </w:p>
    <w:p w14:paraId="17B089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8、质量保证</w:t>
      </w:r>
    </w:p>
    <w:p w14:paraId="72063F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在服务期内，乙方在接到甲方故障通知后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小时内无法排除故障，则应先提供同档次备用机供甲方使用。其中发生一切费用由乙方承担。</w:t>
      </w:r>
    </w:p>
    <w:p w14:paraId="4D82D7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9、知识产权：</w:t>
      </w:r>
    </w:p>
    <w:p w14:paraId="60CC42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2CD3DF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10、违约责任</w:t>
      </w:r>
    </w:p>
    <w:p w14:paraId="5F58365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10.1未按期交货的违约责任：</w:t>
      </w:r>
    </w:p>
    <w:p w14:paraId="0918D553">
      <w:pPr>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512B5E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11、违约终止合同</w:t>
      </w:r>
    </w:p>
    <w:p w14:paraId="3DF3D6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4DF986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11.1.1如果乙方未能在合同规定的期限内或双方另行确定的延期交货时间内交付合同约定的服务。</w:t>
      </w:r>
    </w:p>
    <w:p w14:paraId="5A6C0F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11.1.2乙方未能履行合同项下的任何其它义务。</w:t>
      </w:r>
    </w:p>
    <w:p w14:paraId="4497EAB1">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12、不可抗力</w:t>
      </w:r>
    </w:p>
    <w:p w14:paraId="1B5BA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26C878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7EAF6402">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13、合同纠纷处理方式：因本合同或与本合同有关的一切事项发生争议，由双方友好协商解决。协商不成的，任何一方均可选择以下任一方式解决：</w:t>
      </w:r>
    </w:p>
    <w:p w14:paraId="4E5962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）向 </w:t>
      </w:r>
      <w:r>
        <w:rPr>
          <w:rFonts w:hint="eastAsia" w:ascii="宋体" w:hAnsi="宋体" w:eastAsia="宋体" w:cs="宋体"/>
          <w:color w:val="auto"/>
          <w:sz w:val="24"/>
          <w:szCs w:val="24"/>
          <w:highlight w:val="none"/>
          <w:u w:val="single"/>
        </w:rPr>
        <w:t xml:space="preserve">      （甲方所在地）</w:t>
      </w:r>
      <w:r>
        <w:rPr>
          <w:rFonts w:hint="eastAsia" w:ascii="宋体" w:hAnsi="宋体" w:eastAsia="宋体" w:cs="宋体"/>
          <w:color w:val="auto"/>
          <w:sz w:val="24"/>
          <w:szCs w:val="24"/>
          <w:highlight w:val="none"/>
        </w:rPr>
        <w:t>仲裁委员会申请仲裁；</w:t>
      </w:r>
    </w:p>
    <w:p w14:paraId="380463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）向有管辖权的人民法院提起诉讼。</w:t>
      </w:r>
    </w:p>
    <w:p w14:paraId="5FE6BA6B">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14、其他约定</w:t>
      </w:r>
    </w:p>
    <w:p w14:paraId="008FC43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14.1本采购项目的招标文件、中标供应商的投标文件以及相关的澄清确认函（如果有的话）均为本合同不可分割的一部分，与本合同具有同等法律效力。</w:t>
      </w:r>
    </w:p>
    <w:p w14:paraId="36FFD8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14.2本合同未尽事宜，双方另行补充。</w:t>
      </w:r>
    </w:p>
    <w:p w14:paraId="18FE60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14.3本合同一式四份，经双方授权代表签字并加盖公章后生效。甲方、乙方各执一份，送政府采购管理办公室、招标代理机构各备案一份，具有同等效力。</w:t>
      </w:r>
    </w:p>
    <w:p w14:paraId="65D8D67C">
      <w:pPr>
        <w:spacing w:line="360" w:lineRule="auto"/>
        <w:rPr>
          <w:rFonts w:hint="eastAsia" w:ascii="宋体" w:hAnsi="宋体" w:eastAsia="宋体" w:cs="宋体"/>
          <w:color w:val="auto"/>
          <w:sz w:val="24"/>
          <w:szCs w:val="24"/>
          <w:highlight w:val="none"/>
        </w:rPr>
      </w:pPr>
    </w:p>
    <w:p w14:paraId="600BA283">
      <w:pPr>
        <w:spacing w:line="360" w:lineRule="auto"/>
        <w:rPr>
          <w:rFonts w:hint="eastAsia" w:ascii="宋体" w:hAnsi="宋体" w:eastAsia="宋体" w:cs="宋体"/>
          <w:color w:val="auto"/>
          <w:sz w:val="24"/>
          <w:szCs w:val="24"/>
          <w:highlight w:val="none"/>
        </w:rPr>
      </w:pPr>
    </w:p>
    <w:p w14:paraId="4B79E8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5C8177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68126B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3BE9E0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0DC61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46BAD7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D306CAE">
      <w:pPr>
        <w:spacing w:line="360" w:lineRule="auto"/>
        <w:ind w:left="-283" w:leftChars="-135" w:firstLine="240" w:firstLineChars="100"/>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账    号：                            账    号：</w:t>
      </w:r>
    </w:p>
    <w:p w14:paraId="6534DBA6">
      <w:pPr>
        <w:pStyle w:val="3"/>
        <w:spacing w:line="360" w:lineRule="auto"/>
        <w:ind w:left="0" w:leftChars="0" w:firstLine="0" w:firstLineChars="0"/>
        <w:jc w:val="center"/>
        <w:outlineLvl w:val="0"/>
        <w:rPr>
          <w:rFonts w:hint="eastAsia" w:ascii="宋体" w:hAnsi="宋体" w:eastAsia="宋体" w:cs="宋体"/>
          <w:b/>
          <w:bCs/>
          <w:color w:val="auto"/>
          <w:sz w:val="24"/>
          <w:szCs w:val="24"/>
          <w:highlight w:val="none"/>
        </w:rPr>
      </w:pPr>
      <w:bookmarkStart w:id="166" w:name="_Toc1949316674"/>
      <w:bookmarkStart w:id="167" w:name="_Toc26545"/>
      <w:bookmarkStart w:id="168" w:name="_Toc13699"/>
      <w:r>
        <w:rPr>
          <w:rFonts w:hint="eastAsia" w:ascii="宋体" w:hAnsi="宋体" w:eastAsia="宋体" w:cs="宋体"/>
          <w:b/>
          <w:bCs/>
          <w:color w:val="auto"/>
          <w:sz w:val="32"/>
          <w:szCs w:val="32"/>
          <w:highlight w:val="none"/>
        </w:rPr>
        <w:t>第五章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投标文件格式</w:t>
      </w:r>
      <w:bookmarkEnd w:id="166"/>
      <w:bookmarkEnd w:id="167"/>
      <w:bookmarkEnd w:id="168"/>
    </w:p>
    <w:tbl>
      <w:tblPr>
        <w:tblStyle w:val="12"/>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0E81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1D0D3B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4F47E169">
            <w:pPr>
              <w:spacing w:line="360" w:lineRule="auto"/>
              <w:ind w:right="13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《投标文件格式》是投标人的部分投标文件格式和签订合同时所需文件的格式。投标人应参照这些格式文件制作投标文件，否则后果由投标人自行承担。</w:t>
            </w:r>
          </w:p>
        </w:tc>
      </w:tr>
    </w:tbl>
    <w:p w14:paraId="7B0D2D65">
      <w:pPr>
        <w:pStyle w:val="3"/>
        <w:spacing w:line="360" w:lineRule="auto"/>
        <w:rPr>
          <w:rFonts w:hint="eastAsia" w:ascii="宋体" w:hAnsi="宋体" w:eastAsia="宋体" w:cs="宋体"/>
          <w:b/>
          <w:bCs/>
          <w:color w:val="auto"/>
          <w:sz w:val="24"/>
          <w:szCs w:val="24"/>
          <w:highlight w:val="none"/>
        </w:rPr>
      </w:pPr>
    </w:p>
    <w:p w14:paraId="3AFD5D2F">
      <w:pPr>
        <w:pStyle w:val="3"/>
        <w:spacing w:line="360" w:lineRule="auto"/>
        <w:rPr>
          <w:rFonts w:hint="eastAsia" w:ascii="宋体" w:hAnsi="宋体" w:eastAsia="宋体" w:cs="宋体"/>
          <w:b/>
          <w:bCs/>
          <w:color w:val="auto"/>
          <w:sz w:val="24"/>
          <w:szCs w:val="24"/>
          <w:highlight w:val="none"/>
        </w:rPr>
      </w:pPr>
    </w:p>
    <w:p w14:paraId="384ABDEC">
      <w:pPr>
        <w:pStyle w:val="3"/>
        <w:spacing w:line="360" w:lineRule="auto"/>
        <w:rPr>
          <w:rFonts w:hint="eastAsia" w:ascii="宋体" w:hAnsi="宋体" w:eastAsia="宋体" w:cs="宋体"/>
          <w:b/>
          <w:bCs/>
          <w:color w:val="auto"/>
          <w:sz w:val="24"/>
          <w:szCs w:val="24"/>
          <w:highlight w:val="none"/>
        </w:rPr>
      </w:pPr>
    </w:p>
    <w:p w14:paraId="250B167C">
      <w:pPr>
        <w:pStyle w:val="3"/>
        <w:spacing w:line="360" w:lineRule="auto"/>
        <w:rPr>
          <w:rFonts w:hint="eastAsia" w:ascii="宋体" w:hAnsi="宋体" w:eastAsia="宋体" w:cs="宋体"/>
          <w:b/>
          <w:bCs/>
          <w:color w:val="auto"/>
          <w:sz w:val="24"/>
          <w:szCs w:val="24"/>
          <w:highlight w:val="none"/>
        </w:rPr>
      </w:pPr>
    </w:p>
    <w:p w14:paraId="447779FA">
      <w:pPr>
        <w:pStyle w:val="3"/>
        <w:spacing w:line="360" w:lineRule="auto"/>
        <w:rPr>
          <w:rFonts w:hint="eastAsia" w:ascii="宋体" w:hAnsi="宋体" w:eastAsia="宋体" w:cs="宋体"/>
          <w:b/>
          <w:bCs/>
          <w:color w:val="auto"/>
          <w:sz w:val="24"/>
          <w:szCs w:val="24"/>
          <w:highlight w:val="none"/>
        </w:rPr>
      </w:pPr>
    </w:p>
    <w:p w14:paraId="3198DA01">
      <w:pPr>
        <w:pStyle w:val="3"/>
        <w:spacing w:line="360" w:lineRule="auto"/>
        <w:rPr>
          <w:rFonts w:hint="eastAsia" w:ascii="宋体" w:hAnsi="宋体" w:eastAsia="宋体" w:cs="宋体"/>
          <w:b/>
          <w:bCs/>
          <w:color w:val="auto"/>
          <w:sz w:val="24"/>
          <w:szCs w:val="24"/>
          <w:highlight w:val="none"/>
        </w:rPr>
      </w:pPr>
    </w:p>
    <w:p w14:paraId="43A8447F">
      <w:pPr>
        <w:pStyle w:val="3"/>
        <w:spacing w:line="360" w:lineRule="auto"/>
        <w:rPr>
          <w:rFonts w:hint="eastAsia" w:ascii="宋体" w:hAnsi="宋体" w:eastAsia="宋体" w:cs="宋体"/>
          <w:b/>
          <w:bCs/>
          <w:color w:val="auto"/>
          <w:sz w:val="24"/>
          <w:szCs w:val="24"/>
          <w:highlight w:val="none"/>
        </w:rPr>
      </w:pPr>
    </w:p>
    <w:p w14:paraId="118F6B45">
      <w:pPr>
        <w:pStyle w:val="3"/>
        <w:spacing w:line="360" w:lineRule="auto"/>
        <w:rPr>
          <w:rFonts w:hint="eastAsia" w:ascii="宋体" w:hAnsi="宋体" w:eastAsia="宋体" w:cs="宋体"/>
          <w:b/>
          <w:bCs/>
          <w:color w:val="auto"/>
          <w:sz w:val="24"/>
          <w:szCs w:val="24"/>
          <w:highlight w:val="none"/>
        </w:rPr>
      </w:pPr>
    </w:p>
    <w:p w14:paraId="66406044">
      <w:pPr>
        <w:pStyle w:val="3"/>
        <w:spacing w:line="360" w:lineRule="auto"/>
        <w:rPr>
          <w:rFonts w:hint="eastAsia" w:ascii="宋体" w:hAnsi="宋体" w:eastAsia="宋体" w:cs="宋体"/>
          <w:b/>
          <w:bCs/>
          <w:color w:val="auto"/>
          <w:sz w:val="24"/>
          <w:szCs w:val="24"/>
          <w:highlight w:val="none"/>
        </w:rPr>
      </w:pPr>
    </w:p>
    <w:p w14:paraId="54793640">
      <w:pPr>
        <w:pStyle w:val="3"/>
        <w:spacing w:line="360" w:lineRule="auto"/>
        <w:rPr>
          <w:rFonts w:hint="eastAsia" w:ascii="宋体" w:hAnsi="宋体" w:eastAsia="宋体" w:cs="宋体"/>
          <w:b/>
          <w:bCs/>
          <w:color w:val="auto"/>
          <w:sz w:val="24"/>
          <w:szCs w:val="24"/>
          <w:highlight w:val="none"/>
        </w:rPr>
      </w:pPr>
    </w:p>
    <w:p w14:paraId="0DBB550F">
      <w:pPr>
        <w:pStyle w:val="3"/>
        <w:spacing w:line="360" w:lineRule="auto"/>
        <w:rPr>
          <w:rFonts w:hint="eastAsia" w:ascii="宋体" w:hAnsi="宋体" w:eastAsia="宋体" w:cs="宋体"/>
          <w:b/>
          <w:bCs/>
          <w:color w:val="auto"/>
          <w:sz w:val="24"/>
          <w:szCs w:val="24"/>
          <w:highlight w:val="none"/>
        </w:rPr>
      </w:pPr>
    </w:p>
    <w:p w14:paraId="7376AD82">
      <w:pPr>
        <w:pStyle w:val="3"/>
        <w:spacing w:line="360" w:lineRule="auto"/>
        <w:rPr>
          <w:rFonts w:hint="eastAsia" w:ascii="宋体" w:hAnsi="宋体" w:eastAsia="宋体" w:cs="宋体"/>
          <w:b/>
          <w:bCs/>
          <w:color w:val="auto"/>
          <w:sz w:val="24"/>
          <w:szCs w:val="24"/>
          <w:highlight w:val="none"/>
        </w:rPr>
      </w:pPr>
    </w:p>
    <w:p w14:paraId="74D170F5">
      <w:pPr>
        <w:pStyle w:val="3"/>
        <w:spacing w:line="360" w:lineRule="auto"/>
        <w:rPr>
          <w:rFonts w:hint="eastAsia" w:ascii="宋体" w:hAnsi="宋体" w:eastAsia="宋体" w:cs="宋体"/>
          <w:b/>
          <w:bCs/>
          <w:color w:val="auto"/>
          <w:sz w:val="24"/>
          <w:szCs w:val="24"/>
          <w:highlight w:val="none"/>
        </w:rPr>
      </w:pPr>
    </w:p>
    <w:p w14:paraId="57FBDDAC">
      <w:pPr>
        <w:pStyle w:val="3"/>
        <w:spacing w:line="360" w:lineRule="auto"/>
        <w:rPr>
          <w:rFonts w:hint="eastAsia" w:ascii="宋体" w:hAnsi="宋体" w:eastAsia="宋体" w:cs="宋体"/>
          <w:b/>
          <w:bCs/>
          <w:color w:val="auto"/>
          <w:sz w:val="24"/>
          <w:szCs w:val="24"/>
          <w:highlight w:val="none"/>
        </w:rPr>
      </w:pPr>
    </w:p>
    <w:p w14:paraId="2D3FF9A5">
      <w:pPr>
        <w:pStyle w:val="3"/>
        <w:spacing w:line="360" w:lineRule="auto"/>
        <w:rPr>
          <w:rFonts w:hint="eastAsia" w:ascii="宋体" w:hAnsi="宋体" w:eastAsia="宋体" w:cs="宋体"/>
          <w:b/>
          <w:bCs/>
          <w:color w:val="auto"/>
          <w:sz w:val="24"/>
          <w:szCs w:val="24"/>
          <w:highlight w:val="none"/>
        </w:rPr>
      </w:pPr>
    </w:p>
    <w:p w14:paraId="284CE321">
      <w:pPr>
        <w:pStyle w:val="3"/>
        <w:spacing w:line="360" w:lineRule="auto"/>
        <w:rPr>
          <w:rFonts w:hint="eastAsia" w:ascii="宋体" w:hAnsi="宋体" w:eastAsia="宋体" w:cs="宋体"/>
          <w:b/>
          <w:bCs/>
          <w:color w:val="auto"/>
          <w:sz w:val="24"/>
          <w:szCs w:val="24"/>
          <w:highlight w:val="none"/>
        </w:rPr>
      </w:pPr>
    </w:p>
    <w:p w14:paraId="1AF11443">
      <w:pPr>
        <w:pStyle w:val="3"/>
        <w:spacing w:line="360" w:lineRule="auto"/>
        <w:rPr>
          <w:rFonts w:hint="eastAsia" w:ascii="宋体" w:hAnsi="宋体" w:eastAsia="宋体" w:cs="宋体"/>
          <w:b/>
          <w:bCs/>
          <w:color w:val="auto"/>
          <w:sz w:val="24"/>
          <w:szCs w:val="24"/>
          <w:highlight w:val="none"/>
        </w:rPr>
      </w:pPr>
    </w:p>
    <w:p w14:paraId="6BDF8724">
      <w:pPr>
        <w:pStyle w:val="3"/>
        <w:spacing w:line="360" w:lineRule="auto"/>
        <w:rPr>
          <w:rFonts w:hint="eastAsia" w:ascii="宋体" w:hAnsi="宋体" w:eastAsia="宋体" w:cs="宋体"/>
          <w:b/>
          <w:bCs/>
          <w:color w:val="auto"/>
          <w:sz w:val="24"/>
          <w:szCs w:val="24"/>
          <w:highlight w:val="none"/>
        </w:rPr>
      </w:pPr>
    </w:p>
    <w:p w14:paraId="22585042">
      <w:pPr>
        <w:pStyle w:val="3"/>
        <w:spacing w:line="360" w:lineRule="auto"/>
        <w:rPr>
          <w:rFonts w:hint="eastAsia" w:ascii="宋体" w:hAnsi="宋体" w:eastAsia="宋体" w:cs="宋体"/>
          <w:b/>
          <w:bCs/>
          <w:color w:val="auto"/>
          <w:sz w:val="24"/>
          <w:szCs w:val="24"/>
          <w:highlight w:val="none"/>
        </w:rPr>
      </w:pPr>
    </w:p>
    <w:p w14:paraId="0946171B">
      <w:pPr>
        <w:pStyle w:val="3"/>
        <w:spacing w:line="360" w:lineRule="auto"/>
        <w:rPr>
          <w:rFonts w:ascii="宋体" w:hAnsi="宋体"/>
          <w:b/>
          <w:bCs/>
          <w:color w:val="auto"/>
          <w:sz w:val="36"/>
          <w:highlight w:val="none"/>
        </w:rPr>
      </w:pPr>
    </w:p>
    <w:p w14:paraId="4E3FDAE6">
      <w:pPr>
        <w:spacing w:line="360" w:lineRule="auto"/>
        <w:jc w:val="center"/>
        <w:rPr>
          <w:rFonts w:ascii="宋体" w:hAnsi="宋体"/>
          <w:b/>
          <w:color w:val="auto"/>
          <w:sz w:val="72"/>
          <w:highlight w:val="none"/>
        </w:rPr>
      </w:pPr>
    </w:p>
    <w:p w14:paraId="28E73317">
      <w:pPr>
        <w:spacing w:line="360" w:lineRule="auto"/>
        <w:jc w:val="center"/>
        <w:rPr>
          <w:rFonts w:ascii="宋体" w:hAnsi="宋体"/>
          <w:b/>
          <w:color w:val="auto"/>
          <w:sz w:val="72"/>
          <w:highlight w:val="none"/>
        </w:rPr>
      </w:pPr>
    </w:p>
    <w:p w14:paraId="5F34F311">
      <w:pPr>
        <w:spacing w:line="360" w:lineRule="auto"/>
        <w:jc w:val="center"/>
        <w:rPr>
          <w:rFonts w:ascii="宋体" w:hAnsi="宋体"/>
          <w:b/>
          <w:color w:val="auto"/>
          <w:sz w:val="72"/>
          <w:highlight w:val="none"/>
        </w:rPr>
      </w:pPr>
      <w:r>
        <w:rPr>
          <w:rFonts w:hint="eastAsia" w:ascii="宋体" w:hAnsi="宋体"/>
          <w:b/>
          <w:color w:val="auto"/>
          <w:sz w:val="72"/>
          <w:highlight w:val="none"/>
        </w:rPr>
        <w:t>投</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650CA5B8">
      <w:pPr>
        <w:spacing w:line="360" w:lineRule="auto"/>
        <w:rPr>
          <w:rFonts w:ascii="宋体" w:hAnsi="宋体"/>
          <w:b/>
          <w:color w:val="auto"/>
          <w:sz w:val="36"/>
          <w:highlight w:val="none"/>
        </w:rPr>
      </w:pPr>
    </w:p>
    <w:p w14:paraId="1EF8812A">
      <w:pPr>
        <w:spacing w:line="360" w:lineRule="auto"/>
        <w:jc w:val="center"/>
        <w:rPr>
          <w:rFonts w:ascii="宋体" w:hAnsi="宋体"/>
          <w:b/>
          <w:color w:val="auto"/>
          <w:sz w:val="36"/>
          <w:highlight w:val="none"/>
        </w:rPr>
      </w:pPr>
    </w:p>
    <w:p w14:paraId="5DCB8A0D">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w:t>
      </w:r>
      <w:r>
        <w:rPr>
          <w:rFonts w:ascii="宋体" w:hAnsi="宋体"/>
          <w:b/>
          <w:color w:val="auto"/>
          <w:sz w:val="36"/>
          <w:highlight w:val="none"/>
          <w:u w:val="single"/>
        </w:rPr>
        <w:t xml:space="preserve">               </w:t>
      </w:r>
    </w:p>
    <w:p w14:paraId="17EBB40B">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ascii="宋体" w:hAnsi="宋体"/>
          <w:b/>
          <w:color w:val="auto"/>
          <w:sz w:val="36"/>
          <w:highlight w:val="none"/>
          <w:u w:val="single"/>
        </w:rPr>
        <w:t xml:space="preserve">               </w:t>
      </w:r>
    </w:p>
    <w:p w14:paraId="7BC384A0">
      <w:pPr>
        <w:spacing w:line="360" w:lineRule="auto"/>
        <w:rPr>
          <w:rFonts w:ascii="宋体" w:hAnsi="宋体"/>
          <w:b/>
          <w:color w:val="auto"/>
          <w:sz w:val="36"/>
          <w:highlight w:val="none"/>
        </w:rPr>
      </w:pPr>
    </w:p>
    <w:p w14:paraId="52C6816E">
      <w:pPr>
        <w:spacing w:line="360" w:lineRule="auto"/>
        <w:rPr>
          <w:rFonts w:ascii="宋体" w:hAnsi="宋体"/>
          <w:b/>
          <w:color w:val="auto"/>
          <w:sz w:val="36"/>
          <w:highlight w:val="none"/>
        </w:rPr>
      </w:pPr>
    </w:p>
    <w:p w14:paraId="311D06FA">
      <w:pPr>
        <w:spacing w:line="360" w:lineRule="auto"/>
        <w:rPr>
          <w:rFonts w:ascii="宋体" w:hAnsi="宋体"/>
          <w:b/>
          <w:color w:val="auto"/>
          <w:sz w:val="36"/>
          <w:highlight w:val="none"/>
        </w:rPr>
      </w:pPr>
    </w:p>
    <w:p w14:paraId="59A0C351">
      <w:pPr>
        <w:spacing w:line="360" w:lineRule="auto"/>
        <w:rPr>
          <w:rFonts w:ascii="宋体" w:hAnsi="宋体"/>
          <w:b/>
          <w:color w:val="auto"/>
          <w:sz w:val="36"/>
          <w:highlight w:val="none"/>
        </w:rPr>
      </w:pPr>
    </w:p>
    <w:p w14:paraId="3849717A">
      <w:pPr>
        <w:spacing w:line="360" w:lineRule="auto"/>
        <w:rPr>
          <w:rFonts w:ascii="宋体" w:hAnsi="宋体"/>
          <w:b/>
          <w:color w:val="auto"/>
          <w:sz w:val="36"/>
          <w:highlight w:val="none"/>
        </w:rPr>
      </w:pPr>
    </w:p>
    <w:p w14:paraId="6B096C06">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ascii="宋体" w:hAnsi="宋体"/>
          <w:b/>
          <w:color w:val="auto"/>
          <w:sz w:val="36"/>
          <w:highlight w:val="none"/>
          <w:u w:val="single"/>
        </w:rPr>
        <w:t xml:space="preserve">               </w:t>
      </w:r>
    </w:p>
    <w:p w14:paraId="7F68AA1F">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ascii="宋体" w:hAnsi="宋体"/>
          <w:b/>
          <w:color w:val="auto"/>
          <w:sz w:val="36"/>
          <w:highlight w:val="none"/>
          <w:u w:val="single"/>
        </w:rPr>
        <w:t xml:space="preserve">               </w:t>
      </w:r>
    </w:p>
    <w:p w14:paraId="4EB76B90">
      <w:pPr>
        <w:pStyle w:val="20"/>
        <w:spacing w:line="360" w:lineRule="auto"/>
        <w:outlineLvl w:val="9"/>
        <w:rPr>
          <w:rFonts w:hAnsi="宋体"/>
          <w:b/>
          <w:color w:val="auto"/>
          <w:sz w:val="24"/>
          <w:highlight w:val="none"/>
        </w:rPr>
      </w:pPr>
    </w:p>
    <w:p w14:paraId="60C9004A">
      <w:pPr>
        <w:pStyle w:val="20"/>
        <w:spacing w:line="360" w:lineRule="auto"/>
        <w:outlineLvl w:val="9"/>
        <w:rPr>
          <w:rFonts w:hAnsi="宋体"/>
          <w:b/>
          <w:color w:val="auto"/>
          <w:sz w:val="24"/>
          <w:highlight w:val="none"/>
        </w:rPr>
      </w:pPr>
    </w:p>
    <w:p w14:paraId="0F70E523">
      <w:pPr>
        <w:pStyle w:val="20"/>
        <w:spacing w:line="360" w:lineRule="auto"/>
        <w:outlineLvl w:val="9"/>
        <w:rPr>
          <w:rFonts w:hAnsi="宋体"/>
          <w:b/>
          <w:color w:val="auto"/>
          <w:sz w:val="24"/>
          <w:highlight w:val="none"/>
        </w:rPr>
      </w:pPr>
    </w:p>
    <w:p w14:paraId="443AD8FA">
      <w:pPr>
        <w:pStyle w:val="3"/>
        <w:spacing w:line="360" w:lineRule="auto"/>
        <w:ind w:firstLine="660" w:firstLineChars="275"/>
        <w:rPr>
          <w:rFonts w:ascii="宋体" w:hAnsi="宋体"/>
          <w:color w:val="auto"/>
          <w:sz w:val="24"/>
          <w:szCs w:val="24"/>
          <w:highlight w:val="none"/>
        </w:rPr>
      </w:pPr>
    </w:p>
    <w:p w14:paraId="6D8F8E0F">
      <w:pPr>
        <w:pStyle w:val="3"/>
        <w:spacing w:line="360" w:lineRule="auto"/>
        <w:ind w:firstLine="0" w:firstLineChars="0"/>
        <w:jc w:val="center"/>
        <w:rPr>
          <w:rFonts w:hint="eastAsia" w:ascii="宋体" w:hAnsi="宋体" w:eastAsia="宋体" w:cs="宋体"/>
          <w:b/>
          <w:bCs/>
          <w:color w:val="auto"/>
          <w:sz w:val="32"/>
          <w:szCs w:val="32"/>
          <w:highlight w:val="none"/>
        </w:rPr>
        <w:sectPr>
          <w:headerReference r:id="rId10" w:type="default"/>
          <w:footerReference r:id="rId11" w:type="default"/>
          <w:pgSz w:w="11907" w:h="16840"/>
          <w:pgMar w:top="1361" w:right="1752" w:bottom="1440" w:left="1752" w:header="851" w:footer="992" w:gutter="0"/>
          <w:pgNumType w:fmt="decimal"/>
          <w:cols w:space="720" w:num="1"/>
        </w:sectPr>
      </w:pPr>
    </w:p>
    <w:p w14:paraId="1A6EAF03">
      <w:pPr>
        <w:pStyle w:val="3"/>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目    录</w:t>
      </w:r>
    </w:p>
    <w:p w14:paraId="381C8A7C">
      <w:pPr>
        <w:spacing w:line="360" w:lineRule="auto"/>
        <w:rPr>
          <w:rFonts w:hint="eastAsia" w:ascii="宋体" w:hAnsi="宋体" w:eastAsia="宋体" w:cs="宋体"/>
          <w:color w:val="auto"/>
          <w:sz w:val="24"/>
          <w:szCs w:val="24"/>
          <w:highlight w:val="none"/>
        </w:rPr>
      </w:pPr>
    </w:p>
    <w:p w14:paraId="6B0F7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 标 书</w:t>
      </w:r>
    </w:p>
    <w:p w14:paraId="631DCF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14:paraId="13B508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14:paraId="1E12D6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15D724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项目范围清单 </w:t>
      </w:r>
    </w:p>
    <w:p w14:paraId="4015FD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技术规格和商务响应表</w:t>
      </w:r>
    </w:p>
    <w:p w14:paraId="6844AB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投标人的资格证明文件</w:t>
      </w:r>
    </w:p>
    <w:p w14:paraId="7C92E0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资格声明</w:t>
      </w:r>
    </w:p>
    <w:p w14:paraId="5D055A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投标人的资格声明</w:t>
      </w:r>
    </w:p>
    <w:p w14:paraId="6C90FD20">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793C9482">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14:paraId="1AFF82E0">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7DD53E46">
      <w:pPr>
        <w:spacing w:line="360" w:lineRule="auto"/>
        <w:rPr>
          <w:rFonts w:hint="eastAsia" w:ascii="宋体" w:hAnsi="宋体" w:eastAsia="宋体" w:cs="宋体"/>
          <w:b/>
          <w:color w:val="auto"/>
          <w:sz w:val="24"/>
          <w:szCs w:val="24"/>
          <w:highlight w:val="none"/>
        </w:rPr>
      </w:pPr>
    </w:p>
    <w:p w14:paraId="0FA0834B">
      <w:pPr>
        <w:spacing w:line="360" w:lineRule="auto"/>
        <w:rPr>
          <w:rFonts w:hint="eastAsia" w:ascii="宋体" w:hAnsi="宋体" w:eastAsia="宋体" w:cs="宋体"/>
          <w:b/>
          <w:color w:val="auto"/>
          <w:sz w:val="24"/>
          <w:szCs w:val="24"/>
          <w:highlight w:val="none"/>
        </w:rPr>
      </w:pPr>
    </w:p>
    <w:p w14:paraId="3F839355">
      <w:pPr>
        <w:pStyle w:val="20"/>
        <w:spacing w:line="360" w:lineRule="auto"/>
        <w:jc w:val="left"/>
        <w:outlineLvl w:val="9"/>
        <w:rPr>
          <w:rFonts w:hint="eastAsia" w:hAnsi="宋体" w:eastAsia="宋体" w:cs="宋体"/>
          <w:color w:val="auto"/>
          <w:sz w:val="24"/>
          <w:szCs w:val="24"/>
          <w:highlight w:val="none"/>
        </w:rPr>
      </w:pPr>
    </w:p>
    <w:p w14:paraId="2FFDBC90">
      <w:pPr>
        <w:pStyle w:val="20"/>
        <w:spacing w:line="360" w:lineRule="auto"/>
        <w:jc w:val="left"/>
        <w:outlineLvl w:val="9"/>
        <w:rPr>
          <w:rFonts w:hint="eastAsia" w:hAnsi="宋体" w:eastAsia="宋体" w:cs="宋体"/>
          <w:color w:val="auto"/>
          <w:sz w:val="24"/>
          <w:szCs w:val="24"/>
          <w:highlight w:val="none"/>
        </w:rPr>
      </w:pPr>
    </w:p>
    <w:p w14:paraId="0BE8171B">
      <w:pPr>
        <w:pStyle w:val="20"/>
        <w:spacing w:line="360" w:lineRule="auto"/>
        <w:jc w:val="left"/>
        <w:outlineLvl w:val="9"/>
        <w:rPr>
          <w:rFonts w:hint="eastAsia" w:hAnsi="宋体" w:eastAsia="宋体" w:cs="宋体"/>
          <w:color w:val="auto"/>
          <w:sz w:val="24"/>
          <w:szCs w:val="24"/>
          <w:highlight w:val="none"/>
        </w:rPr>
      </w:pPr>
    </w:p>
    <w:p w14:paraId="631DE494">
      <w:pPr>
        <w:pStyle w:val="20"/>
        <w:spacing w:line="360" w:lineRule="auto"/>
        <w:jc w:val="left"/>
        <w:outlineLvl w:val="9"/>
        <w:rPr>
          <w:rFonts w:hint="eastAsia" w:hAnsi="宋体" w:eastAsia="宋体" w:cs="宋体"/>
          <w:color w:val="auto"/>
          <w:sz w:val="24"/>
          <w:szCs w:val="24"/>
          <w:highlight w:val="none"/>
        </w:rPr>
      </w:pPr>
    </w:p>
    <w:p w14:paraId="34BAEDAD">
      <w:pPr>
        <w:pStyle w:val="20"/>
        <w:spacing w:line="360" w:lineRule="auto"/>
        <w:jc w:val="left"/>
        <w:outlineLvl w:val="9"/>
        <w:rPr>
          <w:rFonts w:hint="eastAsia" w:hAnsi="宋体" w:eastAsia="宋体" w:cs="宋体"/>
          <w:color w:val="auto"/>
          <w:sz w:val="24"/>
          <w:szCs w:val="24"/>
          <w:highlight w:val="none"/>
        </w:rPr>
      </w:pPr>
    </w:p>
    <w:p w14:paraId="7771C654">
      <w:pPr>
        <w:pStyle w:val="20"/>
        <w:spacing w:line="360" w:lineRule="auto"/>
        <w:jc w:val="left"/>
        <w:outlineLvl w:val="9"/>
        <w:rPr>
          <w:rFonts w:hint="eastAsia" w:hAnsi="宋体" w:eastAsia="宋体" w:cs="宋体"/>
          <w:color w:val="auto"/>
          <w:sz w:val="24"/>
          <w:szCs w:val="24"/>
          <w:highlight w:val="none"/>
        </w:rPr>
      </w:pPr>
    </w:p>
    <w:p w14:paraId="646B64F5">
      <w:pPr>
        <w:pStyle w:val="20"/>
        <w:spacing w:line="360" w:lineRule="auto"/>
        <w:jc w:val="left"/>
        <w:outlineLvl w:val="9"/>
        <w:rPr>
          <w:rFonts w:hint="eastAsia" w:hAnsi="宋体" w:eastAsia="宋体" w:cs="宋体"/>
          <w:color w:val="auto"/>
          <w:sz w:val="24"/>
          <w:szCs w:val="24"/>
          <w:highlight w:val="none"/>
        </w:rPr>
      </w:pPr>
    </w:p>
    <w:p w14:paraId="406B0BAE">
      <w:pPr>
        <w:pStyle w:val="20"/>
        <w:spacing w:line="360" w:lineRule="auto"/>
        <w:jc w:val="left"/>
        <w:outlineLvl w:val="9"/>
        <w:rPr>
          <w:rFonts w:hint="eastAsia" w:hAnsi="宋体" w:eastAsia="宋体" w:cs="宋体"/>
          <w:color w:val="auto"/>
          <w:sz w:val="24"/>
          <w:szCs w:val="24"/>
          <w:highlight w:val="none"/>
        </w:rPr>
      </w:pPr>
    </w:p>
    <w:p w14:paraId="507A6E4C">
      <w:pPr>
        <w:pStyle w:val="20"/>
        <w:spacing w:line="360" w:lineRule="auto"/>
        <w:jc w:val="left"/>
        <w:outlineLvl w:val="9"/>
        <w:rPr>
          <w:rFonts w:hint="eastAsia" w:hAnsi="宋体" w:eastAsia="宋体" w:cs="宋体"/>
          <w:color w:val="auto"/>
          <w:sz w:val="24"/>
          <w:szCs w:val="24"/>
          <w:highlight w:val="none"/>
        </w:rPr>
      </w:pPr>
    </w:p>
    <w:p w14:paraId="761290F6">
      <w:pPr>
        <w:pStyle w:val="20"/>
        <w:spacing w:line="360" w:lineRule="auto"/>
        <w:jc w:val="left"/>
        <w:outlineLvl w:val="9"/>
        <w:rPr>
          <w:rFonts w:hint="eastAsia" w:hAnsi="宋体" w:eastAsia="宋体" w:cs="宋体"/>
          <w:color w:val="auto"/>
          <w:sz w:val="24"/>
          <w:szCs w:val="24"/>
          <w:highlight w:val="none"/>
        </w:rPr>
      </w:pPr>
    </w:p>
    <w:p w14:paraId="724F12B3">
      <w:pPr>
        <w:pStyle w:val="20"/>
        <w:spacing w:line="360" w:lineRule="auto"/>
        <w:jc w:val="left"/>
        <w:outlineLvl w:val="9"/>
        <w:rPr>
          <w:rFonts w:hint="eastAsia" w:hAnsi="宋体" w:eastAsia="宋体" w:cs="宋体"/>
          <w:color w:val="auto"/>
          <w:sz w:val="24"/>
          <w:szCs w:val="24"/>
          <w:highlight w:val="none"/>
        </w:rPr>
      </w:pPr>
    </w:p>
    <w:p w14:paraId="09E7B814">
      <w:pPr>
        <w:pStyle w:val="20"/>
        <w:spacing w:line="360" w:lineRule="auto"/>
        <w:jc w:val="left"/>
        <w:outlineLvl w:val="9"/>
        <w:rPr>
          <w:rFonts w:hint="eastAsia" w:hAnsi="宋体" w:eastAsia="宋体" w:cs="宋体"/>
          <w:color w:val="auto"/>
          <w:sz w:val="24"/>
          <w:szCs w:val="24"/>
          <w:highlight w:val="none"/>
        </w:rPr>
      </w:pPr>
    </w:p>
    <w:p w14:paraId="610C2899">
      <w:pPr>
        <w:pStyle w:val="20"/>
        <w:spacing w:line="360" w:lineRule="auto"/>
        <w:jc w:val="center"/>
        <w:outlineLvl w:val="9"/>
        <w:rPr>
          <w:rFonts w:hint="eastAsia" w:hAnsi="宋体" w:eastAsia="宋体" w:cs="宋体"/>
          <w:b/>
          <w:color w:val="auto"/>
          <w:sz w:val="32"/>
          <w:szCs w:val="32"/>
          <w:highlight w:val="none"/>
        </w:rPr>
        <w:sectPr>
          <w:pgSz w:w="11907" w:h="16840"/>
          <w:pgMar w:top="1361" w:right="1752" w:bottom="1440" w:left="1752" w:header="851" w:footer="992" w:gutter="0"/>
          <w:pgNumType w:fmt="decimal"/>
          <w:cols w:space="720" w:num="1"/>
        </w:sectPr>
      </w:pPr>
    </w:p>
    <w:p w14:paraId="4E4C0F0B">
      <w:pPr>
        <w:pStyle w:val="20"/>
        <w:spacing w:line="360" w:lineRule="auto"/>
        <w:jc w:val="center"/>
        <w:outlineLvl w:val="9"/>
        <w:rPr>
          <w:rFonts w:hint="eastAsia" w:hAnsi="宋体" w:eastAsia="宋体" w:cs="宋体"/>
          <w:color w:val="auto"/>
          <w:sz w:val="24"/>
          <w:szCs w:val="24"/>
          <w:highlight w:val="none"/>
        </w:rPr>
      </w:pPr>
      <w:bookmarkStart w:id="169" w:name="_Toc532369209"/>
      <w:bookmarkStart w:id="170" w:name="_Toc31720"/>
      <w:bookmarkStart w:id="171" w:name="_Toc1865004346"/>
      <w:bookmarkStart w:id="172" w:name="_Toc23992"/>
      <w:r>
        <w:rPr>
          <w:rFonts w:hint="eastAsia" w:hAnsi="宋体" w:eastAsia="宋体" w:cs="宋体"/>
          <w:b/>
          <w:color w:val="auto"/>
          <w:sz w:val="32"/>
          <w:szCs w:val="32"/>
          <w:highlight w:val="none"/>
        </w:rPr>
        <w:t>投 标 书</w:t>
      </w:r>
      <w:bookmarkEnd w:id="169"/>
      <w:bookmarkEnd w:id="170"/>
      <w:bookmarkEnd w:id="171"/>
      <w:bookmarkEnd w:id="172"/>
    </w:p>
    <w:p w14:paraId="72CFD0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14:paraId="43F542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项目的投标邀请（招标编号: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），本签字代表</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提交下述文件正本一份</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r>
        <w:rPr>
          <w:rFonts w:hint="default" w:ascii="宋体" w:hAnsi="宋体" w:cs="宋体"/>
          <w:color w:val="auto"/>
          <w:sz w:val="24"/>
          <w:szCs w:val="24"/>
          <w:highlight w:val="none"/>
        </w:rPr>
        <w:t>和</w:t>
      </w:r>
      <w:r>
        <w:rPr>
          <w:rFonts w:hint="eastAsia" w:ascii="宋体" w:hAnsi="宋体" w:eastAsia="宋体" w:cs="宋体"/>
          <w:color w:val="auto"/>
          <w:sz w:val="24"/>
          <w:szCs w:val="24"/>
          <w:highlight w:val="none"/>
          <w:lang w:eastAsia="zh-CN"/>
        </w:rPr>
        <w:t>电子文件（U盘或光盘介质，盖章版PDF格式文件）</w:t>
      </w:r>
      <w:r>
        <w:rPr>
          <w:rFonts w:hint="eastAsia" w:ascii="宋体" w:hAnsi="宋体" w:eastAsia="宋体" w:cs="宋体"/>
          <w:color w:val="auto"/>
          <w:sz w:val="24"/>
          <w:szCs w:val="24"/>
          <w:highlight w:val="none"/>
          <w:u w:val="single"/>
          <w:lang w:eastAsia="zh-CN"/>
        </w:rPr>
        <w:t>一</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w:t>
      </w:r>
    </w:p>
    <w:p w14:paraId="6FB6CD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开标一览表</w:t>
      </w:r>
    </w:p>
    <w:p w14:paraId="2EA713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投标分项报价表</w:t>
      </w:r>
    </w:p>
    <w:p w14:paraId="3550A3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项目说明一览表</w:t>
      </w:r>
    </w:p>
    <w:p w14:paraId="244F6B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项目范围清单 </w:t>
      </w:r>
    </w:p>
    <w:p w14:paraId="1C0FAA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技术规格和商务响应表</w:t>
      </w:r>
    </w:p>
    <w:p w14:paraId="166019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 投标人资格证明文件</w:t>
      </w:r>
    </w:p>
    <w:p w14:paraId="2D9105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02033E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14:paraId="1F5121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据此函，签字代表宣布同意如下：</w:t>
      </w:r>
    </w:p>
    <w:p w14:paraId="356D9A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1.所附详细报价表中规定的应提供和交付的服务报价总价（交钥匙总包价）为人民币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5973E4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2.投标人已详细审查全部招标文件，包括修改文件（如有的话）和有关附件，将自行承担因对全部招标文件理解不正确或误解而产生的相应后果。</w:t>
      </w:r>
    </w:p>
    <w:p w14:paraId="063340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3.投标人保证遵守招标文件的全部规定，投标人所提交的材料中所含的信息均为真实、准确、完整，且不具有任何误导性。</w:t>
      </w:r>
    </w:p>
    <w:p w14:paraId="0FB1A2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4.投标人将按招标文件的规定履行合同责任和义务。</w:t>
      </w:r>
    </w:p>
    <w:p w14:paraId="1313C7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5.本投标文件自开标日起投标有效期为：在招标文件投标人须知前附表1第3项所规定的期限内保持有效。</w:t>
      </w:r>
    </w:p>
    <w:p w14:paraId="2EC7D3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6.如果发生招标文件第二章投标人须知第12条所述情况，则同意招标代理机构不予退还投标保证金。</w:t>
      </w:r>
    </w:p>
    <w:p w14:paraId="411FD3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7.投标人同意按照招标代理机构要求提供与其投标有关的一切数据或资料，完全理解贵方不一定要接受最低的报价或收到的任何投标。</w:t>
      </w:r>
    </w:p>
    <w:p w14:paraId="397213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与本投标有关的一切正式往来通讯请寄：</w:t>
      </w:r>
    </w:p>
    <w:p w14:paraId="4C0C3D9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3D14CB5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电话：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 </w:t>
      </w:r>
      <w:r>
        <w:rPr>
          <w:rFonts w:hint="eastAsia" w:ascii="宋体" w:hAnsi="宋体" w:eastAsia="宋体" w:cs="宋体"/>
          <w:color w:val="auto"/>
          <w:sz w:val="24"/>
          <w:szCs w:val="24"/>
          <w:highlight w:val="none"/>
          <w:u w:val="single"/>
        </w:rPr>
        <w:t xml:space="preserve">                 </w:t>
      </w:r>
    </w:p>
    <w:p w14:paraId="75E1067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 </w:t>
      </w:r>
      <w:r>
        <w:rPr>
          <w:rFonts w:hint="eastAsia" w:ascii="宋体" w:hAnsi="宋体" w:eastAsia="宋体" w:cs="宋体"/>
          <w:color w:val="auto"/>
          <w:sz w:val="24"/>
          <w:szCs w:val="24"/>
          <w:highlight w:val="none"/>
          <w:u w:val="single"/>
        </w:rPr>
        <w:t xml:space="preserve">                </w:t>
      </w:r>
    </w:p>
    <w:p w14:paraId="6A646D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14:paraId="30AB7C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99CF390">
      <w:pPr>
        <w:spacing w:line="360" w:lineRule="auto"/>
        <w:rPr>
          <w:rFonts w:hint="eastAsia" w:ascii="宋体" w:hAnsi="宋体" w:eastAsia="宋体" w:cs="宋体"/>
          <w:color w:val="auto"/>
          <w:sz w:val="24"/>
          <w:szCs w:val="24"/>
          <w:highlight w:val="none"/>
        </w:rPr>
      </w:pPr>
    </w:p>
    <w:p w14:paraId="112F0683">
      <w:pPr>
        <w:spacing w:line="360" w:lineRule="auto"/>
        <w:rPr>
          <w:rFonts w:hint="eastAsia" w:ascii="宋体" w:hAnsi="宋体" w:eastAsia="宋体" w:cs="宋体"/>
          <w:color w:val="auto"/>
          <w:sz w:val="24"/>
          <w:szCs w:val="24"/>
          <w:highlight w:val="none"/>
        </w:rPr>
      </w:pPr>
    </w:p>
    <w:p w14:paraId="5848E76C">
      <w:pPr>
        <w:spacing w:line="360" w:lineRule="auto"/>
        <w:rPr>
          <w:rFonts w:hint="eastAsia" w:ascii="宋体" w:hAnsi="宋体" w:eastAsia="宋体" w:cs="宋体"/>
          <w:color w:val="auto"/>
          <w:sz w:val="24"/>
          <w:szCs w:val="24"/>
          <w:highlight w:val="none"/>
        </w:rPr>
      </w:pPr>
    </w:p>
    <w:p w14:paraId="400A33C5">
      <w:pPr>
        <w:spacing w:line="360" w:lineRule="auto"/>
        <w:rPr>
          <w:rFonts w:hint="eastAsia" w:ascii="宋体" w:hAnsi="宋体" w:eastAsia="宋体" w:cs="宋体"/>
          <w:color w:val="auto"/>
          <w:sz w:val="24"/>
          <w:szCs w:val="24"/>
          <w:highlight w:val="none"/>
        </w:rPr>
      </w:pPr>
    </w:p>
    <w:p w14:paraId="7D70A5B6">
      <w:pPr>
        <w:spacing w:line="360" w:lineRule="auto"/>
        <w:rPr>
          <w:rFonts w:hint="eastAsia" w:ascii="宋体" w:hAnsi="宋体" w:eastAsia="宋体" w:cs="宋体"/>
          <w:color w:val="auto"/>
          <w:sz w:val="24"/>
          <w:szCs w:val="24"/>
          <w:highlight w:val="none"/>
        </w:rPr>
      </w:pPr>
    </w:p>
    <w:p w14:paraId="7C89DD6B">
      <w:pPr>
        <w:spacing w:line="360" w:lineRule="auto"/>
        <w:rPr>
          <w:rFonts w:hint="eastAsia" w:ascii="宋体" w:hAnsi="宋体" w:eastAsia="宋体" w:cs="宋体"/>
          <w:color w:val="auto"/>
          <w:sz w:val="24"/>
          <w:szCs w:val="24"/>
          <w:highlight w:val="none"/>
        </w:rPr>
      </w:pPr>
    </w:p>
    <w:p w14:paraId="3E8F1922">
      <w:pPr>
        <w:spacing w:line="360" w:lineRule="auto"/>
        <w:rPr>
          <w:rFonts w:hint="eastAsia" w:ascii="宋体" w:hAnsi="宋体" w:eastAsia="宋体" w:cs="宋体"/>
          <w:color w:val="auto"/>
          <w:sz w:val="24"/>
          <w:szCs w:val="24"/>
          <w:highlight w:val="none"/>
        </w:rPr>
      </w:pPr>
    </w:p>
    <w:p w14:paraId="7CEA50DD">
      <w:pPr>
        <w:spacing w:line="360" w:lineRule="auto"/>
        <w:rPr>
          <w:rFonts w:hint="eastAsia" w:ascii="宋体" w:hAnsi="宋体" w:eastAsia="宋体" w:cs="宋体"/>
          <w:color w:val="auto"/>
          <w:sz w:val="24"/>
          <w:szCs w:val="24"/>
          <w:highlight w:val="none"/>
        </w:rPr>
      </w:pPr>
    </w:p>
    <w:p w14:paraId="2BD8C044">
      <w:pPr>
        <w:spacing w:line="360" w:lineRule="auto"/>
        <w:rPr>
          <w:rFonts w:hint="eastAsia" w:ascii="宋体" w:hAnsi="宋体" w:eastAsia="宋体" w:cs="宋体"/>
          <w:color w:val="auto"/>
          <w:sz w:val="24"/>
          <w:szCs w:val="24"/>
          <w:highlight w:val="none"/>
        </w:rPr>
      </w:pPr>
    </w:p>
    <w:p w14:paraId="4323310D">
      <w:pPr>
        <w:spacing w:line="360" w:lineRule="auto"/>
        <w:rPr>
          <w:rFonts w:hint="eastAsia" w:ascii="宋体" w:hAnsi="宋体" w:eastAsia="宋体" w:cs="宋体"/>
          <w:color w:val="auto"/>
          <w:sz w:val="24"/>
          <w:szCs w:val="24"/>
          <w:highlight w:val="none"/>
        </w:rPr>
      </w:pPr>
    </w:p>
    <w:p w14:paraId="192032D5">
      <w:pPr>
        <w:spacing w:line="360" w:lineRule="auto"/>
        <w:rPr>
          <w:rFonts w:hint="eastAsia" w:ascii="宋体" w:hAnsi="宋体" w:eastAsia="宋体" w:cs="宋体"/>
          <w:color w:val="auto"/>
          <w:sz w:val="24"/>
          <w:szCs w:val="24"/>
          <w:highlight w:val="none"/>
        </w:rPr>
      </w:pPr>
    </w:p>
    <w:p w14:paraId="2ED68A53">
      <w:pPr>
        <w:spacing w:line="360" w:lineRule="auto"/>
        <w:rPr>
          <w:rFonts w:hint="eastAsia" w:ascii="宋体" w:hAnsi="宋体" w:eastAsia="宋体" w:cs="宋体"/>
          <w:color w:val="auto"/>
          <w:sz w:val="24"/>
          <w:szCs w:val="24"/>
          <w:highlight w:val="none"/>
        </w:rPr>
      </w:pPr>
    </w:p>
    <w:p w14:paraId="6AA8B42D">
      <w:pPr>
        <w:spacing w:line="360" w:lineRule="auto"/>
        <w:rPr>
          <w:rFonts w:hint="eastAsia" w:ascii="宋体" w:hAnsi="宋体" w:eastAsia="宋体" w:cs="宋体"/>
          <w:color w:val="auto"/>
          <w:sz w:val="24"/>
          <w:szCs w:val="24"/>
          <w:highlight w:val="none"/>
        </w:rPr>
        <w:sectPr>
          <w:pgSz w:w="11907" w:h="16840"/>
          <w:pgMar w:top="1361" w:right="1752" w:bottom="1440" w:left="1752" w:header="851" w:footer="992" w:gutter="0"/>
          <w:pgNumType w:fmt="decimal"/>
          <w:cols w:space="720" w:num="1"/>
        </w:sectPr>
      </w:pPr>
    </w:p>
    <w:p w14:paraId="0F2F2517">
      <w:pPr>
        <w:pStyle w:val="20"/>
        <w:spacing w:line="360" w:lineRule="auto"/>
        <w:ind w:firstLine="5140" w:firstLineChars="1600"/>
        <w:jc w:val="both"/>
        <w:outlineLvl w:val="9"/>
        <w:rPr>
          <w:rFonts w:hint="eastAsia" w:hAnsi="宋体" w:eastAsia="宋体" w:cs="宋体"/>
          <w:b/>
          <w:color w:val="auto"/>
          <w:sz w:val="24"/>
          <w:szCs w:val="24"/>
          <w:highlight w:val="none"/>
        </w:rPr>
      </w:pPr>
      <w:bookmarkStart w:id="173" w:name="_Toc21901"/>
      <w:bookmarkStart w:id="174" w:name="_Toc6925"/>
      <w:bookmarkStart w:id="175" w:name="_Toc962389242"/>
      <w:bookmarkStart w:id="176" w:name="_Toc974496556"/>
      <w:r>
        <w:rPr>
          <w:rFonts w:hint="eastAsia" w:hAnsi="宋体" w:eastAsia="宋体" w:cs="宋体"/>
          <w:b/>
          <w:color w:val="auto"/>
          <w:sz w:val="32"/>
          <w:szCs w:val="32"/>
          <w:highlight w:val="none"/>
        </w:rPr>
        <w:t>一、开标一览表</w:t>
      </w:r>
      <w:bookmarkEnd w:id="173"/>
      <w:bookmarkEnd w:id="174"/>
      <w:bookmarkEnd w:id="175"/>
      <w:bookmarkEnd w:id="176"/>
    </w:p>
    <w:p w14:paraId="0449DD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                              招标编号</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货币单位：</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2415"/>
        <w:gridCol w:w="1485"/>
        <w:gridCol w:w="1173"/>
        <w:gridCol w:w="2046"/>
        <w:gridCol w:w="2154"/>
        <w:gridCol w:w="1923"/>
        <w:gridCol w:w="1491"/>
      </w:tblGrid>
      <w:tr w14:paraId="785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3" w:type="dxa"/>
            <w:noWrap w:val="0"/>
            <w:vAlign w:val="center"/>
          </w:tcPr>
          <w:p w14:paraId="5CA8DA8C">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cs="宋体"/>
                <w:bCs/>
                <w:color w:val="auto"/>
                <w:sz w:val="24"/>
                <w:szCs w:val="24"/>
                <w:highlight w:val="none"/>
                <w:lang w:val="en-US" w:eastAsia="zh-CN"/>
              </w:rPr>
              <w:t>序号</w:t>
            </w:r>
          </w:p>
        </w:tc>
        <w:tc>
          <w:tcPr>
            <w:tcW w:w="2415" w:type="dxa"/>
            <w:noWrap w:val="0"/>
            <w:vAlign w:val="center"/>
          </w:tcPr>
          <w:p w14:paraId="5EF12BA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tc>
        <w:tc>
          <w:tcPr>
            <w:tcW w:w="1485" w:type="dxa"/>
            <w:noWrap w:val="0"/>
            <w:vAlign w:val="center"/>
          </w:tcPr>
          <w:p w14:paraId="2F06742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173" w:type="dxa"/>
            <w:noWrap w:val="0"/>
            <w:vAlign w:val="center"/>
          </w:tcPr>
          <w:p w14:paraId="08672A6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w:t>
            </w:r>
          </w:p>
        </w:tc>
        <w:tc>
          <w:tcPr>
            <w:tcW w:w="2046" w:type="dxa"/>
            <w:noWrap w:val="0"/>
            <w:vAlign w:val="center"/>
          </w:tcPr>
          <w:p w14:paraId="70C1BD3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报价</w:t>
            </w:r>
          </w:p>
          <w:p w14:paraId="3898D07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（元）</w:t>
            </w:r>
          </w:p>
        </w:tc>
        <w:tc>
          <w:tcPr>
            <w:tcW w:w="2154" w:type="dxa"/>
            <w:noWrap w:val="0"/>
            <w:vAlign w:val="center"/>
          </w:tcPr>
          <w:p w14:paraId="53B00EA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服务地点</w:t>
            </w:r>
          </w:p>
        </w:tc>
        <w:tc>
          <w:tcPr>
            <w:tcW w:w="1923" w:type="dxa"/>
            <w:noWrap w:val="0"/>
            <w:vAlign w:val="center"/>
          </w:tcPr>
          <w:p w14:paraId="2610D73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服务时间</w:t>
            </w:r>
          </w:p>
        </w:tc>
        <w:tc>
          <w:tcPr>
            <w:tcW w:w="1491" w:type="dxa"/>
            <w:noWrap w:val="0"/>
            <w:vAlign w:val="center"/>
          </w:tcPr>
          <w:p w14:paraId="67D688D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1E26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3" w:type="dxa"/>
            <w:noWrap w:val="0"/>
            <w:vAlign w:val="center"/>
          </w:tcPr>
          <w:p w14:paraId="4699944C">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2415" w:type="dxa"/>
            <w:noWrap w:val="0"/>
            <w:vAlign w:val="center"/>
          </w:tcPr>
          <w:p w14:paraId="2018D85A">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第二十七届中国国际高新技术成果交易会厦门馆特装</w:t>
            </w:r>
          </w:p>
        </w:tc>
        <w:tc>
          <w:tcPr>
            <w:tcW w:w="1485" w:type="dxa"/>
            <w:noWrap w:val="0"/>
            <w:vAlign w:val="center"/>
          </w:tcPr>
          <w:p w14:paraId="558E151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173" w:type="dxa"/>
            <w:noWrap w:val="0"/>
            <w:vAlign w:val="top"/>
          </w:tcPr>
          <w:p w14:paraId="549DD3E4">
            <w:pPr>
              <w:spacing w:line="360" w:lineRule="auto"/>
              <w:jc w:val="center"/>
              <w:rPr>
                <w:rFonts w:hint="eastAsia" w:ascii="宋体" w:hAnsi="宋体" w:eastAsia="宋体" w:cs="宋体"/>
                <w:bCs/>
                <w:color w:val="auto"/>
                <w:sz w:val="24"/>
                <w:szCs w:val="24"/>
                <w:highlight w:val="none"/>
              </w:rPr>
            </w:pPr>
          </w:p>
        </w:tc>
        <w:tc>
          <w:tcPr>
            <w:tcW w:w="2046" w:type="dxa"/>
            <w:noWrap w:val="0"/>
            <w:vAlign w:val="top"/>
          </w:tcPr>
          <w:p w14:paraId="4B82997A">
            <w:pPr>
              <w:spacing w:line="360" w:lineRule="auto"/>
              <w:jc w:val="center"/>
              <w:rPr>
                <w:rFonts w:hint="eastAsia" w:ascii="宋体" w:hAnsi="宋体" w:eastAsia="宋体" w:cs="宋体"/>
                <w:bCs/>
                <w:color w:val="auto"/>
                <w:sz w:val="24"/>
                <w:szCs w:val="24"/>
                <w:highlight w:val="none"/>
              </w:rPr>
            </w:pPr>
          </w:p>
        </w:tc>
        <w:tc>
          <w:tcPr>
            <w:tcW w:w="2154" w:type="dxa"/>
            <w:noWrap w:val="0"/>
            <w:vAlign w:val="center"/>
          </w:tcPr>
          <w:p w14:paraId="51C69086">
            <w:pPr>
              <w:spacing w:line="360" w:lineRule="auto"/>
              <w:jc w:val="center"/>
              <w:rPr>
                <w:rFonts w:hint="eastAsia" w:ascii="宋体" w:hAnsi="宋体" w:eastAsia="宋体" w:cs="宋体"/>
                <w:color w:val="auto"/>
                <w:sz w:val="24"/>
                <w:szCs w:val="24"/>
                <w:highlight w:val="none"/>
              </w:rPr>
            </w:pPr>
          </w:p>
        </w:tc>
        <w:tc>
          <w:tcPr>
            <w:tcW w:w="1923" w:type="dxa"/>
            <w:noWrap w:val="0"/>
            <w:vAlign w:val="center"/>
          </w:tcPr>
          <w:p w14:paraId="1712953D">
            <w:pPr>
              <w:spacing w:line="360" w:lineRule="auto"/>
              <w:jc w:val="center"/>
              <w:rPr>
                <w:rFonts w:hint="eastAsia" w:ascii="宋体" w:hAnsi="宋体" w:eastAsia="宋体" w:cs="宋体"/>
                <w:bCs/>
                <w:color w:val="auto"/>
                <w:sz w:val="24"/>
                <w:szCs w:val="24"/>
                <w:highlight w:val="none"/>
              </w:rPr>
            </w:pPr>
          </w:p>
        </w:tc>
        <w:tc>
          <w:tcPr>
            <w:tcW w:w="1491" w:type="dxa"/>
            <w:noWrap w:val="0"/>
            <w:vAlign w:val="top"/>
          </w:tcPr>
          <w:p w14:paraId="2211ED03">
            <w:pPr>
              <w:spacing w:line="360" w:lineRule="auto"/>
              <w:jc w:val="center"/>
              <w:rPr>
                <w:rFonts w:hint="eastAsia" w:ascii="宋体" w:hAnsi="宋体" w:eastAsia="宋体" w:cs="宋体"/>
                <w:bCs/>
                <w:color w:val="auto"/>
                <w:sz w:val="24"/>
                <w:szCs w:val="24"/>
                <w:highlight w:val="none"/>
              </w:rPr>
            </w:pPr>
          </w:p>
        </w:tc>
      </w:tr>
      <w:tr w14:paraId="3927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3" w:type="dxa"/>
            <w:noWrap w:val="0"/>
            <w:vAlign w:val="center"/>
          </w:tcPr>
          <w:p w14:paraId="5E86068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投标总价</w:t>
            </w:r>
          </w:p>
        </w:tc>
        <w:tc>
          <w:tcPr>
            <w:tcW w:w="12687" w:type="dxa"/>
            <w:gridSpan w:val="7"/>
            <w:noWrap w:val="0"/>
            <w:vAlign w:val="center"/>
          </w:tcPr>
          <w:p w14:paraId="45BFDFBB">
            <w:pPr>
              <w:spacing w:line="360" w:lineRule="auto"/>
              <w:jc w:val="center"/>
              <w:rPr>
                <w:rFonts w:hint="eastAsia" w:ascii="宋体" w:hAnsi="宋体" w:eastAsia="宋体" w:cs="宋体"/>
                <w:bCs/>
                <w:color w:val="auto"/>
                <w:sz w:val="24"/>
                <w:szCs w:val="24"/>
                <w:highlight w:val="none"/>
              </w:rPr>
            </w:pPr>
          </w:p>
        </w:tc>
      </w:tr>
    </w:tbl>
    <w:p w14:paraId="244F14A7">
      <w:pPr>
        <w:widowControl/>
        <w:spacing w:line="360" w:lineRule="auto"/>
        <w:jc w:val="left"/>
        <w:rPr>
          <w:rFonts w:hint="eastAsia" w:ascii="宋体" w:hAnsi="宋体" w:eastAsia="宋体" w:cs="宋体"/>
          <w:color w:val="auto"/>
          <w:sz w:val="24"/>
          <w:szCs w:val="24"/>
          <w:highlight w:val="none"/>
        </w:rPr>
        <w:sectPr>
          <w:footerReference r:id="rId12" w:type="default"/>
          <w:pgSz w:w="16840" w:h="11907" w:orient="landscape"/>
          <w:pgMar w:top="1752" w:right="1361" w:bottom="1752" w:left="1440" w:header="851" w:footer="992" w:gutter="0"/>
          <w:pgNumType w:fmt="decimal"/>
          <w:cols w:space="720" w:num="1"/>
        </w:sectPr>
      </w:pPr>
    </w:p>
    <w:p w14:paraId="6D9352D9">
      <w:pPr>
        <w:spacing w:line="360" w:lineRule="auto"/>
        <w:jc w:val="center"/>
        <w:rPr>
          <w:rFonts w:hint="eastAsia" w:ascii="宋体" w:hAnsi="宋体" w:cs="宋体"/>
          <w:b/>
          <w:color w:val="auto"/>
          <w:sz w:val="32"/>
          <w:szCs w:val="32"/>
          <w:highlight w:val="none"/>
          <w:lang w:eastAsia="zh-CN"/>
        </w:rPr>
      </w:pPr>
      <w:r>
        <w:rPr>
          <w:rFonts w:hint="eastAsia" w:ascii="宋体" w:hAnsi="宋体" w:eastAsia="宋体" w:cs="宋体"/>
          <w:b/>
          <w:color w:val="auto"/>
          <w:sz w:val="32"/>
          <w:szCs w:val="32"/>
          <w:highlight w:val="none"/>
        </w:rPr>
        <w:t>二、投标分项报价表</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格式模板</w:t>
      </w:r>
      <w:r>
        <w:rPr>
          <w:rFonts w:hint="eastAsia" w:ascii="宋体" w:hAnsi="宋体" w:cs="宋体"/>
          <w:b/>
          <w:color w:val="auto"/>
          <w:sz w:val="32"/>
          <w:szCs w:val="32"/>
          <w:highlight w:val="none"/>
          <w:lang w:eastAsia="zh-CN"/>
        </w:rPr>
        <w:t>）</w:t>
      </w:r>
    </w:p>
    <w:p w14:paraId="276E18B1">
      <w:pPr>
        <w:spacing w:line="360" w:lineRule="auto"/>
        <w:jc w:val="cente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投标人可根据招标文件需求自行拟定</w:t>
      </w:r>
      <w:r>
        <w:rPr>
          <w:rFonts w:hint="eastAsia" w:ascii="宋体" w:hAnsi="宋体" w:cs="宋体"/>
          <w:b/>
          <w:color w:val="auto"/>
          <w:sz w:val="24"/>
          <w:szCs w:val="24"/>
          <w:highlight w:val="none"/>
          <w:lang w:eastAsia="zh-CN"/>
        </w:rPr>
        <w:t>）</w:t>
      </w:r>
    </w:p>
    <w:p w14:paraId="0BBA1A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招标编号：               货币单位：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1"/>
        <w:gridCol w:w="1108"/>
        <w:gridCol w:w="1399"/>
        <w:gridCol w:w="1109"/>
        <w:gridCol w:w="974"/>
        <w:gridCol w:w="975"/>
        <w:gridCol w:w="931"/>
        <w:gridCol w:w="931"/>
        <w:gridCol w:w="932"/>
      </w:tblGrid>
      <w:tr w14:paraId="1343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3573D0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FD4A8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投标项目合同包</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00EBEA1D">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D2A7973">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05B3C9F">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56E8310">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423F643">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EAD7407">
            <w:pPr>
              <w:spacing w:line="360" w:lineRule="auto"/>
              <w:rPr>
                <w:rFonts w:hint="eastAsia" w:ascii="宋体" w:hAnsi="宋体" w:eastAsia="宋体" w:cs="宋体"/>
                <w:color w:val="auto"/>
                <w:sz w:val="24"/>
                <w:szCs w:val="24"/>
                <w:highlight w:val="none"/>
              </w:rPr>
            </w:pPr>
          </w:p>
        </w:tc>
      </w:tr>
      <w:tr w14:paraId="48B5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78F33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C7710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5594EA3">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B9E2724">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13F280B">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1DB60E0">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DB111DF">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FD7A294">
            <w:pPr>
              <w:spacing w:line="360" w:lineRule="auto"/>
              <w:rPr>
                <w:rFonts w:hint="eastAsia" w:ascii="宋体" w:hAnsi="宋体" w:eastAsia="宋体" w:cs="宋体"/>
                <w:color w:val="auto"/>
                <w:sz w:val="24"/>
                <w:szCs w:val="24"/>
                <w:highlight w:val="none"/>
              </w:rPr>
            </w:pPr>
          </w:p>
        </w:tc>
      </w:tr>
      <w:tr w14:paraId="1D10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03F43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40CC22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90BC38B">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3B8406E">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20270D3">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47338FE">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31CD7F4">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B45E9D5">
            <w:pPr>
              <w:spacing w:line="360" w:lineRule="auto"/>
              <w:rPr>
                <w:rFonts w:hint="eastAsia" w:ascii="宋体" w:hAnsi="宋体" w:eastAsia="宋体" w:cs="宋体"/>
                <w:color w:val="auto"/>
                <w:sz w:val="24"/>
                <w:szCs w:val="24"/>
                <w:highlight w:val="none"/>
              </w:rPr>
            </w:pPr>
          </w:p>
        </w:tc>
      </w:tr>
      <w:tr w14:paraId="070C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96432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F40DA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852D39C">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5946ADF">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DFFCCD8">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5D32B8C6">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F66E563">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026DDAE">
            <w:pPr>
              <w:spacing w:line="360" w:lineRule="auto"/>
              <w:rPr>
                <w:rFonts w:hint="eastAsia" w:ascii="宋体" w:hAnsi="宋体" w:eastAsia="宋体" w:cs="宋体"/>
                <w:color w:val="auto"/>
                <w:sz w:val="24"/>
                <w:szCs w:val="24"/>
                <w:highlight w:val="none"/>
              </w:rPr>
            </w:pPr>
          </w:p>
        </w:tc>
      </w:tr>
      <w:tr w14:paraId="40A8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612D3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389CE0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技术服务费</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7D2870C">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CE9E41A">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7ACBBD0">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06C8D20D">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4D3EF74">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0A892E3">
            <w:pPr>
              <w:spacing w:line="360" w:lineRule="auto"/>
              <w:rPr>
                <w:rFonts w:hint="eastAsia" w:ascii="宋体" w:hAnsi="宋体" w:eastAsia="宋体" w:cs="宋体"/>
                <w:color w:val="auto"/>
                <w:sz w:val="24"/>
                <w:szCs w:val="24"/>
                <w:highlight w:val="none"/>
              </w:rPr>
            </w:pPr>
          </w:p>
        </w:tc>
      </w:tr>
      <w:tr w14:paraId="5A2B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1852BA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65DB88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检验培训费</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BC2AB70">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410B914">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6D9CE44">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52EDC47">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153FCEF3">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77F52173">
            <w:pPr>
              <w:spacing w:line="360" w:lineRule="auto"/>
              <w:rPr>
                <w:rFonts w:hint="eastAsia" w:ascii="宋体" w:hAnsi="宋体" w:eastAsia="宋体" w:cs="宋体"/>
                <w:color w:val="auto"/>
                <w:sz w:val="24"/>
                <w:szCs w:val="24"/>
                <w:highlight w:val="none"/>
              </w:rPr>
            </w:pPr>
          </w:p>
        </w:tc>
      </w:tr>
      <w:tr w14:paraId="046A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7B6DB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17F1B4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保险费用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8F1D7C9">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441AAFE">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0DE5A87">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53701BF">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CE7613F">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0A8D3CF">
            <w:pPr>
              <w:spacing w:line="360" w:lineRule="auto"/>
              <w:rPr>
                <w:rFonts w:hint="eastAsia" w:ascii="宋体" w:hAnsi="宋体" w:eastAsia="宋体" w:cs="宋体"/>
                <w:color w:val="auto"/>
                <w:sz w:val="24"/>
                <w:szCs w:val="24"/>
                <w:highlight w:val="none"/>
              </w:rPr>
            </w:pPr>
          </w:p>
        </w:tc>
      </w:tr>
      <w:tr w14:paraId="647E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4D728E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1C552D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其他费用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6D06857">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4CA5B0A0">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61A0F29">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39757DEC">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65960C0">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DED39A7">
            <w:pPr>
              <w:spacing w:line="360" w:lineRule="auto"/>
              <w:rPr>
                <w:rFonts w:hint="eastAsia" w:ascii="宋体" w:hAnsi="宋体" w:eastAsia="宋体" w:cs="宋体"/>
                <w:color w:val="auto"/>
                <w:sz w:val="24"/>
                <w:szCs w:val="24"/>
                <w:highlight w:val="none"/>
              </w:rPr>
            </w:pPr>
          </w:p>
        </w:tc>
      </w:tr>
      <w:tr w14:paraId="1A33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vMerge w:val="restart"/>
            <w:tcBorders>
              <w:top w:val="single" w:color="auto" w:sz="4" w:space="0"/>
              <w:left w:val="single" w:color="auto" w:sz="4" w:space="0"/>
              <w:bottom w:val="single" w:color="auto" w:sz="4" w:space="0"/>
              <w:right w:val="single" w:color="auto" w:sz="4" w:space="0"/>
            </w:tcBorders>
            <w:noWrap w:val="0"/>
            <w:vAlign w:val="center"/>
          </w:tcPr>
          <w:p w14:paraId="24AC2C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0EA6AE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1B6CD4F">
            <w:pPr>
              <w:spacing w:line="360" w:lineRule="auto"/>
              <w:rPr>
                <w:rFonts w:hint="eastAsia" w:ascii="宋体" w:hAnsi="宋体" w:eastAsia="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1490B46">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36CA6563">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E21EC1E">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77A692AA">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28EA4EA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CD90403">
            <w:pPr>
              <w:spacing w:line="360" w:lineRule="auto"/>
              <w:rPr>
                <w:rFonts w:hint="eastAsia" w:ascii="宋体" w:hAnsi="宋体" w:eastAsia="宋体" w:cs="宋体"/>
                <w:color w:val="auto"/>
                <w:sz w:val="24"/>
                <w:szCs w:val="24"/>
                <w:highlight w:val="none"/>
              </w:rPr>
            </w:pPr>
          </w:p>
        </w:tc>
      </w:tr>
      <w:tr w14:paraId="0089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vMerge w:val="continue"/>
            <w:tcBorders>
              <w:top w:val="single" w:color="auto" w:sz="4" w:space="0"/>
              <w:left w:val="single" w:color="auto" w:sz="4" w:space="0"/>
              <w:bottom w:val="single" w:color="auto" w:sz="4" w:space="0"/>
              <w:right w:val="single" w:color="auto" w:sz="4" w:space="0"/>
            </w:tcBorders>
            <w:noWrap w:val="0"/>
            <w:vAlign w:val="center"/>
          </w:tcPr>
          <w:p w14:paraId="1B7AC4B1">
            <w:pPr>
              <w:widowControl/>
              <w:spacing w:line="360" w:lineRule="auto"/>
              <w:jc w:val="left"/>
              <w:rPr>
                <w:rFonts w:hint="eastAsia" w:ascii="宋体" w:hAnsi="宋体" w:eastAsia="宋体" w:cs="宋体"/>
                <w:color w:val="auto"/>
                <w:sz w:val="24"/>
                <w:szCs w:val="24"/>
                <w:highlight w:val="none"/>
              </w:rPr>
            </w:pPr>
          </w:p>
        </w:tc>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7AB346C4">
            <w:pPr>
              <w:widowControl/>
              <w:spacing w:line="360" w:lineRule="auto"/>
              <w:jc w:val="left"/>
              <w:rPr>
                <w:rFonts w:hint="eastAsia" w:ascii="宋体" w:hAnsi="宋体" w:eastAsia="宋体" w:cs="宋体"/>
                <w:color w:val="auto"/>
                <w:sz w:val="24"/>
                <w:szCs w:val="24"/>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4CE3AD3">
            <w:pPr>
              <w:spacing w:line="360" w:lineRule="auto"/>
              <w:rPr>
                <w:rFonts w:hint="eastAsia" w:ascii="宋体" w:hAnsi="宋体" w:eastAsia="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86021EA">
            <w:pPr>
              <w:spacing w:line="360" w:lineRule="auto"/>
              <w:rPr>
                <w:rFonts w:hint="eastAsia" w:ascii="宋体" w:hAnsi="宋体" w:eastAsia="宋体" w:cs="宋体"/>
                <w:color w:val="auto"/>
                <w:sz w:val="24"/>
                <w:szCs w:val="24"/>
                <w:highlight w:val="none"/>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52F7364">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E7A7839">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42C2A468">
            <w:pPr>
              <w:spacing w:line="360" w:lineRule="auto"/>
              <w:rPr>
                <w:rFonts w:hint="eastAsia" w:ascii="宋体" w:hAnsi="宋体" w:eastAsia="宋体" w:cs="宋体"/>
                <w:color w:val="auto"/>
                <w:sz w:val="24"/>
                <w:szCs w:val="24"/>
                <w:highlight w:val="none"/>
              </w:rPr>
            </w:pPr>
          </w:p>
        </w:tc>
        <w:tc>
          <w:tcPr>
            <w:tcW w:w="931" w:type="dxa"/>
            <w:tcBorders>
              <w:top w:val="single" w:color="auto" w:sz="4" w:space="0"/>
              <w:left w:val="single" w:color="auto" w:sz="4" w:space="0"/>
              <w:bottom w:val="single" w:color="auto" w:sz="4" w:space="0"/>
              <w:right w:val="single" w:color="auto" w:sz="4" w:space="0"/>
            </w:tcBorders>
            <w:noWrap w:val="0"/>
            <w:vAlign w:val="center"/>
          </w:tcPr>
          <w:p w14:paraId="60C8BC50">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CE66F9B">
            <w:pPr>
              <w:spacing w:line="360" w:lineRule="auto"/>
              <w:rPr>
                <w:rFonts w:hint="eastAsia" w:ascii="宋体" w:hAnsi="宋体" w:eastAsia="宋体" w:cs="宋体"/>
                <w:color w:val="auto"/>
                <w:sz w:val="24"/>
                <w:szCs w:val="24"/>
                <w:highlight w:val="none"/>
              </w:rPr>
            </w:pPr>
          </w:p>
        </w:tc>
      </w:tr>
      <w:tr w14:paraId="7331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14:paraId="6955FE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507" w:type="dxa"/>
            <w:gridSpan w:val="2"/>
            <w:tcBorders>
              <w:top w:val="single" w:color="auto" w:sz="4" w:space="0"/>
              <w:left w:val="single" w:color="auto" w:sz="4" w:space="0"/>
              <w:bottom w:val="single" w:color="auto" w:sz="4" w:space="0"/>
              <w:right w:val="single" w:color="auto" w:sz="4" w:space="0"/>
            </w:tcBorders>
            <w:noWrap w:val="0"/>
            <w:vAlign w:val="center"/>
          </w:tcPr>
          <w:p w14:paraId="2DEDBC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tc>
        <w:tc>
          <w:tcPr>
            <w:tcW w:w="5852" w:type="dxa"/>
            <w:gridSpan w:val="6"/>
            <w:tcBorders>
              <w:top w:val="single" w:color="auto" w:sz="4" w:space="0"/>
              <w:left w:val="single" w:color="auto" w:sz="4" w:space="0"/>
              <w:bottom w:val="single" w:color="auto" w:sz="4" w:space="0"/>
              <w:right w:val="single" w:color="auto" w:sz="4" w:space="0"/>
            </w:tcBorders>
            <w:noWrap w:val="0"/>
            <w:vAlign w:val="center"/>
          </w:tcPr>
          <w:p w14:paraId="0BF8BFD3">
            <w:pPr>
              <w:spacing w:line="360" w:lineRule="auto"/>
              <w:rPr>
                <w:rFonts w:hint="eastAsia" w:ascii="宋体" w:hAnsi="宋体" w:eastAsia="宋体" w:cs="宋体"/>
                <w:color w:val="auto"/>
                <w:sz w:val="24"/>
                <w:szCs w:val="24"/>
                <w:highlight w:val="none"/>
              </w:rPr>
            </w:pPr>
          </w:p>
        </w:tc>
      </w:tr>
    </w:tbl>
    <w:p w14:paraId="01F584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注：1．第1栏投标项目合同包/品目号系指“招标项目一览表”中该项目的合同包/品目号。</w:t>
      </w:r>
    </w:p>
    <w:p w14:paraId="2C89AE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2．此表第10项投标价若与开标一览表有出入，以开标一览表投标价格为准。</w:t>
      </w:r>
    </w:p>
    <w:p w14:paraId="029806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3、若未详细分项报价将被视为没有实质性响应招标文件。</w:t>
      </w:r>
    </w:p>
    <w:p w14:paraId="05D0402C">
      <w:pPr>
        <w:spacing w:line="360" w:lineRule="auto"/>
        <w:rPr>
          <w:rFonts w:hint="eastAsia" w:ascii="宋体" w:hAnsi="宋体" w:eastAsia="宋体" w:cs="宋体"/>
          <w:color w:val="auto"/>
          <w:sz w:val="24"/>
          <w:szCs w:val="24"/>
          <w:highlight w:val="none"/>
        </w:rPr>
      </w:pPr>
    </w:p>
    <w:p w14:paraId="5AB182BF">
      <w:pPr>
        <w:widowControl/>
        <w:spacing w:line="360" w:lineRule="auto"/>
        <w:jc w:val="left"/>
        <w:rPr>
          <w:rFonts w:hint="eastAsia" w:ascii="宋体" w:hAnsi="宋体" w:eastAsia="宋体" w:cs="宋体"/>
          <w:color w:val="auto"/>
          <w:sz w:val="24"/>
          <w:szCs w:val="24"/>
          <w:highlight w:val="none"/>
        </w:rPr>
        <w:sectPr>
          <w:footerReference r:id="rId13" w:type="default"/>
          <w:type w:val="nextColumn"/>
          <w:pgSz w:w="11907" w:h="16840"/>
          <w:pgMar w:top="1440" w:right="1752" w:bottom="1440" w:left="1752" w:header="851" w:footer="992" w:gutter="0"/>
          <w:pgNumType w:fmt="decimal"/>
          <w:cols w:space="720" w:num="1"/>
          <w:docGrid w:type="linesAndChars" w:linePitch="323" w:charSpace="-2"/>
        </w:sectPr>
      </w:pPr>
    </w:p>
    <w:p w14:paraId="60B84F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三、项目说明一览表</w:t>
      </w:r>
    </w:p>
    <w:p w14:paraId="6E8B61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（按投标合同包下品目号类别分别填写）</w:t>
      </w:r>
    </w:p>
    <w:p w14:paraId="7178DB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招标编号</w:t>
      </w:r>
      <w:r>
        <w:rPr>
          <w:rFonts w:hint="default" w:ascii="宋体" w:hAnsi="宋体" w:cs="宋体"/>
          <w:color w:val="auto"/>
          <w:sz w:val="24"/>
          <w:szCs w:val="24"/>
          <w:highlight w:val="none"/>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82"/>
        <w:gridCol w:w="1545"/>
        <w:gridCol w:w="1460"/>
        <w:gridCol w:w="1260"/>
        <w:gridCol w:w="2160"/>
        <w:gridCol w:w="1440"/>
        <w:gridCol w:w="3628"/>
      </w:tblGrid>
      <w:tr w14:paraId="539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01" w:type="dxa"/>
            <w:tcBorders>
              <w:top w:val="single" w:color="auto" w:sz="4" w:space="0"/>
              <w:left w:val="single" w:color="auto" w:sz="4" w:space="0"/>
              <w:bottom w:val="single" w:color="auto" w:sz="4" w:space="0"/>
              <w:right w:val="single" w:color="auto" w:sz="4" w:space="0"/>
            </w:tcBorders>
            <w:noWrap w:val="0"/>
            <w:vAlign w:val="center"/>
          </w:tcPr>
          <w:p w14:paraId="4C26ED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65E434C">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0ABC6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477472B">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820B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74FAE89">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DEA1A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628" w:type="dxa"/>
            <w:tcBorders>
              <w:top w:val="single" w:color="auto" w:sz="4" w:space="0"/>
              <w:left w:val="single" w:color="auto" w:sz="4" w:space="0"/>
              <w:bottom w:val="single" w:color="auto" w:sz="4" w:space="0"/>
              <w:right w:val="single" w:color="auto" w:sz="4" w:space="0"/>
            </w:tcBorders>
            <w:noWrap w:val="0"/>
            <w:vAlign w:val="center"/>
          </w:tcPr>
          <w:p w14:paraId="22402498">
            <w:pPr>
              <w:spacing w:line="360" w:lineRule="auto"/>
              <w:rPr>
                <w:rFonts w:hint="eastAsia" w:ascii="宋体" w:hAnsi="宋体" w:eastAsia="宋体" w:cs="宋体"/>
                <w:color w:val="auto"/>
                <w:sz w:val="24"/>
                <w:szCs w:val="24"/>
                <w:highlight w:val="none"/>
              </w:rPr>
            </w:pPr>
          </w:p>
        </w:tc>
      </w:tr>
      <w:tr w14:paraId="6BC1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6B96FF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详细性能说明</w:t>
            </w:r>
          </w:p>
        </w:tc>
      </w:tr>
    </w:tbl>
    <w:p w14:paraId="5D2CA797">
      <w:pPr>
        <w:widowControl/>
        <w:spacing w:line="360" w:lineRule="auto"/>
        <w:jc w:val="left"/>
        <w:rPr>
          <w:rFonts w:hint="eastAsia" w:ascii="宋体" w:hAnsi="宋体" w:eastAsia="宋体" w:cs="宋体"/>
          <w:color w:val="auto"/>
          <w:sz w:val="24"/>
          <w:szCs w:val="24"/>
          <w:highlight w:val="none"/>
        </w:rPr>
        <w:sectPr>
          <w:pgSz w:w="16840" w:h="11907" w:orient="landscape"/>
          <w:pgMar w:top="1752" w:right="1440" w:bottom="1752" w:left="1440" w:header="851" w:footer="992" w:gutter="0"/>
          <w:pgNumType w:fmt="decimal"/>
          <w:cols w:space="720" w:num="1"/>
          <w:docGrid w:type="lines" w:linePitch="323" w:charSpace="0"/>
        </w:sectPr>
      </w:pPr>
    </w:p>
    <w:p w14:paraId="7795B9B9">
      <w:pPr>
        <w:pStyle w:val="20"/>
        <w:spacing w:line="360" w:lineRule="auto"/>
        <w:jc w:val="center"/>
        <w:outlineLvl w:val="9"/>
        <w:rPr>
          <w:rFonts w:hint="eastAsia" w:hAnsi="宋体" w:eastAsia="宋体" w:cs="宋体"/>
          <w:color w:val="auto"/>
          <w:sz w:val="24"/>
          <w:szCs w:val="24"/>
          <w:highlight w:val="none"/>
        </w:rPr>
      </w:pPr>
      <w:bookmarkStart w:id="177" w:name="_Toc1767278120"/>
      <w:bookmarkStart w:id="178" w:name="_Toc9011"/>
      <w:bookmarkStart w:id="179" w:name="_Toc2019487123"/>
      <w:bookmarkStart w:id="180" w:name="_Toc8259"/>
      <w:r>
        <w:rPr>
          <w:rFonts w:hint="eastAsia" w:hAnsi="宋体" w:eastAsia="宋体" w:cs="宋体"/>
          <w:b/>
          <w:color w:val="auto"/>
          <w:sz w:val="32"/>
          <w:szCs w:val="32"/>
          <w:highlight w:val="none"/>
        </w:rPr>
        <w:t>四、项目范围</w:t>
      </w:r>
      <w:r>
        <w:rPr>
          <w:rFonts w:hint="eastAsia" w:hAnsi="宋体" w:eastAsia="宋体" w:cs="宋体"/>
          <w:b/>
          <w:bCs/>
          <w:color w:val="auto"/>
          <w:sz w:val="32"/>
          <w:szCs w:val="32"/>
          <w:highlight w:val="none"/>
        </w:rPr>
        <w:t>清单</w:t>
      </w:r>
      <w:bookmarkEnd w:id="177"/>
      <w:bookmarkEnd w:id="178"/>
      <w:bookmarkEnd w:id="179"/>
      <w:bookmarkEnd w:id="180"/>
    </w:p>
    <w:p w14:paraId="1F43D4A8">
      <w:pPr>
        <w:pStyle w:val="20"/>
        <w:spacing w:line="360" w:lineRule="auto"/>
        <w:jc w:val="left"/>
        <w:outlineLvl w:val="9"/>
        <w:rPr>
          <w:rFonts w:hint="eastAsia" w:hAnsi="宋体" w:eastAsia="宋体" w:cs="宋体"/>
          <w:color w:val="auto"/>
          <w:sz w:val="24"/>
          <w:szCs w:val="24"/>
          <w:highlight w:val="none"/>
        </w:rPr>
      </w:pPr>
    </w:p>
    <w:p w14:paraId="6A1EF9A4">
      <w:pPr>
        <w:spacing w:line="360" w:lineRule="auto"/>
        <w:rPr>
          <w:rFonts w:hint="eastAsia" w:ascii="宋体" w:hAnsi="宋体" w:eastAsia="宋体" w:cs="宋体"/>
          <w:color w:val="auto"/>
          <w:sz w:val="24"/>
          <w:szCs w:val="24"/>
          <w:highlight w:val="none"/>
        </w:rPr>
      </w:pPr>
    </w:p>
    <w:p w14:paraId="62990718">
      <w:pPr>
        <w:spacing w:line="360" w:lineRule="auto"/>
        <w:rPr>
          <w:rFonts w:hint="eastAsia" w:ascii="宋体" w:hAnsi="宋体" w:eastAsia="宋体" w:cs="宋体"/>
          <w:color w:val="auto"/>
          <w:sz w:val="24"/>
          <w:szCs w:val="24"/>
          <w:highlight w:val="none"/>
        </w:rPr>
      </w:pPr>
    </w:p>
    <w:p w14:paraId="7F356590">
      <w:pPr>
        <w:spacing w:line="360" w:lineRule="auto"/>
        <w:rPr>
          <w:rFonts w:hint="eastAsia" w:ascii="宋体" w:hAnsi="宋体" w:eastAsia="宋体" w:cs="宋体"/>
          <w:color w:val="auto"/>
          <w:sz w:val="24"/>
          <w:szCs w:val="24"/>
          <w:highlight w:val="none"/>
        </w:rPr>
      </w:pPr>
    </w:p>
    <w:p w14:paraId="46C103AE">
      <w:pPr>
        <w:spacing w:line="360" w:lineRule="auto"/>
        <w:rPr>
          <w:rFonts w:hint="eastAsia" w:ascii="宋体" w:hAnsi="宋体" w:eastAsia="宋体" w:cs="宋体"/>
          <w:color w:val="auto"/>
          <w:sz w:val="24"/>
          <w:szCs w:val="24"/>
          <w:highlight w:val="none"/>
        </w:rPr>
      </w:pPr>
    </w:p>
    <w:p w14:paraId="6E6BE799">
      <w:pPr>
        <w:spacing w:line="360" w:lineRule="auto"/>
        <w:rPr>
          <w:rFonts w:hint="eastAsia" w:ascii="宋体" w:hAnsi="宋体" w:eastAsia="宋体" w:cs="宋体"/>
          <w:color w:val="auto"/>
          <w:sz w:val="24"/>
          <w:szCs w:val="24"/>
          <w:highlight w:val="none"/>
        </w:rPr>
      </w:pPr>
    </w:p>
    <w:p w14:paraId="1BD75DFA">
      <w:pPr>
        <w:spacing w:line="360" w:lineRule="auto"/>
        <w:rPr>
          <w:rFonts w:hint="eastAsia" w:ascii="宋体" w:hAnsi="宋体" w:eastAsia="宋体" w:cs="宋体"/>
          <w:color w:val="auto"/>
          <w:sz w:val="24"/>
          <w:szCs w:val="24"/>
          <w:highlight w:val="none"/>
        </w:rPr>
      </w:pPr>
    </w:p>
    <w:p w14:paraId="59A18F22">
      <w:pPr>
        <w:spacing w:line="360" w:lineRule="auto"/>
        <w:rPr>
          <w:rFonts w:hint="eastAsia" w:ascii="宋体" w:hAnsi="宋体" w:eastAsia="宋体" w:cs="宋体"/>
          <w:color w:val="auto"/>
          <w:sz w:val="24"/>
          <w:szCs w:val="24"/>
          <w:highlight w:val="none"/>
        </w:rPr>
      </w:pPr>
    </w:p>
    <w:p w14:paraId="4264091A">
      <w:pPr>
        <w:spacing w:line="360" w:lineRule="auto"/>
        <w:rPr>
          <w:rFonts w:hint="eastAsia" w:ascii="宋体" w:hAnsi="宋体" w:eastAsia="宋体" w:cs="宋体"/>
          <w:color w:val="auto"/>
          <w:sz w:val="24"/>
          <w:szCs w:val="24"/>
          <w:highlight w:val="none"/>
        </w:rPr>
      </w:pPr>
    </w:p>
    <w:p w14:paraId="3BEF673C">
      <w:pPr>
        <w:spacing w:line="360" w:lineRule="auto"/>
        <w:rPr>
          <w:rFonts w:hint="eastAsia" w:ascii="宋体" w:hAnsi="宋体" w:eastAsia="宋体" w:cs="宋体"/>
          <w:color w:val="auto"/>
          <w:sz w:val="24"/>
          <w:szCs w:val="24"/>
          <w:highlight w:val="none"/>
        </w:rPr>
      </w:pPr>
    </w:p>
    <w:p w14:paraId="27E2BC65">
      <w:pPr>
        <w:spacing w:line="360" w:lineRule="auto"/>
        <w:rPr>
          <w:rFonts w:hint="eastAsia" w:ascii="宋体" w:hAnsi="宋体" w:eastAsia="宋体" w:cs="宋体"/>
          <w:color w:val="auto"/>
          <w:sz w:val="24"/>
          <w:szCs w:val="24"/>
          <w:highlight w:val="none"/>
        </w:rPr>
      </w:pPr>
    </w:p>
    <w:p w14:paraId="13672480">
      <w:pPr>
        <w:spacing w:line="360" w:lineRule="auto"/>
        <w:rPr>
          <w:rFonts w:hint="eastAsia" w:ascii="宋体" w:hAnsi="宋体" w:eastAsia="宋体" w:cs="宋体"/>
          <w:color w:val="auto"/>
          <w:sz w:val="24"/>
          <w:szCs w:val="24"/>
          <w:highlight w:val="none"/>
        </w:rPr>
      </w:pPr>
    </w:p>
    <w:p w14:paraId="05353D62">
      <w:pPr>
        <w:spacing w:line="360" w:lineRule="auto"/>
        <w:rPr>
          <w:rFonts w:hint="eastAsia" w:ascii="宋体" w:hAnsi="宋体" w:eastAsia="宋体" w:cs="宋体"/>
          <w:color w:val="auto"/>
          <w:sz w:val="24"/>
          <w:szCs w:val="24"/>
          <w:highlight w:val="none"/>
        </w:rPr>
      </w:pPr>
    </w:p>
    <w:p w14:paraId="384FB625">
      <w:pPr>
        <w:pStyle w:val="20"/>
        <w:spacing w:line="360" w:lineRule="auto"/>
        <w:jc w:val="center"/>
        <w:outlineLvl w:val="9"/>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br w:type="page"/>
      </w:r>
      <w:bookmarkStart w:id="181" w:name="_Toc1840"/>
      <w:bookmarkStart w:id="182" w:name="_Toc4655"/>
      <w:bookmarkStart w:id="183" w:name="_Toc768022173"/>
      <w:bookmarkStart w:id="184" w:name="_Toc671984056"/>
      <w:r>
        <w:rPr>
          <w:rFonts w:hint="eastAsia" w:hAnsi="宋体" w:eastAsia="宋体" w:cs="宋体"/>
          <w:b/>
          <w:color w:val="auto"/>
          <w:sz w:val="32"/>
          <w:szCs w:val="32"/>
          <w:highlight w:val="none"/>
        </w:rPr>
        <w:t>五、</w:t>
      </w:r>
      <w:r>
        <w:rPr>
          <w:rFonts w:hint="eastAsia" w:hAnsi="宋体" w:eastAsia="宋体" w:cs="宋体"/>
          <w:b/>
          <w:bCs/>
          <w:color w:val="auto"/>
          <w:sz w:val="32"/>
          <w:szCs w:val="32"/>
          <w:highlight w:val="none"/>
        </w:rPr>
        <w:t>技术规格和商务响应表</w:t>
      </w:r>
      <w:bookmarkEnd w:id="181"/>
      <w:bookmarkEnd w:id="182"/>
      <w:bookmarkEnd w:id="183"/>
      <w:bookmarkEnd w:id="184"/>
    </w:p>
    <w:p w14:paraId="3B6141E4">
      <w:pPr>
        <w:pStyle w:val="20"/>
        <w:spacing w:line="360" w:lineRule="auto"/>
        <w:ind w:left="1"/>
        <w:outlineLvl w:val="9"/>
        <w:rPr>
          <w:rFonts w:hint="eastAsia" w:hAnsi="宋体" w:eastAsia="宋体" w:cs="宋体"/>
          <w:color w:val="auto"/>
          <w:sz w:val="24"/>
          <w:szCs w:val="24"/>
          <w:highlight w:val="none"/>
        </w:rPr>
      </w:pPr>
      <w:bookmarkStart w:id="185" w:name="_Toc573631322"/>
      <w:bookmarkStart w:id="186" w:name="_Toc9260"/>
      <w:bookmarkStart w:id="187" w:name="_Toc18018"/>
      <w:bookmarkStart w:id="188" w:name="_Toc531286690"/>
      <w:r>
        <w:rPr>
          <w:rFonts w:hint="eastAsia" w:hAnsi="宋体" w:eastAsia="宋体" w:cs="宋体"/>
          <w:color w:val="auto"/>
          <w:sz w:val="24"/>
          <w:szCs w:val="24"/>
          <w:highlight w:val="none"/>
        </w:rPr>
        <w:t>投标人（全称并加盖公章）：                         招标编号</w:t>
      </w:r>
      <w:r>
        <w:rPr>
          <w:rFonts w:hint="default" w:hAnsi="宋体" w:cs="宋体"/>
          <w:color w:val="auto"/>
          <w:sz w:val="24"/>
          <w:szCs w:val="24"/>
          <w:highlight w:val="none"/>
        </w:rPr>
        <w:t>：</w:t>
      </w:r>
      <w:bookmarkEnd w:id="185"/>
      <w:bookmarkEnd w:id="186"/>
      <w:bookmarkEnd w:id="187"/>
      <w:bookmarkEnd w:id="188"/>
      <w:r>
        <w:rPr>
          <w:rFonts w:hint="eastAsia" w:hAnsi="宋体" w:eastAsia="宋体" w:cs="宋体"/>
          <w:color w:val="auto"/>
          <w:sz w:val="24"/>
          <w:szCs w:val="24"/>
          <w:highlight w:val="none"/>
        </w:rPr>
        <w:tab/>
      </w:r>
    </w:p>
    <w:tbl>
      <w:tblPr>
        <w:tblStyle w:val="12"/>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14:paraId="0D0F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noWrap w:val="0"/>
            <w:vAlign w:val="center"/>
          </w:tcPr>
          <w:p w14:paraId="22786C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4166" w:type="dxa"/>
            <w:gridSpan w:val="3"/>
            <w:tcBorders>
              <w:top w:val="single" w:color="auto" w:sz="4" w:space="0"/>
              <w:left w:val="single" w:color="auto" w:sz="4" w:space="0"/>
              <w:bottom w:val="single" w:color="auto" w:sz="4" w:space="0"/>
              <w:right w:val="single" w:color="auto" w:sz="4" w:space="0"/>
            </w:tcBorders>
            <w:noWrap w:val="0"/>
            <w:vAlign w:val="center"/>
          </w:tcPr>
          <w:p w14:paraId="0F86D3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r>
      <w:tr w14:paraId="33E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01E9D6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C481F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A47FB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B0DF8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95779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DD6A2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投标响应对应的页码</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428453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3BC9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59B6E51D">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2EA7E52D">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445F902E">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6BA64248">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217FDEC">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3FD22908">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3A0B4B20">
            <w:pPr>
              <w:spacing w:line="360" w:lineRule="auto"/>
              <w:rPr>
                <w:rFonts w:hint="eastAsia" w:ascii="宋体" w:hAnsi="宋体" w:eastAsia="宋体" w:cs="宋体"/>
                <w:color w:val="auto"/>
                <w:sz w:val="24"/>
                <w:szCs w:val="24"/>
                <w:highlight w:val="none"/>
              </w:rPr>
            </w:pPr>
          </w:p>
        </w:tc>
      </w:tr>
      <w:tr w14:paraId="2A3E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22361707">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44DC9397">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15841999">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63A8F9AE">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7489FAA">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3280A22B">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0265C940">
            <w:pPr>
              <w:spacing w:line="360" w:lineRule="auto"/>
              <w:rPr>
                <w:rFonts w:hint="eastAsia" w:ascii="宋体" w:hAnsi="宋体" w:eastAsia="宋体" w:cs="宋体"/>
                <w:color w:val="auto"/>
                <w:sz w:val="24"/>
                <w:szCs w:val="24"/>
                <w:highlight w:val="none"/>
              </w:rPr>
            </w:pPr>
          </w:p>
        </w:tc>
      </w:tr>
      <w:tr w14:paraId="2A94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4CFC4A65">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0CB18EEF">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4F7260FC">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408B2BC6">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330BA84B">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1E820076">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45929F45">
            <w:pPr>
              <w:spacing w:line="360" w:lineRule="auto"/>
              <w:rPr>
                <w:rFonts w:hint="eastAsia" w:ascii="宋体" w:hAnsi="宋体" w:eastAsia="宋体" w:cs="宋体"/>
                <w:color w:val="auto"/>
                <w:sz w:val="24"/>
                <w:szCs w:val="24"/>
                <w:highlight w:val="none"/>
              </w:rPr>
            </w:pPr>
          </w:p>
        </w:tc>
      </w:tr>
    </w:tbl>
    <w:p w14:paraId="6C4CC9FA">
      <w:pPr>
        <w:spacing w:line="360" w:lineRule="auto"/>
        <w:rPr>
          <w:rFonts w:hint="eastAsia" w:ascii="宋体" w:hAnsi="宋体" w:eastAsia="宋体" w:cs="宋体"/>
          <w:color w:val="auto"/>
          <w:sz w:val="24"/>
          <w:szCs w:val="24"/>
          <w:highlight w:val="none"/>
        </w:rPr>
      </w:pPr>
    </w:p>
    <w:p w14:paraId="7C750D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kern w:val="0"/>
          <w:sz w:val="24"/>
          <w:szCs w:val="24"/>
          <w:highlight w:val="none"/>
        </w:rPr>
        <w:t>投标人应对招标文件中的“*”号条款进行逐条响应，否则评标委员会对其投标做出不利评审，投标人必须自行承担责任</w:t>
      </w:r>
      <w:r>
        <w:rPr>
          <w:rFonts w:hint="eastAsia" w:ascii="宋体" w:hAnsi="宋体" w:eastAsia="宋体" w:cs="宋体"/>
          <w:color w:val="auto"/>
          <w:sz w:val="24"/>
          <w:szCs w:val="24"/>
          <w:highlight w:val="none"/>
        </w:rPr>
        <w:t>。投标人存在弄虚作假行为的，将依法承担相应的法律责任。</w:t>
      </w:r>
    </w:p>
    <w:p w14:paraId="780B0348">
      <w:pPr>
        <w:spacing w:line="360" w:lineRule="auto"/>
        <w:rPr>
          <w:rFonts w:hint="eastAsia" w:ascii="宋体" w:hAnsi="宋体" w:eastAsia="宋体" w:cs="宋体"/>
          <w:color w:val="auto"/>
          <w:sz w:val="24"/>
          <w:szCs w:val="24"/>
          <w:highlight w:val="none"/>
        </w:rPr>
      </w:pPr>
    </w:p>
    <w:p w14:paraId="524C74FF">
      <w:pPr>
        <w:spacing w:line="360" w:lineRule="auto"/>
        <w:rPr>
          <w:rFonts w:hint="eastAsia" w:ascii="宋体" w:hAnsi="宋体" w:eastAsia="宋体" w:cs="宋体"/>
          <w:color w:val="auto"/>
          <w:sz w:val="24"/>
          <w:szCs w:val="24"/>
          <w:highlight w:val="none"/>
        </w:rPr>
      </w:pPr>
    </w:p>
    <w:p w14:paraId="272C93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p>
    <w:p w14:paraId="0DF03675">
      <w:pPr>
        <w:spacing w:line="360" w:lineRule="auto"/>
        <w:rPr>
          <w:rFonts w:hint="eastAsia" w:ascii="宋体" w:hAnsi="宋体" w:eastAsia="宋体" w:cs="宋体"/>
          <w:color w:val="auto"/>
          <w:sz w:val="24"/>
          <w:szCs w:val="24"/>
          <w:highlight w:val="none"/>
        </w:rPr>
      </w:pPr>
    </w:p>
    <w:p w14:paraId="15FD817B">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六、投标人的资格证明文件</w:t>
      </w:r>
    </w:p>
    <w:p w14:paraId="7B44CEE6">
      <w:pPr>
        <w:pStyle w:val="20"/>
        <w:spacing w:line="360" w:lineRule="auto"/>
        <w:outlineLvl w:val="9"/>
        <w:rPr>
          <w:rFonts w:hint="eastAsia" w:hAnsi="宋体" w:eastAsia="宋体" w:cs="宋体"/>
          <w:color w:val="auto"/>
          <w:sz w:val="32"/>
          <w:szCs w:val="32"/>
          <w:highlight w:val="none"/>
        </w:rPr>
      </w:pPr>
    </w:p>
    <w:p w14:paraId="7DFC26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关于资格的声明函</w:t>
      </w:r>
    </w:p>
    <w:p w14:paraId="60BFE62A">
      <w:pPr>
        <w:spacing w:line="360" w:lineRule="auto"/>
        <w:jc w:val="center"/>
        <w:rPr>
          <w:rFonts w:hint="eastAsia" w:ascii="宋体" w:hAnsi="宋体" w:eastAsia="宋体" w:cs="宋体"/>
          <w:color w:val="auto"/>
          <w:sz w:val="24"/>
          <w:szCs w:val="24"/>
          <w:highlight w:val="none"/>
        </w:rPr>
      </w:pPr>
    </w:p>
    <w:p w14:paraId="2CBCB0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FFC96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（招标编号）投标邀请，本签字人愿意参加投标，提供招标文件“招标服务及要求”中规定的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29C63E64">
      <w:pPr>
        <w:spacing w:line="360" w:lineRule="auto"/>
        <w:ind w:firstLine="480" w:firstLineChars="200"/>
        <w:rPr>
          <w:rFonts w:hint="eastAsia" w:ascii="宋体" w:hAnsi="宋体" w:eastAsia="宋体" w:cs="宋体"/>
          <w:color w:val="auto"/>
          <w:sz w:val="24"/>
          <w:szCs w:val="24"/>
          <w:highlight w:val="none"/>
        </w:rPr>
      </w:pPr>
    </w:p>
    <w:p w14:paraId="000EF2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1．本签字人确认资格文件中的说明以及投标文件中所有提交的文件和材料是真实的、准确的。</w:t>
      </w:r>
    </w:p>
    <w:p w14:paraId="14AAB0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份，随投标文件一同递交。</w:t>
      </w:r>
    </w:p>
    <w:p w14:paraId="117D80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86D0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0C54C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6BB1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7A55F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529CF0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57BC48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3563183">
      <w:pPr>
        <w:spacing w:line="360" w:lineRule="auto"/>
        <w:jc w:val="both"/>
        <w:rPr>
          <w:rFonts w:hint="eastAsia" w:ascii="宋体" w:hAnsi="宋体" w:eastAsia="宋体" w:cs="宋体"/>
          <w:b/>
          <w:color w:val="auto"/>
          <w:sz w:val="24"/>
          <w:szCs w:val="24"/>
          <w:highlight w:val="none"/>
        </w:rPr>
      </w:pPr>
    </w:p>
    <w:p w14:paraId="2B09006F">
      <w:pPr>
        <w:spacing w:line="360" w:lineRule="auto"/>
        <w:jc w:val="center"/>
        <w:rPr>
          <w:rFonts w:hint="eastAsia" w:ascii="宋体" w:hAnsi="宋体" w:eastAsia="宋体" w:cs="宋体"/>
          <w:b/>
          <w:color w:val="auto"/>
          <w:sz w:val="24"/>
          <w:szCs w:val="24"/>
          <w:highlight w:val="none"/>
        </w:rPr>
      </w:pPr>
    </w:p>
    <w:p w14:paraId="0E291285">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pgNumType w:fmt="decimal"/>
          <w:cols w:space="720" w:num="1"/>
          <w:docGrid w:type="linesAndChars" w:linePitch="323" w:charSpace="-2"/>
        </w:sectPr>
      </w:pPr>
    </w:p>
    <w:p w14:paraId="686337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投标人的资格声明</w:t>
      </w:r>
    </w:p>
    <w:p w14:paraId="404BDA09">
      <w:pPr>
        <w:spacing w:line="360" w:lineRule="auto"/>
        <w:jc w:val="center"/>
        <w:rPr>
          <w:rFonts w:hint="eastAsia" w:ascii="宋体" w:hAnsi="宋体" w:eastAsia="宋体" w:cs="宋体"/>
          <w:color w:val="auto"/>
          <w:sz w:val="24"/>
          <w:szCs w:val="24"/>
          <w:highlight w:val="none"/>
        </w:rPr>
      </w:pPr>
    </w:p>
    <w:p w14:paraId="7B5E6D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1．投标人概况：                                   </w:t>
      </w:r>
    </w:p>
    <w:p w14:paraId="6C6FC3D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Ａ．投标人名称：</w:t>
      </w:r>
      <w:r>
        <w:rPr>
          <w:rFonts w:hint="eastAsia" w:ascii="宋体" w:hAnsi="宋体" w:eastAsia="宋体" w:cs="宋体"/>
          <w:color w:val="auto"/>
          <w:sz w:val="24"/>
          <w:szCs w:val="24"/>
          <w:highlight w:val="none"/>
          <w:u w:val="single"/>
        </w:rPr>
        <w:t xml:space="preserve">                               </w:t>
      </w:r>
    </w:p>
    <w:p w14:paraId="61B0338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0578A9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797A4B0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78520E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5E8142E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496018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74EA05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74F7B9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074EBAC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3C3C78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62581E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39BF76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65DAAB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56E706A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290AAB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11F08051">
      <w:pPr>
        <w:spacing w:line="360" w:lineRule="auto"/>
        <w:rPr>
          <w:rFonts w:hint="eastAsia" w:ascii="宋体" w:hAnsi="宋体" w:eastAsia="宋体" w:cs="宋体"/>
          <w:color w:val="auto"/>
          <w:sz w:val="24"/>
          <w:szCs w:val="24"/>
          <w:highlight w:val="none"/>
        </w:rPr>
      </w:pPr>
    </w:p>
    <w:p w14:paraId="28A3A1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2．我方在此声明，我方具备并满足下列各项条款的规定。本声明如有虚假或不实之处，我方将失去合格投标人资格且我方的投标保证金将不予退还。</w:t>
      </w:r>
    </w:p>
    <w:p w14:paraId="501F99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42685A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0A8B59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4D897B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1DC04C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（5）近三年内，在经营活动中没有重大违法记录。 </w:t>
      </w:r>
    </w:p>
    <w:p w14:paraId="66E62C1F">
      <w:pPr>
        <w:spacing w:line="360" w:lineRule="auto"/>
        <w:rPr>
          <w:rFonts w:hint="eastAsia" w:ascii="宋体" w:hAnsi="宋体" w:eastAsia="宋体" w:cs="宋体"/>
          <w:color w:val="auto"/>
          <w:sz w:val="24"/>
          <w:szCs w:val="24"/>
          <w:highlight w:val="none"/>
        </w:rPr>
      </w:pPr>
    </w:p>
    <w:p w14:paraId="3CFCDB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3．最近三年投标服务在国内主要用户的名称和地址：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C69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99951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546E5D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3AD8C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344857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3CA1A5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526C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03ED687">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A913DEA">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1B05EBA">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8CC583D">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7861B16">
            <w:pPr>
              <w:spacing w:line="360" w:lineRule="auto"/>
              <w:rPr>
                <w:rFonts w:hint="eastAsia" w:ascii="宋体" w:hAnsi="宋体" w:eastAsia="宋体" w:cs="宋体"/>
                <w:color w:val="auto"/>
                <w:sz w:val="24"/>
                <w:szCs w:val="24"/>
                <w:highlight w:val="none"/>
              </w:rPr>
            </w:pPr>
          </w:p>
        </w:tc>
      </w:tr>
      <w:tr w14:paraId="4C89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A73A632">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019E6BD3">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A7F4D71">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E658A5D">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44C2A99">
            <w:pPr>
              <w:spacing w:line="360" w:lineRule="auto"/>
              <w:rPr>
                <w:rFonts w:hint="eastAsia" w:ascii="宋体" w:hAnsi="宋体" w:eastAsia="宋体" w:cs="宋体"/>
                <w:color w:val="auto"/>
                <w:sz w:val="24"/>
                <w:szCs w:val="24"/>
                <w:highlight w:val="none"/>
              </w:rPr>
            </w:pPr>
          </w:p>
        </w:tc>
      </w:tr>
      <w:tr w14:paraId="67F8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7CF238E">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438E769F">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A660A3C">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965311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B204F35">
            <w:pPr>
              <w:spacing w:line="360" w:lineRule="auto"/>
              <w:rPr>
                <w:rFonts w:hint="eastAsia" w:ascii="宋体" w:hAnsi="宋体" w:eastAsia="宋体" w:cs="宋体"/>
                <w:color w:val="auto"/>
                <w:sz w:val="24"/>
                <w:szCs w:val="24"/>
                <w:highlight w:val="none"/>
              </w:rPr>
            </w:pPr>
          </w:p>
        </w:tc>
      </w:tr>
      <w:tr w14:paraId="09C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1DFB880">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526DD18">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C2AC4A4">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B3F3036">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BC34C7C">
            <w:pPr>
              <w:spacing w:line="360" w:lineRule="auto"/>
              <w:rPr>
                <w:rFonts w:hint="eastAsia" w:ascii="宋体" w:hAnsi="宋体" w:eastAsia="宋体" w:cs="宋体"/>
                <w:color w:val="auto"/>
                <w:sz w:val="24"/>
                <w:szCs w:val="24"/>
                <w:highlight w:val="none"/>
              </w:rPr>
            </w:pPr>
          </w:p>
        </w:tc>
      </w:tr>
      <w:tr w14:paraId="78D3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E80D625">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F1B6DB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71EDFA0">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9C4CC94">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57605C1">
            <w:pPr>
              <w:spacing w:line="360" w:lineRule="auto"/>
              <w:rPr>
                <w:rFonts w:hint="eastAsia" w:ascii="宋体" w:hAnsi="宋体" w:eastAsia="宋体" w:cs="宋体"/>
                <w:color w:val="auto"/>
                <w:sz w:val="24"/>
                <w:szCs w:val="24"/>
                <w:highlight w:val="none"/>
              </w:rPr>
            </w:pPr>
          </w:p>
        </w:tc>
      </w:tr>
      <w:tr w14:paraId="1FD1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8B84D1F">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A6266FB">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276C406">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EECB669">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8A09722">
            <w:pPr>
              <w:spacing w:line="360" w:lineRule="auto"/>
              <w:rPr>
                <w:rFonts w:hint="eastAsia" w:ascii="宋体" w:hAnsi="宋体" w:eastAsia="宋体" w:cs="宋体"/>
                <w:color w:val="auto"/>
                <w:sz w:val="24"/>
                <w:szCs w:val="24"/>
                <w:highlight w:val="none"/>
              </w:rPr>
            </w:pPr>
          </w:p>
        </w:tc>
      </w:tr>
    </w:tbl>
    <w:p w14:paraId="6F9A4C20">
      <w:pPr>
        <w:spacing w:line="360" w:lineRule="auto"/>
        <w:rPr>
          <w:rFonts w:hint="eastAsia" w:ascii="宋体" w:hAnsi="宋体" w:eastAsia="宋体" w:cs="宋体"/>
          <w:color w:val="auto"/>
          <w:sz w:val="24"/>
          <w:szCs w:val="24"/>
          <w:highlight w:val="none"/>
        </w:rPr>
      </w:pPr>
    </w:p>
    <w:p w14:paraId="7CBAA4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单位营业执照、税务登记证见附件。</w:t>
      </w:r>
    </w:p>
    <w:p w14:paraId="3015738A">
      <w:pPr>
        <w:spacing w:line="360" w:lineRule="auto"/>
        <w:rPr>
          <w:rFonts w:hint="eastAsia" w:ascii="宋体" w:hAnsi="宋体" w:eastAsia="宋体" w:cs="宋体"/>
          <w:color w:val="auto"/>
          <w:sz w:val="24"/>
          <w:szCs w:val="24"/>
          <w:highlight w:val="none"/>
        </w:rPr>
      </w:pPr>
    </w:p>
    <w:p w14:paraId="718564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14:paraId="07CD9A1A">
      <w:pPr>
        <w:spacing w:line="360" w:lineRule="auto"/>
        <w:rPr>
          <w:rFonts w:hint="eastAsia" w:ascii="宋体" w:hAnsi="宋体" w:eastAsia="宋体" w:cs="宋体"/>
          <w:color w:val="auto"/>
          <w:sz w:val="24"/>
          <w:szCs w:val="24"/>
          <w:highlight w:val="none"/>
        </w:rPr>
      </w:pPr>
    </w:p>
    <w:p w14:paraId="03AE77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14:paraId="2CB944F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7712C1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36357F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447BF8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6CF4168B">
      <w:pPr>
        <w:spacing w:line="360" w:lineRule="auto"/>
        <w:rPr>
          <w:rFonts w:hint="eastAsia" w:ascii="宋体" w:hAnsi="宋体" w:eastAsia="宋体" w:cs="宋体"/>
          <w:color w:val="auto"/>
          <w:sz w:val="24"/>
          <w:szCs w:val="24"/>
          <w:highlight w:val="none"/>
        </w:rPr>
      </w:pPr>
    </w:p>
    <w:p w14:paraId="474EAFFD">
      <w:pPr>
        <w:spacing w:line="360" w:lineRule="auto"/>
        <w:rPr>
          <w:rFonts w:hint="eastAsia" w:ascii="宋体" w:hAnsi="宋体" w:eastAsia="宋体" w:cs="宋体"/>
          <w:color w:val="auto"/>
          <w:sz w:val="24"/>
          <w:szCs w:val="24"/>
          <w:highlight w:val="none"/>
        </w:rPr>
      </w:pPr>
    </w:p>
    <w:p w14:paraId="5D67266D">
      <w:pPr>
        <w:pStyle w:val="20"/>
        <w:spacing w:line="360" w:lineRule="auto"/>
        <w:outlineLvl w:val="9"/>
        <w:rPr>
          <w:rFonts w:hint="eastAsia" w:hAnsi="宋体" w:eastAsia="宋体" w:cs="宋体"/>
          <w:color w:val="auto"/>
          <w:sz w:val="24"/>
          <w:szCs w:val="24"/>
          <w:highlight w:val="none"/>
        </w:rPr>
      </w:pPr>
    </w:p>
    <w:p w14:paraId="56997F8E">
      <w:pPr>
        <w:pStyle w:val="20"/>
        <w:spacing w:line="360" w:lineRule="auto"/>
        <w:outlineLvl w:val="9"/>
        <w:rPr>
          <w:rFonts w:hint="eastAsia" w:hAnsi="宋体" w:eastAsia="宋体" w:cs="宋体"/>
          <w:color w:val="auto"/>
          <w:sz w:val="24"/>
          <w:szCs w:val="24"/>
          <w:highlight w:val="none"/>
        </w:rPr>
      </w:pPr>
    </w:p>
    <w:p w14:paraId="3AE2FB73">
      <w:pPr>
        <w:pStyle w:val="20"/>
        <w:spacing w:line="360" w:lineRule="auto"/>
        <w:outlineLvl w:val="9"/>
        <w:rPr>
          <w:rFonts w:hint="eastAsia" w:hAnsi="宋体" w:eastAsia="宋体" w:cs="宋体"/>
          <w:color w:val="auto"/>
          <w:sz w:val="24"/>
          <w:szCs w:val="24"/>
          <w:highlight w:val="none"/>
        </w:rPr>
      </w:pPr>
    </w:p>
    <w:p w14:paraId="7CAAA5A1">
      <w:pPr>
        <w:pStyle w:val="20"/>
        <w:spacing w:line="360" w:lineRule="auto"/>
        <w:outlineLvl w:val="9"/>
        <w:rPr>
          <w:rFonts w:hint="eastAsia" w:hAnsi="宋体" w:eastAsia="宋体" w:cs="宋体"/>
          <w:color w:val="auto"/>
          <w:sz w:val="24"/>
          <w:szCs w:val="24"/>
          <w:highlight w:val="none"/>
        </w:rPr>
      </w:pPr>
    </w:p>
    <w:p w14:paraId="2037A51A">
      <w:pPr>
        <w:pStyle w:val="20"/>
        <w:spacing w:line="360" w:lineRule="auto"/>
        <w:outlineLvl w:val="9"/>
        <w:rPr>
          <w:rFonts w:hint="eastAsia" w:hAnsi="宋体" w:eastAsia="宋体" w:cs="宋体"/>
          <w:color w:val="auto"/>
          <w:sz w:val="24"/>
          <w:szCs w:val="24"/>
          <w:highlight w:val="none"/>
        </w:rPr>
      </w:pPr>
    </w:p>
    <w:p w14:paraId="1B66AAFE">
      <w:pPr>
        <w:pStyle w:val="20"/>
        <w:spacing w:line="360" w:lineRule="auto"/>
        <w:outlineLvl w:val="9"/>
        <w:rPr>
          <w:rFonts w:hint="eastAsia" w:hAnsi="宋体" w:eastAsia="宋体" w:cs="宋体"/>
          <w:color w:val="auto"/>
          <w:sz w:val="24"/>
          <w:szCs w:val="24"/>
          <w:highlight w:val="none"/>
        </w:rPr>
      </w:pPr>
    </w:p>
    <w:p w14:paraId="0E7BA274">
      <w:pPr>
        <w:pStyle w:val="20"/>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br w:type="page"/>
      </w:r>
      <w:bookmarkStart w:id="189" w:name="_Toc30620"/>
      <w:bookmarkStart w:id="190" w:name="_Toc1956882975"/>
      <w:bookmarkStart w:id="191" w:name="_Toc984446747"/>
      <w:bookmarkStart w:id="192" w:name="_Toc19330"/>
      <w:r>
        <w:rPr>
          <w:rFonts w:hint="eastAsia" w:hAnsi="宋体" w:eastAsia="宋体" w:cs="宋体"/>
          <w:b/>
          <w:color w:val="auto"/>
          <w:sz w:val="32"/>
          <w:szCs w:val="32"/>
          <w:highlight w:val="none"/>
        </w:rPr>
        <w:t>单位授权书</w:t>
      </w:r>
      <w:bookmarkEnd w:id="189"/>
      <w:bookmarkEnd w:id="190"/>
      <w:bookmarkEnd w:id="191"/>
      <w:bookmarkEnd w:id="192"/>
    </w:p>
    <w:p w14:paraId="4E3FE5C4">
      <w:pPr>
        <w:pStyle w:val="20"/>
        <w:spacing w:line="360" w:lineRule="auto"/>
        <w:jc w:val="center"/>
        <w:outlineLvl w:val="9"/>
        <w:rPr>
          <w:rFonts w:hint="eastAsia" w:hAnsi="宋体" w:eastAsia="宋体" w:cs="宋体"/>
          <w:color w:val="auto"/>
          <w:sz w:val="24"/>
          <w:szCs w:val="24"/>
          <w:highlight w:val="none"/>
        </w:rPr>
      </w:pPr>
    </w:p>
    <w:p w14:paraId="062EFB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（招标代理机构）   </w:t>
      </w:r>
      <w:r>
        <w:rPr>
          <w:rFonts w:hint="eastAsia" w:ascii="宋体" w:hAnsi="宋体" w:eastAsia="宋体" w:cs="宋体"/>
          <w:color w:val="auto"/>
          <w:sz w:val="24"/>
          <w:szCs w:val="24"/>
          <w:highlight w:val="none"/>
        </w:rPr>
        <w:t>：</w:t>
      </w:r>
    </w:p>
    <w:p w14:paraId="67F3C91C">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（投标人全称）</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u w:val="single"/>
        </w:rPr>
        <w:t xml:space="preserve">  （投标人代表姓名）</w:t>
      </w:r>
      <w:r>
        <w:rPr>
          <w:rFonts w:hint="eastAsia" w:hAnsi="宋体" w:eastAsia="宋体" w:cs="宋体"/>
          <w:color w:val="auto"/>
          <w:sz w:val="24"/>
          <w:szCs w:val="24"/>
          <w:highlight w:val="none"/>
        </w:rPr>
        <w:t>为投标人代表，代表本公司参加贵司组织的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项目（招标编号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8504158">
      <w:pPr>
        <w:pStyle w:val="5"/>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0537FC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694B44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03AB68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302507FC">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04A7B692">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0BD1B83E">
      <w:pPr>
        <w:spacing w:line="360" w:lineRule="auto"/>
        <w:rPr>
          <w:rFonts w:hint="eastAsia" w:ascii="宋体" w:hAnsi="宋体" w:eastAsia="宋体" w:cs="宋体"/>
          <w:color w:val="auto"/>
          <w:sz w:val="24"/>
          <w:szCs w:val="24"/>
          <w:highlight w:val="none"/>
        </w:rPr>
      </w:pPr>
    </w:p>
    <w:p w14:paraId="480FC976">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B951132">
      <w:pPr>
        <w:spacing w:line="360" w:lineRule="auto"/>
        <w:rPr>
          <w:rFonts w:hint="eastAsia" w:ascii="宋体" w:hAnsi="宋体" w:eastAsia="宋体" w:cs="宋体"/>
          <w:color w:val="auto"/>
          <w:sz w:val="24"/>
          <w:szCs w:val="24"/>
          <w:highlight w:val="none"/>
        </w:rPr>
      </w:pPr>
    </w:p>
    <w:p w14:paraId="7C32AC5E">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67A9A075">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14:paraId="1562C2DB">
      <w:pPr>
        <w:spacing w:line="360" w:lineRule="auto"/>
        <w:rPr>
          <w:rFonts w:hint="eastAsia" w:ascii="宋体" w:hAnsi="宋体" w:eastAsia="宋体" w:cs="宋体"/>
          <w:color w:val="auto"/>
          <w:sz w:val="24"/>
          <w:szCs w:val="24"/>
          <w:highlight w:val="none"/>
        </w:rPr>
      </w:pPr>
    </w:p>
    <w:p w14:paraId="5E9DD638">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1A98F78">
      <w:pPr>
        <w:pStyle w:val="20"/>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br w:type="page"/>
      </w:r>
      <w:bookmarkStart w:id="193" w:name="_Toc10085"/>
      <w:bookmarkStart w:id="194" w:name="_Toc405090959"/>
      <w:bookmarkStart w:id="195" w:name="_Toc2037736561"/>
      <w:bookmarkStart w:id="196" w:name="_Toc24338"/>
      <w:r>
        <w:rPr>
          <w:rFonts w:hint="eastAsia" w:hAnsi="宋体" w:eastAsia="宋体" w:cs="宋体"/>
          <w:b/>
          <w:color w:val="auto"/>
          <w:sz w:val="32"/>
          <w:szCs w:val="32"/>
          <w:highlight w:val="none"/>
        </w:rPr>
        <w:t>单位营业执照、税务登记证</w:t>
      </w:r>
      <w:bookmarkEnd w:id="193"/>
      <w:bookmarkEnd w:id="194"/>
      <w:bookmarkEnd w:id="195"/>
      <w:bookmarkEnd w:id="196"/>
    </w:p>
    <w:p w14:paraId="00FADEA6">
      <w:pPr>
        <w:spacing w:line="360" w:lineRule="auto"/>
        <w:rPr>
          <w:rFonts w:hint="eastAsia" w:ascii="宋体" w:hAnsi="宋体" w:eastAsia="宋体" w:cs="宋体"/>
          <w:color w:val="auto"/>
          <w:sz w:val="24"/>
          <w:szCs w:val="24"/>
          <w:highlight w:val="none"/>
        </w:rPr>
      </w:pPr>
    </w:p>
    <w:p w14:paraId="3F623FA3">
      <w:pPr>
        <w:spacing w:line="360" w:lineRule="auto"/>
        <w:rPr>
          <w:rFonts w:hint="eastAsia" w:ascii="宋体" w:hAnsi="宋体" w:eastAsia="宋体" w:cs="宋体"/>
          <w:color w:val="auto"/>
          <w:sz w:val="24"/>
          <w:szCs w:val="24"/>
          <w:highlight w:val="none"/>
        </w:rPr>
      </w:pPr>
    </w:p>
    <w:p w14:paraId="1D6D1057">
      <w:pPr>
        <w:spacing w:line="360" w:lineRule="auto"/>
        <w:rPr>
          <w:rFonts w:hint="eastAsia" w:ascii="宋体" w:hAnsi="宋体" w:eastAsia="宋体" w:cs="宋体"/>
          <w:color w:val="auto"/>
          <w:sz w:val="24"/>
          <w:szCs w:val="24"/>
          <w:highlight w:val="none"/>
        </w:rPr>
      </w:pPr>
    </w:p>
    <w:p w14:paraId="0031A3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DFB6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（签发机关名称）签发的我方单位营业执照副本复印件，该执照真实有效。</w:t>
      </w:r>
    </w:p>
    <w:p w14:paraId="3CDD45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（签发机关名称）签发的我方税务登记证副本复印件，该证件已经年检，真实有效。</w:t>
      </w:r>
    </w:p>
    <w:p w14:paraId="202B6803">
      <w:pPr>
        <w:spacing w:line="360" w:lineRule="auto"/>
        <w:rPr>
          <w:rFonts w:hint="eastAsia" w:ascii="宋体" w:hAnsi="宋体" w:eastAsia="宋体" w:cs="宋体"/>
          <w:color w:val="auto"/>
          <w:sz w:val="24"/>
          <w:szCs w:val="24"/>
          <w:highlight w:val="none"/>
        </w:rPr>
      </w:pPr>
    </w:p>
    <w:p w14:paraId="74BA15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w:t>
      </w:r>
    </w:p>
    <w:p w14:paraId="534CDFEB">
      <w:pPr>
        <w:spacing w:line="360" w:lineRule="auto"/>
        <w:rPr>
          <w:rFonts w:hint="eastAsia" w:ascii="宋体" w:hAnsi="宋体" w:eastAsia="宋体" w:cs="宋体"/>
          <w:color w:val="auto"/>
          <w:sz w:val="24"/>
          <w:szCs w:val="24"/>
          <w:highlight w:val="none"/>
        </w:rPr>
      </w:pPr>
    </w:p>
    <w:p w14:paraId="15D74B60">
      <w:pPr>
        <w:spacing w:line="360" w:lineRule="auto"/>
        <w:rPr>
          <w:rFonts w:hint="eastAsia" w:ascii="宋体" w:hAnsi="宋体" w:eastAsia="宋体" w:cs="宋体"/>
          <w:color w:val="auto"/>
          <w:sz w:val="24"/>
          <w:szCs w:val="24"/>
          <w:highlight w:val="none"/>
        </w:rPr>
      </w:pPr>
    </w:p>
    <w:p w14:paraId="66E1FB07">
      <w:pPr>
        <w:spacing w:line="360" w:lineRule="auto"/>
        <w:rPr>
          <w:rFonts w:hint="eastAsia" w:ascii="宋体" w:hAnsi="宋体" w:eastAsia="宋体" w:cs="宋体"/>
          <w:color w:val="auto"/>
          <w:sz w:val="24"/>
          <w:szCs w:val="24"/>
          <w:highlight w:val="none"/>
        </w:rPr>
      </w:pPr>
    </w:p>
    <w:p w14:paraId="15D21CBA">
      <w:pPr>
        <w:spacing w:line="360" w:lineRule="auto"/>
        <w:rPr>
          <w:rFonts w:hint="eastAsia" w:ascii="宋体" w:hAnsi="宋体" w:eastAsia="宋体" w:cs="宋体"/>
          <w:color w:val="auto"/>
          <w:sz w:val="24"/>
          <w:szCs w:val="24"/>
          <w:highlight w:val="none"/>
        </w:rPr>
      </w:pPr>
    </w:p>
    <w:p w14:paraId="579AF151">
      <w:pPr>
        <w:spacing w:line="360" w:lineRule="auto"/>
        <w:rPr>
          <w:rFonts w:hint="eastAsia" w:ascii="宋体" w:hAnsi="宋体" w:eastAsia="宋体" w:cs="宋体"/>
          <w:color w:val="auto"/>
          <w:sz w:val="24"/>
          <w:szCs w:val="24"/>
          <w:highlight w:val="none"/>
        </w:rPr>
      </w:pPr>
    </w:p>
    <w:p w14:paraId="35CB0A05">
      <w:pPr>
        <w:spacing w:line="360" w:lineRule="auto"/>
        <w:rPr>
          <w:rFonts w:hint="eastAsia" w:ascii="宋体" w:hAnsi="宋体" w:eastAsia="宋体" w:cs="宋体"/>
          <w:color w:val="auto"/>
          <w:sz w:val="24"/>
          <w:szCs w:val="24"/>
          <w:highlight w:val="none"/>
        </w:rPr>
      </w:pPr>
    </w:p>
    <w:p w14:paraId="1E9F9C37">
      <w:pPr>
        <w:spacing w:line="360" w:lineRule="auto"/>
        <w:rPr>
          <w:rFonts w:hint="eastAsia" w:ascii="宋体" w:hAnsi="宋体" w:eastAsia="宋体" w:cs="宋体"/>
          <w:color w:val="auto"/>
          <w:sz w:val="24"/>
          <w:szCs w:val="24"/>
          <w:highlight w:val="none"/>
        </w:rPr>
      </w:pPr>
    </w:p>
    <w:p w14:paraId="45A7EA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 标 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3F705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75CEA8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2988DD78">
      <w:pPr>
        <w:spacing w:line="360" w:lineRule="auto"/>
        <w:rPr>
          <w:rFonts w:hint="eastAsia" w:ascii="宋体" w:hAnsi="宋体" w:eastAsia="宋体" w:cs="宋体"/>
          <w:color w:val="auto"/>
          <w:sz w:val="24"/>
          <w:szCs w:val="24"/>
          <w:highlight w:val="none"/>
        </w:rPr>
      </w:pPr>
    </w:p>
    <w:p w14:paraId="10D6B185">
      <w:pPr>
        <w:spacing w:line="360" w:lineRule="auto"/>
        <w:rPr>
          <w:rFonts w:hint="eastAsia" w:ascii="宋体" w:hAnsi="宋体" w:eastAsia="宋体" w:cs="宋体"/>
          <w:color w:val="auto"/>
          <w:sz w:val="24"/>
          <w:szCs w:val="24"/>
          <w:highlight w:val="none"/>
        </w:rPr>
      </w:pPr>
    </w:p>
    <w:p w14:paraId="595B85A5">
      <w:pPr>
        <w:spacing w:line="360" w:lineRule="auto"/>
        <w:rPr>
          <w:rFonts w:hint="eastAsia" w:ascii="宋体" w:hAnsi="宋体" w:eastAsia="宋体" w:cs="宋体"/>
          <w:color w:val="auto"/>
          <w:sz w:val="24"/>
          <w:szCs w:val="24"/>
          <w:highlight w:val="none"/>
        </w:rPr>
      </w:pPr>
    </w:p>
    <w:p w14:paraId="6692E6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2"/>
          <w:szCs w:val="32"/>
          <w:highlight w:val="none"/>
        </w:rPr>
        <w:t>七、</w:t>
      </w: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51922F07">
      <w:pPr>
        <w:pStyle w:val="20"/>
        <w:spacing w:line="360" w:lineRule="auto"/>
        <w:jc w:val="center"/>
        <w:outlineLvl w:val="9"/>
        <w:rPr>
          <w:rFonts w:hint="eastAsia" w:hAnsi="宋体" w:eastAsia="宋体" w:cs="宋体"/>
          <w:color w:val="auto"/>
          <w:sz w:val="24"/>
          <w:szCs w:val="24"/>
          <w:highlight w:val="none"/>
        </w:rPr>
      </w:pPr>
    </w:p>
    <w:p w14:paraId="420DE390">
      <w:pPr>
        <w:pStyle w:val="20"/>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49E784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DB62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AFA17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项目招标中投标（招标编号：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），如获中标，我们保证按招标文件的规定，以汇款、转帐方式向贵司缴交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3F2F41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我司一旦中标，承诺凭中标通知书原件按招标文件的规定签订合同，并最迟应于合同签订前缴交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1A8FF4B5">
      <w:pPr>
        <w:spacing w:line="360" w:lineRule="auto"/>
        <w:rPr>
          <w:rFonts w:hint="eastAsia" w:ascii="宋体" w:hAnsi="宋体" w:eastAsia="宋体" w:cs="宋体"/>
          <w:color w:val="auto"/>
          <w:sz w:val="24"/>
          <w:szCs w:val="24"/>
          <w:highlight w:val="none"/>
        </w:rPr>
      </w:pPr>
    </w:p>
    <w:p w14:paraId="00ABD2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3FE60AD">
      <w:pPr>
        <w:spacing w:line="360" w:lineRule="auto"/>
        <w:rPr>
          <w:rFonts w:hint="eastAsia" w:ascii="宋体" w:hAnsi="宋体" w:eastAsia="宋体" w:cs="宋体"/>
          <w:color w:val="auto"/>
          <w:sz w:val="24"/>
          <w:szCs w:val="24"/>
          <w:highlight w:val="none"/>
        </w:rPr>
      </w:pPr>
    </w:p>
    <w:p w14:paraId="3CAE802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投标人（全称）： </w:t>
      </w:r>
      <w:r>
        <w:rPr>
          <w:rFonts w:hint="eastAsia" w:ascii="宋体" w:hAnsi="宋体" w:eastAsia="宋体" w:cs="宋体"/>
          <w:color w:val="auto"/>
          <w:sz w:val="24"/>
          <w:szCs w:val="24"/>
          <w:highlight w:val="none"/>
          <w:u w:val="single"/>
        </w:rPr>
        <w:t xml:space="preserve">                          </w:t>
      </w:r>
    </w:p>
    <w:p w14:paraId="5F65E307">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5358A2E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p>
    <w:p w14:paraId="1FAC6AD9">
      <w:pPr>
        <w:spacing w:line="360" w:lineRule="auto"/>
        <w:rPr>
          <w:rFonts w:hint="eastAsia" w:ascii="宋体" w:hAnsi="宋体" w:eastAsia="宋体" w:cs="宋体"/>
          <w:color w:val="auto"/>
          <w:sz w:val="24"/>
          <w:szCs w:val="24"/>
          <w:highlight w:val="none"/>
        </w:rPr>
      </w:pPr>
    </w:p>
    <w:p w14:paraId="6B33CC0B">
      <w:pPr>
        <w:spacing w:line="360" w:lineRule="auto"/>
        <w:rPr>
          <w:rFonts w:hint="eastAsia" w:ascii="宋体" w:hAnsi="宋体" w:eastAsia="宋体" w:cs="宋体"/>
          <w:color w:val="auto"/>
          <w:sz w:val="24"/>
          <w:szCs w:val="24"/>
          <w:highlight w:val="none"/>
        </w:rPr>
      </w:pPr>
    </w:p>
    <w:p w14:paraId="03E05D8C">
      <w:pPr>
        <w:spacing w:line="360" w:lineRule="auto"/>
        <w:rPr>
          <w:rFonts w:hint="eastAsia" w:ascii="宋体" w:hAnsi="宋体" w:eastAsia="宋体" w:cs="宋体"/>
          <w:color w:val="auto"/>
          <w:sz w:val="24"/>
          <w:szCs w:val="24"/>
          <w:highlight w:val="none"/>
        </w:rPr>
      </w:pPr>
    </w:p>
    <w:p w14:paraId="2144CBFC">
      <w:pPr>
        <w:spacing w:line="360" w:lineRule="auto"/>
        <w:rPr>
          <w:rFonts w:hint="eastAsia" w:ascii="宋体" w:hAnsi="宋体" w:eastAsia="宋体" w:cs="宋体"/>
          <w:color w:val="auto"/>
          <w:sz w:val="24"/>
          <w:szCs w:val="24"/>
          <w:highlight w:val="none"/>
        </w:rPr>
      </w:pPr>
    </w:p>
    <w:p w14:paraId="0B1CAAED">
      <w:pPr>
        <w:spacing w:line="360" w:lineRule="auto"/>
        <w:rPr>
          <w:rFonts w:hint="eastAsia" w:ascii="宋体" w:hAnsi="宋体" w:eastAsia="宋体" w:cs="宋体"/>
          <w:bCs/>
          <w:color w:val="auto"/>
          <w:sz w:val="24"/>
          <w:szCs w:val="24"/>
          <w:highlight w:val="none"/>
        </w:rPr>
      </w:pPr>
    </w:p>
    <w:p w14:paraId="05B27C0E">
      <w:pPr>
        <w:spacing w:line="360" w:lineRule="auto"/>
        <w:rPr>
          <w:rFonts w:hint="eastAsia" w:ascii="宋体" w:hAnsi="宋体" w:eastAsia="宋体" w:cs="宋体"/>
          <w:bCs/>
          <w:color w:val="auto"/>
          <w:sz w:val="24"/>
          <w:szCs w:val="24"/>
          <w:highlight w:val="none"/>
        </w:rPr>
      </w:pPr>
    </w:p>
    <w:p w14:paraId="41581FD9">
      <w:pPr>
        <w:spacing w:line="360" w:lineRule="auto"/>
        <w:rPr>
          <w:rFonts w:hint="eastAsia" w:ascii="宋体" w:hAnsi="宋体" w:eastAsia="宋体" w:cs="宋体"/>
          <w:bCs/>
          <w:color w:val="auto"/>
          <w:sz w:val="24"/>
          <w:szCs w:val="24"/>
          <w:highlight w:val="none"/>
        </w:rPr>
      </w:pPr>
    </w:p>
    <w:p w14:paraId="3437796A">
      <w:pPr>
        <w:spacing w:line="360" w:lineRule="auto"/>
        <w:rPr>
          <w:rFonts w:hint="eastAsia" w:ascii="宋体" w:hAnsi="宋体" w:eastAsia="宋体" w:cs="宋体"/>
          <w:bCs/>
          <w:color w:val="auto"/>
          <w:sz w:val="24"/>
          <w:szCs w:val="24"/>
          <w:highlight w:val="none"/>
        </w:rPr>
      </w:pPr>
    </w:p>
    <w:p w14:paraId="51A1A14C">
      <w:pPr>
        <w:spacing w:line="360" w:lineRule="auto"/>
        <w:rPr>
          <w:rFonts w:hint="eastAsia" w:ascii="宋体" w:hAnsi="宋体" w:eastAsia="宋体" w:cs="宋体"/>
          <w:bCs/>
          <w:color w:val="auto"/>
          <w:sz w:val="24"/>
          <w:szCs w:val="24"/>
          <w:highlight w:val="none"/>
        </w:rPr>
      </w:pPr>
    </w:p>
    <w:p w14:paraId="44D86D63">
      <w:pPr>
        <w:spacing w:line="360" w:lineRule="auto"/>
        <w:rPr>
          <w:rFonts w:hint="eastAsia" w:ascii="宋体" w:hAnsi="宋体" w:eastAsia="宋体" w:cs="宋体"/>
          <w:bCs/>
          <w:color w:val="auto"/>
          <w:sz w:val="24"/>
          <w:szCs w:val="24"/>
          <w:highlight w:val="none"/>
        </w:rPr>
      </w:pPr>
    </w:p>
    <w:p w14:paraId="6CDB6576">
      <w:pPr>
        <w:spacing w:line="360" w:lineRule="auto"/>
        <w:rPr>
          <w:rFonts w:hint="eastAsia" w:ascii="宋体" w:hAnsi="宋体" w:eastAsia="宋体" w:cs="宋体"/>
          <w:bCs/>
          <w:color w:val="auto"/>
          <w:sz w:val="24"/>
          <w:szCs w:val="24"/>
          <w:highlight w:val="none"/>
        </w:rPr>
      </w:pPr>
    </w:p>
    <w:p w14:paraId="0B604725">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附：廉洁承诺书</w:t>
      </w:r>
    </w:p>
    <w:p w14:paraId="3C9597F0">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6533CF4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14:paraId="2A0A0DD2">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22A1785E">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5E27215C">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三、不与其他经营者串通报价和投标，不排挤其他经营者的公平竞争，损害其他经营者的合法权益；不在工程建设的预决算编制工作中弄虚作假、高估冒算。</w:t>
      </w:r>
    </w:p>
    <w:p w14:paraId="3B7D76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5"/>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；举报信件：厦门市湖里区机场北路476号四楼厦门万翔招标有限公司，总经理收。</w:t>
      </w:r>
    </w:p>
    <w:p w14:paraId="4140B7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3522EF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D4AE6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150E2C7C">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49CD1C5D">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日期：</w:t>
      </w:r>
    </w:p>
    <w:p w14:paraId="1B2BA337">
      <w:pPr>
        <w:spacing w:line="360" w:lineRule="auto"/>
        <w:ind w:firstLine="460" w:firstLineChars="192"/>
        <w:rPr>
          <w:rFonts w:hint="eastAsia" w:ascii="宋体" w:hAnsi="宋体" w:eastAsia="宋体" w:cs="宋体"/>
          <w:color w:val="auto"/>
          <w:sz w:val="24"/>
          <w:szCs w:val="24"/>
          <w:highlight w:val="none"/>
        </w:rPr>
      </w:pPr>
    </w:p>
    <w:p w14:paraId="0E6C3153">
      <w:pPr>
        <w:spacing w:line="360" w:lineRule="auto"/>
        <w:rPr>
          <w:rFonts w:hint="eastAsia" w:ascii="宋体" w:hAnsi="宋体" w:eastAsia="宋体" w:cs="宋体"/>
          <w:color w:val="auto"/>
          <w:sz w:val="24"/>
          <w:szCs w:val="24"/>
          <w:highlight w:val="none"/>
        </w:rPr>
      </w:pPr>
    </w:p>
    <w:p w14:paraId="1CBB7BEA">
      <w:pPr>
        <w:spacing w:line="360" w:lineRule="auto"/>
        <w:rPr>
          <w:rFonts w:hint="eastAsia" w:ascii="宋体" w:hAnsi="宋体" w:eastAsia="宋体" w:cs="宋体"/>
          <w:color w:val="auto"/>
          <w:sz w:val="24"/>
          <w:szCs w:val="24"/>
          <w:highlight w:val="none"/>
        </w:rPr>
      </w:pPr>
    </w:p>
    <w:p w14:paraId="52C626B8">
      <w:pPr>
        <w:spacing w:line="360" w:lineRule="auto"/>
        <w:rPr>
          <w:rFonts w:hint="eastAsia" w:ascii="宋体" w:hAnsi="宋体" w:eastAsia="宋体" w:cs="宋体"/>
          <w:color w:val="auto"/>
          <w:sz w:val="24"/>
          <w:szCs w:val="24"/>
          <w:highlight w:val="none"/>
        </w:rPr>
      </w:pPr>
    </w:p>
    <w:p w14:paraId="0EAEFD74">
      <w:pPr>
        <w:spacing w:line="360" w:lineRule="auto"/>
        <w:rPr>
          <w:rFonts w:hint="eastAsia" w:ascii="宋体" w:hAnsi="宋体" w:eastAsia="宋体" w:cs="宋体"/>
          <w:color w:val="auto"/>
          <w:sz w:val="24"/>
          <w:szCs w:val="24"/>
          <w:highlight w:val="none"/>
        </w:rPr>
      </w:pPr>
    </w:p>
    <w:p w14:paraId="5CF6259B">
      <w:pPr>
        <w:spacing w:line="360" w:lineRule="auto"/>
        <w:rPr>
          <w:rFonts w:hint="eastAsia" w:ascii="宋体" w:hAnsi="宋体" w:eastAsia="宋体" w:cs="宋体"/>
          <w:color w:val="auto"/>
          <w:sz w:val="24"/>
          <w:szCs w:val="24"/>
          <w:highlight w:val="none"/>
        </w:rPr>
      </w:pPr>
    </w:p>
    <w:p w14:paraId="6EB0DA67">
      <w:pPr>
        <w:spacing w:line="360" w:lineRule="auto"/>
        <w:rPr>
          <w:rFonts w:hint="eastAsia" w:ascii="宋体" w:hAnsi="宋体" w:eastAsia="宋体" w:cs="宋体"/>
          <w:color w:val="auto"/>
          <w:sz w:val="24"/>
          <w:szCs w:val="24"/>
          <w:highlight w:val="none"/>
        </w:rPr>
      </w:pPr>
    </w:p>
    <w:p w14:paraId="30873106">
      <w:pPr>
        <w:spacing w:line="360" w:lineRule="auto"/>
        <w:rPr>
          <w:rFonts w:hint="eastAsia" w:ascii="宋体" w:hAnsi="宋体" w:eastAsia="宋体" w:cs="宋体"/>
          <w:color w:val="auto"/>
          <w:sz w:val="24"/>
          <w:szCs w:val="24"/>
          <w:highlight w:val="none"/>
        </w:rPr>
      </w:pPr>
    </w:p>
    <w:p w14:paraId="42EC33E7">
      <w:pPr>
        <w:spacing w:line="360" w:lineRule="auto"/>
        <w:rPr>
          <w:rFonts w:hint="eastAsia" w:ascii="宋体" w:hAnsi="宋体" w:eastAsia="宋体" w:cs="宋体"/>
          <w:color w:val="auto"/>
          <w:sz w:val="24"/>
          <w:szCs w:val="24"/>
          <w:highlight w:val="none"/>
        </w:rPr>
      </w:pPr>
    </w:p>
    <w:p w14:paraId="551C3871">
      <w:pPr>
        <w:spacing w:line="360" w:lineRule="auto"/>
        <w:rPr>
          <w:rFonts w:hint="eastAsia" w:ascii="宋体" w:hAnsi="宋体" w:eastAsia="宋体" w:cs="宋体"/>
          <w:color w:val="auto"/>
          <w:sz w:val="24"/>
          <w:szCs w:val="24"/>
          <w:highlight w:val="none"/>
        </w:rPr>
      </w:pPr>
    </w:p>
    <w:p w14:paraId="35D14ADA">
      <w:pPr>
        <w:spacing w:line="360" w:lineRule="auto"/>
        <w:rPr>
          <w:rFonts w:hint="eastAsia" w:ascii="宋体" w:hAnsi="宋体" w:eastAsia="宋体" w:cs="宋体"/>
          <w:color w:val="auto"/>
          <w:sz w:val="24"/>
          <w:szCs w:val="24"/>
          <w:highlight w:val="none"/>
        </w:rPr>
      </w:pPr>
    </w:p>
    <w:p w14:paraId="7A1CCDE1">
      <w:pPr>
        <w:spacing w:line="360" w:lineRule="auto"/>
        <w:rPr>
          <w:rFonts w:hint="eastAsia" w:ascii="宋体" w:hAnsi="宋体" w:eastAsia="宋体" w:cs="宋体"/>
          <w:color w:val="auto"/>
          <w:sz w:val="24"/>
          <w:szCs w:val="24"/>
          <w:highlight w:val="none"/>
        </w:rPr>
      </w:pPr>
    </w:p>
    <w:p w14:paraId="1F250B6D">
      <w:pPr>
        <w:spacing w:line="360" w:lineRule="auto"/>
        <w:rPr>
          <w:rFonts w:hint="eastAsia" w:ascii="宋体" w:hAnsi="宋体" w:eastAsia="宋体" w:cs="宋体"/>
          <w:color w:val="auto"/>
          <w:sz w:val="24"/>
          <w:szCs w:val="24"/>
          <w:highlight w:val="none"/>
        </w:rPr>
      </w:pPr>
    </w:p>
    <w:p w14:paraId="00896374">
      <w:pPr>
        <w:spacing w:line="360" w:lineRule="auto"/>
        <w:rPr>
          <w:rFonts w:hint="eastAsia" w:ascii="宋体" w:hAnsi="宋体" w:eastAsia="宋体" w:cs="宋体"/>
          <w:color w:val="auto"/>
          <w:sz w:val="24"/>
          <w:szCs w:val="24"/>
          <w:highlight w:val="none"/>
        </w:rPr>
      </w:pPr>
    </w:p>
    <w:p w14:paraId="181EC5D6">
      <w:pPr>
        <w:spacing w:line="360" w:lineRule="auto"/>
        <w:rPr>
          <w:rFonts w:hint="eastAsia" w:ascii="宋体" w:hAnsi="宋体" w:eastAsia="宋体" w:cs="宋体"/>
          <w:color w:val="auto"/>
          <w:sz w:val="24"/>
          <w:szCs w:val="24"/>
          <w:highlight w:val="none"/>
        </w:rPr>
      </w:pPr>
    </w:p>
    <w:p w14:paraId="6DC07D3F">
      <w:pPr>
        <w:spacing w:line="360" w:lineRule="auto"/>
        <w:rPr>
          <w:rFonts w:hint="eastAsia" w:ascii="宋体" w:hAnsi="宋体" w:eastAsia="宋体" w:cs="宋体"/>
          <w:color w:val="auto"/>
          <w:sz w:val="24"/>
          <w:szCs w:val="24"/>
          <w:highlight w:val="none"/>
        </w:rPr>
      </w:pPr>
    </w:p>
    <w:p w14:paraId="25DB4629">
      <w:pPr>
        <w:spacing w:line="360" w:lineRule="auto"/>
        <w:rPr>
          <w:rFonts w:hint="eastAsia" w:ascii="宋体" w:hAnsi="宋体" w:eastAsia="宋体" w:cs="宋体"/>
          <w:color w:val="auto"/>
          <w:sz w:val="24"/>
          <w:szCs w:val="24"/>
          <w:highlight w:val="none"/>
        </w:rPr>
      </w:pPr>
    </w:p>
    <w:p w14:paraId="2DD084FF">
      <w:pPr>
        <w:spacing w:line="360" w:lineRule="auto"/>
        <w:rPr>
          <w:rFonts w:hint="eastAsia" w:ascii="宋体" w:hAnsi="宋体" w:eastAsia="宋体" w:cs="宋体"/>
          <w:color w:val="auto"/>
          <w:sz w:val="24"/>
          <w:szCs w:val="24"/>
          <w:highlight w:val="none"/>
        </w:rPr>
      </w:pPr>
    </w:p>
    <w:p w14:paraId="3D7E95C5">
      <w:pPr>
        <w:spacing w:line="360" w:lineRule="auto"/>
        <w:rPr>
          <w:rFonts w:hint="eastAsia" w:ascii="宋体" w:hAnsi="宋体" w:eastAsia="宋体" w:cs="宋体"/>
          <w:color w:val="auto"/>
          <w:sz w:val="24"/>
          <w:szCs w:val="24"/>
          <w:highlight w:val="none"/>
        </w:rPr>
      </w:pPr>
    </w:p>
    <w:p w14:paraId="406886E6">
      <w:pPr>
        <w:spacing w:line="360" w:lineRule="auto"/>
        <w:rPr>
          <w:rFonts w:hint="eastAsia" w:ascii="宋体" w:hAnsi="宋体" w:eastAsia="宋体" w:cs="宋体"/>
          <w:color w:val="auto"/>
          <w:sz w:val="24"/>
          <w:szCs w:val="24"/>
          <w:highlight w:val="none"/>
        </w:rPr>
      </w:pPr>
    </w:p>
    <w:p w14:paraId="4EEAFBA5">
      <w:pPr>
        <w:spacing w:line="360" w:lineRule="auto"/>
        <w:rPr>
          <w:rFonts w:hint="eastAsia" w:ascii="宋体" w:hAnsi="宋体" w:eastAsia="宋体" w:cs="宋体"/>
          <w:color w:val="auto"/>
          <w:sz w:val="24"/>
          <w:szCs w:val="24"/>
          <w:highlight w:val="none"/>
        </w:rPr>
      </w:pPr>
    </w:p>
    <w:p w14:paraId="21E1291B">
      <w:pPr>
        <w:spacing w:line="360" w:lineRule="auto"/>
        <w:rPr>
          <w:rFonts w:hint="eastAsia" w:ascii="宋体" w:hAnsi="宋体" w:eastAsia="宋体" w:cs="宋体"/>
          <w:color w:val="auto"/>
          <w:sz w:val="24"/>
          <w:szCs w:val="24"/>
          <w:highlight w:val="none"/>
        </w:rPr>
      </w:pPr>
    </w:p>
    <w:p w14:paraId="4D515D09">
      <w:pPr>
        <w:spacing w:line="360" w:lineRule="auto"/>
        <w:rPr>
          <w:rFonts w:hint="eastAsia" w:ascii="宋体" w:hAnsi="宋体" w:eastAsia="宋体" w:cs="宋体"/>
          <w:color w:val="auto"/>
          <w:sz w:val="24"/>
          <w:szCs w:val="24"/>
          <w:highlight w:val="none"/>
        </w:rPr>
      </w:pPr>
    </w:p>
    <w:p w14:paraId="5172BA43">
      <w:pPr>
        <w:spacing w:line="360" w:lineRule="auto"/>
        <w:rPr>
          <w:rFonts w:hint="eastAsia" w:ascii="宋体" w:hAnsi="宋体" w:eastAsia="宋体" w:cs="宋体"/>
          <w:color w:val="auto"/>
          <w:sz w:val="24"/>
          <w:szCs w:val="24"/>
          <w:highlight w:val="none"/>
        </w:rPr>
      </w:pPr>
    </w:p>
    <w:p w14:paraId="16B14D50">
      <w:pPr>
        <w:spacing w:line="360" w:lineRule="auto"/>
        <w:rPr>
          <w:rFonts w:hint="eastAsia" w:ascii="宋体" w:hAnsi="宋体" w:eastAsia="宋体" w:cs="宋体"/>
          <w:color w:val="auto"/>
          <w:sz w:val="24"/>
          <w:szCs w:val="24"/>
          <w:highlight w:val="none"/>
        </w:rPr>
      </w:pPr>
    </w:p>
    <w:p w14:paraId="4A1C5A03">
      <w:pPr>
        <w:spacing w:line="360" w:lineRule="auto"/>
        <w:ind w:firstLine="3520" w:firstLineChars="1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质疑函要求</w:t>
      </w:r>
    </w:p>
    <w:p w14:paraId="427C8D46">
      <w:pPr>
        <w:spacing w:line="360" w:lineRule="auto"/>
        <w:ind w:firstLine="480" w:firstLineChars="200"/>
        <w:rPr>
          <w:rFonts w:hint="eastAsia" w:ascii="宋体" w:hAnsi="宋体" w:eastAsia="宋体" w:cs="宋体"/>
          <w:color w:val="auto"/>
          <w:sz w:val="24"/>
          <w:szCs w:val="24"/>
          <w:highlight w:val="none"/>
        </w:rPr>
      </w:pPr>
    </w:p>
    <w:p w14:paraId="5AB0275A">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14:paraId="1A54F406">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14:paraId="6F38FF74">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14:paraId="1CB4808C">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14:paraId="3F79AA15">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14:paraId="7ED661A6">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14:paraId="2EBBA4DD">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14:paraId="6F6CFD9F">
      <w:pPr>
        <w:pStyle w:val="11"/>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14:paraId="6D6FBBA1">
      <w:pPr>
        <w:pStyle w:val="11"/>
        <w:spacing w:before="0" w:beforeAutospacing="0" w:after="0" w:afterAutospacing="0" w:line="360" w:lineRule="auto"/>
        <w:rPr>
          <w:rFonts w:hint="eastAsia" w:eastAsia="宋体" w:cs="宋体"/>
          <w:color w:val="auto"/>
          <w:kern w:val="2"/>
          <w:sz w:val="24"/>
          <w:szCs w:val="24"/>
          <w:highlight w:val="none"/>
        </w:rPr>
      </w:pPr>
    </w:p>
    <w:p w14:paraId="71875F62">
      <w:pPr>
        <w:pStyle w:val="11"/>
        <w:spacing w:before="0" w:beforeAutospacing="0" w:after="0" w:afterAutospacing="0" w:line="360" w:lineRule="auto"/>
        <w:rPr>
          <w:rFonts w:hint="eastAsia" w:eastAsia="宋体" w:cs="宋体"/>
          <w:color w:val="auto"/>
          <w:kern w:val="2"/>
          <w:highlight w:val="none"/>
        </w:rPr>
      </w:pPr>
    </w:p>
    <w:p w14:paraId="64748837">
      <w:pPr>
        <w:pStyle w:val="11"/>
        <w:spacing w:before="0" w:beforeAutospacing="0" w:after="0" w:afterAutospacing="0" w:line="360" w:lineRule="auto"/>
        <w:rPr>
          <w:rFonts w:hint="eastAsia" w:eastAsia="宋体" w:cs="宋体"/>
          <w:color w:val="auto"/>
          <w:kern w:val="2"/>
          <w:highlight w:val="none"/>
        </w:rPr>
      </w:pPr>
    </w:p>
    <w:p w14:paraId="74839E92">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1B6FA975">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55B4AC84">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0A9D020B">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3EE685DC">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5819E3D2">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430A0A57">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2A5626C4">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4B30B02D">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3ACCA8F1">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3B0F5EBC">
      <w:pPr>
        <w:pStyle w:val="11"/>
        <w:spacing w:before="0" w:beforeAutospacing="0" w:after="0" w:afterAutospacing="0" w:line="360" w:lineRule="auto"/>
        <w:ind w:firstLine="5440" w:firstLineChars="1700"/>
        <w:rPr>
          <w:rFonts w:hint="eastAsia" w:eastAsia="宋体" w:cs="宋体"/>
          <w:color w:val="auto"/>
          <w:kern w:val="2"/>
          <w:sz w:val="32"/>
          <w:szCs w:val="32"/>
          <w:highlight w:val="none"/>
        </w:rPr>
      </w:pPr>
    </w:p>
    <w:p w14:paraId="3CB3E1DB">
      <w:pPr>
        <w:pStyle w:val="2"/>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color w:val="auto"/>
          <w:highlight w:val="none"/>
        </w:rPr>
      </w:pPr>
      <w:bookmarkStart w:id="197" w:name="_Toc139614847"/>
      <w:bookmarkStart w:id="198" w:name="_Toc25736"/>
      <w:bookmarkStart w:id="199" w:name="_Toc8335"/>
      <w:bookmarkStart w:id="200" w:name="_Toc8352"/>
      <w:r>
        <w:rPr>
          <w:rFonts w:hint="eastAsia"/>
          <w:color w:val="auto"/>
          <w:highlight w:val="none"/>
          <w:lang w:val="en-US" w:eastAsia="zh-CN"/>
        </w:rPr>
        <w:t>附件：福建省</w:t>
      </w:r>
      <w:r>
        <w:rPr>
          <w:rFonts w:hint="eastAsia"/>
          <w:color w:val="auto"/>
          <w:highlight w:val="none"/>
        </w:rPr>
        <w:t>政府采购供应商资格承诺函</w:t>
      </w:r>
      <w:bookmarkEnd w:id="197"/>
      <w:bookmarkEnd w:id="198"/>
      <w:bookmarkEnd w:id="199"/>
      <w:bookmarkEnd w:id="200"/>
    </w:p>
    <w:p w14:paraId="48D6FC86">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p>
    <w:p w14:paraId="17D2BE1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3E0C7CF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4B394FB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6185A98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1E484CC3">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54D48B7">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1EEF8DA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2CD98B8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具备招标</w:t>
      </w:r>
      <w:r>
        <w:rPr>
          <w:rFonts w:hint="eastAsia" w:ascii="宋体" w:hAnsi="宋体" w:eastAsia="宋体" w:cs="宋体"/>
          <w:color w:val="auto"/>
          <w:sz w:val="24"/>
          <w:szCs w:val="24"/>
          <w:highlight w:val="none"/>
        </w:rPr>
        <w:t>文件要求以及《中华人民共和国政府采购法》第二十二条规定的条件:</w:t>
      </w:r>
    </w:p>
    <w:p w14:paraId="3CD14F7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FA6934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9AAFCA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D68833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7BFAEF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3DF6A72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1D36A6B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F44A7B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24B50075">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名称(单位公章):</w:t>
      </w:r>
    </w:p>
    <w:p w14:paraId="7619BC04">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7CAA648">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32CA50B2">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1D10994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3119B8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14:paraId="7F9A4D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在投标(响应)文件中按此模板提供承诺函，否则，视为</w:t>
      </w:r>
      <w:r>
        <w:rPr>
          <w:rFonts w:hint="eastAsia" w:ascii="宋体" w:hAnsi="宋体" w:eastAsia="宋体" w:cs="宋体"/>
          <w:color w:val="auto"/>
          <w:sz w:val="24"/>
          <w:szCs w:val="24"/>
          <w:highlight w:val="none"/>
          <w:lang w:eastAsia="zh-CN"/>
        </w:rPr>
        <w:t>未按照招标文件规定提交投标人的资格及资信文件，按资格审查不通过处理。</w:t>
      </w:r>
    </w:p>
    <w:p w14:paraId="5CB04896">
      <w:pPr>
        <w:spacing w:line="360" w:lineRule="auto"/>
        <w:ind w:left="-283" w:leftChars="-135" w:firstLine="240" w:firstLineChars="100"/>
        <w:rPr>
          <w:rFonts w:hint="eastAsia" w:ascii="宋体" w:hAnsi="宋体" w:eastAsia="宋体" w:cs="宋体"/>
          <w:color w:val="auto"/>
          <w:sz w:val="24"/>
          <w:szCs w:val="24"/>
          <w:highlight w:val="none"/>
        </w:rPr>
      </w:pPr>
    </w:p>
    <w:p w14:paraId="6F9579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B9388DD">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21D2276F">
      <w:pPr>
        <w:pStyle w:val="2"/>
        <w:jc w:val="center"/>
        <w:outlineLvl w:val="1"/>
        <w:rPr>
          <w:rFonts w:hint="eastAsia" w:ascii="宋体" w:hAnsi="宋体" w:eastAsia="宋体" w:cs="宋体"/>
          <w:color w:val="auto"/>
          <w:sz w:val="28"/>
          <w:szCs w:val="28"/>
          <w:highlight w:val="none"/>
        </w:rPr>
      </w:pPr>
      <w:bookmarkStart w:id="201" w:name="_Toc481479999"/>
      <w:bookmarkStart w:id="202" w:name="_Toc17402"/>
      <w:bookmarkStart w:id="203" w:name="_Toc481048051"/>
      <w:bookmarkStart w:id="204" w:name="_Toc518466688"/>
      <w:bookmarkStart w:id="205" w:name="_Toc515448957"/>
      <w:bookmarkStart w:id="206" w:name="_Toc29977"/>
      <w:bookmarkStart w:id="207" w:name="_Toc29742"/>
      <w:bookmarkStart w:id="208" w:name="_Toc515448370"/>
      <w:bookmarkStart w:id="209" w:name="_Toc25139"/>
      <w:bookmarkStart w:id="210" w:name="_Toc482352471"/>
      <w:bookmarkStart w:id="211" w:name="_Toc445805337"/>
      <w:bookmarkStart w:id="212" w:name="_Toc1704273782"/>
      <w:bookmarkStart w:id="213" w:name="_Toc480983544"/>
      <w:bookmarkStart w:id="214" w:name="_Toc16305"/>
      <w:bookmarkStart w:id="215" w:name="_Toc533519525"/>
      <w:bookmarkStart w:id="216" w:name="_Toc23788"/>
      <w:bookmarkStart w:id="217" w:name="_Toc1855495656"/>
      <w:r>
        <w:rPr>
          <w:rFonts w:hint="eastAsia" w:ascii="宋体" w:hAnsi="宋体" w:eastAsia="宋体" w:cs="宋体"/>
          <w:color w:val="auto"/>
          <w:sz w:val="28"/>
          <w:szCs w:val="28"/>
          <w:highlight w:val="none"/>
        </w:rPr>
        <w:t>资格及符合性条款（带*条款）响应表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F52CB8C">
      <w:pPr>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名称：</w:t>
      </w:r>
    </w:p>
    <w:tbl>
      <w:tblPr>
        <w:tblStyle w:val="12"/>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34B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2DAA182A">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5812" w:type="dxa"/>
            <w:noWrap w:val="0"/>
            <w:vAlign w:val="center"/>
          </w:tcPr>
          <w:p w14:paraId="26C87586">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采购文件要求</w:t>
            </w:r>
          </w:p>
        </w:tc>
        <w:tc>
          <w:tcPr>
            <w:tcW w:w="992" w:type="dxa"/>
            <w:noWrap w:val="0"/>
            <w:vAlign w:val="center"/>
          </w:tcPr>
          <w:p w14:paraId="09FE7197">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报价响应情况</w:t>
            </w:r>
          </w:p>
        </w:tc>
        <w:tc>
          <w:tcPr>
            <w:tcW w:w="850" w:type="dxa"/>
            <w:noWrap w:val="0"/>
            <w:vAlign w:val="center"/>
          </w:tcPr>
          <w:p w14:paraId="469CF9F3">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偏离说明</w:t>
            </w:r>
          </w:p>
        </w:tc>
        <w:tc>
          <w:tcPr>
            <w:tcW w:w="851" w:type="dxa"/>
            <w:noWrap w:val="0"/>
            <w:vAlign w:val="center"/>
          </w:tcPr>
          <w:p w14:paraId="3465B425">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相关证明资料对应页码</w:t>
            </w:r>
          </w:p>
        </w:tc>
      </w:tr>
      <w:tr w14:paraId="041E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3BB95295">
            <w:pPr>
              <w:widowControl/>
              <w:numPr>
                <w:ilvl w:val="0"/>
                <w:numId w:val="4"/>
              </w:numPr>
              <w:ind w:left="197" w:hanging="197"/>
              <w:jc w:val="center"/>
              <w:rPr>
                <w:rFonts w:hint="eastAsia" w:ascii="宋体" w:hAnsi="宋体" w:cs="宋体"/>
                <w:bCs/>
                <w:color w:val="auto"/>
                <w:sz w:val="24"/>
                <w:highlight w:val="none"/>
              </w:rPr>
            </w:pPr>
          </w:p>
        </w:tc>
        <w:tc>
          <w:tcPr>
            <w:tcW w:w="5812" w:type="dxa"/>
            <w:noWrap w:val="0"/>
            <w:vAlign w:val="center"/>
          </w:tcPr>
          <w:p w14:paraId="29A564F7">
            <w:pPr>
              <w:snapToGrid w:val="0"/>
              <w:spacing w:line="360" w:lineRule="auto"/>
              <w:rPr>
                <w:rFonts w:hint="eastAsia" w:ascii="宋体" w:hAnsi="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应提供工商营业执照（副本）（加盖公章）的复印件，提供税务登记证及组织机构代码证复印件。</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已提供加载有统一社会信用代码营业执照的，视为已提供税务登记证和组织机构代码证。</w:t>
            </w:r>
          </w:p>
        </w:tc>
        <w:tc>
          <w:tcPr>
            <w:tcW w:w="992" w:type="dxa"/>
            <w:noWrap w:val="0"/>
            <w:vAlign w:val="center"/>
          </w:tcPr>
          <w:p w14:paraId="18E01D80">
            <w:pPr>
              <w:widowControl/>
              <w:jc w:val="center"/>
              <w:rPr>
                <w:rFonts w:hint="eastAsia" w:ascii="宋体" w:hAnsi="宋体" w:cs="宋体"/>
                <w:bCs/>
                <w:color w:val="auto"/>
                <w:sz w:val="24"/>
                <w:highlight w:val="none"/>
              </w:rPr>
            </w:pPr>
          </w:p>
        </w:tc>
        <w:tc>
          <w:tcPr>
            <w:tcW w:w="850" w:type="dxa"/>
            <w:noWrap w:val="0"/>
            <w:vAlign w:val="center"/>
          </w:tcPr>
          <w:p w14:paraId="10197FE2">
            <w:pPr>
              <w:widowControl/>
              <w:jc w:val="center"/>
              <w:rPr>
                <w:rFonts w:hint="eastAsia" w:ascii="宋体" w:hAnsi="宋体" w:cs="宋体"/>
                <w:bCs/>
                <w:color w:val="auto"/>
                <w:sz w:val="24"/>
                <w:highlight w:val="none"/>
              </w:rPr>
            </w:pPr>
          </w:p>
        </w:tc>
        <w:tc>
          <w:tcPr>
            <w:tcW w:w="851" w:type="dxa"/>
            <w:noWrap w:val="0"/>
            <w:vAlign w:val="center"/>
          </w:tcPr>
          <w:p w14:paraId="2A646861">
            <w:pPr>
              <w:widowControl/>
              <w:jc w:val="center"/>
              <w:rPr>
                <w:rFonts w:hint="eastAsia" w:ascii="宋体" w:hAnsi="宋体" w:cs="宋体"/>
                <w:bCs/>
                <w:color w:val="auto"/>
                <w:sz w:val="24"/>
                <w:highlight w:val="none"/>
              </w:rPr>
            </w:pPr>
          </w:p>
        </w:tc>
      </w:tr>
      <w:tr w14:paraId="6EFB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1B979833">
            <w:pPr>
              <w:widowControl/>
              <w:numPr>
                <w:ilvl w:val="0"/>
                <w:numId w:val="4"/>
              </w:numPr>
              <w:ind w:left="197" w:hanging="197"/>
              <w:jc w:val="center"/>
              <w:rPr>
                <w:rFonts w:hint="eastAsia" w:ascii="宋体" w:hAnsi="宋体" w:cs="宋体"/>
                <w:bCs/>
                <w:color w:val="auto"/>
                <w:sz w:val="24"/>
                <w:highlight w:val="none"/>
              </w:rPr>
            </w:pPr>
          </w:p>
        </w:tc>
        <w:tc>
          <w:tcPr>
            <w:tcW w:w="5812" w:type="dxa"/>
            <w:noWrap w:val="0"/>
            <w:vAlign w:val="top"/>
          </w:tcPr>
          <w:p w14:paraId="567BEF2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全权代表若不是单位负责人，应提供单位授权书原件，并提供被授权代表身份证复印件。</w:t>
            </w:r>
          </w:p>
        </w:tc>
        <w:tc>
          <w:tcPr>
            <w:tcW w:w="992" w:type="dxa"/>
            <w:noWrap w:val="0"/>
            <w:vAlign w:val="center"/>
          </w:tcPr>
          <w:p w14:paraId="397BAD6E">
            <w:pPr>
              <w:widowControl/>
              <w:jc w:val="center"/>
              <w:rPr>
                <w:rFonts w:hint="eastAsia" w:ascii="宋体" w:hAnsi="宋体" w:cs="宋体"/>
                <w:bCs/>
                <w:color w:val="auto"/>
                <w:sz w:val="24"/>
                <w:highlight w:val="none"/>
              </w:rPr>
            </w:pPr>
          </w:p>
        </w:tc>
        <w:tc>
          <w:tcPr>
            <w:tcW w:w="850" w:type="dxa"/>
            <w:noWrap w:val="0"/>
            <w:vAlign w:val="center"/>
          </w:tcPr>
          <w:p w14:paraId="627AF447">
            <w:pPr>
              <w:widowControl/>
              <w:jc w:val="center"/>
              <w:rPr>
                <w:rFonts w:hint="eastAsia" w:ascii="宋体" w:hAnsi="宋体" w:cs="宋体"/>
                <w:bCs/>
                <w:color w:val="auto"/>
                <w:sz w:val="24"/>
                <w:highlight w:val="none"/>
              </w:rPr>
            </w:pPr>
          </w:p>
        </w:tc>
        <w:tc>
          <w:tcPr>
            <w:tcW w:w="851" w:type="dxa"/>
            <w:noWrap w:val="0"/>
            <w:vAlign w:val="center"/>
          </w:tcPr>
          <w:p w14:paraId="3EEC8D99">
            <w:pPr>
              <w:widowControl/>
              <w:jc w:val="center"/>
              <w:rPr>
                <w:rFonts w:hint="eastAsia" w:ascii="宋体" w:hAnsi="宋体" w:cs="宋体"/>
                <w:bCs/>
                <w:color w:val="auto"/>
                <w:sz w:val="24"/>
                <w:highlight w:val="none"/>
              </w:rPr>
            </w:pPr>
          </w:p>
        </w:tc>
      </w:tr>
      <w:tr w14:paraId="72C5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52713C8A">
            <w:pPr>
              <w:widowControl/>
              <w:numPr>
                <w:ilvl w:val="0"/>
                <w:numId w:val="4"/>
              </w:numPr>
              <w:ind w:left="197" w:hanging="197"/>
              <w:jc w:val="center"/>
              <w:rPr>
                <w:rFonts w:hint="eastAsia" w:ascii="宋体" w:hAnsi="宋体" w:cs="宋体"/>
                <w:bCs/>
                <w:color w:val="auto"/>
                <w:sz w:val="24"/>
                <w:highlight w:val="none"/>
              </w:rPr>
            </w:pPr>
          </w:p>
        </w:tc>
        <w:tc>
          <w:tcPr>
            <w:tcW w:w="5812" w:type="dxa"/>
            <w:noWrap w:val="0"/>
            <w:vAlign w:val="top"/>
          </w:tcPr>
          <w:p w14:paraId="59CC825B">
            <w:pPr>
              <w:spacing w:line="360" w:lineRule="auto"/>
              <w:rPr>
                <w:rFonts w:hint="eastAsia" w:ascii="宋体" w:hAnsi="宋体" w:cs="宋体"/>
                <w:b/>
                <w:bCs/>
                <w:color w:val="auto"/>
                <w:sz w:val="24"/>
                <w:szCs w:val="24"/>
                <w:highlight w:val="none"/>
              </w:rPr>
            </w:pPr>
            <w:r>
              <w:rPr>
                <w:rFonts w:hint="eastAsia" w:ascii="宋体" w:hAnsi="宋体" w:eastAsia="宋体" w:cs="宋体"/>
                <w:b/>
                <w:color w:val="auto"/>
                <w:sz w:val="24"/>
                <w:szCs w:val="24"/>
                <w:highlight w:val="none"/>
                <w:lang w:val="en-US" w:eastAsia="zh-CN"/>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本</w:t>
            </w: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lang w:eastAsia="zh-CN"/>
              </w:rPr>
              <w:t>项目的采购预算为人民币</w:t>
            </w:r>
            <w:r>
              <w:rPr>
                <w:rFonts w:hint="eastAsia" w:ascii="宋体" w:hAnsi="宋体" w:cs="宋体"/>
                <w:b/>
                <w:color w:val="auto"/>
                <w:sz w:val="24"/>
                <w:szCs w:val="24"/>
                <w:highlight w:val="none"/>
                <w:lang w:val="en-US" w:eastAsia="zh-CN"/>
              </w:rPr>
              <w:t>20.4</w:t>
            </w:r>
            <w:r>
              <w:rPr>
                <w:rFonts w:hint="eastAsia" w:ascii="宋体" w:hAnsi="宋体" w:eastAsia="宋体" w:cs="宋体"/>
                <w:b/>
                <w:color w:val="auto"/>
                <w:sz w:val="24"/>
                <w:szCs w:val="24"/>
                <w:highlight w:val="none"/>
                <w:lang w:eastAsia="zh-CN"/>
              </w:rPr>
              <w:t>万元，采购预算为总报价的最高限价，总报价超过采购预算的属无效报价。</w:t>
            </w:r>
          </w:p>
        </w:tc>
        <w:tc>
          <w:tcPr>
            <w:tcW w:w="992" w:type="dxa"/>
            <w:noWrap w:val="0"/>
            <w:vAlign w:val="center"/>
          </w:tcPr>
          <w:p w14:paraId="692AAEAE">
            <w:pPr>
              <w:widowControl/>
              <w:jc w:val="center"/>
              <w:rPr>
                <w:rFonts w:hint="eastAsia" w:ascii="宋体" w:hAnsi="宋体" w:cs="宋体"/>
                <w:bCs/>
                <w:color w:val="auto"/>
                <w:sz w:val="24"/>
                <w:highlight w:val="none"/>
              </w:rPr>
            </w:pPr>
          </w:p>
        </w:tc>
        <w:tc>
          <w:tcPr>
            <w:tcW w:w="850" w:type="dxa"/>
            <w:noWrap w:val="0"/>
            <w:vAlign w:val="center"/>
          </w:tcPr>
          <w:p w14:paraId="75C02164">
            <w:pPr>
              <w:widowControl/>
              <w:jc w:val="center"/>
              <w:rPr>
                <w:rFonts w:hint="eastAsia" w:ascii="宋体" w:hAnsi="宋体" w:cs="宋体"/>
                <w:bCs/>
                <w:color w:val="auto"/>
                <w:sz w:val="24"/>
                <w:highlight w:val="none"/>
              </w:rPr>
            </w:pPr>
          </w:p>
        </w:tc>
        <w:tc>
          <w:tcPr>
            <w:tcW w:w="851" w:type="dxa"/>
            <w:noWrap w:val="0"/>
            <w:vAlign w:val="center"/>
          </w:tcPr>
          <w:p w14:paraId="2895AEB2">
            <w:pPr>
              <w:widowControl/>
              <w:jc w:val="center"/>
              <w:rPr>
                <w:rFonts w:hint="eastAsia" w:ascii="宋体" w:hAnsi="宋体" w:cs="宋体"/>
                <w:bCs/>
                <w:color w:val="auto"/>
                <w:sz w:val="24"/>
                <w:highlight w:val="none"/>
              </w:rPr>
            </w:pPr>
          </w:p>
        </w:tc>
      </w:tr>
    </w:tbl>
    <w:p w14:paraId="5B59402F">
      <w:pPr>
        <w:rPr>
          <w:rFonts w:hint="eastAsia" w:ascii="宋体" w:hAnsi="宋体" w:cs="宋体"/>
          <w:color w:val="auto"/>
          <w:sz w:val="24"/>
          <w:highlight w:val="none"/>
        </w:rPr>
      </w:pPr>
      <w:r>
        <w:rPr>
          <w:rFonts w:hint="eastAsia" w:ascii="宋体" w:hAnsi="宋体" w:cs="宋体"/>
          <w:color w:val="auto"/>
          <w:sz w:val="24"/>
          <w:highlight w:val="none"/>
        </w:rPr>
        <w:t>注：表格中所列带*条款若与</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文件其他部分所列不一致，以</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文件其他部分所列为准，请</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自行修改补充</w:t>
      </w:r>
    </w:p>
    <w:p w14:paraId="27288E90">
      <w:pPr>
        <w:pStyle w:val="2"/>
        <w:jc w:val="center"/>
        <w:outlineLvl w:val="1"/>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br w:type="page"/>
      </w:r>
      <w:bookmarkStart w:id="218" w:name="_Toc482352472"/>
      <w:bookmarkStart w:id="219" w:name="_Toc11279"/>
      <w:bookmarkStart w:id="220" w:name="_Toc468780747"/>
      <w:bookmarkStart w:id="221" w:name="_Toc23010"/>
      <w:bookmarkStart w:id="222" w:name="_Toc480983545"/>
      <w:bookmarkStart w:id="223" w:name="_Toc20533"/>
      <w:bookmarkStart w:id="224" w:name="_Toc481048052"/>
      <w:bookmarkStart w:id="225" w:name="_Toc1112443272"/>
      <w:bookmarkStart w:id="226" w:name="_Toc515448371"/>
      <w:bookmarkStart w:id="227" w:name="_Toc533519526"/>
      <w:bookmarkStart w:id="228" w:name="_Toc24294"/>
      <w:bookmarkStart w:id="229" w:name="_Toc481480000"/>
      <w:bookmarkStart w:id="230" w:name="_Toc518466689"/>
      <w:bookmarkStart w:id="231" w:name="_Toc17237"/>
      <w:bookmarkStart w:id="232" w:name="_Toc515448958"/>
      <w:r>
        <w:rPr>
          <w:rFonts w:hint="eastAsia" w:ascii="宋体" w:hAnsi="宋体" w:eastAsia="宋体" w:cs="宋体"/>
          <w:color w:val="auto"/>
          <w:sz w:val="28"/>
          <w:szCs w:val="28"/>
          <w:highlight w:val="none"/>
        </w:rPr>
        <w:t>技术评分条款响应表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4010946">
      <w:pPr>
        <w:rPr>
          <w:rFonts w:hint="eastAsia" w:ascii="宋体" w:hAnsi="宋体" w:cs="宋体"/>
          <w:color w:val="auto"/>
          <w:sz w:val="24"/>
          <w:highlight w:val="none"/>
        </w:rPr>
      </w:pP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名称</w:t>
      </w:r>
      <w:r>
        <w:rPr>
          <w:rFonts w:hint="eastAsia" w:ascii="宋体" w:hAnsi="宋体" w:cs="宋体"/>
          <w:color w:val="auto"/>
          <w:sz w:val="24"/>
          <w:highlight w:val="none"/>
        </w:rPr>
        <w:t>（加盖公章）：</w:t>
      </w:r>
    </w:p>
    <w:tbl>
      <w:tblPr>
        <w:tblStyle w:val="12"/>
        <w:tblW w:w="9854"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188"/>
        <w:gridCol w:w="1043"/>
        <w:gridCol w:w="1822"/>
      </w:tblGrid>
      <w:tr w14:paraId="72D5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trPr>
        <w:tc>
          <w:tcPr>
            <w:tcW w:w="801" w:type="dxa"/>
            <w:noWrap w:val="0"/>
            <w:vAlign w:val="center"/>
          </w:tcPr>
          <w:p w14:paraId="07A2FD57">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188" w:type="dxa"/>
            <w:noWrap w:val="0"/>
            <w:vAlign w:val="center"/>
          </w:tcPr>
          <w:p w14:paraId="2D27F8C0">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043" w:type="dxa"/>
            <w:noWrap w:val="0"/>
            <w:vAlign w:val="center"/>
          </w:tcPr>
          <w:p w14:paraId="2F2ABE2D">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822" w:type="dxa"/>
            <w:noWrap w:val="0"/>
            <w:vAlign w:val="center"/>
          </w:tcPr>
          <w:p w14:paraId="7E7B785E">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18DA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01" w:type="dxa"/>
            <w:noWrap w:val="0"/>
            <w:vAlign w:val="center"/>
          </w:tcPr>
          <w:p w14:paraId="390216AC">
            <w:pPr>
              <w:widowControl/>
              <w:numPr>
                <w:ilvl w:val="0"/>
                <w:numId w:val="5"/>
              </w:numPr>
              <w:jc w:val="center"/>
              <w:rPr>
                <w:rFonts w:hint="eastAsia" w:ascii="宋体" w:hAnsi="宋体" w:cs="宋体"/>
                <w:color w:val="auto"/>
                <w:sz w:val="24"/>
                <w:highlight w:val="none"/>
              </w:rPr>
            </w:pPr>
          </w:p>
        </w:tc>
        <w:tc>
          <w:tcPr>
            <w:tcW w:w="6188" w:type="dxa"/>
            <w:noWrap w:val="0"/>
            <w:vAlign w:val="top"/>
          </w:tcPr>
          <w:p w14:paraId="7FA8053D">
            <w:pPr>
              <w:spacing w:line="360" w:lineRule="auto"/>
              <w:rPr>
                <w:rFonts w:hint="eastAsia" w:ascii="宋体" w:hAnsi="宋体" w:cs="宋体"/>
                <w:color w:val="auto"/>
                <w:sz w:val="24"/>
                <w:highlight w:val="none"/>
              </w:rPr>
            </w:pPr>
            <w:r>
              <w:rPr>
                <w:rFonts w:hint="eastAsia" w:ascii="宋体" w:hAnsi="宋体" w:eastAsia="宋体" w:cs="宋体"/>
                <w:color w:val="auto"/>
                <w:kern w:val="0"/>
                <w:sz w:val="24"/>
                <w:szCs w:val="24"/>
                <w:highlight w:val="none"/>
              </w:rPr>
              <w:t>根据各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提供的</w:t>
            </w:r>
            <w:r>
              <w:rPr>
                <w:rFonts w:hint="eastAsia" w:ascii="宋体" w:hAnsi="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中对第三章招标内容及要求“二、技术要求”中“▲”标示的内容（共12项）作出明确的逐项响应承诺,在《技术规格和商务偏离表》中列明是否偏离，并对其真实性负责，完全满足</w:t>
            </w:r>
            <w:r>
              <w:rPr>
                <w:rFonts w:hint="eastAsia" w:ascii="宋体" w:hAnsi="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要求的得36分；采购要求每存在一项负偏离（或未响应）扣3分，直至扣完为止。</w:t>
            </w:r>
          </w:p>
        </w:tc>
        <w:tc>
          <w:tcPr>
            <w:tcW w:w="1043" w:type="dxa"/>
            <w:noWrap w:val="0"/>
            <w:vAlign w:val="center"/>
          </w:tcPr>
          <w:p w14:paraId="2386F751">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822" w:type="dxa"/>
            <w:noWrap w:val="0"/>
            <w:vAlign w:val="center"/>
          </w:tcPr>
          <w:p w14:paraId="00BACAAB">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7FD4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74D93A9B">
            <w:pPr>
              <w:widowControl/>
              <w:numPr>
                <w:ilvl w:val="0"/>
                <w:numId w:val="5"/>
              </w:numPr>
              <w:jc w:val="center"/>
              <w:rPr>
                <w:rFonts w:hint="eastAsia" w:ascii="宋体" w:hAnsi="宋体" w:cs="宋体"/>
                <w:color w:val="auto"/>
                <w:sz w:val="24"/>
                <w:highlight w:val="none"/>
              </w:rPr>
            </w:pPr>
          </w:p>
        </w:tc>
        <w:tc>
          <w:tcPr>
            <w:tcW w:w="6188" w:type="dxa"/>
            <w:noWrap w:val="0"/>
            <w:vAlign w:val="center"/>
          </w:tcPr>
          <w:p w14:paraId="4D6A6F04">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提供的整体设计方案是否具有创新、整体设计造型及效果是否具有视觉冲击力和震撼力，是否符合相关主题，由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进行综合评分，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bidi="ar"/>
              </w:rPr>
              <w:t>方案创新、效果冲击力强、震撼，符合主题</w:t>
            </w:r>
            <w:r>
              <w:rPr>
                <w:rFonts w:hint="eastAsia" w:ascii="宋体" w:hAnsi="宋体" w:cs="宋体"/>
                <w:color w:val="auto"/>
                <w:kern w:val="0"/>
                <w:sz w:val="24"/>
                <w:szCs w:val="24"/>
                <w:highlight w:val="none"/>
                <w:lang w:eastAsia="zh-CN" w:bidi="ar"/>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1043" w:type="dxa"/>
            <w:noWrap w:val="0"/>
            <w:vAlign w:val="center"/>
          </w:tcPr>
          <w:p w14:paraId="7FE6ABA5">
            <w:pPr>
              <w:widowControl/>
              <w:jc w:val="left"/>
              <w:rPr>
                <w:rFonts w:hint="eastAsia" w:ascii="宋体" w:hAnsi="宋体" w:cs="宋体"/>
                <w:color w:val="auto"/>
                <w:sz w:val="24"/>
                <w:highlight w:val="none"/>
              </w:rPr>
            </w:pPr>
          </w:p>
        </w:tc>
        <w:tc>
          <w:tcPr>
            <w:tcW w:w="1822" w:type="dxa"/>
            <w:noWrap w:val="0"/>
            <w:vAlign w:val="center"/>
          </w:tcPr>
          <w:p w14:paraId="6A8B2DF9">
            <w:pPr>
              <w:widowControl/>
              <w:jc w:val="left"/>
              <w:rPr>
                <w:rFonts w:hint="eastAsia" w:ascii="宋体" w:hAnsi="宋体" w:cs="宋体"/>
                <w:color w:val="auto"/>
                <w:sz w:val="24"/>
                <w:highlight w:val="none"/>
              </w:rPr>
            </w:pPr>
          </w:p>
        </w:tc>
      </w:tr>
      <w:tr w14:paraId="4783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3E5818FE">
            <w:pPr>
              <w:widowControl/>
              <w:numPr>
                <w:ilvl w:val="0"/>
                <w:numId w:val="5"/>
              </w:numPr>
              <w:jc w:val="center"/>
              <w:rPr>
                <w:rFonts w:hint="eastAsia" w:ascii="宋体" w:hAnsi="宋体" w:cs="宋体"/>
                <w:color w:val="auto"/>
                <w:sz w:val="24"/>
                <w:highlight w:val="none"/>
              </w:rPr>
            </w:pPr>
          </w:p>
        </w:tc>
        <w:tc>
          <w:tcPr>
            <w:tcW w:w="6188" w:type="dxa"/>
            <w:noWrap w:val="0"/>
            <w:vAlign w:val="center"/>
          </w:tcPr>
          <w:p w14:paraId="753252C7">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w:t>
            </w:r>
            <w:r>
              <w:rPr>
                <w:rFonts w:hint="eastAsia" w:ascii="宋体" w:hAnsi="宋体" w:cs="宋体"/>
                <w:b w:val="0"/>
                <w:bCs w:val="0"/>
                <w:color w:val="auto"/>
                <w:sz w:val="24"/>
                <w:szCs w:val="24"/>
                <w:highlight w:val="none"/>
                <w:lang w:val="en-US" w:eastAsia="zh-CN"/>
              </w:rPr>
              <w:t>简洁</w:t>
            </w:r>
            <w:r>
              <w:rPr>
                <w:rFonts w:hint="eastAsia" w:ascii="宋体" w:hAnsi="宋体" w:cs="宋体"/>
                <w:b w:val="0"/>
                <w:bCs w:val="0"/>
                <w:color w:val="auto"/>
                <w:kern w:val="0"/>
                <w:sz w:val="24"/>
                <w:szCs w:val="24"/>
                <w:highlight w:val="none"/>
                <w:lang w:bidi="ar"/>
              </w:rPr>
              <w:t>、</w:t>
            </w:r>
            <w:r>
              <w:rPr>
                <w:rFonts w:hint="eastAsia" w:ascii="宋体" w:hAnsi="宋体" w:cs="宋体"/>
                <w:color w:val="auto"/>
                <w:kern w:val="0"/>
                <w:sz w:val="24"/>
                <w:szCs w:val="24"/>
                <w:highlight w:val="none"/>
                <w:lang w:bidi="ar"/>
              </w:rPr>
              <w:t>兼顾人流、绿色环保”展位整体设计和制作的整体效果图，由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bidi="ar"/>
              </w:rPr>
              <w:t>布局合理</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设计美观、创新性</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可行性强</w:t>
            </w:r>
            <w:r>
              <w:rPr>
                <w:rFonts w:hint="eastAsia" w:ascii="宋体" w:hAnsi="宋体" w:cs="宋体"/>
                <w:color w:val="auto"/>
                <w:kern w:val="0"/>
                <w:sz w:val="24"/>
                <w:szCs w:val="24"/>
                <w:highlight w:val="none"/>
                <w:lang w:eastAsia="zh-CN" w:bidi="ar"/>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1043" w:type="dxa"/>
            <w:noWrap w:val="0"/>
            <w:vAlign w:val="center"/>
          </w:tcPr>
          <w:p w14:paraId="715BE26F">
            <w:pPr>
              <w:widowControl/>
              <w:jc w:val="left"/>
              <w:rPr>
                <w:rFonts w:hint="eastAsia" w:ascii="宋体" w:hAnsi="宋体" w:cs="宋体"/>
                <w:color w:val="auto"/>
                <w:sz w:val="24"/>
                <w:highlight w:val="none"/>
              </w:rPr>
            </w:pPr>
          </w:p>
        </w:tc>
        <w:tc>
          <w:tcPr>
            <w:tcW w:w="1822" w:type="dxa"/>
            <w:noWrap w:val="0"/>
            <w:vAlign w:val="center"/>
          </w:tcPr>
          <w:p w14:paraId="2244A9C6">
            <w:pPr>
              <w:widowControl/>
              <w:jc w:val="left"/>
              <w:rPr>
                <w:rFonts w:hint="eastAsia" w:ascii="宋体" w:hAnsi="宋体" w:cs="宋体"/>
                <w:color w:val="auto"/>
                <w:sz w:val="24"/>
                <w:highlight w:val="none"/>
              </w:rPr>
            </w:pPr>
          </w:p>
        </w:tc>
      </w:tr>
      <w:tr w14:paraId="51B9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2857401C">
            <w:pPr>
              <w:widowControl/>
              <w:numPr>
                <w:ilvl w:val="0"/>
                <w:numId w:val="5"/>
              </w:numPr>
              <w:jc w:val="center"/>
              <w:rPr>
                <w:rFonts w:hint="eastAsia" w:ascii="宋体" w:hAnsi="宋体" w:cs="宋体"/>
                <w:color w:val="auto"/>
                <w:sz w:val="24"/>
                <w:highlight w:val="none"/>
              </w:rPr>
            </w:pPr>
          </w:p>
        </w:tc>
        <w:tc>
          <w:tcPr>
            <w:tcW w:w="6188" w:type="dxa"/>
            <w:noWrap w:val="0"/>
            <w:vAlign w:val="center"/>
          </w:tcPr>
          <w:p w14:paraId="05524E5E">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针对本项目布展提供的声、光、电技术及高新技术手段，利用包含但不限于电子屏、灯光以及交互影像等展陈方式，展现相关展示内容，从多方面体现新技术、新理念与新模式，充分体现沉浸式创意布展，调动观众主动走进展位了解板块内容。搭配效果、新颖性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1043" w:type="dxa"/>
            <w:noWrap w:val="0"/>
            <w:vAlign w:val="center"/>
          </w:tcPr>
          <w:p w14:paraId="67B19440">
            <w:pPr>
              <w:widowControl/>
              <w:jc w:val="left"/>
              <w:rPr>
                <w:rFonts w:hint="eastAsia" w:ascii="宋体" w:hAnsi="宋体" w:cs="宋体"/>
                <w:color w:val="auto"/>
                <w:sz w:val="24"/>
                <w:highlight w:val="none"/>
              </w:rPr>
            </w:pPr>
          </w:p>
        </w:tc>
        <w:tc>
          <w:tcPr>
            <w:tcW w:w="1822" w:type="dxa"/>
            <w:noWrap w:val="0"/>
            <w:vAlign w:val="center"/>
          </w:tcPr>
          <w:p w14:paraId="168D7774">
            <w:pPr>
              <w:widowControl/>
              <w:jc w:val="left"/>
              <w:rPr>
                <w:rFonts w:hint="eastAsia" w:ascii="宋体" w:hAnsi="宋体" w:cs="宋体"/>
                <w:color w:val="auto"/>
                <w:sz w:val="24"/>
                <w:highlight w:val="none"/>
              </w:rPr>
            </w:pPr>
          </w:p>
        </w:tc>
      </w:tr>
      <w:tr w14:paraId="1728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66380223">
            <w:pPr>
              <w:widowControl/>
              <w:numPr>
                <w:ilvl w:val="0"/>
                <w:numId w:val="5"/>
              </w:numPr>
              <w:jc w:val="center"/>
              <w:rPr>
                <w:rFonts w:hint="eastAsia" w:ascii="宋体" w:hAnsi="宋体" w:cs="宋体"/>
                <w:color w:val="auto"/>
                <w:sz w:val="24"/>
                <w:highlight w:val="none"/>
              </w:rPr>
            </w:pPr>
          </w:p>
        </w:tc>
        <w:tc>
          <w:tcPr>
            <w:tcW w:w="6188" w:type="dxa"/>
            <w:noWrap w:val="0"/>
            <w:vAlign w:val="center"/>
          </w:tcPr>
          <w:p w14:paraId="3CCBAB10">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提供的实物展示方案的合理性，及相关俯视图，效果图，由评委进行评分，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1043" w:type="dxa"/>
            <w:noWrap w:val="0"/>
            <w:vAlign w:val="center"/>
          </w:tcPr>
          <w:p w14:paraId="211DE449">
            <w:pPr>
              <w:widowControl/>
              <w:jc w:val="left"/>
              <w:rPr>
                <w:rFonts w:hint="eastAsia" w:ascii="宋体" w:hAnsi="宋体" w:cs="宋体"/>
                <w:color w:val="auto"/>
                <w:sz w:val="24"/>
                <w:highlight w:val="none"/>
              </w:rPr>
            </w:pPr>
          </w:p>
        </w:tc>
        <w:tc>
          <w:tcPr>
            <w:tcW w:w="1822" w:type="dxa"/>
            <w:noWrap w:val="0"/>
            <w:vAlign w:val="center"/>
          </w:tcPr>
          <w:p w14:paraId="6670A933">
            <w:pPr>
              <w:widowControl/>
              <w:jc w:val="left"/>
              <w:rPr>
                <w:rFonts w:hint="eastAsia" w:ascii="宋体" w:hAnsi="宋体" w:cs="宋体"/>
                <w:color w:val="auto"/>
                <w:sz w:val="24"/>
                <w:highlight w:val="none"/>
              </w:rPr>
            </w:pPr>
          </w:p>
        </w:tc>
      </w:tr>
      <w:tr w14:paraId="75CA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1038CEA2">
            <w:pPr>
              <w:widowControl/>
              <w:numPr>
                <w:ilvl w:val="0"/>
                <w:numId w:val="5"/>
              </w:numPr>
              <w:jc w:val="center"/>
              <w:rPr>
                <w:rFonts w:hint="eastAsia" w:ascii="宋体" w:hAnsi="宋体" w:cs="宋体"/>
                <w:color w:val="auto"/>
                <w:sz w:val="24"/>
                <w:highlight w:val="none"/>
              </w:rPr>
            </w:pPr>
          </w:p>
        </w:tc>
        <w:tc>
          <w:tcPr>
            <w:tcW w:w="6188" w:type="dxa"/>
            <w:noWrap w:val="0"/>
            <w:vAlign w:val="center"/>
          </w:tcPr>
          <w:p w14:paraId="79D801D8">
            <w:pPr>
              <w:spacing w:line="360" w:lineRule="auto"/>
              <w:rPr>
                <w:rFonts w:hint="eastAsia" w:ascii="宋体" w:hAnsi="宋体" w:cs="宋体"/>
                <w:color w:val="auto"/>
                <w:sz w:val="24"/>
                <w:highlight w:val="none"/>
              </w:rPr>
            </w:pPr>
            <w:r>
              <w:rPr>
                <w:rFonts w:hint="eastAsia" w:ascii="宋体" w:hAnsi="宋体" w:cs="宋体"/>
                <w:color w:val="auto"/>
                <w:kern w:val="0"/>
                <w:sz w:val="24"/>
                <w:szCs w:val="24"/>
                <w:highlight w:val="none"/>
                <w:lang w:bidi="ar"/>
              </w:rPr>
              <w:t>根据</w:t>
            </w:r>
            <w:r>
              <w:rPr>
                <w:rFonts w:hint="eastAsia" w:ascii="宋体" w:hAnsi="宋体" w:cs="宋体"/>
                <w:color w:val="auto"/>
                <w:kern w:val="0"/>
                <w:sz w:val="24"/>
                <w:szCs w:val="24"/>
                <w:highlight w:val="none"/>
                <w:lang w:eastAsia="zh-CN" w:bidi="ar"/>
              </w:rPr>
              <w:t>投标人</w:t>
            </w:r>
            <w:r>
              <w:rPr>
                <w:rFonts w:hint="eastAsia" w:ascii="宋体" w:hAnsi="宋体" w:cs="宋体"/>
                <w:color w:val="auto"/>
                <w:kern w:val="0"/>
                <w:sz w:val="24"/>
                <w:szCs w:val="24"/>
                <w:highlight w:val="none"/>
                <w:lang w:bidi="ar"/>
              </w:rPr>
              <w:t>提供布展设计是否环保，可循环布展材料的使用率由</w:t>
            </w:r>
            <w:r>
              <w:rPr>
                <w:rFonts w:hint="eastAsia" w:ascii="宋体" w:hAnsi="宋体" w:cs="宋体"/>
                <w:color w:val="auto"/>
                <w:kern w:val="0"/>
                <w:sz w:val="24"/>
                <w:szCs w:val="24"/>
                <w:highlight w:val="none"/>
                <w:lang w:eastAsia="zh-CN" w:bidi="ar"/>
              </w:rPr>
              <w:t>评标委员会</w:t>
            </w:r>
            <w:r>
              <w:rPr>
                <w:rFonts w:hint="eastAsia" w:ascii="宋体" w:hAnsi="宋体" w:cs="宋体"/>
                <w:color w:val="auto"/>
                <w:kern w:val="0"/>
                <w:sz w:val="24"/>
                <w:szCs w:val="24"/>
                <w:highlight w:val="none"/>
                <w:lang w:bidi="ar"/>
              </w:rPr>
              <w:t>进行综合评分，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kern w:val="0"/>
                <w:sz w:val="24"/>
                <w:szCs w:val="24"/>
                <w:highlight w:val="none"/>
                <w:lang w:bidi="ar"/>
              </w:rPr>
              <w:t>布展设计环保，可循环布展材料使用率高</w:t>
            </w:r>
            <w:r>
              <w:rPr>
                <w:rFonts w:hint="eastAsia" w:ascii="宋体" w:hAnsi="宋体" w:cs="宋体"/>
                <w:color w:val="auto"/>
                <w:kern w:val="0"/>
                <w:sz w:val="24"/>
                <w:szCs w:val="24"/>
                <w:highlight w:val="none"/>
                <w:lang w:eastAsia="zh-CN" w:bidi="ar"/>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w:t>
            </w:r>
            <w:r>
              <w:rPr>
                <w:rFonts w:hint="eastAsia" w:ascii="宋体" w:hAnsi="宋体" w:cs="宋体"/>
                <w:color w:val="auto"/>
                <w:kern w:val="0"/>
                <w:sz w:val="24"/>
                <w:szCs w:val="24"/>
                <w:highlight w:val="none"/>
                <w:lang w:bidi="ar"/>
              </w:rPr>
              <w:t>布展设计不环保</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未使用可循环布展材料</w:t>
            </w:r>
            <w:r>
              <w:rPr>
                <w:rFonts w:hint="eastAsia" w:ascii="宋体" w:hAnsi="宋体" w:cs="宋体"/>
                <w:color w:val="auto"/>
                <w:kern w:val="0"/>
                <w:sz w:val="24"/>
                <w:szCs w:val="24"/>
                <w:highlight w:val="none"/>
                <w:lang w:val="en-US" w:eastAsia="zh-CN" w:bidi="ar"/>
              </w:rPr>
              <w:t>或未提供方案得到</w:t>
            </w:r>
            <w:r>
              <w:rPr>
                <w:rFonts w:hint="eastAsia" w:ascii="宋体" w:hAnsi="宋体" w:cs="宋体"/>
                <w:color w:val="auto"/>
                <w:kern w:val="0"/>
                <w:sz w:val="24"/>
                <w:szCs w:val="24"/>
                <w:highlight w:val="none"/>
                <w:lang w:bidi="ar"/>
              </w:rPr>
              <w:t>的</w:t>
            </w:r>
            <w:r>
              <w:rPr>
                <w:rFonts w:hint="eastAsia" w:ascii="宋体" w:hAnsi="宋体" w:cs="宋体"/>
                <w:color w:val="auto"/>
                <w:kern w:val="0"/>
                <w:sz w:val="24"/>
                <w:szCs w:val="24"/>
                <w:highlight w:val="none"/>
                <w:lang w:val="en-US" w:eastAsia="zh-CN" w:bidi="ar"/>
              </w:rPr>
              <w:t>均</w:t>
            </w:r>
            <w:r>
              <w:rPr>
                <w:rFonts w:hint="eastAsia" w:ascii="宋体" w:hAnsi="宋体" w:cs="宋体"/>
                <w:color w:val="auto"/>
                <w:kern w:val="0"/>
                <w:sz w:val="24"/>
                <w:szCs w:val="24"/>
                <w:highlight w:val="none"/>
                <w:lang w:bidi="ar"/>
              </w:rPr>
              <w:t>不得分。</w:t>
            </w:r>
          </w:p>
        </w:tc>
        <w:tc>
          <w:tcPr>
            <w:tcW w:w="1043" w:type="dxa"/>
            <w:noWrap w:val="0"/>
            <w:vAlign w:val="center"/>
          </w:tcPr>
          <w:p w14:paraId="53F3964A">
            <w:pPr>
              <w:widowControl/>
              <w:jc w:val="left"/>
              <w:rPr>
                <w:rFonts w:hint="eastAsia" w:ascii="宋体" w:hAnsi="宋体" w:cs="宋体"/>
                <w:color w:val="auto"/>
                <w:sz w:val="24"/>
                <w:highlight w:val="none"/>
              </w:rPr>
            </w:pPr>
          </w:p>
        </w:tc>
        <w:tc>
          <w:tcPr>
            <w:tcW w:w="1822" w:type="dxa"/>
            <w:noWrap w:val="0"/>
            <w:vAlign w:val="center"/>
          </w:tcPr>
          <w:p w14:paraId="113D8C2E">
            <w:pPr>
              <w:widowControl/>
              <w:jc w:val="left"/>
              <w:rPr>
                <w:rFonts w:hint="eastAsia" w:ascii="宋体" w:hAnsi="宋体" w:cs="宋体"/>
                <w:color w:val="auto"/>
                <w:sz w:val="24"/>
                <w:highlight w:val="none"/>
              </w:rPr>
            </w:pPr>
          </w:p>
        </w:tc>
      </w:tr>
      <w:tr w14:paraId="0DEA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7B33F353">
            <w:pPr>
              <w:widowControl/>
              <w:numPr>
                <w:ilvl w:val="0"/>
                <w:numId w:val="5"/>
              </w:numPr>
              <w:jc w:val="center"/>
              <w:rPr>
                <w:rFonts w:hint="eastAsia" w:ascii="宋体" w:hAnsi="宋体" w:cs="宋体"/>
                <w:color w:val="auto"/>
                <w:sz w:val="24"/>
                <w:highlight w:val="none"/>
              </w:rPr>
            </w:pPr>
          </w:p>
        </w:tc>
        <w:tc>
          <w:tcPr>
            <w:tcW w:w="6188" w:type="dxa"/>
            <w:noWrap w:val="0"/>
            <w:vAlign w:val="top"/>
          </w:tcPr>
          <w:p w14:paraId="38C0C657">
            <w:pPr>
              <w:pStyle w:val="11"/>
              <w:widowControl/>
              <w:spacing w:line="360" w:lineRule="auto"/>
              <w:rPr>
                <w:rFonts w:hint="eastAsia" w:ascii="宋体" w:hAnsi="宋体" w:cs="宋体"/>
                <w:color w:val="auto"/>
                <w:sz w:val="24"/>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提供的施工方案（包括但不限于：实施计划、工期进度、进度控制、关键时间节点把握情况），由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得3分；③提供方案与本项目无关的或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1043" w:type="dxa"/>
            <w:noWrap w:val="0"/>
            <w:vAlign w:val="center"/>
          </w:tcPr>
          <w:p w14:paraId="44D9EF46">
            <w:pPr>
              <w:widowControl/>
              <w:jc w:val="left"/>
              <w:rPr>
                <w:rFonts w:hint="eastAsia" w:ascii="宋体" w:hAnsi="宋体" w:cs="宋体"/>
                <w:color w:val="auto"/>
                <w:sz w:val="24"/>
                <w:highlight w:val="none"/>
              </w:rPr>
            </w:pPr>
          </w:p>
        </w:tc>
        <w:tc>
          <w:tcPr>
            <w:tcW w:w="1822" w:type="dxa"/>
            <w:noWrap w:val="0"/>
            <w:vAlign w:val="center"/>
          </w:tcPr>
          <w:p w14:paraId="36778912">
            <w:pPr>
              <w:widowControl/>
              <w:jc w:val="left"/>
              <w:rPr>
                <w:rFonts w:hint="eastAsia" w:ascii="宋体" w:hAnsi="宋体" w:cs="宋体"/>
                <w:color w:val="auto"/>
                <w:sz w:val="24"/>
                <w:highlight w:val="none"/>
              </w:rPr>
            </w:pPr>
          </w:p>
        </w:tc>
      </w:tr>
      <w:tr w14:paraId="732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3983E628">
            <w:pPr>
              <w:widowControl/>
              <w:numPr>
                <w:ilvl w:val="0"/>
                <w:numId w:val="5"/>
              </w:numPr>
              <w:jc w:val="center"/>
              <w:rPr>
                <w:rFonts w:hint="eastAsia" w:ascii="宋体" w:hAnsi="宋体" w:cs="宋体"/>
                <w:color w:val="auto"/>
                <w:sz w:val="24"/>
                <w:highlight w:val="none"/>
              </w:rPr>
            </w:pPr>
          </w:p>
        </w:tc>
        <w:tc>
          <w:tcPr>
            <w:tcW w:w="6188" w:type="dxa"/>
            <w:noWrap w:val="0"/>
            <w:vAlign w:val="top"/>
          </w:tcPr>
          <w:p w14:paraId="6E235662">
            <w:pPr>
              <w:pStyle w:val="11"/>
              <w:widowControl/>
              <w:spacing w:line="360" w:lineRule="auto"/>
              <w:rPr>
                <w:rFonts w:hint="eastAsia" w:ascii="宋体" w:hAnsi="宋体" w:cs="宋体"/>
                <w:color w:val="auto"/>
                <w:sz w:val="24"/>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提供的电路图纸是否规范，包括有关用电资料（含电气结线图，电气分布图及用电总量）等具体的工程图、平面图等，由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进行评分，</w:t>
            </w:r>
            <w:r>
              <w:rPr>
                <w:rFonts w:ascii="宋体" w:hAnsi="宋体" w:cs="宋体"/>
                <w:color w:val="auto"/>
                <w:sz w:val="24"/>
                <w:szCs w:val="24"/>
                <w:highlight w:val="none"/>
              </w:rPr>
              <w:t>①</w:t>
            </w:r>
            <w:r>
              <w:rPr>
                <w:rFonts w:hint="eastAsia" w:ascii="宋体" w:hAnsi="宋体" w:cs="宋体"/>
                <w:color w:val="auto"/>
                <w:kern w:val="0"/>
                <w:highlight w:val="none"/>
                <w:lang w:bidi="ar"/>
              </w:rPr>
              <w:t>能够完整提供上述电子图纸且具有详细图纸说明</w:t>
            </w:r>
            <w:r>
              <w:rPr>
                <w:rFonts w:hint="eastAsia" w:ascii="宋体" w:hAnsi="宋体" w:cs="宋体"/>
                <w:color w:val="auto"/>
                <w:kern w:val="0"/>
                <w:highlight w:val="none"/>
                <w:lang w:val="en-US" w:eastAsia="zh-CN" w:bidi="ar"/>
              </w:rPr>
              <w:t>的</w:t>
            </w:r>
            <w:r>
              <w:rPr>
                <w:rFonts w:hint="eastAsia" w:ascii="宋体" w:hAnsi="宋体" w:cs="宋体"/>
                <w:color w:val="auto"/>
                <w:kern w:val="0"/>
                <w:highlight w:val="none"/>
                <w:lang w:bidi="ar"/>
              </w:rPr>
              <w:t>得3分；</w:t>
            </w:r>
            <w:r>
              <w:rPr>
                <w:rFonts w:ascii="宋体" w:hAnsi="宋体" w:cs="宋体"/>
                <w:color w:val="auto"/>
                <w:sz w:val="24"/>
                <w:szCs w:val="24"/>
                <w:highlight w:val="none"/>
              </w:rPr>
              <w:t>②</w:t>
            </w:r>
            <w:r>
              <w:rPr>
                <w:rFonts w:hint="eastAsia" w:ascii="宋体" w:hAnsi="宋体" w:cs="宋体"/>
                <w:color w:val="auto"/>
                <w:kern w:val="0"/>
                <w:highlight w:val="none"/>
                <w:lang w:bidi="ar"/>
              </w:rPr>
              <w:t>能够完整提供上述图纸但未提供详细图纸说明</w:t>
            </w:r>
            <w:r>
              <w:rPr>
                <w:rFonts w:hint="eastAsia" w:ascii="宋体" w:hAnsi="宋体" w:cs="宋体"/>
                <w:color w:val="auto"/>
                <w:kern w:val="0"/>
                <w:highlight w:val="none"/>
                <w:lang w:val="en-US" w:eastAsia="zh-CN" w:bidi="ar"/>
              </w:rPr>
              <w:t>的</w:t>
            </w:r>
            <w:r>
              <w:rPr>
                <w:rFonts w:hint="eastAsia" w:ascii="宋体" w:hAnsi="宋体" w:cs="宋体"/>
                <w:color w:val="auto"/>
                <w:kern w:val="0"/>
                <w:highlight w:val="none"/>
                <w:lang w:bidi="ar"/>
              </w:rPr>
              <w:t>得2分；</w:t>
            </w:r>
            <w:r>
              <w:rPr>
                <w:rFonts w:hint="default" w:ascii="宋体" w:hAnsi="宋体" w:eastAsia="宋体" w:cs="宋体"/>
                <w:color w:val="auto"/>
                <w:kern w:val="2"/>
                <w:sz w:val="24"/>
                <w:szCs w:val="24"/>
                <w:highlight w:val="none"/>
                <w:lang w:bidi="ar"/>
              </w:rPr>
              <w:t>③</w:t>
            </w:r>
            <w:r>
              <w:rPr>
                <w:rFonts w:hint="eastAsia" w:ascii="宋体" w:hAnsi="宋体" w:cs="宋体"/>
                <w:color w:val="auto"/>
                <w:kern w:val="0"/>
                <w:highlight w:val="none"/>
                <w:lang w:bidi="ar"/>
              </w:rPr>
              <w:t>仅提供部分图纸的得1分；</w:t>
            </w:r>
            <w:r>
              <w:rPr>
                <w:rFonts w:hint="eastAsia" w:ascii="宋体" w:hAnsi="宋体" w:eastAsia="宋体" w:cs="宋体"/>
                <w:color w:val="auto"/>
                <w:kern w:val="0"/>
                <w:sz w:val="24"/>
                <w:szCs w:val="24"/>
                <w:highlight w:val="none"/>
                <w:lang w:val="en-US" w:eastAsia="zh-CN" w:bidi="ar"/>
              </w:rPr>
              <w:t>④</w:t>
            </w:r>
            <w:r>
              <w:rPr>
                <w:rFonts w:hint="eastAsia" w:ascii="宋体" w:hAnsi="宋体" w:cs="宋体"/>
                <w:color w:val="auto"/>
                <w:kern w:val="0"/>
                <w:highlight w:val="none"/>
                <w:lang w:bidi="ar"/>
              </w:rPr>
              <w:t>未提供的不得分。</w:t>
            </w:r>
          </w:p>
        </w:tc>
        <w:tc>
          <w:tcPr>
            <w:tcW w:w="1043" w:type="dxa"/>
            <w:noWrap w:val="0"/>
            <w:vAlign w:val="center"/>
          </w:tcPr>
          <w:p w14:paraId="00F1FAA2">
            <w:pPr>
              <w:widowControl/>
              <w:jc w:val="left"/>
              <w:rPr>
                <w:rFonts w:hint="eastAsia" w:ascii="宋体" w:hAnsi="宋体" w:cs="宋体"/>
                <w:color w:val="auto"/>
                <w:sz w:val="24"/>
                <w:highlight w:val="none"/>
              </w:rPr>
            </w:pPr>
          </w:p>
        </w:tc>
        <w:tc>
          <w:tcPr>
            <w:tcW w:w="1822" w:type="dxa"/>
            <w:noWrap w:val="0"/>
            <w:vAlign w:val="center"/>
          </w:tcPr>
          <w:p w14:paraId="16606C52">
            <w:pPr>
              <w:widowControl/>
              <w:jc w:val="left"/>
              <w:rPr>
                <w:rFonts w:hint="eastAsia" w:ascii="宋体" w:hAnsi="宋体" w:cs="宋体"/>
                <w:color w:val="auto"/>
                <w:sz w:val="24"/>
                <w:highlight w:val="none"/>
              </w:rPr>
            </w:pPr>
          </w:p>
        </w:tc>
      </w:tr>
      <w:tr w14:paraId="30F4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1C849CD5">
            <w:pPr>
              <w:widowControl/>
              <w:numPr>
                <w:ilvl w:val="0"/>
                <w:numId w:val="5"/>
              </w:numPr>
              <w:jc w:val="center"/>
              <w:rPr>
                <w:rFonts w:hint="eastAsia" w:ascii="宋体" w:hAnsi="宋体" w:cs="宋体"/>
                <w:color w:val="auto"/>
                <w:sz w:val="24"/>
                <w:highlight w:val="none"/>
              </w:rPr>
            </w:pPr>
          </w:p>
        </w:tc>
        <w:tc>
          <w:tcPr>
            <w:tcW w:w="6188" w:type="dxa"/>
            <w:noWrap w:val="0"/>
            <w:vAlign w:val="top"/>
          </w:tcPr>
          <w:p w14:paraId="0700EA8C">
            <w:pPr>
              <w:pStyle w:val="11"/>
              <w:widowControl/>
              <w:spacing w:line="360" w:lineRule="auto"/>
              <w:rPr>
                <w:rFonts w:hint="eastAsia" w:ascii="宋体" w:hAnsi="宋体" w:cs="宋体"/>
                <w:color w:val="auto"/>
                <w:sz w:val="24"/>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使用材料质量水平优劣（材质说明图），结构安全等方面情况，由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进行综合评分：</w:t>
            </w:r>
            <w:r>
              <w:rPr>
                <w:rFonts w:ascii="宋体" w:hAnsi="宋体" w:cs="宋体"/>
                <w:color w:val="auto"/>
                <w:sz w:val="24"/>
                <w:szCs w:val="24"/>
                <w:highlight w:val="none"/>
              </w:rPr>
              <w:t>①</w:t>
            </w:r>
            <w:r>
              <w:rPr>
                <w:rFonts w:hint="eastAsia" w:ascii="宋体" w:hAnsi="宋体" w:cs="宋体"/>
                <w:color w:val="auto"/>
                <w:kern w:val="0"/>
                <w:highlight w:val="none"/>
                <w:lang w:bidi="ar"/>
              </w:rPr>
              <w:t>使用材料质量优异，结构安全等方面情况良好的得3分；</w:t>
            </w:r>
            <w:r>
              <w:rPr>
                <w:rFonts w:ascii="宋体" w:hAnsi="宋体" w:cs="宋体"/>
                <w:color w:val="auto"/>
                <w:sz w:val="24"/>
                <w:szCs w:val="24"/>
                <w:highlight w:val="none"/>
              </w:rPr>
              <w:t>②</w:t>
            </w:r>
            <w:r>
              <w:rPr>
                <w:rFonts w:hint="eastAsia" w:ascii="宋体" w:hAnsi="宋体" w:cs="宋体"/>
                <w:color w:val="auto"/>
                <w:kern w:val="0"/>
                <w:highlight w:val="none"/>
                <w:lang w:bidi="ar"/>
              </w:rPr>
              <w:t>使用材料质量普通，结构安全等方面情况一般的得</w:t>
            </w:r>
            <w:r>
              <w:rPr>
                <w:rFonts w:hint="eastAsia" w:ascii="宋体" w:hAnsi="宋体" w:cs="宋体"/>
                <w:color w:val="auto"/>
                <w:kern w:val="0"/>
                <w:highlight w:val="none"/>
                <w:lang w:val="en-US" w:eastAsia="zh-CN" w:bidi="ar"/>
              </w:rPr>
              <w:t>2</w:t>
            </w:r>
            <w:r>
              <w:rPr>
                <w:rFonts w:hint="eastAsia" w:ascii="宋体" w:hAnsi="宋体" w:cs="宋体"/>
                <w:color w:val="auto"/>
                <w:kern w:val="0"/>
                <w:highlight w:val="none"/>
                <w:lang w:bidi="ar"/>
              </w:rPr>
              <w:t>分</w:t>
            </w:r>
            <w:r>
              <w:rPr>
                <w:rFonts w:hint="eastAsia" w:ascii="宋体" w:hAnsi="宋体" w:cs="宋体"/>
                <w:color w:val="auto"/>
                <w:kern w:val="0"/>
                <w:highlight w:val="none"/>
                <w:lang w:eastAsia="zh-CN" w:bidi="ar"/>
              </w:rPr>
              <w:t>；</w:t>
            </w:r>
            <w:r>
              <w:rPr>
                <w:rFonts w:hint="default" w:ascii="宋体" w:hAnsi="宋体" w:eastAsia="宋体" w:cs="宋体"/>
                <w:color w:val="auto"/>
                <w:kern w:val="2"/>
                <w:sz w:val="24"/>
                <w:szCs w:val="24"/>
                <w:highlight w:val="none"/>
                <w:lang w:bidi="ar"/>
              </w:rPr>
              <w:t>③</w:t>
            </w:r>
            <w:r>
              <w:rPr>
                <w:rFonts w:hint="eastAsia" w:ascii="宋体" w:hAnsi="宋体" w:cs="宋体"/>
                <w:color w:val="auto"/>
                <w:kern w:val="0"/>
                <w:highlight w:val="none"/>
                <w:lang w:bidi="ar"/>
              </w:rPr>
              <w:t>其余不得分。</w:t>
            </w:r>
          </w:p>
        </w:tc>
        <w:tc>
          <w:tcPr>
            <w:tcW w:w="1043" w:type="dxa"/>
            <w:noWrap w:val="0"/>
            <w:vAlign w:val="center"/>
          </w:tcPr>
          <w:p w14:paraId="1517E471">
            <w:pPr>
              <w:widowControl/>
              <w:jc w:val="left"/>
              <w:rPr>
                <w:rFonts w:hint="eastAsia" w:ascii="宋体" w:hAnsi="宋体" w:cs="宋体"/>
                <w:color w:val="auto"/>
                <w:sz w:val="24"/>
                <w:highlight w:val="none"/>
              </w:rPr>
            </w:pPr>
          </w:p>
        </w:tc>
        <w:tc>
          <w:tcPr>
            <w:tcW w:w="1822" w:type="dxa"/>
            <w:noWrap w:val="0"/>
            <w:vAlign w:val="center"/>
          </w:tcPr>
          <w:p w14:paraId="7AF3C4D1">
            <w:pPr>
              <w:widowControl/>
              <w:jc w:val="left"/>
              <w:rPr>
                <w:rFonts w:hint="eastAsia" w:ascii="宋体" w:hAnsi="宋体" w:cs="宋体"/>
                <w:color w:val="auto"/>
                <w:sz w:val="24"/>
                <w:highlight w:val="none"/>
              </w:rPr>
            </w:pPr>
          </w:p>
        </w:tc>
      </w:tr>
      <w:tr w14:paraId="2CCD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01" w:type="dxa"/>
            <w:noWrap w:val="0"/>
            <w:vAlign w:val="center"/>
          </w:tcPr>
          <w:p w14:paraId="47FB28D2">
            <w:pPr>
              <w:widowControl/>
              <w:numPr>
                <w:ilvl w:val="0"/>
                <w:numId w:val="5"/>
              </w:numPr>
              <w:jc w:val="center"/>
              <w:rPr>
                <w:rFonts w:hint="eastAsia" w:ascii="宋体" w:hAnsi="宋体" w:cs="宋体"/>
                <w:color w:val="auto"/>
                <w:sz w:val="24"/>
                <w:highlight w:val="none"/>
              </w:rPr>
            </w:pPr>
          </w:p>
        </w:tc>
        <w:tc>
          <w:tcPr>
            <w:tcW w:w="6188" w:type="dxa"/>
            <w:noWrap w:val="0"/>
            <w:vAlign w:val="top"/>
          </w:tcPr>
          <w:p w14:paraId="35385A28">
            <w:pPr>
              <w:pStyle w:val="11"/>
              <w:widowControl/>
              <w:spacing w:line="360" w:lineRule="auto"/>
              <w:rPr>
                <w:rFonts w:hint="eastAsia" w:ascii="宋体" w:hAnsi="宋体" w:cs="宋体"/>
                <w:color w:val="auto"/>
                <w:sz w:val="24"/>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是否列明各环节负责人（含总负责人、工程组和设计组等）的名单，以及承诺各环节负责人（含总负责人、工程组和设计组等）24小时手机畅通、随时响应情况，由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进行综合评分：</w:t>
            </w:r>
            <w:r>
              <w:rPr>
                <w:rFonts w:ascii="宋体" w:hAnsi="宋体" w:cs="宋体"/>
                <w:color w:val="auto"/>
                <w:sz w:val="24"/>
                <w:szCs w:val="24"/>
                <w:highlight w:val="none"/>
              </w:rPr>
              <w:t>①</w:t>
            </w:r>
            <w:r>
              <w:rPr>
                <w:rFonts w:hint="eastAsia" w:ascii="宋体" w:hAnsi="宋体" w:cs="宋体"/>
                <w:color w:val="auto"/>
                <w:kern w:val="0"/>
                <w:highlight w:val="none"/>
                <w:lang w:bidi="ar"/>
              </w:rPr>
              <w:t>列明各环节负责人名单且承诺各环节负责人24小时手机畅通、随时响应的得3分；</w:t>
            </w:r>
            <w:r>
              <w:rPr>
                <w:rFonts w:ascii="宋体" w:hAnsi="宋体" w:cs="宋体"/>
                <w:color w:val="auto"/>
                <w:sz w:val="24"/>
                <w:szCs w:val="24"/>
                <w:highlight w:val="none"/>
              </w:rPr>
              <w:t>②</w:t>
            </w:r>
            <w:r>
              <w:rPr>
                <w:rFonts w:hint="eastAsia" w:ascii="宋体" w:hAnsi="宋体" w:cs="宋体"/>
                <w:color w:val="auto"/>
                <w:kern w:val="0"/>
                <w:highlight w:val="none"/>
                <w:lang w:bidi="ar"/>
              </w:rPr>
              <w:t>列明各环节负责人名单，但未承诺各环节负责人24小时手机畅通、随时响应的得2分；</w:t>
            </w:r>
            <w:r>
              <w:rPr>
                <w:rFonts w:hint="default" w:ascii="宋体" w:hAnsi="宋体" w:eastAsia="宋体" w:cs="宋体"/>
                <w:color w:val="auto"/>
                <w:kern w:val="2"/>
                <w:sz w:val="24"/>
                <w:szCs w:val="24"/>
                <w:highlight w:val="none"/>
                <w:lang w:bidi="ar"/>
              </w:rPr>
              <w:t>③</w:t>
            </w:r>
            <w:r>
              <w:rPr>
                <w:rFonts w:hint="eastAsia" w:ascii="宋体" w:hAnsi="宋体" w:cs="宋体"/>
                <w:color w:val="auto"/>
                <w:kern w:val="0"/>
                <w:highlight w:val="none"/>
                <w:lang w:bidi="ar"/>
              </w:rPr>
              <w:t>仅列明部分环节负责人名单的得1分；</w:t>
            </w:r>
            <w:r>
              <w:rPr>
                <w:rFonts w:hint="eastAsia" w:ascii="宋体" w:hAnsi="宋体" w:eastAsia="宋体" w:cs="宋体"/>
                <w:color w:val="auto"/>
                <w:kern w:val="0"/>
                <w:sz w:val="24"/>
                <w:szCs w:val="24"/>
                <w:highlight w:val="none"/>
                <w:lang w:val="en-US" w:eastAsia="zh-CN" w:bidi="ar"/>
              </w:rPr>
              <w:t>④</w:t>
            </w:r>
            <w:r>
              <w:rPr>
                <w:rFonts w:hint="eastAsia" w:ascii="宋体" w:hAnsi="宋体" w:cs="宋体"/>
                <w:color w:val="auto"/>
                <w:kern w:val="0"/>
                <w:highlight w:val="none"/>
                <w:lang w:bidi="ar"/>
              </w:rPr>
              <w:t>其他不得分。</w:t>
            </w:r>
          </w:p>
        </w:tc>
        <w:tc>
          <w:tcPr>
            <w:tcW w:w="1043" w:type="dxa"/>
            <w:noWrap w:val="0"/>
            <w:vAlign w:val="center"/>
          </w:tcPr>
          <w:p w14:paraId="4DDCE1F0">
            <w:pPr>
              <w:widowControl/>
              <w:jc w:val="left"/>
              <w:rPr>
                <w:rFonts w:hint="eastAsia" w:ascii="宋体" w:hAnsi="宋体" w:cs="宋体"/>
                <w:color w:val="auto"/>
                <w:sz w:val="24"/>
                <w:highlight w:val="none"/>
              </w:rPr>
            </w:pPr>
          </w:p>
        </w:tc>
        <w:tc>
          <w:tcPr>
            <w:tcW w:w="1822" w:type="dxa"/>
            <w:noWrap w:val="0"/>
            <w:vAlign w:val="center"/>
          </w:tcPr>
          <w:p w14:paraId="0F9FB6F7">
            <w:pPr>
              <w:widowControl/>
              <w:jc w:val="left"/>
              <w:rPr>
                <w:rFonts w:hint="eastAsia" w:ascii="宋体" w:hAnsi="宋体" w:cs="宋体"/>
                <w:color w:val="auto"/>
                <w:sz w:val="24"/>
                <w:highlight w:val="none"/>
              </w:rPr>
            </w:pPr>
          </w:p>
        </w:tc>
      </w:tr>
      <w:tr w14:paraId="5642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01" w:type="dxa"/>
            <w:noWrap w:val="0"/>
            <w:vAlign w:val="center"/>
          </w:tcPr>
          <w:p w14:paraId="0C5D5CAB">
            <w:pPr>
              <w:widowControl/>
              <w:numPr>
                <w:ilvl w:val="0"/>
                <w:numId w:val="5"/>
              </w:numPr>
              <w:jc w:val="center"/>
              <w:rPr>
                <w:rFonts w:hint="eastAsia" w:ascii="宋体" w:hAnsi="宋体" w:cs="宋体"/>
                <w:color w:val="auto"/>
                <w:sz w:val="24"/>
                <w:highlight w:val="none"/>
              </w:rPr>
            </w:pPr>
          </w:p>
        </w:tc>
        <w:tc>
          <w:tcPr>
            <w:tcW w:w="6188" w:type="dxa"/>
            <w:noWrap w:val="0"/>
            <w:vAlign w:val="top"/>
          </w:tcPr>
          <w:p w14:paraId="229FEB86">
            <w:pPr>
              <w:pStyle w:val="11"/>
              <w:widowControl/>
              <w:spacing w:line="360" w:lineRule="auto"/>
              <w:rPr>
                <w:rFonts w:hint="eastAsia" w:ascii="宋体" w:hAnsi="宋体" w:cs="宋体"/>
                <w:color w:val="auto"/>
                <w:sz w:val="24"/>
                <w:highlight w:val="none"/>
              </w:rPr>
            </w:pPr>
            <w:r>
              <w:rPr>
                <w:rFonts w:hint="eastAsia" w:ascii="宋体" w:hAnsi="宋体" w:cs="宋体"/>
                <w:color w:val="auto"/>
                <w:kern w:val="0"/>
                <w:highlight w:val="none"/>
                <w:lang w:bidi="ar"/>
              </w:rPr>
              <w:t>根据</w:t>
            </w:r>
            <w:r>
              <w:rPr>
                <w:rFonts w:hint="eastAsia" w:ascii="宋体" w:hAnsi="宋体" w:cs="宋体"/>
                <w:color w:val="auto"/>
                <w:kern w:val="0"/>
                <w:highlight w:val="none"/>
                <w:lang w:eastAsia="zh-CN" w:bidi="ar"/>
              </w:rPr>
              <w:t>投标人</w:t>
            </w:r>
            <w:r>
              <w:rPr>
                <w:rFonts w:hint="eastAsia" w:ascii="宋体" w:hAnsi="宋体" w:cs="宋体"/>
                <w:color w:val="auto"/>
                <w:kern w:val="0"/>
                <w:highlight w:val="none"/>
                <w:lang w:bidi="ar"/>
              </w:rPr>
              <w:t>提供的应急方案，由</w:t>
            </w:r>
            <w:r>
              <w:rPr>
                <w:rFonts w:hint="eastAsia" w:ascii="宋体" w:hAnsi="宋体" w:cs="宋体"/>
                <w:color w:val="auto"/>
                <w:kern w:val="0"/>
                <w:highlight w:val="none"/>
                <w:lang w:eastAsia="zh-CN" w:bidi="ar"/>
              </w:rPr>
              <w:t>评标委员会</w:t>
            </w:r>
            <w:r>
              <w:rPr>
                <w:rFonts w:hint="eastAsia" w:ascii="宋体" w:hAnsi="宋体" w:cs="宋体"/>
                <w:color w:val="auto"/>
                <w:kern w:val="0"/>
                <w:highlight w:val="none"/>
                <w:lang w:bidi="ar"/>
              </w:rPr>
              <w:t>进行评分，</w:t>
            </w:r>
            <w:r>
              <w:rPr>
                <w:rFonts w:ascii="宋体" w:hAnsi="宋体" w:cs="宋体"/>
                <w:color w:val="auto"/>
                <w:sz w:val="24"/>
                <w:szCs w:val="24"/>
                <w:highlight w:val="none"/>
              </w:rPr>
              <w:t>①</w:t>
            </w:r>
            <w:r>
              <w:rPr>
                <w:rFonts w:hint="eastAsia" w:ascii="宋体" w:hAnsi="宋体" w:cs="宋体"/>
                <w:color w:val="auto"/>
                <w:sz w:val="24"/>
                <w:szCs w:val="24"/>
                <w:highlight w:val="none"/>
              </w:rPr>
              <w:t>有针对本项目</w:t>
            </w:r>
            <w:r>
              <w:rPr>
                <w:rFonts w:hint="eastAsia" w:ascii="宋体" w:hAnsi="宋体" w:cs="宋体"/>
                <w:color w:val="auto"/>
                <w:sz w:val="24"/>
                <w:szCs w:val="24"/>
                <w:highlight w:val="none"/>
                <w:lang w:val="en-US" w:eastAsia="zh-CN"/>
              </w:rPr>
              <w:t>实施情况提供方案</w:t>
            </w:r>
            <w:r>
              <w:rPr>
                <w:rFonts w:hint="eastAsia" w:ascii="宋体" w:hAnsi="宋体" w:cs="宋体"/>
                <w:color w:val="auto"/>
                <w:sz w:val="24"/>
                <w:szCs w:val="24"/>
                <w:highlight w:val="none"/>
              </w:rPr>
              <w:t>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ascii="宋体" w:hAnsi="宋体" w:cs="宋体"/>
                <w:color w:val="auto"/>
                <w:sz w:val="24"/>
                <w:szCs w:val="24"/>
                <w:highlight w:val="none"/>
              </w:rPr>
              <w:t>②</w:t>
            </w:r>
            <w:r>
              <w:rPr>
                <w:rFonts w:hint="eastAsia" w:ascii="宋体" w:hAnsi="宋体" w:cs="宋体"/>
                <w:color w:val="auto"/>
                <w:sz w:val="24"/>
                <w:szCs w:val="24"/>
                <w:highlight w:val="none"/>
                <w:lang w:val="en-US" w:eastAsia="zh-CN"/>
              </w:rPr>
              <w:t>在</w:t>
            </w:r>
            <w:r>
              <w:rPr>
                <w:rFonts w:ascii="宋体" w:hAnsi="宋体" w:cs="宋体"/>
                <w:color w:val="auto"/>
                <w:sz w:val="24"/>
                <w:szCs w:val="24"/>
                <w:highlight w:val="none"/>
              </w:rPr>
              <w:t>①</w:t>
            </w:r>
            <w:r>
              <w:rPr>
                <w:rFonts w:hint="eastAsia" w:ascii="宋体" w:hAnsi="宋体" w:cs="宋体"/>
                <w:color w:val="auto"/>
                <w:sz w:val="24"/>
                <w:szCs w:val="24"/>
                <w:highlight w:val="none"/>
                <w:lang w:val="en-US" w:eastAsia="zh-CN"/>
              </w:rPr>
              <w:t>的基础上</w:t>
            </w:r>
            <w:r>
              <w:rPr>
                <w:rFonts w:ascii="宋体" w:hAnsi="宋体" w:cs="宋体"/>
                <w:color w:val="auto"/>
                <w:sz w:val="24"/>
                <w:szCs w:val="24"/>
                <w:highlight w:val="none"/>
              </w:rPr>
              <w:t>对项目</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理解</w:t>
            </w:r>
            <w:r>
              <w:rPr>
                <w:rFonts w:hint="eastAsia" w:ascii="宋体" w:hAnsi="宋体" w:cs="宋体"/>
                <w:color w:val="auto"/>
                <w:sz w:val="24"/>
                <w:szCs w:val="24"/>
                <w:highlight w:val="none"/>
                <w:lang w:val="en-US" w:eastAsia="zh-CN"/>
              </w:rPr>
              <w:t>有进行</w:t>
            </w:r>
            <w:r>
              <w:rPr>
                <w:rFonts w:hint="eastAsia" w:ascii="宋体" w:hAnsi="宋体" w:cs="宋体"/>
                <w:color w:val="auto"/>
                <w:sz w:val="24"/>
                <w:szCs w:val="24"/>
                <w:highlight w:val="none"/>
              </w:rPr>
              <w:t>细化分析</w:t>
            </w:r>
            <w:r>
              <w:rPr>
                <w:rFonts w:ascii="宋体" w:hAnsi="宋体" w:cs="宋体"/>
                <w:color w:val="auto"/>
                <w:sz w:val="24"/>
                <w:szCs w:val="24"/>
                <w:highlight w:val="none"/>
              </w:rPr>
              <w:t>、表述条理清晰且有逻辑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lang w:eastAsia="zh-CN"/>
              </w:rPr>
              <w:t>确保整体方案能够达到项目服务目标</w:t>
            </w:r>
            <w:r>
              <w:rPr>
                <w:rFonts w:hint="eastAsia" w:ascii="宋体" w:hAnsi="宋体" w:cs="宋体"/>
                <w:color w:val="auto"/>
                <w:sz w:val="24"/>
                <w:szCs w:val="24"/>
                <w:highlight w:val="none"/>
                <w:lang w:val="en-US" w:eastAsia="zh-CN"/>
              </w:rPr>
              <w:t>的</w:t>
            </w:r>
            <w:r>
              <w:rPr>
                <w:rFonts w:ascii="宋体" w:hAnsi="宋体" w:cs="宋体"/>
                <w:color w:val="auto"/>
                <w:sz w:val="24"/>
                <w:szCs w:val="24"/>
                <w:highlight w:val="none"/>
              </w:rPr>
              <w:t>得</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分；③提供方案与本项目无关的或</w:t>
            </w:r>
            <w:r>
              <w:rPr>
                <w:rFonts w:hint="eastAsia" w:ascii="宋体" w:hAnsi="宋体" w:cs="宋体"/>
                <w:color w:val="auto"/>
                <w:sz w:val="24"/>
                <w:szCs w:val="24"/>
                <w:highlight w:val="none"/>
                <w:lang w:val="en-US" w:eastAsia="zh-CN"/>
              </w:rPr>
              <w:t>提供的方案对项目实施有风险的或</w:t>
            </w:r>
            <w:r>
              <w:rPr>
                <w:rFonts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ascii="宋体" w:hAnsi="宋体" w:cs="宋体"/>
                <w:color w:val="auto"/>
                <w:sz w:val="24"/>
                <w:szCs w:val="24"/>
                <w:highlight w:val="none"/>
              </w:rPr>
              <w:t>的均不得分。</w:t>
            </w:r>
          </w:p>
        </w:tc>
        <w:tc>
          <w:tcPr>
            <w:tcW w:w="1043" w:type="dxa"/>
            <w:noWrap w:val="0"/>
            <w:vAlign w:val="center"/>
          </w:tcPr>
          <w:p w14:paraId="36627B5B">
            <w:pPr>
              <w:widowControl/>
              <w:jc w:val="left"/>
              <w:rPr>
                <w:rFonts w:hint="eastAsia" w:ascii="宋体" w:hAnsi="宋体" w:cs="宋体"/>
                <w:color w:val="auto"/>
                <w:sz w:val="24"/>
                <w:highlight w:val="none"/>
              </w:rPr>
            </w:pPr>
          </w:p>
        </w:tc>
        <w:tc>
          <w:tcPr>
            <w:tcW w:w="1822" w:type="dxa"/>
            <w:noWrap w:val="0"/>
            <w:vAlign w:val="center"/>
          </w:tcPr>
          <w:p w14:paraId="487BFF89">
            <w:pPr>
              <w:widowControl/>
              <w:jc w:val="left"/>
              <w:rPr>
                <w:rFonts w:hint="eastAsia" w:ascii="宋体" w:hAnsi="宋体" w:cs="宋体"/>
                <w:color w:val="auto"/>
                <w:sz w:val="24"/>
                <w:highlight w:val="none"/>
              </w:rPr>
            </w:pPr>
          </w:p>
        </w:tc>
      </w:tr>
    </w:tbl>
    <w:p w14:paraId="623348E0">
      <w:pPr>
        <w:rPr>
          <w:rFonts w:hint="eastAsia" w:ascii="宋体" w:hAnsi="宋体" w:cs="宋体"/>
          <w:color w:val="auto"/>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sz w:val="24"/>
          <w:highlight w:val="none"/>
        </w:rPr>
        <w:t>注：表格中所列条款应与评分条款逐条对应，对于条款不明确或错误部分评委有权不予采信。</w:t>
      </w:r>
    </w:p>
    <w:p w14:paraId="0FB26B5A">
      <w:pPr>
        <w:pStyle w:val="2"/>
        <w:jc w:val="center"/>
        <w:outlineLvl w:val="1"/>
        <w:rPr>
          <w:rFonts w:hint="eastAsia" w:ascii="宋体" w:hAnsi="宋体" w:eastAsia="宋体" w:cs="宋体"/>
          <w:color w:val="auto"/>
          <w:sz w:val="28"/>
          <w:szCs w:val="28"/>
          <w:highlight w:val="none"/>
        </w:rPr>
      </w:pPr>
      <w:bookmarkStart w:id="233" w:name="_Toc23434"/>
      <w:bookmarkStart w:id="234" w:name="_Toc1365752504"/>
      <w:bookmarkStart w:id="235" w:name="_Toc533519527"/>
      <w:bookmarkStart w:id="236" w:name="_Toc12562"/>
      <w:bookmarkStart w:id="237" w:name="_Toc482352473"/>
      <w:bookmarkStart w:id="238" w:name="_Toc668"/>
      <w:bookmarkStart w:id="239" w:name="_Toc480983546"/>
      <w:bookmarkStart w:id="240" w:name="_Toc481480001"/>
      <w:bookmarkStart w:id="241" w:name="_Toc9933"/>
      <w:bookmarkStart w:id="242" w:name="_Toc515448959"/>
      <w:bookmarkStart w:id="243" w:name="_Toc481048053"/>
      <w:bookmarkStart w:id="244" w:name="_Toc518466690"/>
      <w:bookmarkStart w:id="245" w:name="_Toc701075432"/>
      <w:bookmarkStart w:id="246" w:name="_Toc515448372"/>
      <w:r>
        <w:rPr>
          <w:rFonts w:hint="eastAsia" w:ascii="宋体" w:hAnsi="宋体" w:eastAsia="宋体" w:cs="宋体"/>
          <w:color w:val="auto"/>
          <w:sz w:val="28"/>
          <w:szCs w:val="28"/>
          <w:highlight w:val="none"/>
        </w:rPr>
        <w:t>商务评分条款响应表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3C04453">
      <w:pPr>
        <w:rPr>
          <w:rFonts w:hint="eastAsia" w:ascii="宋体" w:hAnsi="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名称（加盖公章）：</w:t>
      </w:r>
    </w:p>
    <w:tbl>
      <w:tblPr>
        <w:tblStyle w:val="12"/>
        <w:tblW w:w="9634"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868"/>
        <w:gridCol w:w="1291"/>
        <w:gridCol w:w="1716"/>
      </w:tblGrid>
      <w:tr w14:paraId="6488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759" w:type="dxa"/>
            <w:noWrap w:val="0"/>
            <w:vAlign w:val="center"/>
          </w:tcPr>
          <w:p w14:paraId="11514E54">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5868" w:type="dxa"/>
            <w:noWrap w:val="0"/>
            <w:vAlign w:val="center"/>
          </w:tcPr>
          <w:p w14:paraId="02F0551E">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291" w:type="dxa"/>
            <w:noWrap w:val="0"/>
            <w:vAlign w:val="center"/>
          </w:tcPr>
          <w:p w14:paraId="2B7D71C7">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716" w:type="dxa"/>
            <w:noWrap w:val="0"/>
            <w:vAlign w:val="center"/>
          </w:tcPr>
          <w:p w14:paraId="2B16BA9B">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0F85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59" w:type="dxa"/>
            <w:noWrap w:val="0"/>
            <w:vAlign w:val="center"/>
          </w:tcPr>
          <w:p w14:paraId="61E943CF">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868" w:type="dxa"/>
            <w:noWrap w:val="0"/>
            <w:vAlign w:val="center"/>
          </w:tcPr>
          <w:p w14:paraId="315699E1">
            <w:pPr>
              <w:pStyle w:val="18"/>
              <w:spacing w:line="360" w:lineRule="auto"/>
              <w:jc w:val="left"/>
              <w:rPr>
                <w:rFonts w:ascii="宋体" w:hAnsi="宋体" w:cs="宋体"/>
                <w:color w:val="auto"/>
                <w:sz w:val="24"/>
                <w:highlight w:val="none"/>
              </w:rPr>
            </w:pPr>
            <w:r>
              <w:rPr>
                <w:rFonts w:hint="eastAsia" w:ascii="宋体" w:hAnsi="宋体" w:cs="宋体"/>
                <w:b w:val="0"/>
                <w:color w:val="auto"/>
                <w:szCs w:val="24"/>
                <w:highlight w:val="none"/>
                <w:lang w:eastAsia="zh-CN"/>
              </w:rPr>
              <w:t>投标人具有环境管理体系认证证书的得1分。注：投标人须提供有效证书复印件并加盖投标人公章，未提供或不符合上述要求的不得分。</w:t>
            </w:r>
          </w:p>
        </w:tc>
        <w:tc>
          <w:tcPr>
            <w:tcW w:w="1291" w:type="dxa"/>
            <w:noWrap w:val="0"/>
            <w:vAlign w:val="center"/>
          </w:tcPr>
          <w:p w14:paraId="1816E9F9">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716" w:type="dxa"/>
            <w:noWrap w:val="0"/>
            <w:vAlign w:val="center"/>
          </w:tcPr>
          <w:p w14:paraId="67815657">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6DAD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59" w:type="dxa"/>
            <w:noWrap w:val="0"/>
            <w:vAlign w:val="center"/>
          </w:tcPr>
          <w:p w14:paraId="47B17629">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868" w:type="dxa"/>
            <w:noWrap w:val="0"/>
            <w:vAlign w:val="center"/>
          </w:tcPr>
          <w:p w14:paraId="4B85AC47">
            <w:pPr>
              <w:pStyle w:val="18"/>
              <w:spacing w:line="360" w:lineRule="auto"/>
              <w:jc w:val="left"/>
              <w:rPr>
                <w:rFonts w:ascii="宋体" w:hAnsi="宋体" w:cs="宋体"/>
                <w:color w:val="auto"/>
                <w:sz w:val="24"/>
                <w:highlight w:val="none"/>
              </w:rPr>
            </w:pPr>
            <w:r>
              <w:rPr>
                <w:rFonts w:hint="eastAsia" w:ascii="宋体" w:hAnsi="宋体" w:cs="宋体"/>
                <w:b w:val="0"/>
                <w:color w:val="auto"/>
                <w:szCs w:val="24"/>
                <w:highlight w:val="none"/>
                <w:lang w:eastAsia="zh-CN"/>
              </w:rPr>
              <w:t>投标人具有职业健康安全管理体系认证证书的得1分。注：投标人须提供有效证书复印件并加盖投标人公章，未提供或不符合上述要求的不得分。</w:t>
            </w:r>
          </w:p>
        </w:tc>
        <w:tc>
          <w:tcPr>
            <w:tcW w:w="1291" w:type="dxa"/>
            <w:noWrap w:val="0"/>
            <w:vAlign w:val="center"/>
          </w:tcPr>
          <w:p w14:paraId="1B661DF3">
            <w:pPr>
              <w:widowControl/>
              <w:jc w:val="left"/>
              <w:rPr>
                <w:rFonts w:hint="eastAsia" w:ascii="宋体" w:hAnsi="宋体" w:cs="宋体"/>
                <w:color w:val="auto"/>
                <w:sz w:val="24"/>
                <w:highlight w:val="none"/>
              </w:rPr>
            </w:pPr>
          </w:p>
        </w:tc>
        <w:tc>
          <w:tcPr>
            <w:tcW w:w="1716" w:type="dxa"/>
            <w:noWrap w:val="0"/>
            <w:vAlign w:val="center"/>
          </w:tcPr>
          <w:p w14:paraId="6BF7FB50">
            <w:pPr>
              <w:widowControl/>
              <w:jc w:val="left"/>
              <w:rPr>
                <w:rFonts w:hint="eastAsia" w:ascii="宋体" w:hAnsi="宋体" w:cs="宋体"/>
                <w:color w:val="auto"/>
                <w:sz w:val="24"/>
                <w:highlight w:val="none"/>
              </w:rPr>
            </w:pPr>
          </w:p>
        </w:tc>
      </w:tr>
      <w:tr w14:paraId="3580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59" w:type="dxa"/>
            <w:noWrap w:val="0"/>
            <w:vAlign w:val="center"/>
          </w:tcPr>
          <w:p w14:paraId="30207D6B">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868" w:type="dxa"/>
            <w:noWrap w:val="0"/>
            <w:vAlign w:val="center"/>
          </w:tcPr>
          <w:p w14:paraId="7BC292BB">
            <w:pPr>
              <w:pStyle w:val="18"/>
              <w:spacing w:line="360" w:lineRule="auto"/>
              <w:jc w:val="left"/>
              <w:rPr>
                <w:rFonts w:ascii="宋体" w:hAnsi="宋体" w:cs="宋体"/>
                <w:color w:val="auto"/>
                <w:sz w:val="24"/>
                <w:highlight w:val="none"/>
              </w:rPr>
            </w:pPr>
            <w:r>
              <w:rPr>
                <w:rFonts w:hint="eastAsia" w:ascii="宋体" w:hAnsi="宋体" w:cs="宋体"/>
                <w:b w:val="0"/>
                <w:color w:val="auto"/>
                <w:szCs w:val="24"/>
                <w:highlight w:val="none"/>
                <w:lang w:eastAsia="zh-CN"/>
              </w:rPr>
              <w:t>投标人具有质量管理体系认证证书的得1分。注：投标人须提供有效证书复印件并加盖投标人公章，未提供或不符合上述要求的不得分。</w:t>
            </w:r>
          </w:p>
        </w:tc>
        <w:tc>
          <w:tcPr>
            <w:tcW w:w="1291" w:type="dxa"/>
            <w:noWrap w:val="0"/>
            <w:vAlign w:val="center"/>
          </w:tcPr>
          <w:p w14:paraId="216C062E">
            <w:pPr>
              <w:widowControl/>
              <w:jc w:val="left"/>
              <w:rPr>
                <w:rFonts w:hint="eastAsia" w:ascii="宋体" w:hAnsi="宋体" w:cs="宋体"/>
                <w:color w:val="auto"/>
                <w:sz w:val="24"/>
                <w:highlight w:val="none"/>
              </w:rPr>
            </w:pPr>
          </w:p>
        </w:tc>
        <w:tc>
          <w:tcPr>
            <w:tcW w:w="1716" w:type="dxa"/>
            <w:noWrap w:val="0"/>
            <w:vAlign w:val="center"/>
          </w:tcPr>
          <w:p w14:paraId="71D8EABE">
            <w:pPr>
              <w:widowControl/>
              <w:jc w:val="left"/>
              <w:rPr>
                <w:rFonts w:hint="eastAsia" w:ascii="宋体" w:hAnsi="宋体" w:cs="宋体"/>
                <w:color w:val="auto"/>
                <w:sz w:val="24"/>
                <w:highlight w:val="none"/>
              </w:rPr>
            </w:pPr>
          </w:p>
        </w:tc>
      </w:tr>
      <w:tr w14:paraId="1C27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center"/>
          </w:tcPr>
          <w:p w14:paraId="234C87EE">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868" w:type="dxa"/>
            <w:noWrap w:val="0"/>
            <w:vAlign w:val="center"/>
          </w:tcPr>
          <w:p w14:paraId="0624FF38">
            <w:pPr>
              <w:pStyle w:val="18"/>
              <w:spacing w:line="360" w:lineRule="auto"/>
              <w:jc w:val="left"/>
              <w:rPr>
                <w:rFonts w:hint="eastAsia" w:ascii="宋体" w:hAnsi="宋体" w:cs="宋体"/>
                <w:color w:val="auto"/>
                <w:highlight w:val="none"/>
              </w:rPr>
            </w:pPr>
            <w:r>
              <w:rPr>
                <w:rFonts w:hint="eastAsia" w:ascii="宋体" w:hAnsi="宋体" w:cs="宋体"/>
                <w:b w:val="0"/>
                <w:color w:val="auto"/>
                <w:szCs w:val="24"/>
                <w:highlight w:val="none"/>
              </w:rPr>
              <w:t>根据</w:t>
            </w:r>
            <w:r>
              <w:rPr>
                <w:rFonts w:hint="eastAsia" w:ascii="宋体" w:hAnsi="宋体" w:cs="宋体"/>
                <w:b w:val="0"/>
                <w:color w:val="auto"/>
                <w:szCs w:val="24"/>
                <w:highlight w:val="none"/>
                <w:lang w:eastAsia="zh-CN"/>
              </w:rPr>
              <w:t>投标人</w:t>
            </w:r>
            <w:r>
              <w:rPr>
                <w:rFonts w:hint="eastAsia" w:ascii="宋体" w:hAnsi="宋体" w:cs="宋体"/>
                <w:b w:val="0"/>
                <w:color w:val="auto"/>
                <w:szCs w:val="24"/>
                <w:highlight w:val="none"/>
              </w:rPr>
              <w:t>拟投入本项目人员数量进行评分：</w:t>
            </w:r>
            <w:r>
              <w:rPr>
                <w:rFonts w:hint="eastAsia" w:ascii="宋体" w:hAnsi="宋体" w:eastAsia="宋体" w:cs="宋体"/>
                <w:b w:val="0"/>
                <w:color w:val="auto"/>
                <w:szCs w:val="24"/>
                <w:highlight w:val="none"/>
              </w:rPr>
              <w:t>①</w:t>
            </w:r>
            <w:r>
              <w:rPr>
                <w:rFonts w:hint="eastAsia" w:ascii="宋体" w:hAnsi="宋体" w:eastAsia="宋体" w:cs="宋体"/>
                <w:b w:val="0"/>
                <w:color w:val="auto"/>
                <w:szCs w:val="24"/>
                <w:highlight w:val="none"/>
                <w:lang w:val="en-US" w:eastAsia="zh-CN"/>
              </w:rPr>
              <w:t>拟投入的</w:t>
            </w:r>
            <w:r>
              <w:rPr>
                <w:rFonts w:hint="eastAsia" w:ascii="宋体" w:hAnsi="宋体" w:cs="宋体"/>
                <w:b w:val="0"/>
                <w:color w:val="auto"/>
                <w:szCs w:val="24"/>
                <w:highlight w:val="none"/>
              </w:rPr>
              <w:t>人员≥</w:t>
            </w:r>
            <w:r>
              <w:rPr>
                <w:rFonts w:hint="eastAsia" w:ascii="宋体" w:hAnsi="宋体" w:cs="宋体"/>
                <w:b w:val="0"/>
                <w:color w:val="auto"/>
                <w:szCs w:val="24"/>
                <w:highlight w:val="none"/>
              </w:rPr>
              <w:t>10</w:t>
            </w:r>
            <w:r>
              <w:rPr>
                <w:rFonts w:hint="eastAsia" w:ascii="宋体" w:hAnsi="宋体" w:cs="宋体"/>
                <w:b w:val="0"/>
                <w:color w:val="auto"/>
                <w:szCs w:val="24"/>
                <w:highlight w:val="none"/>
              </w:rPr>
              <w:t>人得</w:t>
            </w:r>
            <w:r>
              <w:rPr>
                <w:rFonts w:hint="eastAsia" w:ascii="宋体" w:hAnsi="宋体" w:cs="宋体"/>
                <w:b w:val="0"/>
                <w:color w:val="auto"/>
                <w:szCs w:val="24"/>
                <w:highlight w:val="none"/>
                <w:lang w:val="en-US" w:eastAsia="zh-CN"/>
              </w:rPr>
              <w:t>3</w:t>
            </w:r>
            <w:r>
              <w:rPr>
                <w:rFonts w:hint="eastAsia" w:ascii="宋体" w:hAnsi="宋体" w:cs="宋体"/>
                <w:b w:val="0"/>
                <w:color w:val="auto"/>
                <w:szCs w:val="24"/>
                <w:highlight w:val="none"/>
              </w:rPr>
              <w:t>分</w:t>
            </w:r>
            <w:r>
              <w:rPr>
                <w:rFonts w:hint="eastAsia" w:ascii="宋体" w:hAnsi="宋体" w:cs="宋体"/>
                <w:b w:val="0"/>
                <w:color w:val="auto"/>
                <w:szCs w:val="24"/>
                <w:highlight w:val="none"/>
                <w:lang w:eastAsia="zh-CN"/>
              </w:rPr>
              <w:t>，</w:t>
            </w:r>
            <w:r>
              <w:rPr>
                <w:rFonts w:hint="eastAsia" w:ascii="宋体" w:hAnsi="宋体" w:cs="宋体"/>
                <w:b w:val="0"/>
                <w:color w:val="auto"/>
                <w:szCs w:val="24"/>
                <w:highlight w:val="none"/>
                <w:lang w:val="en-US" w:eastAsia="zh-CN"/>
              </w:rPr>
              <w:t>需提供</w:t>
            </w:r>
            <w:r>
              <w:rPr>
                <w:rFonts w:hint="eastAsia" w:ascii="宋体" w:hAnsi="宋体" w:cs="宋体"/>
                <w:b w:val="0"/>
                <w:color w:val="auto"/>
                <w:szCs w:val="24"/>
                <w:highlight w:val="none"/>
              </w:rPr>
              <w:t>劳动</w:t>
            </w:r>
            <w:r>
              <w:rPr>
                <w:rFonts w:hint="eastAsia" w:ascii="宋体" w:hAnsi="宋体" w:cs="宋体"/>
                <w:b w:val="0"/>
                <w:color w:val="auto"/>
                <w:szCs w:val="24"/>
                <w:highlight w:val="none"/>
                <w:lang w:val="en-US" w:eastAsia="zh-CN"/>
              </w:rPr>
              <w:t>合同复印件（或至投标截止日期前六个月内任意一个月（不含投标截止日期当月）的社保缴交证明材料复印件；②投标人若未能提供上述证明材料的则承诺中标后拟投入本项目人员数量不少于10人的得1分，需提供书面承诺</w:t>
            </w:r>
            <w:r>
              <w:rPr>
                <w:rFonts w:hint="eastAsia" w:ascii="宋体" w:hAnsi="宋体" w:cs="宋体"/>
                <w:b w:val="0"/>
                <w:color w:val="auto"/>
                <w:szCs w:val="24"/>
                <w:highlight w:val="none"/>
                <w:lang w:eastAsia="zh-CN"/>
              </w:rPr>
              <w:t>函；③</w:t>
            </w:r>
            <w:r>
              <w:rPr>
                <w:rFonts w:hint="eastAsia" w:ascii="宋体" w:hAnsi="宋体" w:cs="宋体"/>
                <w:b w:val="0"/>
                <w:color w:val="auto"/>
                <w:szCs w:val="24"/>
                <w:highlight w:val="none"/>
                <w:lang w:val="en-US" w:eastAsia="zh-CN"/>
              </w:rPr>
              <w:t>其余不得分。</w:t>
            </w:r>
          </w:p>
        </w:tc>
        <w:tc>
          <w:tcPr>
            <w:tcW w:w="1291" w:type="dxa"/>
            <w:noWrap w:val="0"/>
            <w:vAlign w:val="center"/>
          </w:tcPr>
          <w:p w14:paraId="2CE2BD2A">
            <w:pPr>
              <w:widowControl/>
              <w:jc w:val="left"/>
              <w:rPr>
                <w:rFonts w:hint="eastAsia" w:ascii="宋体" w:hAnsi="宋体" w:cs="宋体"/>
                <w:color w:val="auto"/>
                <w:sz w:val="24"/>
                <w:highlight w:val="none"/>
              </w:rPr>
            </w:pPr>
          </w:p>
        </w:tc>
        <w:tc>
          <w:tcPr>
            <w:tcW w:w="1716" w:type="dxa"/>
            <w:noWrap w:val="0"/>
            <w:vAlign w:val="center"/>
          </w:tcPr>
          <w:p w14:paraId="1AAFD231">
            <w:pPr>
              <w:widowControl/>
              <w:jc w:val="left"/>
              <w:rPr>
                <w:rFonts w:hint="eastAsia" w:ascii="宋体" w:hAnsi="宋体" w:cs="宋体"/>
                <w:color w:val="auto"/>
                <w:sz w:val="24"/>
                <w:highlight w:val="none"/>
              </w:rPr>
            </w:pPr>
          </w:p>
        </w:tc>
      </w:tr>
      <w:tr w14:paraId="5F70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59" w:type="dxa"/>
            <w:noWrap w:val="0"/>
            <w:vAlign w:val="center"/>
          </w:tcPr>
          <w:p w14:paraId="56BD4274">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868" w:type="dxa"/>
            <w:noWrap w:val="0"/>
            <w:vAlign w:val="top"/>
          </w:tcPr>
          <w:p w14:paraId="4452A7E2">
            <w:pPr>
              <w:pStyle w:val="19"/>
              <w:spacing w:line="360" w:lineRule="auto"/>
              <w:jc w:val="left"/>
              <w:rPr>
                <w:rFonts w:ascii="宋体" w:hAnsi="宋体" w:cs="宋体"/>
                <w:color w:val="auto"/>
                <w:sz w:val="24"/>
                <w:highlight w:val="none"/>
              </w:rPr>
            </w:pPr>
            <w:r>
              <w:rPr>
                <w:rFonts w:ascii="宋体" w:hAnsi="宋体" w:cs="宋体"/>
                <w:color w:val="auto"/>
                <w:sz w:val="24"/>
                <w:szCs w:val="24"/>
                <w:highlight w:val="none"/>
                <w:lang w:eastAsia="zh-CN"/>
              </w:rPr>
              <w:t>根据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投标</w:t>
            </w:r>
            <w:r>
              <w:rPr>
                <w:rFonts w:ascii="宋体" w:hAnsi="宋体" w:cs="宋体"/>
                <w:color w:val="auto"/>
                <w:sz w:val="24"/>
                <w:szCs w:val="24"/>
                <w:highlight w:val="none"/>
                <w:lang w:eastAsia="zh-CN"/>
              </w:rPr>
              <w:t>截止时间前三年内承接的展会布展项目的业绩进行评分，</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每提供1项业绩的得</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lang w:eastAsia="zh-CN"/>
              </w:rPr>
              <w:t>分。[ 注：</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需提供合同复印件并加盖</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的公章，否则不得分。]</w:t>
            </w:r>
          </w:p>
        </w:tc>
        <w:tc>
          <w:tcPr>
            <w:tcW w:w="1291" w:type="dxa"/>
            <w:noWrap w:val="0"/>
            <w:vAlign w:val="center"/>
          </w:tcPr>
          <w:p w14:paraId="2F9AB2E5">
            <w:pPr>
              <w:widowControl/>
              <w:jc w:val="left"/>
              <w:rPr>
                <w:rFonts w:hint="eastAsia" w:ascii="宋体" w:hAnsi="宋体" w:cs="宋体"/>
                <w:color w:val="auto"/>
                <w:sz w:val="24"/>
                <w:highlight w:val="none"/>
              </w:rPr>
            </w:pPr>
          </w:p>
        </w:tc>
        <w:tc>
          <w:tcPr>
            <w:tcW w:w="1716" w:type="dxa"/>
            <w:noWrap w:val="0"/>
            <w:vAlign w:val="center"/>
          </w:tcPr>
          <w:p w14:paraId="581459CD">
            <w:pPr>
              <w:widowControl/>
              <w:jc w:val="left"/>
              <w:rPr>
                <w:rFonts w:hint="eastAsia" w:ascii="宋体" w:hAnsi="宋体" w:cs="宋体"/>
                <w:color w:val="auto"/>
                <w:sz w:val="24"/>
                <w:highlight w:val="none"/>
              </w:rPr>
            </w:pPr>
          </w:p>
        </w:tc>
      </w:tr>
      <w:tr w14:paraId="2176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759" w:type="dxa"/>
            <w:noWrap w:val="0"/>
            <w:vAlign w:val="center"/>
          </w:tcPr>
          <w:p w14:paraId="65D1C994">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868" w:type="dxa"/>
            <w:noWrap w:val="0"/>
            <w:vAlign w:val="top"/>
          </w:tcPr>
          <w:p w14:paraId="4B97EB54">
            <w:pPr>
              <w:pStyle w:val="19"/>
              <w:spacing w:line="360" w:lineRule="auto"/>
              <w:jc w:val="left"/>
              <w:rPr>
                <w:rFonts w:ascii="宋体" w:hAnsi="宋体" w:cs="宋体"/>
                <w:color w:val="auto"/>
                <w:sz w:val="24"/>
                <w:highlight w:val="none"/>
              </w:rPr>
            </w:pPr>
            <w:r>
              <w:rPr>
                <w:rFonts w:ascii="宋体" w:hAnsi="宋体" w:cs="宋体"/>
                <w:color w:val="auto"/>
                <w:sz w:val="24"/>
                <w:szCs w:val="24"/>
                <w:highlight w:val="none"/>
                <w:lang w:eastAsia="zh-CN"/>
              </w:rPr>
              <w:t>根据</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投标</w:t>
            </w:r>
            <w:r>
              <w:rPr>
                <w:rFonts w:ascii="宋体" w:hAnsi="宋体" w:cs="宋体"/>
                <w:color w:val="auto"/>
                <w:sz w:val="24"/>
                <w:szCs w:val="24"/>
                <w:highlight w:val="none"/>
                <w:lang w:eastAsia="zh-CN"/>
              </w:rPr>
              <w:t>截止时间前三年内由服务单位出具的评价意见情况进行打分，评价优良且证明材料完整的每提供1份得</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lang w:eastAsia="zh-CN"/>
              </w:rPr>
              <w:t>分。[注：</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需提供完整证明材料包括合同复印件和体现评价优良内容的书面材料。]</w:t>
            </w:r>
          </w:p>
        </w:tc>
        <w:tc>
          <w:tcPr>
            <w:tcW w:w="1291" w:type="dxa"/>
            <w:noWrap w:val="0"/>
            <w:vAlign w:val="center"/>
          </w:tcPr>
          <w:p w14:paraId="0374C19C">
            <w:pPr>
              <w:widowControl/>
              <w:jc w:val="left"/>
              <w:rPr>
                <w:rFonts w:hint="eastAsia" w:ascii="宋体" w:hAnsi="宋体" w:cs="宋体"/>
                <w:color w:val="auto"/>
                <w:sz w:val="24"/>
                <w:highlight w:val="none"/>
              </w:rPr>
            </w:pPr>
          </w:p>
        </w:tc>
        <w:tc>
          <w:tcPr>
            <w:tcW w:w="1716" w:type="dxa"/>
            <w:noWrap w:val="0"/>
            <w:vAlign w:val="center"/>
          </w:tcPr>
          <w:p w14:paraId="045DCB83">
            <w:pPr>
              <w:widowControl/>
              <w:jc w:val="left"/>
              <w:rPr>
                <w:rFonts w:hint="eastAsia" w:ascii="宋体" w:hAnsi="宋体" w:cs="宋体"/>
                <w:color w:val="auto"/>
                <w:sz w:val="24"/>
                <w:highlight w:val="none"/>
              </w:rPr>
            </w:pPr>
          </w:p>
        </w:tc>
      </w:tr>
      <w:tr w14:paraId="7131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59" w:type="dxa"/>
            <w:noWrap w:val="0"/>
            <w:vAlign w:val="center"/>
          </w:tcPr>
          <w:p w14:paraId="067EC3E7">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5868" w:type="dxa"/>
            <w:noWrap w:val="0"/>
            <w:vAlign w:val="top"/>
          </w:tcPr>
          <w:p w14:paraId="26C776B5">
            <w:pPr>
              <w:pStyle w:val="19"/>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rPr>
              <w:t>可提供厦门本地化服务的得</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分，否则不得分。</w:t>
            </w:r>
            <w:r>
              <w:rPr>
                <w:rFonts w:hint="eastAsia" w:ascii="宋体" w:hAnsi="宋体" w:cs="宋体"/>
                <w:color w:val="auto"/>
                <w:kern w:val="0"/>
                <w:sz w:val="24"/>
                <w:highlight w:val="none"/>
                <w:lang w:val="en-US" w:eastAsia="zh-CN"/>
              </w:rPr>
              <w:t>投标人</w:t>
            </w:r>
            <w:r>
              <w:rPr>
                <w:rFonts w:hint="eastAsia" w:ascii="宋体" w:hAnsi="宋体" w:eastAsia="宋体" w:cs="宋体"/>
                <w:color w:val="auto"/>
                <w:kern w:val="0"/>
                <w:sz w:val="24"/>
                <w:highlight w:val="none"/>
              </w:rPr>
              <w:t>可提供合作单位协议或者自身机构的营业执照证明，也可以提供在本地设立的项目部、办公室、办事处等机构证明，或者承诺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rPr>
              <w:t>后提供本地化服务。</w:t>
            </w:r>
          </w:p>
        </w:tc>
        <w:tc>
          <w:tcPr>
            <w:tcW w:w="1291" w:type="dxa"/>
            <w:noWrap w:val="0"/>
            <w:vAlign w:val="center"/>
          </w:tcPr>
          <w:p w14:paraId="4D5277CB">
            <w:pPr>
              <w:widowControl/>
              <w:jc w:val="left"/>
              <w:rPr>
                <w:rFonts w:hint="eastAsia" w:ascii="宋体" w:hAnsi="宋体" w:cs="宋体"/>
                <w:color w:val="auto"/>
                <w:sz w:val="24"/>
                <w:highlight w:val="none"/>
              </w:rPr>
            </w:pPr>
          </w:p>
        </w:tc>
        <w:tc>
          <w:tcPr>
            <w:tcW w:w="1716" w:type="dxa"/>
            <w:noWrap w:val="0"/>
            <w:vAlign w:val="center"/>
          </w:tcPr>
          <w:p w14:paraId="338BB438">
            <w:pPr>
              <w:widowControl/>
              <w:jc w:val="left"/>
              <w:rPr>
                <w:rFonts w:hint="eastAsia" w:ascii="宋体" w:hAnsi="宋体" w:cs="宋体"/>
                <w:color w:val="auto"/>
                <w:sz w:val="24"/>
                <w:highlight w:val="none"/>
              </w:rPr>
            </w:pPr>
          </w:p>
        </w:tc>
      </w:tr>
      <w:tr w14:paraId="7C7F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59" w:type="dxa"/>
            <w:noWrap w:val="0"/>
            <w:vAlign w:val="center"/>
          </w:tcPr>
          <w:p w14:paraId="0445D3DD">
            <w:pPr>
              <w:jc w:val="center"/>
              <w:rPr>
                <w:rFonts w:ascii="宋体" w:hAnsi="宋体" w:cs="宋体"/>
                <w:color w:val="auto"/>
                <w:sz w:val="24"/>
                <w:highlight w:val="none"/>
              </w:rPr>
            </w:pPr>
            <w:r>
              <w:rPr>
                <w:rFonts w:hint="eastAsia" w:ascii="宋体" w:hAnsi="宋体" w:cs="宋体"/>
                <w:color w:val="auto"/>
                <w:sz w:val="24"/>
                <w:highlight w:val="none"/>
              </w:rPr>
              <w:t>8</w:t>
            </w:r>
          </w:p>
        </w:tc>
        <w:tc>
          <w:tcPr>
            <w:tcW w:w="5868" w:type="dxa"/>
            <w:noWrap w:val="0"/>
            <w:vAlign w:val="center"/>
          </w:tcPr>
          <w:p w14:paraId="6570534A">
            <w:pPr>
              <w:pStyle w:val="18"/>
              <w:spacing w:line="360" w:lineRule="auto"/>
              <w:jc w:val="left"/>
              <w:rPr>
                <w:rFonts w:ascii="宋体" w:hAnsi="宋体" w:cs="宋体"/>
                <w:color w:val="auto"/>
                <w:sz w:val="24"/>
                <w:highlight w:val="none"/>
              </w:rPr>
            </w:pPr>
            <w:r>
              <w:rPr>
                <w:rFonts w:hint="eastAsia" w:ascii="宋体" w:hAnsi="宋体" w:eastAsia="宋体" w:cs="宋体"/>
                <w:b w:val="0"/>
                <w:color w:val="auto"/>
                <w:kern w:val="0"/>
                <w:sz w:val="24"/>
                <w:szCs w:val="20"/>
                <w:highlight w:val="none"/>
                <w:lang w:val="en-US" w:eastAsia="zh-CN"/>
              </w:rPr>
              <w:t>根据</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提供的【响应处理能力】进行评价：</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承诺：</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对于采购人的应急服务，团队服务技术人员应及时到达服务现场，能够快速到达现场并提供服务及相关咨询服务等应急服务。在接到采购人通知后，在60分钟（含）内能够及时到达现场处理并满足采购人需求的得3分；在60-120分钟（含）以内到达现场处理并满足采购人需求的得2分；在120-180分钟（含）以内到达现场处理并满足采购人需求的得1分；其他情况不得分。本项满分3分。 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1291" w:type="dxa"/>
            <w:noWrap w:val="0"/>
            <w:vAlign w:val="center"/>
          </w:tcPr>
          <w:p w14:paraId="0AC108B4">
            <w:pPr>
              <w:widowControl/>
              <w:jc w:val="left"/>
              <w:rPr>
                <w:rFonts w:hint="eastAsia" w:ascii="宋体" w:hAnsi="宋体" w:cs="宋体"/>
                <w:color w:val="auto"/>
                <w:sz w:val="24"/>
                <w:highlight w:val="none"/>
              </w:rPr>
            </w:pPr>
          </w:p>
        </w:tc>
        <w:tc>
          <w:tcPr>
            <w:tcW w:w="1716" w:type="dxa"/>
            <w:noWrap w:val="0"/>
            <w:vAlign w:val="center"/>
          </w:tcPr>
          <w:p w14:paraId="2E6D590D">
            <w:pPr>
              <w:widowControl/>
              <w:jc w:val="left"/>
              <w:rPr>
                <w:rFonts w:hint="eastAsia" w:ascii="宋体" w:hAnsi="宋体" w:cs="宋体"/>
                <w:color w:val="auto"/>
                <w:sz w:val="24"/>
                <w:highlight w:val="none"/>
              </w:rPr>
            </w:pPr>
          </w:p>
        </w:tc>
      </w:tr>
      <w:tr w14:paraId="2D35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59" w:type="dxa"/>
            <w:noWrap w:val="0"/>
            <w:vAlign w:val="center"/>
          </w:tcPr>
          <w:p w14:paraId="2966FC4F">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5868" w:type="dxa"/>
            <w:noWrap w:val="0"/>
            <w:vAlign w:val="center"/>
          </w:tcPr>
          <w:p w14:paraId="716F73A9">
            <w:pPr>
              <w:pStyle w:val="18"/>
              <w:spacing w:line="360" w:lineRule="auto"/>
              <w:jc w:val="left"/>
              <w:rPr>
                <w:rFonts w:ascii="宋体" w:hAnsi="宋体" w:cs="宋体"/>
                <w:color w:val="auto"/>
                <w:sz w:val="24"/>
                <w:highlight w:val="none"/>
              </w:rPr>
            </w:pP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承诺：“在服务过程中与采购人进行充分沟通，明确采购人需求，确保服务质量满足招标文件及采购人要求”，提供满足上述要求的承诺的得</w:t>
            </w:r>
            <w:r>
              <w:rPr>
                <w:rFonts w:hint="eastAsia" w:ascii="宋体" w:hAnsi="宋体" w:cs="宋体"/>
                <w:b w:val="0"/>
                <w:color w:val="auto"/>
                <w:kern w:val="0"/>
                <w:sz w:val="24"/>
                <w:szCs w:val="20"/>
                <w:highlight w:val="none"/>
                <w:lang w:val="en-US" w:eastAsia="zh-CN"/>
              </w:rPr>
              <w:t>2</w:t>
            </w:r>
            <w:r>
              <w:rPr>
                <w:rFonts w:hint="eastAsia" w:ascii="宋体" w:hAnsi="宋体" w:eastAsia="宋体" w:cs="宋体"/>
                <w:b w:val="0"/>
                <w:color w:val="auto"/>
                <w:kern w:val="0"/>
                <w:sz w:val="24"/>
                <w:szCs w:val="20"/>
                <w:highlight w:val="none"/>
                <w:lang w:val="en-US" w:eastAsia="zh-CN"/>
              </w:rPr>
              <w:t>分。注：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1291" w:type="dxa"/>
            <w:noWrap w:val="0"/>
            <w:vAlign w:val="center"/>
          </w:tcPr>
          <w:p w14:paraId="56276CC2">
            <w:pPr>
              <w:widowControl/>
              <w:jc w:val="left"/>
              <w:rPr>
                <w:rFonts w:hint="eastAsia" w:ascii="宋体" w:hAnsi="宋体" w:cs="宋体"/>
                <w:color w:val="auto"/>
                <w:sz w:val="24"/>
                <w:highlight w:val="none"/>
              </w:rPr>
            </w:pPr>
          </w:p>
        </w:tc>
        <w:tc>
          <w:tcPr>
            <w:tcW w:w="1716" w:type="dxa"/>
            <w:noWrap w:val="0"/>
            <w:vAlign w:val="center"/>
          </w:tcPr>
          <w:p w14:paraId="1C50489E">
            <w:pPr>
              <w:widowControl/>
              <w:jc w:val="left"/>
              <w:rPr>
                <w:rFonts w:hint="eastAsia" w:ascii="宋体" w:hAnsi="宋体" w:cs="宋体"/>
                <w:color w:val="auto"/>
                <w:sz w:val="24"/>
                <w:highlight w:val="none"/>
              </w:rPr>
            </w:pPr>
          </w:p>
        </w:tc>
      </w:tr>
      <w:tr w14:paraId="7E18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59" w:type="dxa"/>
            <w:noWrap w:val="0"/>
            <w:vAlign w:val="center"/>
          </w:tcPr>
          <w:p w14:paraId="61535A7D">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5868" w:type="dxa"/>
            <w:noWrap w:val="0"/>
            <w:vAlign w:val="top"/>
          </w:tcPr>
          <w:p w14:paraId="5DA93E7C">
            <w:pPr>
              <w:pStyle w:val="19"/>
              <w:spacing w:line="360" w:lineRule="auto"/>
              <w:jc w:val="left"/>
              <w:rPr>
                <w:rFonts w:ascii="宋体" w:hAnsi="宋体" w:cs="宋体"/>
                <w:color w:val="auto"/>
                <w:sz w:val="24"/>
                <w:highlight w:val="none"/>
              </w:rPr>
            </w:pP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承诺：</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在承办会展期间具备相应项目承接能力，且不因</w:t>
            </w:r>
            <w:r>
              <w:rPr>
                <w:rFonts w:hint="eastAsia" w:ascii="宋体" w:hAnsi="宋体" w:cs="宋体"/>
                <w:color w:val="auto"/>
                <w:sz w:val="24"/>
                <w:szCs w:val="24"/>
                <w:highlight w:val="none"/>
                <w:lang w:eastAsia="zh-CN"/>
              </w:rPr>
              <w:t>投标人</w:t>
            </w:r>
            <w:r>
              <w:rPr>
                <w:rFonts w:ascii="宋体" w:hAnsi="宋体" w:cs="宋体"/>
                <w:color w:val="auto"/>
                <w:sz w:val="24"/>
                <w:szCs w:val="24"/>
                <w:highlight w:val="none"/>
                <w:lang w:eastAsia="zh-CN"/>
              </w:rPr>
              <w:t>自身原因造成工期延误等系列问题</w:t>
            </w:r>
            <w:r>
              <w:rPr>
                <w:rFonts w:hint="eastAsia" w:ascii="宋体" w:hAnsi="宋体" w:cs="宋体"/>
                <w:color w:val="auto"/>
                <w:sz w:val="24"/>
                <w:szCs w:val="24"/>
                <w:highlight w:val="none"/>
                <w:lang w:eastAsia="zh-CN"/>
              </w:rPr>
              <w:t>”</w:t>
            </w:r>
            <w:r>
              <w:rPr>
                <w:rFonts w:hint="eastAsia" w:ascii="宋体" w:hAnsi="宋体" w:eastAsia="宋体" w:cs="宋体"/>
                <w:b w:val="0"/>
                <w:color w:val="auto"/>
                <w:kern w:val="0"/>
                <w:sz w:val="24"/>
                <w:szCs w:val="20"/>
                <w:highlight w:val="none"/>
                <w:lang w:val="en-US" w:eastAsia="zh-CN"/>
              </w:rPr>
              <w:t>，提供满足上述要求的承诺的得</w:t>
            </w:r>
            <w:r>
              <w:rPr>
                <w:rFonts w:hint="eastAsia" w:ascii="宋体" w:hAnsi="宋体" w:cs="宋体"/>
                <w:b w:val="0"/>
                <w:color w:val="auto"/>
                <w:kern w:val="0"/>
                <w:sz w:val="24"/>
                <w:szCs w:val="20"/>
                <w:highlight w:val="none"/>
                <w:lang w:val="en-US" w:eastAsia="zh-CN"/>
              </w:rPr>
              <w:t>2</w:t>
            </w:r>
            <w:r>
              <w:rPr>
                <w:rFonts w:hint="eastAsia" w:ascii="宋体" w:hAnsi="宋体" w:eastAsia="宋体" w:cs="宋体"/>
                <w:b w:val="0"/>
                <w:color w:val="auto"/>
                <w:kern w:val="0"/>
                <w:sz w:val="24"/>
                <w:szCs w:val="20"/>
                <w:highlight w:val="none"/>
                <w:lang w:val="en-US" w:eastAsia="zh-CN"/>
              </w:rPr>
              <w:t>分。注：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1291" w:type="dxa"/>
            <w:noWrap w:val="0"/>
            <w:vAlign w:val="center"/>
          </w:tcPr>
          <w:p w14:paraId="448B98ED">
            <w:pPr>
              <w:widowControl/>
              <w:jc w:val="left"/>
              <w:rPr>
                <w:rFonts w:hint="eastAsia" w:ascii="宋体" w:hAnsi="宋体" w:cs="宋体"/>
                <w:color w:val="auto"/>
                <w:sz w:val="24"/>
                <w:highlight w:val="none"/>
              </w:rPr>
            </w:pPr>
          </w:p>
        </w:tc>
        <w:tc>
          <w:tcPr>
            <w:tcW w:w="1716" w:type="dxa"/>
            <w:noWrap w:val="0"/>
            <w:vAlign w:val="center"/>
          </w:tcPr>
          <w:p w14:paraId="32F7DEA8">
            <w:pPr>
              <w:widowControl/>
              <w:jc w:val="left"/>
              <w:rPr>
                <w:rFonts w:hint="eastAsia" w:ascii="宋体" w:hAnsi="宋体" w:cs="宋体"/>
                <w:color w:val="auto"/>
                <w:sz w:val="24"/>
                <w:highlight w:val="none"/>
              </w:rPr>
            </w:pPr>
          </w:p>
        </w:tc>
      </w:tr>
      <w:tr w14:paraId="6E96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9" w:type="dxa"/>
            <w:noWrap w:val="0"/>
            <w:vAlign w:val="center"/>
          </w:tcPr>
          <w:p w14:paraId="32727A69">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5868" w:type="dxa"/>
            <w:noWrap w:val="0"/>
            <w:vAlign w:val="center"/>
          </w:tcPr>
          <w:p w14:paraId="249B5E8A">
            <w:pPr>
              <w:spacing w:line="360" w:lineRule="auto"/>
              <w:jc w:val="left"/>
              <w:rPr>
                <w:rFonts w:ascii="宋体" w:hAnsi="宋体" w:cs="宋体"/>
                <w:color w:val="auto"/>
                <w:sz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承诺“</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后，在服务期内，对拟投入的所有人员安全负全部责任，如若发生安全事故，承担全部责任”</w:t>
            </w:r>
            <w:r>
              <w:rPr>
                <w:rFonts w:hint="eastAsia" w:ascii="宋体" w:hAnsi="宋体" w:eastAsia="宋体" w:cs="宋体"/>
                <w:b w:val="0"/>
                <w:color w:val="auto"/>
                <w:kern w:val="0"/>
                <w:sz w:val="24"/>
                <w:szCs w:val="20"/>
                <w:highlight w:val="none"/>
                <w:lang w:val="en-US" w:eastAsia="zh-CN"/>
              </w:rPr>
              <w:t>，提供满足上述要求的承诺的得</w:t>
            </w:r>
            <w:r>
              <w:rPr>
                <w:rFonts w:hint="eastAsia" w:ascii="宋体" w:hAnsi="宋体" w:cs="宋体"/>
                <w:b w:val="0"/>
                <w:color w:val="auto"/>
                <w:kern w:val="0"/>
                <w:sz w:val="24"/>
                <w:szCs w:val="20"/>
                <w:highlight w:val="none"/>
                <w:lang w:val="en-US" w:eastAsia="zh-CN"/>
              </w:rPr>
              <w:t>3</w:t>
            </w:r>
            <w:r>
              <w:rPr>
                <w:rFonts w:hint="eastAsia" w:ascii="宋体" w:hAnsi="宋体" w:eastAsia="宋体" w:cs="宋体"/>
                <w:b w:val="0"/>
                <w:color w:val="auto"/>
                <w:kern w:val="0"/>
                <w:sz w:val="24"/>
                <w:szCs w:val="20"/>
                <w:highlight w:val="none"/>
                <w:lang w:val="en-US" w:eastAsia="zh-CN"/>
              </w:rPr>
              <w:t>分。注：</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须提供书面承诺（格式自拟）并加盖</w:t>
            </w:r>
            <w:r>
              <w:rPr>
                <w:rFonts w:hint="eastAsia" w:ascii="宋体" w:hAnsi="宋体" w:cs="宋体"/>
                <w:b w:val="0"/>
                <w:color w:val="auto"/>
                <w:kern w:val="0"/>
                <w:sz w:val="24"/>
                <w:szCs w:val="20"/>
                <w:highlight w:val="none"/>
                <w:lang w:val="en-US" w:eastAsia="zh-CN"/>
              </w:rPr>
              <w:t>投标人</w:t>
            </w:r>
            <w:r>
              <w:rPr>
                <w:rFonts w:hint="eastAsia" w:ascii="宋体" w:hAnsi="宋体" w:eastAsia="宋体" w:cs="宋体"/>
                <w:b w:val="0"/>
                <w:color w:val="auto"/>
                <w:kern w:val="0"/>
                <w:sz w:val="24"/>
                <w:szCs w:val="20"/>
                <w:highlight w:val="none"/>
                <w:lang w:val="en-US" w:eastAsia="zh-CN"/>
              </w:rPr>
              <w:t>公章，未提供或不符合上述要求的不得分。</w:t>
            </w:r>
          </w:p>
        </w:tc>
        <w:tc>
          <w:tcPr>
            <w:tcW w:w="1291" w:type="dxa"/>
            <w:noWrap w:val="0"/>
            <w:vAlign w:val="center"/>
          </w:tcPr>
          <w:p w14:paraId="7A73DCDF">
            <w:pPr>
              <w:widowControl/>
              <w:jc w:val="left"/>
              <w:rPr>
                <w:rFonts w:hint="eastAsia" w:ascii="宋体" w:hAnsi="宋体" w:cs="宋体"/>
                <w:color w:val="auto"/>
                <w:sz w:val="24"/>
                <w:highlight w:val="none"/>
              </w:rPr>
            </w:pPr>
          </w:p>
        </w:tc>
        <w:tc>
          <w:tcPr>
            <w:tcW w:w="1716" w:type="dxa"/>
            <w:noWrap w:val="0"/>
            <w:vAlign w:val="center"/>
          </w:tcPr>
          <w:p w14:paraId="761A5125">
            <w:pPr>
              <w:widowControl/>
              <w:jc w:val="left"/>
              <w:rPr>
                <w:rFonts w:hint="eastAsia" w:ascii="宋体" w:hAnsi="宋体" w:cs="宋体"/>
                <w:color w:val="auto"/>
                <w:sz w:val="24"/>
                <w:highlight w:val="none"/>
              </w:rPr>
            </w:pPr>
          </w:p>
        </w:tc>
      </w:tr>
    </w:tbl>
    <w:p w14:paraId="460B993A">
      <w:pPr>
        <w:rPr>
          <w:rFonts w:hint="eastAsia" w:ascii="宋体" w:hAnsi="宋体" w:cs="宋体"/>
          <w:color w:val="auto"/>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sz w:val="24"/>
          <w:highlight w:val="none"/>
        </w:rPr>
        <w:t>注：表格中所列条款应与评分条款逐条对应，对于条款不明确或错误部分评委有权不予采信。</w:t>
      </w:r>
    </w:p>
    <w:p w14:paraId="70E874ED">
      <w:pPr>
        <w:pStyle w:val="21"/>
        <w:keepNext w:val="0"/>
        <w:keepLines w:val="0"/>
        <w:pageBreakBefore w:val="0"/>
        <w:kinsoku/>
        <w:wordWrap/>
        <w:overflowPunct/>
        <w:topLinePunct w:val="0"/>
        <w:bidi w:val="0"/>
        <w:adjustRightInd/>
        <w:spacing w:line="360" w:lineRule="auto"/>
        <w:jc w:val="center"/>
        <w:textAlignment w:val="auto"/>
        <w:outlineLvl w:val="9"/>
        <w:rPr>
          <w:rFonts w:hint="eastAsia" w:ascii="宋体" w:hAnsi="宋体" w:cs="宋体"/>
          <w:b/>
          <w:bCs/>
          <w:color w:val="auto"/>
          <w:sz w:val="28"/>
          <w:szCs w:val="28"/>
          <w:highlight w:val="none"/>
        </w:rPr>
      </w:pPr>
      <w:bookmarkStart w:id="247" w:name="_Toc29559"/>
      <w:bookmarkStart w:id="248" w:name="_Toc5915"/>
      <w:bookmarkStart w:id="249" w:name="_Toc891"/>
      <w:bookmarkStart w:id="250" w:name="_Toc21167"/>
      <w:bookmarkStart w:id="251" w:name="_Toc19382"/>
      <w:bookmarkStart w:id="252" w:name="_Toc15245"/>
      <w:r>
        <w:rPr>
          <w:rFonts w:hint="eastAsia" w:ascii="宋体" w:hAnsi="宋体" w:cs="宋体"/>
          <w:b/>
          <w:bCs/>
          <w:color w:val="auto"/>
          <w:sz w:val="28"/>
          <w:szCs w:val="28"/>
          <w:highlight w:val="none"/>
        </w:rPr>
        <w:t>承诺函</w:t>
      </w:r>
      <w:bookmarkEnd w:id="247"/>
      <w:bookmarkEnd w:id="248"/>
      <w:bookmarkEnd w:id="249"/>
      <w:bookmarkEnd w:id="250"/>
      <w:bookmarkEnd w:id="251"/>
      <w:bookmarkEnd w:id="252"/>
    </w:p>
    <w:p w14:paraId="2C11253A">
      <w:pPr>
        <w:pStyle w:val="7"/>
        <w:keepNext w:val="0"/>
        <w:keepLines w:val="0"/>
        <w:pageBreakBefore w:val="0"/>
        <w:kinsoku/>
        <w:wordWrap/>
        <w:overflowPunct/>
        <w:topLinePunct w:val="0"/>
        <w:bidi w:val="0"/>
        <w:adjustRightIn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3EDABB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auto"/>
          <w:sz w:val="24"/>
          <w:szCs w:val="24"/>
          <w:highlight w:val="none"/>
        </w:rPr>
      </w:pPr>
      <w:bookmarkStart w:id="253" w:name="_Toc1906"/>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、我司非联合体</w:t>
      </w:r>
      <w:r>
        <w:rPr>
          <w:rFonts w:hint="eastAsia" w:ascii="宋体" w:hAnsi="宋体" w:cs="宋体"/>
          <w:b w:val="0"/>
          <w:bCs w:val="0"/>
          <w:color w:val="auto"/>
          <w:sz w:val="24"/>
          <w:szCs w:val="24"/>
          <w:highlight w:val="none"/>
          <w:lang w:val="en-US" w:eastAsia="zh-CN"/>
        </w:rPr>
        <w:t>投标</w:t>
      </w:r>
      <w:r>
        <w:rPr>
          <w:rFonts w:hint="eastAsia" w:ascii="宋体" w:hAnsi="宋体" w:cs="宋体"/>
          <w:b w:val="0"/>
          <w:bCs w:val="0"/>
          <w:color w:val="auto"/>
          <w:sz w:val="24"/>
          <w:szCs w:val="24"/>
          <w:highlight w:val="none"/>
        </w:rPr>
        <w:t>。</w:t>
      </w:r>
      <w:bookmarkEnd w:id="253"/>
    </w:p>
    <w:p w14:paraId="0873A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highlight w:val="none"/>
        </w:rPr>
      </w:pPr>
      <w:bookmarkStart w:id="254" w:name="_Toc13092"/>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投标</w:t>
      </w:r>
      <w:r>
        <w:rPr>
          <w:rFonts w:hint="eastAsia" w:ascii="宋体" w:hAnsi="宋体" w:cs="宋体"/>
          <w:b w:val="0"/>
          <w:bCs w:val="0"/>
          <w:color w:val="auto"/>
          <w:sz w:val="24"/>
          <w:szCs w:val="24"/>
          <w:highlight w:val="none"/>
        </w:rPr>
        <w:t>有效期：</w:t>
      </w:r>
      <w:r>
        <w:rPr>
          <w:rFonts w:hint="eastAsia" w:ascii="宋体" w:hAnsi="宋体" w:cs="宋体"/>
          <w:b w:val="0"/>
          <w:bCs w:val="0"/>
          <w:color w:val="auto"/>
          <w:sz w:val="24"/>
          <w:szCs w:val="24"/>
          <w:highlight w:val="none"/>
          <w:lang w:val="en-US" w:eastAsia="zh-CN"/>
        </w:rPr>
        <w:t>投标</w:t>
      </w:r>
      <w:r>
        <w:rPr>
          <w:rFonts w:hint="eastAsia" w:ascii="宋体" w:hAnsi="宋体" w:cs="宋体"/>
          <w:b w:val="0"/>
          <w:bCs w:val="0"/>
          <w:color w:val="auto"/>
          <w:sz w:val="24"/>
          <w:szCs w:val="24"/>
          <w:highlight w:val="none"/>
        </w:rPr>
        <w:t>截止之日起90个日历日。</w:t>
      </w:r>
    </w:p>
    <w:p w14:paraId="0C0EB45D">
      <w:pPr>
        <w:keepNext w:val="0"/>
        <w:keepLines w:val="0"/>
        <w:pageBreakBefore w:val="0"/>
        <w:kinsoku/>
        <w:wordWrap/>
        <w:overflowPunct/>
        <w:topLinePunct w:val="0"/>
        <w:bidi w:val="0"/>
        <w:adjustRightInd/>
        <w:spacing w:line="360" w:lineRule="auto"/>
        <w:ind w:firstLine="480" w:firstLineChars="200"/>
        <w:textAlignment w:val="auto"/>
        <w:outlineLvl w:val="9"/>
        <w:rPr>
          <w:rFonts w:hint="eastAsia" w:ascii="宋体" w:hAnsi="宋体" w:eastAsia="宋体" w:cs="宋体"/>
          <w:bCs/>
          <w:color w:val="auto"/>
          <w:sz w:val="24"/>
          <w:szCs w:val="21"/>
          <w:highlight w:val="none"/>
          <w:lang w:val="en-US" w:eastAsia="zh-CN"/>
        </w:rPr>
      </w:pPr>
      <w:bookmarkStart w:id="255" w:name="_Toc2292"/>
      <w:bookmarkStart w:id="256" w:name="_Toc15581"/>
      <w:bookmarkStart w:id="257" w:name="_Toc32083"/>
      <w:bookmarkStart w:id="258" w:name="_Toc20541"/>
      <w:bookmarkStart w:id="259" w:name="_Toc4442"/>
      <w:bookmarkStart w:id="260" w:name="_Toc2017"/>
      <w:bookmarkStart w:id="261" w:name="_Toc9786"/>
      <w:bookmarkStart w:id="262" w:name="_Toc18988"/>
      <w:bookmarkStart w:id="263" w:name="_Toc4953"/>
      <w:r>
        <w:rPr>
          <w:rFonts w:hint="eastAsia" w:ascii="宋体" w:hAnsi="宋体" w:cs="宋体"/>
          <w:bCs/>
          <w:color w:val="auto"/>
          <w:sz w:val="24"/>
          <w:szCs w:val="21"/>
          <w:highlight w:val="none"/>
          <w:lang w:val="en-US" w:eastAsia="zh-CN"/>
        </w:rPr>
        <w:t>3、</w:t>
      </w:r>
    </w:p>
    <w:p w14:paraId="7DFF7D21">
      <w:pPr>
        <w:keepNext w:val="0"/>
        <w:keepLines w:val="0"/>
        <w:pageBreakBefore w:val="0"/>
        <w:kinsoku/>
        <w:wordWrap/>
        <w:overflowPunct/>
        <w:topLinePunct w:val="0"/>
        <w:bidi w:val="0"/>
        <w:adjustRightInd/>
        <w:spacing w:line="360" w:lineRule="auto"/>
        <w:ind w:firstLine="720" w:firstLineChars="300"/>
        <w:textAlignment w:val="auto"/>
        <w:outlineLvl w:val="9"/>
        <w:rPr>
          <w:rFonts w:hint="eastAsia" w:ascii="宋体" w:hAnsi="宋体" w:cs="宋体"/>
          <w:bCs/>
          <w:color w:val="auto"/>
          <w:sz w:val="24"/>
          <w:szCs w:val="21"/>
          <w:highlight w:val="none"/>
        </w:rPr>
      </w:pPr>
    </w:p>
    <w:p w14:paraId="37B4EE7A">
      <w:pPr>
        <w:keepNext w:val="0"/>
        <w:keepLines w:val="0"/>
        <w:pageBreakBefore w:val="0"/>
        <w:kinsoku/>
        <w:wordWrap/>
        <w:overflowPunct/>
        <w:topLinePunct w:val="0"/>
        <w:bidi w:val="0"/>
        <w:adjustRightInd/>
        <w:spacing w:line="360" w:lineRule="auto"/>
        <w:ind w:firstLine="720" w:firstLineChars="300"/>
        <w:textAlignment w:val="auto"/>
        <w:outlineLvl w:val="9"/>
        <w:rPr>
          <w:rFonts w:hint="eastAsia" w:ascii="宋体" w:hAnsi="宋体" w:cs="宋体"/>
          <w:bCs/>
          <w:color w:val="auto"/>
          <w:sz w:val="24"/>
          <w:szCs w:val="21"/>
          <w:highlight w:val="none"/>
        </w:rPr>
      </w:pPr>
      <w:r>
        <w:rPr>
          <w:rFonts w:hint="eastAsia" w:ascii="宋体" w:hAnsi="宋体" w:cs="宋体"/>
          <w:bCs/>
          <w:color w:val="auto"/>
          <w:sz w:val="24"/>
          <w:szCs w:val="21"/>
          <w:highlight w:val="none"/>
        </w:rPr>
        <w:t>……</w:t>
      </w:r>
      <w:bookmarkEnd w:id="255"/>
      <w:bookmarkEnd w:id="256"/>
      <w:bookmarkEnd w:id="257"/>
      <w:bookmarkEnd w:id="258"/>
      <w:bookmarkEnd w:id="259"/>
      <w:bookmarkEnd w:id="260"/>
      <w:bookmarkEnd w:id="261"/>
      <w:bookmarkEnd w:id="262"/>
      <w:bookmarkEnd w:id="263"/>
    </w:p>
    <w:p w14:paraId="310A9799">
      <w:pPr>
        <w:keepNext w:val="0"/>
        <w:keepLines w:val="0"/>
        <w:pageBreakBefore w:val="0"/>
        <w:kinsoku/>
        <w:wordWrap/>
        <w:overflowPunct/>
        <w:topLinePunct w:val="0"/>
        <w:bidi w:val="0"/>
        <w:adjustRightInd/>
        <w:spacing w:line="360" w:lineRule="auto"/>
        <w:textAlignment w:val="auto"/>
        <w:outlineLvl w:val="9"/>
        <w:rPr>
          <w:rFonts w:hint="eastAsia" w:ascii="宋体" w:hAnsi="宋体" w:cs="宋体"/>
          <w:color w:val="auto"/>
          <w:sz w:val="24"/>
          <w:szCs w:val="24"/>
          <w:highlight w:val="none"/>
        </w:rPr>
      </w:pPr>
    </w:p>
    <w:p w14:paraId="4531CC14">
      <w:pPr>
        <w:pStyle w:val="21"/>
        <w:keepNext w:val="0"/>
        <w:keepLines w:val="0"/>
        <w:pageBreakBefore w:val="0"/>
        <w:kinsoku/>
        <w:wordWrap/>
        <w:overflowPunct/>
        <w:topLinePunct w:val="0"/>
        <w:bidi w:val="0"/>
        <w:adjustRightInd/>
        <w:spacing w:line="360" w:lineRule="auto"/>
        <w:ind w:firstLine="0"/>
        <w:textAlignment w:val="auto"/>
        <w:outlineLvl w:val="9"/>
        <w:rPr>
          <w:color w:val="auto"/>
          <w:highlight w:val="none"/>
        </w:rPr>
      </w:pPr>
    </w:p>
    <w:p w14:paraId="00362FE1">
      <w:pPr>
        <w:keepNext w:val="0"/>
        <w:keepLines w:val="0"/>
        <w:pageBreakBefore w:val="0"/>
        <w:kinsoku/>
        <w:wordWrap/>
        <w:overflowPunct/>
        <w:topLinePunct w:val="0"/>
        <w:bidi w:val="0"/>
        <w:adjustRightInd/>
        <w:spacing w:line="360" w:lineRule="auto"/>
        <w:jc w:val="center"/>
        <w:textAlignment w:val="auto"/>
        <w:outlineLvl w:val="9"/>
        <w:rPr>
          <w:rFonts w:hint="eastAsia" w:ascii="宋体" w:hAnsi="宋体" w:cs="宋体"/>
          <w:b/>
          <w:bCs/>
          <w:color w:val="auto"/>
          <w:sz w:val="22"/>
          <w:szCs w:val="24"/>
          <w:highlight w:val="none"/>
        </w:rPr>
      </w:pPr>
      <w:bookmarkStart w:id="264" w:name="_Toc32018"/>
      <w:bookmarkStart w:id="265" w:name="_Toc1464"/>
      <w:bookmarkStart w:id="266" w:name="_Toc10602"/>
      <w:bookmarkStart w:id="267" w:name="_Toc26729"/>
      <w:bookmarkStart w:id="268" w:name="_Toc28628"/>
      <w:bookmarkStart w:id="269" w:name="_Toc7758"/>
      <w:bookmarkStart w:id="270" w:name="_Toc25282"/>
      <w:bookmarkStart w:id="271" w:name="_Toc30042"/>
      <w:r>
        <w:rPr>
          <w:rFonts w:hint="eastAsia" w:ascii="宋体" w:hAnsi="宋体" w:cs="宋体"/>
          <w:b/>
          <w:bCs/>
          <w:color w:val="auto"/>
          <w:sz w:val="22"/>
          <w:szCs w:val="24"/>
          <w:highlight w:val="none"/>
        </w:rPr>
        <w:t>（内容可根据</w:t>
      </w:r>
      <w:r>
        <w:rPr>
          <w:rFonts w:hint="eastAsia" w:ascii="宋体" w:hAnsi="宋体" w:cs="宋体"/>
          <w:b/>
          <w:bCs/>
          <w:color w:val="auto"/>
          <w:sz w:val="22"/>
          <w:szCs w:val="24"/>
          <w:highlight w:val="none"/>
          <w:lang w:eastAsia="zh-CN"/>
        </w:rPr>
        <w:t>招标文件</w:t>
      </w:r>
      <w:r>
        <w:rPr>
          <w:rFonts w:hint="eastAsia" w:ascii="宋体" w:hAnsi="宋体" w:cs="宋体"/>
          <w:b/>
          <w:bCs/>
          <w:color w:val="auto"/>
          <w:sz w:val="22"/>
          <w:szCs w:val="24"/>
          <w:highlight w:val="none"/>
        </w:rPr>
        <w:t>要求自行扩展拟定）</w:t>
      </w:r>
      <w:bookmarkEnd w:id="254"/>
      <w:bookmarkEnd w:id="264"/>
      <w:bookmarkEnd w:id="265"/>
      <w:bookmarkEnd w:id="266"/>
      <w:bookmarkEnd w:id="267"/>
      <w:bookmarkEnd w:id="268"/>
      <w:bookmarkEnd w:id="269"/>
      <w:bookmarkEnd w:id="270"/>
      <w:bookmarkEnd w:id="271"/>
    </w:p>
    <w:p w14:paraId="68AAB2FB">
      <w:pPr>
        <w:pStyle w:val="4"/>
        <w:keepNext w:val="0"/>
        <w:keepLines w:val="0"/>
        <w:pageBreakBefore w:val="0"/>
        <w:kinsoku/>
        <w:wordWrap/>
        <w:overflowPunct/>
        <w:topLinePunct w:val="0"/>
        <w:bidi w:val="0"/>
        <w:adjustRightInd/>
        <w:spacing w:after="0" w:line="360" w:lineRule="auto"/>
        <w:textAlignment w:val="auto"/>
        <w:outlineLvl w:val="9"/>
        <w:rPr>
          <w:rFonts w:hint="eastAsia" w:ascii="宋体" w:hAnsi="宋体" w:cs="宋体"/>
          <w:color w:val="auto"/>
          <w:highlight w:val="none"/>
        </w:rPr>
      </w:pPr>
    </w:p>
    <w:p w14:paraId="757CCA0A">
      <w:pPr>
        <w:keepNext w:val="0"/>
        <w:keepLines w:val="0"/>
        <w:pageBreakBefore w:val="0"/>
        <w:kinsoku/>
        <w:wordWrap/>
        <w:overflowPunct/>
        <w:topLinePunct w:val="0"/>
        <w:autoSpaceDE w:val="0"/>
        <w:autoSpaceDN w:val="0"/>
        <w:bidi w:val="0"/>
        <w:adjustRightInd/>
        <w:spacing w:line="360" w:lineRule="auto"/>
        <w:ind w:firstLine="480" w:firstLineChars="200"/>
        <w:jc w:val="left"/>
        <w:textAlignment w:val="auto"/>
        <w:outlineLvl w:val="9"/>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280BEB6E">
      <w:pPr>
        <w:keepNext w:val="0"/>
        <w:keepLines w:val="0"/>
        <w:pageBreakBefore w:val="0"/>
        <w:kinsoku/>
        <w:wordWrap/>
        <w:overflowPunct/>
        <w:topLinePunct w:val="0"/>
        <w:autoSpaceDE w:val="0"/>
        <w:autoSpaceDN w:val="0"/>
        <w:bidi w:val="0"/>
        <w:adjustRightInd/>
        <w:spacing w:line="360" w:lineRule="auto"/>
        <w:ind w:firstLine="4920" w:firstLineChars="2050"/>
        <w:jc w:val="left"/>
        <w:textAlignment w:val="auto"/>
        <w:outlineLvl w:val="9"/>
        <w:rPr>
          <w:rFonts w:hint="eastAsia" w:ascii="宋体" w:hAnsi="宋体" w:cs="宋体"/>
          <w:bCs/>
          <w:color w:val="auto"/>
          <w:sz w:val="24"/>
          <w:szCs w:val="21"/>
          <w:highlight w:val="none"/>
        </w:rPr>
      </w:pPr>
      <w:r>
        <w:rPr>
          <w:rFonts w:hint="eastAsia" w:ascii="宋体" w:hAnsi="宋体" w:cs="宋体"/>
          <w:bCs/>
          <w:color w:val="auto"/>
          <w:sz w:val="24"/>
          <w:szCs w:val="21"/>
          <w:highlight w:val="none"/>
          <w:lang w:eastAsia="zh-CN"/>
        </w:rPr>
        <w:t>投标人</w:t>
      </w:r>
      <w:r>
        <w:rPr>
          <w:rFonts w:hint="eastAsia" w:ascii="宋体" w:hAnsi="宋体" w:cs="宋体"/>
          <w:bCs/>
          <w:color w:val="auto"/>
          <w:sz w:val="24"/>
          <w:szCs w:val="21"/>
          <w:highlight w:val="none"/>
        </w:rPr>
        <w:t>名称（盖公章）：</w:t>
      </w:r>
    </w:p>
    <w:p w14:paraId="5939CD38">
      <w:pPr>
        <w:pStyle w:val="5"/>
        <w:keepNext w:val="0"/>
        <w:keepLines w:val="0"/>
        <w:pageBreakBefore w:val="0"/>
        <w:kinsoku/>
        <w:wordWrap/>
        <w:overflowPunct/>
        <w:topLinePunct w:val="0"/>
        <w:bidi w:val="0"/>
        <w:adjustRightInd/>
        <w:spacing w:line="360" w:lineRule="auto"/>
        <w:textAlignment w:val="auto"/>
        <w:outlineLvl w:val="9"/>
        <w:rPr>
          <w:color w:val="auto"/>
          <w:highlight w:val="none"/>
        </w:rPr>
      </w:pPr>
      <w:r>
        <w:rPr>
          <w:rFonts w:hint="eastAsia" w:hAnsi="宋体" w:cs="宋体"/>
          <w:bCs/>
          <w:color w:val="auto"/>
          <w:sz w:val="24"/>
          <w:highlight w:val="none"/>
        </w:rPr>
        <w:t xml:space="preserve">                                     日期：    年   月   日   </w:t>
      </w:r>
    </w:p>
    <w:p w14:paraId="613F1AD4">
      <w:pPr>
        <w:rPr>
          <w:color w:val="auto"/>
          <w:highlight w:val="none"/>
        </w:rPr>
      </w:pPr>
    </w:p>
    <w:p w14:paraId="4725B443">
      <w:pPr>
        <w:rPr>
          <w:color w:val="auto"/>
          <w:highlight w:val="none"/>
        </w:rPr>
      </w:pPr>
    </w:p>
    <w:p w14:paraId="6105B81F">
      <w:pPr>
        <w:pStyle w:val="4"/>
        <w:rPr>
          <w:color w:val="auto"/>
          <w:highlight w:val="none"/>
        </w:rPr>
      </w:pPr>
    </w:p>
    <w:p w14:paraId="14FBC921">
      <w:pPr>
        <w:rPr>
          <w:rFonts w:hint="eastAsia" w:ascii="宋体" w:hAnsi="宋体" w:cs="宋体"/>
          <w:color w:val="auto"/>
          <w:sz w:val="24"/>
          <w:highlight w:val="none"/>
        </w:rPr>
      </w:pPr>
    </w:p>
    <w:p w14:paraId="3A5379EB">
      <w:pPr>
        <w:rPr>
          <w:color w:val="auto"/>
          <w:highlight w:val="none"/>
        </w:rPr>
      </w:pPr>
    </w:p>
    <w:p w14:paraId="53AF7C7B">
      <w:pPr>
        <w:rPr>
          <w:color w:val="auto"/>
          <w:highlight w:val="none"/>
        </w:rPr>
      </w:pPr>
    </w:p>
    <w:p w14:paraId="069E3D47">
      <w:pPr>
        <w:rPr>
          <w:color w:val="auto"/>
          <w:highlight w:val="none"/>
        </w:rPr>
      </w:pPr>
    </w:p>
    <w:bookmarkEnd w:id="272"/>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23C4">
    <w:pPr>
      <w:pStyle w:val="7"/>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2EC47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A2EC47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095D">
    <w:pPr>
      <w:pStyle w:val="7"/>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DE68D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4DE68D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6AE4">
    <w:pPr>
      <w:pStyle w:val="7"/>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C263A">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BFC263A">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34DB">
    <w:pPr>
      <w:pStyle w:val="7"/>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4A12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114A12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3E3D">
    <w:pPr>
      <w:pStyle w:val="7"/>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2C445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22C445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FB3">
    <w:pPr>
      <w:pStyle w:val="7"/>
      <w:tabs>
        <w:tab w:val="right" w:pos="8460"/>
        <w:tab w:val="clear" w:pos="8306"/>
      </w:tabs>
      <w:ind w:right="-89" w:firstLine="420"/>
      <w:jc w:val="center"/>
      <w:rPr>
        <w:rFonts w:ascii="宋体" w:hAns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263ABF">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5263ABF">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4DDAD">
    <w:pPr>
      <w:pStyle w:val="7"/>
      <w:tabs>
        <w:tab w:val="right" w:pos="8460"/>
        <w:tab w:val="clear" w:pos="8306"/>
      </w:tabs>
      <w:ind w:right="-89" w:firstLine="420"/>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07F33">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0E07F33">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A9DC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ADD7">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9940">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86B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88A641"/>
    <w:multiLevelType w:val="singleLevel"/>
    <w:tmpl w:val="1A88A641"/>
    <w:lvl w:ilvl="0" w:tentative="0">
      <w:start w:val="1"/>
      <w:numFmt w:val="decimal"/>
      <w:suff w:val="nothing"/>
      <w:lvlText w:val="%1、"/>
      <w:lvlJc w:val="left"/>
    </w:lvl>
  </w:abstractNum>
  <w:abstractNum w:abstractNumId="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E3FFB4A"/>
    <w:multiLevelType w:val="singleLevel"/>
    <w:tmpl w:val="3E3FFB4A"/>
    <w:lvl w:ilvl="0" w:tentative="0">
      <w:start w:val="3"/>
      <w:numFmt w:val="chineseCounting"/>
      <w:suff w:val="nothing"/>
      <w:lvlText w:val="%1、"/>
      <w:lvlJc w:val="left"/>
      <w:rPr>
        <w:rFonts w:hint="eastAsia"/>
      </w:rPr>
    </w:lvl>
  </w:abstractNum>
  <w:abstractNum w:abstractNumId="4">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E0B8F"/>
    <w:rsid w:val="19CB6A74"/>
    <w:rsid w:val="229060FD"/>
    <w:rsid w:val="29F56634"/>
    <w:rsid w:val="2FF6256C"/>
    <w:rsid w:val="2FFFFDAD"/>
    <w:rsid w:val="4DCFF6C3"/>
    <w:rsid w:val="5DC8126A"/>
    <w:rsid w:val="6DAE0B8F"/>
    <w:rsid w:val="796F496A"/>
    <w:rsid w:val="7B2833D7"/>
    <w:rsid w:val="7D2C6F0C"/>
    <w:rsid w:val="AEFF0EFA"/>
    <w:rsid w:val="B7F76301"/>
    <w:rsid w:val="EBEFA8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qFormat/>
    <w:uiPriority w:val="0"/>
    <w:pPr>
      <w:jc w:val="center"/>
    </w:pPr>
    <w:rPr>
      <w:rFonts w:ascii="幼圆" w:hAnsi="新宋体" w:eastAsia="幼圆"/>
      <w:b/>
      <w:bCs/>
      <w:sz w:val="84"/>
      <w:szCs w:val="20"/>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spacing w:after="120" w:line="480" w:lineRule="auto"/>
      <w:ind w:left="420"/>
    </w:pPr>
    <w:rPr>
      <w:rFonts w:ascii="Times New Roman" w:hAnsi="Times New Roman"/>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4">
    <w:name w:val="Strong"/>
    <w:basedOn w:val="13"/>
    <w:qFormat/>
    <w:uiPriority w:val="22"/>
    <w:rPr>
      <w:b/>
      <w:bCs/>
    </w:rPr>
  </w:style>
  <w:style w:type="character" w:styleId="15">
    <w:name w:val="Hyperlink"/>
    <w:basedOn w:val="13"/>
    <w:unhideWhenUsed/>
    <w:qFormat/>
    <w:uiPriority w:val="0"/>
    <w:rPr>
      <w:color w:val="0000FF"/>
      <w:u w:val="single"/>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Char Char Char Char Char Char Char"/>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8">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19">
    <w:name w:val="null3"/>
    <w:qFormat/>
    <w:uiPriority w:val="0"/>
    <w:rPr>
      <w:rFonts w:hint="eastAsia" w:ascii="Calibri" w:hAnsi="Calibri" w:eastAsia="宋体" w:cs="Times New Roman"/>
      <w:lang w:val="en-US" w:eastAsia="zh-CN" w:bidi="ar-SA"/>
    </w:rPr>
  </w:style>
  <w:style w:type="paragraph" w:customStyle="1" w:styleId="20">
    <w:name w:val="样式3"/>
    <w:basedOn w:val="5"/>
    <w:qFormat/>
    <w:uiPriority w:val="0"/>
    <w:pPr>
      <w:spacing w:line="0" w:lineRule="atLeast"/>
      <w:outlineLvl w:val="0"/>
    </w:pPr>
    <w:rPr>
      <w:sz w:val="28"/>
    </w:rPr>
  </w:style>
  <w:style w:type="paragraph" w:customStyle="1" w:styleId="21">
    <w:name w:val="7"/>
    <w:next w:val="4"/>
    <w:qFormat/>
    <w:uiPriority w:val="0"/>
    <w:pPr>
      <w:ind w:firstLine="400"/>
      <w:jc w:val="both"/>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7176</Words>
  <Characters>7836</Characters>
  <Lines>0</Lines>
  <Paragraphs>0</Paragraphs>
  <TotalTime>1</TotalTime>
  <ScaleCrop>false</ScaleCrop>
  <LinksUpToDate>false</LinksUpToDate>
  <CharactersWithSpaces>7953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2025-09-09T01:05:00Z</dcterms:created>
  <dc:creator> CarambolaLu </dc:creator>
  <cp:lastModifiedBy>WPS_1528123779</cp:lastModifiedBy>
  <dcterms:modified xsi:type="dcterms:W3CDTF">2025-09-09T08:13:56Z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2232FB0D781F4996BFE1C652F6EB08EB</vt:lpwstr>
  </property>
  <property fmtid="{D5CDD505-2E9C-101B-9397-08002B2CF9AE}" pid="4" name="KSOTemplateDocerSaveRecord">
    <vt:lpwstr>eyJoZGlkIjoiODQ0NWY5YjE3NGYzMmZkYTI2NTFkNWYyOGEwODRiNzgiLCJ1c2VySWQiOiIzNzYwNDg2NTAifQ==</vt:lpwstr>
  </property>
</Properties>
</file>