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（服务类）</w:t>
      </w:r>
      <w:r>
        <w:rPr>
          <w:rFonts w:hint="eastAsia" w:ascii="宋体" w:hAnsi="宋体"/>
          <w:b/>
          <w:color w:val="000000" w:themeColor="text1"/>
          <w:sz w:val="52"/>
          <w:szCs w:val="52"/>
          <w:highlight w:val="none"/>
          <w:lang w:val="en-US" w:eastAsia="zh-CN"/>
          <w14:textFill>
            <w14:solidFill>
              <w14:schemeClr w14:val="tx1"/>
            </w14:solidFill>
          </w14:textFill>
        </w:rPr>
        <w:t xml:space="preserve">   </w:t>
      </w: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pPr>
        <w:spacing w:line="360" w:lineRule="auto"/>
        <w:ind w:firstLine="1303" w:firstLineChars="543"/>
        <w:rPr>
          <w:rFonts w:hint="eastAsia" w:ascii="宋体" w:hAnsi="宋体"/>
          <w:color w:val="000000" w:themeColor="text1"/>
          <w:sz w:val="24"/>
          <w:szCs w:val="24"/>
          <w:highlight w:val="none"/>
          <w14:textFill>
            <w14:solidFill>
              <w14:schemeClr w14:val="tx1"/>
            </w14:solidFill>
          </w14:textFill>
        </w:rPr>
      </w:pPr>
    </w:p>
    <w:p>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pPr>
        <w:spacing w:line="360" w:lineRule="auto"/>
        <w:ind w:firstLine="1966" w:firstLineChars="445"/>
        <w:rPr>
          <w:rFonts w:hint="eastAsia" w:ascii="宋体" w:hAnsi="宋体"/>
          <w:b/>
          <w:color w:val="000000" w:themeColor="text1"/>
          <w:sz w:val="44"/>
          <w:highlight w:val="none"/>
          <w14:textFill>
            <w14:solidFill>
              <w14:schemeClr w14:val="tx1"/>
            </w14:solidFill>
          </w14:textFill>
        </w:rPr>
      </w:pPr>
    </w:p>
    <w:p>
      <w:pPr>
        <w:spacing w:line="360" w:lineRule="auto"/>
        <w:rPr>
          <w:rFonts w:hint="eastAsia"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项目编号：</w:t>
      </w:r>
      <w:r>
        <w:rPr>
          <w:rFonts w:hint="eastAsia" w:ascii="宋体" w:hAnsi="宋体"/>
          <w:b/>
          <w:bCs/>
          <w:color w:val="000000" w:themeColor="text1"/>
          <w:sz w:val="44"/>
          <w:szCs w:val="44"/>
          <w:highlight w:val="none"/>
          <w:lang w:eastAsia="zh-CN"/>
          <w14:textFill>
            <w14:solidFill>
              <w14:schemeClr w14:val="tx1"/>
            </w14:solidFill>
          </w14:textFill>
        </w:rPr>
        <w:t>XM2024-TZ0320C1</w:t>
      </w:r>
    </w:p>
    <w:p>
      <w:pPr>
        <w:spacing w:line="360" w:lineRule="auto"/>
        <w:rPr>
          <w:rFonts w:hint="eastAsia"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项目名称：</w:t>
      </w:r>
      <w:r>
        <w:rPr>
          <w:rFonts w:hint="eastAsia" w:ascii="宋体" w:hAnsi="宋体"/>
          <w:b/>
          <w:color w:val="000000" w:themeColor="text1"/>
          <w:sz w:val="44"/>
          <w:highlight w:val="none"/>
          <w:lang w:val="en-US" w:eastAsia="zh-CN"/>
          <w14:textFill>
            <w14:solidFill>
              <w14:schemeClr w14:val="tx1"/>
            </w14:solidFill>
          </w14:textFill>
        </w:rPr>
        <w:t>GE  670型ECT保修</w:t>
      </w:r>
    </w:p>
    <w:p>
      <w:pPr>
        <w:spacing w:line="360" w:lineRule="auto"/>
        <w:jc w:val="center"/>
        <w:rPr>
          <w:rFonts w:hint="eastAsia" w:ascii="宋体" w:hAnsi="宋体"/>
          <w:b/>
          <w:color w:val="000000" w:themeColor="text1"/>
          <w:sz w:val="44"/>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w:t>
      </w:r>
      <w:r>
        <w:rPr>
          <w:rFonts w:hint="eastAsia" w:ascii="宋体" w:hAnsi="宋体"/>
          <w:b/>
          <w:color w:val="000000" w:themeColor="text1"/>
          <w:sz w:val="32"/>
          <w:szCs w:val="32"/>
          <w:highlight w:val="none"/>
          <w:lang w:eastAsia="zh-CN"/>
          <w14:textFill>
            <w14:solidFill>
              <w14:schemeClr w14:val="tx1"/>
            </w14:solidFill>
          </w14:textFill>
        </w:rPr>
        <w:t>厦门大学附属中山医院</w:t>
      </w:r>
    </w:p>
    <w:p>
      <w:pPr>
        <w:spacing w:line="360" w:lineRule="auto"/>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w:t>
      </w:r>
      <w:r>
        <w:rPr>
          <w:rFonts w:hint="eastAsia" w:ascii="宋体" w:hAnsi="宋体"/>
          <w:b/>
          <w:bCs/>
          <w:color w:val="000000" w:themeColor="text1"/>
          <w:sz w:val="32"/>
          <w:highlight w:val="none"/>
          <w14:textFill>
            <w14:solidFill>
              <w14:schemeClr w14:val="tx1"/>
            </w14:solidFill>
          </w14:textFill>
        </w:rPr>
        <w:t>厦门万翔招标有限公司</w:t>
      </w: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default" w:ascii="宋体" w:hAnsi="宋体" w:eastAsia="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 xml:space="preserve">2024 </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7月</w:t>
      </w:r>
    </w:p>
    <w:p>
      <w:pPr>
        <w:spacing w:line="360" w:lineRule="auto"/>
        <w:jc w:val="center"/>
        <w:rPr>
          <w:rFonts w:hint="eastAsia" w:ascii="宋体" w:hAnsi="宋体"/>
          <w:b/>
          <w:color w:val="000000" w:themeColor="text1"/>
          <w:sz w:val="36"/>
          <w:szCs w:val="36"/>
          <w:highlight w:val="none"/>
          <w14:textFill>
            <w14:solidFill>
              <w14:schemeClr w14:val="tx1"/>
            </w14:solidFill>
          </w14:textFill>
        </w:rPr>
      </w:pPr>
    </w:p>
    <w:p>
      <w:pPr>
        <w:pStyle w:val="20"/>
        <w:rPr>
          <w:rFonts w:hint="eastAsia" w:ascii="宋体" w:hAnsi="宋体"/>
          <w:b/>
          <w:color w:val="000000" w:themeColor="text1"/>
          <w:sz w:val="36"/>
          <w:szCs w:val="36"/>
          <w:highlight w:val="none"/>
          <w14:textFill>
            <w14:solidFill>
              <w14:schemeClr w14:val="tx1"/>
            </w14:solidFill>
          </w14:textFill>
        </w:rPr>
      </w:pPr>
    </w:p>
    <w:p>
      <w:pPr>
        <w:pStyle w:val="20"/>
        <w:rPr>
          <w:rFonts w:hint="eastAsia" w:ascii="宋体" w:hAnsi="宋体"/>
          <w:b/>
          <w:color w:val="000000" w:themeColor="text1"/>
          <w:sz w:val="36"/>
          <w:szCs w:val="36"/>
          <w:highlight w:val="none"/>
          <w14:textFill>
            <w14:solidFill>
              <w14:schemeClr w14:val="tx1"/>
            </w14:solidFill>
          </w14:textFill>
        </w:rPr>
      </w:pPr>
    </w:p>
    <w:p>
      <w:pPr>
        <w:pStyle w:val="5"/>
        <w:spacing w:line="360" w:lineRule="auto"/>
        <w:ind w:firstLine="0"/>
        <w:jc w:val="center"/>
        <w:rPr>
          <w:rFonts w:hint="eastAsia" w:cs="Arial"/>
          <w:b/>
          <w:bCs/>
          <w:color w:val="000000" w:themeColor="text1"/>
          <w:sz w:val="32"/>
          <w:highlight w:val="none"/>
          <w:lang w:eastAsia="zh-CN"/>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第一章  磋商邀请</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900"/>
        </w:tabs>
        <w:spacing w:line="360" w:lineRule="auto"/>
        <w:ind w:firstLine="480"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eastAsia="宋体" w:cs="宋体"/>
          <w:color w:val="000000" w:themeColor="text1"/>
          <w:sz w:val="24"/>
          <w:szCs w:val="24"/>
          <w:highlight w:val="none"/>
          <w14:textFill>
            <w14:solidFill>
              <w14:schemeClr w14:val="tx1"/>
            </w14:solidFill>
          </w14:textFill>
        </w:rPr>
        <w:t>受采购人</w:t>
      </w:r>
      <w:r>
        <w:rPr>
          <w:rFonts w:hint="eastAsia" w:ascii="宋体" w:hAnsi="宋体" w:cs="宋体"/>
          <w:b/>
          <w:color w:val="000000" w:themeColor="text1"/>
          <w:sz w:val="24"/>
          <w:szCs w:val="24"/>
          <w:highlight w:val="none"/>
          <w:u w:val="single"/>
          <w:lang w:eastAsia="zh-CN"/>
          <w14:textFill>
            <w14:solidFill>
              <w14:schemeClr w14:val="tx1"/>
            </w14:solidFill>
          </w14:textFill>
        </w:rPr>
        <w:t>厦门大学附属中山医院</w:t>
      </w:r>
      <w:r>
        <w:rPr>
          <w:rFonts w:hint="eastAsia" w:ascii="宋体" w:hAnsi="宋体" w:eastAsia="宋体" w:cs="宋体"/>
          <w:color w:val="000000" w:themeColor="text1"/>
          <w:sz w:val="24"/>
          <w:szCs w:val="24"/>
          <w:highlight w:val="none"/>
          <w14:textFill>
            <w14:solidFill>
              <w14:schemeClr w14:val="tx1"/>
            </w14:solidFill>
          </w14:textFill>
        </w:rPr>
        <w:t>委托，对</w:t>
      </w:r>
      <w:r>
        <w:rPr>
          <w:rFonts w:hint="eastAsia" w:ascii="宋体" w:hAnsi="宋体" w:cs="宋体"/>
          <w:b/>
          <w:color w:val="000000" w:themeColor="text1"/>
          <w:sz w:val="24"/>
          <w:szCs w:val="24"/>
          <w:highlight w:val="none"/>
          <w:u w:val="single"/>
          <w:lang w:val="en-US" w:eastAsia="zh-CN"/>
          <w14:textFill>
            <w14:solidFill>
              <w14:schemeClr w14:val="tx1"/>
            </w14:solidFill>
          </w14:textFill>
        </w:rPr>
        <w:t>GE  670型ECT保修</w:t>
      </w:r>
      <w:r>
        <w:rPr>
          <w:rFonts w:hint="eastAsia" w:ascii="宋体" w:hAnsi="宋体" w:eastAsia="宋体" w:cs="宋体"/>
          <w:bCs/>
          <w:color w:val="000000" w:themeColor="text1"/>
          <w:sz w:val="24"/>
          <w:szCs w:val="24"/>
          <w:highlight w:val="none"/>
          <w14:textFill>
            <w14:solidFill>
              <w14:schemeClr w14:val="tx1"/>
            </w14:solidFill>
          </w14:textFill>
        </w:rPr>
        <w:t>项目的采购</w:t>
      </w:r>
      <w:r>
        <w:rPr>
          <w:rFonts w:hint="eastAsia" w:ascii="宋体" w:hAnsi="宋体" w:eastAsia="宋体" w:cs="宋体"/>
          <w:color w:val="000000" w:themeColor="text1"/>
          <w:sz w:val="24"/>
          <w:szCs w:val="24"/>
          <w:highlight w:val="none"/>
          <w14:textFill>
            <w14:solidFill>
              <w14:schemeClr w14:val="tx1"/>
            </w14:solidFill>
          </w14:textFill>
        </w:rPr>
        <w:t>采用</w:t>
      </w:r>
      <w:r>
        <w:rPr>
          <w:rFonts w:hint="eastAsia" w:ascii="宋体" w:hAnsi="宋体" w:eastAsia="宋体" w:cs="宋体"/>
          <w:b/>
          <w:color w:val="000000" w:themeColor="text1"/>
          <w:sz w:val="24"/>
          <w:szCs w:val="24"/>
          <w:highlight w:val="none"/>
          <w:u w:val="single"/>
          <w14:textFill>
            <w14:solidFill>
              <w14:schemeClr w14:val="tx1"/>
            </w14:solidFill>
          </w14:textFill>
        </w:rPr>
        <w:t>竞争性磋商方式</w:t>
      </w:r>
      <w:r>
        <w:rPr>
          <w:rFonts w:hint="eastAsia" w:ascii="宋体" w:hAnsi="宋体" w:eastAsia="宋体" w:cs="宋体"/>
          <w:color w:val="000000" w:themeColor="text1"/>
          <w:sz w:val="24"/>
          <w:szCs w:val="24"/>
          <w:highlight w:val="none"/>
          <w14:textFill>
            <w14:solidFill>
              <w14:schemeClr w14:val="tx1"/>
            </w14:solidFill>
          </w14:textFill>
        </w:rPr>
        <w:t>进行。现欢迎国内合格报价人密封提交报价文件。</w:t>
      </w:r>
    </w:p>
    <w:p>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w:t>
      </w:r>
      <w:r>
        <w:rPr>
          <w:rFonts w:hint="eastAsia" w:ascii="宋体" w:hAnsi="宋体" w:cs="宋体"/>
          <w:color w:val="000000" w:themeColor="text1"/>
          <w:sz w:val="24"/>
          <w:szCs w:val="24"/>
          <w:highlight w:val="none"/>
          <w:lang w:eastAsia="zh-CN"/>
          <w14:textFill>
            <w14:solidFill>
              <w14:schemeClr w14:val="tx1"/>
            </w14:solidFill>
          </w14:textFill>
        </w:rPr>
        <w:t>XM2024-TZ0320C1</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2.采购服务名称、数量及主要技术规格：见后附采购服务一览表。</w:t>
      </w:r>
    </w:p>
    <w:p>
      <w:pPr>
        <w:spacing w:line="360" w:lineRule="auto"/>
        <w:ind w:left="69" w:leftChars="33"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lang w:eastAsia="zh-CN"/>
          <w14:textFill>
            <w14:solidFill>
              <w14:schemeClr w14:val="tx1"/>
            </w14:solidFill>
          </w14:textFill>
        </w:rPr>
        <w:t>2024</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2024</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日(节假日除外)上午8：30至12：00，下午2：00至5：30（北京时间）在</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eastAsia="宋体" w:cs="宋体"/>
          <w:color w:val="000000" w:themeColor="text1"/>
          <w:sz w:val="24"/>
          <w:szCs w:val="24"/>
          <w:highlight w:val="none"/>
          <w14:textFill>
            <w14:solidFill>
              <w14:schemeClr w14:val="tx1"/>
            </w14:solidFill>
          </w14:textFill>
        </w:rPr>
        <w:t>购买采购文件，联系人及电话：</w:t>
      </w:r>
      <w:r>
        <w:rPr>
          <w:rFonts w:hint="eastAsia" w:ascii="宋体" w:hAnsi="宋体" w:cs="宋体"/>
          <w:color w:val="000000" w:themeColor="text1"/>
          <w:sz w:val="24"/>
          <w:szCs w:val="24"/>
          <w:highlight w:val="none"/>
          <w:lang w:eastAsia="zh-CN"/>
          <w14:textFill>
            <w14:solidFill>
              <w14:schemeClr w14:val="tx1"/>
            </w14:solidFill>
          </w14:textFill>
        </w:rPr>
        <w:t>蒋小姐</w:t>
      </w:r>
      <w:r>
        <w:rPr>
          <w:rFonts w:hint="eastAsia" w:ascii="宋体" w:hAnsi="宋体" w:eastAsia="宋体" w:cs="宋体"/>
          <w:color w:val="000000" w:themeColor="text1"/>
          <w:sz w:val="24"/>
          <w:szCs w:val="24"/>
          <w:highlight w:val="none"/>
          <w14:textFill>
            <w14:solidFill>
              <w14:schemeClr w14:val="tx1"/>
            </w14:solidFill>
          </w14:textFill>
        </w:rPr>
        <w:t>0592-2219823。</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4.采购文件售价</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合同包</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元人民币，邮寄费人民币50元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售后不退。</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5.报价文件提交截止时间：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14:textFill>
            <w14:solidFill>
              <w14:schemeClr w14:val="tx1"/>
            </w14:solidFill>
          </w14:textFill>
        </w:rPr>
        <w:t xml:space="preserve">0（时间） </w:t>
      </w:r>
      <w:r>
        <w:rPr>
          <w:rFonts w:hint="eastAsia" w:ascii="宋体" w:hAnsi="宋体" w:eastAsia="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eastAsia="宋体" w:cs="宋体"/>
          <w:color w:val="000000" w:themeColor="text1"/>
          <w:sz w:val="24"/>
          <w:szCs w:val="24"/>
          <w:highlight w:val="none"/>
          <w14:textFill>
            <w14:solidFill>
              <w14:schemeClr w14:val="tx1"/>
            </w14:solidFill>
          </w14:textFill>
        </w:rPr>
        <w:t>，逾期收到的或不符合规定的报价文件将被拒绝。</w:t>
      </w:r>
    </w:p>
    <w:p>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7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29</w:t>
      </w:r>
      <w:bookmarkStart w:id="18" w:name="_GoBack"/>
      <w:bookmarkEnd w:id="18"/>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14:textFill>
            <w14:solidFill>
              <w14:schemeClr w14:val="tx1"/>
            </w14:solidFill>
          </w14:textFill>
        </w:rPr>
        <w:t>0（时间）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8.以上信息如有变更，</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将通过中国政府采购网</w:t>
      </w:r>
      <w:r>
        <w:rPr>
          <w:rFonts w:hint="eastAsia" w:ascii="宋体" w:hAnsi="宋体" w:eastAsia="宋体" w:cs="宋体"/>
          <w:bCs/>
          <w:color w:val="000000" w:themeColor="text1"/>
          <w:sz w:val="24"/>
          <w:szCs w:val="24"/>
          <w:highlight w:val="none"/>
          <w14:textFill>
            <w14:solidFill>
              <w14:schemeClr w14:val="tx1"/>
            </w14:solidFill>
          </w14:textFill>
        </w:rPr>
        <w:t>等信息发布媒体通知,</w:t>
      </w:r>
      <w:r>
        <w:rPr>
          <w:rFonts w:hint="eastAsia" w:ascii="宋体" w:hAnsi="宋体" w:eastAsia="宋体" w:cs="宋体"/>
          <w:color w:val="000000" w:themeColor="text1"/>
          <w:sz w:val="24"/>
          <w:szCs w:val="24"/>
          <w:highlight w:val="none"/>
          <w14:textFill>
            <w14:solidFill>
              <w14:schemeClr w14:val="tx1"/>
            </w14:solidFill>
          </w14:textFill>
        </w:rPr>
        <w:t>请报价人关注。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9.本项目（不接受）联合体报价。</w:t>
      </w:r>
    </w:p>
    <w:p>
      <w:pPr>
        <w:tabs>
          <w:tab w:val="left" w:pos="114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10.各有关联系方式</w:t>
      </w:r>
    </w:p>
    <w:tbl>
      <w:tblPr>
        <w:tblStyle w:val="22"/>
        <w:tblW w:w="8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3"/>
        <w:gridCol w:w="1008"/>
        <w:gridCol w:w="1303"/>
        <w:gridCol w:w="2539"/>
        <w:gridCol w:w="27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1008"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许先生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lang w:val="en-US" w:eastAsia="zh-CN"/>
                <w14:textFill>
                  <w14:solidFill>
                    <w14:schemeClr w14:val="tx1"/>
                  </w14:solidFill>
                </w14:textFill>
              </w:rPr>
              <w:t>5719732</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欢迎报价人对项目采购过程中公告发布、采购文件购买、磋商保证金缴交和退还、</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电话0592-2298125</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"mailto:邮箱hcq@iport.com.cn"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邮箱hcq@iport.com.cn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1008"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0592-2219823</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bl>
    <w:p>
      <w:pPr>
        <w:tabs>
          <w:tab w:val="left" w:pos="1140"/>
        </w:tabs>
        <w:spacing w:line="360" w:lineRule="auto"/>
        <w:ind w:left="42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11.磋商保证金及</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、文件费缴交账户：</w:t>
      </w:r>
    </w:p>
    <w:tbl>
      <w:tblPr>
        <w:tblStyle w:val="22"/>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702"/>
        <w:gridCol w:w="41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类   别</w:t>
            </w:r>
          </w:p>
        </w:tc>
        <w:tc>
          <w:tcPr>
            <w:tcW w:w="3702"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磋商保证金缴交账户</w:t>
            </w:r>
          </w:p>
        </w:tc>
        <w:tc>
          <w:tcPr>
            <w:tcW w:w="4137"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文件费、</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地址：厦门市湖里区机场北路476号四楼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邮编：361006</w:t>
      </w:r>
    </w:p>
    <w:p>
      <w:pPr>
        <w:pStyle w:val="7"/>
        <w:spacing w:after="0" w:line="360" w:lineRule="auto"/>
        <w:ind w:right="600"/>
        <w:jc w:val="right"/>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附：采购服务一览表</w:t>
      </w:r>
    </w:p>
    <w:tbl>
      <w:tblPr>
        <w:tblStyle w:val="22"/>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45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851"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品目号</w:t>
            </w:r>
          </w:p>
        </w:tc>
        <w:tc>
          <w:tcPr>
            <w:tcW w:w="1124"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70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2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技术规格及要求(服务要求)</w:t>
            </w:r>
          </w:p>
        </w:tc>
        <w:tc>
          <w:tcPr>
            <w:tcW w:w="1454" w:type="dxa"/>
            <w:noWrap w:val="0"/>
            <w:vAlign w:val="center"/>
          </w:tcPr>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服务时间</w:t>
            </w:r>
          </w:p>
        </w:tc>
        <w:tc>
          <w:tcPr>
            <w:tcW w:w="1179"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noWrap w:val="0"/>
            <w:vAlign w:val="center"/>
          </w:tcPr>
          <w:p>
            <w:pPr>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XM2024-TZ0320C1</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851"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12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GE  670型ECT保修</w:t>
            </w:r>
          </w:p>
        </w:tc>
        <w:tc>
          <w:tcPr>
            <w:tcW w:w="704" w:type="dxa"/>
            <w:noWrap w:val="0"/>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1项</w:t>
            </w:r>
          </w:p>
        </w:tc>
        <w:tc>
          <w:tcPr>
            <w:tcW w:w="142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454" w:type="dxa"/>
            <w:noWrap w:val="0"/>
            <w:vAlign w:val="center"/>
          </w:tcPr>
          <w:p>
            <w:pPr>
              <w:spacing w:line="360" w:lineRule="auto"/>
              <w:ind w:right="171"/>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179" w:type="dxa"/>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92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服务范围</w:t>
            </w:r>
          </w:p>
        </w:tc>
        <w:tc>
          <w:tcPr>
            <w:tcW w:w="6738" w:type="dxa"/>
            <w:gridSpan w:val="6"/>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服务要求</w:t>
            </w:r>
          </w:p>
        </w:tc>
        <w:tc>
          <w:tcPr>
            <w:tcW w:w="6738" w:type="dxa"/>
            <w:gridSpan w:val="6"/>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服务标准</w:t>
            </w:r>
          </w:p>
        </w:tc>
        <w:tc>
          <w:tcPr>
            <w:tcW w:w="6738" w:type="dxa"/>
            <w:gridSpan w:val="6"/>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r>
    </w:tbl>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rPr>
          <w:rFonts w:hint="eastAsia" w:hAnsi="宋体" w:eastAsia="宋体" w:cs="宋体"/>
          <w:b/>
          <w:color w:val="000000" w:themeColor="text1"/>
          <w:sz w:val="24"/>
          <w:highlight w:val="none"/>
          <w14:textFill>
            <w14:solidFill>
              <w14:schemeClr w14:val="tx1"/>
            </w14:solidFill>
          </w14:textFill>
        </w:rPr>
      </w:pPr>
    </w:p>
    <w:p>
      <w:pPr>
        <w:pStyle w:val="64"/>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第二章  报价人须知</w:t>
      </w:r>
    </w:p>
    <w:p>
      <w:pPr>
        <w:pStyle w:val="64"/>
        <w:spacing w:line="360" w:lineRule="auto"/>
        <w:rPr>
          <w:rFonts w:hint="eastAsia" w:hAnsi="宋体" w:eastAsia="宋体" w:cs="宋体"/>
          <w:color w:val="000000" w:themeColor="text1"/>
          <w:highlight w:val="none"/>
          <w14:textFill>
            <w14:solidFill>
              <w14:schemeClr w14:val="tx1"/>
            </w14:solidFill>
          </w14:textFill>
        </w:rPr>
      </w:pPr>
    </w:p>
    <w:p>
      <w:pPr>
        <w:pStyle w:val="64"/>
        <w:spacing w:line="360" w:lineRule="auto"/>
        <w:rPr>
          <w:rFonts w:hint="eastAsia" w:hAnsi="宋体" w:eastAsia="宋体" w:cs="宋体"/>
          <w:color w:val="000000" w:themeColor="text1"/>
          <w:highlight w:val="none"/>
          <w14:textFill>
            <w14:solidFill>
              <w14:schemeClr w14:val="tx1"/>
            </w14:solidFill>
          </w14:textFill>
        </w:rPr>
      </w:pPr>
    </w:p>
    <w:p>
      <w:pPr>
        <w:pStyle w:val="64"/>
        <w:spacing w:line="360" w:lineRule="auto"/>
        <w:rPr>
          <w:rFonts w:hint="eastAsia" w:hAnsi="宋体" w:eastAsia="宋体" w:cs="宋体"/>
          <w:color w:val="000000" w:themeColor="text1"/>
          <w:highlight w:val="none"/>
          <w14:textFill>
            <w14:solidFill>
              <w14:schemeClr w14:val="tx1"/>
            </w14:solidFill>
          </w14:textFill>
        </w:rPr>
      </w:pPr>
    </w:p>
    <w:tbl>
      <w:tblPr>
        <w:tblStyle w:val="2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360" w:firstLineChars="1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tc>
      </w:tr>
    </w:tbl>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报价人须知前附表1</w:t>
      </w:r>
    </w:p>
    <w:p>
      <w:pPr>
        <w:spacing w:line="360" w:lineRule="auto"/>
        <w:ind w:firstLine="5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GE  670型ECT保修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采购人名称：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厦门大学附属中山医院</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采购人地址：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厦门市思明区湖滨南路201-209号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GE  670型ECT保修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lang w:eastAsia="zh-CN"/>
                <w14:textFill>
                  <w14:solidFill>
                    <w14:schemeClr w14:val="tx1"/>
                  </w14:solidFill>
                </w14:textFill>
              </w:rPr>
              <w:t>XM2024-TZ0320C1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报价有效期：报价截止之日起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报价文件递交地址：</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厦门市湖里区机场北路476号四楼开标厅</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接收人：</w:t>
            </w:r>
            <w:r>
              <w:rPr>
                <w:rFonts w:hint="eastAsia" w:ascii="宋体" w:hAnsi="宋体" w:cs="宋体"/>
                <w:color w:val="000000" w:themeColor="text1"/>
                <w:sz w:val="24"/>
                <w:szCs w:val="24"/>
                <w:highlight w:val="none"/>
                <w:lang w:val="en-US" w:eastAsia="zh-CN"/>
                <w14:textFill>
                  <w14:solidFill>
                    <w14:schemeClr w14:val="tx1"/>
                  </w14:solidFill>
                </w14:textFill>
              </w:rPr>
              <w:t>许先生</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磋商保证金：报价文件应附有人民币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8000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磋商规则、评审标准：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标准及收取方式：</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成交金额(万元)</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（100－500]</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0.704%</w:t>
                  </w:r>
                </w:p>
              </w:tc>
            </w:tr>
          </w:tbl>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cs="宋体"/>
                <w:color w:val="000000" w:themeColor="text1"/>
                <w:sz w:val="24"/>
                <w:szCs w:val="24"/>
                <w:highlight w:val="none"/>
                <w14:textFill>
                  <w14:solidFill>
                    <w14:schemeClr w14:val="tx1"/>
                  </w14:solidFill>
                </w14:textFill>
              </w:rPr>
              <w:t>代理服务费的收取按差额定率累进法计算,由成交供应商支付。</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2、成交供应商以转账或汇款方式提交。</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3、成交供应商为中小企业的，其</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服务收费标准下浮10%进行支付。</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(为方便</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的核对，请在银行汇款凭证上标注项目标号如 ：</w:t>
            </w:r>
            <w:r>
              <w:rPr>
                <w:rFonts w:hint="eastAsia" w:ascii="宋体" w:hAnsi="宋体" w:eastAsia="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jc w:val="center"/>
        <w:rPr>
          <w:rFonts w:hint="eastAsia" w:ascii="宋体" w:hAnsi="宋体" w:eastAsia="宋体" w:cs="宋体"/>
          <w:b/>
          <w:bCs/>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报价人须知前附表2:资格性、符合性检查表</w:t>
      </w:r>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（1）报价人提供营业执照（副本）复印件（加盖公章）的复印件，提供组织机构代码证复印件。报价人已提供加载有统一社会信用代码营业执照的，视为已提供税务登记证和组织机构代码证。</w:t>
            </w:r>
          </w:p>
          <w:p>
            <w:pPr>
              <w:spacing w:line="360" w:lineRule="auto"/>
              <w:ind w:firstLine="48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（2）报价人全权代表若不是单位负责人，应提供报价单位授权书原件，并提供被授权代表身份证复印件。</w:t>
            </w:r>
          </w:p>
          <w:p>
            <w:pPr>
              <w:pStyle w:val="57"/>
              <w:spacing w:line="360" w:lineRule="auto"/>
              <w:ind w:firstLine="560"/>
              <w:rPr>
                <w:rFonts w:hint="eastAsia" w:eastAsia="宋体"/>
                <w:b/>
                <w:bCs/>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3</w:t>
            </w:r>
            <w:r>
              <w:rPr>
                <w:rFonts w:hint="eastAsia" w:eastAsia="宋体"/>
                <w:color w:val="000000" w:themeColor="text1"/>
                <w:sz w:val="24"/>
                <w:szCs w:val="24"/>
                <w:highlight w:val="none"/>
                <w14:textFill>
                  <w14:solidFill>
                    <w14:schemeClr w14:val="tx1"/>
                  </w14:solidFill>
                </w14:textFill>
              </w:rPr>
              <w:t>）</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w:t>
            </w:r>
            <w:r>
              <w:rPr>
                <w:rFonts w:hint="eastAsia" w:eastAsia="宋体"/>
                <w:b/>
                <w:bCs/>
                <w:color w:val="000000" w:themeColor="text1"/>
                <w:sz w:val="24"/>
                <w:szCs w:val="24"/>
                <w:highlight w:val="none"/>
                <w14:textFill>
                  <w14:solidFill>
                    <w14:schemeClr w14:val="tx1"/>
                  </w14:solidFill>
                </w14:textFill>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602" w:firstLineChars="25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3.5</w:t>
            </w:r>
            <w:r>
              <w:rPr>
                <w:rFonts w:hint="eastAsia" w:ascii="宋体" w:hAnsi="宋体" w:cs="宋体"/>
                <w:b/>
                <w:bCs/>
                <w:color w:val="000000" w:themeColor="text1"/>
                <w:sz w:val="24"/>
                <w:szCs w:val="24"/>
                <w:highlight w:val="none"/>
                <w:lang w:val="en-US" w:eastAsia="zh-CN"/>
                <w14:textFill>
                  <w14:solidFill>
                    <w14:schemeClr w14:val="tx1"/>
                  </w14:solidFill>
                </w14:textFill>
              </w:rPr>
              <w:t>本项目不接受联合体磋商，否则作无效报价处理。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存在不良信用记录（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8.要求</w:t>
            </w:r>
          </w:p>
          <w:p>
            <w:pPr>
              <w:pStyle w:val="9"/>
              <w:spacing w:line="360" w:lineRule="auto"/>
              <w:ind w:firstLine="48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报价文件有效期：</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13.7未按本须知规定的格式填写报价文件、报价文件字迹模糊不清的，其磋商响应将被拒绝。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pPr>
              <w:pStyle w:val="66"/>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14.5报价文件应在磋商邀请中规定的截止时间前送达，迟到的报价文件为无效报价文件，将被拒绝。</w:t>
            </w:r>
          </w:p>
          <w:p>
            <w:pPr>
              <w:pStyle w:val="66"/>
              <w:spacing w:line="360" w:lineRule="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14.7报价人在磋商响应截止期后不得修改、撤回报价文件。报价人在报价截止期后修改报价文件的，其磋商响应将被拒绝。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9"/>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17.4报价人提交的报价文件将给予保密，但不予退回。</w:t>
            </w:r>
          </w:p>
          <w:p>
            <w:pPr>
              <w:pStyle w:val="5"/>
              <w:snapToGrid w:val="0"/>
              <w:spacing w:line="360" w:lineRule="auto"/>
              <w:ind w:firstLine="480" w:firstLineChars="200"/>
              <w:outlineLvl w:val="0"/>
              <w:rPr>
                <w:rFonts w:hint="eastAsia"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报价人应按照采购文件格式要求在</w:t>
            </w:r>
            <w:r>
              <w:rPr>
                <w:rFonts w:hint="eastAsia" w:ascii="宋体" w:hAnsi="宋体" w:eastAsia="宋体" w:cs="宋体"/>
                <w:color w:val="000000" w:themeColor="text1"/>
                <w:sz w:val="24"/>
                <w:szCs w:val="24"/>
                <w:highlight w:val="none"/>
                <w14:textFill>
                  <w14:solidFill>
                    <w14:schemeClr w14:val="tx1"/>
                  </w14:solidFill>
                </w14:textFill>
              </w:rPr>
              <w:t>报价文件</w:t>
            </w:r>
            <w:r>
              <w:rPr>
                <w:rFonts w:hint="eastAsia" w:ascii="宋体" w:hAnsi="宋体" w:eastAsia="宋体" w:cs="宋体"/>
                <w:bCs/>
                <w:color w:val="000000" w:themeColor="text1"/>
                <w:sz w:val="24"/>
                <w:szCs w:val="24"/>
                <w:highlight w:val="none"/>
                <w14:textFill>
                  <w14:solidFill>
                    <w14:schemeClr w14:val="tx1"/>
                  </w14:solidFill>
                </w14:textFill>
              </w:rPr>
              <w:t>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成交供应商必须凭成交通知书的原件与采购人签订《采购合同》。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firstLine="0" w:firstLineChars="0"/>
        <w:rPr>
          <w:rStyle w:val="25"/>
          <w:rFonts w:hint="eastAsia" w:ascii="宋体" w:hAnsi="宋体" w:eastAsia="宋体" w:cs="宋体"/>
          <w:bCs w:val="0"/>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带 “*”条款汇总表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 xml:space="preserve">对于采购文件中的重要技术条款（带*技术条款），报价人应在报价文件中提供其磋商服务满足采购文件重要技术条款要求的客观证据材料。未按要求提供证据材料的，磋商小组将认定不满足该项要求。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项号</w:t>
            </w:r>
          </w:p>
        </w:tc>
        <w:tc>
          <w:tcPr>
            <w:tcW w:w="457"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章</w:t>
            </w:r>
          </w:p>
        </w:tc>
        <w:tc>
          <w:tcPr>
            <w:tcW w:w="992"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6546"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7"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46" w:type="dxa"/>
            <w:noWrap w:val="0"/>
            <w:vAlign w:val="top"/>
          </w:tcPr>
          <w:p>
            <w:pPr>
              <w:widowControl/>
              <w:spacing w:line="360" w:lineRule="auto"/>
              <w:ind w:firstLine="482"/>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7"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46" w:type="dxa"/>
            <w:noWrap w:val="0"/>
            <w:vAlign w:val="top"/>
          </w:tcPr>
          <w:p>
            <w:pPr>
              <w:spacing w:line="360" w:lineRule="auto"/>
              <w:ind w:firstLine="354" w:firstLineChars="147"/>
              <w:rPr>
                <w:rFonts w:hint="eastAsia" w:ascii="宋体" w:hAnsi="宋体" w:eastAsia="宋体" w:cs="宋体"/>
                <w:b/>
                <w:color w:val="000000" w:themeColor="text1"/>
                <w:sz w:val="24"/>
                <w:szCs w:val="24"/>
                <w:highlight w:val="none"/>
                <w14:textFill>
                  <w14:solidFill>
                    <w14:schemeClr w14:val="tx1"/>
                  </w14:solidFill>
                </w14:textFill>
              </w:rPr>
            </w:pPr>
          </w:p>
        </w:tc>
      </w:tr>
    </w:tbl>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u w:val="single"/>
          <w14:textFill>
            <w14:solidFill>
              <w14:schemeClr w14:val="tx1"/>
            </w14:solidFill>
          </w14:textFill>
        </w:rPr>
        <w:t>报价人须知前附表3：磋商规则、评审标准</w:t>
      </w:r>
    </w:p>
    <w:tbl>
      <w:tblPr>
        <w:tblStyle w:val="2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noWrap w:val="0"/>
            <w:vAlign w:val="top"/>
          </w:tcPr>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一、磋商规则: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pPr>
              <w:spacing w:line="360" w:lineRule="auto"/>
              <w:ind w:left="55" w:leftChars="26" w:right="-120" w:rightChars="-57"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确定候选供应商原则</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left="55" w:leftChars="26" w:right="-50" w:rightChars="-2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A.磋商小组采用综合评分的方法确定成交候选供应商，磋商小组按照：综合评分由高到低的顺序</w:t>
            </w:r>
            <w:r>
              <w:rPr>
                <w:rFonts w:hint="eastAsia" w:ascii="宋体" w:hAnsi="宋体" w:eastAsia="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成交候选供应商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 xml:space="preserve">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 成交候选供应商的数量≥3个；</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pPr>
              <w:spacing w:line="360" w:lineRule="auto"/>
              <w:ind w:left="55" w:leftChars="26" w:right="-50" w:rightChars="-2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s="宋体"/>
                <w:color w:val="000000" w:themeColor="text1"/>
                <w:sz w:val="24"/>
                <w:szCs w:val="24"/>
                <w:highlight w:val="none"/>
                <w14:textFill>
                  <w14:solidFill>
                    <w14:schemeClr w14:val="tx1"/>
                  </w14:solidFill>
                </w14:textFill>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tabs>
                <w:tab w:val="left" w:pos="10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二、磋商可能实质性变动的内容：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1.采购需求技术内容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2.采购需求服务内容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合同草案条款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三、磋商评审标准：具体见附件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成交供应商拒绝签订政府采购合同的，采购人可以按照成交候选供应商的排序顺序由高到低</w:t>
            </w:r>
            <w:r>
              <w:rPr>
                <w:rFonts w:hint="eastAsia" w:ascii="宋体" w:hAnsi="宋体" w:eastAsia="宋体" w:cs="宋体"/>
                <w:color w:val="000000" w:themeColor="text1"/>
                <w:sz w:val="24"/>
                <w:szCs w:val="24"/>
                <w:highlight w:val="none"/>
                <w14:textFill>
                  <w14:solidFill>
                    <w14:schemeClr w14:val="tx1"/>
                  </w14:solidFill>
                </w14:textFill>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pPr>
        <w:spacing w:line="360" w:lineRule="auto"/>
        <w:jc w:val="center"/>
        <w:outlineLvl w:val="0"/>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pPr>
      <w:r>
        <w:rPr>
          <w:rFonts w:hint="eastAsia" w:cs="宋体"/>
          <w:b/>
          <w:color w:val="000000" w:themeColor="text1"/>
          <w:sz w:val="24"/>
          <w:szCs w:val="24"/>
          <w:highlight w:val="none"/>
          <w:u w:val="single"/>
          <w:lang w:val="en-US" w:eastAsia="zh-CN"/>
          <w14:textFill>
            <w14:solidFill>
              <w14:schemeClr w14:val="tx1"/>
            </w14:solidFill>
          </w14:textFill>
        </w:rPr>
        <w:t xml:space="preserve"> </w:t>
      </w:r>
    </w:p>
    <w:p>
      <w:pPr>
        <w:pStyle w:val="3"/>
        <w:keepNext w:val="0"/>
        <w:keepLines w:val="0"/>
        <w:tabs>
          <w:tab w:val="center" w:pos="4365"/>
        </w:tabs>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附件：磋商评审标准</w:t>
      </w: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综合评分法：</w:t>
      </w:r>
      <w:r>
        <w:rPr>
          <w:rFonts w:hint="eastAsia" w:ascii="宋体" w:hAnsi="宋体" w:eastAsia="宋体" w:cs="宋体"/>
          <w:color w:val="000000" w:themeColor="text1"/>
          <w:sz w:val="24"/>
          <w:szCs w:val="24"/>
          <w:highlight w:val="none"/>
          <w14:textFill>
            <w14:solidFill>
              <w14:schemeClr w14:val="tx1"/>
            </w14:solidFill>
          </w14:textFill>
        </w:rPr>
        <w:t>综合得分= F1 + F2 + F3</w:t>
      </w:r>
    </w:p>
    <w:p>
      <w:pPr>
        <w:spacing w:line="360" w:lineRule="auto"/>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注：以联合体形式响应磋商的，只能以联合体其中一方具备的条件作为评审依据。报价人在报价文件中必须以联合体的确定一方的条件参与商务部分的评审。</w:t>
      </w:r>
    </w:p>
    <w:p>
      <w:pPr>
        <w:spacing w:line="360" w:lineRule="auto"/>
        <w:outlineLvl w:val="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（一）技术评分（F1）标准（满分</w:t>
      </w:r>
      <w:r>
        <w:rPr>
          <w:rFonts w:hint="eastAsia" w:ascii="宋体" w:hAnsi="宋体" w:cs="宋体"/>
          <w:b/>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b/>
          <w:color w:val="000000" w:themeColor="text1"/>
          <w:sz w:val="24"/>
          <w:szCs w:val="24"/>
          <w:highlight w:val="none"/>
          <w14:textFill>
            <w14:solidFill>
              <w14:schemeClr w14:val="tx1"/>
            </w14:solidFill>
          </w14:textFill>
        </w:rPr>
        <w:t>分）：</w:t>
      </w:r>
    </w:p>
    <w:tbl>
      <w:tblPr>
        <w:tblStyle w:val="2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3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739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评审内容及评分要求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根据供应商对本项目设备的</w:t>
            </w:r>
            <w:r>
              <w:rPr>
                <w:rFonts w:ascii="宋体" w:hAnsi="宋体" w:eastAsia="宋体"/>
                <w:color w:val="000000" w:themeColor="text1"/>
                <w:sz w:val="21"/>
                <w:szCs w:val="21"/>
                <w:highlight w:val="none"/>
                <w14:textFill>
                  <w14:solidFill>
                    <w14:schemeClr w14:val="tx1"/>
                  </w14:solidFill>
                </w14:textFill>
              </w:rPr>
              <w:t>认知、熟悉了解情况进行评价： ①提供</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GE  670型ECT</w:t>
            </w:r>
            <w:r>
              <w:rPr>
                <w:rFonts w:hint="default" w:ascii="宋体" w:hAnsi="宋体" w:eastAsia="宋体" w:cs="Times New Roman"/>
                <w:color w:val="000000" w:themeColor="text1"/>
                <w:szCs w:val="21"/>
                <w:highlight w:val="none"/>
                <w:lang w:val="en-US" w:eastAsia="zh-CN" w:bidi="ar-SA"/>
                <w14:textFill>
                  <w14:solidFill>
                    <w14:schemeClr w14:val="tx1"/>
                  </w14:solidFill>
                </w14:textFill>
              </w:rPr>
              <w:t>维</w:t>
            </w:r>
            <w:r>
              <w:rPr>
                <w:rFonts w:hint="eastAsia" w:ascii="宋体" w:hAnsi="宋体" w:cs="Times New Roman"/>
                <w:color w:val="000000" w:themeColor="text1"/>
                <w:szCs w:val="21"/>
                <w:highlight w:val="none"/>
                <w:lang w:val="en-US" w:eastAsia="zh-CN" w:bidi="ar-SA"/>
                <w14:textFill>
                  <w14:solidFill>
                    <w14:schemeClr w14:val="tx1"/>
                  </w14:solidFill>
                </w14:textFill>
              </w:rPr>
              <w:t>保</w:t>
            </w:r>
            <w:r>
              <w:rPr>
                <w:rFonts w:ascii="宋体" w:hAnsi="宋体" w:eastAsia="宋体"/>
                <w:color w:val="000000" w:themeColor="text1"/>
                <w:sz w:val="21"/>
                <w:szCs w:val="21"/>
                <w:highlight w:val="none"/>
                <w14:textFill>
                  <w14:solidFill>
                    <w14:schemeClr w14:val="tx1"/>
                  </w14:solidFill>
                </w14:textFill>
              </w:rPr>
              <w:t>内容的得1.</w:t>
            </w:r>
            <w:r>
              <w:rPr>
                <w:rFonts w:ascii="宋体" w:hAnsi="宋体"/>
                <w:color w:val="000000" w:themeColor="text1"/>
                <w:sz w:val="21"/>
                <w:szCs w:val="21"/>
                <w:highlight w:val="none"/>
                <w14:textFill>
                  <w14:solidFill>
                    <w14:schemeClr w14:val="tx1"/>
                  </w14:solidFill>
                </w14:textFill>
              </w:rPr>
              <w:t>5分； ②在满足①的基础上，</w:t>
            </w:r>
            <w:r>
              <w:rPr>
                <w:rFonts w:hint="eastAsia" w:ascii="宋体" w:hAnsi="宋体"/>
                <w:color w:val="000000" w:themeColor="text1"/>
                <w:sz w:val="21"/>
                <w:szCs w:val="21"/>
                <w:highlight w:val="none"/>
                <w:lang w:val="en-US" w:eastAsia="zh-CN"/>
                <w14:textFill>
                  <w14:solidFill>
                    <w14:schemeClr w14:val="tx1"/>
                  </w14:solidFill>
                </w14:textFill>
              </w:rPr>
              <w:t>提供</w:t>
            </w:r>
            <w:r>
              <w:rPr>
                <w:rFonts w:ascii="宋体" w:hAnsi="宋体"/>
                <w:color w:val="000000" w:themeColor="text1"/>
                <w:sz w:val="21"/>
                <w:szCs w:val="21"/>
                <w:highlight w:val="none"/>
                <w14:textFill>
                  <w14:solidFill>
                    <w14:schemeClr w14:val="tx1"/>
                  </w14:solidFill>
                </w14:textFill>
              </w:rPr>
              <w:t>本项目维保设备常见故障的得3分；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根据供应商提供的整体</w:t>
            </w:r>
            <w:r>
              <w:rPr>
                <w:rFonts w:hint="eastAsia" w:ascii="宋体" w:hAnsi="宋体"/>
                <w:color w:val="000000" w:themeColor="text1"/>
                <w:sz w:val="21"/>
                <w:szCs w:val="21"/>
                <w:highlight w:val="none"/>
                <w14:textFill>
                  <w14:solidFill>
                    <w14:schemeClr w14:val="tx1"/>
                  </w14:solidFill>
                </w14:textFill>
              </w:rPr>
              <w:t>保养</w:t>
            </w:r>
            <w:r>
              <w:rPr>
                <w:rFonts w:ascii="宋体" w:hAnsi="宋体"/>
                <w:color w:val="000000" w:themeColor="text1"/>
                <w:sz w:val="21"/>
                <w:szCs w:val="21"/>
                <w:highlight w:val="none"/>
                <w14:textFill>
                  <w14:solidFill>
                    <w14:schemeClr w14:val="tx1"/>
                  </w14:solidFill>
                </w14:textFill>
              </w:rPr>
              <w:t>方案进行评分： ①有框架性概述，能够把握重点得1.5分； ②在满足①的基础上，</w:t>
            </w:r>
            <w:r>
              <w:rPr>
                <w:rFonts w:hint="eastAsia" w:ascii="宋体" w:hAnsi="宋体"/>
                <w:color w:val="000000" w:themeColor="text1"/>
                <w:sz w:val="21"/>
                <w:szCs w:val="21"/>
                <w:highlight w:val="none"/>
                <w:lang w:val="en-US" w:eastAsia="zh-CN"/>
                <w14:textFill>
                  <w14:solidFill>
                    <w14:schemeClr w14:val="tx1"/>
                  </w14:solidFill>
                </w14:textFill>
              </w:rPr>
              <w:t>提供</w:t>
            </w:r>
            <w:r>
              <w:rPr>
                <w:rFonts w:ascii="宋体" w:hAnsi="宋体"/>
                <w:color w:val="000000" w:themeColor="text1"/>
                <w:sz w:val="21"/>
                <w:szCs w:val="21"/>
                <w:highlight w:val="none"/>
                <w14:textFill>
                  <w14:solidFill>
                    <w14:schemeClr w14:val="tx1"/>
                  </w14:solidFill>
                </w14:textFill>
              </w:rPr>
              <w:t>落实保修服务的工作细则、流程，</w:t>
            </w:r>
            <w:r>
              <w:rPr>
                <w:rFonts w:hint="eastAsia" w:ascii="宋体" w:hAnsi="宋体"/>
                <w:color w:val="000000" w:themeColor="text1"/>
                <w:sz w:val="21"/>
                <w:szCs w:val="21"/>
                <w:highlight w:val="none"/>
                <w:lang w:val="en-US" w:eastAsia="zh-CN"/>
                <w14:textFill>
                  <w14:solidFill>
                    <w14:schemeClr w14:val="tx1"/>
                  </w14:solidFill>
                </w14:textFill>
              </w:rPr>
              <w:t>及</w:t>
            </w:r>
            <w:r>
              <w:rPr>
                <w:rFonts w:ascii="宋体" w:hAnsi="宋体"/>
                <w:color w:val="000000" w:themeColor="text1"/>
                <w:sz w:val="21"/>
                <w:szCs w:val="21"/>
                <w:highlight w:val="none"/>
                <w14:textFill>
                  <w14:solidFill>
                    <w14:schemeClr w14:val="tx1"/>
                  </w14:solidFill>
                </w14:textFill>
              </w:rPr>
              <w:t>年度服务计划得3分；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根据供应商提供的服务质量保障措施进行评价： ①制定了服务质量保障措施</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得1.5分； ②在满足①的基础上，</w:t>
            </w:r>
            <w:r>
              <w:rPr>
                <w:rFonts w:hint="eastAsia" w:ascii="宋体" w:hAnsi="宋体"/>
                <w:color w:val="000000" w:themeColor="text1"/>
                <w:sz w:val="21"/>
                <w:szCs w:val="21"/>
                <w:highlight w:val="none"/>
                <w:lang w:val="en-US" w:eastAsia="zh-CN"/>
                <w14:textFill>
                  <w14:solidFill>
                    <w14:schemeClr w14:val="tx1"/>
                  </w14:solidFill>
                </w14:textFill>
              </w:rPr>
              <w:t>提供</w:t>
            </w:r>
            <w:r>
              <w:rPr>
                <w:rFonts w:ascii="宋体" w:hAnsi="宋体"/>
                <w:color w:val="000000" w:themeColor="text1"/>
                <w:sz w:val="21"/>
                <w:szCs w:val="21"/>
                <w:highlight w:val="none"/>
                <w14:textFill>
                  <w14:solidFill>
                    <w14:schemeClr w14:val="tx1"/>
                  </w14:solidFill>
                </w14:textFill>
              </w:rPr>
              <w:t>服务过程中的重要环节、关键节点具体的质量控制措施，有相应的人力、物力投入安排，能够确保达到预期服务质量的得3分；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根据供应商提供的应急措施方案进行评分： ①有框架性概述，有具体处理案例或方案得1分； ②在满足①的基础上，具有落实该项服务的工作细则、流程，突出重难点</w:t>
            </w:r>
            <w:r>
              <w:rPr>
                <w:rFonts w:hint="eastAsia" w:ascii="宋体" w:hAnsi="宋体"/>
                <w:color w:val="000000" w:themeColor="text1"/>
                <w:sz w:val="21"/>
                <w:szCs w:val="21"/>
                <w:highlight w:val="none"/>
                <w:lang w:val="en-US" w:eastAsia="zh-CN"/>
                <w14:textFill>
                  <w14:solidFill>
                    <w14:schemeClr w14:val="tx1"/>
                  </w14:solidFill>
                </w14:textFill>
              </w:rPr>
              <w:t>的</w:t>
            </w:r>
            <w:r>
              <w:rPr>
                <w:rFonts w:ascii="宋体" w:hAnsi="宋体"/>
                <w:color w:val="000000" w:themeColor="text1"/>
                <w:sz w:val="21"/>
                <w:szCs w:val="21"/>
                <w:highlight w:val="none"/>
                <w14:textFill>
                  <w14:solidFill>
                    <w14:schemeClr w14:val="tx1"/>
                  </w14:solidFill>
                </w14:textFill>
              </w:rPr>
              <w:t>得</w:t>
            </w:r>
            <w:r>
              <w:rPr>
                <w:rFonts w:hint="eastAsia" w:ascii="宋体" w:hAnsi="宋体"/>
                <w:color w:val="000000" w:themeColor="text1"/>
                <w:sz w:val="21"/>
                <w:szCs w:val="21"/>
                <w:highlight w:val="none"/>
                <w:lang w:val="en-US" w:eastAsia="zh-CN"/>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根据供应商提供的服务团队组织机构、人员配置方案进行评审： ①人员配备合理，</w:t>
            </w:r>
            <w:r>
              <w:rPr>
                <w:rFonts w:hint="eastAsia" w:ascii="宋体" w:hAnsi="宋体"/>
                <w:color w:val="000000" w:themeColor="text1"/>
                <w:sz w:val="21"/>
                <w:szCs w:val="21"/>
                <w:highlight w:val="none"/>
                <w:lang w:val="en-US" w:eastAsia="zh-CN"/>
                <w14:textFill>
                  <w14:solidFill>
                    <w14:schemeClr w14:val="tx1"/>
                  </w14:solidFill>
                </w14:textFill>
              </w:rPr>
              <w:t>具有明确</w:t>
            </w:r>
            <w:r>
              <w:rPr>
                <w:rFonts w:ascii="宋体" w:hAnsi="宋体"/>
                <w:color w:val="000000" w:themeColor="text1"/>
                <w:sz w:val="21"/>
                <w:szCs w:val="21"/>
                <w:highlight w:val="none"/>
                <w14:textFill>
                  <w14:solidFill>
                    <w14:schemeClr w14:val="tx1"/>
                  </w14:solidFill>
                </w14:textFill>
              </w:rPr>
              <w:t>分工职责得</w:t>
            </w:r>
            <w:r>
              <w:rPr>
                <w:rFonts w:hint="eastAsia" w:ascii="宋体" w:hAnsi="宋体"/>
                <w:color w:val="000000" w:themeColor="text1"/>
                <w:sz w:val="21"/>
                <w:szCs w:val="21"/>
                <w:highlight w:val="none"/>
                <w14:textFill>
                  <w14:solidFill>
                    <w14:schemeClr w14:val="tx1"/>
                  </w14:solidFill>
                </w14:textFill>
              </w:rPr>
              <w:t>1.5</w:t>
            </w:r>
            <w:r>
              <w:rPr>
                <w:rFonts w:ascii="宋体" w:hAnsi="宋体"/>
                <w:color w:val="000000" w:themeColor="text1"/>
                <w:sz w:val="21"/>
                <w:szCs w:val="21"/>
                <w:highlight w:val="none"/>
                <w14:textFill>
                  <w14:solidFill>
                    <w14:schemeClr w14:val="tx1"/>
                  </w14:solidFill>
                </w14:textFill>
              </w:rPr>
              <w:t>分； ②在满足①的基础上，提供岗位职责说明，有相应的人员保障措施，并提供人员联系电话得</w:t>
            </w: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根据供应商提供的人员管理制度进行评分： ①</w:t>
            </w:r>
            <w:r>
              <w:rPr>
                <w:rFonts w:hint="eastAsia" w:ascii="宋体" w:hAnsi="宋体"/>
                <w:color w:val="000000" w:themeColor="text1"/>
                <w:sz w:val="21"/>
                <w:szCs w:val="21"/>
                <w:highlight w:val="none"/>
                <w:lang w:val="en-US" w:eastAsia="zh-CN"/>
                <w14:textFill>
                  <w14:solidFill>
                    <w14:schemeClr w14:val="tx1"/>
                  </w14:solidFill>
                </w14:textFill>
              </w:rPr>
              <w:t>提供完整的人员管理</w:t>
            </w:r>
            <w:r>
              <w:rPr>
                <w:rFonts w:ascii="宋体" w:hAnsi="宋体"/>
                <w:color w:val="000000" w:themeColor="text1"/>
                <w:sz w:val="21"/>
                <w:szCs w:val="21"/>
                <w:highlight w:val="none"/>
                <w14:textFill>
                  <w14:solidFill>
                    <w14:schemeClr w14:val="tx1"/>
                  </w14:solidFill>
                </w14:textFill>
              </w:rPr>
              <w:t>制度</w:t>
            </w:r>
            <w:r>
              <w:rPr>
                <w:rFonts w:hint="eastAsia" w:ascii="宋体" w:hAnsi="宋体"/>
                <w:color w:val="000000" w:themeColor="text1"/>
                <w:sz w:val="21"/>
                <w:szCs w:val="21"/>
                <w:highlight w:val="none"/>
                <w:lang w:eastAsia="zh-CN"/>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基本满足项目管理需要的得1分； ②在满足①的基础上，</w:t>
            </w:r>
            <w:r>
              <w:rPr>
                <w:rFonts w:hint="eastAsia" w:ascii="宋体" w:hAnsi="宋体"/>
                <w:color w:val="000000" w:themeColor="text1"/>
                <w:sz w:val="21"/>
                <w:szCs w:val="21"/>
                <w:highlight w:val="none"/>
                <w:lang w:val="en-US" w:eastAsia="zh-CN"/>
                <w14:textFill>
                  <w14:solidFill>
                    <w14:schemeClr w14:val="tx1"/>
                  </w14:solidFill>
                </w14:textFill>
              </w:rPr>
              <w:t>提供</w:t>
            </w:r>
            <w:r>
              <w:rPr>
                <w:rFonts w:ascii="宋体" w:hAnsi="宋体"/>
                <w:color w:val="000000" w:themeColor="text1"/>
                <w:sz w:val="21"/>
                <w:szCs w:val="21"/>
                <w:highlight w:val="none"/>
                <w14:textFill>
                  <w14:solidFill>
                    <w14:schemeClr w14:val="tx1"/>
                  </w14:solidFill>
                </w14:textFill>
              </w:rPr>
              <w:t>考核、奖惩制度的得</w:t>
            </w:r>
            <w:r>
              <w:rPr>
                <w:rFonts w:hint="eastAsia" w:ascii="宋体" w:hAnsi="宋体"/>
                <w:color w:val="000000" w:themeColor="text1"/>
                <w:sz w:val="21"/>
                <w:szCs w:val="21"/>
                <w:highlight w:val="none"/>
                <w:lang w:val="en-US" w:eastAsia="zh-CN"/>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1-7</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根据供应商拟投入本项目的维保工具、仪器进行评价： ①提供了</w:t>
            </w:r>
            <w:r>
              <w:rPr>
                <w:rFonts w:hint="eastAsia" w:ascii="宋体" w:hAnsi="宋体"/>
                <w:color w:val="000000" w:themeColor="text1"/>
                <w:sz w:val="21"/>
                <w:szCs w:val="21"/>
                <w:highlight w:val="none"/>
                <w:lang w:val="en-US" w:eastAsia="zh-CN"/>
                <w14:textFill>
                  <w14:solidFill>
                    <w14:schemeClr w14:val="tx1"/>
                  </w14:solidFill>
                </w14:textFill>
              </w:rPr>
              <w:t>完整</w:t>
            </w:r>
            <w:r>
              <w:rPr>
                <w:rFonts w:ascii="宋体" w:hAnsi="宋体"/>
                <w:color w:val="000000" w:themeColor="text1"/>
                <w:sz w:val="21"/>
                <w:szCs w:val="21"/>
                <w:highlight w:val="none"/>
                <w14:textFill>
                  <w14:solidFill>
                    <w14:schemeClr w14:val="tx1"/>
                  </w14:solidFill>
                </w14:textFill>
              </w:rPr>
              <w:t>工具、仪器清单得1.5分， ②在满足①的基础上，</w:t>
            </w:r>
            <w:r>
              <w:rPr>
                <w:rFonts w:hint="eastAsia" w:ascii="宋体" w:hAnsi="宋体"/>
                <w:color w:val="000000" w:themeColor="text1"/>
                <w:sz w:val="21"/>
                <w:szCs w:val="21"/>
                <w:highlight w:val="none"/>
                <w:lang w:val="en-US" w:eastAsia="zh-CN"/>
                <w14:textFill>
                  <w14:solidFill>
                    <w14:schemeClr w14:val="tx1"/>
                  </w14:solidFill>
                </w14:textFill>
              </w:rPr>
              <w:t>提供GE  670型ECT设备的操作手册并</w:t>
            </w:r>
            <w:r>
              <w:rPr>
                <w:rFonts w:ascii="宋体" w:hAnsi="宋体"/>
                <w:color w:val="000000" w:themeColor="text1"/>
                <w:sz w:val="21"/>
                <w:szCs w:val="21"/>
                <w:highlight w:val="none"/>
                <w14:textFill>
                  <w14:solidFill>
                    <w14:schemeClr w14:val="tx1"/>
                  </w14:solidFill>
                </w14:textFill>
              </w:rPr>
              <w:t>满足各类维保操作</w:t>
            </w:r>
            <w:r>
              <w:rPr>
                <w:rFonts w:hint="eastAsia" w:ascii="宋体" w:hAnsi="宋体"/>
                <w:color w:val="000000" w:themeColor="text1"/>
                <w:sz w:val="21"/>
                <w:szCs w:val="21"/>
                <w:highlight w:val="none"/>
                <w14:textFill>
                  <w14:solidFill>
                    <w14:schemeClr w14:val="tx1"/>
                  </w14:solidFill>
                </w14:textFill>
              </w:rPr>
              <w:t>要</w:t>
            </w:r>
            <w:r>
              <w:rPr>
                <w:rFonts w:ascii="宋体" w:hAnsi="宋体"/>
                <w:color w:val="000000" w:themeColor="text1"/>
                <w:sz w:val="21"/>
                <w:szCs w:val="21"/>
                <w:highlight w:val="none"/>
                <w14:textFill>
                  <w14:solidFill>
                    <w14:schemeClr w14:val="tx1"/>
                  </w14:solidFill>
                </w14:textFill>
              </w:rPr>
              <w:t>求的3分；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根据供应商提供的维</w:t>
            </w:r>
            <w:r>
              <w:rPr>
                <w:rFonts w:hint="eastAsia" w:ascii="宋体" w:hAnsi="宋体"/>
                <w:color w:val="000000" w:themeColor="text1"/>
                <w:sz w:val="21"/>
                <w:szCs w:val="21"/>
                <w:highlight w:val="none"/>
                <w:lang w:val="en-US" w:eastAsia="zh-CN"/>
                <w14:textFill>
                  <w14:solidFill>
                    <w14:schemeClr w14:val="tx1"/>
                  </w14:solidFill>
                </w14:textFill>
              </w:rPr>
              <w:t>保</w:t>
            </w:r>
            <w:r>
              <w:rPr>
                <w:rFonts w:ascii="宋体" w:hAnsi="宋体"/>
                <w:color w:val="000000" w:themeColor="text1"/>
                <w:sz w:val="21"/>
                <w:szCs w:val="21"/>
                <w:highlight w:val="none"/>
                <w14:textFill>
                  <w14:solidFill>
                    <w14:schemeClr w14:val="tx1"/>
                  </w14:solidFill>
                </w14:textFill>
              </w:rPr>
              <w:t>档案管理方案进行评价： ①</w:t>
            </w:r>
            <w:r>
              <w:rPr>
                <w:rFonts w:hint="eastAsia" w:ascii="宋体" w:hAnsi="宋体"/>
                <w:color w:val="000000" w:themeColor="text1"/>
                <w:sz w:val="21"/>
                <w:szCs w:val="21"/>
                <w:highlight w:val="none"/>
                <w:lang w:val="en-US" w:eastAsia="zh-CN"/>
                <w14:textFill>
                  <w14:solidFill>
                    <w14:schemeClr w14:val="tx1"/>
                  </w14:solidFill>
                </w14:textFill>
              </w:rPr>
              <w:t>有提供档案管理</w:t>
            </w:r>
            <w:r>
              <w:rPr>
                <w:rFonts w:ascii="宋体" w:hAnsi="宋体"/>
                <w:color w:val="000000" w:themeColor="text1"/>
                <w:sz w:val="21"/>
                <w:szCs w:val="21"/>
                <w:highlight w:val="none"/>
                <w14:textFill>
                  <w14:solidFill>
                    <w14:schemeClr w14:val="tx1"/>
                  </w14:solidFill>
                </w14:textFill>
              </w:rPr>
              <w:t>方案的得1.5分； ②在满足①的基础上，</w:t>
            </w:r>
            <w:r>
              <w:rPr>
                <w:rFonts w:hint="eastAsia" w:ascii="宋体" w:hAnsi="宋体"/>
                <w:color w:val="000000" w:themeColor="text1"/>
                <w:sz w:val="21"/>
                <w:szCs w:val="21"/>
                <w:highlight w:val="none"/>
                <w:lang w:val="en-US" w:eastAsia="zh-CN"/>
                <w14:textFill>
                  <w14:solidFill>
                    <w14:schemeClr w14:val="tx1"/>
                  </w14:solidFill>
                </w14:textFill>
              </w:rPr>
              <w:t>提供对档案管理人员的管理措施、</w:t>
            </w:r>
            <w:r>
              <w:rPr>
                <w:rFonts w:ascii="宋体" w:hAnsi="宋体"/>
                <w:color w:val="000000" w:themeColor="text1"/>
                <w:sz w:val="21"/>
                <w:szCs w:val="21"/>
                <w:highlight w:val="none"/>
                <w14:textFill>
                  <w14:solidFill>
                    <w14:schemeClr w14:val="tx1"/>
                  </w14:solidFill>
                </w14:textFill>
              </w:rPr>
              <w:t>保养报告、巡检报告</w:t>
            </w:r>
            <w:r>
              <w:rPr>
                <w:rFonts w:hint="eastAsia" w:ascii="宋体" w:hAnsi="宋体"/>
                <w:color w:val="000000" w:themeColor="text1"/>
                <w:sz w:val="21"/>
                <w:szCs w:val="21"/>
                <w:highlight w:val="none"/>
                <w:lang w:val="en-US" w:eastAsia="zh-CN"/>
                <w14:textFill>
                  <w14:solidFill>
                    <w14:schemeClr w14:val="tx1"/>
                  </w14:solidFill>
                </w14:textFill>
              </w:rPr>
              <w:t>等</w:t>
            </w:r>
            <w:r>
              <w:rPr>
                <w:rFonts w:ascii="宋体" w:hAnsi="宋体"/>
                <w:color w:val="000000" w:themeColor="text1"/>
                <w:sz w:val="21"/>
                <w:szCs w:val="21"/>
                <w:highlight w:val="none"/>
                <w14:textFill>
                  <w14:solidFill>
                    <w14:schemeClr w14:val="tx1"/>
                  </w14:solidFill>
                </w14:textFill>
              </w:rPr>
              <w:t>的得3分； ③未提供相关内容或内容不符合上述情形的得0分。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1-9</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供应商具有维保管理制度（包括但不限于维保接单、维保派单、维保服务过程管控、维保后满意度调查等）的得3分，未提供的不得分。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1-10</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供应商所提供的服务完全满足磋商文件“第三章</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磋商</w:t>
            </w:r>
            <w:r>
              <w:rPr>
                <w:rFonts w:ascii="宋体" w:hAnsi="宋体" w:eastAsia="宋体" w:cs="Times New Roman"/>
                <w:color w:val="000000" w:themeColor="text1"/>
                <w:sz w:val="21"/>
                <w:szCs w:val="21"/>
                <w:highlight w:val="none"/>
                <w14:textFill>
                  <w14:solidFill>
                    <w14:schemeClr w14:val="tx1"/>
                  </w14:solidFill>
                </w14:textFill>
              </w:rPr>
              <w:t xml:space="preserve">内容及要求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合同期内提供设备保养次数</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4次。</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完全满足</w:t>
            </w:r>
            <w:r>
              <w:rPr>
                <w:rFonts w:ascii="宋体" w:hAnsi="宋体" w:eastAsia="宋体" w:cs="Times New Roman"/>
                <w:color w:val="000000" w:themeColor="text1"/>
                <w:sz w:val="21"/>
                <w:szCs w:val="21"/>
                <w:highlight w:val="none"/>
                <w14:textFill>
                  <w14:solidFill>
                    <w14:schemeClr w14:val="tx1"/>
                  </w14:solidFill>
                </w14:textFill>
              </w:rPr>
              <w:t>的得</w:t>
            </w:r>
            <w:r>
              <w:rPr>
                <w:rFonts w:hint="eastAsia" w:ascii="宋体" w:hAnsi="宋体" w:cs="Times New Roman"/>
                <w:color w:val="000000" w:themeColor="text1"/>
                <w:sz w:val="21"/>
                <w:szCs w:val="21"/>
                <w:highlight w:val="none"/>
                <w:lang w:val="en-US" w:eastAsia="zh-CN"/>
                <w14:textFill>
                  <w14:solidFill>
                    <w14:schemeClr w14:val="tx1"/>
                  </w14:solidFill>
                </w14:textFill>
              </w:rPr>
              <w:t>3</w:t>
            </w:r>
            <w:r>
              <w:rPr>
                <w:rFonts w:ascii="宋体" w:hAnsi="宋体" w:eastAsia="宋体" w:cs="Times New Roman"/>
                <w:color w:val="000000" w:themeColor="text1"/>
                <w:sz w:val="21"/>
                <w:szCs w:val="21"/>
                <w:highlight w:val="none"/>
                <w14:textFill>
                  <w14:solidFill>
                    <w14:schemeClr w14:val="tx1"/>
                  </w14:solidFill>
                </w14:textFill>
              </w:rPr>
              <w:t>分，否则不得分。</w:t>
            </w:r>
            <w:r>
              <w:rPr>
                <w:rFonts w:hint="eastAsia" w:ascii="宋体" w:hAnsi="宋体" w:cs="Times New Roman"/>
                <w:color w:val="000000" w:themeColor="text1"/>
                <w:sz w:val="21"/>
                <w:szCs w:val="21"/>
                <w:highlight w:val="none"/>
                <w:lang w:val="en-US" w:eastAsia="zh-CN"/>
                <w14:textFill>
                  <w14:solidFill>
                    <w14:schemeClr w14:val="tx1"/>
                  </w14:solidFill>
                </w14:textFill>
              </w:rPr>
              <w:t>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1-11</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供应商所提供的服务完全满足磋商文件“第三章</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磋商</w:t>
            </w:r>
            <w:r>
              <w:rPr>
                <w:rFonts w:ascii="宋体" w:hAnsi="宋体" w:eastAsia="宋体" w:cs="Times New Roman"/>
                <w:color w:val="000000" w:themeColor="text1"/>
                <w:sz w:val="21"/>
                <w:szCs w:val="21"/>
                <w:highlight w:val="none"/>
                <w14:textFill>
                  <w14:solidFill>
                    <w14:schemeClr w14:val="tx1"/>
                  </w14:solidFill>
                </w14:textFill>
              </w:rPr>
              <w:t xml:space="preserve">内容及要求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报价人若为最终成交供应商须承诺承担已发生的维修费用，不额外收费。</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完全满足</w:t>
            </w:r>
            <w:r>
              <w:rPr>
                <w:rFonts w:ascii="宋体" w:hAnsi="宋体" w:eastAsia="宋体" w:cs="Times New Roman"/>
                <w:color w:val="000000" w:themeColor="text1"/>
                <w:sz w:val="21"/>
                <w:szCs w:val="21"/>
                <w:highlight w:val="none"/>
                <w14:textFill>
                  <w14:solidFill>
                    <w14:schemeClr w14:val="tx1"/>
                  </w14:solidFill>
                </w14:textFill>
              </w:rPr>
              <w:t>的得</w:t>
            </w:r>
            <w:r>
              <w:rPr>
                <w:rFonts w:hint="eastAsia" w:ascii="宋体" w:hAnsi="宋体" w:cs="Times New Roman"/>
                <w:color w:val="000000" w:themeColor="text1"/>
                <w:sz w:val="21"/>
                <w:szCs w:val="21"/>
                <w:highlight w:val="none"/>
                <w:lang w:val="en-US" w:eastAsia="zh-CN"/>
                <w14:textFill>
                  <w14:solidFill>
                    <w14:schemeClr w14:val="tx1"/>
                  </w14:solidFill>
                </w14:textFill>
              </w:rPr>
              <w:t>3</w:t>
            </w:r>
            <w:r>
              <w:rPr>
                <w:rFonts w:ascii="宋体" w:hAnsi="宋体" w:eastAsia="宋体" w:cs="Times New Roman"/>
                <w:color w:val="000000" w:themeColor="text1"/>
                <w:sz w:val="21"/>
                <w:szCs w:val="21"/>
                <w:highlight w:val="none"/>
                <w14:textFill>
                  <w14:solidFill>
                    <w14:schemeClr w14:val="tx1"/>
                  </w14:solidFill>
                </w14:textFill>
              </w:rPr>
              <w:t>分，否则不得分。</w:t>
            </w:r>
            <w:r>
              <w:rPr>
                <w:rFonts w:hint="eastAsia" w:ascii="宋体" w:hAnsi="宋体" w:cs="Times New Roman"/>
                <w:color w:val="000000" w:themeColor="text1"/>
                <w:sz w:val="21"/>
                <w:szCs w:val="21"/>
                <w:highlight w:val="none"/>
                <w:lang w:val="en-US" w:eastAsia="zh-CN"/>
                <w14:textFill>
                  <w14:solidFill>
                    <w14:schemeClr w14:val="tx1"/>
                  </w14:solidFill>
                </w14:textFill>
              </w:rPr>
              <w:t>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1-12</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color w:val="000000" w:themeColor="text1"/>
                <w:sz w:val="21"/>
                <w:szCs w:val="21"/>
                <w:highlight w:val="none"/>
                <w:lang w:val="en-US"/>
                <w14:textFill>
                  <w14:solidFill>
                    <w14:schemeClr w14:val="tx1"/>
                  </w14:solidFill>
                </w14:textFill>
              </w:rPr>
            </w:pPr>
            <w:r>
              <w:rPr>
                <w:rFonts w:hint="eastAsia" w:ascii="宋体" w:hAnsi="宋体" w:cs="Times New Roman"/>
                <w:color w:val="000000" w:themeColor="text1"/>
                <w:szCs w:val="24"/>
                <w:highlight w:val="none"/>
                <w:lang w:val="en-US" w:eastAsia="zh-CN" w:bidi="ar-SA"/>
                <w14:textFill>
                  <w14:solidFill>
                    <w14:schemeClr w14:val="tx1"/>
                  </w14:solidFill>
                </w14:textFill>
              </w:rPr>
              <w:t>报价人</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须配有临床应用培训人员，可提供临床扫描、图像处理和相应业务拓展的技术支持。须提供相应证明材料</w:t>
            </w:r>
            <w:r>
              <w:rPr>
                <w:rFonts w:hint="eastAsia" w:ascii="宋体" w:hAnsi="宋体" w:cs="Times New Roman"/>
                <w:color w:val="000000" w:themeColor="text1"/>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完全满足得3分，否则不得分。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1-13</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color w:val="000000" w:themeColor="text1"/>
                <w:szCs w:val="24"/>
                <w:highlight w:val="none"/>
                <w:lang w:val="en-US" w:eastAsia="zh-CN" w:bidi="ar-SA"/>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供应商所提供的服务完全满足磋商文件“第三章</w:t>
            </w:r>
            <w:r>
              <w:rPr>
                <w:rFonts w:hint="default" w:ascii="宋体" w:hAnsi="宋体" w:eastAsia="宋体" w:cs="Times New Roman"/>
                <w:color w:val="000000" w:themeColor="text1"/>
                <w:sz w:val="21"/>
                <w:szCs w:val="21"/>
                <w:highlight w:val="none"/>
                <w:lang w:val="en-US" w:eastAsia="zh-CN"/>
                <w14:textFill>
                  <w14:solidFill>
                    <w14:schemeClr w14:val="tx1"/>
                  </w14:solidFill>
                </w14:textFill>
              </w:rPr>
              <w:t>磋商</w:t>
            </w:r>
            <w:r>
              <w:rPr>
                <w:rFonts w:ascii="宋体" w:hAnsi="宋体" w:eastAsia="宋体" w:cs="Times New Roman"/>
                <w:color w:val="000000" w:themeColor="text1"/>
                <w:sz w:val="21"/>
                <w:szCs w:val="21"/>
                <w:highlight w:val="none"/>
                <w14:textFill>
                  <w14:solidFill>
                    <w14:schemeClr w14:val="tx1"/>
                  </w14:solidFill>
                </w14:textFill>
              </w:rPr>
              <w:t xml:space="preserve">内容及要求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含预防性保养所消耗的所有耗材，并出具保养报告及整机质量评估报告。</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完全满足</w:t>
            </w:r>
            <w:r>
              <w:rPr>
                <w:rFonts w:ascii="宋体" w:hAnsi="宋体" w:eastAsia="宋体" w:cs="Times New Roman"/>
                <w:color w:val="000000" w:themeColor="text1"/>
                <w:sz w:val="21"/>
                <w:szCs w:val="21"/>
                <w:highlight w:val="none"/>
                <w14:textFill>
                  <w14:solidFill>
                    <w14:schemeClr w14:val="tx1"/>
                  </w14:solidFill>
                </w14:textFill>
              </w:rPr>
              <w:t>的得</w:t>
            </w:r>
            <w:r>
              <w:rPr>
                <w:rFonts w:hint="eastAsia" w:ascii="宋体" w:hAnsi="宋体" w:cs="Times New Roman"/>
                <w:color w:val="000000" w:themeColor="text1"/>
                <w:sz w:val="21"/>
                <w:szCs w:val="21"/>
                <w:highlight w:val="none"/>
                <w:lang w:val="en-US" w:eastAsia="zh-CN"/>
                <w14:textFill>
                  <w14:solidFill>
                    <w14:schemeClr w14:val="tx1"/>
                  </w14:solidFill>
                </w14:textFill>
              </w:rPr>
              <w:t>3</w:t>
            </w:r>
            <w:r>
              <w:rPr>
                <w:rFonts w:ascii="宋体" w:hAnsi="宋体" w:eastAsia="宋体" w:cs="Times New Roman"/>
                <w:color w:val="000000" w:themeColor="text1"/>
                <w:sz w:val="21"/>
                <w:szCs w:val="21"/>
                <w:highlight w:val="none"/>
                <w14:textFill>
                  <w14:solidFill>
                    <w14:schemeClr w14:val="tx1"/>
                  </w14:solidFill>
                </w14:textFill>
              </w:rPr>
              <w:t>分，否则不得分。</w:t>
            </w:r>
            <w:r>
              <w:rPr>
                <w:rFonts w:hint="eastAsia" w:ascii="宋体" w:hAnsi="宋体" w:cs="Times New Roman"/>
                <w:color w:val="000000" w:themeColor="text1"/>
                <w:sz w:val="21"/>
                <w:szCs w:val="21"/>
                <w:highlight w:val="none"/>
                <w:lang w:val="en-US" w:eastAsia="zh-CN"/>
                <w14:textFill>
                  <w14:solidFill>
                    <w14:schemeClr w14:val="tx1"/>
                  </w14:solidFill>
                </w14:textFill>
              </w:rPr>
              <w:t>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1-14</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color w:val="000000" w:themeColor="text1"/>
                <w:szCs w:val="24"/>
                <w:highlight w:val="none"/>
                <w:lang w:val="en-US" w:eastAsia="zh-CN" w:bidi="ar-SA"/>
                <w14:textFill>
                  <w14:solidFill>
                    <w14:schemeClr w14:val="tx1"/>
                  </w14:solidFill>
                </w14:textFill>
              </w:rPr>
            </w:pPr>
            <w:r>
              <w:rPr>
                <w:rFonts w:hint="eastAsia" w:ascii="宋体" w:hAnsi="宋体" w:cs="Times New Roman"/>
                <w:color w:val="000000" w:themeColor="text1"/>
                <w:szCs w:val="24"/>
                <w:highlight w:val="none"/>
                <w:lang w:val="en-US" w:eastAsia="zh-CN" w:bidi="ar-SA"/>
                <w14:textFill>
                  <w14:solidFill>
                    <w14:schemeClr w14:val="tx1"/>
                  </w14:solidFill>
                </w14:textFill>
              </w:rPr>
              <w:t>报价人</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所更换的备件为原设备零配件同一生产厂家和同一型号规格的零配件，满足设备运行要求,不会给设备带来危害。并提供零配件的相关材料，包括但不限于：若所提供零配件为国外供货，进口产品须提供报关单，且备件供应100%保障。完全满足得3分，否则不得分。（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1-15</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color w:val="000000" w:themeColor="text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合同期内</w:t>
            </w:r>
            <w:r>
              <w:rPr>
                <w:rFonts w:hint="eastAsia" w:ascii="宋体" w:hAnsi="宋体" w:cs="Times New Roman"/>
                <w:color w:val="000000" w:themeColor="text1"/>
                <w:szCs w:val="24"/>
                <w:highlight w:val="none"/>
                <w:lang w:val="en-US" w:eastAsia="zh-CN" w:bidi="ar-SA"/>
                <w14:textFill>
                  <w14:solidFill>
                    <w14:schemeClr w14:val="tx1"/>
                  </w14:solidFill>
                </w14:textFill>
              </w:rPr>
              <w:t>报价人</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每年须提供1人次的原厂临床应用培训机会，参加原厂举办的核医学临床应用培训课程。完全满足得3分，否则不得分。（承诺函格式自拟）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1-16</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cs="Times New Roman"/>
                <w:color w:val="000000" w:themeColor="text1"/>
                <w:szCs w:val="24"/>
                <w:highlight w:val="none"/>
                <w:lang w:val="en-US" w:eastAsia="zh-CN" w:bidi="ar-SA"/>
                <w14:textFill>
                  <w14:solidFill>
                    <w14:schemeClr w14:val="tx1"/>
                  </w14:solidFill>
                </w14:textFill>
              </w:rPr>
            </w:pPr>
            <w:r>
              <w:rPr>
                <w:rFonts w:hint="eastAsia" w:ascii="宋体" w:hAnsi="宋体" w:cs="Times New Roman"/>
                <w:color w:val="000000" w:themeColor="text1"/>
                <w:szCs w:val="24"/>
                <w:highlight w:val="none"/>
                <w:lang w:val="en-US" w:eastAsia="zh-CN" w:bidi="ar-SA"/>
                <w14:textFill>
                  <w14:solidFill>
                    <w14:schemeClr w14:val="tx1"/>
                  </w14:solidFill>
                </w14:textFill>
              </w:rPr>
              <w:t>报价人</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须承诺接到报修电话后2个小时内响应，24小时内工程师到场。完全满足得3分，否则不得分。（承诺函格式自拟）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1-17</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pStyle w:val="72"/>
              <w:numPr>
                <w:ilvl w:val="0"/>
                <w:numId w:val="0"/>
              </w:numPr>
              <w:tabs>
                <w:tab w:val="left" w:pos="816"/>
              </w:tabs>
              <w:rPr>
                <w:rFonts w:hint="eastAsia" w:ascii="宋体" w:hAnsi="宋体" w:eastAsia="宋体" w:cs="Times New Roman"/>
                <w:color w:val="000000" w:themeColor="text1"/>
                <w:szCs w:val="24"/>
                <w:highlight w:val="none"/>
                <w:lang w:val="en-US" w:eastAsia="zh-CN" w:bidi="ar-SA"/>
                <w14:textFill>
                  <w14:solidFill>
                    <w14:schemeClr w14:val="tx1"/>
                  </w14:solidFill>
                </w14:textFill>
              </w:rPr>
            </w:pPr>
            <w:r>
              <w:rPr>
                <w:rFonts w:hint="eastAsia" w:cs="Times New Roman"/>
                <w:color w:val="000000" w:themeColor="text1"/>
                <w:szCs w:val="24"/>
                <w:highlight w:val="none"/>
                <w:lang w:val="en-US" w:eastAsia="zh-CN" w:bidi="ar-SA"/>
                <w14:textFill>
                  <w14:solidFill>
                    <w14:schemeClr w14:val="tx1"/>
                  </w14:solidFill>
                </w14:textFill>
              </w:rPr>
              <w:t>保修期内设备开机率：≥95%（按全年365天计算），开机率计算公式：（365-故障天数）/365，如未达到95%的开机率，每低1%，合同期限相应延长5个日历日；</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完全满足得3分，否则不得分。（承诺函格式自拟）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1-18</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根据</w:t>
            </w:r>
            <w:r>
              <w:rPr>
                <w:rFonts w:ascii="宋体" w:hAnsi="宋体" w:cs="宋体"/>
                <w:color w:val="000000" w:themeColor="text1"/>
                <w:kern w:val="0"/>
                <w:sz w:val="21"/>
                <w:szCs w:val="21"/>
                <w:highlight w:val="none"/>
                <w14:textFill>
                  <w14:solidFill>
                    <w14:schemeClr w14:val="tx1"/>
                  </w14:solidFill>
                </w14:textFill>
              </w:rPr>
              <w:t>供应商</w:t>
            </w:r>
            <w:r>
              <w:rPr>
                <w:rFonts w:hint="eastAsia" w:ascii="宋体" w:hAnsi="宋体" w:cs="宋体"/>
                <w:color w:val="000000" w:themeColor="text1"/>
                <w:kern w:val="0"/>
                <w:sz w:val="21"/>
                <w:szCs w:val="21"/>
                <w:highlight w:val="none"/>
                <w14:textFill>
                  <w14:solidFill>
                    <w14:schemeClr w14:val="tx1"/>
                  </w14:solidFill>
                </w14:textFill>
              </w:rPr>
              <w:t>为节约采购人运行成本及维护成本的节能措施进行评价：</w:t>
            </w:r>
          </w:p>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①对该项内容有做出响应，并提出节能措施，符合本项目要求的得1分；</w:t>
            </w:r>
          </w:p>
          <w:p>
            <w:pPr>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s="宋体"/>
                <w:color w:val="000000" w:themeColor="text1"/>
                <w:kern w:val="0"/>
                <w:sz w:val="21"/>
                <w:szCs w:val="21"/>
                <w:highlight w:val="none"/>
                <w14:textFill>
                  <w14:solidFill>
                    <w14:schemeClr w14:val="tx1"/>
                  </w14:solidFill>
                </w14:textFill>
              </w:rPr>
              <w:t>②在满足①的基础上</w:t>
            </w:r>
            <w:r>
              <w:rPr>
                <w:rFonts w:hint="eastAsia" w:ascii="宋体" w:hAnsi="宋体" w:cs="宋体"/>
                <w:color w:val="000000" w:themeColor="text1"/>
                <w:kern w:val="0"/>
                <w:sz w:val="21"/>
                <w:szCs w:val="21"/>
                <w:highlight w:val="none"/>
                <w14:textFill>
                  <w14:solidFill>
                    <w14:schemeClr w14:val="tx1"/>
                  </w14:solidFill>
                </w14:textFill>
              </w:rPr>
              <w:t>，针对本项目有明确节能</w:t>
            </w:r>
            <w:r>
              <w:rPr>
                <w:rFonts w:ascii="宋体" w:hAnsi="宋体" w:cs="宋体"/>
                <w:color w:val="000000" w:themeColor="text1"/>
                <w:kern w:val="0"/>
                <w:sz w:val="21"/>
                <w:szCs w:val="21"/>
                <w:highlight w:val="none"/>
                <w14:textFill>
                  <w14:solidFill>
                    <w14:schemeClr w14:val="tx1"/>
                  </w14:solidFill>
                </w14:textFill>
              </w:rPr>
              <w:t>指标值</w:t>
            </w:r>
            <w:r>
              <w:rPr>
                <w:rFonts w:hint="eastAsia" w:ascii="宋体" w:hAnsi="宋体" w:cs="宋体"/>
                <w:color w:val="000000" w:themeColor="text1"/>
                <w:kern w:val="0"/>
                <w:sz w:val="21"/>
                <w:szCs w:val="21"/>
                <w:highlight w:val="none"/>
                <w14:textFill>
                  <w14:solidFill>
                    <w14:schemeClr w14:val="tx1"/>
                  </w14:solidFill>
                </w14:textFill>
              </w:rPr>
              <w:t>、</w:t>
            </w:r>
            <w:r>
              <w:rPr>
                <w:rFonts w:ascii="宋体" w:hAnsi="宋体" w:cs="宋体"/>
                <w:color w:val="000000" w:themeColor="text1"/>
                <w:kern w:val="0"/>
                <w:sz w:val="21"/>
                <w:szCs w:val="21"/>
                <w:highlight w:val="none"/>
                <w14:textFill>
                  <w14:solidFill>
                    <w14:schemeClr w14:val="tx1"/>
                  </w14:solidFill>
                </w14:textFill>
              </w:rPr>
              <w:t>节能方法等</w:t>
            </w:r>
            <w:r>
              <w:rPr>
                <w:rFonts w:hint="eastAsia" w:ascii="宋体" w:hAnsi="宋体" w:cs="宋体"/>
                <w:color w:val="000000" w:themeColor="text1"/>
                <w:kern w:val="0"/>
                <w:sz w:val="21"/>
                <w:szCs w:val="21"/>
                <w:highlight w:val="none"/>
                <w14:textFill>
                  <w14:solidFill>
                    <w14:schemeClr w14:val="tx1"/>
                  </w14:solidFill>
                </w14:textFill>
              </w:rPr>
              <w:t>有利于项目顺利实施的得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分。</w:t>
            </w:r>
          </w:p>
          <w:p>
            <w:pPr>
              <w:pStyle w:val="72"/>
              <w:numPr>
                <w:ilvl w:val="0"/>
                <w:numId w:val="0"/>
              </w:numPr>
              <w:tabs>
                <w:tab w:val="left" w:pos="816"/>
              </w:tabs>
              <w:rPr>
                <w:rFonts w:hint="eastAsia" w:cs="Times New Roman"/>
                <w:color w:val="000000" w:themeColor="text1"/>
                <w:szCs w:val="24"/>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③未提供方案或方案不可行的本项不得分。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1-19</w:t>
            </w:r>
          </w:p>
        </w:tc>
        <w:tc>
          <w:tcPr>
            <w:tcW w:w="7391" w:type="dxa"/>
            <w:tcBorders>
              <w:top w:val="single" w:color="auto" w:sz="4" w:space="0"/>
              <w:left w:val="single" w:color="auto" w:sz="4" w:space="0"/>
              <w:bottom w:val="single" w:color="auto" w:sz="4" w:space="0"/>
              <w:right w:val="single" w:color="auto" w:sz="4" w:space="0"/>
            </w:tcBorders>
            <w:noWrap w:val="0"/>
            <w:vAlign w:val="center"/>
          </w:tcPr>
          <w:p>
            <w:pPr>
              <w:pStyle w:val="72"/>
              <w:numPr>
                <w:ilvl w:val="0"/>
                <w:numId w:val="0"/>
              </w:numPr>
              <w:tabs>
                <w:tab w:val="left" w:pos="816"/>
              </w:tabs>
              <w:rPr>
                <w:rFonts w:hint="eastAsia" w:cs="Times New Roman"/>
                <w:color w:val="000000" w:themeColor="text1"/>
                <w:szCs w:val="24"/>
                <w:highlight w:val="none"/>
                <w:lang w:val="en-US" w:eastAsia="zh-CN" w:bidi="ar-SA"/>
                <w14:textFill>
                  <w14:solidFill>
                    <w14:schemeClr w14:val="tx1"/>
                  </w14:solidFill>
                </w14:textFill>
              </w:rPr>
            </w:pPr>
            <w:r>
              <w:rPr>
                <w:rFonts w:hint="eastAsia" w:cs="Times New Roman"/>
                <w:color w:val="000000" w:themeColor="text1"/>
                <w:szCs w:val="24"/>
                <w:highlight w:val="none"/>
                <w:lang w:val="en-US" w:eastAsia="zh-CN" w:bidi="ar-SA"/>
                <w14:textFill>
                  <w14:solidFill>
                    <w14:schemeClr w14:val="tx1"/>
                  </w14:solidFill>
                </w14:textFill>
              </w:rPr>
              <w:t>成交供应商必须配合院方根据国家制订的质控法规（含计量检定），确保设备的相关参数符合国家标准要求，以达到设备最佳性能。如某参数不能达标，投标方必须调整或校正直至符合国家标准要求。</w:t>
            </w:r>
            <w:r>
              <w:rPr>
                <w:rFonts w:hint="eastAsia" w:ascii="宋体" w:hAnsi="宋体" w:eastAsia="宋体" w:cs="Times New Roman"/>
                <w:color w:val="000000" w:themeColor="text1"/>
                <w:szCs w:val="24"/>
                <w:highlight w:val="none"/>
                <w:lang w:val="en-US" w:eastAsia="zh-CN" w:bidi="ar-SA"/>
                <w14:textFill>
                  <w14:solidFill>
                    <w14:schemeClr w14:val="tx1"/>
                  </w14:solidFill>
                </w14:textFill>
              </w:rPr>
              <w:t>完全满足得2分，否则不得分。（承诺函格式自拟）</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r>
    </w:tbl>
    <w:p>
      <w:pPr>
        <w:pStyle w:val="3"/>
        <w:keepNext w:val="0"/>
        <w:keepLines w:val="0"/>
        <w:tabs>
          <w:tab w:val="center" w:pos="4365"/>
        </w:tabs>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5"/>
        <w:snapToGrid w:val="0"/>
        <w:spacing w:line="360" w:lineRule="auto"/>
        <w:ind w:firstLine="0"/>
        <w:rPr>
          <w:rFonts w:hint="eastAsia" w:eastAsia="宋体" w:cs="宋体"/>
          <w:b/>
          <w:color w:val="000000" w:themeColor="text1"/>
          <w:sz w:val="24"/>
          <w:szCs w:val="24"/>
          <w:highlight w:val="none"/>
          <w:lang w:val="en-US" w:eastAsia="zh-CN"/>
          <w14:textFill>
            <w14:solidFill>
              <w14:schemeClr w14:val="tx1"/>
            </w14:solidFill>
          </w14:textFill>
        </w:rPr>
      </w:pPr>
      <w:r>
        <w:rPr>
          <w:rFonts w:hint="eastAsia" w:eastAsia="宋体" w:cs="宋体"/>
          <w:b/>
          <w:color w:val="000000" w:themeColor="text1"/>
          <w:sz w:val="24"/>
          <w:szCs w:val="24"/>
          <w:highlight w:val="none"/>
          <w:lang w:val="en-US" w:eastAsia="zh-CN"/>
          <w14:textFill>
            <w14:solidFill>
              <w14:schemeClr w14:val="tx1"/>
            </w14:solidFill>
          </w14:textFill>
        </w:rPr>
        <w:t>（二）商务评分（F2）标准（满分</w:t>
      </w:r>
      <w:r>
        <w:rPr>
          <w:rFonts w:hint="eastAsia" w:cs="宋体"/>
          <w:b/>
          <w:color w:val="000000" w:themeColor="text1"/>
          <w:sz w:val="24"/>
          <w:szCs w:val="24"/>
          <w:highlight w:val="none"/>
          <w:lang w:val="en-US" w:eastAsia="zh-CN"/>
          <w14:textFill>
            <w14:solidFill>
              <w14:schemeClr w14:val="tx1"/>
            </w14:solidFill>
          </w14:textFill>
        </w:rPr>
        <w:t>15</w:t>
      </w:r>
      <w:r>
        <w:rPr>
          <w:rFonts w:hint="eastAsia" w:eastAsia="宋体" w:cs="宋体"/>
          <w:b/>
          <w:color w:val="000000" w:themeColor="text1"/>
          <w:sz w:val="24"/>
          <w:szCs w:val="24"/>
          <w:highlight w:val="none"/>
          <w:lang w:val="en-US" w:eastAsia="zh-CN"/>
          <w14:textFill>
            <w14:solidFill>
              <w14:schemeClr w14:val="tx1"/>
            </w14:solidFill>
          </w14:textFill>
        </w:rPr>
        <w:t>分）：</w:t>
      </w:r>
    </w:p>
    <w:tbl>
      <w:tblPr>
        <w:tblStyle w:val="22"/>
        <w:tblW w:w="8808" w:type="dxa"/>
        <w:jc w:val="center"/>
        <w:tblLayout w:type="fixed"/>
        <w:tblCellMar>
          <w:top w:w="0" w:type="dxa"/>
          <w:left w:w="108" w:type="dxa"/>
          <w:bottom w:w="0" w:type="dxa"/>
          <w:right w:w="108" w:type="dxa"/>
        </w:tblCellMar>
      </w:tblPr>
      <w:tblGrid>
        <w:gridCol w:w="851"/>
        <w:gridCol w:w="7048"/>
        <w:gridCol w:w="783"/>
      </w:tblGrid>
      <w:tr>
        <w:tblPrEx>
          <w:tblCellMar>
            <w:top w:w="0" w:type="dxa"/>
            <w:left w:w="108" w:type="dxa"/>
            <w:bottom w:w="0" w:type="dxa"/>
            <w:right w:w="108" w:type="dxa"/>
          </w:tblCellMar>
        </w:tblPrEx>
        <w:trPr>
          <w:trHeight w:val="219" w:hRule="atLeast"/>
          <w:tblHeader/>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704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评审内容及评分要求</w:t>
            </w:r>
          </w:p>
        </w:tc>
        <w:tc>
          <w:tcPr>
            <w:tcW w:w="78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满分分值</w:t>
            </w:r>
          </w:p>
        </w:tc>
      </w:tr>
      <w:tr>
        <w:tblPrEx>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w:t>
            </w:r>
          </w:p>
        </w:tc>
        <w:tc>
          <w:tcPr>
            <w:tcW w:w="7048" w:type="dxa"/>
            <w:tcBorders>
              <w:top w:val="nil"/>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000000" w:themeColor="text1"/>
                <w:kern w:val="0"/>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供应商通过质量管理体系认证、环境管理体系认证、职业健康安全管理体系认证的，每通过1项得1分，本项满分3分。</w:t>
            </w:r>
            <w:r>
              <w:rPr>
                <w:rFonts w:hint="eastAsia" w:ascii="宋体" w:hAnsi="宋体"/>
                <w:color w:val="000000" w:themeColor="text1"/>
                <w:sz w:val="21"/>
                <w:szCs w:val="21"/>
                <w:highlight w:val="none"/>
                <w:lang w:val="en-US" w:eastAsia="zh-CN"/>
                <w14:textFill>
                  <w14:solidFill>
                    <w14:schemeClr w14:val="tx1"/>
                  </w14:solidFill>
                </w14:textFill>
              </w:rPr>
              <w:t xml:space="preserve"> 报价人</w:t>
            </w:r>
            <w:r>
              <w:rPr>
                <w:rFonts w:ascii="宋体" w:hAnsi="宋体"/>
                <w:color w:val="000000" w:themeColor="text1"/>
                <w:sz w:val="21"/>
                <w:szCs w:val="21"/>
                <w:highlight w:val="none"/>
                <w14:textFill>
                  <w14:solidFill>
                    <w14:schemeClr w14:val="tx1"/>
                  </w14:solidFill>
                </w14:textFill>
              </w:rPr>
              <w:t>同时提供认证证书，否则不得分。</w:t>
            </w:r>
          </w:p>
        </w:tc>
        <w:tc>
          <w:tcPr>
            <w:tcW w:w="783"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w:t>
            </w:r>
          </w:p>
        </w:tc>
        <w:tc>
          <w:tcPr>
            <w:tcW w:w="7048"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根据供应商提供的 </w:t>
            </w:r>
            <w:r>
              <w:rPr>
                <w:rFonts w:hint="eastAsia" w:ascii="宋体" w:hAnsi="宋体"/>
                <w:color w:val="000000" w:themeColor="text1"/>
                <w:sz w:val="21"/>
                <w:szCs w:val="21"/>
                <w:highlight w:val="none"/>
                <w14:textFill>
                  <w14:solidFill>
                    <w14:schemeClr w14:val="tx1"/>
                  </w14:solidFill>
                </w14:textFill>
              </w:rPr>
              <w:t>故障响应时间：提供24小时╳365天400热线支持以及远程现场服务；接到报修电话后，2个小时内电话响应，确定需要工程师到现场后，需</w:t>
            </w:r>
            <w:r>
              <w:rPr>
                <w:rFonts w:hint="eastAsia" w:ascii="宋体" w:hAnsi="宋体"/>
                <w:color w:val="000000" w:themeColor="text1"/>
                <w:sz w:val="21"/>
                <w:szCs w:val="21"/>
                <w:highlight w:val="none"/>
                <w:lang w:val="en-US" w:eastAsia="zh-CN"/>
                <w14:textFill>
                  <w14:solidFill>
                    <w14:schemeClr w14:val="tx1"/>
                  </w14:solidFill>
                </w14:textFill>
              </w:rPr>
              <w:t>24</w:t>
            </w:r>
            <w:r>
              <w:rPr>
                <w:rFonts w:hint="eastAsia" w:ascii="宋体" w:hAnsi="宋体"/>
                <w:color w:val="000000" w:themeColor="text1"/>
                <w:sz w:val="21"/>
                <w:szCs w:val="21"/>
                <w:highlight w:val="none"/>
                <w14:textFill>
                  <w14:solidFill>
                    <w14:schemeClr w14:val="tx1"/>
                  </w14:solidFill>
                </w14:textFill>
              </w:rPr>
              <w:t>小时内到达现场进行维修。</w:t>
            </w:r>
            <w:r>
              <w:rPr>
                <w:rFonts w:hint="eastAsia" w:ascii="宋体" w:hAnsi="宋体"/>
                <w:color w:val="000000" w:themeColor="text1"/>
                <w:sz w:val="21"/>
                <w:szCs w:val="21"/>
                <w:highlight w:val="none"/>
                <w:lang w:val="en-US" w:eastAsia="zh-CN"/>
                <w14:textFill>
                  <w14:solidFill>
                    <w14:schemeClr w14:val="tx1"/>
                  </w14:solidFill>
                </w14:textFill>
              </w:rPr>
              <w:t>完全满足得3分，否则不得分。</w:t>
            </w:r>
          </w:p>
        </w:tc>
        <w:tc>
          <w:tcPr>
            <w:tcW w:w="78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2-3</w:t>
            </w:r>
          </w:p>
        </w:tc>
        <w:tc>
          <w:tcPr>
            <w:tcW w:w="7048" w:type="dxa"/>
            <w:tcBorders>
              <w:top w:val="nil"/>
              <w:left w:val="single" w:color="auto" w:sz="4" w:space="0"/>
              <w:bottom w:val="single" w:color="auto" w:sz="4" w:space="0"/>
              <w:right w:val="single" w:color="auto" w:sz="4" w:space="0"/>
            </w:tcBorders>
            <w:noWrap w:val="0"/>
            <w:vAlign w:val="center"/>
          </w:tcPr>
          <w:p>
            <w:pPr>
              <w:widowControl/>
              <w:spacing w:line="360" w:lineRule="auto"/>
              <w:rPr>
                <w:rFonts w:ascii="宋体" w:hAnsi="宋体"/>
                <w:color w:val="000000" w:themeColor="text1"/>
                <w:sz w:val="21"/>
                <w:szCs w:val="21"/>
                <w:highlight w:val="none"/>
                <w14:textFill>
                  <w14:solidFill>
                    <w14:schemeClr w14:val="tx1"/>
                  </w14:solidFill>
                </w14:textFill>
              </w:rPr>
            </w:pPr>
            <w:r>
              <w:rPr>
                <w:rFonts w:ascii="宋体" w:hAnsi="宋体" w:cs="宋体"/>
                <w:color w:val="000000" w:themeColor="text1"/>
                <w:kern w:val="0"/>
                <w:sz w:val="21"/>
                <w:szCs w:val="21"/>
                <w:highlight w:val="none"/>
                <w14:textFill>
                  <w14:solidFill>
                    <w14:schemeClr w14:val="tx1"/>
                  </w14:solidFill>
                </w14:textFill>
              </w:rPr>
              <w:t>供应商自2020年01月01日</w:t>
            </w:r>
            <w:r>
              <w:rPr>
                <w:rFonts w:hint="eastAsia" w:ascii="宋体" w:hAnsi="宋体" w:cs="宋体"/>
                <w:color w:val="000000" w:themeColor="text1"/>
                <w:kern w:val="0"/>
                <w:sz w:val="21"/>
                <w:szCs w:val="21"/>
                <w:highlight w:val="none"/>
                <w:lang w:val="en-US" w:eastAsia="zh-CN"/>
                <w14:textFill>
                  <w14:solidFill>
                    <w14:schemeClr w14:val="tx1"/>
                  </w14:solidFill>
                </w14:textFill>
              </w:rPr>
              <w:t>至报价截止当日（以合同签订时间为准）</w:t>
            </w:r>
            <w:r>
              <w:rPr>
                <w:rFonts w:ascii="宋体" w:hAnsi="宋体" w:cs="宋体"/>
                <w:color w:val="000000" w:themeColor="text1"/>
                <w:kern w:val="0"/>
                <w:sz w:val="21"/>
                <w:szCs w:val="21"/>
                <w:highlight w:val="none"/>
                <w14:textFill>
                  <w14:solidFill>
                    <w14:schemeClr w14:val="tx1"/>
                  </w14:solidFill>
                </w14:textFill>
              </w:rPr>
              <w:t>具有</w:t>
            </w:r>
            <w:r>
              <w:rPr>
                <w:rFonts w:hint="eastAsia" w:ascii="宋体" w:hAnsi="宋体" w:cs="宋体"/>
                <w:color w:val="000000" w:themeColor="text1"/>
                <w:kern w:val="0"/>
                <w:sz w:val="21"/>
                <w:szCs w:val="21"/>
                <w:highlight w:val="none"/>
                <w14:textFill>
                  <w14:solidFill>
                    <w14:schemeClr w14:val="tx1"/>
                  </w14:solidFill>
                </w14:textFill>
              </w:rPr>
              <w:t>同类</w:t>
            </w:r>
            <w:r>
              <w:rPr>
                <w:rFonts w:ascii="宋体" w:hAnsi="宋体" w:cs="宋体"/>
                <w:color w:val="000000" w:themeColor="text1"/>
                <w:kern w:val="0"/>
                <w:sz w:val="21"/>
                <w:szCs w:val="21"/>
                <w:highlight w:val="none"/>
                <w14:textFill>
                  <w14:solidFill>
                    <w14:schemeClr w14:val="tx1"/>
                  </w14:solidFill>
                </w14:textFill>
              </w:rPr>
              <w:t>项目医院维保服务业绩的情况进行评审：每完整提供一份业绩得1分，满分3分。 供应商须提供该业绩项目以下资料复印件：①合同文本复印件；②中标成交公告（提供相关网站中标或成交公告的下载网页及其网址）；③中标（成交）通知书；④能够证明该业绩项目已经采购人验收合格的相关证明文件。如未按以上要求提供该项业绩的①-④项全部证明材料的，磋商小组对该项业绩将不予采信。</w:t>
            </w:r>
          </w:p>
        </w:tc>
        <w:tc>
          <w:tcPr>
            <w:tcW w:w="783"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c>
          <w:tcPr>
            <w:tcW w:w="7048" w:type="dxa"/>
            <w:tcBorders>
              <w:top w:val="nil"/>
              <w:left w:val="single" w:color="auto" w:sz="4" w:space="0"/>
              <w:bottom w:val="single" w:color="auto" w:sz="4" w:space="0"/>
              <w:right w:val="single" w:color="auto" w:sz="4" w:space="0"/>
            </w:tcBorders>
            <w:noWrap w:val="0"/>
            <w:vAlign w:val="center"/>
          </w:tcPr>
          <w:p>
            <w:pPr>
              <w:widowControl/>
              <w:spacing w:line="360" w:lineRule="auto"/>
              <w:rPr>
                <w:rFonts w:ascii="宋体" w:hAnsi="宋体"/>
                <w:color w:val="000000" w:themeColor="text1"/>
                <w:sz w:val="21"/>
                <w:szCs w:val="21"/>
                <w:highlight w:val="none"/>
                <w14:textFill>
                  <w14:solidFill>
                    <w14:schemeClr w14:val="tx1"/>
                  </w14:solidFill>
                </w14:textFill>
              </w:rPr>
            </w:pPr>
            <w:r>
              <w:rPr>
                <w:rFonts w:ascii="宋体" w:hAnsi="宋体" w:cs="宋体"/>
                <w:color w:val="000000" w:themeColor="text1"/>
                <w:kern w:val="0"/>
                <w:sz w:val="21"/>
                <w:szCs w:val="21"/>
                <w:highlight w:val="none"/>
                <w14:textFill>
                  <w14:solidFill>
                    <w14:schemeClr w14:val="tx1"/>
                  </w14:solidFill>
                </w14:textFill>
              </w:rPr>
              <w:t>根据供应商自2020年01月01日</w:t>
            </w:r>
            <w:r>
              <w:rPr>
                <w:rFonts w:hint="eastAsia" w:ascii="宋体" w:hAnsi="宋体" w:cs="宋体"/>
                <w:color w:val="000000" w:themeColor="text1"/>
                <w:kern w:val="0"/>
                <w:sz w:val="21"/>
                <w:szCs w:val="21"/>
                <w:highlight w:val="none"/>
                <w:lang w:val="en-US" w:eastAsia="zh-CN"/>
                <w14:textFill>
                  <w14:solidFill>
                    <w14:schemeClr w14:val="tx1"/>
                  </w14:solidFill>
                </w14:textFill>
              </w:rPr>
              <w:t>至报价截止当日</w:t>
            </w:r>
            <w:r>
              <w:rPr>
                <w:rFonts w:ascii="宋体" w:hAnsi="宋体" w:cs="宋体"/>
                <w:color w:val="000000" w:themeColor="text1"/>
                <w:kern w:val="0"/>
                <w:sz w:val="21"/>
                <w:szCs w:val="21"/>
                <w:highlight w:val="none"/>
                <w14:textFill>
                  <w14:solidFill>
                    <w14:schemeClr w14:val="tx1"/>
                  </w14:solidFill>
                </w14:textFill>
              </w:rPr>
              <w:t>，服务过或正在服务的类似项目获得业主好评的情况进行评分：每提供一份业主出具的服务满意度评价结果为优秀或良好或满意的证明得1分，满分</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ascii="宋体" w:hAnsi="宋体" w:cs="宋体"/>
                <w:color w:val="000000" w:themeColor="text1"/>
                <w:kern w:val="0"/>
                <w:sz w:val="21"/>
                <w:szCs w:val="21"/>
                <w:highlight w:val="none"/>
                <w14:textFill>
                  <w14:solidFill>
                    <w14:schemeClr w14:val="tx1"/>
                  </w14:solidFill>
                </w14:textFill>
              </w:rPr>
              <w:t>分。 供应商须在响应文件中提供该业绩项目合同文本复印件及业主满意度证。说明：此项提供的项目与2-</w:t>
            </w:r>
            <w:r>
              <w:rPr>
                <w:rFonts w:hint="eastAsia" w:ascii="宋体" w:hAnsi="宋体" w:cs="宋体"/>
                <w:color w:val="000000" w:themeColor="text1"/>
                <w:kern w:val="0"/>
                <w:sz w:val="21"/>
                <w:szCs w:val="21"/>
                <w:highlight w:val="none"/>
                <w14:textFill>
                  <w14:solidFill>
                    <w14:schemeClr w14:val="tx1"/>
                  </w14:solidFill>
                </w14:textFill>
              </w:rPr>
              <w:t>3</w:t>
            </w:r>
            <w:r>
              <w:rPr>
                <w:rFonts w:ascii="宋体" w:hAnsi="宋体" w:cs="宋体"/>
                <w:color w:val="000000" w:themeColor="text1"/>
                <w:kern w:val="0"/>
                <w:sz w:val="21"/>
                <w:szCs w:val="21"/>
                <w:highlight w:val="none"/>
                <w14:textFill>
                  <w14:solidFill>
                    <w14:schemeClr w14:val="tx1"/>
                  </w14:solidFill>
                </w14:textFill>
              </w:rPr>
              <w:t>类似业绩经验评标项所提供的项目不重复计分。</w:t>
            </w:r>
          </w:p>
        </w:tc>
        <w:tc>
          <w:tcPr>
            <w:tcW w:w="78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r>
      <w:tr>
        <w:tblPrEx>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7048" w:type="dxa"/>
            <w:tcBorders>
              <w:top w:val="nil"/>
              <w:left w:val="single" w:color="auto" w:sz="4" w:space="0"/>
              <w:bottom w:val="single" w:color="auto" w:sz="4" w:space="0"/>
              <w:right w:val="single" w:color="auto" w:sz="4" w:space="0"/>
            </w:tcBorders>
            <w:noWrap w:val="0"/>
            <w:vAlign w:val="center"/>
          </w:tcPr>
          <w:p>
            <w:pPr>
              <w:pStyle w:val="7"/>
              <w:widowControl/>
              <w:adjustRightInd w:val="0"/>
              <w:snapToGrid w:val="0"/>
              <w:spacing w:line="360" w:lineRule="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供应商提供：保修期截止后，出具一份年度保修服务报告，需包含合同期内所有维修、保养、预防性服务报告，能简明保修设备的状态，对设备进行状态进行分析。完全满足得2分，否则不得分。（需提供承诺函，格式自拟，否则不得分）</w:t>
            </w:r>
          </w:p>
        </w:tc>
        <w:tc>
          <w:tcPr>
            <w:tcW w:w="78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p>
        </w:tc>
      </w:tr>
      <w:tr>
        <w:tblPrEx>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2-6</w:t>
            </w:r>
          </w:p>
        </w:tc>
        <w:tc>
          <w:tcPr>
            <w:tcW w:w="7048"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kern w:val="0"/>
                <w:sz w:val="21"/>
                <w:szCs w:val="21"/>
                <w:highlight w:val="none"/>
                <w14:textFill>
                  <w14:solidFill>
                    <w14:schemeClr w14:val="tx1"/>
                  </w14:solidFill>
                </w14:textFill>
              </w:rPr>
            </w:pPr>
            <w:r>
              <w:rPr>
                <w:rFonts w:ascii="宋体" w:hAnsi="宋体"/>
                <w:b w:val="0"/>
                <w:bCs/>
                <w:color w:val="000000" w:themeColor="text1"/>
                <w:szCs w:val="24"/>
                <w:highlight w:val="none"/>
                <w14:textFill>
                  <w14:solidFill>
                    <w14:schemeClr w14:val="tx1"/>
                  </w14:solidFill>
                </w14:textFill>
              </w:rPr>
              <w:t>本地化服务（满分</w:t>
            </w:r>
            <w:r>
              <w:rPr>
                <w:rFonts w:hint="eastAsia" w:ascii="宋体" w:hAnsi="宋体"/>
                <w:b w:val="0"/>
                <w:bCs/>
                <w:color w:val="000000" w:themeColor="text1"/>
                <w:szCs w:val="24"/>
                <w:highlight w:val="none"/>
                <w:lang w:val="en-US" w:eastAsia="zh-CN"/>
                <w14:textFill>
                  <w14:solidFill>
                    <w14:schemeClr w14:val="tx1"/>
                  </w14:solidFill>
                </w14:textFill>
              </w:rPr>
              <w:t>2</w:t>
            </w:r>
            <w:r>
              <w:rPr>
                <w:rFonts w:ascii="宋体" w:hAnsi="宋体"/>
                <w:b w:val="0"/>
                <w:bCs/>
                <w:color w:val="000000" w:themeColor="text1"/>
                <w:szCs w:val="24"/>
                <w:highlight w:val="none"/>
                <w14:textFill>
                  <w14:solidFill>
                    <w14:schemeClr w14:val="tx1"/>
                  </w14:solidFill>
                </w14:textFill>
              </w:rPr>
              <w:t>分）：根据各</w:t>
            </w:r>
            <w:r>
              <w:rPr>
                <w:rFonts w:hint="eastAsia" w:ascii="宋体" w:hAnsi="宋体"/>
                <w:b w:val="0"/>
                <w:bCs/>
                <w:color w:val="000000" w:themeColor="text1"/>
                <w:szCs w:val="24"/>
                <w:highlight w:val="none"/>
                <w14:textFill>
                  <w14:solidFill>
                    <w14:schemeClr w14:val="tx1"/>
                  </w14:solidFill>
                </w14:textFill>
              </w:rPr>
              <w:t>报价</w:t>
            </w:r>
            <w:r>
              <w:rPr>
                <w:rFonts w:ascii="宋体" w:hAnsi="宋体"/>
                <w:b w:val="0"/>
                <w:bCs/>
                <w:color w:val="000000" w:themeColor="text1"/>
                <w:szCs w:val="24"/>
                <w:highlight w:val="none"/>
                <w14:textFill>
                  <w14:solidFill>
                    <w14:schemeClr w14:val="tx1"/>
                  </w14:solidFill>
                </w14:textFill>
              </w:rPr>
              <w:t>人的承诺所投产品售后服务机构设置地点情况，由评委进行评议</w:t>
            </w:r>
            <w:r>
              <w:rPr>
                <w:rFonts w:hint="eastAsia" w:ascii="宋体" w:hAnsi="宋体"/>
                <w:b w:val="0"/>
                <w:bCs/>
                <w:color w:val="000000" w:themeColor="text1"/>
                <w:szCs w:val="24"/>
                <w:highlight w:val="none"/>
                <w14:textFill>
                  <w14:solidFill>
                    <w14:schemeClr w14:val="tx1"/>
                  </w14:solidFill>
                </w14:textFill>
              </w:rPr>
              <w:t>：承诺</w:t>
            </w:r>
            <w:r>
              <w:rPr>
                <w:rFonts w:ascii="宋体" w:hAnsi="宋体"/>
                <w:b w:val="0"/>
                <w:bCs/>
                <w:color w:val="000000" w:themeColor="text1"/>
                <w:szCs w:val="24"/>
                <w:highlight w:val="none"/>
                <w14:textFill>
                  <w14:solidFill>
                    <w14:schemeClr w14:val="tx1"/>
                  </w14:solidFill>
                </w14:textFill>
              </w:rPr>
              <w:t>项目</w:t>
            </w:r>
            <w:r>
              <w:rPr>
                <w:rFonts w:hint="eastAsia" w:ascii="宋体" w:hAnsi="宋体"/>
                <w:b w:val="0"/>
                <w:bCs/>
                <w:color w:val="000000" w:themeColor="text1"/>
                <w:szCs w:val="24"/>
                <w:highlight w:val="none"/>
                <w:lang w:eastAsia="zh-CN"/>
                <w14:textFill>
                  <w14:solidFill>
                    <w14:schemeClr w14:val="tx1"/>
                  </w14:solidFill>
                </w14:textFill>
              </w:rPr>
              <w:t>（</w:t>
            </w:r>
            <w:r>
              <w:rPr>
                <w:rFonts w:hint="eastAsia" w:ascii="宋体" w:hAnsi="宋体"/>
                <w:b w:val="0"/>
                <w:bCs/>
                <w:color w:val="000000" w:themeColor="text1"/>
                <w:szCs w:val="24"/>
                <w:highlight w:val="none"/>
                <w:lang w:val="en-US" w:eastAsia="zh-CN"/>
                <w14:textFill>
                  <w14:solidFill>
                    <w14:schemeClr w14:val="tx1"/>
                  </w14:solidFill>
                </w14:textFill>
              </w:rPr>
              <w:t>厦门</w:t>
            </w:r>
            <w:r>
              <w:rPr>
                <w:rFonts w:hint="eastAsia" w:ascii="宋体" w:hAnsi="宋体"/>
                <w:b w:val="0"/>
                <w:bCs/>
                <w:color w:val="000000" w:themeColor="text1"/>
                <w:szCs w:val="24"/>
                <w:highlight w:val="none"/>
                <w:lang w:eastAsia="zh-CN"/>
                <w14:textFill>
                  <w14:solidFill>
                    <w14:schemeClr w14:val="tx1"/>
                  </w14:solidFill>
                </w14:textFill>
              </w:rPr>
              <w:t>）</w:t>
            </w:r>
            <w:r>
              <w:rPr>
                <w:rFonts w:ascii="宋体" w:hAnsi="宋体"/>
                <w:b w:val="0"/>
                <w:bCs/>
                <w:color w:val="000000" w:themeColor="text1"/>
                <w:szCs w:val="24"/>
                <w:highlight w:val="none"/>
                <w14:textFill>
                  <w14:solidFill>
                    <w14:schemeClr w14:val="tx1"/>
                  </w14:solidFill>
                </w14:textFill>
              </w:rPr>
              <w:t>所在地设有售后服务维修机构的得</w:t>
            </w:r>
            <w:r>
              <w:rPr>
                <w:rFonts w:hint="eastAsia" w:ascii="宋体" w:hAnsi="宋体"/>
                <w:b w:val="0"/>
                <w:bCs/>
                <w:color w:val="000000" w:themeColor="text1"/>
                <w:szCs w:val="24"/>
                <w:highlight w:val="none"/>
                <w:lang w:val="en-US" w:eastAsia="zh-CN"/>
                <w14:textFill>
                  <w14:solidFill>
                    <w14:schemeClr w14:val="tx1"/>
                  </w14:solidFill>
                </w14:textFill>
              </w:rPr>
              <w:t>2</w:t>
            </w:r>
            <w:r>
              <w:rPr>
                <w:rFonts w:ascii="宋体" w:hAnsi="宋体"/>
                <w:b w:val="0"/>
                <w:bCs/>
                <w:color w:val="000000" w:themeColor="text1"/>
                <w:szCs w:val="24"/>
                <w:highlight w:val="none"/>
                <w14:textFill>
                  <w14:solidFill>
                    <w14:schemeClr w14:val="tx1"/>
                  </w14:solidFill>
                </w14:textFill>
              </w:rPr>
              <w:t>分，</w:t>
            </w:r>
            <w:r>
              <w:rPr>
                <w:rFonts w:hint="eastAsia" w:ascii="宋体" w:hAnsi="宋体"/>
                <w:b w:val="0"/>
                <w:bCs/>
                <w:color w:val="000000" w:themeColor="text1"/>
                <w:szCs w:val="24"/>
                <w:highlight w:val="none"/>
                <w14:textFill>
                  <w14:solidFill>
                    <w14:schemeClr w14:val="tx1"/>
                  </w14:solidFill>
                </w14:textFill>
              </w:rPr>
              <w:t>承诺</w:t>
            </w:r>
            <w:r>
              <w:rPr>
                <w:rFonts w:ascii="宋体" w:hAnsi="宋体"/>
                <w:b w:val="0"/>
                <w:bCs/>
                <w:color w:val="000000" w:themeColor="text1"/>
                <w:szCs w:val="24"/>
                <w:highlight w:val="none"/>
                <w14:textFill>
                  <w14:solidFill>
                    <w14:schemeClr w14:val="tx1"/>
                  </w14:solidFill>
                </w14:textFill>
              </w:rPr>
              <w:t>项目所在省设有售后服务维修机构的得1分，不重复得分，其它情形不得分。并附相关证明文件（如维修点营业执照复印件或合作协议复印件</w:t>
            </w:r>
            <w:r>
              <w:rPr>
                <w:rFonts w:hint="eastAsia" w:ascii="宋体" w:hAnsi="宋体"/>
                <w:b w:val="0"/>
                <w:bCs/>
                <w:color w:val="000000" w:themeColor="text1"/>
                <w:szCs w:val="24"/>
                <w:highlight w:val="none"/>
                <w14:textFill>
                  <w14:solidFill>
                    <w14:schemeClr w14:val="tx1"/>
                  </w14:solidFill>
                </w14:textFill>
              </w:rPr>
              <w:t>或承诺书</w:t>
            </w:r>
            <w:r>
              <w:rPr>
                <w:rFonts w:ascii="宋体" w:hAnsi="宋体"/>
                <w:b w:val="0"/>
                <w:bCs/>
                <w:color w:val="000000" w:themeColor="text1"/>
                <w:szCs w:val="24"/>
                <w:highlight w:val="none"/>
                <w14:textFill>
                  <w14:solidFill>
                    <w14:schemeClr w14:val="tx1"/>
                  </w14:solidFill>
                </w14:textFill>
              </w:rPr>
              <w:t>等），未</w:t>
            </w:r>
            <w:r>
              <w:rPr>
                <w:rFonts w:hint="eastAsia" w:ascii="宋体" w:hAnsi="宋体"/>
                <w:b w:val="0"/>
                <w:bCs/>
                <w:color w:val="000000" w:themeColor="text1"/>
                <w:szCs w:val="24"/>
                <w:highlight w:val="none"/>
                <w14:textFill>
                  <w14:solidFill>
                    <w14:schemeClr w14:val="tx1"/>
                  </w14:solidFill>
                </w14:textFill>
              </w:rPr>
              <w:t>承诺</w:t>
            </w:r>
            <w:r>
              <w:rPr>
                <w:rFonts w:ascii="宋体" w:hAnsi="宋体"/>
                <w:b w:val="0"/>
                <w:bCs/>
                <w:color w:val="000000" w:themeColor="text1"/>
                <w:szCs w:val="24"/>
                <w:highlight w:val="none"/>
                <w14:textFill>
                  <w14:solidFill>
                    <w14:schemeClr w14:val="tx1"/>
                  </w14:solidFill>
                </w14:textFill>
              </w:rPr>
              <w:t>设任何售后服务机构的本项得0分。</w:t>
            </w:r>
          </w:p>
        </w:tc>
        <w:tc>
          <w:tcPr>
            <w:tcW w:w="783"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（三）报价评分（F3）标准（满分</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14:textFill>
            <w14:solidFill>
              <w14:schemeClr w14:val="tx1"/>
            </w14:solidFill>
          </w14:textFill>
        </w:rPr>
        <w:t>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×磋商基准价/报价人的评审价</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eastAsia="宋体" w:cs="宋体"/>
          <w:color w:val="000000" w:themeColor="text1"/>
          <w:spacing w:val="-4"/>
          <w:sz w:val="24"/>
          <w:szCs w:val="24"/>
          <w:highlight w:val="none"/>
          <w14:textFill>
            <w14:solidFill>
              <w14:schemeClr w14:val="tx1"/>
            </w14:solidFill>
          </w14:textFill>
        </w:rPr>
        <w:t>漏（缺）项修正、</w:t>
      </w:r>
      <w:r>
        <w:rPr>
          <w:rFonts w:hint="eastAsia" w:ascii="宋体" w:hAnsi="宋体" w:eastAsia="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tabs>
          <w:tab w:val="center" w:pos="4365"/>
        </w:tabs>
        <w:spacing w:before="0" w:after="0" w:line="360" w:lineRule="auto"/>
        <w:ind w:firstLine="643"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报价人须知前附表4：中小企业及监狱企业优惠办法</w:t>
      </w:r>
    </w:p>
    <w:tbl>
      <w:tblPr>
        <w:tblStyle w:val="2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625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484"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本项目是否属于预留份额专门面向中小企业采购活动</w:t>
            </w:r>
            <w:r>
              <w:rPr>
                <w:rFonts w:hint="eastAsia" w:ascii="宋体" w:hAnsi="宋体" w:eastAsia="宋体" w:cs="宋体"/>
                <w:b/>
                <w:color w:val="000000" w:themeColor="text1"/>
                <w:sz w:val="24"/>
                <w:szCs w:val="24"/>
                <w:highlight w:val="none"/>
                <w14:textFill>
                  <w14:solidFill>
                    <w14:schemeClr w14:val="tx1"/>
                  </w14:solidFill>
                </w14:textFill>
              </w:rPr>
              <w:t>：</w:t>
            </w:r>
          </w:p>
        </w:tc>
        <w:tc>
          <w:tcPr>
            <w:tcW w:w="625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eastAsia="宋体" w:cs="宋体"/>
                <w:b/>
                <w:color w:val="000000" w:themeColor="text1"/>
                <w:sz w:val="24"/>
                <w:szCs w:val="24"/>
                <w:highlight w:val="none"/>
                <w14:textFill>
                  <w14:solidFill>
                    <w14:schemeClr w14:val="tx1"/>
                  </w14:solidFill>
                </w14:textFill>
              </w:rPr>
              <w:t>（含中型、小型、微型企业，下同）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noWrap w:val="0"/>
            <w:vAlign w:val="top"/>
          </w:tcPr>
          <w:p>
            <w:pPr>
              <w:spacing w:line="360" w:lineRule="auto"/>
              <w:ind w:left="0" w:leftChars="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报价人为中小企业（含中型、小型、微型企业，下同）：</w:t>
            </w:r>
          </w:p>
          <w:p>
            <w:pPr>
              <w:spacing w:line="360" w:lineRule="auto"/>
              <w:ind w:left="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①磋商保证金：按采购文件约定数额的50%交纳</w:t>
            </w:r>
          </w:p>
          <w:p>
            <w:pPr>
              <w:spacing w:line="360" w:lineRule="auto"/>
              <w:ind w:left="0" w:leftChars="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②履约保证金：按约定比例的50%支付（如果有的话）</w:t>
            </w:r>
          </w:p>
          <w:p>
            <w:pPr>
              <w:spacing w:line="360" w:lineRule="auto"/>
              <w:ind w:left="0" w:leftChars="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③</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pacing w:val="-4"/>
                <w:sz w:val="24"/>
                <w:szCs w:val="24"/>
                <w:highlight w:val="none"/>
                <w14:textFill>
                  <w14:solidFill>
                    <w14:schemeClr w14:val="tx1"/>
                  </w14:solidFill>
                </w14:textFill>
              </w:rPr>
              <w:t>：按采购文件规定的收费标准下调10%</w:t>
            </w:r>
          </w:p>
          <w:p>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本项目的服务承接商为小微企业。</w:t>
            </w:r>
            <w:r>
              <w:rPr>
                <w:rFonts w:hint="eastAsia" w:ascii="宋体" w:hAnsi="宋体" w:eastAsia="宋体" w:cs="宋体"/>
                <w:color w:val="000000" w:themeColor="text1"/>
                <w:sz w:val="24"/>
                <w:szCs w:val="24"/>
                <w:highlight w:val="none"/>
                <w14:textFill>
                  <w14:solidFill>
                    <w14:schemeClr w14:val="tx1"/>
                  </w14:solidFill>
                </w14:textFill>
              </w:rPr>
              <w:t>对其报价给予20%的扣除，扣除后的价格作为该</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人的评</w:t>
            </w: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z w:val="24"/>
                <w:szCs w:val="24"/>
                <w:highlight w:val="none"/>
                <w14:textFill>
                  <w14:solidFill>
                    <w14:schemeClr w14:val="tx1"/>
                  </w14:solidFill>
                </w14:textFill>
              </w:rPr>
              <w:t>价参与价格评</w:t>
            </w: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t>　　联合体各方均为小型、微型企业的，联合体视同为小型、微型企业享受本办法第四条、第五条规定的扶持政策。</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t>　　组成联合体的大中型企业和其他自然人、法人或者其他组织，与小型、微型企业之间不得存在投资关系。</w:t>
            </w:r>
          </w:p>
          <w:p>
            <w:pPr>
              <w:pStyle w:val="21"/>
              <w:numPr>
                <w:ilvl w:val="-1"/>
                <w:numId w:val="0"/>
              </w:numPr>
              <w:spacing w:line="360" w:lineRule="auto"/>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000000" w:themeColor="text1"/>
                <w:sz w:val="24"/>
                <w:szCs w:val="24"/>
                <w:highlight w:val="none"/>
                <w:lang w:eastAsia="zh-CN"/>
                <w14:textFill>
                  <w14:solidFill>
                    <w14:schemeClr w14:val="tx1"/>
                  </w14:solidFill>
                </w14:textFill>
              </w:rPr>
              <w:t>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若本项目属于预留份额专门面向中小企业采购活动，</w:t>
            </w:r>
            <w:r>
              <w:rPr>
                <w:rFonts w:hint="eastAsia" w:ascii="宋体" w:hAnsi="宋体" w:eastAsia="宋体" w:cs="宋体"/>
                <w:color w:val="000000" w:themeColor="text1"/>
                <w:sz w:val="24"/>
                <w:szCs w:val="24"/>
                <w:highlight w:val="none"/>
                <w14:textFill>
                  <w14:solidFill>
                    <w14:schemeClr w14:val="tx1"/>
                  </w14:solidFill>
                </w14:textFill>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eastAsia="宋体" w:cs="宋体"/>
                <w:b/>
                <w:bCs/>
                <w:color w:val="000000" w:themeColor="text1"/>
                <w:sz w:val="24"/>
                <w:szCs w:val="24"/>
                <w:highlight w:val="none"/>
                <w:u w:val="single"/>
                <w14:textFill>
                  <w14:solidFill>
                    <w14:schemeClr w14:val="tx1"/>
                  </w14:solidFill>
                </w14:textFill>
              </w:rPr>
              <w:t>其他未列明</w:t>
            </w:r>
            <w:r>
              <w:rPr>
                <w:rFonts w:hint="eastAsia" w:ascii="宋体" w:hAnsi="宋体" w:eastAsia="宋体" w:cs="宋体"/>
                <w:color w:val="000000" w:themeColor="text1"/>
                <w:sz w:val="24"/>
                <w:szCs w:val="24"/>
                <w:highlight w:val="none"/>
                <w:u w:val="single"/>
                <w14:textFill>
                  <w14:solidFill>
                    <w14:schemeClr w14:val="tx1"/>
                  </w14:solidFill>
                </w14:textFill>
              </w:rPr>
              <w:t>行业。</w:t>
            </w:r>
          </w:p>
        </w:tc>
        <w:tc>
          <w:tcPr>
            <w:tcW w:w="6256" w:type="dxa"/>
            <w:tcBorders>
              <w:bottom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000000" w:themeColor="text1"/>
                <w:sz w:val="24"/>
                <w:szCs w:val="24"/>
                <w:highlight w:val="non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14:textFill>
                  <w14:solidFill>
                    <w14:schemeClr w14:val="tx1"/>
                  </w14:solidFill>
                </w14:textFill>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报价人不符合“工信部联企业[2011]300号”规定的中小企业标准的；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2.响应货物全部或部分为使用大型企业注册商标的货物的；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pPr>
              <w:spacing w:line="360" w:lineRule="auto"/>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二、提供虚假证明材料后果：</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kern w:val="0"/>
                <w:sz w:val="24"/>
                <w:szCs w:val="24"/>
                <w:highlight w:val="none"/>
                <w14:textFill>
                  <w14:solidFill>
                    <w14:schemeClr w14:val="tx1"/>
                  </w14:solidFill>
                </w14:textFill>
              </w:rPr>
              <w:t>不予退还，该报价人还应承担由此引起的其他经济、法律责任。出现此种情形时，采购人、采购代理机构将有关情况上报政府采购监管部门，由监管部门按有关规定对其进行相应处罚。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采购人、采购代理机构</w:t>
            </w:r>
            <w:r>
              <w:rPr>
                <w:rFonts w:hint="eastAsia" w:ascii="宋体" w:hAnsi="宋体" w:eastAsia="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eastAsia="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both"/>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both"/>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第二章  报价人须知</w:t>
      </w: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一、说明</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1.适用范围</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1.1本采购文件仅适用于邀请中所叙述项目的服务采购。</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2.定义</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“采购人”系指本次采购项目的业主方。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“采购单位”系指组织本次采购活动的采购人或采购代理机构。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“采购代理机构”系指本次采购项目活动组织方。</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2.4 “报价人”系指购买了本采购文件，且已经提交或准备提交报价文件的服务商或承包商。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2.5 “货物”系指指各种形态和和种类的物品，包括原材料、燃料、设备、产品等。</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2.7“服务”系指除货物和工程以外的其他政府采购对象。</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4.磋商费用</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4.1 报价人应承担其准备与参加磋商所涉及的一切费用。</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5.知识产权</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p>
    <w:p>
      <w:pPr>
        <w:pStyle w:val="66"/>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二、 采购文件</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6.采购文件的组成</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（1）磋商邀请</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（2）报价人须知</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（3）采购内容及要求</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（4）政府采购合同</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（5）报价文件格式</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（6）相关的补充、修改文件</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7.采购文件的澄清与修改</w:t>
      </w:r>
    </w:p>
    <w:p>
      <w:pPr>
        <w:pStyle w:val="5"/>
        <w:snapToGrid w:val="0"/>
        <w:spacing w:line="360" w:lineRule="auto"/>
        <w:ind w:firstLine="420" w:firstLineChars="175"/>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7.1</w:t>
      </w:r>
      <w:r>
        <w:rPr>
          <w:rFonts w:hint="eastAsia" w:eastAsia="宋体"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eastAsia="宋体" w:cs="宋体"/>
          <w:color w:val="000000" w:themeColor="text1"/>
          <w:sz w:val="24"/>
          <w:szCs w:val="24"/>
          <w:highlight w:val="none"/>
          <w14:textFill>
            <w14:solidFill>
              <w14:schemeClr w14:val="tx1"/>
            </w14:solidFill>
          </w14:textFill>
        </w:rPr>
        <w:t>采购代理代理机构</w:t>
      </w:r>
      <w:r>
        <w:rPr>
          <w:rFonts w:hint="eastAsia" w:eastAsia="宋体"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eastAsia="宋体" w:cs="宋体"/>
          <w:color w:val="000000" w:themeColor="text1"/>
          <w:sz w:val="24"/>
          <w:szCs w:val="24"/>
          <w:highlight w:val="none"/>
          <w14:textFill>
            <w14:solidFill>
              <w14:schemeClr w14:val="tx1"/>
            </w14:solidFill>
          </w14:textFill>
        </w:rPr>
        <w:t>在原信息发布媒体上发布更正公告，</w:t>
      </w:r>
      <w:r>
        <w:rPr>
          <w:rFonts w:hint="eastAsia" w:eastAsia="宋体"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eastAsia="宋体" w:cs="宋体"/>
          <w:color w:val="000000" w:themeColor="text1"/>
          <w:sz w:val="24"/>
          <w:szCs w:val="24"/>
          <w:highlight w:val="none"/>
          <w14:textFill>
            <w14:solidFill>
              <w14:schemeClr w14:val="tx1"/>
            </w14:solidFill>
          </w14:textFill>
        </w:rPr>
        <w:t>（如属网上采购项目</w:t>
      </w:r>
      <w:r>
        <w:rPr>
          <w:rFonts w:hint="eastAsia" w:eastAsia="宋体"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eastAsia="宋体"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eastAsia="宋体" w:cs="宋体"/>
          <w:bCs/>
          <w:color w:val="000000" w:themeColor="text1"/>
          <w:sz w:val="24"/>
          <w:szCs w:val="24"/>
          <w:highlight w:val="none"/>
          <w14:textFill>
            <w14:solidFill>
              <w14:schemeClr w14:val="tx1"/>
            </w14:solidFill>
          </w14:textFill>
        </w:rPr>
        <w:t>本采购文件第7.2条规定的推迟响应截止时间情形不受本条约束。</w:t>
      </w:r>
    </w:p>
    <w:p>
      <w:pPr>
        <w:pStyle w:val="5"/>
        <w:snapToGrid w:val="0"/>
        <w:spacing w:line="360" w:lineRule="auto"/>
        <w:ind w:firstLine="420" w:firstLineChars="175"/>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pPr>
        <w:pStyle w:val="5"/>
        <w:snapToGrid w:val="0"/>
        <w:spacing w:line="360" w:lineRule="auto"/>
        <w:ind w:firstLine="420" w:firstLineChars="175"/>
        <w:outlineLvl w:val="0"/>
        <w:rPr>
          <w:rFonts w:hint="eastAsia" w:eastAsia="宋体" w:cs="宋体"/>
          <w:color w:val="000000" w:themeColor="text1"/>
          <w:sz w:val="24"/>
          <w:szCs w:val="24"/>
          <w:highlight w:val="none"/>
          <w14:textFill>
            <w14:solidFill>
              <w14:schemeClr w14:val="tx1"/>
            </w14:solidFill>
          </w14:textFill>
        </w:rPr>
      </w:pPr>
    </w:p>
    <w:p>
      <w:pPr>
        <w:pStyle w:val="5"/>
        <w:snapToGrid w:val="0"/>
        <w:spacing w:line="360" w:lineRule="auto"/>
        <w:ind w:firstLine="562" w:firstLineChars="175"/>
        <w:jc w:val="center"/>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b/>
          <w:color w:val="000000" w:themeColor="text1"/>
          <w:sz w:val="32"/>
          <w:szCs w:val="32"/>
          <w:highlight w:val="none"/>
          <w14:textFill>
            <w14:solidFill>
              <w14:schemeClr w14:val="tx1"/>
            </w14:solidFill>
          </w14:textFill>
        </w:rPr>
        <w:t>三、报价文件的编写</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8.要求</w:t>
      </w:r>
    </w:p>
    <w:p>
      <w:pPr>
        <w:pStyle w:val="9"/>
        <w:spacing w:line="360" w:lineRule="auto"/>
        <w:ind w:firstLine="48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9.报价文件语言及报价要求</w:t>
      </w:r>
    </w:p>
    <w:p>
      <w:pPr>
        <w:pStyle w:val="9"/>
        <w:spacing w:line="360" w:lineRule="auto"/>
        <w:ind w:firstLine="480" w:firstLineChars="200"/>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9.1报价文件应用中文书写。报价文件中所附或所引用的原件不是中文时，应附中文译文。各种计量单位及符号应采用国际上统一使用的公制计量单位和符号。</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10.报价文件的组成</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10.1报价文件应包括下列部分：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磋商响应声明函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(3)磋商分项报价表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项目说明一览表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范围清单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报价人提交的其他资料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 磋商保证金</w:t>
      </w:r>
    </w:p>
    <w:p>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（11）报价人应交的其他资料</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11.</w:t>
      </w:r>
      <w:r>
        <w:rPr>
          <w:rFonts w:hint="eastAsia" w:hAnsi="宋体" w:eastAsia="宋体" w:cs="宋体"/>
          <w:b/>
          <w:color w:val="000000" w:themeColor="text1"/>
          <w:sz w:val="24"/>
          <w:szCs w:val="24"/>
          <w:highlight w:val="none"/>
          <w:lang w:eastAsia="zh-CN"/>
          <w14:textFill>
            <w14:solidFill>
              <w14:schemeClr w14:val="tx1"/>
            </w14:solidFill>
          </w14:textFill>
        </w:rPr>
        <w:t>报价</w:t>
      </w:r>
      <w:r>
        <w:rPr>
          <w:rFonts w:hint="eastAsia" w:hAnsi="宋体" w:eastAsia="宋体" w:cs="宋体"/>
          <w:b/>
          <w:color w:val="000000" w:themeColor="text1"/>
          <w:sz w:val="24"/>
          <w:szCs w:val="24"/>
          <w:highlight w:val="none"/>
          <w14:textFill>
            <w14:solidFill>
              <w14:schemeClr w14:val="tx1"/>
            </w14:solidFill>
          </w14:textFill>
        </w:rPr>
        <w:t>有效期</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11.1报价文件从</w:t>
      </w:r>
      <w:r>
        <w:rPr>
          <w:rFonts w:hint="eastAsia" w:hAnsi="宋体" w:eastAsia="宋体" w:cs="宋体"/>
          <w:bCs/>
          <w:color w:val="000000" w:themeColor="text1"/>
          <w:sz w:val="24"/>
          <w:szCs w:val="24"/>
          <w:highlight w:val="none"/>
          <w14:textFill>
            <w14:solidFill>
              <w14:schemeClr w14:val="tx1"/>
            </w14:solidFill>
          </w14:textFill>
        </w:rPr>
        <w:t>报价人须知前附表1</w:t>
      </w:r>
      <w:r>
        <w:rPr>
          <w:rFonts w:hint="eastAsia" w:hAnsi="宋体" w:eastAsia="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color w:val="000000" w:themeColor="text1"/>
          <w:sz w:val="24"/>
          <w:szCs w:val="24"/>
          <w:highlight w:val="none"/>
          <w14:textFill>
            <w14:solidFill>
              <w14:schemeClr w14:val="tx1"/>
            </w14:solidFill>
          </w14:textFill>
        </w:rPr>
        <w:t>所规定的期限内保持有效。有效期不足将导致其报价文件被拒绝。</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12.磋商保证金</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12.1 磋商保证金为报价文件的组成部分之一。</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12.4磋商保证金交纳方式及其它：</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②若项目存在分包的，则磋商保证金应按不同的合同包号分别提交。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12.5 未按要求提交磋商保证金的磋商响应，将被视为无效响应。</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12.7在成交供应商支付所有</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并签订合同后5个工作日内，采购代理机构对成交供应商的磋商保证金予以原额无息退还。</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12.8磋商保证金产生的银行利息统一上缴市财政。</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（1）报价人在提交最后报价后，撤回磋商响应；</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（3）成交供应商未按本须知规定缴纳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（5）报价人在报价文件中提供虚假材料的；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（6）在禁止参加政府采购活动的处罚期内，仍参加政府采购活动的；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（7）以不正当手段诋毁、排挤其他报价人的；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（8）因本项目政府采购过程中的违法行为，受到行政处罚的；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（9）与采购人、其他报价人或者采购代理机构恶意串通的；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（10）法律、法规、规章及本采购文件中规定的其他没收磋商保证金的情形。</w:t>
      </w:r>
    </w:p>
    <w:p>
      <w:pPr>
        <w:pStyle w:val="9"/>
        <w:spacing w:line="360" w:lineRule="auto"/>
        <w:ind w:firstLine="840" w:firstLineChars="3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13.报价文件的格式</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eastAsia="宋体" w:cs="宋体"/>
          <w:color w:val="000000" w:themeColor="text1"/>
          <w:sz w:val="24"/>
          <w:szCs w:val="24"/>
          <w:highlight w:val="none"/>
          <w:u w:val="single"/>
          <w:lang w:eastAsia="zh-CN"/>
          <w14:textFill>
            <w14:solidFill>
              <w14:schemeClr w14:val="tx1"/>
            </w14:solidFill>
          </w14:textFill>
        </w:rPr>
        <w:t>四</w:t>
      </w:r>
      <w:r>
        <w:rPr>
          <w:rFonts w:hint="eastAsia" w:hAnsi="宋体" w:eastAsia="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13.3除非另有规定或许可，磋商响应使用货币为人民币。</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13.8 所有资格证明文件复印件须加盖报价人公章。</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66"/>
        <w:spacing w:line="360" w:lineRule="auto"/>
        <w:ind w:firstLine="643" w:firstLineChars="200"/>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四、报价文件的提交</w:t>
      </w:r>
    </w:p>
    <w:p>
      <w:pPr>
        <w:pStyle w:val="66"/>
        <w:spacing w:line="360" w:lineRule="auto"/>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14.报价文件的密封、标记和递交</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14.2每一信封密封处应注明“于</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之前（指磋商邀请中规定的磋商日期及时间）不准启封”的字样，并加盖报价人公章或由磋商代表签字。     </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pPr>
        <w:pStyle w:val="66"/>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66"/>
        <w:spacing w:line="360" w:lineRule="auto"/>
        <w:ind w:firstLine="643" w:firstLineChars="200"/>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五、报价文件的评估和比较</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15.磋商时间</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16.磋商小组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(8)不符合采购文件中规定的其它实质性条款。</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17.4报价人提交的报价文件将给予保密，但不予退回。</w:t>
      </w:r>
    </w:p>
    <w:p>
      <w:pPr>
        <w:pStyle w:val="5"/>
        <w:snapToGrid w:val="0"/>
        <w:spacing w:line="360" w:lineRule="auto"/>
        <w:ind w:firstLine="480" w:firstLineChars="200"/>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pPr>
        <w:pStyle w:val="5"/>
        <w:snapToGrid w:val="0"/>
        <w:spacing w:line="360" w:lineRule="auto"/>
        <w:ind w:firstLine="0"/>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b/>
          <w:color w:val="000000" w:themeColor="text1"/>
          <w:sz w:val="24"/>
          <w:szCs w:val="24"/>
          <w:highlight w:val="none"/>
          <w14:textFill>
            <w14:solidFill>
              <w14:schemeClr w14:val="tx1"/>
            </w14:solidFill>
          </w14:textFill>
        </w:rPr>
        <w:t>18.磋商相应文件的澄清</w:t>
      </w:r>
    </w:p>
    <w:p>
      <w:pPr>
        <w:pStyle w:val="5"/>
        <w:snapToGrid w:val="0"/>
        <w:spacing w:line="360" w:lineRule="auto"/>
        <w:ind w:firstLine="480" w:firstLineChars="200"/>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19.比较与评价</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p>
    <w:p>
      <w:pPr>
        <w:pStyle w:val="66"/>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六、成交与签订合同</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20.成交准则</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21.成交通知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21.2《成交通知书》发出同时应将未成交通知书发送给其他报价人。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22.签订合同</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pPr>
        <w:pStyle w:val="9"/>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23.</w:t>
      </w:r>
      <w:r>
        <w:rPr>
          <w:rFonts w:hint="eastAsia" w:hAnsi="宋体" w:eastAsia="宋体" w:cs="宋体"/>
          <w:b/>
          <w:color w:val="000000" w:themeColor="text1"/>
          <w:sz w:val="24"/>
          <w:szCs w:val="24"/>
          <w:highlight w:val="none"/>
          <w:lang w:eastAsia="zh-CN"/>
          <w14:textFill>
            <w14:solidFill>
              <w14:schemeClr w14:val="tx1"/>
            </w14:solidFill>
          </w14:textFill>
        </w:rPr>
        <w:t>代理服务费</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成交供应商应按须知前附表一次性向采购代理机构交纳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第三章  磋商内容及要求</w:t>
      </w:r>
    </w:p>
    <w:p>
      <w:pPr>
        <w:pStyle w:val="64"/>
        <w:spacing w:line="360" w:lineRule="auto"/>
        <w:rPr>
          <w:rFonts w:hint="eastAsia" w:hAnsi="宋体" w:eastAsia="宋体" w:cs="宋体"/>
          <w:color w:val="000000" w:themeColor="text1"/>
          <w:highlight w:val="none"/>
          <w14:textFill>
            <w14:solidFill>
              <w14:schemeClr w14:val="tx1"/>
            </w14:solidFill>
          </w14:textFill>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0" w:name="_Toc38028154"/>
      <w:bookmarkStart w:id="1" w:name="_Toc41916212"/>
      <w:bookmarkStart w:id="2" w:name="_Toc41914047"/>
      <w:bookmarkStart w:id="3" w:name="_Toc4505549"/>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项目概况</w:t>
      </w:r>
      <w:bookmarkEnd w:id="0"/>
      <w:bookmarkEnd w:id="1"/>
      <w:bookmarkEnd w:id="2"/>
    </w:p>
    <w:tbl>
      <w:tblPr>
        <w:tblStyle w:val="22"/>
        <w:tblpPr w:leftFromText="180" w:rightFromText="180" w:vertAnchor="text" w:horzAnchor="page" w:tblpX="1995" w:tblpY="224"/>
        <w:tblOverlap w:val="never"/>
        <w:tblW w:w="9085" w:type="dxa"/>
        <w:tblInd w:w="0" w:type="dxa"/>
        <w:tblLayout w:type="fixed"/>
        <w:tblCellMar>
          <w:top w:w="0" w:type="dxa"/>
          <w:left w:w="108" w:type="dxa"/>
          <w:bottom w:w="0" w:type="dxa"/>
          <w:right w:w="108" w:type="dxa"/>
        </w:tblCellMar>
      </w:tblPr>
      <w:tblGrid>
        <w:gridCol w:w="782"/>
        <w:gridCol w:w="2303"/>
        <w:gridCol w:w="2047"/>
        <w:gridCol w:w="1200"/>
        <w:gridCol w:w="1268"/>
        <w:gridCol w:w="1485"/>
      </w:tblGrid>
      <w:tr>
        <w:tblPrEx>
          <w:tblCellMar>
            <w:top w:w="0" w:type="dxa"/>
            <w:left w:w="108" w:type="dxa"/>
            <w:bottom w:w="0" w:type="dxa"/>
            <w:right w:w="108" w:type="dxa"/>
          </w:tblCellMar>
        </w:tblPrEx>
        <w:trPr>
          <w:trHeight w:val="480" w:hRule="atLeast"/>
        </w:trPr>
        <w:tc>
          <w:tcPr>
            <w:tcW w:w="782" w:type="dxa"/>
            <w:tcBorders>
              <w:top w:val="single" w:color="auto" w:sz="4" w:space="0"/>
              <w:left w:val="single" w:color="auto" w:sz="4" w:space="0"/>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303" w:type="dxa"/>
            <w:tcBorders>
              <w:top w:val="single" w:color="auto" w:sz="4" w:space="0"/>
              <w:left w:val="nil"/>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2047" w:type="dxa"/>
            <w:tcBorders>
              <w:top w:val="single" w:color="auto" w:sz="4" w:space="0"/>
              <w:left w:val="nil"/>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型号</w:t>
            </w:r>
          </w:p>
        </w:tc>
        <w:tc>
          <w:tcPr>
            <w:tcW w:w="1200" w:type="dxa"/>
            <w:tcBorders>
              <w:top w:val="single" w:color="auto" w:sz="4" w:space="0"/>
              <w:left w:val="nil"/>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数量</w:t>
            </w:r>
          </w:p>
        </w:tc>
        <w:tc>
          <w:tcPr>
            <w:tcW w:w="1268" w:type="dxa"/>
            <w:tcBorders>
              <w:top w:val="single" w:color="auto" w:sz="4" w:space="0"/>
              <w:left w:val="nil"/>
              <w:bottom w:val="single" w:color="auto" w:sz="4" w:space="0"/>
              <w:right w:val="single" w:color="auto" w:sz="4" w:space="0"/>
            </w:tcBorders>
            <w:noWrap w:val="0"/>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保修时间</w:t>
            </w:r>
          </w:p>
        </w:tc>
        <w:tc>
          <w:tcPr>
            <w:tcW w:w="1485" w:type="dxa"/>
            <w:tcBorders>
              <w:top w:val="single" w:color="auto" w:sz="4" w:space="0"/>
              <w:left w:val="nil"/>
              <w:bottom w:val="single" w:color="auto" w:sz="4" w:space="0"/>
              <w:right w:val="single" w:color="auto" w:sz="4" w:space="0"/>
            </w:tcBorders>
            <w:noWrap w:val="0"/>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总价</w:t>
            </w:r>
          </w:p>
        </w:tc>
      </w:tr>
      <w:tr>
        <w:tblPrEx>
          <w:tblCellMar>
            <w:top w:w="0" w:type="dxa"/>
            <w:left w:w="108" w:type="dxa"/>
            <w:bottom w:w="0" w:type="dxa"/>
            <w:right w:w="108" w:type="dxa"/>
          </w:tblCellMar>
        </w:tblPrEx>
        <w:trPr>
          <w:trHeight w:val="510" w:hRule="atLeast"/>
        </w:trPr>
        <w:tc>
          <w:tcPr>
            <w:tcW w:w="782" w:type="dxa"/>
            <w:tcBorders>
              <w:top w:val="single" w:color="auto" w:sz="4" w:space="0"/>
              <w:left w:val="single" w:color="auto" w:sz="4" w:space="0"/>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2303" w:type="dxa"/>
            <w:tcBorders>
              <w:top w:val="single" w:color="auto" w:sz="4" w:space="0"/>
              <w:left w:val="single" w:color="auto" w:sz="4" w:space="0"/>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GE  670型ECT保修</w:t>
            </w:r>
          </w:p>
        </w:tc>
        <w:tc>
          <w:tcPr>
            <w:tcW w:w="2047" w:type="dxa"/>
            <w:tcBorders>
              <w:top w:val="single" w:color="auto" w:sz="4" w:space="0"/>
              <w:left w:val="single" w:color="auto" w:sz="4" w:space="0"/>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DiscoveryNM/CT670</w:t>
            </w:r>
          </w:p>
        </w:tc>
        <w:tc>
          <w:tcPr>
            <w:tcW w:w="1200" w:type="dxa"/>
            <w:tcBorders>
              <w:top w:val="single" w:color="auto" w:sz="4" w:space="0"/>
              <w:left w:val="single" w:color="auto" w:sz="4" w:space="0"/>
              <w:bottom w:val="single" w:color="auto" w:sz="4" w:space="0"/>
              <w:right w:val="single" w:color="auto" w:sz="4" w:space="0"/>
            </w:tcBorders>
            <w:noWrap/>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13个月</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p>
        </w:tc>
      </w:tr>
    </w:tbl>
    <w:p>
      <w:pPr>
        <w:pStyle w:val="72"/>
        <w:numPr>
          <w:ilvl w:val="-1"/>
          <w:numId w:val="0"/>
        </w:numPr>
        <w:tabs>
          <w:tab w:val="left" w:pos="816"/>
        </w:tabs>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bookmarkEnd w:id="3"/>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4" w:name="_Toc176077642"/>
      <w:bookmarkStart w:id="5" w:name="_Toc4505554"/>
      <w:bookmarkStart w:id="6" w:name="_Toc241456539"/>
      <w:bookmarkStart w:id="7" w:name="_Toc457896688"/>
      <w:bookmarkStart w:id="8" w:name="_Toc448299017"/>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二、保修服务</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要求</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425" w:leftChars="0" w:hanging="425" w:firstLineChars="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★合同期内包含所有人工服务和常规备件、晶体和光电倍增管，不含球管和探测器。</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425" w:leftChars="0" w:hanging="425" w:firstLineChars="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★保修时间：13个月。</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合同期内提供设备保养次数≥4次。含预防性保养所消耗的所有耗材，并出具保养报告及整机质量评估报告。</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报价人若为最终成交供应商须承诺承担已发生的维修费用，不额外收费。</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★报价人须能合法获得有效期内的原厂高级故障诊断维修钥匙(Service Key)，并保证不违反国家有关知识产权的法律规定。（须提供承诺函，格式自拟）。</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★合同内报价人能合法提供设备生产商的系统软件及硬件的安全性改版升级和技术支持。（提供专项承诺函，格式自拟）。</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★报价人提供服务的工程师需获得原厂认证资质，工程师配置不少于2人。（提供资质证明文件)</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报价人须配有临床应用培训人员，可提供临床扫描、图像处理和相应业务拓展的技术支持。须提供相应证明材料。</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人所更换的备件为原设备零配件同一生产厂家和同一型号规格的零配件，满足设备运行要求,不会给设备带来危害。并提供零配件的相关材料，包括但不限于：若所提供零配件为国外供货，进口产品须提供报关单，且备件供应100%保障。</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报价人须在福建省内设有办事处，以保证维保服务的及时性。需提供福建省办事处营业执照复印件。</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合同期内报价人每年须提供1人次的原厂临床应用培训机会，参加原厂举办的核医学临床应用培训课程。</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报价人须承诺接到报修电话后2个小时内响应，24小时内工程师到场。</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保修期内设备开机率：≥95%（按全年365天计算），开机率计算公式：（365-故障天数）/365，如未达到95%的开机率，每低1%，合同期限相应延长5个日历日；</w:t>
      </w:r>
    </w:p>
    <w:p>
      <w:pPr>
        <w:keepNext w:val="0"/>
        <w:keepLines w:val="0"/>
        <w:pageBreakBefore w:val="0"/>
        <w:numPr>
          <w:ilvl w:val="0"/>
          <w:numId w:val="2"/>
        </w:numPr>
        <w:kinsoku/>
        <w:wordWrap/>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成交供应商必须配合院方根据国家制订的质控法规（含计量检定），确保设备的相关参数符合国家标准要求，以达到设备最佳性能。如某参数不能达标，投标方必须调整或校正直至符合国家标准要求。</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 xml:space="preserve">（二）相关标准及要求 </w:t>
      </w:r>
    </w:p>
    <w:p>
      <w:pPr>
        <w:keepNext w:val="0"/>
        <w:keepLines w:val="0"/>
        <w:pageBreakBefore w:val="0"/>
        <w:kinsoku/>
        <w:wordWrap/>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所更换核心部件需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具备《中华人民共和国医疗器械注册证》，并且满足国内医疗行业管理的有关规定。</w:t>
      </w:r>
    </w:p>
    <w:p>
      <w:pPr>
        <w:keepNext w:val="0"/>
        <w:keepLines w:val="0"/>
        <w:pageBreakBefore w:val="0"/>
        <w:kinsoku/>
        <w:wordWrap/>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、技术标准：合同货物应符合所附产品说明所述的技术规格和标准。如果没有提及适用标准，则应符合货物来源国适用的国家标准，这些标准必须是有关机构发布的最新版本的标准。</w:t>
      </w:r>
    </w:p>
    <w:p>
      <w:pPr>
        <w:keepNext w:val="0"/>
        <w:keepLines w:val="0"/>
        <w:pageBreakBefore w:val="0"/>
        <w:kinsoku/>
        <w:wordWrap/>
        <w:overflowPunct w:val="0"/>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）项目交付或者实施的时间和地点；</w:t>
      </w:r>
    </w:p>
    <w:p>
      <w:pPr>
        <w:keepNext w:val="0"/>
        <w:keepLines w:val="0"/>
        <w:pageBreakBefore w:val="0"/>
        <w:kinsoku/>
        <w:wordWrap/>
        <w:overflowPunct w:val="0"/>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项目实施的时间：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合同签订之日起13个月。</w:t>
      </w:r>
    </w:p>
    <w:p>
      <w:pPr>
        <w:keepNext w:val="0"/>
        <w:keepLines w:val="0"/>
        <w:pageBreakBefore w:val="0"/>
        <w:kinsoku/>
        <w:wordWrap/>
        <w:overflowPunct w:val="0"/>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项目交付地点：厦门大学附属中山医院</w:t>
      </w:r>
    </w:p>
    <w:p>
      <w:pPr>
        <w:keepNext w:val="0"/>
        <w:keepLines w:val="0"/>
        <w:pageBreakBefore w:val="0"/>
        <w:numPr>
          <w:ilvl w:val="0"/>
          <w:numId w:val="0"/>
        </w:numPr>
        <w:kinsoku/>
        <w:wordWrap/>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故障响应时间：提供24小时╳365天400热线支持以及远程现场服务；接到报修电话后，2个小时内电话响应，确定需要工程师到现场后，需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小时内到达现场进行维修。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保修期截止后，出具一份年度保修服务报告，需包含合同期内所有维修、保养、预防性服务报告，能简明保修设备的状态，对设备进行状态进行分析。</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验收依据：</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文件、合同及国家有关的质量标准规定，均为验收依据。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应严格按照采购人、招标文件要求及投标承诺提供服务。若采购人发现</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提供的服务不符合要求，</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应在接到采购人通知之日起3日内整改到位，并将整改情况向采购人汇报。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经采购人通知，</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拒不整改或连续3次整改不到位的，采购人有权解除合同，同时</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应赔偿采购人损失。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采购人有权委托相关单位、机构针对</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的保修成果进行检验。其检验结果将作为验收标准的组成部分之一。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验收过程的一切费用由</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承担。</w:t>
      </w:r>
    </w:p>
    <w:p>
      <w:pPr>
        <w:pStyle w:val="3"/>
        <w:pageBreakBefore w:val="0"/>
        <w:widowControl w:val="0"/>
        <w:numPr>
          <w:ilvl w:val="-1"/>
          <w:numId w:val="0"/>
        </w:numPr>
        <w:kinsoku/>
        <w:wordWrap/>
        <w:overflowPunct/>
        <w:topLinePunct w:val="0"/>
        <w:autoSpaceDE/>
        <w:autoSpaceDN/>
        <w:bidi w:val="0"/>
        <w:adjustRightInd/>
        <w:snapToGrid/>
        <w:spacing w:before="0" w:after="0" w:line="360" w:lineRule="auto"/>
        <w:ind w:left="0" w:firstLine="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3"/>
        <w:pageBreakBefore w:val="0"/>
        <w:widowControl w:val="0"/>
        <w:numPr>
          <w:ilvl w:val="-1"/>
          <w:numId w:val="0"/>
        </w:numPr>
        <w:kinsoku/>
        <w:wordWrap/>
        <w:overflowPunct/>
        <w:topLinePunct w:val="0"/>
        <w:autoSpaceDE/>
        <w:autoSpaceDN/>
        <w:bidi w:val="0"/>
        <w:adjustRightInd/>
        <w:snapToGrid/>
        <w:spacing w:before="0" w:after="0" w:line="360" w:lineRule="auto"/>
        <w:ind w:left="0" w:firstLine="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三、报价要求及付款方式</w:t>
      </w:r>
    </w:p>
    <w:bookmarkEnd w:id="4"/>
    <w:bookmarkEnd w:id="5"/>
    <w:bookmarkEnd w:id="6"/>
    <w:bookmarkEnd w:id="7"/>
    <w:bookmarkEnd w:id="8"/>
    <w:p>
      <w:pPr>
        <w:pStyle w:val="72"/>
        <w:pageBreakBefore w:val="0"/>
        <w:widowControl w:val="0"/>
        <w:numPr>
          <w:ilvl w:val="0"/>
          <w:numId w:val="3"/>
        </w:numPr>
        <w:tabs>
          <w:tab w:val="left" w:pos="816"/>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bidi="ar-SA"/>
          <w14:textFill>
            <w14:solidFill>
              <w14:schemeClr w14:val="tx1"/>
            </w14:solidFill>
          </w14:textFill>
        </w:rPr>
        <w:t>★本项目最高限价为人民币40万元，供应商任何一次报价不得高于最高限价，否则按无效报价处理。</w:t>
      </w:r>
    </w:p>
    <w:p>
      <w:pPr>
        <w:pStyle w:val="72"/>
        <w:pageBreakBefore w:val="0"/>
        <w:widowControl w:val="0"/>
        <w:numPr>
          <w:ilvl w:val="0"/>
          <w:numId w:val="3"/>
        </w:numPr>
        <w:tabs>
          <w:tab w:val="left" w:pos="816"/>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bidi="ar-SA"/>
          <w14:textFill>
            <w14:solidFill>
              <w14:schemeClr w14:val="tx1"/>
            </w14:solidFill>
          </w14:textFill>
        </w:rPr>
        <w:t>投标总价为完成采购人所要求的保修服务内容所有可能发生的费用，包括但不限于：包括员工工资、行政办公费用、员工保险费、福利费、加班费、设备工具折旧费、临时任务等费费、税收、保险、企业提取的管理费用等一切费用；报价人漏报或少报的费用，视为此项费用已隐含在投标总价中，中标后不得再向采购人收取任何费用。</w:t>
      </w:r>
    </w:p>
    <w:p>
      <w:pPr>
        <w:pStyle w:val="72"/>
        <w:pageBreakBefore w:val="0"/>
        <w:widowControl w:val="0"/>
        <w:numPr>
          <w:ilvl w:val="0"/>
          <w:numId w:val="3"/>
        </w:numPr>
        <w:tabs>
          <w:tab w:val="left" w:pos="81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t>同款项的支付具体如下：</w:t>
      </w:r>
    </w:p>
    <w:tbl>
      <w:tblPr>
        <w:tblStyle w:val="22"/>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879"/>
        <w:gridCol w:w="47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支付期次</w:t>
            </w:r>
          </w:p>
        </w:tc>
        <w:tc>
          <w:tcPr>
            <w:tcW w:w="18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支付比例(%)</w:t>
            </w:r>
          </w:p>
        </w:tc>
        <w:tc>
          <w:tcPr>
            <w:tcW w:w="477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8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w:t>
            </w:r>
          </w:p>
        </w:tc>
        <w:tc>
          <w:tcPr>
            <w:tcW w:w="477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合同服务期执行七个月后，成交供应商提交7个月的服务报告及合规发票，采购人向成交供应商支付50%合同款；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8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w:t>
            </w:r>
          </w:p>
        </w:tc>
        <w:tc>
          <w:tcPr>
            <w:tcW w:w="477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合同服务期结束后，成交供应商提交全部服务报告以及合规发票，采购人向成交供应商支付剩余50%合同款。</w:t>
            </w:r>
          </w:p>
        </w:tc>
      </w:tr>
    </w:tbl>
    <w:p>
      <w:pPr>
        <w:spacing w:line="360" w:lineRule="auto"/>
        <w:ind w:left="3324" w:leftChars="1583" w:firstLine="9717" w:firstLineChars="4033"/>
        <w:jc w:val="left"/>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w:t>
      </w:r>
    </w:p>
    <w:p>
      <w:pPr>
        <w:numPr>
          <w:ilvl w:val="0"/>
          <w:numId w:val="3"/>
        </w:numPr>
        <w:tabs>
          <w:tab w:val="left" w:pos="0"/>
          <w:tab w:val="left" w:pos="142"/>
          <w:tab w:val="left" w:pos="284"/>
        </w:tabs>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 w:name="_Toc6946490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报价人</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对每一种</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只能有一个报价，采购单位不接受有选择的报价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numPr>
          <w:ilvl w:val="0"/>
          <w:numId w:val="3"/>
        </w:numPr>
        <w:tabs>
          <w:tab w:val="left" w:pos="0"/>
          <w:tab w:val="left" w:pos="142"/>
          <w:tab w:val="left" w:pos="284"/>
        </w:tabs>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报价文件中标明的价格在合同执行过程中是固定不变的，不得以任何理由予以变更。以可变动价格提交的报价将被认为是非实质响应而被拒绝。</w:t>
      </w:r>
    </w:p>
    <w:p>
      <w:pPr>
        <w:numPr>
          <w:ilvl w:val="0"/>
          <w:numId w:val="3"/>
        </w:numPr>
        <w:tabs>
          <w:tab w:val="left" w:pos="0"/>
          <w:tab w:val="left" w:pos="142"/>
          <w:tab w:val="left" w:pos="284"/>
        </w:tabs>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报价人报价中漏报、少报的费用，视为此项费用已隐含在磋商响应报价中，成交后不得再向采购人收取任何费用。</w:t>
      </w:r>
    </w:p>
    <w:bookmarkEnd w:id="9"/>
    <w:p>
      <w:pPr>
        <w:adjustRightInd w:val="0"/>
        <w:snapToGrid w:val="0"/>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其他要求及说明：</w:t>
      </w:r>
    </w:p>
    <w:p>
      <w:pPr>
        <w:spacing w:line="360" w:lineRule="auto"/>
        <w:ind w:firstLine="480"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1、报价有效期：报价截止之日起90个日历日。</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2、报价人对采购文件所要求的功能须在报价文件中作实现方案的技术说明。</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3、报价人若有其它方面的特殊功能及优惠条件，可在报价文件中注明。</w:t>
      </w:r>
    </w:p>
    <w:p>
      <w:pPr>
        <w:pStyle w:val="5"/>
        <w:spacing w:line="360" w:lineRule="auto"/>
        <w:ind w:firstLine="480"/>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t>原件备查指：评审结束后，有质疑投诉或是采购人发现虚假应标等情况，</w:t>
      </w:r>
      <w:r>
        <w:rPr>
          <w:rFonts w:hint="eastAsia" w:asciiTheme="minorEastAsia" w:hAnsiTheme="minorEastAsia" w:eastAsiaTheme="minorEastAsia" w:cstheme="minorEastAsia"/>
          <w:b/>
          <w:bCs/>
          <w:i w:val="0"/>
          <w:iCs w:val="0"/>
          <w:caps w:val="0"/>
          <w:color w:val="000000" w:themeColor="text1"/>
          <w:spacing w:val="0"/>
          <w:sz w:val="24"/>
          <w:szCs w:val="24"/>
          <w:highlight w:val="none"/>
          <w:lang w:val="en-US" w:eastAsia="zh-CN"/>
          <w14:textFill>
            <w14:solidFill>
              <w14:schemeClr w14:val="tx1"/>
            </w14:solidFill>
          </w14:textFill>
        </w:rPr>
        <w:t>报价</w:t>
      </w:r>
      <w:r>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t>人需在3个工作日内提交原件核查，否则被视为放弃</w:t>
      </w:r>
      <w:r>
        <w:rPr>
          <w:rFonts w:hint="eastAsia" w:asciiTheme="minorEastAsia" w:hAnsiTheme="minorEastAsia" w:eastAsiaTheme="minorEastAsia" w:cstheme="minorEastAsia"/>
          <w:b/>
          <w:bCs/>
          <w:i w:val="0"/>
          <w:iCs w:val="0"/>
          <w:caps w:val="0"/>
          <w:color w:val="000000" w:themeColor="text1"/>
          <w:spacing w:val="0"/>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t>资格或做虚假应标处理。</w:t>
      </w:r>
      <w:r>
        <w:rPr>
          <w:rFonts w:hint="eastAsia" w:asciiTheme="minorEastAsia" w:hAnsiTheme="minorEastAsia" w:eastAsiaTheme="minorEastAsia" w:cstheme="minorEastAsia"/>
          <w:b/>
          <w:bCs/>
          <w:i w:val="0"/>
          <w:iCs w:val="0"/>
          <w:caps w:val="0"/>
          <w:color w:val="000000" w:themeColor="text1"/>
          <w:spacing w:val="0"/>
          <w:sz w:val="24"/>
          <w:szCs w:val="24"/>
          <w:highlight w:val="none"/>
          <w:lang w:val="en-US" w:eastAsia="zh-CN"/>
          <w14:textFill>
            <w14:solidFill>
              <w14:schemeClr w14:val="tx1"/>
            </w14:solidFill>
          </w14:textFill>
        </w:rPr>
        <w:t>报价</w:t>
      </w:r>
      <w:r>
        <w:rPr>
          <w:rFonts w:hint="eastAsia" w:asciiTheme="minorEastAsia" w:hAnsiTheme="minorEastAsia" w:eastAsiaTheme="minorEastAsia" w:cstheme="minorEastAsia"/>
          <w:b/>
          <w:bCs/>
          <w:i w:val="0"/>
          <w:iCs w:val="0"/>
          <w:caps w:val="0"/>
          <w:color w:val="000000" w:themeColor="text1"/>
          <w:spacing w:val="0"/>
          <w:sz w:val="24"/>
          <w:szCs w:val="24"/>
          <w:highlight w:val="none"/>
          <w14:textFill>
            <w14:solidFill>
              <w14:schemeClr w14:val="tx1"/>
            </w14:solidFill>
          </w14:textFill>
        </w:rPr>
        <w:t>人提供书面承诺函（格式自拟）</w:t>
      </w:r>
    </w:p>
    <w:p>
      <w:pPr>
        <w:pStyle w:val="5"/>
        <w:spacing w:line="360" w:lineRule="auto"/>
        <w:ind w:firstLine="480"/>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pPr>
    </w:p>
    <w:p>
      <w:pPr>
        <w:pStyle w:val="5"/>
        <w:spacing w:line="360" w:lineRule="auto"/>
        <w:ind w:firstLine="480"/>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pPr>
    </w:p>
    <w:p>
      <w:pPr>
        <w:pStyle w:val="5"/>
        <w:spacing w:line="360" w:lineRule="auto"/>
        <w:ind w:firstLine="480"/>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bookmarkStart w:id="10" w:name="_Toc268599010"/>
      <w:r>
        <w:rPr>
          <w:rFonts w:hint="eastAsia" w:ascii="宋体" w:hAnsi="宋体" w:eastAsia="宋体" w:cs="宋体"/>
          <w:b/>
          <w:bCs/>
          <w:color w:val="000000" w:themeColor="text1"/>
          <w:sz w:val="32"/>
          <w:szCs w:val="32"/>
          <w:highlight w:val="none"/>
          <w14:textFill>
            <w14:solidFill>
              <w14:schemeClr w14:val="tx1"/>
            </w14:solidFill>
          </w14:textFill>
        </w:rPr>
        <w:t xml:space="preserve">第四章   </w:t>
      </w:r>
      <w:r>
        <w:rPr>
          <w:rFonts w:hint="eastAsia" w:ascii="宋体" w:hAnsi="宋体" w:eastAsia="宋体" w:cs="宋体"/>
          <w:b/>
          <w:color w:val="000000" w:themeColor="text1"/>
          <w:sz w:val="32"/>
          <w:szCs w:val="32"/>
          <w:highlight w:val="none"/>
          <w14:textFill>
            <w14:solidFill>
              <w14:schemeClr w14:val="tx1"/>
            </w14:solidFill>
          </w14:textFill>
        </w:rPr>
        <w:t>采购合同（参考文本）</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合同号：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签订地点：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乙方（成交供应商）：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签订日期：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根据甲方委托</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进行采购（项目编号：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eastAsia="宋体" w:cs="宋体"/>
          <w:color w:val="000000" w:themeColor="text1"/>
          <w:sz w:val="24"/>
          <w:szCs w:val="24"/>
          <w:highlight w:val="none"/>
          <w:u w:val="single"/>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一、合同标的和合同价格</w:t>
      </w:r>
    </w:p>
    <w:tbl>
      <w:tblPr>
        <w:tblStyle w:val="22"/>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二、乙方应按下列要求完成服务工作：</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1.服务地点：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2.服务进度：</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3.服务质量要求：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4.服务期限要求：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1. 提供技术资料：</w:t>
      </w:r>
      <w:r>
        <w:rPr>
          <w:rFonts w:hint="eastAsia" w:ascii="宋体" w:hAnsi="宋体" w:eastAsia="宋体" w:cs="宋体"/>
          <w:color w:val="000000" w:themeColor="text1"/>
          <w:spacing w:val="-20"/>
          <w:sz w:val="24"/>
          <w:szCs w:val="24"/>
          <w:highlight w:val="none"/>
          <w14:textFill>
            <w14:solidFill>
              <w14:schemeClr w14:val="tx1"/>
            </w14:solidFill>
          </w14:textFill>
        </w:rPr>
        <w:cr/>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（3）</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（4）</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2. 提供工作条件：</w:t>
      </w:r>
    </w:p>
    <w:p>
      <w:pPr>
        <w:spacing w:line="360" w:lineRule="auto"/>
        <w:ind w:right="-21" w:rightChars="-10"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（3）</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（4）</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right="-21" w:rightChars="-10" w:firstLine="480" w:firstLineChars="200"/>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其他：</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pPr>
        <w:spacing w:line="360" w:lineRule="auto"/>
        <w:ind w:right="-21" w:rightChars="-10"/>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4. 甲方提供上述工作条件和协作事项的时间及方式：</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pPr>
        <w:spacing w:line="360" w:lineRule="auto"/>
        <w:ind w:right="-21" w:rightChars="-10"/>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 甲方向乙方支付服务报酬及支付方式为:</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1.本合同价款为固定总价价款，项目结算时除合同另有约定外均不予调整。本合同价款为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2.服务费由甲方分期支付给乙方。</w:t>
      </w:r>
    </w:p>
    <w:p>
      <w:pPr>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具体支付方式和时间如下：</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五、本合同的变更必须由双方协商一致，并以书面形式确定。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 双方确定以下列标准和方式对乙方的服务工作成果进行验收：</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1、乙方完成服务工作的形式：</w:t>
      </w:r>
    </w:p>
    <w:p>
      <w:pPr>
        <w:spacing w:line="360" w:lineRule="auto"/>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2、服务工作成果的验收标准：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国家、地方和行业现行有关技术规范、标准、设计要求以及甲方有关指令。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60" w:firstLineChars="19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3、服务工作成果的验收方法：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4、在本合同有效期或约定的服务期内，乙方在接到甲方故障通知后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小时内应委派专业技术人员到现场免费提供咨询等服务。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七、双方确定，按以下约定承担各自的违约责任：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八、双方确定，在本协议有效期内，甲方指定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为甲方项目联系人,乙方指定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九、双方因履行本合同或与本合同有关一切事项而发生的争议，应协商解决。协商不成的，确定按以下第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1.提交</w:t>
      </w:r>
      <w:r>
        <w:rPr>
          <w:rFonts w:hint="eastAsia" w:ascii="宋体" w:hAnsi="宋体" w:eastAsia="宋体" w:cs="宋体"/>
          <w:color w:val="000000" w:themeColor="text1"/>
          <w:sz w:val="24"/>
          <w:szCs w:val="24"/>
          <w:highlight w:val="none"/>
          <w:u w:val="single"/>
          <w14:textFill>
            <w14:solidFill>
              <w14:schemeClr w14:val="tx1"/>
            </w14:solidFill>
          </w14:textFill>
        </w:rPr>
        <w:t>（甲方所在地）</w:t>
      </w:r>
      <w:r>
        <w:rPr>
          <w:rFonts w:hint="eastAsia" w:ascii="宋体" w:hAnsi="宋体" w:eastAsia="宋体" w:cs="宋体"/>
          <w:color w:val="000000" w:themeColor="text1"/>
          <w:sz w:val="24"/>
          <w:szCs w:val="24"/>
          <w:highlight w:val="none"/>
          <w14:textFill>
            <w14:solidFill>
              <w14:schemeClr w14:val="tx1"/>
            </w14:solidFill>
          </w14:textFill>
        </w:rPr>
        <w:t>仲裁委员会仲裁;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2.依法向项目所在地人民法院提出诉讼。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十、本合同一式</w:t>
      </w:r>
      <w:r>
        <w:rPr>
          <w:rFonts w:hint="eastAsia" w:ascii="宋体" w:hAnsi="宋体" w:eastAsia="宋体" w:cs="宋体"/>
          <w:color w:val="000000" w:themeColor="text1"/>
          <w:sz w:val="24"/>
          <w:szCs w:val="24"/>
          <w:highlight w:val="none"/>
          <w:u w:val="single"/>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份,甲方执</w:t>
      </w:r>
      <w:r>
        <w:rPr>
          <w:rFonts w:hint="eastAsia" w:ascii="宋体" w:hAnsi="宋体" w:eastAsia="宋体" w:cs="宋体"/>
          <w:color w:val="000000" w:themeColor="text1"/>
          <w:sz w:val="24"/>
          <w:szCs w:val="24"/>
          <w:highlight w:val="none"/>
          <w:u w:val="singl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份，乙方执</w:t>
      </w:r>
      <w:r>
        <w:rPr>
          <w:rFonts w:hint="eastAsia" w:ascii="宋体" w:hAnsi="宋体" w:eastAsia="宋体" w:cs="宋体"/>
          <w:color w:val="000000" w:themeColor="text1"/>
          <w:sz w:val="24"/>
          <w:szCs w:val="24"/>
          <w:highlight w:val="none"/>
          <w:u w:val="singl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份，送采购代理机构备份一份，具有同等法律效力.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十二、补充条款。</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1.甲方编发的采购文件和乙方的报价文件（含修正和补充文件）以及相关的澄清确认函件（如有）均为本合同组成文件。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3.乙方的履约保函等合同文件必须与本合同的签订同步提交。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5.本合同未尽事宜，双方另行补充。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                            乙    方：</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                            单位地址：</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电    话：</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                            账    号：</w:t>
      </w:r>
      <w:bookmarkEnd w:id="10"/>
      <w:bookmarkStart w:id="11" w:name="_Toc268599011"/>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第五章　报价文件格式</w:t>
      </w:r>
      <w:bookmarkEnd w:id="11"/>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left="492" w:right="132"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采购项目</w:t>
      </w:r>
    </w:p>
    <w:p>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jc w:val="center"/>
        <w:rPr>
          <w:rFonts w:hint="eastAsia" w:ascii="宋体" w:hAnsi="宋体"/>
          <w:b/>
          <w:color w:val="000000" w:themeColor="text1"/>
          <w:sz w:val="36"/>
          <w:highlight w:val="none"/>
          <w14:textFill>
            <w14:solidFill>
              <w14:schemeClr w14:val="tx1"/>
            </w14:solidFill>
          </w14:textFill>
        </w:rPr>
      </w:pPr>
    </w:p>
    <w:p>
      <w:pPr>
        <w:spacing w:line="360" w:lineRule="auto"/>
        <w:ind w:firstLine="1084" w:firstLineChars="300"/>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ind w:firstLine="1247" w:firstLineChars="345"/>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ind w:firstLine="708" w:firstLineChars="196"/>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pStyle w:val="5"/>
        <w:snapToGrid w:val="0"/>
        <w:spacing w:line="360" w:lineRule="auto"/>
        <w:ind w:firstLine="0"/>
        <w:jc w:val="center"/>
        <w:rPr>
          <w:rFonts w:hint="eastAsia" w:eastAsia="宋体" w:cs="宋体"/>
          <w:b/>
          <w:bCs/>
          <w:color w:val="000000" w:themeColor="text1"/>
          <w:sz w:val="24"/>
          <w:szCs w:val="24"/>
          <w:highlight w:val="none"/>
          <w14:textFill>
            <w14:solidFill>
              <w14:schemeClr w14:val="tx1"/>
            </w14:solidFill>
          </w14:textFill>
        </w:rPr>
      </w:pPr>
      <w:r>
        <w:rPr>
          <w:rFonts w:hint="eastAsia" w:eastAsia="宋体" w:cs="宋体"/>
          <w:b/>
          <w:bCs/>
          <w:color w:val="000000" w:themeColor="text1"/>
          <w:sz w:val="32"/>
          <w:szCs w:val="32"/>
          <w:highlight w:val="none"/>
          <w14:textFill>
            <w14:solidFill>
              <w14:schemeClr w14:val="tx1"/>
            </w14:solidFill>
          </w14:textFill>
        </w:rPr>
        <w:t>目    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磋商响应声明函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磋商分项报价表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服务说明一览表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 范围清单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报价人的资格证明文件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关于资格的声明函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报价人的资格声明</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单位授权书</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单位营业执照、税务登记证（或统一社会信用代码）</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w:t>
      </w:r>
      <w:r>
        <w:rPr>
          <w:rFonts w:hint="eastAsia" w:ascii="宋体" w:hAnsi="宋体" w:eastAsia="宋体" w:cs="宋体"/>
          <w:bCs/>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交的其他资料</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磋商响应声明函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7"/>
        <w:spacing w:after="0"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根据贵方为</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项目政府采购的磋商邀请，本签字代表</w:t>
      </w:r>
      <w:r>
        <w:rPr>
          <w:rFonts w:hint="eastAsia" w:ascii="宋体" w:hAnsi="宋体" w:eastAsia="宋体" w:cs="宋体"/>
          <w:bCs/>
          <w:color w:val="000000" w:themeColor="text1"/>
          <w:sz w:val="24"/>
          <w:szCs w:val="24"/>
          <w:highlight w:val="none"/>
          <w:u w:val="single"/>
          <w14:textFill>
            <w14:solidFill>
              <w14:schemeClr w14:val="tx1"/>
            </w14:solidFill>
          </w14:textFill>
        </w:rPr>
        <w:t>　　　　　（全名、职务）</w:t>
      </w:r>
      <w:r>
        <w:rPr>
          <w:rFonts w:hint="eastAsia" w:ascii="宋体" w:hAnsi="宋体" w:eastAsia="宋体" w:cs="宋体"/>
          <w:bCs/>
          <w:color w:val="000000" w:themeColor="text1"/>
          <w:sz w:val="24"/>
          <w:szCs w:val="24"/>
          <w:highlight w:val="none"/>
          <w14:textFill>
            <w14:solidFill>
              <w14:schemeClr w14:val="tx1"/>
            </w14:solidFill>
          </w14:textFill>
        </w:rPr>
        <w:t>经正式授权并代表报价人</w:t>
      </w:r>
      <w:r>
        <w:rPr>
          <w:rFonts w:hint="eastAsia" w:ascii="宋体" w:hAnsi="宋体" w:eastAsia="宋体" w:cs="宋体"/>
          <w:bCs/>
          <w:color w:val="000000" w:themeColor="text1"/>
          <w:sz w:val="24"/>
          <w:szCs w:val="24"/>
          <w:highlight w:val="none"/>
          <w:u w:val="single"/>
          <w14:textFill>
            <w14:solidFill>
              <w14:schemeClr w14:val="tx1"/>
            </w14:solidFill>
          </w14:textFill>
        </w:rPr>
        <w:t>　　　　　　　　　　（全称、地址）</w:t>
      </w:r>
      <w:r>
        <w:rPr>
          <w:rFonts w:hint="eastAsia" w:ascii="宋体" w:hAnsi="宋体" w:eastAsia="宋体" w:cs="宋体"/>
          <w:bCs/>
          <w:color w:val="000000" w:themeColor="text1"/>
          <w:sz w:val="24"/>
          <w:szCs w:val="24"/>
          <w:highlight w:val="none"/>
          <w14:textFill>
            <w14:solidFill>
              <w14:schemeClr w14:val="tx1"/>
            </w14:solidFill>
          </w14:textFill>
        </w:rPr>
        <w:t>提交下述文件正本一份和副本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四 </w:t>
      </w:r>
      <w:r>
        <w:rPr>
          <w:rFonts w:hint="eastAsia" w:ascii="宋体" w:hAnsi="宋体" w:eastAsia="宋体" w:cs="宋体"/>
          <w:bCs/>
          <w:color w:val="000000" w:themeColor="text1"/>
          <w:sz w:val="24"/>
          <w:szCs w:val="24"/>
          <w:highlight w:val="none"/>
          <w14:textFill>
            <w14:solidFill>
              <w14:schemeClr w14:val="tx1"/>
            </w14:solidFill>
          </w14:textFill>
        </w:rPr>
        <w:t>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1.报价一览表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2.磋商分项报价表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3.服务说明一览表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4.范围清单</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5.技术规格和商务偏离表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6.报价人资格证明文件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7.报价人提交的其他资料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方式提供的金额为人民币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元的磋商保证金。</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，即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（中文表述）。</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后即向贵司缴纳</w:t>
      </w:r>
      <w:r>
        <w:rPr>
          <w:rFonts w:hint="eastAsia" w:ascii="宋体" w:hAnsi="宋体" w:eastAsia="宋体" w:cs="宋体"/>
          <w:bCs/>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Cs/>
          <w:color w:val="000000" w:themeColor="text1"/>
          <w:sz w:val="24"/>
          <w:szCs w:val="24"/>
          <w:highlight w:val="none"/>
          <w14:textFill>
            <w14:solidFill>
              <w14:schemeClr w14:val="tx1"/>
            </w14:solidFill>
          </w14:textFill>
        </w:rPr>
        <w:t>，并以贵司发出的成交通知书上规定的时间内签订采购合同。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报价人将按采购文件的规定履行合同责任和义务。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pPr>
        <w:spacing w:line="360" w:lineRule="auto"/>
        <w:ind w:firstLine="600" w:firstLineChars="2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（8）与本磋商响应有关的一切正式往来通讯请寄：</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邮编：</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电话：</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传真：</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电子信箱：</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jc w:val="righ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14:textFill>
            <w14:solidFill>
              <w14:schemeClr w14:val="tx1"/>
            </w14:solidFill>
          </w14:textFill>
        </w:rPr>
        <w:t>　　年　　月　　日</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pStyle w:val="66"/>
        <w:spacing w:line="360" w:lineRule="auto"/>
        <w:jc w:val="left"/>
        <w:rPr>
          <w:rFonts w:hint="eastAsia" w:hAnsi="宋体" w:eastAsia="宋体" w:cs="宋体"/>
          <w:color w:val="000000" w:themeColor="text1"/>
          <w:sz w:val="24"/>
          <w:szCs w:val="24"/>
          <w:highlight w:val="none"/>
          <w14:textFill>
            <w14:solidFill>
              <w14:schemeClr w14:val="tx1"/>
            </w14:solidFill>
          </w14:textFill>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6"/>
        <w:spacing w:line="360" w:lineRule="auto"/>
        <w:jc w:val="center"/>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报价一览表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               采购项目编号∶                       货币单位：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服务商</w:t>
            </w: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服务范围</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服务要求</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服务标准</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tabs>
          <w:tab w:val="left" w:pos="1300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2.详细报价清单应另纸详列，且标明所报各种服务的数量和金额。       </w:t>
      </w:r>
    </w:p>
    <w:p>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8" w:type="default"/>
          <w:pgSz w:w="16838" w:h="11906" w:orient="landscape"/>
          <w:pgMar w:top="1797" w:right="1440" w:bottom="1797" w:left="1440" w:header="851" w:footer="992" w:gutter="0"/>
          <w:cols w:space="720" w:num="1"/>
          <w:docGrid w:linePitch="312" w:charSpace="0"/>
        </w:sectPr>
      </w:pPr>
    </w:p>
    <w:p>
      <w:pPr>
        <w:spacing w:line="360" w:lineRule="auto"/>
        <w:ind w:firstLine="2168" w:firstLineChars="90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891" w:firstLineChars="9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磋商分项报价表（格式）</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报价人名称：</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项目编号：</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货币单位：</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服务合同包</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服务名称</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服务商(全称)</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数量</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技术服务费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检验培训费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保险</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其它</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报价总价计算方式</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报价总价</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服务期</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注：1.第1栏服务合同包/品目号系指“采购服务一览表”中该服务的合同包/品目号。</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2.报价总价应当通过栏目9的计算方式得出。</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4.此表第10项报价总价若与报价一览表有出入，以报价一览表报价价格为准。</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5.按服务的不同项目详细分项报价，若未详细分项报价将被视为没有实质性响应采购文件。</w:t>
      </w:r>
    </w:p>
    <w:p>
      <w:pPr>
        <w:pStyle w:val="66"/>
        <w:spacing w:line="360" w:lineRule="auto"/>
        <w:outlineLvl w:val="9"/>
        <w:rPr>
          <w:rFonts w:hint="eastAsia" w:hAnsi="宋体" w:eastAsia="宋体" w:cs="宋体"/>
          <w:bCs/>
          <w:color w:val="000000" w:themeColor="text1"/>
          <w:sz w:val="24"/>
          <w:szCs w:val="24"/>
          <w:highlight w:val="none"/>
          <w:u w:val="singl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报价人代表签名：</w:t>
      </w:r>
      <w:r>
        <w:rPr>
          <w:rFonts w:hint="eastAsia"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服务说明一览表</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（按服务合同包下品目号类别分别填写）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                                    采购项目编号∶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详细服务项说明</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范围清单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本清单应列明服务组成的主要项和关键项的名称、数量、服务商住址及单价；</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66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right="480" w:firstLine="120" w:firstLineChars="50"/>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sectPr>
          <w:footerReference r:id="rId16"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技术规格和商务偏离表</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bl>
      <w:tblPr>
        <w:tblStyle w:val="2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注：1.报价人根据采购要求逐条说明磋商响应情况。</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报价</w:t>
      </w:r>
      <w:r>
        <w:rPr>
          <w:rFonts w:hint="eastAsia" w:ascii="宋体" w:hAnsi="宋体" w:eastAsia="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eastAsia="宋体" w:cs="宋体"/>
          <w:bCs/>
          <w:color w:val="000000" w:themeColor="text1"/>
          <w:sz w:val="24"/>
          <w:szCs w:val="24"/>
          <w:highlight w:val="none"/>
          <w14:textFill>
            <w14:solidFill>
              <w14:schemeClr w14:val="tx1"/>
            </w14:solidFill>
          </w14:textFill>
        </w:rPr>
        <w:t>。报价人存在弄虚作假行为的，将依法承担响应的法律责任。</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服务人员配备表</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                                        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目前受</w:t>
            </w:r>
          </w:p>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岗位</w:t>
            </w:r>
          </w:p>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证书</w:t>
            </w:r>
          </w:p>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sectPr>
          <w:footerReference r:id="rId17" w:type="default"/>
          <w:pgSz w:w="16838" w:h="11906" w:orient="landscape"/>
          <w:pgMar w:top="1797" w:right="1440" w:bottom="1797" w:left="1440" w:header="851" w:footer="992" w:gutter="0"/>
          <w:cols w:space="720" w:num="1"/>
          <w:docGrid w:linePitch="312" w:charSpace="0"/>
        </w:sectPr>
      </w:pPr>
    </w:p>
    <w:p>
      <w:pPr>
        <w:pStyle w:val="3"/>
        <w:keepNext w:val="0"/>
        <w:keepLines w:val="0"/>
        <w:spacing w:before="0" w:after="0" w:line="360" w:lineRule="auto"/>
        <w:ind w:left="6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服务人员履历表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pStyle w:val="3"/>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注：拟派各专业人员应分别填写本表。人员没有填写本表的，视为缺此职位（岗位）</w:t>
      </w:r>
    </w:p>
    <w:p>
      <w:pPr>
        <w:pStyle w:val="3"/>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报价人代表：</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p>
      <w:pPr>
        <w:pStyle w:val="3"/>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 xml:space="preserve">   日期：</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pStyle w:val="3"/>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服务承诺质量承诺书</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承诺指标</w:t>
            </w:r>
          </w:p>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注:以上表格可以自拟,但必须含以上项目内容</w:t>
      </w:r>
    </w:p>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480" w:leftChars="57" w:right="-122" w:rightChars="-58" w:hanging="360" w:hangingChars="15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报价人的资格证明文件</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关于资格的声明函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（项目编号）政府采购磋商邀请，本签字人愿意参加磋商，提供采购文件“采购服务及要求”中规定的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（合同包/品目号）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（服务名称），并证明提交的下列文件和说明是准确的和真实的。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2．我方的资格声明正本一份，副本</w:t>
      </w:r>
      <w:r>
        <w:rPr>
          <w:rFonts w:hint="eastAsia" w:ascii="宋体" w:hAnsi="宋体" w:eastAsia="宋体" w:cs="宋体"/>
          <w:color w:val="000000" w:themeColor="text1"/>
          <w:sz w:val="24"/>
          <w:szCs w:val="24"/>
          <w:highlight w:val="none"/>
          <w:u w:val="single"/>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份，随报价文件一同递交。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报价人代表签字：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报价人的资格声明</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1.报价人概况：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Ａ．报价人名称：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Ｂ．注册地址：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Ｄ．法定代表人：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（姓名、职务）</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实收资本：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其中 国家资本：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个人资本：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外商资本：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(1)固定资产合计: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(2)流动资产合计: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(3)长期负债合计: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(4)流动负债合计: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Ｆ．最近损益表（到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(1)本年（期）利润总额累计：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（1）具有独立承担民事责任的能力；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（2）具有良好的商业信誉和健全的财务会计制度；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（3）具有履行合同所必需的设备和专业技术能力；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（4）有依法缴纳税收和社会保障资金的良好记录；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（5）近三年内，在经营活动中没有重大违法记录。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3.最近三年磋商项目在国内主要用户的名称和地址：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4.单位营业执照、税务登记证见附件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pPr>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单位授权书</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p>
      <w:pPr>
        <w:pStyle w:val="9"/>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u w:val="single"/>
          <w14:textFill>
            <w14:solidFill>
              <w14:schemeClr w14:val="tx1"/>
            </w14:solidFill>
          </w14:textFill>
        </w:rPr>
        <w:t xml:space="preserve">（报价人全称）        </w:t>
      </w:r>
      <w:r>
        <w:rPr>
          <w:rFonts w:hint="eastAsia" w:hAnsi="宋体" w:eastAsia="宋体" w:cs="宋体"/>
          <w:color w:val="000000" w:themeColor="text1"/>
          <w:sz w:val="24"/>
          <w:szCs w:val="24"/>
          <w:highlight w:val="none"/>
          <w14:textFill>
            <w14:solidFill>
              <w14:schemeClr w14:val="tx1"/>
            </w14:solidFill>
          </w14:textFill>
        </w:rPr>
        <w:t xml:space="preserve"> 授权</w:t>
      </w:r>
      <w:r>
        <w:rPr>
          <w:rFonts w:hint="eastAsia" w:hAnsi="宋体" w:eastAsia="宋体" w:cs="宋体"/>
          <w:color w:val="000000" w:themeColor="text1"/>
          <w:sz w:val="24"/>
          <w:szCs w:val="24"/>
          <w:highlight w:val="none"/>
          <w:u w:val="single"/>
          <w14:textFill>
            <w14:solidFill>
              <w14:schemeClr w14:val="tx1"/>
            </w14:solidFill>
          </w14:textFill>
        </w:rPr>
        <w:t xml:space="preserve">  （报价人代表姓名）</w:t>
      </w:r>
      <w:r>
        <w:rPr>
          <w:rFonts w:hint="eastAsia" w:hAnsi="宋体" w:eastAsia="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项目（项目编号</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9"/>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本授权书自出具之日起生效。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部门：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附：被授权人身份证件</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授权方</w:t>
      </w:r>
    </w:p>
    <w:p>
      <w:pPr>
        <w:spacing w:line="360" w:lineRule="auto"/>
        <w:ind w:firstLine="3960" w:firstLineChars="16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接受授权方</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66"/>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6"/>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6"/>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6"/>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6"/>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6"/>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单位营业执照、税务登记证</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（签发机关名称）签发的我方单位营业执照副本复印件，该执照业，真实有效。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（签发机关名称）签发的我方税务登记证副本复印件，该证件真实有效。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7"/>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注：单位营业执照、税务登记证提供复印件，由企业加盖公章并注明复印件与原件一致。或提供含统一社会信用代码证照。</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ind w:firstLine="2249" w:firstLineChars="7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报价人提交的其他资料</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报价人认为应提交的其他材料, 可在此附件中提交。</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代理服务费</w:t>
      </w:r>
      <w:r>
        <w:rPr>
          <w:rFonts w:hint="eastAsia" w:ascii="宋体" w:hAnsi="宋体" w:eastAsia="宋体" w:cs="宋体"/>
          <w:b/>
          <w:bCs/>
          <w:color w:val="000000" w:themeColor="text1"/>
          <w:sz w:val="32"/>
          <w:szCs w:val="32"/>
          <w:highlight w:val="none"/>
          <w14:textFill>
            <w14:solidFill>
              <w14:schemeClr w14:val="tx1"/>
            </w14:solidFill>
          </w14:textFill>
        </w:rPr>
        <w:t>承诺书</w:t>
      </w:r>
    </w:p>
    <w:p>
      <w:pPr>
        <w:pStyle w:val="66"/>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cr/>
      </w:r>
      <w:r>
        <w:rPr>
          <w:rFonts w:hint="eastAsia"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我司在贵司组织的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政府采购磋商</w:t>
      </w:r>
      <w:r>
        <w:rPr>
          <w:rFonts w:hint="eastAsia" w:ascii="宋体" w:hAnsi="宋体" w:eastAsia="宋体" w:cs="宋体"/>
          <w:color w:val="000000" w:themeColor="text1"/>
          <w:sz w:val="24"/>
          <w:szCs w:val="24"/>
          <w:highlight w:val="none"/>
          <w14:textFill>
            <w14:solidFill>
              <w14:schemeClr w14:val="tx1"/>
            </w14:solidFill>
          </w14:textFill>
        </w:rPr>
        <w:t>项目中报价（项目编号：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，否则，我司同意贵司在厦门招投标网上对我司“不按规定缴交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的行为”进行公示。若自公示之日起3个工作日内，我司仍未缴交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的，我司同意按每日1%计取违约金。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3360" w:firstLineChars="1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3120" w:firstLineChars="13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           日 期</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附：廉洁承诺书</w:t>
      </w:r>
    </w:p>
    <w:p>
      <w:pPr>
        <w:widowControl/>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廉洁承诺书</w:t>
      </w:r>
    </w:p>
    <w:p>
      <w:pPr>
        <w:widowControl/>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"mailto:zpk@iport.com.cn"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29"/>
          <w:rFonts w:hint="eastAsia" w:ascii="宋体" w:hAnsi="宋体" w:eastAsia="宋体" w:cs="宋体"/>
          <w:color w:val="000000" w:themeColor="text1"/>
          <w:sz w:val="24"/>
          <w:szCs w:val="24"/>
          <w:highlight w:val="none"/>
          <w14:textFill>
            <w14:solidFill>
              <w14:schemeClr w14:val="tx1"/>
            </w14:solidFill>
          </w14:textFill>
        </w:rPr>
        <w:t>zpk@iport.com.cn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万元人民币违约金。</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报价人名称（盖章）：</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pPr>
        <w:spacing w:line="360" w:lineRule="auto"/>
        <w:ind w:left="69" w:firstLine="460" w:firstLineChars="192"/>
        <w:rPr>
          <w:rStyle w:val="25"/>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资格承诺函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（项目编号：    ）</w:t>
      </w:r>
      <w:r>
        <w:rPr>
          <w:rFonts w:hint="eastAsia" w:ascii="宋体" w:hAnsi="宋体" w:eastAsia="宋体" w:cs="宋体"/>
          <w:color w:val="000000" w:themeColor="text1"/>
          <w:sz w:val="24"/>
          <w:szCs w:val="24"/>
          <w:highlight w:val="none"/>
          <w14:textFill>
            <w14:solidFill>
              <w14:schemeClr w14:val="tx1"/>
            </w14:solidFill>
          </w14:textFill>
        </w:rPr>
        <w:t>项目的政府采购活动，现承诺如下：</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1.我单位具有符合采购文件资格要求的财务状况报告。</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2.我单位具有符合采购文件资格要求的依法缴纳税收的相关证明材料。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若我单位承诺不实，自愿承担提供虚假材料谋取中标、成交的法律责任。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单位负责人或授权代表（签字）：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退还磋商保证金申请表</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组织机构代码证</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磋商保证金金额</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收款单位名称</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开户银行（需填写完整）</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开户行账号（原来转磋商保证金账号）</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（报价人名称，加盖公章）</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8"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附件：格式四表一注及资信证明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附件1财务审计(会计)报告中的四表</w:t>
      </w:r>
      <w:bookmarkStart w:id="12" w:name="_Hlt448395086"/>
      <w:bookmarkStart w:id="13" w:name="_Hlt448395085"/>
      <w:r>
        <w:rPr>
          <w:rFonts w:hint="eastAsia" w:ascii="宋体" w:hAnsi="宋体" w:eastAsia="宋体" w:cs="宋体"/>
          <w:color w:val="000000" w:themeColor="text1"/>
          <w:sz w:val="24"/>
          <w:szCs w:val="24"/>
          <w:highlight w:val="none"/>
          <w14:textFill>
            <w14:solidFill>
              <w14:schemeClr w14:val="tx1"/>
            </w14:solidFill>
          </w14:textFill>
        </w:rPr>
        <w:t>一</w:t>
      </w:r>
      <w:bookmarkEnd w:id="12"/>
      <w:bookmarkEnd w:id="13"/>
      <w:r>
        <w:rPr>
          <w:rFonts w:hint="eastAsia" w:ascii="宋体" w:hAnsi="宋体" w:eastAsia="宋体" w:cs="宋体"/>
          <w:color w:val="000000" w:themeColor="text1"/>
          <w:sz w:val="24"/>
          <w:szCs w:val="24"/>
          <w:highlight w:val="none"/>
          <w14:textFill>
            <w14:solidFill>
              <w14:schemeClr w14:val="tx1"/>
            </w14:solidFill>
          </w14:textFill>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22"/>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4" w:name="RANGE!A1:H65"/>
            <w:r>
              <w:rPr>
                <w:rFonts w:hint="eastAsia" w:ascii="宋体" w:hAnsi="宋体" w:eastAsia="宋体" w:cs="宋体"/>
                <w:b/>
                <w:bCs/>
                <w:color w:val="000000" w:themeColor="text1"/>
                <w:kern w:val="0"/>
                <w:sz w:val="24"/>
                <w:szCs w:val="24"/>
                <w:highlight w:val="none"/>
                <w14:textFill>
                  <w14:solidFill>
                    <w14:schemeClr w14:val="tx1"/>
                  </w14:solidFill>
                </w14:textFill>
              </w:rPr>
              <w:t>资 产 负 债 表</w:t>
            </w:r>
            <w:bookmarkEnd w:id="14"/>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22"/>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5" w:name="RANGE!A1:D54"/>
            <w:r>
              <w:rPr>
                <w:rFonts w:hint="eastAsia" w:ascii="宋体" w:hAnsi="宋体" w:eastAsia="宋体" w:cs="宋体"/>
                <w:b/>
                <w:bCs/>
                <w:color w:val="000000" w:themeColor="text1"/>
                <w:kern w:val="0"/>
                <w:sz w:val="24"/>
                <w:szCs w:val="24"/>
                <w:highlight w:val="none"/>
                <w14:textFill>
                  <w14:solidFill>
                    <w14:schemeClr w14:val="tx1"/>
                  </w14:solidFill>
                </w14:textFill>
              </w:rPr>
              <w:t>利 润 表</w:t>
            </w:r>
            <w:bookmarkEnd w:id="15"/>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三、营业利润</w:t>
            </w:r>
            <w:r>
              <w:rPr>
                <w:rFonts w:hint="eastAsia" w:ascii="宋体" w:hAnsi="宋体" w:eastAsia="宋体" w:cs="宋体"/>
                <w:color w:val="000000" w:themeColor="text1"/>
                <w:kern w:val="0"/>
                <w:sz w:val="24"/>
                <w:szCs w:val="24"/>
                <w:highlight w:val="none"/>
                <w14:textFill>
                  <w14:solidFill>
                    <w14:schemeClr w14:val="tx1"/>
                  </w14:solidFill>
                </w14:textFill>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四、利润总额</w:t>
            </w:r>
            <w:r>
              <w:rPr>
                <w:rFonts w:hint="eastAsia" w:ascii="宋体" w:hAnsi="宋体" w:eastAsia="宋体" w:cs="宋体"/>
                <w:color w:val="000000" w:themeColor="text1"/>
                <w:kern w:val="0"/>
                <w:sz w:val="24"/>
                <w:szCs w:val="24"/>
                <w:highlight w:val="none"/>
                <w14:textFill>
                  <w14:solidFill>
                    <w14:schemeClr w14:val="tx1"/>
                  </w14:solidFill>
                </w14:textFill>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五、净利润</w:t>
            </w:r>
            <w:r>
              <w:rPr>
                <w:rFonts w:hint="eastAsia" w:ascii="宋体" w:hAnsi="宋体" w:eastAsia="宋体" w:cs="宋体"/>
                <w:color w:val="000000" w:themeColor="text1"/>
                <w:kern w:val="0"/>
                <w:sz w:val="24"/>
                <w:szCs w:val="24"/>
                <w:highlight w:val="none"/>
                <w14:textFill>
                  <w14:solidFill>
                    <w14:schemeClr w14:val="tx1"/>
                  </w14:solidFill>
                </w14:textFill>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22"/>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bookmarkStart w:id="16" w:name="RANGE!A1:D47"/>
            <w:r>
              <w:rPr>
                <w:rFonts w:hint="eastAsia" w:ascii="宋体" w:hAnsi="宋体" w:eastAsia="宋体" w:cs="宋体"/>
                <w:bCs/>
                <w:color w:val="000000" w:themeColor="text1"/>
                <w:kern w:val="0"/>
                <w:sz w:val="24"/>
                <w:szCs w:val="24"/>
                <w:highlight w:val="none"/>
                <w14:textFill>
                  <w14:solidFill>
                    <w14:schemeClr w14:val="tx1"/>
                  </w14:solidFill>
                </w14:textFill>
              </w:rPr>
              <w:t>现 金 流 量 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559"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559" w:type="dxa"/>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977" w:type="dxa"/>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43"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59"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bl>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22"/>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7" w:name="RANGE!A1:X29"/>
            <w:r>
              <w:rPr>
                <w:rFonts w:hint="eastAsia" w:ascii="宋体" w:hAnsi="宋体" w:eastAsia="宋体" w:cs="宋体"/>
                <w:b/>
                <w:bCs/>
                <w:color w:val="000000" w:themeColor="text1"/>
                <w:kern w:val="0"/>
                <w:sz w:val="24"/>
                <w:szCs w:val="24"/>
                <w:highlight w:val="none"/>
                <w14:textFill>
                  <w14:solidFill>
                    <w14:schemeClr w14:val="tx1"/>
                  </w14:solidFill>
                </w14:textFill>
              </w:rPr>
              <w:t>所有者权益变动表</w:t>
            </w:r>
            <w:bookmarkEnd w:id="17"/>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注：带#为外商投资企业专用，加△楷体项目为金融类企业专用。</w:t>
            </w:r>
          </w:p>
        </w:tc>
      </w:tr>
    </w:tbl>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9" w:type="default"/>
          <w:pgSz w:w="16838" w:h="11906" w:orient="landscape"/>
          <w:pgMar w:top="1134" w:right="1134" w:bottom="1134" w:left="1134" w:header="851" w:footer="992" w:gutter="0"/>
          <w:cols w:space="720" w:num="1"/>
          <w:docGrid w:type="lines" w:linePitch="312" w:charSpace="0"/>
        </w:sect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附件2资信证明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资信证明</w:t>
      </w:r>
    </w:p>
    <w:p>
      <w:pPr>
        <w:spacing w:line="360" w:lineRule="auto"/>
        <w:ind w:right="480" w:firstLine="5880" w:firstLineChars="2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编号：        </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特此证明。</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48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XX银行股份有限公司 </w:t>
      </w:r>
    </w:p>
    <w:p>
      <w:pPr>
        <w:spacing w:line="360" w:lineRule="auto"/>
        <w:ind w:left="7440" w:hanging="7440" w:hangingChars="3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4160" w:firstLineChars="1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质疑函要求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供应商提出质疑应当提交质疑函和必要的证明材料。质疑函应当包括下列内容：</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(一)供应商的姓名或者名称、地址、邮编、联系人及联系电话;</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(二)质疑项目的名称、编号;</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(三)具体、明确的质疑事项和与质疑事项相关的请求;</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(四)事实依据;</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(五)必要的法律依据;</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(六)提出质疑的日期。</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pStyle w:val="18"/>
        <w:spacing w:line="360" w:lineRule="auto"/>
        <w:rPr>
          <w:rFonts w:hint="eastAsia" w:ascii="宋体" w:hAnsi="宋体" w:eastAsia="宋体" w:cs="宋体"/>
          <w:color w:val="000000" w:themeColor="text1"/>
          <w:highlight w:val="none"/>
          <w14:textFill>
            <w14:solidFill>
              <w14:schemeClr w14:val="tx1"/>
            </w14:solidFill>
          </w14:textFill>
        </w:rPr>
      </w:pPr>
    </w:p>
    <w:p>
      <w:pPr>
        <w:pStyle w:val="18"/>
        <w:spacing w:line="360" w:lineRule="auto"/>
        <w:rPr>
          <w:rFonts w:hint="eastAsia" w:ascii="宋体" w:hAnsi="宋体" w:eastAsia="宋体" w:cs="宋体"/>
          <w:color w:val="000000" w:themeColor="text1"/>
          <w:highlight w:val="none"/>
          <w14:textFill>
            <w14:solidFill>
              <w14:schemeClr w14:val="tx1"/>
            </w14:solidFill>
          </w14:textFill>
        </w:rPr>
      </w:pPr>
    </w:p>
    <w:p>
      <w:pPr>
        <w:pStyle w:val="18"/>
        <w:spacing w:line="360" w:lineRule="auto"/>
        <w:rPr>
          <w:rFonts w:hint="eastAsia" w:ascii="宋体" w:hAnsi="宋体" w:eastAsia="宋体" w:cs="宋体"/>
          <w:color w:val="000000" w:themeColor="text1"/>
          <w:highlight w:val="none"/>
          <w14:textFill>
            <w14:solidFill>
              <w14:schemeClr w14:val="tx1"/>
            </w14:solidFill>
          </w14:textFill>
        </w:rPr>
      </w:pPr>
    </w:p>
    <w:p>
      <w:pPr>
        <w:pStyle w:val="18"/>
        <w:spacing w:line="360" w:lineRule="auto"/>
        <w:rPr>
          <w:rFonts w:hint="eastAsia" w:ascii="宋体" w:hAnsi="宋体" w:eastAsia="宋体" w:cs="宋体"/>
          <w:color w:val="000000" w:themeColor="text1"/>
          <w:highlight w:val="none"/>
          <w14:textFill>
            <w14:solidFill>
              <w14:schemeClr w14:val="tx1"/>
            </w14:solidFill>
          </w14:textFill>
        </w:rPr>
      </w:pPr>
    </w:p>
    <w:p>
      <w:pPr>
        <w:pStyle w:val="18"/>
        <w:spacing w:line="360" w:lineRule="auto"/>
        <w:rPr>
          <w:rFonts w:hint="eastAsia" w:ascii="宋体" w:hAnsi="宋体" w:eastAsia="宋体" w:cs="宋体"/>
          <w:color w:val="000000" w:themeColor="text1"/>
          <w:highlight w:val="none"/>
          <w14:textFill>
            <w14:solidFill>
              <w14:schemeClr w14:val="tx1"/>
            </w14:solidFill>
          </w14:textFill>
        </w:rPr>
      </w:pPr>
    </w:p>
    <w:p>
      <w:pPr>
        <w:pStyle w:val="18"/>
        <w:spacing w:line="360" w:lineRule="auto"/>
        <w:rPr>
          <w:rFonts w:hint="eastAsia" w:ascii="宋体" w:hAnsi="宋体" w:eastAsia="宋体" w:cs="宋体"/>
          <w:color w:val="000000" w:themeColor="text1"/>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8"/>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评分响应要求</w:t>
      </w:r>
    </w:p>
    <w:tbl>
      <w:tblPr>
        <w:tblStyle w:val="22"/>
        <w:tblW w:w="0" w:type="auto"/>
        <w:tblInd w:w="0" w:type="dxa"/>
        <w:tblLayout w:type="fixed"/>
        <w:tblCellMar>
          <w:top w:w="0" w:type="dxa"/>
          <w:left w:w="108" w:type="dxa"/>
          <w:bottom w:w="0" w:type="dxa"/>
          <w:right w:w="108" w:type="dxa"/>
        </w:tblCellMar>
      </w:tblPr>
      <w:tblGrid>
        <w:gridCol w:w="883"/>
        <w:gridCol w:w="4328"/>
        <w:gridCol w:w="1701"/>
        <w:gridCol w:w="1560"/>
        <w:gridCol w:w="1134"/>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评分界定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8" w:firstLineChars="4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满分分值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响应内容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000000" w:themeColor="text1"/>
                <w:sz w:val="24"/>
                <w:szCs w:val="24"/>
                <w:highlight w:val="none"/>
                <w14:textFill>
                  <w14:solidFill>
                    <w14:schemeClr w14:val="tx1"/>
                  </w14:solidFill>
                </w14:textFill>
              </w:rPr>
            </w:pPr>
          </w:p>
        </w:tc>
      </w:tr>
    </w:tbl>
    <w:p>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pStyle w:val="71"/>
        <w:spacing w:line="360" w:lineRule="auto"/>
        <w:jc w:val="center"/>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规定的价格扣除证明材料（若有）</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1优先类节能产品、环境标志产品价格扣除证明材料（若有）</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1-①优先类节能产品、环境标志产品统计表（价格扣除适用，若有）</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货币及单位：人民币元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pPr>
              <w:pStyle w:val="71"/>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内属于节能产品的报价总金额：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pPr>
              <w:pStyle w:val="71"/>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内属于环境标志产品的报价总金额：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1、对节能、环境标志产品计算价格扣除时，只依据</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报价人须知前附表5：节能、环境标志产品采购政策</w:t>
      </w: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2、本表以</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为单位，不同</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请分别填写；同一</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请按照其品目号顺序分别填写。</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3、具体统计、计算：</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属于政府强制采购的节能产品不享受</w:t>
      </w:r>
      <w:r>
        <w:rPr>
          <w:rFonts w:hint="eastAsia" w:ascii="宋体" w:hAnsi="宋体" w:eastAsia="宋体" w:cs="宋体"/>
          <w:color w:val="000000" w:themeColor="text1"/>
          <w:sz w:val="24"/>
          <w:szCs w:val="24"/>
          <w:highlight w:val="none"/>
          <w:lang w:eastAsia="zh-CN"/>
          <w14:textFill>
            <w14:solidFill>
              <w14:schemeClr w14:val="tx1"/>
            </w14:solidFill>
          </w14:textFill>
        </w:rPr>
        <w:t>价格扣除</w:t>
      </w:r>
      <w:r>
        <w:rPr>
          <w:rFonts w:hint="eastAsia" w:ascii="宋体" w:hAnsi="宋体" w:eastAsia="宋体" w:cs="宋体"/>
          <w:color w:val="000000" w:themeColor="text1"/>
          <w:sz w:val="24"/>
          <w:szCs w:val="24"/>
          <w:highlight w:val="none"/>
          <w14:textFill>
            <w14:solidFill>
              <w14:schemeClr w14:val="tx1"/>
            </w14:solidFill>
          </w14:textFill>
        </w:rPr>
        <w:t>优惠。</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若报价产品既属于节能产品又属于环境标志产品，分别计算价格扣除优惠。</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3.2计算结果若除不尽，可四舍五入保留到小数点后两位。</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要求认真统计、计算。</w:t>
      </w:r>
    </w:p>
    <w:p>
      <w:pPr>
        <w:pStyle w:val="71"/>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3.4若无节能、环境标志产品，不填写本表。</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1"/>
        <w:spacing w:line="360" w:lineRule="auto"/>
        <w:ind w:firstLine="480"/>
        <w:jc w:val="right"/>
        <w:outlineLvl w:val="9"/>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1-②优先类节能产品、环境标志产品证明材料（价格扣除适用，若有）</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2小型、微型企业产品等价格扣除证明材料（若有）</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2-①中小企业声明函（价格扣除适用，若有）</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中小企业声明函（货物）</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中小企业声明函（工程、服务）</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p>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2-②小型、微型企业等证明材料（价格扣除适用，若有）</w:t>
      </w:r>
    </w:p>
    <w:p>
      <w:pPr>
        <w:pStyle w:val="71"/>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要求提供相应证明材料，证明材料应与《中小企业声明函》的内容相一致，否则视为《中小企业声明函》内容不真实。</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人为监狱企业的，根据其提供的由省级以上监狱管理局、戒毒管理局（含新疆生产建设兵团）出具的属于监狱企业的证明文件进行认定，监狱企业视同小型、微型企业。</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人为残疾人福利性单位的，根据其提供的《残疾人福利性单位声明函》（格式附后）进行认定，残疾人福利性单位视同小型、微型企业。残疾人福利性单位属于小型、微型企业的，不重复享受政策。</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残疾人福利性单位声明函（价格扣除适用，若有）</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人为符合条件的残疾人福利性单位，且本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人参加贵单位的（填写“项目名称”）项目采购活动：</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）提供本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人承建的（填写“所投采购包、品目号”）工程</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人承接的（填写“所投采购包、品目号”）服务；</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人对上述声明的真实性负责。如有虚假，将依法承担相应责任。</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人按照实际情况编制填写本声明函，并在相应的（）中打“√”。</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2、若《残疾人福利性单位声明函》内容不真实，视为提供虚假材料。</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1"/>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监狱企业证明材料</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人为监狱企业，提供本单位制造的货物（承接的服务），并在</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文件中提供省级以上监狱管理局、戒毒管理局（含新疆生产建设兵团）出具的属于监狱企业的证明文件。</w:t>
      </w:r>
    </w:p>
    <w:p>
      <w:pPr>
        <w:pStyle w:val="71"/>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1"/>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规定的其他价格扣除证明材料（若有）</w:t>
      </w:r>
    </w:p>
    <w:p>
      <w:pPr>
        <w:pStyle w:val="71"/>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pPr>
        <w:pStyle w:val="71"/>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若</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人可享受</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规定的除“节能（非强制类）、环境标志产品价格扣除”及“小型、微型企业产品等价格扣除”外的其他价格扣除优惠，则</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w:t>
      </w: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联合体协议书</w:t>
      </w:r>
      <w:r>
        <w:rPr>
          <w:rFonts w:hint="eastAsia" w:ascii="宋体" w:hAnsi="宋体" w:eastAsia="宋体" w:cs="宋体"/>
          <w:color w:val="000000" w:themeColor="text1"/>
          <w:sz w:val="36"/>
          <w:szCs w:val="36"/>
          <w:highlight w:val="none"/>
          <w:lang w:eastAsia="zh-CN"/>
          <w14:textFill>
            <w14:solidFill>
              <w14:schemeClr w14:val="tx1"/>
            </w14:solidFill>
          </w14:textFill>
        </w:rPr>
        <w:t>（</w:t>
      </w:r>
      <w:r>
        <w:rPr>
          <w:rFonts w:hint="eastAsia" w:ascii="宋体" w:hAnsi="宋体" w:eastAsia="宋体" w:cs="宋体"/>
          <w:color w:val="000000" w:themeColor="text1"/>
          <w:sz w:val="36"/>
          <w:szCs w:val="36"/>
          <w:highlight w:val="none"/>
          <w:lang w:val="en-US" w:eastAsia="zh-CN"/>
          <w14:textFill>
            <w14:solidFill>
              <w14:schemeClr w14:val="tx1"/>
            </w14:solidFill>
          </w14:textFill>
        </w:rPr>
        <w:t>若有）</w:t>
      </w:r>
    </w:p>
    <w:p>
      <w:pPr>
        <w:autoSpaceDE w:val="0"/>
        <w:autoSpaceDN w:val="0"/>
        <w:adjustRightInd w:val="0"/>
        <w:spacing w:line="360" w:lineRule="auto"/>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（所有成员单位名称）自愿组成</w:t>
      </w:r>
      <w:r>
        <w:rPr>
          <w:rFonts w:hint="eastAsia" w:ascii="宋体" w:hAnsi="宋体" w:eastAsia="宋体" w:cs="宋体"/>
          <w:color w:val="000000" w:themeColor="text1"/>
          <w:sz w:val="24"/>
          <w:szCs w:val="24"/>
          <w:highlight w:val="none"/>
          <w:u w:val="non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联合体，共同参加</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（项目名称）项目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。现就联合体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事宜订立如下协议。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联合体牵头人。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2.联合体各成员授权牵头人代表联合体参加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文件和合同的要求全面履行义务，并向</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承担连带责任。</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联合体各成员单位内部的职责分工如下:</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6.本协议书一式【】份，联合体成员和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各执一份。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注：由委托代理人签字的，应附授权委托书。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72</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80</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69</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70</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both"/>
      <w:rPr>
        <w:rFonts w:hint="eastAsia"/>
        <w:sz w:val="21"/>
        <w:szCs w:val="21"/>
      </w:rPr>
    </w:pPr>
    <w:r>
      <w:rPr>
        <w:rFonts w:hint="eastAsia"/>
        <w:sz w:val="21"/>
        <w:szCs w:val="21"/>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16C24"/>
    <w:multiLevelType w:val="singleLevel"/>
    <w:tmpl w:val="85C16C24"/>
    <w:lvl w:ilvl="0" w:tentative="0">
      <w:start w:val="1"/>
      <w:numFmt w:val="decimal"/>
      <w:suff w:val="nothing"/>
      <w:lvlText w:val="%1、"/>
      <w:lvlJc w:val="left"/>
    </w:lvl>
  </w:abstractNum>
  <w:abstractNum w:abstractNumId="1">
    <w:nsid w:val="FEB568F5"/>
    <w:multiLevelType w:val="singleLevel"/>
    <w:tmpl w:val="FEB568F5"/>
    <w:lvl w:ilvl="0" w:tentative="0">
      <w:start w:val="1"/>
      <w:numFmt w:val="decimal"/>
      <w:lvlText w:val="%1."/>
      <w:lvlJc w:val="left"/>
      <w:pPr>
        <w:ind w:left="425" w:hanging="425"/>
      </w:pPr>
      <w:rPr>
        <w:rFonts w:hint="default"/>
      </w:rPr>
    </w:lvl>
  </w:abstractNum>
  <w:abstractNum w:abstractNumId="2">
    <w:nsid w:val="26181AD1"/>
    <w:multiLevelType w:val="multilevel"/>
    <w:tmpl w:val="26181AD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UyNTEyZTJmZDVkOGRjYjRkZWE1NzIyMDA5MDcifQ=="/>
  </w:docVars>
  <w:rsids>
    <w:rsidRoot w:val="00826F6A"/>
    <w:rsid w:val="00004FCA"/>
    <w:rsid w:val="00015427"/>
    <w:rsid w:val="000303E7"/>
    <w:rsid w:val="00030994"/>
    <w:rsid w:val="00031ECA"/>
    <w:rsid w:val="000403E2"/>
    <w:rsid w:val="000456D2"/>
    <w:rsid w:val="00053914"/>
    <w:rsid w:val="00056ED7"/>
    <w:rsid w:val="00060F40"/>
    <w:rsid w:val="000708B5"/>
    <w:rsid w:val="000732C5"/>
    <w:rsid w:val="0008387C"/>
    <w:rsid w:val="00087CED"/>
    <w:rsid w:val="00093A34"/>
    <w:rsid w:val="00093FB5"/>
    <w:rsid w:val="000971CF"/>
    <w:rsid w:val="000A6A06"/>
    <w:rsid w:val="000B5B34"/>
    <w:rsid w:val="000D3F6B"/>
    <w:rsid w:val="000D4732"/>
    <w:rsid w:val="000E4EAA"/>
    <w:rsid w:val="000E5F6A"/>
    <w:rsid w:val="000E6E11"/>
    <w:rsid w:val="000F5947"/>
    <w:rsid w:val="00107D2E"/>
    <w:rsid w:val="00115B27"/>
    <w:rsid w:val="001223B6"/>
    <w:rsid w:val="00122916"/>
    <w:rsid w:val="00124A71"/>
    <w:rsid w:val="00145FCA"/>
    <w:rsid w:val="0015486C"/>
    <w:rsid w:val="00163270"/>
    <w:rsid w:val="00181B2F"/>
    <w:rsid w:val="00190133"/>
    <w:rsid w:val="001925BC"/>
    <w:rsid w:val="00192AE6"/>
    <w:rsid w:val="001A052C"/>
    <w:rsid w:val="001B3193"/>
    <w:rsid w:val="001B3E4B"/>
    <w:rsid w:val="001B5DC4"/>
    <w:rsid w:val="001C6BDD"/>
    <w:rsid w:val="001D2B9A"/>
    <w:rsid w:val="001E32E9"/>
    <w:rsid w:val="001E4519"/>
    <w:rsid w:val="001E4D79"/>
    <w:rsid w:val="001F0EF0"/>
    <w:rsid w:val="00202C4E"/>
    <w:rsid w:val="00203852"/>
    <w:rsid w:val="00204031"/>
    <w:rsid w:val="00205C5B"/>
    <w:rsid w:val="00205F5C"/>
    <w:rsid w:val="00217737"/>
    <w:rsid w:val="00220A7A"/>
    <w:rsid w:val="002411A2"/>
    <w:rsid w:val="00241AF9"/>
    <w:rsid w:val="00253179"/>
    <w:rsid w:val="00262CC0"/>
    <w:rsid w:val="00265E22"/>
    <w:rsid w:val="00276A73"/>
    <w:rsid w:val="00293316"/>
    <w:rsid w:val="002A14ED"/>
    <w:rsid w:val="002A33AE"/>
    <w:rsid w:val="002A7CD3"/>
    <w:rsid w:val="002B70FF"/>
    <w:rsid w:val="002D5FD0"/>
    <w:rsid w:val="002D6E9E"/>
    <w:rsid w:val="002D6F42"/>
    <w:rsid w:val="002E15EC"/>
    <w:rsid w:val="002F23EA"/>
    <w:rsid w:val="002F2695"/>
    <w:rsid w:val="0031495C"/>
    <w:rsid w:val="003229E2"/>
    <w:rsid w:val="003243BD"/>
    <w:rsid w:val="00324F97"/>
    <w:rsid w:val="00326994"/>
    <w:rsid w:val="00330CEB"/>
    <w:rsid w:val="00336DE3"/>
    <w:rsid w:val="00347D7C"/>
    <w:rsid w:val="003522CC"/>
    <w:rsid w:val="00357F47"/>
    <w:rsid w:val="00365811"/>
    <w:rsid w:val="00374BCF"/>
    <w:rsid w:val="0039585F"/>
    <w:rsid w:val="003A697E"/>
    <w:rsid w:val="003B0A79"/>
    <w:rsid w:val="003B700D"/>
    <w:rsid w:val="003D03FA"/>
    <w:rsid w:val="003D3508"/>
    <w:rsid w:val="003E3AF8"/>
    <w:rsid w:val="003E71FD"/>
    <w:rsid w:val="003E785B"/>
    <w:rsid w:val="003F2644"/>
    <w:rsid w:val="00411025"/>
    <w:rsid w:val="00425F1A"/>
    <w:rsid w:val="00435F2D"/>
    <w:rsid w:val="00437B3B"/>
    <w:rsid w:val="00451ADF"/>
    <w:rsid w:val="00463346"/>
    <w:rsid w:val="00470C89"/>
    <w:rsid w:val="0047523A"/>
    <w:rsid w:val="0047611A"/>
    <w:rsid w:val="004778EE"/>
    <w:rsid w:val="0049507E"/>
    <w:rsid w:val="004965A1"/>
    <w:rsid w:val="004A198A"/>
    <w:rsid w:val="004B4025"/>
    <w:rsid w:val="004B4FB9"/>
    <w:rsid w:val="004B7C99"/>
    <w:rsid w:val="004C164D"/>
    <w:rsid w:val="004D263D"/>
    <w:rsid w:val="004D7F72"/>
    <w:rsid w:val="004E1F46"/>
    <w:rsid w:val="004E2A94"/>
    <w:rsid w:val="004E2B1D"/>
    <w:rsid w:val="004E2C29"/>
    <w:rsid w:val="005027EF"/>
    <w:rsid w:val="00502A8A"/>
    <w:rsid w:val="005068A1"/>
    <w:rsid w:val="00512ADA"/>
    <w:rsid w:val="00513323"/>
    <w:rsid w:val="005240C0"/>
    <w:rsid w:val="005365C6"/>
    <w:rsid w:val="005422CA"/>
    <w:rsid w:val="00543E58"/>
    <w:rsid w:val="00544C14"/>
    <w:rsid w:val="0055097B"/>
    <w:rsid w:val="005A00D1"/>
    <w:rsid w:val="005C320D"/>
    <w:rsid w:val="005C434E"/>
    <w:rsid w:val="005D12BE"/>
    <w:rsid w:val="005D4CFF"/>
    <w:rsid w:val="005E1736"/>
    <w:rsid w:val="005E5C49"/>
    <w:rsid w:val="005E5E98"/>
    <w:rsid w:val="005F22B7"/>
    <w:rsid w:val="005F2F27"/>
    <w:rsid w:val="00620D7A"/>
    <w:rsid w:val="00627D6E"/>
    <w:rsid w:val="00640F54"/>
    <w:rsid w:val="0065099D"/>
    <w:rsid w:val="00650FB3"/>
    <w:rsid w:val="00660C4C"/>
    <w:rsid w:val="00661B6C"/>
    <w:rsid w:val="00674EBA"/>
    <w:rsid w:val="00676FCA"/>
    <w:rsid w:val="006805FD"/>
    <w:rsid w:val="006918AC"/>
    <w:rsid w:val="006945EC"/>
    <w:rsid w:val="006975F4"/>
    <w:rsid w:val="006A3B17"/>
    <w:rsid w:val="006C64C3"/>
    <w:rsid w:val="006D2A09"/>
    <w:rsid w:val="006E11B4"/>
    <w:rsid w:val="006E33E6"/>
    <w:rsid w:val="006F6078"/>
    <w:rsid w:val="00700C10"/>
    <w:rsid w:val="007078FA"/>
    <w:rsid w:val="00722957"/>
    <w:rsid w:val="00727FAC"/>
    <w:rsid w:val="0073194D"/>
    <w:rsid w:val="00731F66"/>
    <w:rsid w:val="00734448"/>
    <w:rsid w:val="0074451D"/>
    <w:rsid w:val="00753CEC"/>
    <w:rsid w:val="00756B3E"/>
    <w:rsid w:val="007632B1"/>
    <w:rsid w:val="00764841"/>
    <w:rsid w:val="00772E08"/>
    <w:rsid w:val="00776A41"/>
    <w:rsid w:val="00785E91"/>
    <w:rsid w:val="00786C5B"/>
    <w:rsid w:val="00787DAA"/>
    <w:rsid w:val="007B0E13"/>
    <w:rsid w:val="007C47C7"/>
    <w:rsid w:val="007D5A5C"/>
    <w:rsid w:val="007D77AC"/>
    <w:rsid w:val="007F64F1"/>
    <w:rsid w:val="00820914"/>
    <w:rsid w:val="00825F94"/>
    <w:rsid w:val="00826F6A"/>
    <w:rsid w:val="0083339A"/>
    <w:rsid w:val="00851D28"/>
    <w:rsid w:val="008618EB"/>
    <w:rsid w:val="00867879"/>
    <w:rsid w:val="00874F39"/>
    <w:rsid w:val="00874F3E"/>
    <w:rsid w:val="00886F15"/>
    <w:rsid w:val="008B1404"/>
    <w:rsid w:val="008B6210"/>
    <w:rsid w:val="008D14FB"/>
    <w:rsid w:val="008D4306"/>
    <w:rsid w:val="008D79B9"/>
    <w:rsid w:val="008F099B"/>
    <w:rsid w:val="008F3D42"/>
    <w:rsid w:val="008F5E94"/>
    <w:rsid w:val="008F6D69"/>
    <w:rsid w:val="00925F1F"/>
    <w:rsid w:val="0093137A"/>
    <w:rsid w:val="009355AC"/>
    <w:rsid w:val="0093729D"/>
    <w:rsid w:val="00947285"/>
    <w:rsid w:val="009565BD"/>
    <w:rsid w:val="009571A8"/>
    <w:rsid w:val="00962A88"/>
    <w:rsid w:val="00964D71"/>
    <w:rsid w:val="009659F9"/>
    <w:rsid w:val="00965B65"/>
    <w:rsid w:val="00971EFA"/>
    <w:rsid w:val="009732B8"/>
    <w:rsid w:val="00987747"/>
    <w:rsid w:val="00992043"/>
    <w:rsid w:val="009968C1"/>
    <w:rsid w:val="00997AA5"/>
    <w:rsid w:val="009A6E5B"/>
    <w:rsid w:val="009C734F"/>
    <w:rsid w:val="009D3351"/>
    <w:rsid w:val="009F7246"/>
    <w:rsid w:val="00A175CF"/>
    <w:rsid w:val="00A22F3F"/>
    <w:rsid w:val="00A25FE5"/>
    <w:rsid w:val="00A327B8"/>
    <w:rsid w:val="00A43E9B"/>
    <w:rsid w:val="00A5347E"/>
    <w:rsid w:val="00A63B74"/>
    <w:rsid w:val="00A774EB"/>
    <w:rsid w:val="00A838F7"/>
    <w:rsid w:val="00A85A62"/>
    <w:rsid w:val="00A929ED"/>
    <w:rsid w:val="00A95CF9"/>
    <w:rsid w:val="00A9639B"/>
    <w:rsid w:val="00AA4AC1"/>
    <w:rsid w:val="00AA7D4D"/>
    <w:rsid w:val="00AB10D3"/>
    <w:rsid w:val="00AB5A0E"/>
    <w:rsid w:val="00AB5A3C"/>
    <w:rsid w:val="00AD32AF"/>
    <w:rsid w:val="00AE25EE"/>
    <w:rsid w:val="00AE2ED6"/>
    <w:rsid w:val="00B0289E"/>
    <w:rsid w:val="00B074E1"/>
    <w:rsid w:val="00B17B7B"/>
    <w:rsid w:val="00B21E9C"/>
    <w:rsid w:val="00B2533C"/>
    <w:rsid w:val="00B25422"/>
    <w:rsid w:val="00B40EE1"/>
    <w:rsid w:val="00B45CAF"/>
    <w:rsid w:val="00B57896"/>
    <w:rsid w:val="00B631A6"/>
    <w:rsid w:val="00B6324D"/>
    <w:rsid w:val="00B644AC"/>
    <w:rsid w:val="00B65A20"/>
    <w:rsid w:val="00B673BF"/>
    <w:rsid w:val="00B92D0F"/>
    <w:rsid w:val="00BA0EAD"/>
    <w:rsid w:val="00BA20E7"/>
    <w:rsid w:val="00BA2EEE"/>
    <w:rsid w:val="00BA7359"/>
    <w:rsid w:val="00BE2089"/>
    <w:rsid w:val="00BF0F4C"/>
    <w:rsid w:val="00BF1DC6"/>
    <w:rsid w:val="00BF431E"/>
    <w:rsid w:val="00C01E29"/>
    <w:rsid w:val="00C05341"/>
    <w:rsid w:val="00C420BD"/>
    <w:rsid w:val="00C43A93"/>
    <w:rsid w:val="00C652A1"/>
    <w:rsid w:val="00C70D1E"/>
    <w:rsid w:val="00C76E0E"/>
    <w:rsid w:val="00C778BA"/>
    <w:rsid w:val="00C93476"/>
    <w:rsid w:val="00C9764E"/>
    <w:rsid w:val="00CA0CF0"/>
    <w:rsid w:val="00CB724C"/>
    <w:rsid w:val="00CC000A"/>
    <w:rsid w:val="00CC0E8A"/>
    <w:rsid w:val="00CC1CE5"/>
    <w:rsid w:val="00CC2EF9"/>
    <w:rsid w:val="00CC2F92"/>
    <w:rsid w:val="00CD2332"/>
    <w:rsid w:val="00CD589C"/>
    <w:rsid w:val="00CE61EE"/>
    <w:rsid w:val="00CE7A27"/>
    <w:rsid w:val="00CF094E"/>
    <w:rsid w:val="00CF67E4"/>
    <w:rsid w:val="00CF7C23"/>
    <w:rsid w:val="00D139DC"/>
    <w:rsid w:val="00D14B11"/>
    <w:rsid w:val="00D20238"/>
    <w:rsid w:val="00D232E5"/>
    <w:rsid w:val="00D23474"/>
    <w:rsid w:val="00D26177"/>
    <w:rsid w:val="00D26CD8"/>
    <w:rsid w:val="00D36F98"/>
    <w:rsid w:val="00D401C3"/>
    <w:rsid w:val="00D43D9E"/>
    <w:rsid w:val="00D529EE"/>
    <w:rsid w:val="00D56EFD"/>
    <w:rsid w:val="00D7074A"/>
    <w:rsid w:val="00D74422"/>
    <w:rsid w:val="00DA2D75"/>
    <w:rsid w:val="00DB525D"/>
    <w:rsid w:val="00DC2203"/>
    <w:rsid w:val="00DC5C1F"/>
    <w:rsid w:val="00DD0D5E"/>
    <w:rsid w:val="00DD7997"/>
    <w:rsid w:val="00DE008E"/>
    <w:rsid w:val="00E148FF"/>
    <w:rsid w:val="00E25247"/>
    <w:rsid w:val="00E34527"/>
    <w:rsid w:val="00E4442C"/>
    <w:rsid w:val="00E514AA"/>
    <w:rsid w:val="00E6702C"/>
    <w:rsid w:val="00E7762F"/>
    <w:rsid w:val="00E80B7C"/>
    <w:rsid w:val="00E9294C"/>
    <w:rsid w:val="00E93162"/>
    <w:rsid w:val="00EA1A54"/>
    <w:rsid w:val="00EB2468"/>
    <w:rsid w:val="00EB4AEE"/>
    <w:rsid w:val="00EC3715"/>
    <w:rsid w:val="00ED0F4F"/>
    <w:rsid w:val="00ED38F5"/>
    <w:rsid w:val="00EF2C49"/>
    <w:rsid w:val="00F11077"/>
    <w:rsid w:val="00F12130"/>
    <w:rsid w:val="00F14343"/>
    <w:rsid w:val="00F15452"/>
    <w:rsid w:val="00F245BF"/>
    <w:rsid w:val="00F25D88"/>
    <w:rsid w:val="00F32EBD"/>
    <w:rsid w:val="00F34C9F"/>
    <w:rsid w:val="00F67591"/>
    <w:rsid w:val="00F705F5"/>
    <w:rsid w:val="00F74E64"/>
    <w:rsid w:val="00F75021"/>
    <w:rsid w:val="00F82DBB"/>
    <w:rsid w:val="00F91044"/>
    <w:rsid w:val="00F92FF7"/>
    <w:rsid w:val="00FA1AAE"/>
    <w:rsid w:val="00FA50F4"/>
    <w:rsid w:val="00FA6CE3"/>
    <w:rsid w:val="00FC0838"/>
    <w:rsid w:val="00FC5347"/>
    <w:rsid w:val="00FE357D"/>
    <w:rsid w:val="00FE446B"/>
    <w:rsid w:val="00FE6474"/>
    <w:rsid w:val="00FE707B"/>
    <w:rsid w:val="00FF57CB"/>
    <w:rsid w:val="02C16C5D"/>
    <w:rsid w:val="04897D5E"/>
    <w:rsid w:val="05DD1F63"/>
    <w:rsid w:val="07F910B5"/>
    <w:rsid w:val="08264B84"/>
    <w:rsid w:val="09060CCF"/>
    <w:rsid w:val="0A20785A"/>
    <w:rsid w:val="0B04049C"/>
    <w:rsid w:val="0EAC0C2F"/>
    <w:rsid w:val="1006174D"/>
    <w:rsid w:val="100E76C7"/>
    <w:rsid w:val="107514F4"/>
    <w:rsid w:val="134E49AB"/>
    <w:rsid w:val="15F86E50"/>
    <w:rsid w:val="16591BE3"/>
    <w:rsid w:val="17231CAA"/>
    <w:rsid w:val="177E2BD8"/>
    <w:rsid w:val="195A572B"/>
    <w:rsid w:val="1B2F3DB2"/>
    <w:rsid w:val="1CE93ADB"/>
    <w:rsid w:val="1D2B2547"/>
    <w:rsid w:val="1E8F0473"/>
    <w:rsid w:val="1F3C1B5B"/>
    <w:rsid w:val="21DB72EE"/>
    <w:rsid w:val="23892FB6"/>
    <w:rsid w:val="242D67BF"/>
    <w:rsid w:val="252F5CBE"/>
    <w:rsid w:val="2580651A"/>
    <w:rsid w:val="259D70CC"/>
    <w:rsid w:val="268D1FE2"/>
    <w:rsid w:val="29253660"/>
    <w:rsid w:val="297F55A8"/>
    <w:rsid w:val="29FE2F4B"/>
    <w:rsid w:val="2AFF7631"/>
    <w:rsid w:val="2BC67AFB"/>
    <w:rsid w:val="2C0716F3"/>
    <w:rsid w:val="2CBB0936"/>
    <w:rsid w:val="2E6A3F6E"/>
    <w:rsid w:val="302A3C52"/>
    <w:rsid w:val="32620E84"/>
    <w:rsid w:val="34571F6A"/>
    <w:rsid w:val="35A377B5"/>
    <w:rsid w:val="35B14478"/>
    <w:rsid w:val="36380E89"/>
    <w:rsid w:val="37541B0C"/>
    <w:rsid w:val="37A10C9D"/>
    <w:rsid w:val="384E0F02"/>
    <w:rsid w:val="38E05BF0"/>
    <w:rsid w:val="3A8754B5"/>
    <w:rsid w:val="3AD52F83"/>
    <w:rsid w:val="3B3B338B"/>
    <w:rsid w:val="3B702E61"/>
    <w:rsid w:val="3BBA0BFE"/>
    <w:rsid w:val="3CB8586D"/>
    <w:rsid w:val="3CF74EBC"/>
    <w:rsid w:val="3DAC3EF8"/>
    <w:rsid w:val="3E6E73FF"/>
    <w:rsid w:val="3FB73D77"/>
    <w:rsid w:val="436C7ADF"/>
    <w:rsid w:val="45053222"/>
    <w:rsid w:val="482D3528"/>
    <w:rsid w:val="48A918B6"/>
    <w:rsid w:val="49C34AA3"/>
    <w:rsid w:val="4A9E74DA"/>
    <w:rsid w:val="4AC0598E"/>
    <w:rsid w:val="4B511135"/>
    <w:rsid w:val="4C1A4723"/>
    <w:rsid w:val="4DC16CEF"/>
    <w:rsid w:val="4E266CBE"/>
    <w:rsid w:val="50232D35"/>
    <w:rsid w:val="51347192"/>
    <w:rsid w:val="53AE40CE"/>
    <w:rsid w:val="545A1C58"/>
    <w:rsid w:val="546A04F9"/>
    <w:rsid w:val="54AF45A2"/>
    <w:rsid w:val="559612BE"/>
    <w:rsid w:val="592E180D"/>
    <w:rsid w:val="5A584D94"/>
    <w:rsid w:val="5F3C2ED6"/>
    <w:rsid w:val="608975AF"/>
    <w:rsid w:val="608F7035"/>
    <w:rsid w:val="61897F29"/>
    <w:rsid w:val="624D2468"/>
    <w:rsid w:val="63EA3D6B"/>
    <w:rsid w:val="672C3830"/>
    <w:rsid w:val="6884144A"/>
    <w:rsid w:val="6A0953B2"/>
    <w:rsid w:val="6ABF49BB"/>
    <w:rsid w:val="6ACA1BE4"/>
    <w:rsid w:val="6B722A1D"/>
    <w:rsid w:val="6C983412"/>
    <w:rsid w:val="6DE5298B"/>
    <w:rsid w:val="6E427DDD"/>
    <w:rsid w:val="6F9D0FC8"/>
    <w:rsid w:val="701F03D6"/>
    <w:rsid w:val="71021CE9"/>
    <w:rsid w:val="71816D87"/>
    <w:rsid w:val="723B52DD"/>
    <w:rsid w:val="728D004D"/>
    <w:rsid w:val="73981633"/>
    <w:rsid w:val="759D270C"/>
    <w:rsid w:val="75DA08FB"/>
    <w:rsid w:val="75F701BD"/>
    <w:rsid w:val="768371E5"/>
    <w:rsid w:val="76EC6B38"/>
    <w:rsid w:val="77003E75"/>
    <w:rsid w:val="776C706F"/>
    <w:rsid w:val="77E93077"/>
    <w:rsid w:val="79501600"/>
    <w:rsid w:val="7B2F6343"/>
    <w:rsid w:val="7CE62058"/>
    <w:rsid w:val="7EDA15AA"/>
    <w:rsid w:val="7F1236E1"/>
    <w:rsid w:val="7FDB59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numPr>
        <w:ilvl w:val="0"/>
        <w:numId w:val="1"/>
      </w:numPr>
      <w:spacing w:beforeLines="50" w:afterLines="50"/>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73"/>
    <w:autoRedefine/>
    <w:qFormat/>
    <w:uiPriority w:val="0"/>
    <w:pPr>
      <w:keepNext/>
      <w:keepLines/>
      <w:spacing w:before="260" w:after="260" w:line="416" w:lineRule="auto"/>
      <w:outlineLvl w:val="1"/>
    </w:pPr>
    <w:rPr>
      <w:rFonts w:ascii="Arial" w:hAnsi="Arial" w:eastAsia="黑体"/>
      <w:b/>
      <w:bCs/>
      <w:sz w:val="30"/>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33"/>
    <w:autoRedefine/>
    <w:qFormat/>
    <w:uiPriority w:val="0"/>
    <w:pPr>
      <w:ind w:firstLine="420"/>
    </w:pPr>
    <w:rPr>
      <w:rFonts w:ascii="宋体" w:hAnsi="宋体"/>
      <w:kern w:val="0"/>
      <w:sz w:val="20"/>
      <w:szCs w:val="20"/>
    </w:rPr>
  </w:style>
  <w:style w:type="paragraph" w:styleId="6">
    <w:name w:val="annotation text"/>
    <w:basedOn w:val="1"/>
    <w:link w:val="34"/>
    <w:autoRedefine/>
    <w:unhideWhenUsed/>
    <w:qFormat/>
    <w:uiPriority w:val="99"/>
    <w:pPr>
      <w:jc w:val="left"/>
    </w:pPr>
  </w:style>
  <w:style w:type="paragraph" w:styleId="7">
    <w:name w:val="Body Text"/>
    <w:basedOn w:val="1"/>
    <w:link w:val="35"/>
    <w:autoRedefine/>
    <w:qFormat/>
    <w:uiPriority w:val="0"/>
    <w:pPr>
      <w:spacing w:after="120"/>
    </w:pPr>
    <w:rPr>
      <w:szCs w:val="24"/>
    </w:rPr>
  </w:style>
  <w:style w:type="paragraph" w:styleId="8">
    <w:name w:val="Body Text Indent"/>
    <w:basedOn w:val="1"/>
    <w:next w:val="1"/>
    <w:link w:val="36"/>
    <w:autoRedefine/>
    <w:qFormat/>
    <w:uiPriority w:val="0"/>
    <w:pPr>
      <w:spacing w:after="120"/>
      <w:ind w:left="420" w:leftChars="200"/>
    </w:pPr>
    <w:rPr>
      <w:szCs w:val="24"/>
    </w:rPr>
  </w:style>
  <w:style w:type="paragraph" w:styleId="9">
    <w:name w:val="Plain Text"/>
    <w:basedOn w:val="1"/>
    <w:link w:val="37"/>
    <w:autoRedefine/>
    <w:qFormat/>
    <w:uiPriority w:val="0"/>
    <w:rPr>
      <w:rFonts w:ascii="宋体" w:hAnsi="Courier New"/>
      <w:kern w:val="0"/>
      <w:sz w:val="20"/>
      <w:szCs w:val="20"/>
    </w:rPr>
  </w:style>
  <w:style w:type="paragraph" w:styleId="10">
    <w:name w:val="Date"/>
    <w:basedOn w:val="1"/>
    <w:next w:val="1"/>
    <w:link w:val="38"/>
    <w:autoRedefine/>
    <w:qFormat/>
    <w:uiPriority w:val="0"/>
    <w:pPr>
      <w:ind w:left="100" w:leftChars="2500"/>
    </w:pPr>
  </w:style>
  <w:style w:type="paragraph" w:styleId="11">
    <w:name w:val="Body Text Indent 2"/>
    <w:basedOn w:val="1"/>
    <w:link w:val="39"/>
    <w:autoRedefine/>
    <w:qFormat/>
    <w:uiPriority w:val="0"/>
    <w:pPr>
      <w:spacing w:after="120" w:line="480" w:lineRule="auto"/>
      <w:ind w:left="420" w:leftChars="200"/>
    </w:pPr>
    <w:rPr>
      <w:szCs w:val="24"/>
    </w:rPr>
  </w:style>
  <w:style w:type="paragraph" w:styleId="12">
    <w:name w:val="Balloon Text"/>
    <w:basedOn w:val="1"/>
    <w:link w:val="40"/>
    <w:autoRedefine/>
    <w:qFormat/>
    <w:uiPriority w:val="0"/>
    <w:rPr>
      <w:kern w:val="0"/>
      <w:sz w:val="18"/>
      <w:szCs w:val="18"/>
    </w:rPr>
  </w:style>
  <w:style w:type="paragraph" w:styleId="13">
    <w:name w:val="footer"/>
    <w:basedOn w:val="1"/>
    <w:link w:val="41"/>
    <w:autoRedefine/>
    <w:unhideWhenUsed/>
    <w:qFormat/>
    <w:uiPriority w:val="0"/>
    <w:pPr>
      <w:tabs>
        <w:tab w:val="center" w:pos="4153"/>
        <w:tab w:val="right" w:pos="8306"/>
      </w:tabs>
      <w:snapToGrid w:val="0"/>
      <w:jc w:val="left"/>
    </w:pPr>
    <w:rPr>
      <w:sz w:val="18"/>
      <w:szCs w:val="18"/>
    </w:rPr>
  </w:style>
  <w:style w:type="paragraph" w:styleId="14">
    <w:name w:val="header"/>
    <w:basedOn w:val="1"/>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rPr>
      <w:rFonts w:ascii="Times New Roman" w:hAnsi="Times New Roman"/>
      <w:szCs w:val="24"/>
    </w:rPr>
  </w:style>
  <w:style w:type="paragraph" w:styleId="16">
    <w:name w:val="toc 2"/>
    <w:basedOn w:val="1"/>
    <w:next w:val="1"/>
    <w:autoRedefine/>
    <w:qFormat/>
    <w:uiPriority w:val="39"/>
    <w:pPr>
      <w:ind w:left="420" w:leftChars="200"/>
    </w:pPr>
    <w:rPr>
      <w:rFonts w:ascii="Times New Roman" w:hAnsi="Times New Roman"/>
      <w:szCs w:val="20"/>
    </w:rPr>
  </w:style>
  <w:style w:type="paragraph" w:styleId="17">
    <w:name w:val="HTML Preformatted"/>
    <w:basedOn w:val="1"/>
    <w:link w:val="4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autoRedefine/>
    <w:unhideWhenUsed/>
    <w:qFormat/>
    <w:uiPriority w:val="99"/>
    <w:rPr>
      <w:rFonts w:ascii="Times New Roman" w:hAnsi="Times New Roman"/>
      <w:sz w:val="24"/>
      <w:szCs w:val="24"/>
    </w:rPr>
  </w:style>
  <w:style w:type="paragraph" w:styleId="19">
    <w:name w:val="annotation subject"/>
    <w:basedOn w:val="6"/>
    <w:next w:val="6"/>
    <w:link w:val="44"/>
    <w:autoRedefine/>
    <w:unhideWhenUsed/>
    <w:qFormat/>
    <w:uiPriority w:val="99"/>
    <w:rPr>
      <w:b/>
      <w:bCs/>
    </w:rPr>
  </w:style>
  <w:style w:type="paragraph" w:styleId="20">
    <w:name w:val="Body Text First Indent"/>
    <w:basedOn w:val="7"/>
    <w:autoRedefine/>
    <w:qFormat/>
    <w:uiPriority w:val="0"/>
    <w:pPr>
      <w:spacing w:after="120"/>
      <w:ind w:firstLine="420" w:firstLineChars="100"/>
      <w:jc w:val="both"/>
    </w:pPr>
    <w:rPr>
      <w:rFonts w:ascii="Times New Roman" w:hAnsi="Times New Roman" w:eastAsia="宋体"/>
      <w:kern w:val="2"/>
      <w:sz w:val="21"/>
      <w:szCs w:val="24"/>
    </w:rPr>
  </w:style>
  <w:style w:type="paragraph" w:styleId="21">
    <w:name w:val="Body Text First Indent 2"/>
    <w:basedOn w:val="8"/>
    <w:next w:val="1"/>
    <w:autoRedefine/>
    <w:qFormat/>
    <w:uiPriority w:val="0"/>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Emphasis"/>
    <w:basedOn w:val="24"/>
    <w:autoRedefine/>
    <w:qFormat/>
    <w:uiPriority w:val="20"/>
    <w:rPr>
      <w:i/>
      <w:iCs/>
    </w:rPr>
  </w:style>
  <w:style w:type="character" w:styleId="29">
    <w:name w:val="Hyperlink"/>
    <w:basedOn w:val="24"/>
    <w:autoRedefine/>
    <w:unhideWhenUsed/>
    <w:qFormat/>
    <w:uiPriority w:val="99"/>
    <w:rPr>
      <w:color w:val="0000FF"/>
      <w:u w:val="single"/>
    </w:rPr>
  </w:style>
  <w:style w:type="character" w:styleId="30">
    <w:name w:val="annotation reference"/>
    <w:basedOn w:val="24"/>
    <w:autoRedefine/>
    <w:unhideWhenUsed/>
    <w:qFormat/>
    <w:uiPriority w:val="99"/>
    <w:rPr>
      <w:sz w:val="21"/>
      <w:szCs w:val="21"/>
    </w:rPr>
  </w:style>
  <w:style w:type="character" w:customStyle="1" w:styleId="31">
    <w:name w:val="标题 2 Char"/>
    <w:basedOn w:val="24"/>
    <w:link w:val="3"/>
    <w:autoRedefine/>
    <w:qFormat/>
    <w:uiPriority w:val="0"/>
    <w:rPr>
      <w:rFonts w:ascii="Arial" w:hAnsi="Arial" w:eastAsia="黑体"/>
      <w:b/>
      <w:bCs/>
      <w:kern w:val="2"/>
      <w:sz w:val="30"/>
      <w:szCs w:val="32"/>
    </w:rPr>
  </w:style>
  <w:style w:type="character" w:customStyle="1" w:styleId="32">
    <w:name w:val="标题 3 Char"/>
    <w:basedOn w:val="24"/>
    <w:link w:val="4"/>
    <w:autoRedefine/>
    <w:qFormat/>
    <w:uiPriority w:val="9"/>
    <w:rPr>
      <w:b/>
      <w:bCs/>
      <w:kern w:val="2"/>
      <w:sz w:val="32"/>
      <w:szCs w:val="32"/>
    </w:rPr>
  </w:style>
  <w:style w:type="character" w:customStyle="1" w:styleId="33">
    <w:name w:val="正文缩进 Char"/>
    <w:link w:val="5"/>
    <w:autoRedefine/>
    <w:qFormat/>
    <w:uiPriority w:val="0"/>
    <w:rPr>
      <w:rFonts w:ascii="宋体" w:hAnsi="宋体"/>
    </w:rPr>
  </w:style>
  <w:style w:type="character" w:customStyle="1" w:styleId="34">
    <w:name w:val="批注文字 Char"/>
    <w:basedOn w:val="24"/>
    <w:link w:val="6"/>
    <w:autoRedefine/>
    <w:qFormat/>
    <w:uiPriority w:val="99"/>
    <w:rPr>
      <w:kern w:val="2"/>
      <w:sz w:val="21"/>
      <w:szCs w:val="22"/>
    </w:rPr>
  </w:style>
  <w:style w:type="character" w:customStyle="1" w:styleId="35">
    <w:name w:val="正文文本 Char"/>
    <w:link w:val="7"/>
    <w:autoRedefine/>
    <w:qFormat/>
    <w:uiPriority w:val="0"/>
    <w:rPr>
      <w:kern w:val="2"/>
      <w:sz w:val="21"/>
      <w:szCs w:val="24"/>
    </w:rPr>
  </w:style>
  <w:style w:type="character" w:customStyle="1" w:styleId="36">
    <w:name w:val="正文文本缩进 Char"/>
    <w:link w:val="8"/>
    <w:autoRedefine/>
    <w:qFormat/>
    <w:uiPriority w:val="0"/>
    <w:rPr>
      <w:kern w:val="2"/>
      <w:sz w:val="21"/>
      <w:szCs w:val="24"/>
    </w:rPr>
  </w:style>
  <w:style w:type="character" w:customStyle="1" w:styleId="37">
    <w:name w:val="纯文本 Char"/>
    <w:link w:val="9"/>
    <w:autoRedefine/>
    <w:qFormat/>
    <w:uiPriority w:val="0"/>
    <w:rPr>
      <w:rFonts w:ascii="宋体" w:hAnsi="Courier New"/>
    </w:rPr>
  </w:style>
  <w:style w:type="character" w:customStyle="1" w:styleId="38">
    <w:name w:val="日期 Char"/>
    <w:basedOn w:val="24"/>
    <w:link w:val="10"/>
    <w:autoRedefine/>
    <w:qFormat/>
    <w:uiPriority w:val="0"/>
    <w:rPr>
      <w:kern w:val="2"/>
      <w:sz w:val="21"/>
      <w:szCs w:val="22"/>
    </w:rPr>
  </w:style>
  <w:style w:type="character" w:customStyle="1" w:styleId="39">
    <w:name w:val="正文文本缩进 2 Char"/>
    <w:link w:val="11"/>
    <w:autoRedefine/>
    <w:qFormat/>
    <w:uiPriority w:val="0"/>
    <w:rPr>
      <w:kern w:val="2"/>
      <w:sz w:val="21"/>
      <w:szCs w:val="24"/>
    </w:rPr>
  </w:style>
  <w:style w:type="character" w:customStyle="1" w:styleId="40">
    <w:name w:val="批注框文本 Char"/>
    <w:link w:val="12"/>
    <w:autoRedefine/>
    <w:qFormat/>
    <w:uiPriority w:val="0"/>
    <w:rPr>
      <w:sz w:val="18"/>
      <w:szCs w:val="18"/>
    </w:rPr>
  </w:style>
  <w:style w:type="character" w:customStyle="1" w:styleId="41">
    <w:name w:val="页脚 Char"/>
    <w:basedOn w:val="24"/>
    <w:link w:val="13"/>
    <w:autoRedefine/>
    <w:qFormat/>
    <w:uiPriority w:val="0"/>
    <w:rPr>
      <w:sz w:val="18"/>
      <w:szCs w:val="18"/>
    </w:rPr>
  </w:style>
  <w:style w:type="character" w:customStyle="1" w:styleId="42">
    <w:name w:val="页眉 Char"/>
    <w:basedOn w:val="24"/>
    <w:link w:val="14"/>
    <w:autoRedefine/>
    <w:qFormat/>
    <w:uiPriority w:val="0"/>
    <w:rPr>
      <w:sz w:val="18"/>
      <w:szCs w:val="18"/>
    </w:rPr>
  </w:style>
  <w:style w:type="character" w:customStyle="1" w:styleId="43">
    <w:name w:val="HTML 预设格式 Char"/>
    <w:basedOn w:val="24"/>
    <w:link w:val="17"/>
    <w:autoRedefine/>
    <w:semiHidden/>
    <w:qFormat/>
    <w:uiPriority w:val="99"/>
    <w:rPr>
      <w:rFonts w:ascii="宋体" w:hAnsi="宋体" w:cs="宋体"/>
      <w:sz w:val="24"/>
      <w:szCs w:val="24"/>
    </w:rPr>
  </w:style>
  <w:style w:type="character" w:customStyle="1" w:styleId="44">
    <w:name w:val="批注主题 Char"/>
    <w:basedOn w:val="34"/>
    <w:link w:val="19"/>
    <w:autoRedefine/>
    <w:qFormat/>
    <w:uiPriority w:val="99"/>
    <w:rPr>
      <w:b/>
      <w:bCs/>
    </w:rPr>
  </w:style>
  <w:style w:type="character" w:customStyle="1" w:styleId="45">
    <w:name w:val="批注主题 Char1"/>
    <w:basedOn w:val="46"/>
    <w:autoRedefine/>
    <w:semiHidden/>
    <w:qFormat/>
    <w:uiPriority w:val="99"/>
    <w:rPr>
      <w:b/>
      <w:bCs/>
    </w:rPr>
  </w:style>
  <w:style w:type="character" w:customStyle="1" w:styleId="46">
    <w:name w:val="批注文字 Char1"/>
    <w:basedOn w:val="24"/>
    <w:autoRedefine/>
    <w:semiHidden/>
    <w:qFormat/>
    <w:uiPriority w:val="99"/>
    <w:rPr>
      <w:kern w:val="2"/>
      <w:sz w:val="21"/>
      <w:szCs w:val="22"/>
    </w:rPr>
  </w:style>
  <w:style w:type="character" w:customStyle="1" w:styleId="47">
    <w:name w:val="sp_dash"/>
    <w:basedOn w:val="24"/>
    <w:autoRedefine/>
    <w:qFormat/>
    <w:uiPriority w:val="0"/>
  </w:style>
  <w:style w:type="character" w:customStyle="1" w:styleId="48">
    <w:name w:val="正文文本缩进 2 Char1"/>
    <w:basedOn w:val="24"/>
    <w:autoRedefine/>
    <w:qFormat/>
    <w:uiPriority w:val="99"/>
    <w:rPr>
      <w:kern w:val="2"/>
      <w:sz w:val="21"/>
      <w:szCs w:val="22"/>
    </w:rPr>
  </w:style>
  <w:style w:type="character" w:customStyle="1" w:styleId="49">
    <w:name w:val="prc_air"/>
    <w:basedOn w:val="24"/>
    <w:autoRedefine/>
    <w:qFormat/>
    <w:uiPriority w:val="0"/>
  </w:style>
  <w:style w:type="character" w:customStyle="1" w:styleId="50">
    <w:name w:val="正文文本缩进 Char1"/>
    <w:basedOn w:val="24"/>
    <w:autoRedefine/>
    <w:qFormat/>
    <w:uiPriority w:val="99"/>
    <w:rPr>
      <w:kern w:val="2"/>
      <w:sz w:val="21"/>
      <w:szCs w:val="22"/>
    </w:rPr>
  </w:style>
  <w:style w:type="character" w:customStyle="1" w:styleId="51">
    <w:name w:val="批注框文本 Char1"/>
    <w:basedOn w:val="24"/>
    <w:autoRedefine/>
    <w:qFormat/>
    <w:uiPriority w:val="99"/>
    <w:rPr>
      <w:kern w:val="2"/>
      <w:sz w:val="18"/>
      <w:szCs w:val="18"/>
    </w:rPr>
  </w:style>
  <w:style w:type="character" w:customStyle="1" w:styleId="52">
    <w:name w:val="正文文本 Char1"/>
    <w:basedOn w:val="24"/>
    <w:autoRedefine/>
    <w:qFormat/>
    <w:uiPriority w:val="99"/>
    <w:rPr>
      <w:kern w:val="2"/>
      <w:sz w:val="21"/>
      <w:szCs w:val="22"/>
    </w:rPr>
  </w:style>
  <w:style w:type="character" w:customStyle="1" w:styleId="53">
    <w:name w:val="纯文本 Char1"/>
    <w:basedOn w:val="24"/>
    <w:autoRedefine/>
    <w:qFormat/>
    <w:uiPriority w:val="99"/>
    <w:rPr>
      <w:rFonts w:ascii="宋体" w:hAnsi="Courier New" w:cs="Courier New"/>
      <w:kern w:val="2"/>
      <w:sz w:val="21"/>
      <w:szCs w:val="21"/>
    </w:rPr>
  </w:style>
  <w:style w:type="character" w:customStyle="1" w:styleId="54">
    <w:name w:val=" Char Char5"/>
    <w:autoRedefine/>
    <w:qFormat/>
    <w:uiPriority w:val="0"/>
    <w:rPr>
      <w:rFonts w:eastAsia="宋体"/>
      <w:kern w:val="2"/>
      <w:sz w:val="18"/>
      <w:szCs w:val="18"/>
      <w:lang w:val="en-US" w:eastAsia="zh-CN" w:bidi="ar-SA"/>
    </w:rPr>
  </w:style>
  <w:style w:type="character" w:customStyle="1" w:styleId="55">
    <w:name w:val="apple-converted-space"/>
    <w:basedOn w:val="24"/>
    <w:autoRedefine/>
    <w:qFormat/>
    <w:uiPriority w:val="0"/>
  </w:style>
  <w:style w:type="paragraph" w:customStyle="1" w:styleId="56">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宋体"/>
    <w:basedOn w:val="18"/>
    <w:autoRedefine/>
    <w:qFormat/>
    <w:uiPriority w:val="0"/>
    <w:pPr>
      <w:widowControl/>
      <w:shd w:val="clear" w:color="auto" w:fill="FFFFFF"/>
      <w:ind w:firstLine="480" w:firstLineChars="200"/>
      <w:jc w:val="left"/>
    </w:pPr>
    <w:rPr>
      <w:rFonts w:ascii="宋体" w:hAnsi="宋体" w:cs="宋体"/>
    </w:rPr>
  </w:style>
  <w:style w:type="paragraph" w:customStyle="1" w:styleId="58">
    <w:name w:val=" Char3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9">
    <w:name w:val="_Style 54"/>
    <w:autoRedefine/>
    <w:semiHidden/>
    <w:qFormat/>
    <w:uiPriority w:val="99"/>
    <w:rPr>
      <w:rFonts w:ascii="Calibri" w:hAnsi="Calibri" w:eastAsia="宋体" w:cs="Times New Roman"/>
      <w:kern w:val="2"/>
      <w:sz w:val="21"/>
      <w:szCs w:val="22"/>
      <w:lang w:val="en-US" w:eastAsia="zh-CN" w:bidi="ar-SA"/>
    </w:rPr>
  </w:style>
  <w:style w:type="paragraph" w:customStyle="1" w:styleId="60">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表头文本"/>
    <w:basedOn w:val="1"/>
    <w:autoRedefine/>
    <w:qFormat/>
    <w:uiPriority w:val="0"/>
    <w:pPr>
      <w:autoSpaceDE w:val="0"/>
      <w:autoSpaceDN w:val="0"/>
      <w:adjustRightInd w:val="0"/>
      <w:jc w:val="center"/>
    </w:pPr>
    <w:rPr>
      <w:rFonts w:ascii="Times New Roman" w:hAnsi="Times New Roman"/>
      <w:b/>
      <w:kern w:val="0"/>
      <w:sz w:val="24"/>
      <w:szCs w:val="20"/>
    </w:rPr>
  </w:style>
  <w:style w:type="paragraph" w:customStyle="1" w:styleId="62">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默认段落字体 Char"/>
    <w:basedOn w:val="1"/>
    <w:autoRedefine/>
    <w:qFormat/>
    <w:uiPriority w:val="0"/>
    <w:rPr>
      <w:rFonts w:ascii="Times New Roman" w:hAnsi="Times New Roman"/>
      <w:szCs w:val="24"/>
    </w:rPr>
  </w:style>
  <w:style w:type="paragraph" w:customStyle="1" w:styleId="64">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5">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6">
    <w:name w:val="样式3"/>
    <w:basedOn w:val="9"/>
    <w:autoRedefine/>
    <w:qFormat/>
    <w:uiPriority w:val="0"/>
    <w:pPr>
      <w:spacing w:line="0" w:lineRule="atLeast"/>
      <w:outlineLvl w:val="0"/>
    </w:pPr>
    <w:rPr>
      <w:sz w:val="28"/>
    </w:rPr>
  </w:style>
  <w:style w:type="paragraph" w:customStyle="1" w:styleId="67">
    <w:name w:val=" Char Char Char"/>
    <w:basedOn w:val="1"/>
    <w:autoRedefine/>
    <w:qFormat/>
    <w:uiPriority w:val="0"/>
    <w:rPr>
      <w:rFonts w:ascii="Tahoma" w:hAnsi="Tahoma"/>
      <w:sz w:val="24"/>
      <w:szCs w:val="20"/>
    </w:rPr>
  </w:style>
  <w:style w:type="paragraph" w:customStyle="1" w:styleId="68">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 Char Char Char Char Char Char Char"/>
    <w:basedOn w:val="1"/>
    <w:autoRedefine/>
    <w:qFormat/>
    <w:uiPriority w:val="0"/>
    <w:rPr>
      <w:rFonts w:ascii="Times New Roman" w:hAnsi="Times New Roman"/>
      <w:szCs w:val="24"/>
    </w:rPr>
  </w:style>
  <w:style w:type="paragraph" w:customStyle="1" w:styleId="70">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1">
    <w:name w:val="null3"/>
    <w:autoRedefine/>
    <w:qFormat/>
    <w:uiPriority w:val="0"/>
    <w:rPr>
      <w:rFonts w:hint="eastAsia" w:ascii="Calibri" w:hAnsi="Calibri" w:eastAsia="宋体" w:cs="Times New Roman"/>
      <w:lang w:val="en-US" w:eastAsia="zh-CN" w:bidi="ar-SA"/>
    </w:rPr>
  </w:style>
  <w:style w:type="paragraph" w:customStyle="1" w:styleId="72">
    <w:name w:val="Body text|1"/>
    <w:basedOn w:val="1"/>
    <w:autoRedefine/>
    <w:qFormat/>
    <w:uiPriority w:val="0"/>
    <w:pPr>
      <w:spacing w:line="415" w:lineRule="auto"/>
      <w:ind w:firstLine="400"/>
    </w:pPr>
    <w:rPr>
      <w:rFonts w:ascii="宋体" w:hAnsi="宋体" w:eastAsia="宋体" w:cs="宋体"/>
      <w:sz w:val="22"/>
      <w:lang w:val="zh-TW" w:eastAsia="zh-TW" w:bidi="zh-TW"/>
    </w:rPr>
  </w:style>
  <w:style w:type="character" w:customStyle="1" w:styleId="73">
    <w:name w:val="标题 2 字符"/>
    <w:basedOn w:val="24"/>
    <w:link w:val="3"/>
    <w:autoRedefine/>
    <w:qFormat/>
    <w:uiPriority w:val="0"/>
    <w:rPr>
      <w:rFonts w:ascii="Arial" w:hAnsi="Arial" w:cs="Arial"/>
      <w:b/>
      <w:bCs/>
      <w:spacing w:val="10"/>
      <w:kern w:val="28"/>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93</Pages>
  <Words>35502</Words>
  <Characters>36937</Characters>
  <Lines>318</Lines>
  <Paragraphs>89</Paragraphs>
  <TotalTime>2</TotalTime>
  <ScaleCrop>false</ScaleCrop>
  <LinksUpToDate>false</LinksUpToDate>
  <CharactersWithSpaces>44583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小胖妞</cp:lastModifiedBy>
  <dcterms:modified xsi:type="dcterms:W3CDTF">2024-07-19T07:50:20Z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9FA581FE00FB418CBD4B5BF3E585B471_13</vt:lpwstr>
  </property>
</Properties>
</file>