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color w:val="auto"/>
          <w:sz w:val="72"/>
          <w:highlight w:val="none"/>
        </w:rPr>
      </w:pPr>
      <w:bookmarkStart w:id="36" w:name="_GoBack"/>
      <w:r>
        <w:rPr>
          <w:rFonts w:hint="eastAsia" w:ascii="宋体" w:hAnsi="宋体"/>
          <w:b/>
          <w:color w:val="auto"/>
          <w:sz w:val="72"/>
          <w:highlight w:val="none"/>
        </w:rPr>
        <w:t>厦 门 市 大 宗 货 物</w:t>
      </w:r>
      <w:r>
        <w:rPr>
          <w:rFonts w:hint="eastAsia" w:ascii="宋体" w:hAnsi="宋体"/>
          <w:b/>
          <w:color w:val="auto"/>
          <w:sz w:val="72"/>
          <w:highlight w:val="none"/>
          <w:lang w:val="en-US" w:eastAsia="zh-CN"/>
        </w:rPr>
        <w:t xml:space="preserve">   </w:t>
      </w:r>
      <w:r>
        <w:rPr>
          <w:rFonts w:hint="eastAsia" w:ascii="宋体" w:hAnsi="宋体"/>
          <w:b/>
          <w:color w:val="auto"/>
          <w:sz w:val="72"/>
          <w:highlight w:val="none"/>
        </w:rPr>
        <w:t xml:space="preserve">  </w:t>
      </w:r>
    </w:p>
    <w:p>
      <w:pPr>
        <w:jc w:val="center"/>
        <w:rPr>
          <w:rFonts w:hint="eastAsia" w:ascii="宋体" w:hAnsi="宋体"/>
          <w:b/>
          <w:color w:val="auto"/>
          <w:sz w:val="72"/>
          <w:highlight w:val="none"/>
        </w:rPr>
      </w:pPr>
      <w:r>
        <w:rPr>
          <w:rFonts w:hint="eastAsia" w:ascii="宋体" w:hAnsi="宋体"/>
          <w:b/>
          <w:color w:val="auto"/>
          <w:sz w:val="72"/>
          <w:highlight w:val="none"/>
        </w:rPr>
        <w:t xml:space="preserve">政 府 采 购 项 目 </w:t>
      </w:r>
    </w:p>
    <w:p>
      <w:pPr>
        <w:spacing w:line="360" w:lineRule="auto"/>
        <w:jc w:val="center"/>
        <w:rPr>
          <w:rFonts w:hint="eastAsia" w:ascii="宋体" w:hAnsi="宋体"/>
          <w:b/>
          <w:color w:val="auto"/>
          <w:sz w:val="72"/>
          <w:highlight w:val="none"/>
        </w:rPr>
      </w:pPr>
      <w:r>
        <w:rPr>
          <w:rFonts w:hint="eastAsia" w:ascii="宋体" w:hAnsi="宋体"/>
          <w:b/>
          <w:color w:val="auto"/>
          <w:sz w:val="72"/>
          <w:highlight w:val="none"/>
        </w:rPr>
        <w:t>招   标   文   件</w:t>
      </w:r>
    </w:p>
    <w:p>
      <w:pPr>
        <w:spacing w:line="360" w:lineRule="auto"/>
        <w:ind w:firstLine="1438" w:firstLineChars="398"/>
        <w:rPr>
          <w:rFonts w:hint="eastAsia" w:ascii="宋体" w:hAnsi="宋体"/>
          <w:b/>
          <w:color w:val="auto"/>
          <w:sz w:val="36"/>
          <w:highlight w:val="none"/>
        </w:rPr>
      </w:pPr>
    </w:p>
    <w:p>
      <w:pPr>
        <w:spacing w:line="360" w:lineRule="auto"/>
        <w:ind w:firstLine="1438" w:firstLineChars="398"/>
        <w:rPr>
          <w:rFonts w:hint="eastAsia" w:ascii="宋体" w:hAnsi="宋体"/>
          <w:b/>
          <w:color w:val="auto"/>
          <w:sz w:val="36"/>
          <w:highlight w:val="none"/>
        </w:rPr>
      </w:pPr>
    </w:p>
    <w:p>
      <w:pPr>
        <w:spacing w:line="360" w:lineRule="auto"/>
        <w:ind w:firstLine="1438" w:firstLineChars="398"/>
        <w:rPr>
          <w:rFonts w:hint="eastAsia" w:ascii="宋体" w:hAnsi="宋体"/>
          <w:b/>
          <w:color w:val="auto"/>
          <w:sz w:val="36"/>
          <w:highlight w:val="none"/>
        </w:rPr>
      </w:pPr>
    </w:p>
    <w:p>
      <w:pPr>
        <w:spacing w:line="360" w:lineRule="auto"/>
        <w:ind w:firstLine="1438" w:firstLineChars="398"/>
        <w:rPr>
          <w:rFonts w:hint="eastAsia" w:ascii="宋体" w:hAnsi="宋体"/>
          <w:b/>
          <w:color w:val="auto"/>
          <w:sz w:val="36"/>
          <w:highlight w:val="none"/>
        </w:rPr>
      </w:pPr>
    </w:p>
    <w:p>
      <w:pPr>
        <w:spacing w:line="360" w:lineRule="auto"/>
        <w:ind w:firstLine="1438" w:firstLineChars="398"/>
        <w:rPr>
          <w:rFonts w:hint="default" w:ascii="宋体" w:hAnsi="宋体" w:eastAsia="宋体"/>
          <w:b/>
          <w:color w:val="auto"/>
          <w:sz w:val="36"/>
          <w:highlight w:val="none"/>
          <w:u w:val="single"/>
          <w:lang w:val="en-US" w:eastAsia="zh-CN"/>
        </w:rPr>
      </w:pPr>
      <w:r>
        <w:rPr>
          <w:rFonts w:hint="eastAsia" w:ascii="宋体" w:hAnsi="宋体"/>
          <w:b/>
          <w:color w:val="auto"/>
          <w:sz w:val="36"/>
          <w:highlight w:val="none"/>
        </w:rPr>
        <w:t>招 标 编 号：</w:t>
      </w:r>
      <w:r>
        <w:rPr>
          <w:rFonts w:hint="eastAsia" w:ascii="宋体" w:hAnsi="宋体"/>
          <w:b/>
          <w:color w:val="auto"/>
          <w:sz w:val="36"/>
          <w:highlight w:val="none"/>
          <w:u w:val="single"/>
        </w:rPr>
        <w:t>XM</w:t>
      </w:r>
      <w:r>
        <w:rPr>
          <w:rFonts w:hint="eastAsia" w:ascii="宋体" w:hAnsi="宋体"/>
          <w:b/>
          <w:color w:val="auto"/>
          <w:sz w:val="36"/>
          <w:highlight w:val="none"/>
          <w:u w:val="single"/>
          <w:lang w:eastAsia="zh-CN"/>
        </w:rPr>
        <w:t>2024</w:t>
      </w:r>
      <w:r>
        <w:rPr>
          <w:rFonts w:hint="eastAsia" w:ascii="宋体" w:hAnsi="宋体"/>
          <w:b/>
          <w:color w:val="auto"/>
          <w:sz w:val="36"/>
          <w:highlight w:val="none"/>
          <w:u w:val="single"/>
        </w:rPr>
        <w:t>-DZ</w:t>
      </w:r>
      <w:r>
        <w:rPr>
          <w:rFonts w:hint="eastAsia" w:ascii="宋体" w:hAnsi="宋体"/>
          <w:b/>
          <w:color w:val="auto"/>
          <w:sz w:val="36"/>
          <w:highlight w:val="none"/>
          <w:u w:val="single"/>
          <w:lang w:val="en-US" w:eastAsia="zh-CN"/>
        </w:rPr>
        <w:t>0031</w:t>
      </w:r>
    </w:p>
    <w:p>
      <w:pPr>
        <w:spacing w:line="360" w:lineRule="auto"/>
        <w:ind w:left="3948" w:leftChars="684" w:hanging="2512" w:hangingChars="695"/>
        <w:rPr>
          <w:rFonts w:hint="eastAsia" w:ascii="宋体" w:hAnsi="宋体"/>
          <w:b/>
          <w:color w:val="auto"/>
          <w:sz w:val="36"/>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rPr>
        <w:t>：2024年大宗激光</w:t>
      </w:r>
      <w:r>
        <w:rPr>
          <w:rFonts w:hint="eastAsia" w:ascii="宋体" w:hAnsi="宋体"/>
          <w:b/>
          <w:color w:val="auto"/>
          <w:sz w:val="36"/>
          <w:highlight w:val="none"/>
          <w:lang w:eastAsia="zh-CN"/>
        </w:rPr>
        <w:t>打印</w:t>
      </w:r>
      <w:r>
        <w:rPr>
          <w:rFonts w:hint="eastAsia" w:ascii="宋体" w:hAnsi="宋体"/>
          <w:b/>
          <w:color w:val="auto"/>
          <w:sz w:val="36"/>
          <w:highlight w:val="none"/>
        </w:rPr>
        <w:t>机</w:t>
      </w:r>
    </w:p>
    <w:p>
      <w:pPr>
        <w:spacing w:line="360" w:lineRule="auto"/>
        <w:ind w:firstLine="1438" w:firstLineChars="398"/>
        <w:rPr>
          <w:rFonts w:hint="eastAsia" w:ascii="宋体" w:hAnsi="宋体"/>
          <w:b/>
          <w:color w:val="auto"/>
          <w:sz w:val="36"/>
          <w:highlight w:val="none"/>
        </w:rPr>
      </w:pPr>
    </w:p>
    <w:p>
      <w:pPr>
        <w:spacing w:line="360" w:lineRule="auto"/>
        <w:ind w:firstLine="1438" w:firstLineChars="398"/>
        <w:rPr>
          <w:rFonts w:hint="eastAsia" w:ascii="宋体" w:hAnsi="宋体"/>
          <w:b/>
          <w:color w:val="auto"/>
          <w:sz w:val="36"/>
          <w:highlight w:val="none"/>
        </w:rPr>
      </w:pPr>
    </w:p>
    <w:p>
      <w:pPr>
        <w:spacing w:line="360" w:lineRule="auto"/>
        <w:ind w:firstLine="1438" w:firstLineChars="398"/>
        <w:rPr>
          <w:rFonts w:hint="eastAsia" w:ascii="宋体" w:hAnsi="宋体"/>
          <w:b/>
          <w:color w:val="auto"/>
          <w:sz w:val="36"/>
          <w:highlight w:val="none"/>
        </w:rPr>
      </w:pPr>
    </w:p>
    <w:p>
      <w:pPr>
        <w:spacing w:line="360" w:lineRule="auto"/>
        <w:ind w:firstLine="1438" w:firstLineChars="398"/>
        <w:rPr>
          <w:rFonts w:hint="eastAsia" w:ascii="宋体" w:hAnsi="宋体"/>
          <w:b/>
          <w:color w:val="auto"/>
          <w:sz w:val="36"/>
          <w:highlight w:val="none"/>
        </w:rPr>
      </w:pPr>
    </w:p>
    <w:p>
      <w:pPr>
        <w:spacing w:line="360" w:lineRule="auto"/>
        <w:ind w:firstLine="1438" w:firstLineChars="398"/>
        <w:rPr>
          <w:rFonts w:hint="eastAsia" w:ascii="宋体" w:hAnsi="宋体"/>
          <w:b/>
          <w:color w:val="auto"/>
          <w:sz w:val="36"/>
          <w:highlight w:val="none"/>
        </w:rPr>
      </w:pPr>
    </w:p>
    <w:p>
      <w:pPr>
        <w:pStyle w:val="5"/>
        <w:spacing w:line="360" w:lineRule="auto"/>
        <w:ind w:firstLine="1438" w:firstLineChars="398"/>
        <w:jc w:val="left"/>
        <w:rPr>
          <w:rFonts w:hint="eastAsia" w:hAnsi="宋体"/>
          <w:b/>
          <w:color w:val="auto"/>
          <w:spacing w:val="20"/>
          <w:sz w:val="32"/>
          <w:highlight w:val="none"/>
        </w:rPr>
      </w:pPr>
    </w:p>
    <w:p>
      <w:pPr>
        <w:pStyle w:val="5"/>
        <w:spacing w:line="360" w:lineRule="auto"/>
        <w:ind w:firstLine="0" w:firstLineChars="0"/>
        <w:jc w:val="left"/>
        <w:rPr>
          <w:rFonts w:hint="eastAsia" w:hAnsi="宋体"/>
          <w:b/>
          <w:bCs/>
          <w:color w:val="auto"/>
          <w:sz w:val="32"/>
          <w:highlight w:val="none"/>
          <w:u w:val="single"/>
        </w:rPr>
      </w:pPr>
      <w:r>
        <w:rPr>
          <w:rFonts w:hint="eastAsia" w:hAnsi="宋体"/>
          <w:b/>
          <w:color w:val="auto"/>
          <w:spacing w:val="20"/>
          <w:sz w:val="32"/>
          <w:highlight w:val="none"/>
        </w:rPr>
        <w:t>使用单位：厦门市政府机关事业单位和福建省内其他终端用户</w:t>
      </w:r>
    </w:p>
    <w:p>
      <w:pPr>
        <w:pStyle w:val="5"/>
        <w:spacing w:line="360" w:lineRule="auto"/>
        <w:ind w:firstLine="0" w:firstLineChars="0"/>
        <w:jc w:val="left"/>
        <w:rPr>
          <w:rFonts w:hint="eastAsia" w:hAnsi="宋体"/>
          <w:b/>
          <w:bCs/>
          <w:color w:val="auto"/>
          <w:sz w:val="32"/>
          <w:highlight w:val="none"/>
        </w:rPr>
      </w:pPr>
      <w:r>
        <w:rPr>
          <w:rFonts w:hint="eastAsia" w:hAnsi="宋体"/>
          <w:b/>
          <w:color w:val="auto"/>
          <w:spacing w:val="20"/>
          <w:sz w:val="32"/>
          <w:highlight w:val="none"/>
        </w:rPr>
        <w:t>采购单位：</w:t>
      </w:r>
      <w:r>
        <w:rPr>
          <w:rFonts w:hint="eastAsia" w:hAnsi="宋体"/>
          <w:b/>
          <w:bCs/>
          <w:color w:val="auto"/>
          <w:sz w:val="32"/>
          <w:highlight w:val="none"/>
        </w:rPr>
        <w:t>厦门万翔网络商务有限公司</w:t>
      </w:r>
    </w:p>
    <w:p>
      <w:pPr>
        <w:pStyle w:val="5"/>
        <w:spacing w:line="360" w:lineRule="auto"/>
        <w:ind w:firstLine="0" w:firstLineChars="0"/>
        <w:jc w:val="left"/>
        <w:rPr>
          <w:rFonts w:hint="eastAsia" w:hAnsi="宋体"/>
          <w:b/>
          <w:color w:val="auto"/>
          <w:sz w:val="28"/>
          <w:highlight w:val="none"/>
        </w:rPr>
      </w:pPr>
      <w:r>
        <w:rPr>
          <w:rFonts w:hint="eastAsia" w:hAnsi="宋体"/>
          <w:b/>
          <w:color w:val="auto"/>
          <w:spacing w:val="20"/>
          <w:sz w:val="32"/>
          <w:highlight w:val="none"/>
        </w:rPr>
        <w:t>招标代理机构：</w:t>
      </w:r>
      <w:r>
        <w:rPr>
          <w:rFonts w:hint="eastAsia" w:hAnsi="宋体"/>
          <w:b/>
          <w:bCs/>
          <w:color w:val="auto"/>
          <w:sz w:val="32"/>
          <w:highlight w:val="none"/>
        </w:rPr>
        <w:t xml:space="preserve">厦门万翔招标有限公司 </w:t>
      </w:r>
      <w:r>
        <w:rPr>
          <w:rFonts w:hint="eastAsia" w:hAnsi="宋体"/>
          <w:b/>
          <w:color w:val="auto"/>
          <w:spacing w:val="20"/>
          <w:sz w:val="32"/>
          <w:highlight w:val="none"/>
        </w:rPr>
        <w:t xml:space="preserve"> </w:t>
      </w:r>
    </w:p>
    <w:p>
      <w:pPr>
        <w:spacing w:line="360" w:lineRule="auto"/>
        <w:ind w:firstLine="1438" w:firstLineChars="398"/>
        <w:rPr>
          <w:rFonts w:hint="eastAsia" w:ascii="宋体" w:hAnsi="宋体"/>
          <w:b/>
          <w:color w:val="auto"/>
          <w:sz w:val="36"/>
          <w:highlight w:val="none"/>
        </w:rPr>
      </w:pPr>
    </w:p>
    <w:p>
      <w:pPr>
        <w:pStyle w:val="5"/>
        <w:spacing w:line="360" w:lineRule="auto"/>
        <w:jc w:val="center"/>
        <w:outlineLvl w:val="0"/>
        <w:rPr>
          <w:rFonts w:hint="eastAsia" w:hAnsi="宋体"/>
          <w:b/>
          <w:color w:val="auto"/>
          <w:sz w:val="32"/>
          <w:highlight w:val="none"/>
        </w:rPr>
      </w:pPr>
      <w:r>
        <w:rPr>
          <w:rFonts w:hint="eastAsia" w:hAnsi="宋体"/>
          <w:b/>
          <w:color w:val="auto"/>
          <w:sz w:val="32"/>
          <w:highlight w:val="none"/>
          <w:lang w:eastAsia="zh-CN"/>
        </w:rPr>
        <w:t>2024</w:t>
      </w:r>
      <w:r>
        <w:rPr>
          <w:rFonts w:hint="eastAsia" w:hAnsi="宋体"/>
          <w:b/>
          <w:color w:val="auto"/>
          <w:sz w:val="32"/>
          <w:highlight w:val="none"/>
        </w:rPr>
        <w:t>年</w:t>
      </w:r>
    </w:p>
    <w:p>
      <w:pPr>
        <w:pStyle w:val="5"/>
        <w:spacing w:line="360" w:lineRule="auto"/>
        <w:jc w:val="both"/>
        <w:outlineLvl w:val="0"/>
        <w:rPr>
          <w:rFonts w:hint="eastAsia" w:hAnsi="宋体"/>
          <w:b/>
          <w:color w:val="auto"/>
          <w:sz w:val="32"/>
          <w:highlight w:val="none"/>
        </w:rPr>
      </w:pPr>
    </w:p>
    <w:p>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关于政府采购信用贷款的提示</w:t>
      </w:r>
    </w:p>
    <w:p>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（201608版）</w:t>
      </w:r>
    </w:p>
    <w:p>
      <w:pPr>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项目中标（成交）供应商(若为中小企业)可申请政府采购信用贷款，即中标（成交）供应商可凭中标（成交）通知书向以下金融机构申请政府采购信用融资贷款，由专业担保机构提供担保，或由保险公司为融资提供保险。供应商在参加本项目时，即可与支持政府采购信用贷款的金融机构联系，咨询办理政府采购信用贷款的具体事宜。</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有关金融机构联系方式：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（一）中国建设银行厦门分行：</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联系人：魏慧媛   2158595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（二）中国光大银行厦门分行：</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联系人：陈  虹   2283776、13806013400；朱姗姗   2991131、18050082825</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（三）兴业银行厦门分行</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联系人：陈小姐  0592-5312509 13599531245 ；高经理  0592-5312350 13850017508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（四）厦门市担保有限公司：</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联系人：陈文辉   5125116；吴龙辉   5120019</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rPr>
        <w:t xml:space="preserve">厦门银行股份有限公司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联系人：张冬梅 13395990009 ；陈韵 13656021986</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以上具体贷款事项，以贷款机构与贷款人最终签订的贷款合同约定为准，贷款人应进一步与贷款金融机构了解详细情况。任何单位和个人均不得干预银企双方开展政府采购信用贷款业务。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本提示仅作为信息告知，具体贷款事宜以银行等有关金融机构审批为准。</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0" w:firstLineChars="0"/>
        <w:rPr>
          <w:rFonts w:hint="eastAsia" w:ascii="宋体" w:hAnsi="宋体" w:eastAsia="宋体" w:cs="宋体"/>
          <w:color w:val="auto"/>
          <w:sz w:val="24"/>
          <w:szCs w:val="24"/>
          <w:highlight w:val="none"/>
        </w:rPr>
      </w:pPr>
    </w:p>
    <w:p>
      <w:pPr>
        <w:pStyle w:val="5"/>
        <w:spacing w:line="360" w:lineRule="auto"/>
        <w:jc w:val="center"/>
        <w:outlineLvl w:val="0"/>
        <w:rPr>
          <w:rFonts w:hint="eastAsia" w:hAnsi="宋体" w:eastAsia="宋体" w:cs="宋体"/>
          <w:b/>
          <w:bCs/>
          <w:color w:val="auto"/>
          <w:sz w:val="32"/>
          <w:szCs w:val="32"/>
          <w:highlight w:val="none"/>
        </w:rPr>
      </w:pPr>
      <w:r>
        <w:rPr>
          <w:rFonts w:hint="eastAsia" w:hAnsi="宋体" w:eastAsia="宋体" w:cs="宋体"/>
          <w:b/>
          <w:bCs/>
          <w:color w:val="auto"/>
          <w:sz w:val="32"/>
          <w:szCs w:val="32"/>
          <w:highlight w:val="none"/>
        </w:rPr>
        <w:t xml:space="preserve">  目   录</w:t>
      </w:r>
    </w:p>
    <w:p>
      <w:pPr>
        <w:pStyle w:val="2"/>
        <w:snapToGrid w:val="0"/>
        <w:spacing w:line="360" w:lineRule="auto"/>
        <w:ind w:firstLine="0"/>
        <w:rPr>
          <w:rFonts w:hint="eastAsia" w:ascii="宋体" w:hAnsi="宋体" w:eastAsia="宋体" w:cs="宋体"/>
          <w:color w:val="auto"/>
          <w:sz w:val="24"/>
          <w:szCs w:val="24"/>
          <w:highlight w:val="none"/>
        </w:rPr>
      </w:pPr>
    </w:p>
    <w:p>
      <w:pPr>
        <w:pStyle w:val="2"/>
        <w:snapToGrid w:val="0"/>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投标邀请 …………………………………………………1</w:t>
      </w:r>
    </w:p>
    <w:p>
      <w:pPr>
        <w:pStyle w:val="2"/>
        <w:snapToGrid w:val="0"/>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投标邀请函…………………………………………………1-1</w:t>
      </w:r>
    </w:p>
    <w:p>
      <w:pPr>
        <w:pStyle w:val="2"/>
        <w:snapToGrid w:val="0"/>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投标人须知  ………………………………………………2</w:t>
      </w:r>
    </w:p>
    <w:p>
      <w:pPr>
        <w:spacing w:line="36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投标人须知前附表1、2、3、4 </w:t>
      </w:r>
      <w:r>
        <w:rPr>
          <w:rFonts w:hint="eastAsia" w:ascii="宋体" w:hAnsi="宋体" w:eastAsia="宋体" w:cs="宋体"/>
          <w:color w:val="auto"/>
          <w:sz w:val="24"/>
          <w:szCs w:val="24"/>
          <w:highlight w:val="none"/>
        </w:rPr>
        <w:t>……………………………………2-1-1</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 说明 ………………………………………………………2-2-1</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 招标文件 …………………………………………………2-2-</w:t>
      </w:r>
      <w:r>
        <w:rPr>
          <w:rFonts w:hint="eastAsia" w:ascii="宋体" w:hAnsi="宋体" w:eastAsia="宋体" w:cs="宋体"/>
          <w:color w:val="auto"/>
          <w:sz w:val="24"/>
          <w:szCs w:val="24"/>
          <w:highlight w:val="none"/>
          <w:lang w:val="en-US" w:eastAsia="zh-CN"/>
        </w:rPr>
        <w:t>4</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 投标文件的编写 …………………………………………2-2-</w:t>
      </w:r>
      <w:r>
        <w:rPr>
          <w:rFonts w:hint="eastAsia" w:ascii="宋体" w:hAnsi="宋体" w:eastAsia="宋体" w:cs="宋体"/>
          <w:color w:val="auto"/>
          <w:sz w:val="24"/>
          <w:szCs w:val="24"/>
          <w:highlight w:val="none"/>
          <w:lang w:val="en-US" w:eastAsia="zh-CN"/>
        </w:rPr>
        <w:t>5</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 投标文件的提交 …………………………………………2-2-</w:t>
      </w:r>
      <w:r>
        <w:rPr>
          <w:rFonts w:hint="eastAsia" w:ascii="宋体" w:hAnsi="宋体" w:eastAsia="宋体" w:cs="宋体"/>
          <w:color w:val="auto"/>
          <w:sz w:val="24"/>
          <w:szCs w:val="24"/>
          <w:highlight w:val="none"/>
          <w:lang w:val="en-US" w:eastAsia="zh-CN"/>
        </w:rPr>
        <w:t>8</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 投标文件的评估和比较 …………………………………2-2-</w:t>
      </w:r>
      <w:r>
        <w:rPr>
          <w:rFonts w:hint="eastAsia" w:ascii="宋体" w:hAnsi="宋体" w:eastAsia="宋体" w:cs="宋体"/>
          <w:color w:val="auto"/>
          <w:sz w:val="24"/>
          <w:szCs w:val="24"/>
          <w:highlight w:val="none"/>
          <w:lang w:val="en-US" w:eastAsia="zh-CN"/>
        </w:rPr>
        <w:t>9</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 定标与签订合同…………………………………………2-2-1</w:t>
      </w:r>
      <w:r>
        <w:rPr>
          <w:rFonts w:hint="eastAsia" w:ascii="宋体" w:hAnsi="宋体" w:eastAsia="宋体" w:cs="宋体"/>
          <w:color w:val="auto"/>
          <w:sz w:val="24"/>
          <w:szCs w:val="24"/>
          <w:highlight w:val="none"/>
          <w:lang w:val="en-US" w:eastAsia="zh-CN"/>
        </w:rPr>
        <w:t>2</w:t>
      </w:r>
    </w:p>
    <w:p>
      <w:pPr>
        <w:pStyle w:val="2"/>
        <w:snapToGrid w:val="0"/>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招标内容及要求  ………………………………………3-1</w:t>
      </w:r>
    </w:p>
    <w:p>
      <w:pPr>
        <w:pStyle w:val="2"/>
        <w:snapToGrid w:val="0"/>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政府</w:t>
      </w:r>
      <w:r>
        <w:rPr>
          <w:rFonts w:hint="eastAsia" w:ascii="宋体" w:hAnsi="宋体" w:eastAsia="宋体" w:cs="宋体"/>
          <w:bCs/>
          <w:color w:val="auto"/>
          <w:sz w:val="24"/>
          <w:szCs w:val="24"/>
          <w:highlight w:val="none"/>
        </w:rPr>
        <w:t xml:space="preserve">采购合同 </w:t>
      </w:r>
      <w:r>
        <w:rPr>
          <w:rFonts w:hint="eastAsia" w:ascii="宋体" w:hAnsi="宋体" w:eastAsia="宋体" w:cs="宋体"/>
          <w:color w:val="auto"/>
          <w:sz w:val="24"/>
          <w:szCs w:val="24"/>
          <w:highlight w:val="none"/>
        </w:rPr>
        <w:t>…………………………………………4-1</w:t>
      </w:r>
    </w:p>
    <w:p>
      <w:pPr>
        <w:pStyle w:val="2"/>
        <w:snapToGrid w:val="0"/>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投标文件格式 …………………………………………5-1</w:t>
      </w:r>
    </w:p>
    <w:p>
      <w:pPr>
        <w:pStyle w:val="2"/>
        <w:spacing w:line="360" w:lineRule="auto"/>
        <w:ind w:firstLine="2250" w:firstLineChars="934"/>
        <w:rPr>
          <w:rFonts w:hint="eastAsia" w:ascii="宋体" w:hAnsi="宋体" w:eastAsia="宋体" w:cs="宋体"/>
          <w:b/>
          <w:color w:val="auto"/>
          <w:sz w:val="24"/>
          <w:szCs w:val="24"/>
          <w:highlight w:val="none"/>
          <w:u w:val="single"/>
        </w:rPr>
        <w:sectPr>
          <w:footerReference r:id="rId5" w:type="first"/>
          <w:headerReference r:id="rId3" w:type="default"/>
          <w:footerReference r:id="rId4" w:type="default"/>
          <w:pgSz w:w="11906" w:h="16838"/>
          <w:pgMar w:top="1440" w:right="1800" w:bottom="1440" w:left="1800" w:header="851" w:footer="992" w:gutter="0"/>
          <w:cols w:space="720" w:num="1"/>
          <w:docGrid w:type="lines" w:linePitch="312" w:charSpace="0"/>
        </w:sectPr>
      </w:pPr>
    </w:p>
    <w:p>
      <w:pPr>
        <w:pStyle w:val="39"/>
        <w:spacing w:line="360" w:lineRule="auto"/>
        <w:jc w:val="center"/>
        <w:rPr>
          <w:rFonts w:hint="eastAsia" w:hAnsi="宋体" w:eastAsia="宋体" w:cs="宋体"/>
          <w:b/>
          <w:bCs/>
          <w:color w:val="auto"/>
          <w:sz w:val="32"/>
          <w:szCs w:val="32"/>
          <w:highlight w:val="none"/>
        </w:rPr>
      </w:pPr>
      <w:r>
        <w:rPr>
          <w:rFonts w:hint="eastAsia" w:hAnsi="宋体" w:eastAsia="宋体" w:cs="宋体"/>
          <w:b/>
          <w:color w:val="auto"/>
          <w:sz w:val="32"/>
          <w:szCs w:val="32"/>
          <w:highlight w:val="none"/>
        </w:rPr>
        <w:t>第一章  投标邀请函</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w:t>
      </w:r>
      <w:r>
        <w:rPr>
          <w:rFonts w:hint="eastAsia" w:ascii="宋体" w:hAnsi="宋体" w:cs="宋体"/>
          <w:b/>
          <w:color w:val="auto"/>
          <w:sz w:val="24"/>
          <w:szCs w:val="24"/>
          <w:highlight w:val="none"/>
          <w:u w:val="single"/>
        </w:rPr>
        <w:t>厦门万翔网络商务有限公司</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rPr>
        <w:t>委托，</w:t>
      </w:r>
      <w:r>
        <w:rPr>
          <w:rFonts w:hint="eastAsia" w:ascii="宋体" w:hAnsi="宋体" w:eastAsia="宋体" w:cs="宋体"/>
          <w:b/>
          <w:color w:val="auto"/>
          <w:sz w:val="24"/>
          <w:szCs w:val="24"/>
          <w:highlight w:val="none"/>
          <w:u w:val="single"/>
        </w:rPr>
        <w:t xml:space="preserve">厦门万翔招标有限公司 </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rPr>
        <w:t>【2024年大宗激光</w:t>
      </w:r>
      <w:r>
        <w:rPr>
          <w:rFonts w:hint="eastAsia" w:ascii="宋体" w:hAnsi="宋体" w:cs="宋体"/>
          <w:color w:val="auto"/>
          <w:sz w:val="24"/>
          <w:szCs w:val="24"/>
          <w:highlight w:val="none"/>
          <w:lang w:eastAsia="zh-CN"/>
        </w:rPr>
        <w:t>打印</w:t>
      </w:r>
      <w:r>
        <w:rPr>
          <w:rFonts w:hint="eastAsia" w:ascii="宋体" w:hAnsi="宋体" w:eastAsia="宋体" w:cs="宋体"/>
          <w:color w:val="auto"/>
          <w:sz w:val="24"/>
          <w:szCs w:val="24"/>
          <w:highlight w:val="none"/>
        </w:rPr>
        <w:t>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货物（或服务）进行国内公开招标，现欢迎国内合格的投标人前来投标。</w:t>
      </w:r>
    </w:p>
    <w:p>
      <w:pPr>
        <w:spacing w:line="360" w:lineRule="auto"/>
        <w:ind w:firstLine="360" w:firstLineChars="1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1、招标编号：</w:t>
      </w:r>
      <w:r>
        <w:rPr>
          <w:rFonts w:hint="eastAsia" w:ascii="宋体" w:hAnsi="宋体" w:eastAsia="宋体" w:cs="宋体"/>
          <w:color w:val="auto"/>
          <w:sz w:val="24"/>
          <w:szCs w:val="24"/>
          <w:highlight w:val="none"/>
          <w:u w:val="single"/>
        </w:rPr>
        <w:t>XM</w:t>
      </w:r>
      <w:r>
        <w:rPr>
          <w:rFonts w:hint="eastAsia" w:ascii="宋体" w:hAnsi="宋体" w:cs="宋体"/>
          <w:color w:val="auto"/>
          <w:sz w:val="24"/>
          <w:szCs w:val="24"/>
          <w:highlight w:val="none"/>
          <w:u w:val="single"/>
          <w:lang w:eastAsia="zh-CN"/>
        </w:rPr>
        <w:t>2024</w:t>
      </w:r>
      <w:r>
        <w:rPr>
          <w:rFonts w:hint="eastAsia" w:ascii="宋体" w:hAnsi="宋体" w:eastAsia="宋体" w:cs="宋体"/>
          <w:color w:val="auto"/>
          <w:sz w:val="24"/>
          <w:szCs w:val="24"/>
          <w:highlight w:val="none"/>
          <w:u w:val="single"/>
        </w:rPr>
        <w:t>-DZ</w:t>
      </w:r>
      <w:r>
        <w:rPr>
          <w:rFonts w:hint="eastAsia" w:ascii="宋体" w:hAnsi="宋体" w:eastAsia="宋体" w:cs="宋体"/>
          <w:color w:val="auto"/>
          <w:sz w:val="24"/>
          <w:szCs w:val="24"/>
          <w:highlight w:val="none"/>
          <w:u w:val="single"/>
          <w:lang w:val="en-US" w:eastAsia="zh-CN"/>
        </w:rPr>
        <w:t>0</w:t>
      </w:r>
      <w:r>
        <w:rPr>
          <w:rFonts w:hint="eastAsia" w:ascii="宋体" w:hAnsi="宋体" w:cs="宋体"/>
          <w:color w:val="auto"/>
          <w:sz w:val="24"/>
          <w:szCs w:val="24"/>
          <w:highlight w:val="none"/>
          <w:u w:val="single"/>
          <w:lang w:val="en-US" w:eastAsia="zh-CN"/>
        </w:rPr>
        <w:t>031</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 xml:space="preserve"> </w:t>
      </w:r>
    </w:p>
    <w:p>
      <w:pPr>
        <w:spacing w:line="360" w:lineRule="auto"/>
        <w:ind w:firstLine="318" w:firstLineChars="150"/>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2、招标货物（服务）名称、数量及主要技术规格：见后</w:t>
      </w:r>
      <w:r>
        <w:rPr>
          <w:rFonts w:hint="eastAsia" w:ascii="宋体" w:hAnsi="宋体" w:eastAsia="宋体" w:cs="宋体"/>
          <w:color w:val="auto"/>
          <w:sz w:val="24"/>
          <w:szCs w:val="24"/>
          <w:highlight w:val="none"/>
        </w:rPr>
        <w:t>附招标货物（</w:t>
      </w:r>
      <w:r>
        <w:rPr>
          <w:rFonts w:hint="eastAsia" w:ascii="宋体" w:hAnsi="宋体" w:eastAsia="宋体" w:cs="宋体"/>
          <w:color w:val="auto"/>
          <w:spacing w:val="-14"/>
          <w:sz w:val="24"/>
          <w:szCs w:val="24"/>
          <w:highlight w:val="none"/>
        </w:rPr>
        <w:t>服务）</w:t>
      </w:r>
      <w:r>
        <w:rPr>
          <w:rFonts w:hint="eastAsia" w:ascii="宋体" w:hAnsi="宋体" w:eastAsia="宋体" w:cs="宋体"/>
          <w:color w:val="auto"/>
          <w:sz w:val="24"/>
          <w:szCs w:val="24"/>
          <w:highlight w:val="none"/>
        </w:rPr>
        <w:t>一览表。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3、招标文件获取方式：</w:t>
      </w:r>
      <w:r>
        <w:rPr>
          <w:rFonts w:hint="eastAsia" w:ascii="宋体" w:hAnsi="宋体" w:cs="宋体"/>
          <w:bCs/>
          <w:color w:val="auto"/>
          <w:sz w:val="24"/>
          <w:szCs w:val="24"/>
          <w:highlight w:val="none"/>
          <w:lang w:eastAsia="zh-CN"/>
        </w:rPr>
        <w:t>2024</w:t>
      </w:r>
      <w:r>
        <w:rPr>
          <w:rFonts w:hint="eastAsia" w:ascii="宋体" w:hAnsi="宋体" w:eastAsia="宋体" w:cs="宋体"/>
          <w:bCs/>
          <w:color w:val="auto"/>
          <w:sz w:val="24"/>
          <w:szCs w:val="24"/>
          <w:highlight w:val="none"/>
        </w:rPr>
        <w:t xml:space="preserve">年 </w:t>
      </w:r>
      <w:r>
        <w:rPr>
          <w:rFonts w:hint="eastAsia" w:ascii="宋体" w:hAnsi="宋体" w:eastAsia="宋体" w:cs="宋体"/>
          <w:color w:val="auto"/>
          <w:sz w:val="24"/>
          <w:szCs w:val="24"/>
          <w:highlight w:val="none"/>
        </w:rPr>
        <w:t>月 日至</w:t>
      </w:r>
      <w:r>
        <w:rPr>
          <w:rFonts w:hint="eastAsia" w:ascii="宋体" w:hAnsi="宋体" w:cs="宋体"/>
          <w:color w:val="auto"/>
          <w:sz w:val="24"/>
          <w:szCs w:val="24"/>
          <w:highlight w:val="none"/>
          <w:lang w:eastAsia="zh-CN"/>
        </w:rPr>
        <w:t>2024</w:t>
      </w:r>
      <w:r>
        <w:rPr>
          <w:rFonts w:hint="eastAsia" w:ascii="宋体" w:hAnsi="宋体" w:eastAsia="宋体" w:cs="宋体"/>
          <w:color w:val="auto"/>
          <w:sz w:val="24"/>
          <w:szCs w:val="24"/>
          <w:highlight w:val="none"/>
        </w:rPr>
        <w:t>年 月 日</w:t>
      </w:r>
      <w:r>
        <w:rPr>
          <w:rFonts w:hint="eastAsia" w:ascii="宋体" w:hAnsi="宋体" w:eastAsia="宋体" w:cs="宋体"/>
          <w:color w:val="auto"/>
          <w:sz w:val="24"/>
          <w:szCs w:val="24"/>
          <w:highlight w:val="none"/>
        </w:rPr>
        <w:t>，有意向的供应商应在厦门招投标网（http:// www.xmztb.com，下同）注册账号，登录后可免费在线浏览招标文件，完成缴费并下载招标文件后方具备投标资格。缴费仅支持在线扫码支付。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A、供应商注册详见厦门招投标网－办事指南－操作手册—《供应商注册登记操作手册》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B、缴费及下载招标文件详见厦门招投标网－办事指南－操作手册—《供应商招标项目操作手册》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C、请各投标人务必在招标文件购买截止时间前，在线扫码支付完成缴费并下载招标文件，否则不具备投标资格。</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D、纸质招标文件(若需要)获取方式：领取地点在厦门市湖里区机场北路476号</w:t>
      </w:r>
      <w:r>
        <w:rPr>
          <w:rFonts w:hint="eastAsia" w:ascii="宋体" w:hAnsi="宋体" w:eastAsia="宋体" w:cs="宋体"/>
          <w:color w:val="auto"/>
          <w:sz w:val="24"/>
          <w:szCs w:val="24"/>
          <w:highlight w:val="none"/>
          <w:lang w:eastAsia="zh-CN"/>
        </w:rPr>
        <w:t>万翔招标</w:t>
      </w:r>
      <w:r>
        <w:rPr>
          <w:rFonts w:hint="eastAsia" w:ascii="宋体" w:hAnsi="宋体" w:eastAsia="宋体" w:cs="宋体"/>
          <w:color w:val="auto"/>
          <w:sz w:val="24"/>
          <w:szCs w:val="24"/>
          <w:highlight w:val="none"/>
        </w:rPr>
        <w:t>4楼售标室。纸质招标文件领取事宜联系电话：0592-2219823。</w:t>
      </w:r>
    </w:p>
    <w:p>
      <w:pPr>
        <w:pStyle w:val="5"/>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4、招标文件售价：</w:t>
      </w:r>
      <w:r>
        <w:rPr>
          <w:rFonts w:hint="eastAsia" w:hAnsi="宋体" w:eastAsia="宋体" w:cs="宋体"/>
          <w:color w:val="auto"/>
          <w:sz w:val="24"/>
          <w:szCs w:val="24"/>
          <w:highlight w:val="none"/>
        </w:rPr>
        <w:t>每个合同包</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u w:val="single"/>
          <w:lang w:val="en-US" w:eastAsia="zh-CN"/>
        </w:rPr>
        <w:t>50</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元人民币</w:t>
      </w:r>
      <w:r>
        <w:rPr>
          <w:rFonts w:hint="eastAsia" w:hAnsi="宋体" w:eastAsia="宋体" w:cs="宋体"/>
          <w:color w:val="auto"/>
          <w:sz w:val="24"/>
          <w:szCs w:val="24"/>
          <w:highlight w:val="none"/>
        </w:rPr>
        <w:t>，售后不退。</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5、投标截止时间、地点：投标文件应于</w:t>
      </w:r>
      <w:r>
        <w:rPr>
          <w:rFonts w:hint="eastAsia" w:ascii="宋体" w:hAnsi="宋体" w:cs="宋体"/>
          <w:color w:val="auto"/>
          <w:sz w:val="24"/>
          <w:szCs w:val="24"/>
          <w:highlight w:val="none"/>
          <w:lang w:eastAsia="zh-CN"/>
        </w:rPr>
        <w:t>2024</w:t>
      </w:r>
      <w:r>
        <w:rPr>
          <w:rFonts w:hint="eastAsia" w:ascii="宋体" w:hAnsi="宋体" w:eastAsia="宋体" w:cs="宋体"/>
          <w:color w:val="auto"/>
          <w:sz w:val="24"/>
          <w:szCs w:val="24"/>
          <w:highlight w:val="none"/>
        </w:rPr>
        <w:t>年  月  日上午9：00</w:t>
      </w:r>
      <w:r>
        <w:rPr>
          <w:rFonts w:hint="eastAsia" w:ascii="宋体" w:hAnsi="宋体" w:eastAsia="宋体" w:cs="宋体"/>
          <w:color w:val="auto"/>
          <w:sz w:val="24"/>
          <w:szCs w:val="24"/>
          <w:highlight w:val="none"/>
        </w:rPr>
        <w:t>（北京时间）之前提交到</w:t>
      </w:r>
      <w:r>
        <w:rPr>
          <w:rFonts w:hint="eastAsia" w:ascii="宋体" w:hAnsi="宋体" w:eastAsia="宋体" w:cs="宋体"/>
          <w:b/>
          <w:color w:val="auto"/>
          <w:sz w:val="24"/>
          <w:szCs w:val="24"/>
          <w:highlight w:val="none"/>
          <w:u w:val="single"/>
        </w:rPr>
        <w:t>厦门市湖里区云顶北路842号厦门市政务服务中心4楼信息发布大厅东侧收标处</w:t>
      </w:r>
      <w:r>
        <w:rPr>
          <w:rFonts w:hint="eastAsia" w:ascii="宋体" w:hAnsi="宋体" w:eastAsia="宋体" w:cs="宋体"/>
          <w:b/>
          <w:color w:val="auto"/>
          <w:sz w:val="24"/>
          <w:szCs w:val="24"/>
          <w:highlight w:val="none"/>
          <w:u w:val="single"/>
        </w:rPr>
        <w:t xml:space="preserve">   号</w:t>
      </w:r>
      <w:r>
        <w:rPr>
          <w:rFonts w:hint="eastAsia" w:ascii="宋体" w:hAnsi="宋体" w:eastAsia="宋体" w:cs="宋体"/>
          <w:b/>
          <w:color w:val="auto"/>
          <w:sz w:val="24"/>
          <w:szCs w:val="24"/>
          <w:highlight w:val="none"/>
          <w:u w:val="single"/>
        </w:rPr>
        <w:t>收标窗口</w:t>
      </w:r>
      <w:r>
        <w:rPr>
          <w:rFonts w:hint="eastAsia" w:ascii="宋体" w:hAnsi="宋体" w:eastAsia="宋体" w:cs="宋体"/>
          <w:color w:val="auto"/>
          <w:sz w:val="24"/>
          <w:szCs w:val="24"/>
          <w:highlight w:val="none"/>
        </w:rPr>
        <w:t>。逾期收到的或不符合规定的投标文件将被拒绝。</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6、开标时间、地点: </w:t>
      </w:r>
      <w:r>
        <w:rPr>
          <w:rFonts w:hint="eastAsia" w:ascii="宋体" w:hAnsi="宋体" w:cs="宋体"/>
          <w:color w:val="auto"/>
          <w:sz w:val="24"/>
          <w:szCs w:val="24"/>
          <w:highlight w:val="none"/>
          <w:lang w:eastAsia="zh-CN"/>
        </w:rPr>
        <w:t>2024</w:t>
      </w:r>
      <w:r>
        <w:rPr>
          <w:rFonts w:hint="eastAsia" w:ascii="宋体" w:hAnsi="宋体" w:eastAsia="宋体" w:cs="宋体"/>
          <w:color w:val="auto"/>
          <w:sz w:val="24"/>
          <w:szCs w:val="24"/>
          <w:highlight w:val="none"/>
        </w:rPr>
        <w:t>年  月  日上午9：00</w:t>
      </w:r>
      <w:r>
        <w:rPr>
          <w:rFonts w:hint="eastAsia" w:ascii="宋体" w:hAnsi="宋体" w:eastAsia="宋体" w:cs="宋体"/>
          <w:color w:val="auto"/>
          <w:sz w:val="24"/>
          <w:szCs w:val="24"/>
          <w:highlight w:val="none"/>
        </w:rPr>
        <w:t>（北京时间）于</w:t>
      </w:r>
      <w:r>
        <w:rPr>
          <w:rFonts w:hint="eastAsia" w:ascii="宋体" w:hAnsi="宋体" w:cs="宋体"/>
          <w:b/>
          <w:color w:val="auto"/>
          <w:sz w:val="24"/>
          <w:szCs w:val="24"/>
          <w:highlight w:val="none"/>
          <w:u w:val="single"/>
        </w:rPr>
        <w:t>厦门市湖里区云顶北路842号厦门市行政服务中心4楼A区开标室6（C404）</w:t>
      </w:r>
      <w:r>
        <w:rPr>
          <w:rFonts w:hint="eastAsia" w:ascii="宋体" w:hAnsi="宋体" w:eastAsia="宋体" w:cs="宋体"/>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w:t>
      </w:r>
      <w:r>
        <w:rPr>
          <w:rFonts w:hint="eastAsia" w:ascii="宋体" w:hAnsi="宋体" w:eastAsia="宋体" w:cs="宋体"/>
          <w:color w:val="auto"/>
          <w:sz w:val="24"/>
          <w:szCs w:val="24"/>
          <w:highlight w:val="none"/>
        </w:rPr>
        <w:t>（接受）</w:t>
      </w:r>
      <w:r>
        <w:rPr>
          <w:rFonts w:hint="eastAsia" w:ascii="宋体" w:hAnsi="宋体" w:eastAsia="宋体" w:cs="宋体"/>
          <w:color w:val="auto"/>
          <w:sz w:val="24"/>
          <w:szCs w:val="24"/>
          <w:highlight w:val="none"/>
        </w:rPr>
        <w:t>联合体投标。</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8、招标文件如有变更，</w:t>
      </w:r>
      <w:r>
        <w:rPr>
          <w:rFonts w:hint="eastAsia" w:ascii="宋体" w:hAnsi="宋体" w:eastAsia="宋体" w:cs="宋体"/>
          <w:b/>
          <w:color w:val="auto"/>
          <w:sz w:val="24"/>
          <w:szCs w:val="24"/>
          <w:highlight w:val="none"/>
          <w:u w:val="single"/>
        </w:rPr>
        <w:t xml:space="preserve">厦门万翔招标有限公司 </w:t>
      </w:r>
      <w:r>
        <w:rPr>
          <w:rFonts w:hint="eastAsia" w:ascii="宋体" w:hAnsi="宋体" w:eastAsia="宋体" w:cs="宋体"/>
          <w:bCs/>
          <w:color w:val="auto"/>
          <w:sz w:val="24"/>
          <w:szCs w:val="24"/>
          <w:highlight w:val="none"/>
        </w:rPr>
        <w:t>将通过中国政府采购网、厦门招投标网（</w:t>
      </w:r>
      <w:r>
        <w:rPr>
          <w:rFonts w:hint="eastAsia" w:ascii="宋体" w:hAnsi="宋体" w:eastAsia="宋体" w:cs="宋体"/>
          <w:color w:val="auto"/>
          <w:sz w:val="24"/>
          <w:szCs w:val="24"/>
          <w:highlight w:val="none"/>
        </w:rPr>
        <w:t>www.xmztb.com</w:t>
      </w:r>
      <w:r>
        <w:rPr>
          <w:rFonts w:hint="eastAsia" w:ascii="宋体" w:hAnsi="宋体" w:eastAsia="宋体" w:cs="宋体"/>
          <w:bCs/>
          <w:color w:val="auto"/>
          <w:sz w:val="24"/>
          <w:szCs w:val="24"/>
          <w:highlight w:val="none"/>
        </w:rPr>
        <w:t>）等媒体发布通知信息，请投标人关注</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9、友情提醒：本项目仅限网上购买招标文件，投标人必须按招标文件要求递交纸质投标文件。 </w:t>
      </w:r>
    </w:p>
    <w:p>
      <w:pPr>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10、投标人对本次招标活动事项提出疑问的，请在投标截止时间十五日之前，与招标代理机构联系。来函请加盖单位公章，并提供联系人、联系电话及传真号码。</w:t>
      </w:r>
    </w:p>
    <w:p>
      <w:pPr>
        <w:spacing w:line="360" w:lineRule="auto"/>
        <w:ind w:firstLine="361" w:firstLineChars="15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11、为方便开标唱标，投标人应将开标一览表原件和投标保证金缴交凭证单独密封，并在信封上标明“开标一览表”字样，然后再装入投标文件密封袋中密封。</w:t>
      </w:r>
    </w:p>
    <w:p>
      <w:pPr>
        <w:tabs>
          <w:tab w:val="left" w:pos="1140"/>
        </w:tabs>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12、各有关联系方式</w:t>
      </w:r>
    </w:p>
    <w:tbl>
      <w:tblPr>
        <w:tblStyle w:val="14"/>
        <w:tblW w:w="988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4"/>
        <w:gridCol w:w="1409"/>
        <w:gridCol w:w="1239"/>
        <w:gridCol w:w="3348"/>
        <w:gridCol w:w="297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91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140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分工</w:t>
            </w:r>
          </w:p>
        </w:tc>
        <w:tc>
          <w:tcPr>
            <w:tcW w:w="123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联系人</w:t>
            </w:r>
          </w:p>
        </w:tc>
        <w:tc>
          <w:tcPr>
            <w:tcW w:w="334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职责范围</w:t>
            </w:r>
          </w:p>
        </w:tc>
        <w:tc>
          <w:tcPr>
            <w:tcW w:w="297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联系电话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40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项目经办</w:t>
            </w:r>
          </w:p>
        </w:tc>
        <w:tc>
          <w:tcPr>
            <w:tcW w:w="1239"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小姐</w:t>
            </w:r>
          </w:p>
        </w:tc>
        <w:tc>
          <w:tcPr>
            <w:tcW w:w="3348"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负责招标文件的咨询、答疑等工作</w:t>
            </w:r>
          </w:p>
        </w:tc>
        <w:tc>
          <w:tcPr>
            <w:tcW w:w="2976"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0592-</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传真0592-5706660-6969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40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123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陈</w:t>
            </w:r>
            <w:r>
              <w:rPr>
                <w:rFonts w:hint="eastAsia" w:ascii="宋体" w:hAnsi="宋体" w:eastAsia="宋体" w:cs="宋体"/>
                <w:color w:val="auto"/>
                <w:sz w:val="24"/>
                <w:szCs w:val="24"/>
                <w:highlight w:val="none"/>
              </w:rPr>
              <w:t>小姐</w:t>
            </w:r>
          </w:p>
        </w:tc>
        <w:tc>
          <w:tcPr>
            <w:tcW w:w="3348"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投标保证金收、退</w:t>
            </w:r>
          </w:p>
        </w:tc>
        <w:tc>
          <w:tcPr>
            <w:tcW w:w="2976"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0592-5703367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3</w:t>
            </w:r>
          </w:p>
        </w:tc>
        <w:tc>
          <w:tcPr>
            <w:tcW w:w="140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代理服务费</w:t>
            </w:r>
          </w:p>
        </w:tc>
        <w:tc>
          <w:tcPr>
            <w:tcW w:w="123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陈小姐</w:t>
            </w:r>
          </w:p>
        </w:tc>
        <w:tc>
          <w:tcPr>
            <w:tcW w:w="3348"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收取</w:t>
            </w:r>
          </w:p>
        </w:tc>
        <w:tc>
          <w:tcPr>
            <w:tcW w:w="2976"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5703367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4</w:t>
            </w:r>
          </w:p>
        </w:tc>
        <w:tc>
          <w:tcPr>
            <w:tcW w:w="140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w:t>
            </w:r>
          </w:p>
        </w:tc>
        <w:tc>
          <w:tcPr>
            <w:tcW w:w="123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黄经理</w:t>
            </w:r>
          </w:p>
        </w:tc>
        <w:tc>
          <w:tcPr>
            <w:tcW w:w="3348"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欢迎投标人对项目采购过程中公告发布、招标文件购买、投标保证金缴交和退还、</w:t>
            </w:r>
            <w:r>
              <w:rPr>
                <w:rFonts w:hint="eastAsia" w:ascii="宋体" w:hAnsi="宋体" w:eastAsia="宋体" w:cs="宋体"/>
                <w:b/>
                <w:color w:val="auto"/>
                <w:sz w:val="24"/>
                <w:szCs w:val="24"/>
                <w:highlight w:val="none"/>
                <w:lang w:eastAsia="zh-CN"/>
              </w:rPr>
              <w:t>代理服务费</w:t>
            </w:r>
            <w:r>
              <w:rPr>
                <w:rFonts w:hint="eastAsia" w:ascii="宋体" w:hAnsi="宋体" w:eastAsia="宋体" w:cs="宋体"/>
                <w:b/>
                <w:color w:val="auto"/>
                <w:sz w:val="24"/>
                <w:szCs w:val="24"/>
                <w:highlight w:val="none"/>
              </w:rPr>
              <w:t>收取、中标通知书发放等环节的服务进行监督。我们将竭诚为您提供最优质的服务。</w:t>
            </w:r>
          </w:p>
        </w:tc>
        <w:tc>
          <w:tcPr>
            <w:tcW w:w="2976"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0592-5705656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5</w:t>
            </w:r>
          </w:p>
        </w:tc>
        <w:tc>
          <w:tcPr>
            <w:tcW w:w="140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接收质疑</w:t>
            </w:r>
          </w:p>
        </w:tc>
        <w:tc>
          <w:tcPr>
            <w:tcW w:w="123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刘经理</w:t>
            </w:r>
          </w:p>
        </w:tc>
        <w:tc>
          <w:tcPr>
            <w:tcW w:w="3348"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负责接收质疑</w:t>
            </w:r>
          </w:p>
        </w:tc>
        <w:tc>
          <w:tcPr>
            <w:tcW w:w="2976"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电话0592-2218761</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传真0592-5706660-6969</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"mailto:邮箱hcq@iport.com.cn"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邮箱lmf@iport.com.cn</w:t>
            </w:r>
            <w:r>
              <w:rPr>
                <w:rFonts w:hint="eastAsia" w:ascii="宋体" w:hAnsi="宋体" w:eastAsia="宋体" w:cs="宋体"/>
                <w:color w:val="auto"/>
                <w:sz w:val="24"/>
                <w:szCs w:val="24"/>
                <w:highlight w:val="none"/>
              </w:rPr>
              <w:fldChar w:fldCharType="end"/>
            </w:r>
          </w:p>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通讯地址：厦门市湖里区机场北路476号4楼</w:t>
            </w:r>
          </w:p>
        </w:tc>
      </w:tr>
    </w:tbl>
    <w:p>
      <w:pPr>
        <w:tabs>
          <w:tab w:val="left" w:pos="11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13、投标保证金及</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缴交账户：</w:t>
      </w:r>
    </w:p>
    <w:tbl>
      <w:tblPr>
        <w:tblStyle w:val="14"/>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26"/>
        <w:gridCol w:w="3240"/>
        <w:gridCol w:w="460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470" w:hRule="atLeast"/>
          <w:jc w:val="center"/>
        </w:trPr>
        <w:tc>
          <w:tcPr>
            <w:tcW w:w="132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类   别</w:t>
            </w:r>
          </w:p>
        </w:tc>
        <w:tc>
          <w:tcPr>
            <w:tcW w:w="324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投标保证金缴交账户</w:t>
            </w:r>
          </w:p>
        </w:tc>
        <w:tc>
          <w:tcPr>
            <w:tcW w:w="460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代理服务费</w:t>
            </w:r>
            <w:r>
              <w:rPr>
                <w:rFonts w:hint="eastAsia" w:ascii="宋体" w:hAnsi="宋体" w:eastAsia="宋体" w:cs="宋体"/>
                <w:b/>
                <w:color w:val="auto"/>
                <w:sz w:val="24"/>
                <w:szCs w:val="24"/>
                <w:highlight w:val="none"/>
              </w:rPr>
              <w:t>缴交账户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132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行</w:t>
            </w:r>
          </w:p>
        </w:tc>
        <w:tc>
          <w:tcPr>
            <w:tcW w:w="324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default" w:ascii="宋体" w:hAnsi="宋体" w:cs="宋体"/>
                <w:color w:val="auto"/>
                <w:sz w:val="24"/>
                <w:szCs w:val="24"/>
                <w:highlight w:val="none"/>
              </w:rPr>
              <w:t>/</w:t>
            </w:r>
          </w:p>
        </w:tc>
        <w:tc>
          <w:tcPr>
            <w:tcW w:w="460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中国建设银行股份有限公司厦门自贸试验区航空港支行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p>
        </w:tc>
        <w:tc>
          <w:tcPr>
            <w:tcW w:w="324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default" w:ascii="宋体" w:hAnsi="宋体" w:cs="宋体"/>
                <w:color w:val="auto"/>
                <w:sz w:val="24"/>
                <w:szCs w:val="24"/>
                <w:highlight w:val="none"/>
              </w:rPr>
              <w:t>/</w:t>
            </w:r>
          </w:p>
        </w:tc>
        <w:tc>
          <w:tcPr>
            <w:tcW w:w="460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35101570201052504219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户名</w:t>
            </w:r>
          </w:p>
        </w:tc>
        <w:tc>
          <w:tcPr>
            <w:tcW w:w="7842" w:type="dxa"/>
            <w:gridSpan w:val="2"/>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厦门万翔招标有限公司</w:t>
            </w:r>
          </w:p>
        </w:tc>
      </w:tr>
    </w:tbl>
    <w:p>
      <w:pPr>
        <w:tabs>
          <w:tab w:val="left" w:pos="1140"/>
        </w:tabs>
        <w:spacing w:line="360" w:lineRule="auto"/>
        <w:ind w:firstLine="560"/>
        <w:rPr>
          <w:rFonts w:hint="eastAsia" w:ascii="宋体" w:hAnsi="宋体" w:eastAsia="宋体" w:cs="宋体"/>
          <w:color w:val="auto"/>
          <w:sz w:val="24"/>
          <w:szCs w:val="24"/>
          <w:highlight w:val="none"/>
        </w:rPr>
      </w:pPr>
    </w:p>
    <w:p>
      <w:pPr>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注：投标人须将相关的费用缴交至上表对应的账号，缴错账号而产生的一切后果由投标人自行承担。</w:t>
      </w:r>
    </w:p>
    <w:p>
      <w:pPr>
        <w:spacing w:line="360" w:lineRule="auto"/>
        <w:ind w:firstLine="360"/>
        <w:rPr>
          <w:rFonts w:hint="eastAsia" w:ascii="宋体" w:hAnsi="宋体" w:eastAsia="宋体" w:cs="宋体"/>
          <w:b/>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招标代理机构：厦门万翔招标有限公司</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址：厦门市湖里区机场北路476号四楼 </w:t>
      </w:r>
    </w:p>
    <w:p>
      <w:pPr>
        <w:tabs>
          <w:tab w:val="left" w:pos="2775"/>
        </w:tabs>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 361006</w:t>
      </w:r>
    </w:p>
    <w:p>
      <w:pPr>
        <w:spacing w:line="360" w:lineRule="auto"/>
        <w:ind w:firstLine="480" w:firstLineChars="200"/>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合同款项事宜联系人：</w:t>
      </w:r>
      <w:r>
        <w:rPr>
          <w:rFonts w:hint="eastAsia" w:ascii="宋体" w:hAnsi="宋体" w:cs="宋体"/>
          <w:color w:val="auto"/>
          <w:kern w:val="0"/>
          <w:sz w:val="24"/>
          <w:szCs w:val="24"/>
          <w:highlight w:val="none"/>
          <w:lang w:eastAsia="zh-CN"/>
        </w:rPr>
        <w:t>郑小姐</w:t>
      </w:r>
      <w:r>
        <w:rPr>
          <w:rFonts w:hint="eastAsia" w:ascii="宋体" w:hAnsi="宋体" w:cs="宋体"/>
          <w:color w:val="auto"/>
          <w:kern w:val="0"/>
          <w:sz w:val="24"/>
          <w:szCs w:val="24"/>
          <w:highlight w:val="none"/>
          <w:lang w:val="en-US" w:eastAsia="zh-CN"/>
        </w:rPr>
        <w:t>0592-5700272</w:t>
      </w:r>
    </w:p>
    <w:p>
      <w:pPr>
        <w:pStyle w:val="12"/>
        <w:rPr>
          <w:rFonts w:hint="eastAsia"/>
          <w:color w:val="auto"/>
          <w:highlight w:val="none"/>
        </w:rPr>
      </w:pPr>
    </w:p>
    <w:p>
      <w:pPr>
        <w:tabs>
          <w:tab w:val="left" w:pos="2775"/>
        </w:tabs>
        <w:spacing w:line="360" w:lineRule="auto"/>
        <w:ind w:firstLine="465"/>
        <w:rPr>
          <w:rFonts w:hint="eastAsia" w:ascii="宋体" w:hAnsi="宋体" w:eastAsia="宋体" w:cs="宋体"/>
          <w:color w:val="auto"/>
          <w:sz w:val="24"/>
          <w:szCs w:val="24"/>
          <w:highlight w:val="none"/>
        </w:rPr>
      </w:pPr>
    </w:p>
    <w:p>
      <w:pPr>
        <w:tabs>
          <w:tab w:val="left" w:pos="2775"/>
        </w:tabs>
        <w:spacing w:line="360" w:lineRule="auto"/>
        <w:ind w:firstLine="465"/>
        <w:rPr>
          <w:rFonts w:hint="eastAsia" w:ascii="宋体" w:hAnsi="宋体" w:eastAsia="宋体" w:cs="宋体"/>
          <w:color w:val="auto"/>
          <w:sz w:val="24"/>
          <w:szCs w:val="24"/>
          <w:highlight w:val="none"/>
        </w:rPr>
      </w:pPr>
    </w:p>
    <w:p>
      <w:pPr>
        <w:tabs>
          <w:tab w:val="left" w:pos="2775"/>
        </w:tabs>
        <w:spacing w:line="360" w:lineRule="auto"/>
        <w:ind w:firstLine="465"/>
        <w:rPr>
          <w:rFonts w:hint="eastAsia" w:ascii="宋体" w:hAnsi="宋体" w:eastAsia="宋体" w:cs="宋体"/>
          <w:color w:val="auto"/>
          <w:sz w:val="24"/>
          <w:szCs w:val="24"/>
          <w:highlight w:val="none"/>
        </w:rPr>
      </w:pPr>
    </w:p>
    <w:p>
      <w:pPr>
        <w:tabs>
          <w:tab w:val="left" w:pos="2775"/>
        </w:tabs>
        <w:spacing w:line="360" w:lineRule="auto"/>
        <w:ind w:firstLine="465"/>
        <w:rPr>
          <w:rFonts w:hint="eastAsia" w:ascii="宋体" w:hAnsi="宋体" w:eastAsia="宋体" w:cs="宋体"/>
          <w:color w:val="auto"/>
          <w:sz w:val="24"/>
          <w:szCs w:val="24"/>
          <w:highlight w:val="none"/>
        </w:rPr>
      </w:pPr>
    </w:p>
    <w:p>
      <w:pPr>
        <w:tabs>
          <w:tab w:val="left" w:pos="2775"/>
        </w:tabs>
        <w:spacing w:line="360" w:lineRule="auto"/>
        <w:ind w:firstLine="465"/>
        <w:rPr>
          <w:rFonts w:hint="eastAsia" w:ascii="宋体" w:hAnsi="宋体" w:eastAsia="宋体" w:cs="宋体"/>
          <w:color w:val="auto"/>
          <w:sz w:val="24"/>
          <w:szCs w:val="24"/>
          <w:highlight w:val="none"/>
        </w:rPr>
      </w:pPr>
    </w:p>
    <w:p>
      <w:pPr>
        <w:tabs>
          <w:tab w:val="left" w:pos="2775"/>
        </w:tabs>
        <w:spacing w:line="360" w:lineRule="auto"/>
        <w:ind w:firstLine="465"/>
        <w:rPr>
          <w:rFonts w:hint="eastAsia" w:ascii="宋体" w:hAnsi="宋体" w:eastAsia="宋体" w:cs="宋体"/>
          <w:color w:val="auto"/>
          <w:sz w:val="24"/>
          <w:szCs w:val="24"/>
          <w:highlight w:val="none"/>
        </w:rPr>
      </w:pPr>
    </w:p>
    <w:p>
      <w:pPr>
        <w:tabs>
          <w:tab w:val="left" w:pos="2775"/>
        </w:tabs>
        <w:spacing w:line="360" w:lineRule="auto"/>
        <w:ind w:firstLine="465"/>
        <w:rPr>
          <w:rFonts w:hint="eastAsia" w:ascii="宋体" w:hAnsi="宋体" w:eastAsia="宋体" w:cs="宋体"/>
          <w:color w:val="auto"/>
          <w:sz w:val="24"/>
          <w:szCs w:val="24"/>
          <w:highlight w:val="none"/>
        </w:rPr>
      </w:pPr>
    </w:p>
    <w:p>
      <w:pPr>
        <w:tabs>
          <w:tab w:val="left" w:pos="2775"/>
        </w:tabs>
        <w:spacing w:line="360" w:lineRule="auto"/>
        <w:ind w:firstLine="465"/>
        <w:rPr>
          <w:rFonts w:hint="eastAsia" w:ascii="宋体" w:hAnsi="宋体" w:eastAsia="宋体" w:cs="宋体"/>
          <w:color w:val="auto"/>
          <w:sz w:val="24"/>
          <w:szCs w:val="24"/>
          <w:highlight w:val="none"/>
        </w:rPr>
      </w:pPr>
    </w:p>
    <w:p>
      <w:pPr>
        <w:tabs>
          <w:tab w:val="left" w:pos="2775"/>
        </w:tabs>
        <w:spacing w:line="360" w:lineRule="auto"/>
        <w:ind w:firstLine="465"/>
        <w:rPr>
          <w:rFonts w:hint="eastAsia" w:ascii="宋体" w:hAnsi="宋体" w:eastAsia="宋体" w:cs="宋体"/>
          <w:color w:val="auto"/>
          <w:sz w:val="24"/>
          <w:szCs w:val="24"/>
          <w:highlight w:val="none"/>
        </w:rPr>
      </w:pPr>
    </w:p>
    <w:p>
      <w:pPr>
        <w:tabs>
          <w:tab w:val="left" w:pos="2775"/>
        </w:tabs>
        <w:spacing w:line="360" w:lineRule="auto"/>
        <w:ind w:firstLine="465"/>
        <w:rPr>
          <w:rFonts w:hint="eastAsia" w:ascii="宋体" w:hAnsi="宋体" w:eastAsia="宋体" w:cs="宋体"/>
          <w:color w:val="auto"/>
          <w:sz w:val="24"/>
          <w:szCs w:val="24"/>
          <w:highlight w:val="none"/>
        </w:rPr>
      </w:pPr>
    </w:p>
    <w:p>
      <w:pPr>
        <w:tabs>
          <w:tab w:val="left" w:pos="2775"/>
        </w:tabs>
        <w:spacing w:line="360" w:lineRule="auto"/>
        <w:ind w:firstLine="465"/>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附：招标货物(服务)一览表</w:t>
      </w:r>
    </w:p>
    <w:p>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招标货物（服务）一览表</w:t>
      </w:r>
    </w:p>
    <w:tbl>
      <w:tblPr>
        <w:tblStyle w:val="14"/>
        <w:tblW w:w="10345" w:type="dxa"/>
        <w:tblInd w:w="-7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952"/>
        <w:gridCol w:w="1716"/>
        <w:gridCol w:w="1075"/>
        <w:gridCol w:w="1445"/>
        <w:gridCol w:w="1080"/>
        <w:gridCol w:w="1440"/>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18"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合同包</w:t>
            </w:r>
          </w:p>
        </w:tc>
        <w:tc>
          <w:tcPr>
            <w:tcW w:w="952"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品目号</w:t>
            </w:r>
          </w:p>
        </w:tc>
        <w:tc>
          <w:tcPr>
            <w:tcW w:w="1716"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default"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货物名称</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default"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数量</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主要技术规格</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交货地点</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default"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*交付使用期</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default"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使用单位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18" w:type="dxa"/>
            <w:vMerge w:val="restart"/>
            <w:tcBorders>
              <w:top w:val="single" w:color="auto" w:sz="4" w:space="0"/>
              <w:left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XM</w:t>
            </w:r>
            <w:r>
              <w:rPr>
                <w:rFonts w:hint="eastAsia" w:ascii="宋体" w:hAnsi="宋体" w:eastAsia="宋体" w:cs="宋体"/>
                <w:b w:val="0"/>
                <w:bCs w:val="0"/>
                <w:color w:val="auto"/>
                <w:sz w:val="24"/>
                <w:szCs w:val="24"/>
                <w:highlight w:val="none"/>
                <w:lang w:eastAsia="zh-CN"/>
              </w:rPr>
              <w:t>202</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-DZ</w:t>
            </w:r>
            <w:r>
              <w:rPr>
                <w:rFonts w:hint="eastAsia" w:ascii="宋体" w:hAnsi="宋体" w:eastAsia="宋体" w:cs="宋体"/>
                <w:b w:val="0"/>
                <w:bCs w:val="0"/>
                <w:color w:val="auto"/>
                <w:sz w:val="24"/>
                <w:szCs w:val="24"/>
                <w:highlight w:val="none"/>
                <w:lang w:val="en-US" w:eastAsia="zh-CN"/>
              </w:rPr>
              <w:t>0031</w:t>
            </w:r>
          </w:p>
        </w:tc>
        <w:tc>
          <w:tcPr>
            <w:tcW w:w="952"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w:t>
            </w:r>
          </w:p>
        </w:tc>
        <w:tc>
          <w:tcPr>
            <w:tcW w:w="1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A4幅面黑白单打印激光打印机</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950台</w:t>
            </w:r>
          </w:p>
        </w:tc>
        <w:tc>
          <w:tcPr>
            <w:tcW w:w="1445" w:type="dxa"/>
            <w:vMerge w:val="restart"/>
            <w:tcBorders>
              <w:top w:val="single" w:color="auto" w:sz="4" w:space="0"/>
              <w:left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详见招标内容及要求</w:t>
            </w:r>
          </w:p>
        </w:tc>
        <w:tc>
          <w:tcPr>
            <w:tcW w:w="1080" w:type="dxa"/>
            <w:vMerge w:val="restart"/>
            <w:tcBorders>
              <w:top w:val="single" w:color="auto" w:sz="4" w:space="0"/>
              <w:left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使用单位指定地点</w:t>
            </w:r>
          </w:p>
        </w:tc>
        <w:tc>
          <w:tcPr>
            <w:tcW w:w="1440" w:type="dxa"/>
            <w:vMerge w:val="restart"/>
            <w:tcBorders>
              <w:top w:val="single" w:color="auto" w:sz="4" w:space="0"/>
              <w:left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详见招标内容及要求</w:t>
            </w:r>
          </w:p>
        </w:tc>
        <w:tc>
          <w:tcPr>
            <w:tcW w:w="1419" w:type="dxa"/>
            <w:vMerge w:val="restart"/>
            <w:tcBorders>
              <w:top w:val="single" w:color="auto" w:sz="4" w:space="0"/>
              <w:left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厦门市政府机关事业单位和福建省内其他终端用户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18" w:type="dxa"/>
            <w:vMerge w:val="continue"/>
            <w:tcBorders>
              <w:left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p>
        </w:tc>
        <w:tc>
          <w:tcPr>
            <w:tcW w:w="952"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w:t>
            </w:r>
          </w:p>
        </w:tc>
        <w:tc>
          <w:tcPr>
            <w:tcW w:w="1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A4幅面黑白双面网络单打印激光打印机</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650 台</w:t>
            </w:r>
          </w:p>
        </w:tc>
        <w:tc>
          <w:tcPr>
            <w:tcW w:w="1445" w:type="dxa"/>
            <w:vMerge w:val="continue"/>
            <w:tcBorders>
              <w:left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p>
        </w:tc>
        <w:tc>
          <w:tcPr>
            <w:tcW w:w="1080" w:type="dxa"/>
            <w:vMerge w:val="continue"/>
            <w:tcBorders>
              <w:left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p>
        </w:tc>
        <w:tc>
          <w:tcPr>
            <w:tcW w:w="1440" w:type="dxa"/>
            <w:vMerge w:val="continue"/>
            <w:tcBorders>
              <w:left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p>
        </w:tc>
        <w:tc>
          <w:tcPr>
            <w:tcW w:w="1419" w:type="dxa"/>
            <w:vMerge w:val="continue"/>
            <w:tcBorders>
              <w:left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18" w:type="dxa"/>
            <w:vMerge w:val="continue"/>
            <w:tcBorders>
              <w:left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p>
        </w:tc>
        <w:tc>
          <w:tcPr>
            <w:tcW w:w="9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1-3</w:t>
            </w:r>
          </w:p>
        </w:tc>
        <w:tc>
          <w:tcPr>
            <w:tcW w:w="1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A4幅面黑白双面网络单打印激光打印机</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1,600台</w:t>
            </w:r>
          </w:p>
        </w:tc>
        <w:tc>
          <w:tcPr>
            <w:tcW w:w="1445" w:type="dxa"/>
            <w:vMerge w:val="continue"/>
            <w:tcBorders>
              <w:left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p>
        </w:tc>
        <w:tc>
          <w:tcPr>
            <w:tcW w:w="1080" w:type="dxa"/>
            <w:vMerge w:val="continue"/>
            <w:tcBorders>
              <w:left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p>
        </w:tc>
        <w:tc>
          <w:tcPr>
            <w:tcW w:w="1440" w:type="dxa"/>
            <w:vMerge w:val="continue"/>
            <w:tcBorders>
              <w:left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p>
        </w:tc>
        <w:tc>
          <w:tcPr>
            <w:tcW w:w="1419" w:type="dxa"/>
            <w:vMerge w:val="continue"/>
            <w:tcBorders>
              <w:left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18" w:type="dxa"/>
            <w:vMerge w:val="continue"/>
            <w:tcBorders>
              <w:left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p>
        </w:tc>
        <w:tc>
          <w:tcPr>
            <w:tcW w:w="9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1-4</w:t>
            </w:r>
          </w:p>
        </w:tc>
        <w:tc>
          <w:tcPr>
            <w:tcW w:w="1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A4幅面彩色双面网络单打印激光打印机</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250台</w:t>
            </w:r>
          </w:p>
        </w:tc>
        <w:tc>
          <w:tcPr>
            <w:tcW w:w="1445" w:type="dxa"/>
            <w:vMerge w:val="continue"/>
            <w:tcBorders>
              <w:left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p>
        </w:tc>
        <w:tc>
          <w:tcPr>
            <w:tcW w:w="1080" w:type="dxa"/>
            <w:vMerge w:val="continue"/>
            <w:tcBorders>
              <w:left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p>
        </w:tc>
        <w:tc>
          <w:tcPr>
            <w:tcW w:w="1440" w:type="dxa"/>
            <w:vMerge w:val="continue"/>
            <w:tcBorders>
              <w:left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p>
        </w:tc>
        <w:tc>
          <w:tcPr>
            <w:tcW w:w="1419" w:type="dxa"/>
            <w:vMerge w:val="continue"/>
            <w:tcBorders>
              <w:left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18" w:type="dxa"/>
            <w:vMerge w:val="continue"/>
            <w:tcBorders>
              <w:left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p>
        </w:tc>
        <w:tc>
          <w:tcPr>
            <w:tcW w:w="9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1-5</w:t>
            </w:r>
          </w:p>
        </w:tc>
        <w:tc>
          <w:tcPr>
            <w:tcW w:w="1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A4幅面彩色双面网络单打印激光打印机</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250台 </w:t>
            </w:r>
          </w:p>
        </w:tc>
        <w:tc>
          <w:tcPr>
            <w:tcW w:w="1445" w:type="dxa"/>
            <w:vMerge w:val="continue"/>
            <w:tcBorders>
              <w:left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p>
        </w:tc>
        <w:tc>
          <w:tcPr>
            <w:tcW w:w="1080" w:type="dxa"/>
            <w:vMerge w:val="continue"/>
            <w:tcBorders>
              <w:left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p>
        </w:tc>
        <w:tc>
          <w:tcPr>
            <w:tcW w:w="1440" w:type="dxa"/>
            <w:vMerge w:val="continue"/>
            <w:tcBorders>
              <w:left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p>
        </w:tc>
        <w:tc>
          <w:tcPr>
            <w:tcW w:w="1419" w:type="dxa"/>
            <w:vMerge w:val="continue"/>
            <w:tcBorders>
              <w:left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18" w:type="dxa"/>
            <w:vMerge w:val="continue"/>
            <w:tcBorders>
              <w:left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p>
        </w:tc>
        <w:tc>
          <w:tcPr>
            <w:tcW w:w="9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1-6</w:t>
            </w:r>
          </w:p>
        </w:tc>
        <w:tc>
          <w:tcPr>
            <w:tcW w:w="1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A3幅面黑白双面网络单打印激光打印机</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120台 </w:t>
            </w:r>
          </w:p>
        </w:tc>
        <w:tc>
          <w:tcPr>
            <w:tcW w:w="1445" w:type="dxa"/>
            <w:vMerge w:val="continue"/>
            <w:tcBorders>
              <w:left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p>
        </w:tc>
        <w:tc>
          <w:tcPr>
            <w:tcW w:w="1080" w:type="dxa"/>
            <w:vMerge w:val="continue"/>
            <w:tcBorders>
              <w:left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p>
        </w:tc>
        <w:tc>
          <w:tcPr>
            <w:tcW w:w="1440" w:type="dxa"/>
            <w:vMerge w:val="continue"/>
            <w:tcBorders>
              <w:left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p>
        </w:tc>
        <w:tc>
          <w:tcPr>
            <w:tcW w:w="1419" w:type="dxa"/>
            <w:vMerge w:val="continue"/>
            <w:tcBorders>
              <w:left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18" w:type="dxa"/>
            <w:vMerge w:val="continue"/>
            <w:tcBorders>
              <w:left w:val="single" w:color="auto" w:sz="4" w:space="0"/>
              <w:bottom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p>
        </w:tc>
        <w:tc>
          <w:tcPr>
            <w:tcW w:w="9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1-7</w:t>
            </w:r>
          </w:p>
        </w:tc>
        <w:tc>
          <w:tcPr>
            <w:tcW w:w="1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A3幅面彩色双面网络单打印激光打印机</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100台 </w:t>
            </w:r>
          </w:p>
        </w:tc>
        <w:tc>
          <w:tcPr>
            <w:tcW w:w="1445" w:type="dxa"/>
            <w:vMerge w:val="continue"/>
            <w:tcBorders>
              <w:left w:val="single" w:color="auto" w:sz="4" w:space="0"/>
              <w:bottom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p>
        </w:tc>
        <w:tc>
          <w:tcPr>
            <w:tcW w:w="1440" w:type="dxa"/>
            <w:vMerge w:val="continue"/>
            <w:tcBorders>
              <w:left w:val="single" w:color="auto" w:sz="4" w:space="0"/>
              <w:bottom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p>
        </w:tc>
        <w:tc>
          <w:tcPr>
            <w:tcW w:w="1419" w:type="dxa"/>
            <w:vMerge w:val="continue"/>
            <w:tcBorders>
              <w:left w:val="single" w:color="auto" w:sz="4" w:space="0"/>
              <w:bottom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p>
        </w:tc>
      </w:tr>
    </w:tbl>
    <w:p>
      <w:pPr>
        <w:pStyle w:val="5"/>
        <w:tabs>
          <w:tab w:val="left" w:pos="8360"/>
        </w:tabs>
        <w:spacing w:line="360" w:lineRule="auto"/>
        <w:jc w:val="left"/>
        <w:rPr>
          <w:rFonts w:hint="eastAsia" w:hAnsi="宋体" w:eastAsia="宋体" w:cs="宋体"/>
          <w:color w:val="auto"/>
          <w:sz w:val="24"/>
          <w:szCs w:val="24"/>
          <w:highlight w:val="none"/>
        </w:rPr>
      </w:pPr>
    </w:p>
    <w:p>
      <w:pPr>
        <w:pStyle w:val="5"/>
        <w:tabs>
          <w:tab w:val="left" w:pos="8360"/>
        </w:tabs>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注：投标人可按合同包投标，对同一合同包内所有品目号内容投标时必须完整。评标与授标以合同包为单位。</w:t>
      </w:r>
    </w:p>
    <w:p>
      <w:pPr>
        <w:pStyle w:val="5"/>
        <w:tabs>
          <w:tab w:val="left" w:pos="8360"/>
        </w:tabs>
        <w:spacing w:line="360" w:lineRule="auto"/>
        <w:jc w:val="left"/>
        <w:rPr>
          <w:rFonts w:hint="eastAsia" w:hAnsi="宋体" w:eastAsia="宋体" w:cs="宋体"/>
          <w:color w:val="auto"/>
          <w:sz w:val="24"/>
          <w:szCs w:val="24"/>
          <w:highlight w:val="none"/>
        </w:rPr>
      </w:pPr>
    </w:p>
    <w:p>
      <w:pPr>
        <w:pStyle w:val="2"/>
        <w:spacing w:line="360" w:lineRule="auto"/>
        <w:ind w:firstLine="0"/>
        <w:rPr>
          <w:rFonts w:hint="eastAsia" w:ascii="宋体" w:hAnsi="宋体" w:eastAsia="宋体" w:cs="宋体"/>
          <w:b/>
          <w:color w:val="auto"/>
          <w:sz w:val="24"/>
          <w:szCs w:val="24"/>
          <w:highlight w:val="none"/>
        </w:rPr>
        <w:sectPr>
          <w:footerReference r:id="rId6" w:type="default"/>
          <w:pgSz w:w="11906" w:h="16838"/>
          <w:pgMar w:top="1440" w:right="1106" w:bottom="1290" w:left="1800" w:header="851" w:footer="992" w:gutter="0"/>
          <w:pgNumType w:start="1"/>
          <w:cols w:space="720" w:num="1"/>
          <w:docGrid w:type="lines" w:linePitch="312" w:charSpace="0"/>
        </w:sectPr>
      </w:pPr>
    </w:p>
    <w:p>
      <w:pPr>
        <w:pStyle w:val="39"/>
        <w:spacing w:line="360" w:lineRule="auto"/>
        <w:jc w:val="center"/>
        <w:rPr>
          <w:rFonts w:hint="eastAsia" w:hAnsi="宋体" w:eastAsia="宋体" w:cs="宋体"/>
          <w:b/>
          <w:color w:val="auto"/>
          <w:sz w:val="32"/>
          <w:szCs w:val="32"/>
          <w:highlight w:val="none"/>
        </w:rPr>
      </w:pPr>
      <w:r>
        <w:rPr>
          <w:rFonts w:hint="eastAsia" w:hAnsi="宋体" w:eastAsia="宋体" w:cs="宋体"/>
          <w:b/>
          <w:color w:val="auto"/>
          <w:sz w:val="32"/>
          <w:szCs w:val="32"/>
          <w:highlight w:val="none"/>
        </w:rPr>
        <w:t>第二章  投标人须知</w:t>
      </w:r>
    </w:p>
    <w:p>
      <w:pPr>
        <w:pStyle w:val="39"/>
        <w:spacing w:line="360" w:lineRule="auto"/>
        <w:jc w:val="center"/>
        <w:rPr>
          <w:rFonts w:hint="eastAsia" w:hAnsi="宋体" w:eastAsia="宋体" w:cs="宋体"/>
          <w:color w:val="auto"/>
          <w:sz w:val="32"/>
          <w:szCs w:val="32"/>
          <w:highlight w:val="none"/>
        </w:rPr>
      </w:pPr>
      <w:r>
        <w:rPr>
          <w:rFonts w:hint="eastAsia" w:hAnsi="宋体" w:eastAsia="宋体" w:cs="宋体"/>
          <w:b/>
          <w:color w:val="auto"/>
          <w:sz w:val="32"/>
          <w:szCs w:val="32"/>
          <w:highlight w:val="none"/>
        </w:rPr>
        <w:t>投标人须知前附表1</w:t>
      </w:r>
    </w:p>
    <w:p>
      <w:pPr>
        <w:spacing w:line="360" w:lineRule="auto"/>
        <w:ind w:firstLine="5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本须知前附表1的条款号是与</w:t>
      </w:r>
      <w:r>
        <w:rPr>
          <w:rFonts w:hint="default" w:ascii="宋体" w:hAnsi="宋体" w:cs="宋体"/>
          <w:color w:val="auto"/>
          <w:sz w:val="24"/>
          <w:szCs w:val="24"/>
          <w:highlight w:val="none"/>
        </w:rPr>
        <w:t>固定部分第二章</w:t>
      </w:r>
      <w:r>
        <w:rPr>
          <w:rFonts w:hint="eastAsia" w:ascii="宋体" w:hAnsi="宋体" w:eastAsia="宋体" w:cs="宋体"/>
          <w:color w:val="auto"/>
          <w:sz w:val="24"/>
          <w:szCs w:val="24"/>
          <w:highlight w:val="none"/>
        </w:rPr>
        <w:t xml:space="preserve">《投标人须知》中条款的项号相对应的。如有矛盾，应以本须知前附表为准。 </w:t>
      </w:r>
    </w:p>
    <w:tbl>
      <w:tblPr>
        <w:tblStyle w:val="14"/>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8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1080"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7380"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7380"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项目名称：2024年大宗激光</w:t>
            </w:r>
            <w:r>
              <w:rPr>
                <w:rFonts w:hint="eastAsia" w:ascii="宋体" w:hAnsi="宋体" w:cs="宋体"/>
                <w:color w:val="auto"/>
                <w:sz w:val="24"/>
                <w:szCs w:val="24"/>
                <w:highlight w:val="none"/>
                <w:lang w:eastAsia="zh-CN"/>
              </w:rPr>
              <w:t>打印</w:t>
            </w:r>
            <w:r>
              <w:rPr>
                <w:rFonts w:hint="eastAsia" w:ascii="宋体" w:hAnsi="宋体" w:eastAsia="宋体" w:cs="宋体"/>
                <w:color w:val="auto"/>
                <w:sz w:val="24"/>
                <w:szCs w:val="24"/>
                <w:highlight w:val="none"/>
              </w:rPr>
              <w:t>机</w:t>
            </w:r>
          </w:p>
          <w:p>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采购单位名称：</w:t>
            </w:r>
            <w:r>
              <w:rPr>
                <w:rFonts w:hint="eastAsia" w:ascii="宋体" w:hAnsi="宋体" w:cs="宋体"/>
                <w:color w:val="auto"/>
                <w:sz w:val="24"/>
                <w:szCs w:val="24"/>
                <w:highlight w:val="none"/>
              </w:rPr>
              <w:t>厦门万翔网络商务有限公司</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采购单位地址：</w:t>
            </w:r>
            <w:r>
              <w:rPr>
                <w:rFonts w:hint="eastAsia" w:ascii="宋体" w:hAnsi="宋体" w:cs="宋体"/>
                <w:color w:val="auto"/>
                <w:sz w:val="24"/>
                <w:szCs w:val="24"/>
                <w:highlight w:val="none"/>
              </w:rPr>
              <w:t>厦门市湖里区机场北路476号五楼</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项目内容：2024年大宗激光</w:t>
            </w:r>
            <w:r>
              <w:rPr>
                <w:rFonts w:hint="eastAsia" w:ascii="宋体" w:hAnsi="宋体" w:cs="宋体"/>
                <w:color w:val="auto"/>
                <w:sz w:val="24"/>
                <w:szCs w:val="24"/>
                <w:highlight w:val="none"/>
                <w:lang w:eastAsia="zh-CN"/>
              </w:rPr>
              <w:t>打印</w:t>
            </w:r>
            <w:r>
              <w:rPr>
                <w:rFonts w:hint="eastAsia" w:ascii="宋体" w:hAnsi="宋体" w:eastAsia="宋体" w:cs="宋体"/>
                <w:color w:val="auto"/>
                <w:sz w:val="24"/>
                <w:szCs w:val="24"/>
                <w:highlight w:val="none"/>
              </w:rPr>
              <w:t>机</w:t>
            </w:r>
          </w:p>
          <w:p>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XM</w:t>
            </w:r>
            <w:r>
              <w:rPr>
                <w:rFonts w:hint="eastAsia" w:ascii="宋体" w:hAnsi="宋体" w:cs="宋体"/>
                <w:color w:val="auto"/>
                <w:sz w:val="24"/>
                <w:szCs w:val="24"/>
                <w:highlight w:val="none"/>
                <w:u w:val="single"/>
                <w:lang w:eastAsia="zh-CN"/>
              </w:rPr>
              <w:t>2024</w:t>
            </w:r>
            <w:r>
              <w:rPr>
                <w:rFonts w:hint="eastAsia" w:ascii="宋体" w:hAnsi="宋体" w:eastAsia="宋体" w:cs="宋体"/>
                <w:color w:val="auto"/>
                <w:sz w:val="24"/>
                <w:szCs w:val="24"/>
                <w:highlight w:val="none"/>
                <w:u w:val="single"/>
              </w:rPr>
              <w:t>-DZ</w:t>
            </w:r>
            <w:r>
              <w:rPr>
                <w:rFonts w:hint="eastAsia" w:ascii="宋体" w:hAnsi="宋体" w:eastAsia="宋体" w:cs="宋体"/>
                <w:color w:val="auto"/>
                <w:sz w:val="24"/>
                <w:szCs w:val="24"/>
                <w:highlight w:val="none"/>
                <w:u w:val="single"/>
                <w:lang w:val="en-US" w:eastAsia="zh-CN"/>
              </w:rPr>
              <w:t>0</w:t>
            </w:r>
            <w:r>
              <w:rPr>
                <w:rFonts w:hint="eastAsia" w:ascii="宋体" w:hAnsi="宋体" w:cs="宋体"/>
                <w:color w:val="auto"/>
                <w:sz w:val="24"/>
                <w:szCs w:val="24"/>
                <w:highlight w:val="none"/>
                <w:u w:val="single"/>
                <w:lang w:val="en-US" w:eastAsia="zh-CN"/>
              </w:rPr>
              <w:t>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0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0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380"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资格标准：</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详见第二章《投标人须知》第3条，以及第三章《招标内容及要求》有关内容。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0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7380"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投标有效期：投标截止之日起</w:t>
            </w:r>
            <w:r>
              <w:rPr>
                <w:rFonts w:hint="default" w:ascii="宋体" w:hAnsi="宋体" w:cs="宋体"/>
                <w:color w:val="auto"/>
                <w:sz w:val="24"/>
                <w:szCs w:val="24"/>
                <w:highlight w:val="none"/>
                <w:u w:val="single"/>
              </w:rPr>
              <w:t>18</w:t>
            </w: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个日历日。</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有效期不足将导致其投标文件被拒绝。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0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7380"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kern w:val="0"/>
                <w:sz w:val="24"/>
                <w:szCs w:val="24"/>
                <w:highlight w:val="none"/>
              </w:rPr>
              <w:t>投标文件递交地址：</w:t>
            </w:r>
            <w:r>
              <w:rPr>
                <w:rFonts w:hint="eastAsia" w:ascii="宋体" w:hAnsi="宋体" w:cs="宋体"/>
                <w:b/>
                <w:color w:val="auto"/>
                <w:sz w:val="24"/>
                <w:szCs w:val="24"/>
                <w:highlight w:val="none"/>
                <w:u w:val="single"/>
              </w:rPr>
              <w:t>厦门市湖里区云顶北路842号厦门市政务服务中心4楼信息发布大厅东侧收标处</w:t>
            </w:r>
            <w:r>
              <w:rPr>
                <w:rFonts w:hint="eastAsia" w:ascii="宋体" w:hAnsi="宋体" w:cs="宋体"/>
                <w:b/>
                <w:color w:val="auto"/>
                <w:sz w:val="24"/>
                <w:szCs w:val="24"/>
                <w:highlight w:val="none"/>
                <w:u w:val="single"/>
              </w:rPr>
              <w:t xml:space="preserve">   号</w:t>
            </w:r>
            <w:r>
              <w:rPr>
                <w:rFonts w:hint="eastAsia" w:ascii="宋体" w:hAnsi="宋体" w:cs="宋体"/>
                <w:b/>
                <w:color w:val="auto"/>
                <w:sz w:val="24"/>
                <w:szCs w:val="24"/>
                <w:highlight w:val="none"/>
                <w:u w:val="single"/>
              </w:rPr>
              <w:t>收标窗口</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接收人：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0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7380"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r>
              <w:rPr>
                <w:rFonts w:hint="eastAsia" w:ascii="宋体" w:hAnsi="宋体" w:eastAsia="宋体" w:cs="宋体"/>
                <w:color w:val="auto"/>
                <w:sz w:val="24"/>
                <w:szCs w:val="24"/>
                <w:highlight w:val="none"/>
                <w:u w:val="single"/>
              </w:rPr>
              <w:t xml:space="preserve">   0元       </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①投标保证金以转账、电汇两种形式提交（不收取现金、现金支票，不能用个人卡在银联支付系统转账，否则作未提交投标保证金处理）。</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②若项目存在分合同包采购的，则投标保证金应按不同的合同包号分别提交。</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③投标人为中小企业的，其投标保证金减半交纳。减半交纳投标保证金的投标人应按照招标文件格式要求在投标文件中提供《中小企业声明函》。</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④</w:t>
            </w:r>
            <w:r>
              <w:rPr>
                <w:rFonts w:hint="eastAsia" w:ascii="宋体" w:hAnsi="宋体" w:eastAsia="宋体" w:cs="宋体"/>
                <w:color w:val="auto"/>
                <w:kern w:val="0"/>
                <w:sz w:val="24"/>
                <w:szCs w:val="24"/>
                <w:highlight w:val="none"/>
              </w:rPr>
              <w:t>投标保证金应在投标截止时间前到账。</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未按前述规定缴交投标保证金的，投标无效。</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⑤投标保证金按投标人缴交账号原路退回，遇投标人账号变更、非投标保证金款项误转进投标保证金专户等特殊情况确实无法原路退回的，需经同级政府采购监管部门核实后方可退回。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0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7380"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投标文件份数：正本一份、副本四份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noWrap w:val="0"/>
            <w:vAlign w:val="center"/>
          </w:tcPr>
          <w:p>
            <w:pPr>
              <w:keepNext w:val="0"/>
              <w:keepLines w:val="0"/>
              <w:suppressLineNumbers w:val="0"/>
              <w:spacing w:before="0" w:beforeAutospacing="0" w:after="0" w:afterAutospacing="0" w:line="360" w:lineRule="auto"/>
              <w:ind w:left="0" w:right="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0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w:t>
            </w:r>
          </w:p>
        </w:tc>
        <w:tc>
          <w:tcPr>
            <w:tcW w:w="7380"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评标方法、标准及定标原则(含推荐中标候选供应商数量)：</w:t>
            </w:r>
          </w:p>
          <w:p>
            <w:pPr>
              <w:pStyle w:val="5"/>
              <w:keepNext w:val="0"/>
              <w:keepLines w:val="0"/>
              <w:suppressLineNumbers w:val="0"/>
              <w:spacing w:before="0" w:beforeAutospacing="0" w:after="0" w:afterAutospacing="0" w:line="360" w:lineRule="auto"/>
              <w:ind w:left="0" w:right="0"/>
              <w:rPr>
                <w:rFonts w:hint="eastAsia" w:hAnsi="宋体" w:eastAsia="宋体" w:cs="宋体"/>
                <w:color w:val="auto"/>
                <w:sz w:val="24"/>
                <w:szCs w:val="24"/>
                <w:highlight w:val="none"/>
              </w:rPr>
            </w:pPr>
            <w:r>
              <w:rPr>
                <w:rFonts w:hint="eastAsia" w:hAnsi="宋体" w:eastAsia="宋体" w:cs="宋体"/>
                <w:color w:val="auto"/>
                <w:sz w:val="24"/>
                <w:szCs w:val="24"/>
                <w:highlight w:val="none"/>
              </w:rPr>
              <w:t>详见《投标人须知前附表3》。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080" w:type="dxa"/>
            <w:noWrap w:val="0"/>
            <w:vAlign w:val="center"/>
          </w:tcPr>
          <w:p>
            <w:pPr>
              <w:keepNext w:val="0"/>
              <w:keepLines w:val="0"/>
              <w:suppressLineNumbers w:val="0"/>
              <w:spacing w:before="0" w:beforeAutospacing="0" w:after="0" w:afterAutospacing="0" w:line="360" w:lineRule="auto"/>
              <w:ind w:left="0" w:right="-63" w:rightChars="-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12.9</w:t>
            </w:r>
          </w:p>
        </w:tc>
        <w:tc>
          <w:tcPr>
            <w:tcW w:w="7380"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w:t>
            </w:r>
          </w:p>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收费标准：</w:t>
            </w:r>
          </w:p>
          <w:tbl>
            <w:tblPr>
              <w:tblStyle w:val="14"/>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pPr>
                    <w:keepNext w:val="0"/>
                    <w:keepLines w:val="0"/>
                    <w:suppressLineNumbers w:val="0"/>
                    <w:adjustRightInd w:val="0"/>
                    <w:snapToGrid w:val="0"/>
                    <w:spacing w:before="0" w:beforeAutospacing="0" w:after="0" w:afterAutospacing="0" w:line="360" w:lineRule="auto"/>
                    <w:ind w:left="0" w:right="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中标金额(万元)</w:t>
                  </w:r>
                </w:p>
              </w:tc>
              <w:tc>
                <w:tcPr>
                  <w:tcW w:w="2700" w:type="dxa"/>
                  <w:noWrap w:val="0"/>
                  <w:vAlign w:val="top"/>
                </w:tcPr>
                <w:p>
                  <w:pPr>
                    <w:keepNext w:val="0"/>
                    <w:keepLines w:val="0"/>
                    <w:suppressLineNumbers w:val="0"/>
                    <w:adjustRightInd w:val="0"/>
                    <w:snapToGrid w:val="0"/>
                    <w:spacing w:before="0" w:beforeAutospacing="0" w:after="0" w:afterAutospacing="0" w:line="360" w:lineRule="auto"/>
                    <w:ind w:left="0" w:right="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pPr>
                    <w:keepNext w:val="0"/>
                    <w:keepLines w:val="0"/>
                    <w:suppressLineNumbers w:val="0"/>
                    <w:adjustRightInd w:val="0"/>
                    <w:snapToGrid w:val="0"/>
                    <w:spacing w:before="0" w:beforeAutospacing="0" w:after="0" w:afterAutospacing="0" w:line="360" w:lineRule="auto"/>
                    <w:ind w:left="0" w:right="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[0―100]</w:t>
                  </w:r>
                </w:p>
              </w:tc>
              <w:tc>
                <w:tcPr>
                  <w:tcW w:w="2700" w:type="dxa"/>
                  <w:noWrap w:val="0"/>
                  <w:vAlign w:val="top"/>
                </w:tcPr>
                <w:p>
                  <w:pPr>
                    <w:keepNext w:val="0"/>
                    <w:keepLines w:val="0"/>
                    <w:suppressLineNumbers w:val="0"/>
                    <w:adjustRightInd w:val="0"/>
                    <w:snapToGrid w:val="0"/>
                    <w:spacing w:before="0" w:beforeAutospacing="0" w:after="0" w:afterAutospacing="0" w:line="360" w:lineRule="auto"/>
                    <w:ind w:left="0" w:right="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（100－500]</w:t>
                  </w:r>
                </w:p>
              </w:tc>
              <w:tc>
                <w:tcPr>
                  <w:tcW w:w="2700" w:type="dxa"/>
                  <w:noWrap w:val="0"/>
                  <w:vAlign w:val="top"/>
                </w:tcPr>
                <w:p>
                  <w:pPr>
                    <w:keepNext w:val="0"/>
                    <w:keepLines w:val="0"/>
                    <w:suppressLineNumbers w:val="0"/>
                    <w:adjustRightInd w:val="0"/>
                    <w:snapToGrid w:val="0"/>
                    <w:spacing w:before="0" w:beforeAutospacing="0" w:after="0" w:afterAutospacing="0" w:line="360" w:lineRule="auto"/>
                    <w:ind w:left="0" w:right="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（500-1000]</w:t>
                  </w:r>
                </w:p>
              </w:tc>
              <w:tc>
                <w:tcPr>
                  <w:tcW w:w="2700" w:type="dxa"/>
                  <w:noWrap w:val="0"/>
                  <w:vAlign w:val="top"/>
                </w:tcPr>
                <w:p>
                  <w:pPr>
                    <w:keepNext w:val="0"/>
                    <w:keepLines w:val="0"/>
                    <w:suppressLineNumbers w:val="0"/>
                    <w:adjustRightInd w:val="0"/>
                    <w:snapToGrid w:val="0"/>
                    <w:spacing w:before="0" w:beforeAutospacing="0" w:after="0" w:afterAutospacing="0" w:line="360" w:lineRule="auto"/>
                    <w:ind w:left="0" w:right="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（1000-5000]</w:t>
                  </w:r>
                </w:p>
              </w:tc>
              <w:tc>
                <w:tcPr>
                  <w:tcW w:w="2700" w:type="dxa"/>
                  <w:noWrap w:val="0"/>
                  <w:vAlign w:val="top"/>
                </w:tcPr>
                <w:p>
                  <w:pPr>
                    <w:keepNext w:val="0"/>
                    <w:keepLines w:val="0"/>
                    <w:suppressLineNumbers w:val="0"/>
                    <w:adjustRightInd w:val="0"/>
                    <w:snapToGrid w:val="0"/>
                    <w:spacing w:before="0" w:beforeAutospacing="0" w:after="0" w:afterAutospacing="0" w:line="360" w:lineRule="auto"/>
                    <w:ind w:left="0" w:right="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（5000-10000]</w:t>
                  </w:r>
                </w:p>
              </w:tc>
              <w:tc>
                <w:tcPr>
                  <w:tcW w:w="2700" w:type="dxa"/>
                  <w:noWrap w:val="0"/>
                  <w:vAlign w:val="top"/>
                </w:tcPr>
                <w:p>
                  <w:pPr>
                    <w:keepNext w:val="0"/>
                    <w:keepLines w:val="0"/>
                    <w:suppressLineNumbers w:val="0"/>
                    <w:adjustRightInd w:val="0"/>
                    <w:snapToGrid w:val="0"/>
                    <w:spacing w:before="0" w:beforeAutospacing="0" w:after="0" w:afterAutospacing="0" w:line="360" w:lineRule="auto"/>
                    <w:ind w:left="0" w:right="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（10000-50000]</w:t>
                  </w:r>
                </w:p>
              </w:tc>
              <w:tc>
                <w:tcPr>
                  <w:tcW w:w="2700" w:type="dxa"/>
                  <w:noWrap w:val="0"/>
                  <w:vAlign w:val="top"/>
                </w:tcPr>
                <w:p>
                  <w:pPr>
                    <w:keepNext w:val="0"/>
                    <w:keepLines w:val="0"/>
                    <w:suppressLineNumbers w:val="0"/>
                    <w:adjustRightInd w:val="0"/>
                    <w:snapToGrid w:val="0"/>
                    <w:spacing w:before="0" w:beforeAutospacing="0" w:after="0" w:afterAutospacing="0" w:line="360" w:lineRule="auto"/>
                    <w:ind w:left="0" w:right="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（50000-100000]</w:t>
                  </w:r>
                </w:p>
              </w:tc>
              <w:tc>
                <w:tcPr>
                  <w:tcW w:w="2700" w:type="dxa"/>
                  <w:noWrap w:val="0"/>
                  <w:vAlign w:val="top"/>
                </w:tcPr>
                <w:p>
                  <w:pPr>
                    <w:keepNext w:val="0"/>
                    <w:keepLines w:val="0"/>
                    <w:suppressLineNumbers w:val="0"/>
                    <w:adjustRightInd w:val="0"/>
                    <w:snapToGrid w:val="0"/>
                    <w:spacing w:before="0" w:beforeAutospacing="0" w:after="0" w:afterAutospacing="0" w:line="360" w:lineRule="auto"/>
                    <w:ind w:left="0" w:right="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0.035%</w:t>
                  </w:r>
                </w:p>
              </w:tc>
            </w:tr>
          </w:tbl>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收取按每批次《定货单》金额的收费标准收取，中标供应商最迟在采购单位发出《定货单》之日起10个工作日内向招标代理机构缴交中标服务费。中标服务费的收取按差额定率累进法计算,由中标供应商支付，中标服务费按每个《定货单》金额分别收取，《定货单》金额不予累加。</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2、中标供应商以转账或汇款方式提交。</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3、中标供应商为中小企业的，其</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val="en-US" w:eastAsia="zh-CN"/>
              </w:rPr>
              <w:t>上述</w:t>
            </w:r>
            <w:r>
              <w:rPr>
                <w:rFonts w:hint="eastAsia" w:ascii="宋体" w:hAnsi="宋体" w:eastAsia="宋体" w:cs="宋体"/>
                <w:color w:val="auto"/>
                <w:sz w:val="24"/>
                <w:szCs w:val="24"/>
                <w:highlight w:val="none"/>
              </w:rPr>
              <w:t>服务收费标准下浮10%进行支付。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7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监督管理部门：</w:t>
            </w:r>
            <w:r>
              <w:rPr>
                <w:rFonts w:hint="eastAsia" w:ascii="宋体" w:hAnsi="宋体" w:eastAsia="宋体" w:cs="宋体"/>
                <w:color w:val="auto"/>
                <w:sz w:val="24"/>
                <w:szCs w:val="24"/>
                <w:highlight w:val="none"/>
              </w:rPr>
              <w:t>厦门市财政局</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7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是否允许进口产品参加本采购项目：</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否</w:t>
            </w:r>
          </w:p>
        </w:tc>
      </w:tr>
    </w:tbl>
    <w:p>
      <w:pPr>
        <w:tabs>
          <w:tab w:val="left" w:pos="-1080"/>
          <w:tab w:val="left" w:pos="180"/>
          <w:tab w:val="left" w:pos="1080"/>
        </w:tabs>
        <w:spacing w:line="360" w:lineRule="auto"/>
        <w:rPr>
          <w:rFonts w:hint="eastAsia" w:ascii="宋体" w:hAnsi="宋体" w:eastAsia="宋体" w:cs="宋体"/>
          <w:b/>
          <w:color w:val="auto"/>
          <w:sz w:val="24"/>
          <w:szCs w:val="24"/>
          <w:highlight w:val="none"/>
        </w:rPr>
      </w:pPr>
    </w:p>
    <w:p>
      <w:pPr>
        <w:tabs>
          <w:tab w:val="left" w:pos="-1080"/>
          <w:tab w:val="left" w:pos="180"/>
          <w:tab w:val="left" w:pos="1080"/>
        </w:tabs>
        <w:spacing w:line="360" w:lineRule="auto"/>
        <w:rPr>
          <w:rFonts w:hint="eastAsia" w:ascii="宋体" w:hAnsi="宋体" w:eastAsia="宋体" w:cs="宋体"/>
          <w:b/>
          <w:color w:val="auto"/>
          <w:sz w:val="24"/>
          <w:szCs w:val="24"/>
          <w:highlight w:val="none"/>
        </w:rPr>
      </w:pPr>
    </w:p>
    <w:p>
      <w:pPr>
        <w:tabs>
          <w:tab w:val="left" w:pos="-1080"/>
          <w:tab w:val="left" w:pos="180"/>
          <w:tab w:val="left" w:pos="1080"/>
        </w:tabs>
        <w:spacing w:line="360" w:lineRule="auto"/>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bCs/>
          <w:color w:val="auto"/>
          <w:sz w:val="32"/>
          <w:szCs w:val="32"/>
          <w:highlight w:val="none"/>
          <w:u w:val="single"/>
        </w:rPr>
      </w:pPr>
      <w:r>
        <w:rPr>
          <w:rFonts w:hint="eastAsia" w:ascii="宋体" w:hAnsi="宋体" w:eastAsia="宋体" w:cs="宋体"/>
          <w:b/>
          <w:bCs/>
          <w:color w:val="auto"/>
          <w:sz w:val="32"/>
          <w:szCs w:val="32"/>
          <w:highlight w:val="none"/>
          <w:u w:val="single"/>
        </w:rPr>
        <w:t>投标人须知前附表2:资格性、符合性检查表</w:t>
      </w:r>
    </w:p>
    <w:p>
      <w:pPr>
        <w:spacing w:line="360" w:lineRule="auto"/>
        <w:ind w:firstLine="5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本须知前附表2集中列示了符合性检查的所有条款，其内容是评标委员会在评审过程中判断投标人的投标是否有效的重要依据。本须知前附表</w:t>
      </w:r>
      <w:r>
        <w:rPr>
          <w:rFonts w:hint="default" w:ascii="宋体" w:hAnsi="宋体" w:cs="宋体"/>
          <w:color w:val="auto"/>
          <w:sz w:val="24"/>
          <w:szCs w:val="24"/>
          <w:highlight w:val="none"/>
        </w:rPr>
        <w:t>2</w:t>
      </w:r>
      <w:r>
        <w:rPr>
          <w:rFonts w:hint="eastAsia" w:ascii="宋体" w:hAnsi="宋体" w:eastAsia="宋体" w:cs="宋体"/>
          <w:color w:val="auto"/>
          <w:sz w:val="24"/>
          <w:szCs w:val="24"/>
          <w:highlight w:val="none"/>
        </w:rPr>
        <w:t>的条款号是与</w:t>
      </w:r>
      <w:r>
        <w:rPr>
          <w:rFonts w:hint="default" w:ascii="宋体" w:hAnsi="宋体" w:cs="宋体"/>
          <w:color w:val="auto"/>
          <w:sz w:val="24"/>
          <w:szCs w:val="24"/>
          <w:highlight w:val="none"/>
        </w:rPr>
        <w:t>固定部分第二章</w:t>
      </w:r>
      <w:r>
        <w:rPr>
          <w:rFonts w:hint="eastAsia" w:ascii="宋体" w:hAnsi="宋体" w:eastAsia="宋体" w:cs="宋体"/>
          <w:color w:val="auto"/>
          <w:sz w:val="24"/>
          <w:szCs w:val="24"/>
          <w:highlight w:val="none"/>
        </w:rPr>
        <w:t xml:space="preserve">《投标人须知》中条款的项号相对应的。如有矛盾，应以本须知前附表为准。 </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683"/>
        <w:gridCol w:w="1400"/>
        <w:gridCol w:w="5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5000" w:type="pct"/>
            <w:gridSpan w:val="4"/>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74" w:type="pct"/>
            <w:tcBorders>
              <w:bottom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号</w:t>
            </w:r>
          </w:p>
        </w:tc>
        <w:tc>
          <w:tcPr>
            <w:tcW w:w="396" w:type="pct"/>
            <w:tcBorders>
              <w:bottom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章</w:t>
            </w:r>
          </w:p>
        </w:tc>
        <w:tc>
          <w:tcPr>
            <w:tcW w:w="812" w:type="pct"/>
            <w:tcBorders>
              <w:bottom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3416" w:type="pct"/>
            <w:tcBorders>
              <w:bottom w:val="single" w:color="auto" w:sz="4" w:space="0"/>
            </w:tcBorders>
            <w:noWrap w:val="0"/>
            <w:vAlign w:val="center"/>
          </w:tcPr>
          <w:p>
            <w:pPr>
              <w:keepNext w:val="0"/>
              <w:keepLines w:val="0"/>
              <w:suppressLineNumbers w:val="0"/>
              <w:tabs>
                <w:tab w:val="left" w:pos="2848"/>
              </w:tabs>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4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合格的投标人</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具体内容详见第二章第3条“合格的投标人”。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34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3.1凡有能力提供本招标文件所述货物及服务的，具备《中华人民共和国政府采购法》第二十二条第一款规定的条件且符合本招标文件规定资格要求的境内供货商或制造商均可能成为合格的投标人。</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投标人应具备《中华人民共和国政府采购法》第二十二条第一款规定的条件，并提供以下材料：</w:t>
            </w:r>
          </w:p>
          <w:p>
            <w:pPr>
              <w:keepNext w:val="0"/>
              <w:keepLines w:val="0"/>
              <w:suppressLineNumbers w:val="0"/>
              <w:spacing w:before="0" w:beforeAutospacing="0" w:after="0" w:afterAutospacing="0" w:line="360" w:lineRule="auto"/>
              <w:ind w:left="0" w:right="0" w:firstLine="319" w:firstLineChars="13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（1）法人或者其他组织的营业执照等证明文件，自然人的身份证明；</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投标人是法人或者其他组织的应提供营业执照等证明文件，投标人是自然人的应提供有效的自然人身份证明。</w:t>
            </w:r>
          </w:p>
          <w:p>
            <w:pPr>
              <w:keepNext w:val="0"/>
              <w:keepLines w:val="0"/>
              <w:suppressLineNumbers w:val="0"/>
              <w:spacing w:before="0" w:beforeAutospacing="0" w:after="0" w:afterAutospacing="0" w:line="360" w:lineRule="auto"/>
              <w:ind w:left="0" w:right="0"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kern w:val="0"/>
                <w:sz w:val="24"/>
                <w:szCs w:val="24"/>
                <w:highlight w:val="none"/>
              </w:rPr>
              <w:t>经审计的上一年度的年度财务报告（</w:t>
            </w:r>
            <w:r>
              <w:rPr>
                <w:rFonts w:hint="eastAsia" w:ascii="宋体" w:hAnsi="宋体" w:eastAsia="宋体" w:cs="宋体"/>
                <w:color w:val="auto"/>
                <w:sz w:val="24"/>
                <w:szCs w:val="24"/>
                <w:highlight w:val="none"/>
              </w:rPr>
              <w:t>投标人上一年度的财务报告尚未完成编制且投标截止时间在每年1月1日至4月30日的，可提供上上年度经审计的年度财务报告。</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及依法缴纳税收和社会保障资金的相关材料；若投标人因新注册成立等原因无法提供上述证明材料的，应在投标文件中提交如实的情况说明；预算金额500万元以下的政府采购项目基本资格条件采取“信用承诺制”，投标人提供资格承诺函(格式见附件)的即可参加采购活动，在投标文件中无需再提供财务状况报告、依法缴纳税收和社会保障资金的相关证明材料。投标人应当遵循诚实信用原则，不得作虚假承诺，投标人承诺不实的，属于提供虚假材料谋取中标、成交，应依法承担相应的法律责任。</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财务状况报告指“四表一注”，即资产负债表、利润表、现金流量表、所有者权益变动表及其附注，或基本开户银行出具的资信证明。</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税收和社会保障资金的证明材料主要是投标人税务登记证、缴纳增值税或营业税或企业所得税的凭据，缴纳社会保险的凭据（专用收据或社会保险缴纳清单）。依法免税或不需要缴纳社会保障资金的投标人，应提供相应文件证 明其依法免税或不需要缴纳社会保障资金。根据《财政部关于印发&lt;小企业会计准则&gt;的通知》（财会〔2011〕17号）的规定，小企业的财务报表包括资产负债表、利润表、现金流量表及其附注，可以不含所有者权益变动表。</w:t>
            </w:r>
          </w:p>
          <w:p>
            <w:pPr>
              <w:keepNext w:val="0"/>
              <w:keepLines w:val="0"/>
              <w:suppressLineNumbers w:val="0"/>
              <w:spacing w:before="0" w:beforeAutospacing="0" w:after="0" w:afterAutospacing="0" w:line="360" w:lineRule="auto"/>
              <w:ind w:left="0" w:right="0" w:firstLine="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（3）具备履行合同所必需的设备和专业技术能力的证明材料。</w:t>
            </w:r>
          </w:p>
          <w:p>
            <w:pPr>
              <w:keepNext w:val="0"/>
              <w:keepLines w:val="0"/>
              <w:suppressLineNumbers w:val="0"/>
              <w:spacing w:before="0" w:beforeAutospacing="0" w:after="0" w:afterAutospacing="0" w:line="360" w:lineRule="auto"/>
              <w:ind w:left="0" w:right="0" w:firstLine="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（4）参加政府采购活动前3年内在经营活动中没有重大违法记录的书面声明；投标人自行对其有无行贿犯罪情形进行书面说明或书面承诺。</w:t>
            </w:r>
          </w:p>
          <w:p>
            <w:pPr>
              <w:keepNext w:val="0"/>
              <w:keepLines w:val="0"/>
              <w:suppressLineNumbers w:val="0"/>
              <w:spacing w:before="0" w:beforeAutospacing="0" w:after="0" w:afterAutospacing="0" w:line="360" w:lineRule="auto"/>
              <w:ind w:left="0" w:right="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（5）具备法律、行政法规规定的其他条件的证明材料。</w:t>
            </w:r>
          </w:p>
          <w:p>
            <w:pPr>
              <w:keepNext w:val="0"/>
              <w:keepLines w:val="0"/>
              <w:suppressLineNumbers w:val="0"/>
              <w:spacing w:before="0" w:beforeAutospacing="0" w:after="0" w:afterAutospacing="0" w:line="360" w:lineRule="auto"/>
              <w:ind w:left="0" w:right="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（6）投标人已提供加载有统一社会信用代码营业执照的，视为已提供税务登记证和组织机构代码证。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p>
        </w:tc>
        <w:tc>
          <w:tcPr>
            <w:tcW w:w="34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3.5如本项目接受联合体投标，则两个或者两个以上投标人可以组成一个投标联合体，以一个投标人的身份投标。</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（1）以联合体形式参加投标的，联合体各方均应当符合合格的投标人相关规定。</w:t>
            </w:r>
            <w:r>
              <w:rPr>
                <w:rFonts w:hint="eastAsia" w:ascii="宋体" w:hAnsi="宋体" w:cs="宋体"/>
                <w:color w:val="auto"/>
                <w:sz w:val="24"/>
                <w:szCs w:val="24"/>
                <w:highlight w:val="none"/>
                <w:lang w:eastAsia="zh-CN"/>
              </w:rPr>
              <w:t>采购单位</w:t>
            </w:r>
            <w:r>
              <w:rPr>
                <w:rFonts w:hint="eastAsia" w:ascii="宋体" w:hAnsi="宋体" w:eastAsia="宋体" w:cs="宋体"/>
                <w:color w:val="auto"/>
                <w:sz w:val="24"/>
                <w:szCs w:val="24"/>
                <w:highlight w:val="none"/>
              </w:rPr>
              <w:t>根据采购项目的特殊要求规定投标人特定条件的，联合体各方中至少应当有一方符合</w:t>
            </w:r>
            <w:r>
              <w:rPr>
                <w:rFonts w:hint="eastAsia" w:ascii="宋体" w:hAnsi="宋体" w:cs="宋体"/>
                <w:color w:val="auto"/>
                <w:sz w:val="24"/>
                <w:szCs w:val="24"/>
                <w:highlight w:val="none"/>
                <w:lang w:eastAsia="zh-CN"/>
              </w:rPr>
              <w:t>采购单位</w:t>
            </w:r>
            <w:r>
              <w:rPr>
                <w:rFonts w:hint="eastAsia" w:ascii="宋体" w:hAnsi="宋体" w:eastAsia="宋体" w:cs="宋体"/>
                <w:color w:val="auto"/>
                <w:sz w:val="24"/>
                <w:szCs w:val="24"/>
                <w:highlight w:val="none"/>
              </w:rPr>
              <w:t>规定的特定条件，如联合体各方中没有一方符合特定条件的，该联合体投标无效。</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之间应当签订共同投标协议，明确约定联合体各方承担的工作和相应的责任，并将共同投标协议连同投标文件一并提交招标代理机构。联合体各方签订共同投标协议后，不得再以自己名义单独在同一项目中投标，也不得组成新的联合体参加同一项目投标。</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（3）项目如涉及资质要求，该部分内容应由联合体中具有该资质要求的投标人承担。联合体协议及签订的采购合同应包含此项内容。</w:t>
            </w:r>
          </w:p>
          <w:p>
            <w:pPr>
              <w:keepNext w:val="0"/>
              <w:keepLines w:val="0"/>
              <w:suppressLineNumbers w:val="0"/>
              <w:spacing w:before="0" w:beforeAutospacing="0" w:after="0" w:afterAutospacing="0" w:line="360" w:lineRule="auto"/>
              <w:ind w:left="0" w:right="0"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（4）联合体中有同类资质的投标人按照联合体分工承担相同工作的，应当按照资质等级较低的投标人确定资质等级。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p>
        </w:tc>
        <w:tc>
          <w:tcPr>
            <w:tcW w:w="34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3.6属于联合体投标的，除招标文件其他章节或本须知其他条款另有规定或要求外，投标文件中仅加盖联合体一方公章的相关文件，对联合体各方均具有约束力。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p>
        </w:tc>
        <w:tc>
          <w:tcPr>
            <w:tcW w:w="34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3.7投标代理人在同一个项目中只能接受一个投标人的委托参加投标。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630"/>
              </w:tabs>
              <w:spacing w:before="0" w:beforeAutospacing="0" w:after="0" w:afterAutospacing="0" w:line="360" w:lineRule="auto"/>
              <w:ind w:left="0" w:right="0"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按照下列规定执行：信用记录的查询及审查：①由资格审查小组评审当日通过“信用中国”网站（www.creditchina.gov.cn）、中国政府采购网（www.ccgp.gov.cn）、“信用厦门”网站（credit.xm.gov.cn）查询并打印投标人信用记录（以下简称：“资格审查小组的查询结果”）。②查询结果存在投标人（包括联合体各方，联合体成员存在不良记录的，视同联合体存在不良信用记录，认定联合体资格审查不合格）应被拒绝参与政府采购活动相关信息的，其资格审查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color w:val="auto"/>
                <w:sz w:val="24"/>
                <w:szCs w:val="24"/>
                <w:highlight w:val="none"/>
              </w:rPr>
            </w:pPr>
            <w:r>
              <w:rPr>
                <w:rFonts w:hint="eastAsia" w:ascii="宋体" w:hAnsi="宋体" w:eastAsia="宋体" w:cs="宋体"/>
                <w:b/>
                <w:bCs w:val="0"/>
                <w:color w:val="auto"/>
                <w:kern w:val="2"/>
                <w:sz w:val="24"/>
                <w:szCs w:val="24"/>
                <w:highlight w:val="none"/>
                <w:lang w:val="en-US" w:eastAsia="zh-CN" w:bidi="ar"/>
              </w:rPr>
              <w:t>*1、投标人应提供工商营业执照（副本）（加盖公章）的复印件，提供税务登记证及组织机构代码证复印件。投标人已提供加载有统一社会信用代码营业执照的，视为已提供税务登记证和组织机构代码证。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396" w:type="pct"/>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16" w:type="pct"/>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kern w:val="2"/>
                <w:sz w:val="24"/>
                <w:szCs w:val="24"/>
                <w:highlight w:val="none"/>
                <w:lang w:val="en-US" w:eastAsia="zh-CN" w:bidi="ar"/>
              </w:rPr>
              <w:t>*2、</w:t>
            </w:r>
            <w:r>
              <w:rPr>
                <w:rFonts w:hint="eastAsia" w:ascii="宋体" w:hAnsi="宋体" w:eastAsia="宋体" w:cs="宋体"/>
                <w:b/>
                <w:bCs w:val="0"/>
                <w:color w:val="auto"/>
                <w:kern w:val="2"/>
                <w:sz w:val="24"/>
                <w:szCs w:val="24"/>
                <w:highlight w:val="none"/>
                <w:lang w:val="en-US" w:eastAsia="zh-CN" w:bidi="ar"/>
              </w:rPr>
              <w:t>投标</w:t>
            </w:r>
            <w:r>
              <w:rPr>
                <w:rFonts w:hint="eastAsia" w:ascii="宋体" w:hAnsi="宋体" w:eastAsia="宋体" w:cs="宋体"/>
                <w:b/>
                <w:bCs/>
                <w:color w:val="auto"/>
                <w:kern w:val="2"/>
                <w:sz w:val="24"/>
                <w:szCs w:val="24"/>
                <w:highlight w:val="none"/>
                <w:lang w:val="en-US" w:eastAsia="zh-CN" w:bidi="ar"/>
              </w:rPr>
              <w:t>人全权代表若不是单位负责人，应提供单位授权书原件，并提供被授权代表身份证复印件。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5000" w:type="pct"/>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firstLine="3373" w:firstLineChars="14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符合性要求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34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3416" w:type="pct"/>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投标人的投标文件未按规定的投标截止时间之前提交的，其投标将被拒绝。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34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3.2投标人应遵守并符合中国的有关法律、法规和规章的规定，同时其投标货物或服务也应符合中国的有关法律、法规和规章的规定。认可本须知中的规定。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c>
          <w:tcPr>
            <w:tcW w:w="34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3.3一个投标人只能提交一个投标文件。如果投标人之间存在下列互为关联关系的情形之一的，不得同时参加本项目同一合同包投标：</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(1)法定代表人、单位负责人为同一人或夫妻关系的不同投标人；</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(2)存在直接控股、管理关系的不同投标人；</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(3)均为同一家母公司直接或间接持股50％及以上的被投资公司。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p>
        </w:tc>
        <w:tc>
          <w:tcPr>
            <w:tcW w:w="34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3.4投标人不得与本次招标项下设计、编制技术规格和其他文件的公司或提供咨询服务的公司包括其附属机构有关联关系，关联关系指：(1)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w:t>
            </w:r>
          </w:p>
        </w:tc>
        <w:tc>
          <w:tcPr>
            <w:tcW w:w="34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3.8投标人存在下列情形之一的，将被认定为串通投标行为并作无效投标处理：</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（1）投标人之间协商投标报价等投标文件的实质性内容；</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（2）投标人之间约定中标供应商；</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（3）投标人之间约定部分投标人放弃投标或者中标；</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（4）属于同一集团、协会、商会等组织成员的投标人按照该组织要求协同投标；</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（5）投标人之间为谋取中标或者排斥特定投标人而采取的其他联合行动；</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（6）不同投标人的投标文件由同一单位或者个人编制；</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（7）不同投标人委托同一单位或者个人办理投标事宜；</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（8）不同投标人的投标文件载明的项目管理成员或者联系人员为同一人；</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（9）不同投标人的投标文件异常一致或者投标报价呈规律性差异；</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（10）不同投标人的投标文件相互混装；</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（11）不同投标人的投标保证金从同一单位或者个人的账户转出。</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（12）不同投标人的投标文件错、漏之处一致或雷同，且不能合理解释的；</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（13）不同的投标人的法定代表人、委托代理人等由同一个单位缴纳社会保险的；</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（14）由同一人或分别由几个有</w:t>
            </w:r>
            <w:r>
              <w:rPr>
                <w:rFonts w:hint="eastAsia" w:ascii="宋体" w:hAnsi="宋体" w:eastAsia="宋体" w:cs="宋体"/>
                <w:color w:val="auto"/>
                <w:sz w:val="24"/>
                <w:szCs w:val="24"/>
                <w:highlight w:val="none"/>
              </w:rPr>
              <w:t>利害关系的人</w:t>
            </w:r>
            <w:r>
              <w:rPr>
                <w:rFonts w:hint="eastAsia" w:ascii="宋体" w:hAnsi="宋体" w:eastAsia="宋体" w:cs="宋体"/>
                <w:color w:val="auto"/>
                <w:sz w:val="24"/>
                <w:szCs w:val="24"/>
                <w:highlight w:val="none"/>
              </w:rPr>
              <w:t>携带两个以上（含两个）投标人的企业资料参与资格审查、领取招标资料，或代表两个以上（含两个）投标人参加招标答疑会、交纳或退还投标保证金、开标的；</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（15）有关法律、法规或规章规定的其他串通投标行为。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w:t>
            </w:r>
          </w:p>
        </w:tc>
        <w:tc>
          <w:tcPr>
            <w:tcW w:w="3416" w:type="pct"/>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8.1投标人应仔细阅读招标文件的所有内容，按照招标文件的要求提交投标文件。投标文件应对招标文件的要求作出实质性响应，并保证所提供的全部资料的真实性，否则其投标将被拒绝。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w:t>
            </w:r>
          </w:p>
        </w:tc>
        <w:tc>
          <w:tcPr>
            <w:tcW w:w="3416" w:type="pct"/>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8.2除非有另外的规定，投标人可对招标货物（服务）一览表所列的全部合同包或部分合同包进行投标。招标采购单位不接受有任何可选择性的报价，每一种货物（服务）只能有一个报价，否则其投标将被拒绝。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34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11.1投标文件从投标截止之日开始生效，在</w:t>
            </w:r>
            <w:r>
              <w:rPr>
                <w:rFonts w:hint="eastAsia" w:ascii="宋体" w:hAnsi="宋体" w:eastAsia="宋体" w:cs="宋体"/>
                <w:b/>
                <w:bCs/>
                <w:color w:val="auto"/>
                <w:sz w:val="24"/>
                <w:szCs w:val="24"/>
                <w:highlight w:val="none"/>
              </w:rPr>
              <w:t>投标人须知前附表1</w:t>
            </w:r>
            <w:r>
              <w:rPr>
                <w:rFonts w:hint="eastAsia" w:ascii="宋体" w:hAnsi="宋体" w:eastAsia="宋体" w:cs="宋体"/>
                <w:b/>
                <w:color w:val="auto"/>
                <w:sz w:val="24"/>
                <w:szCs w:val="24"/>
                <w:highlight w:val="none"/>
              </w:rPr>
              <w:t>第3项所规定的期限内保持有效。有效期不足将导致其投标文件被拒绝。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w:t>
            </w:r>
          </w:p>
        </w:tc>
        <w:tc>
          <w:tcPr>
            <w:tcW w:w="34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12.5未按要求缴交投标保证金的投标，将被视为无效投标。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13.7</w:t>
            </w:r>
          </w:p>
        </w:tc>
        <w:tc>
          <w:tcPr>
            <w:tcW w:w="34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13.7未按本须知规定的格式填写投标文件、投标文件字迹模糊不清的，其投标将被拒绝。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13.9</w:t>
            </w:r>
          </w:p>
        </w:tc>
        <w:tc>
          <w:tcPr>
            <w:tcW w:w="34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投标人应将上述文件按顺序装订成册、打印页码，并编列投标文件目录、资料清单，由于装订不规范或编排顺序混乱而导致投标文件被误读或漏读，该投标可能被视为无效投标或承担不利的评标结果。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p>
        </w:tc>
        <w:tc>
          <w:tcPr>
            <w:tcW w:w="34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firstLine="48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14.1</w:t>
            </w:r>
            <w:r>
              <w:rPr>
                <w:rFonts w:hint="eastAsia" w:ascii="宋体" w:hAnsi="宋体" w:eastAsia="宋体" w:cs="宋体"/>
                <w:b/>
                <w:color w:val="auto"/>
                <w:sz w:val="24"/>
                <w:szCs w:val="24"/>
                <w:highlight w:val="none"/>
              </w:rPr>
              <w:t>投标文件未密封将导致其投标被拒绝。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14.5</w:t>
            </w:r>
          </w:p>
        </w:tc>
        <w:tc>
          <w:tcPr>
            <w:tcW w:w="34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14.5投标文件应在投标邀请中规定的截止时间前送达，迟到的投标文件为无效投标文件, 将被拒收。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14.7</w:t>
            </w:r>
          </w:p>
        </w:tc>
        <w:tc>
          <w:tcPr>
            <w:tcW w:w="3416" w:type="pct"/>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firstLine="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14.7投标人在投标截止时间后不得修改、撤回投标文件。投标人在投标截止时间后修改投标文件的，其投标将被拒绝。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w:t>
            </w:r>
          </w:p>
        </w:tc>
        <w:tc>
          <w:tcPr>
            <w:tcW w:w="3416" w:type="pct"/>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17.投标人任何试图影响评委会对投标文件的评估、比较或者推荐候选人的行为，都将导致其投标按照无效投标处理，并被没收投标保证金。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17.2</w:t>
            </w:r>
          </w:p>
        </w:tc>
        <w:tc>
          <w:tcPr>
            <w:tcW w:w="3416" w:type="pct"/>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17.2</w:t>
            </w:r>
            <w:r>
              <w:rPr>
                <w:rFonts w:hint="eastAsia" w:ascii="宋体" w:hAnsi="宋体" w:eastAsia="宋体" w:cs="宋体"/>
                <w:b/>
                <w:color w:val="auto"/>
                <w:sz w:val="24"/>
                <w:szCs w:val="24"/>
                <w:highlight w:val="none"/>
              </w:rPr>
              <w:t>如果投标人不接受按上述方法对投标文件中的算术错误进行更正，其投标将按照无效投标处理并被没收投标保证金。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17.3.2</w:t>
            </w:r>
          </w:p>
        </w:tc>
        <w:tc>
          <w:tcPr>
            <w:tcW w:w="3416" w:type="pct"/>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17.3.2依据招标文件的规定，评标委员会还将从投标文件的有效性、完整性和对招标文件的响应程度等方面进行审查，以确定其是否符合对招标文件的实质性要求作出响应。（</w:t>
            </w:r>
            <w:r>
              <w:rPr>
                <w:rFonts w:hint="eastAsia" w:ascii="宋体" w:hAnsi="宋体" w:cs="宋体"/>
                <w:color w:val="auto"/>
                <w:sz w:val="24"/>
                <w:szCs w:val="24"/>
                <w:highlight w:val="none"/>
                <w:lang w:eastAsia="zh-CN"/>
              </w:rPr>
              <w:t>采购单位</w:t>
            </w:r>
            <w:r>
              <w:rPr>
                <w:rFonts w:hint="eastAsia" w:ascii="宋体" w:hAnsi="宋体" w:eastAsia="宋体" w:cs="宋体"/>
                <w:color w:val="auto"/>
                <w:sz w:val="24"/>
                <w:szCs w:val="24"/>
                <w:highlight w:val="none"/>
              </w:rPr>
              <w:t>可根据具体项目的情况对实质性要求作特别的规定。）实质性偏离是指：（1）实质性影响合同的范围、质量和履行；（2）实质性违背招标文件，限制了</w:t>
            </w:r>
            <w:r>
              <w:rPr>
                <w:rFonts w:hint="eastAsia" w:ascii="宋体" w:hAnsi="宋体" w:cs="宋体"/>
                <w:color w:val="auto"/>
                <w:sz w:val="24"/>
                <w:szCs w:val="24"/>
                <w:highlight w:val="none"/>
              </w:rPr>
              <w:t>采购单位（或使用单位）</w:t>
            </w:r>
            <w:r>
              <w:rPr>
                <w:rFonts w:hint="eastAsia" w:ascii="宋体" w:hAnsi="宋体" w:eastAsia="宋体" w:cs="宋体"/>
                <w:color w:val="auto"/>
                <w:sz w:val="24"/>
                <w:szCs w:val="24"/>
                <w:highlight w:val="none"/>
              </w:rPr>
              <w:t>的权利和中标供应商合同项下的义务；（3）不公正地影响了其它作出实质性响应的投标人的竞争地位。对没有实质性响应的投标文件将不进行评估，其投标将按照无效投标处理。凡有下列情况之一者，投标文件也将被视为未实质性响应招标文件要求：</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未按规定提交投标保证金的；</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(2)投标有效期不满足招标文件要求的；</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(3)投标内容与招标内容及要求有重大偏离或保留的；</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(4)投标人提交的是可选择的报价；</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(5)投标人未按招标文件要求对投标进行分项报价；</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(6)投标文件中提供虚假或失实资料的；</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(7)不符合招标文件中规定的其它实质性条款。 </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评标委员会决定投标的响应性只根据投标文件本身的内容，而不寻求其他的外部证据。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17.3.3</w:t>
            </w:r>
          </w:p>
        </w:tc>
        <w:tc>
          <w:tcPr>
            <w:tcW w:w="3416" w:type="pct"/>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17.3.3投标产品必须满足中华人民共和国相关法律法规及行业的强制性要求，否则该投标人的投标将按照无效投标处理。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40" w:hRule="atLeast"/>
        </w:trPr>
        <w:tc>
          <w:tcPr>
            <w:tcW w:w="374" w:type="pct"/>
            <w:tcBorders>
              <w:top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396" w:type="pct"/>
            <w:tcBorders>
              <w:top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tcBorders>
              <w:top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17.3.4</w:t>
            </w:r>
          </w:p>
        </w:tc>
        <w:tc>
          <w:tcPr>
            <w:tcW w:w="3416" w:type="pct"/>
            <w:tcBorders>
              <w:top w:val="single" w:color="auto" w:sz="4" w:space="0"/>
            </w:tcBorders>
            <w:noWrap w:val="0"/>
            <w:vAlign w:val="center"/>
          </w:tcPr>
          <w:p>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17.3.4</w:t>
            </w:r>
            <w:r>
              <w:rPr>
                <w:rFonts w:hint="eastAsia" w:ascii="宋体" w:hAnsi="宋体" w:cs="宋体"/>
                <w:b/>
                <w:color w:val="auto"/>
                <w:sz w:val="24"/>
                <w:szCs w:val="24"/>
                <w:highlight w:val="none"/>
              </w:rPr>
              <w:t>采购单位（或使用单位）</w:t>
            </w:r>
            <w:r>
              <w:rPr>
                <w:rFonts w:hint="eastAsia" w:ascii="宋体" w:hAnsi="宋体" w:eastAsia="宋体" w:cs="宋体"/>
                <w:b/>
                <w:color w:val="auto"/>
                <w:sz w:val="24"/>
                <w:szCs w:val="24"/>
                <w:highlight w:val="none"/>
              </w:rPr>
              <w:t>、招标代理机构有下列情形之一的，将被认定为</w:t>
            </w:r>
            <w:r>
              <w:rPr>
                <w:rFonts w:hint="eastAsia" w:ascii="宋体" w:hAnsi="宋体" w:cs="宋体"/>
                <w:b/>
                <w:color w:val="auto"/>
                <w:sz w:val="24"/>
                <w:szCs w:val="24"/>
                <w:highlight w:val="none"/>
              </w:rPr>
              <w:t>采购单位（或使用单位）</w:t>
            </w:r>
            <w:r>
              <w:rPr>
                <w:rFonts w:hint="eastAsia" w:ascii="宋体" w:hAnsi="宋体" w:eastAsia="宋体" w:cs="宋体"/>
                <w:b/>
                <w:color w:val="auto"/>
                <w:sz w:val="24"/>
                <w:szCs w:val="24"/>
                <w:highlight w:val="none"/>
              </w:rPr>
              <w:t>、招标代理机构与投标人有串通投标行为，该投标人投标作无效投标处理：</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（1）在开标前开启投标文件并将有关信息泄露给其他投标人;</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（2）评审结果公告前，直接或者间接向投标人泄露评标委员会成员等信息；</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（3）明示或者暗示投标人压低或者抬高投标报价；</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（4）授意投标人撤换、修改投标文件（按18条进行的澄清除外）；</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（5）明示或者暗示投标人为特定投标人中标提供方便；</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（6）为谋求特定投标人中标而采取的其他串通行为。</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74"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17.3.5</w:t>
            </w:r>
          </w:p>
        </w:tc>
        <w:tc>
          <w:tcPr>
            <w:tcW w:w="3416" w:type="pct"/>
            <w:noWrap w:val="0"/>
            <w:vAlign w:val="center"/>
          </w:tcPr>
          <w:p>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17.3.5出现17.3.4情形之一的，作无效投标处理的</w:t>
            </w:r>
            <w:r>
              <w:rPr>
                <w:rFonts w:hint="eastAsia" w:ascii="宋体" w:hAnsi="宋体" w:eastAsia="宋体" w:cs="宋体"/>
                <w:b/>
                <w:color w:val="auto"/>
                <w:sz w:val="24"/>
                <w:szCs w:val="24"/>
                <w:highlight w:val="none"/>
              </w:rPr>
              <w:t>投标人的投标保证金将予以没收，招标代理机构有权上报财政部门取消其采购供应商资格、并按有关规定予以处罚。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74"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19.3</w:t>
            </w:r>
          </w:p>
        </w:tc>
        <w:tc>
          <w:tcPr>
            <w:tcW w:w="3416" w:type="pct"/>
            <w:noWrap w:val="0"/>
            <w:vAlign w:val="center"/>
          </w:tcPr>
          <w:p>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74"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22</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二</w:t>
            </w: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22</w:t>
            </w:r>
          </w:p>
        </w:tc>
        <w:tc>
          <w:tcPr>
            <w:tcW w:w="3416" w:type="pct"/>
            <w:noWrap w:val="0"/>
            <w:vAlign w:val="center"/>
          </w:tcPr>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rPr>
              <w:t>投标人一旦中标，应在规定时间内凭中标通知书原件按第四章合同文本要求签订合同，并且凭中标供应商开具的本单位一般纳税人增值税专用发票（13%税点）向厦门万翔网络商务有限公司申请支付相应货款。</w:t>
            </w:r>
            <w:r>
              <w:rPr>
                <w:rFonts w:hint="eastAsia" w:ascii="宋体" w:hAnsi="宋体" w:cs="宋体"/>
                <w:color w:val="auto"/>
                <w:sz w:val="24"/>
                <w:szCs w:val="24"/>
                <w:highlight w:val="none"/>
              </w:rPr>
              <w:t>中标供应商为中小企业的，如需支付履约保证金的，支付比例为中标金额的5%。</w:t>
            </w:r>
            <w:r>
              <w:rPr>
                <w:rFonts w:hint="eastAsia" w:ascii="宋体" w:hAnsi="宋体" w:cs="宋体"/>
                <w:bCs/>
                <w:color w:val="auto"/>
                <w:sz w:val="24"/>
                <w:szCs w:val="24"/>
                <w:highlight w:val="none"/>
              </w:rPr>
              <w:t>否则作无效投标处理。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74" w:type="pct"/>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23</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16"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投标人如果为联合体投标，则必须同时满足下列要求，否则</w:t>
            </w:r>
            <w:r>
              <w:rPr>
                <w:rFonts w:hint="eastAsia" w:ascii="宋体" w:hAnsi="宋体" w:eastAsia="宋体" w:cs="宋体"/>
                <w:color w:val="auto"/>
                <w:sz w:val="24"/>
                <w:szCs w:val="24"/>
                <w:highlight w:val="none"/>
              </w:rPr>
              <w:t>该投标人的投标将按照无效投标处理</w:t>
            </w:r>
            <w:r>
              <w:rPr>
                <w:rFonts w:hint="eastAsia" w:ascii="宋体" w:hAnsi="宋体" w:eastAsia="宋体" w:cs="宋体"/>
                <w:bCs/>
                <w:color w:val="auto"/>
                <w:sz w:val="24"/>
                <w:szCs w:val="24"/>
                <w:highlight w:val="none"/>
              </w:rPr>
              <w:t>：</w:t>
            </w:r>
          </w:p>
          <w:p>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①在开标一览表中注明是否联合体投标、联合体组成单位；</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②在投标文件中提供各方盖章签署的共同投标协议原件。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74" w:type="pct"/>
            <w:noWrap w:val="0"/>
            <w:vAlign w:val="center"/>
          </w:tcPr>
          <w:p>
            <w:pPr>
              <w:pStyle w:val="2"/>
              <w:keepNext w:val="0"/>
              <w:keepLines w:val="0"/>
              <w:suppressLineNumbers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24</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16" w:type="pct"/>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投标文件中不得附有</w:t>
            </w:r>
            <w:r>
              <w:rPr>
                <w:rFonts w:hint="eastAsia" w:ascii="宋体" w:hAnsi="宋体" w:cs="宋体"/>
                <w:bCs/>
                <w:color w:val="auto"/>
                <w:sz w:val="24"/>
                <w:szCs w:val="24"/>
                <w:highlight w:val="none"/>
              </w:rPr>
              <w:t>采购单位</w:t>
            </w:r>
            <w:r>
              <w:rPr>
                <w:rFonts w:hint="eastAsia" w:ascii="宋体" w:hAnsi="宋体" w:cs="宋体"/>
                <w:color w:val="auto"/>
                <w:sz w:val="24"/>
                <w:szCs w:val="24"/>
                <w:highlight w:val="none"/>
              </w:rPr>
              <w:t>（或使用单位）</w:t>
            </w:r>
            <w:r>
              <w:rPr>
                <w:rFonts w:hint="eastAsia" w:ascii="宋体" w:hAnsi="宋体" w:eastAsia="宋体" w:cs="宋体"/>
                <w:bCs/>
                <w:color w:val="auto"/>
                <w:sz w:val="24"/>
                <w:szCs w:val="24"/>
                <w:highlight w:val="none"/>
              </w:rPr>
              <w:t>不能接受的条款，</w:t>
            </w:r>
            <w:r>
              <w:rPr>
                <w:rFonts w:hint="eastAsia" w:ascii="宋体" w:hAnsi="宋体" w:eastAsia="宋体" w:cs="宋体"/>
                <w:color w:val="auto"/>
                <w:sz w:val="24"/>
                <w:szCs w:val="24"/>
                <w:highlight w:val="none"/>
              </w:rPr>
              <w:t>否则该投标人的投标将按照无效投标处理。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74" w:type="pct"/>
            <w:noWrap w:val="0"/>
            <w:vAlign w:val="center"/>
          </w:tcPr>
          <w:p>
            <w:pPr>
              <w:pStyle w:val="2"/>
              <w:keepNext w:val="0"/>
              <w:keepLines w:val="0"/>
              <w:suppressLineNumbers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25</w:t>
            </w:r>
          </w:p>
        </w:tc>
        <w:tc>
          <w:tcPr>
            <w:tcW w:w="396" w:type="pct"/>
            <w:noWrap w:val="0"/>
            <w:vAlign w:val="center"/>
          </w:tcPr>
          <w:p>
            <w:pPr>
              <w:pStyle w:val="2"/>
              <w:keepNext w:val="0"/>
              <w:keepLines w:val="0"/>
              <w:suppressLineNumbers w:val="0"/>
              <w:snapToGrid w:val="0"/>
              <w:spacing w:before="0" w:beforeAutospacing="0" w:after="0" w:afterAutospacing="0" w:line="360" w:lineRule="auto"/>
              <w:ind w:left="0" w:right="0" w:firstLine="0"/>
              <w:jc w:val="center"/>
              <w:rPr>
                <w:rFonts w:hint="eastAsia" w:ascii="宋体" w:hAnsi="宋体" w:eastAsia="宋体" w:cs="宋体"/>
                <w:color w:val="auto"/>
                <w:sz w:val="24"/>
                <w:szCs w:val="24"/>
                <w:highlight w:val="none"/>
              </w:rPr>
            </w:pPr>
          </w:p>
        </w:tc>
        <w:tc>
          <w:tcPr>
            <w:tcW w:w="812" w:type="pct"/>
            <w:noWrap w:val="0"/>
            <w:vAlign w:val="center"/>
          </w:tcPr>
          <w:p>
            <w:pPr>
              <w:pStyle w:val="2"/>
              <w:keepNext w:val="0"/>
              <w:keepLines w:val="0"/>
              <w:suppressLineNumbers w:val="0"/>
              <w:snapToGrid w:val="0"/>
              <w:spacing w:before="0" w:beforeAutospacing="0" w:after="0" w:afterAutospacing="0" w:line="360" w:lineRule="auto"/>
              <w:ind w:left="0" w:right="0" w:firstLine="0"/>
              <w:jc w:val="center"/>
              <w:rPr>
                <w:rFonts w:hint="eastAsia" w:ascii="宋体" w:hAnsi="宋体" w:eastAsia="宋体" w:cs="宋体"/>
                <w:b/>
                <w:color w:val="auto"/>
                <w:sz w:val="24"/>
                <w:szCs w:val="24"/>
                <w:highlight w:val="none"/>
              </w:rPr>
            </w:pPr>
          </w:p>
        </w:tc>
        <w:tc>
          <w:tcPr>
            <w:tcW w:w="3416" w:type="pct"/>
            <w:noWrap w:val="0"/>
            <w:vAlign w:val="center"/>
          </w:tcPr>
          <w:p>
            <w:pPr>
              <w:pStyle w:val="2"/>
              <w:keepNext w:val="0"/>
              <w:keepLines w:val="0"/>
              <w:suppressLineNumbers w:val="0"/>
              <w:snapToGrid w:val="0"/>
              <w:spacing w:before="0" w:beforeAutospacing="0" w:after="0" w:afterAutospacing="0" w:line="360" w:lineRule="auto"/>
              <w:ind w:left="0" w:right="0" w:firstLine="0"/>
              <w:jc w:val="left"/>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本项目以合同包为单位，对于每个合同包，投标人必须完整地提供合同包要求的所有货物和服务，否则</w:t>
            </w:r>
            <w:r>
              <w:rPr>
                <w:rFonts w:hint="eastAsia" w:ascii="宋体" w:hAnsi="宋体" w:eastAsia="宋体" w:cs="宋体"/>
                <w:color w:val="auto"/>
                <w:sz w:val="24"/>
                <w:szCs w:val="24"/>
                <w:highlight w:val="none"/>
              </w:rPr>
              <w:t>该投标人针对该合同包的投标将按照无效投标处理</w:t>
            </w:r>
            <w:r>
              <w:rPr>
                <w:rFonts w:hint="eastAsia" w:ascii="宋体" w:hAnsi="宋体" w:eastAsia="宋体" w:cs="宋体"/>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74" w:type="pct"/>
            <w:noWrap w:val="0"/>
            <w:vAlign w:val="center"/>
          </w:tcPr>
          <w:p>
            <w:pPr>
              <w:pStyle w:val="2"/>
              <w:keepNext w:val="0"/>
              <w:keepLines w:val="0"/>
              <w:suppressLineNumbers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26</w:t>
            </w:r>
          </w:p>
        </w:tc>
        <w:tc>
          <w:tcPr>
            <w:tcW w:w="396" w:type="pct"/>
            <w:noWrap w:val="0"/>
            <w:vAlign w:val="center"/>
          </w:tcPr>
          <w:p>
            <w:pPr>
              <w:pStyle w:val="2"/>
              <w:keepNext w:val="0"/>
              <w:keepLines w:val="0"/>
              <w:suppressLineNumbers w:val="0"/>
              <w:snapToGrid w:val="0"/>
              <w:spacing w:before="0" w:beforeAutospacing="0" w:after="0" w:afterAutospacing="0" w:line="360" w:lineRule="auto"/>
              <w:ind w:left="0" w:right="0" w:firstLine="0"/>
              <w:jc w:val="center"/>
              <w:rPr>
                <w:rFonts w:hint="eastAsia" w:ascii="宋体" w:hAnsi="宋体" w:eastAsia="宋体" w:cs="宋体"/>
                <w:b/>
                <w:color w:val="auto"/>
                <w:sz w:val="24"/>
                <w:szCs w:val="24"/>
                <w:highlight w:val="none"/>
              </w:rPr>
            </w:pPr>
          </w:p>
        </w:tc>
        <w:tc>
          <w:tcPr>
            <w:tcW w:w="812" w:type="pct"/>
            <w:noWrap w:val="0"/>
            <w:vAlign w:val="center"/>
          </w:tcPr>
          <w:p>
            <w:pPr>
              <w:pStyle w:val="2"/>
              <w:keepNext w:val="0"/>
              <w:keepLines w:val="0"/>
              <w:suppressLineNumbers w:val="0"/>
              <w:snapToGrid w:val="0"/>
              <w:spacing w:before="0" w:beforeAutospacing="0" w:after="0" w:afterAutospacing="0" w:line="360" w:lineRule="auto"/>
              <w:ind w:left="0" w:right="0" w:firstLine="0"/>
              <w:jc w:val="center"/>
              <w:rPr>
                <w:rFonts w:hint="eastAsia" w:ascii="宋体" w:hAnsi="宋体" w:eastAsia="宋体" w:cs="宋体"/>
                <w:b/>
                <w:color w:val="auto"/>
                <w:sz w:val="24"/>
                <w:szCs w:val="24"/>
                <w:highlight w:val="none"/>
              </w:rPr>
            </w:pPr>
          </w:p>
        </w:tc>
        <w:tc>
          <w:tcPr>
            <w:tcW w:w="3416"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投标人应对其在投标文件中声明的关于中小企业事项的真实性负责，存在以下情形之一的，经评标委员会查实，应认定存在虚假的：</w:t>
            </w:r>
          </w:p>
          <w:p>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（1）投标人（包括联合体任一方）不符合“工信部联企业[2011]300号”规定的中小企业标准的；</w:t>
            </w:r>
          </w:p>
          <w:p>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（2）投标货物全部或部分为使用大型企业注册商标的货物的；</w:t>
            </w:r>
          </w:p>
          <w:p>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（3）投标文件中标明的小型或微型企业产品的制造商不符合“工信部联企业[2011]300号”规定的小型和微型企业标准的。</w:t>
            </w:r>
          </w:p>
          <w:p>
            <w:pPr>
              <w:pStyle w:val="2"/>
              <w:keepNext w:val="0"/>
              <w:keepLines w:val="0"/>
              <w:suppressLineNumbers w:val="0"/>
              <w:snapToGrid w:val="0"/>
              <w:spacing w:before="0" w:beforeAutospacing="0" w:after="0" w:afterAutospacing="0" w:line="360" w:lineRule="auto"/>
              <w:ind w:left="0" w:right="0" w:firstLine="0"/>
              <w:jc w:val="left"/>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在评审过程中发现上述虚假情形的，该投标人的投标作无效投标处理。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74" w:type="pct"/>
            <w:noWrap w:val="0"/>
            <w:vAlign w:val="center"/>
          </w:tcPr>
          <w:p>
            <w:pPr>
              <w:pStyle w:val="2"/>
              <w:keepNext w:val="0"/>
              <w:keepLines w:val="0"/>
              <w:suppressLineNumbers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27</w:t>
            </w:r>
          </w:p>
        </w:tc>
        <w:tc>
          <w:tcPr>
            <w:tcW w:w="396" w:type="pct"/>
            <w:noWrap w:val="0"/>
            <w:vAlign w:val="center"/>
          </w:tcPr>
          <w:p>
            <w:pPr>
              <w:pStyle w:val="2"/>
              <w:keepNext w:val="0"/>
              <w:keepLines w:val="0"/>
              <w:suppressLineNumbers w:val="0"/>
              <w:snapToGrid w:val="0"/>
              <w:spacing w:before="0" w:beforeAutospacing="0" w:after="0" w:afterAutospacing="0" w:line="360" w:lineRule="auto"/>
              <w:ind w:left="0" w:right="0" w:firstLine="0"/>
              <w:jc w:val="center"/>
              <w:rPr>
                <w:rFonts w:hint="eastAsia" w:ascii="宋体" w:hAnsi="宋体" w:eastAsia="宋体" w:cs="宋体"/>
                <w:b/>
                <w:color w:val="auto"/>
                <w:sz w:val="24"/>
                <w:szCs w:val="24"/>
                <w:highlight w:val="none"/>
              </w:rPr>
            </w:pPr>
          </w:p>
        </w:tc>
        <w:tc>
          <w:tcPr>
            <w:tcW w:w="812" w:type="pct"/>
            <w:noWrap w:val="0"/>
            <w:vAlign w:val="center"/>
          </w:tcPr>
          <w:p>
            <w:pPr>
              <w:pStyle w:val="2"/>
              <w:keepNext w:val="0"/>
              <w:keepLines w:val="0"/>
              <w:suppressLineNumbers w:val="0"/>
              <w:snapToGrid w:val="0"/>
              <w:spacing w:before="0" w:beforeAutospacing="0" w:after="0" w:afterAutospacing="0" w:line="360" w:lineRule="auto"/>
              <w:ind w:left="0" w:right="0" w:firstLine="0"/>
              <w:jc w:val="center"/>
              <w:rPr>
                <w:rFonts w:hint="eastAsia" w:ascii="宋体" w:hAnsi="宋体" w:eastAsia="宋体" w:cs="宋体"/>
                <w:b/>
                <w:color w:val="auto"/>
                <w:sz w:val="24"/>
                <w:szCs w:val="24"/>
                <w:highlight w:val="none"/>
              </w:rPr>
            </w:pPr>
          </w:p>
        </w:tc>
        <w:tc>
          <w:tcPr>
            <w:tcW w:w="3416" w:type="pct"/>
            <w:noWrap w:val="0"/>
            <w:vAlign w:val="center"/>
          </w:tcPr>
          <w:p>
            <w:pPr>
              <w:pStyle w:val="2"/>
              <w:keepNext w:val="0"/>
              <w:keepLines w:val="0"/>
              <w:suppressLineNumbers w:val="0"/>
              <w:snapToGrid w:val="0"/>
              <w:spacing w:before="0" w:beforeAutospacing="0" w:after="0" w:afterAutospacing="0" w:line="360" w:lineRule="auto"/>
              <w:ind w:left="0" w:right="0" w:firstLine="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减半交纳投标保证金的投标人未按照招标文件格式要求在投标文件中提供《中小企业声明函》的，其投标作无效投标处理。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74" w:type="pct"/>
            <w:tcBorders>
              <w:bottom w:val="single" w:color="auto" w:sz="4" w:space="0"/>
            </w:tcBorders>
            <w:noWrap w:val="0"/>
            <w:vAlign w:val="center"/>
          </w:tcPr>
          <w:p>
            <w:pPr>
              <w:pStyle w:val="2"/>
              <w:keepNext w:val="0"/>
              <w:keepLines w:val="0"/>
              <w:suppressLineNumbers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28</w:t>
            </w:r>
          </w:p>
        </w:tc>
        <w:tc>
          <w:tcPr>
            <w:tcW w:w="396" w:type="pct"/>
            <w:tcBorders>
              <w:bottom w:val="single" w:color="auto" w:sz="4" w:space="0"/>
            </w:tcBorders>
            <w:noWrap w:val="0"/>
            <w:vAlign w:val="center"/>
          </w:tcPr>
          <w:p>
            <w:pPr>
              <w:pStyle w:val="2"/>
              <w:keepNext w:val="0"/>
              <w:keepLines w:val="0"/>
              <w:suppressLineNumbers w:val="0"/>
              <w:snapToGrid w:val="0"/>
              <w:spacing w:before="0" w:beforeAutospacing="0" w:after="0" w:afterAutospacing="0" w:line="360" w:lineRule="auto"/>
              <w:ind w:left="0" w:right="0" w:firstLine="0"/>
              <w:jc w:val="center"/>
              <w:rPr>
                <w:rFonts w:hint="eastAsia" w:ascii="宋体" w:hAnsi="宋体" w:eastAsia="宋体" w:cs="宋体"/>
                <w:b/>
                <w:color w:val="auto"/>
                <w:sz w:val="24"/>
                <w:szCs w:val="24"/>
                <w:highlight w:val="none"/>
              </w:rPr>
            </w:pPr>
          </w:p>
        </w:tc>
        <w:tc>
          <w:tcPr>
            <w:tcW w:w="812" w:type="pct"/>
            <w:tcBorders>
              <w:bottom w:val="single" w:color="auto" w:sz="4" w:space="0"/>
            </w:tcBorders>
            <w:noWrap w:val="0"/>
            <w:vAlign w:val="center"/>
          </w:tcPr>
          <w:p>
            <w:pPr>
              <w:pStyle w:val="2"/>
              <w:keepNext w:val="0"/>
              <w:keepLines w:val="0"/>
              <w:suppressLineNumbers w:val="0"/>
              <w:snapToGrid w:val="0"/>
              <w:spacing w:before="0" w:beforeAutospacing="0" w:after="0" w:afterAutospacing="0" w:line="360" w:lineRule="auto"/>
              <w:ind w:left="0" w:right="0" w:firstLine="0"/>
              <w:jc w:val="center"/>
              <w:rPr>
                <w:rFonts w:hint="eastAsia" w:ascii="宋体" w:hAnsi="宋体" w:eastAsia="宋体" w:cs="宋体"/>
                <w:b/>
                <w:color w:val="auto"/>
                <w:sz w:val="24"/>
                <w:szCs w:val="24"/>
                <w:highlight w:val="none"/>
              </w:rPr>
            </w:pPr>
          </w:p>
        </w:tc>
        <w:tc>
          <w:tcPr>
            <w:tcW w:w="3416" w:type="pct"/>
            <w:tcBorders>
              <w:bottom w:val="single" w:color="auto" w:sz="4" w:space="0"/>
            </w:tcBorders>
            <w:noWrap w:val="0"/>
            <w:vAlign w:val="center"/>
          </w:tcPr>
          <w:p>
            <w:pPr>
              <w:pStyle w:val="2"/>
              <w:keepNext w:val="0"/>
              <w:keepLines w:val="0"/>
              <w:suppressLineNumbers w:val="0"/>
              <w:snapToGrid w:val="0"/>
              <w:spacing w:before="0" w:beforeAutospacing="0" w:after="0" w:afterAutospacing="0" w:line="360" w:lineRule="auto"/>
              <w:ind w:left="0" w:right="0" w:firstLine="0"/>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投标人应按照招标文件格式要求在投标文件中提供《廉洁承诺书》原件（投标人为联合体的，联合体各方均应提供《廉洁承诺书》原件），否则作无效投标处理。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74" w:type="pct"/>
            <w:tcBorders>
              <w:bottom w:val="single" w:color="auto" w:sz="4" w:space="0"/>
            </w:tcBorders>
            <w:noWrap w:val="0"/>
            <w:vAlign w:val="center"/>
          </w:tcPr>
          <w:p>
            <w:pPr>
              <w:pStyle w:val="2"/>
              <w:keepNext w:val="0"/>
              <w:keepLines w:val="0"/>
              <w:suppressLineNumbers w:val="0"/>
              <w:snapToGrid w:val="0"/>
              <w:spacing w:before="0" w:beforeAutospacing="0" w:after="0" w:afterAutospacing="0" w:line="360" w:lineRule="auto"/>
              <w:ind w:left="0" w:right="0" w:firstLine="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29</w:t>
            </w:r>
          </w:p>
        </w:tc>
        <w:tc>
          <w:tcPr>
            <w:tcW w:w="396" w:type="pct"/>
            <w:tcBorders>
              <w:bottom w:val="single" w:color="auto" w:sz="4" w:space="0"/>
            </w:tcBorders>
            <w:noWrap w:val="0"/>
            <w:vAlign w:val="center"/>
          </w:tcPr>
          <w:p>
            <w:pPr>
              <w:pStyle w:val="2"/>
              <w:keepNext w:val="0"/>
              <w:keepLines w:val="0"/>
              <w:suppressLineNumbers w:val="0"/>
              <w:snapToGrid w:val="0"/>
              <w:spacing w:before="0" w:beforeAutospacing="0" w:after="0" w:afterAutospacing="0" w:line="360" w:lineRule="auto"/>
              <w:ind w:left="0" w:right="0" w:firstLine="0"/>
              <w:jc w:val="center"/>
              <w:rPr>
                <w:rFonts w:hint="eastAsia" w:ascii="宋体" w:hAnsi="宋体" w:eastAsia="宋体" w:cs="宋体"/>
                <w:b/>
                <w:color w:val="auto"/>
                <w:sz w:val="24"/>
                <w:szCs w:val="24"/>
                <w:highlight w:val="none"/>
              </w:rPr>
            </w:pPr>
          </w:p>
        </w:tc>
        <w:tc>
          <w:tcPr>
            <w:tcW w:w="812" w:type="pct"/>
            <w:tcBorders>
              <w:bottom w:val="single" w:color="auto" w:sz="4" w:space="0"/>
            </w:tcBorders>
            <w:noWrap w:val="0"/>
            <w:vAlign w:val="center"/>
          </w:tcPr>
          <w:p>
            <w:pPr>
              <w:pStyle w:val="2"/>
              <w:keepNext w:val="0"/>
              <w:keepLines w:val="0"/>
              <w:suppressLineNumbers w:val="0"/>
              <w:snapToGrid w:val="0"/>
              <w:spacing w:before="0" w:beforeAutospacing="0" w:after="0" w:afterAutospacing="0" w:line="360" w:lineRule="auto"/>
              <w:ind w:left="0" w:right="0" w:firstLine="0"/>
              <w:jc w:val="center"/>
              <w:rPr>
                <w:rFonts w:hint="eastAsia" w:ascii="宋体" w:hAnsi="宋体" w:eastAsia="宋体" w:cs="宋体"/>
                <w:b/>
                <w:color w:val="auto"/>
                <w:sz w:val="24"/>
                <w:szCs w:val="24"/>
                <w:highlight w:val="none"/>
              </w:rPr>
            </w:pPr>
          </w:p>
        </w:tc>
        <w:tc>
          <w:tcPr>
            <w:tcW w:w="3416" w:type="pct"/>
            <w:tcBorders>
              <w:bottom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其他不满足招标文件要求经评标委员会认定须作无效投标处理的。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74" w:type="pct"/>
            <w:tcBorders>
              <w:bottom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p>
        </w:tc>
        <w:tc>
          <w:tcPr>
            <w:tcW w:w="396" w:type="pct"/>
            <w:tcBorders>
              <w:bottom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tcBorders>
              <w:bottom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16" w:type="pct"/>
            <w:tcBorders>
              <w:bottom w:val="single" w:color="auto" w:sz="4" w:space="0"/>
            </w:tcBorders>
            <w:noWrap w:val="0"/>
            <w:vAlign w:val="center"/>
          </w:tcPr>
          <w:p>
            <w:pPr>
              <w:pStyle w:val="39"/>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hAnsi="宋体" w:eastAsia="宋体" w:cs="宋体"/>
                <w:color w:val="auto"/>
                <w:highlight w:val="none"/>
                <w:lang w:val="en-US" w:eastAsia="zh-CN"/>
              </w:rPr>
            </w:pPr>
            <w:r>
              <w:rPr>
                <w:rFonts w:hint="eastAsia" w:hAnsi="宋体" w:eastAsia="宋体" w:cs="宋体"/>
                <w:color w:val="auto"/>
                <w:highlight w:val="none"/>
                <w:lang w:val="en-US" w:eastAsia="zh-CN"/>
              </w:rPr>
              <w:t>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123号）规定的包装要求，其他包装需求详见招标文件具体规定。采购单位、中标供应商双方签订合同及验收环节，应包含上述包装要求的条款。</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74" w:type="pct"/>
            <w:tcBorders>
              <w:bottom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31</w:t>
            </w:r>
          </w:p>
        </w:tc>
        <w:tc>
          <w:tcPr>
            <w:tcW w:w="396" w:type="pct"/>
            <w:tcBorders>
              <w:bottom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tcBorders>
              <w:bottom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一</w:t>
            </w:r>
          </w:p>
        </w:tc>
        <w:tc>
          <w:tcPr>
            <w:tcW w:w="3416" w:type="pct"/>
            <w:tcBorders>
              <w:bottom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rPr>
            </w:pPr>
            <w:r>
              <w:rPr>
                <w:rFonts w:hint="default" w:ascii="宋体" w:hAnsi="宋体" w:eastAsia="宋体" w:cs="宋体"/>
                <w:i w:val="0"/>
                <w:iCs w:val="0"/>
                <w:color w:val="auto"/>
                <w:kern w:val="0"/>
                <w:sz w:val="21"/>
                <w:szCs w:val="21"/>
                <w:highlight w:val="none"/>
                <w:lang w:eastAsia="zh-CN" w:bidi="ar"/>
              </w:rPr>
              <w:t xml:space="preserve">1-1 </w:t>
            </w:r>
            <w:r>
              <w:rPr>
                <w:rFonts w:hint="eastAsia" w:ascii="宋体" w:hAnsi="宋体" w:eastAsia="宋体" w:cs="宋体"/>
                <w:i w:val="0"/>
                <w:iCs w:val="0"/>
                <w:color w:val="auto"/>
                <w:kern w:val="0"/>
                <w:sz w:val="21"/>
                <w:szCs w:val="21"/>
                <w:highlight w:val="none"/>
                <w:lang w:val="en-US" w:eastAsia="zh-CN" w:bidi="ar"/>
              </w:rPr>
              <w:t>A4幅面黑白单打印激光打印机</w:t>
            </w:r>
            <w:r>
              <w:rPr>
                <w:rFonts w:hint="default" w:ascii="宋体" w:hAnsi="宋体" w:eastAsia="宋体" w:cs="宋体"/>
                <w:i w:val="0"/>
                <w:iCs w:val="0"/>
                <w:color w:val="auto"/>
                <w:kern w:val="0"/>
                <w:sz w:val="21"/>
                <w:szCs w:val="21"/>
                <w:highlight w:val="none"/>
                <w:lang w:eastAsia="zh-CN" w:bidi="ar"/>
              </w:rPr>
              <w:t>：</w:t>
            </w:r>
            <w:r>
              <w:rPr>
                <w:rStyle w:val="48"/>
                <w:rFonts w:hint="eastAsia" w:ascii="宋体" w:hAnsi="宋体" w:eastAsia="宋体" w:cs="宋体"/>
                <w:b/>
                <w:bCs/>
                <w:color w:val="auto"/>
                <w:kern w:val="2"/>
                <w:sz w:val="21"/>
                <w:szCs w:val="21"/>
                <w:highlight w:val="none"/>
                <w:lang w:val="en-US" w:eastAsia="zh-CN" w:bidi="ar"/>
              </w:rPr>
              <w:t>*</w:t>
            </w:r>
            <w:r>
              <w:rPr>
                <w:rFonts w:hint="eastAsia" w:ascii="宋体" w:hAnsi="宋体" w:eastAsia="宋体" w:cs="宋体"/>
                <w:b/>
                <w:bCs/>
                <w:color w:val="auto"/>
                <w:kern w:val="2"/>
                <w:sz w:val="21"/>
                <w:szCs w:val="21"/>
                <w:highlight w:val="none"/>
                <w:lang w:val="en-US" w:eastAsia="zh-CN" w:bidi="ar"/>
              </w:rPr>
              <w:t>打印速度(黑白,标准,A4)≥18ppm,典型能源消耗（kW·h）≤1.7，</w:t>
            </w:r>
            <w:r>
              <w:rPr>
                <w:rStyle w:val="48"/>
                <w:rFonts w:hint="eastAsia" w:ascii="宋体" w:hAnsi="宋体" w:eastAsia="宋体" w:cs="宋体"/>
                <w:b/>
                <w:bCs/>
                <w:color w:val="auto"/>
                <w:kern w:val="2"/>
                <w:sz w:val="21"/>
                <w:szCs w:val="21"/>
                <w:highlight w:val="none"/>
                <w:lang w:val="en-US" w:eastAsia="zh-CN" w:bidi="ar"/>
              </w:rPr>
              <w:t>适配符合安全可靠测评要求的计算机平台及符合安全可靠测评要求的操作系统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74" w:type="pct"/>
            <w:tcBorders>
              <w:bottom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32</w:t>
            </w:r>
          </w:p>
        </w:tc>
        <w:tc>
          <w:tcPr>
            <w:tcW w:w="396" w:type="pct"/>
            <w:tcBorders>
              <w:bottom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tcBorders>
              <w:bottom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16" w:type="pct"/>
            <w:tcBorders>
              <w:bottom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rPr>
            </w:pPr>
            <w:r>
              <w:rPr>
                <w:rFonts w:hint="default" w:ascii="宋体" w:hAnsi="宋体" w:eastAsia="宋体" w:cs="宋体"/>
                <w:i w:val="0"/>
                <w:iCs w:val="0"/>
                <w:color w:val="auto"/>
                <w:kern w:val="0"/>
                <w:sz w:val="21"/>
                <w:szCs w:val="21"/>
                <w:highlight w:val="none"/>
                <w:lang w:eastAsia="zh-CN" w:bidi="ar"/>
              </w:rPr>
              <w:t xml:space="preserve">1-2 </w:t>
            </w:r>
            <w:r>
              <w:rPr>
                <w:rFonts w:hint="eastAsia" w:ascii="宋体" w:hAnsi="宋体" w:eastAsia="宋体" w:cs="宋体"/>
                <w:i w:val="0"/>
                <w:iCs w:val="0"/>
                <w:color w:val="auto"/>
                <w:kern w:val="0"/>
                <w:sz w:val="21"/>
                <w:szCs w:val="21"/>
                <w:highlight w:val="none"/>
                <w:lang w:val="en-US" w:eastAsia="zh-CN" w:bidi="ar"/>
              </w:rPr>
              <w:t>A4幅面黑白双面网络单打印激光打印机</w:t>
            </w:r>
            <w:r>
              <w:rPr>
                <w:rFonts w:hint="default" w:ascii="宋体" w:hAnsi="宋体" w:eastAsia="宋体" w:cs="宋体"/>
                <w:i w:val="0"/>
                <w:iCs w:val="0"/>
                <w:color w:val="auto"/>
                <w:kern w:val="0"/>
                <w:sz w:val="21"/>
                <w:szCs w:val="21"/>
                <w:highlight w:val="none"/>
                <w:lang w:eastAsia="zh-CN" w:bidi="ar"/>
              </w:rPr>
              <w:t>：</w:t>
            </w:r>
            <w:r>
              <w:rPr>
                <w:rFonts w:hint="eastAsia" w:ascii="宋体" w:hAnsi="宋体" w:eastAsia="宋体" w:cs="宋体"/>
                <w:b/>
                <w:bCs/>
                <w:color w:val="auto"/>
                <w:kern w:val="2"/>
                <w:sz w:val="21"/>
                <w:szCs w:val="21"/>
                <w:highlight w:val="none"/>
                <w:lang w:val="en-US" w:eastAsia="zh-CN" w:bidi="ar"/>
              </w:rPr>
              <w:t>*</w:t>
            </w:r>
            <w:r>
              <w:rPr>
                <w:rFonts w:hint="eastAsia" w:ascii="宋体" w:hAnsi="宋体" w:eastAsia="宋体" w:cs="宋体"/>
                <w:b/>
                <w:bCs/>
                <w:color w:val="auto"/>
                <w:kern w:val="2"/>
                <w:sz w:val="21"/>
                <w:szCs w:val="21"/>
                <w:highlight w:val="none"/>
                <w:lang w:val="en-US" w:eastAsia="zh-CN" w:bidi="ar"/>
              </w:rPr>
              <w:t>打印速度(黑白,标准,A4)≥28PPM;</w:t>
            </w:r>
            <w:r>
              <w:rPr>
                <w:rFonts w:hint="eastAsia" w:ascii="宋体" w:hAnsi="宋体" w:eastAsia="宋体" w:cs="宋体"/>
                <w:b/>
                <w:bCs/>
                <w:color w:val="auto"/>
                <w:kern w:val="2"/>
                <w:sz w:val="21"/>
                <w:szCs w:val="21"/>
                <w:highlight w:val="none"/>
                <w:lang w:val="en-US" w:eastAsia="zh-CN" w:bidi="ar"/>
              </w:rPr>
              <w:t>典型能源消耗（kW·h）≤1.8，适配符合安全可靠测评要求的计算机平台及符合安全可靠测评要求的操作系统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74" w:type="pct"/>
            <w:tcBorders>
              <w:bottom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33</w:t>
            </w:r>
          </w:p>
        </w:tc>
        <w:tc>
          <w:tcPr>
            <w:tcW w:w="396" w:type="pct"/>
            <w:tcBorders>
              <w:bottom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tcBorders>
              <w:bottom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16" w:type="pct"/>
            <w:tcBorders>
              <w:bottom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rPr>
            </w:pPr>
            <w:r>
              <w:rPr>
                <w:rFonts w:hint="default" w:ascii="宋体" w:hAnsi="宋体" w:eastAsia="宋体" w:cs="宋体"/>
                <w:i w:val="0"/>
                <w:iCs w:val="0"/>
                <w:color w:val="auto"/>
                <w:kern w:val="0"/>
                <w:sz w:val="21"/>
                <w:szCs w:val="21"/>
                <w:highlight w:val="none"/>
                <w:lang w:eastAsia="zh-CN" w:bidi="ar"/>
              </w:rPr>
              <w:t xml:space="preserve">1-3 </w:t>
            </w:r>
            <w:r>
              <w:rPr>
                <w:rFonts w:hint="eastAsia" w:ascii="宋体" w:hAnsi="宋体" w:eastAsia="宋体" w:cs="宋体"/>
                <w:i w:val="0"/>
                <w:iCs w:val="0"/>
                <w:color w:val="auto"/>
                <w:kern w:val="0"/>
                <w:sz w:val="21"/>
                <w:szCs w:val="21"/>
                <w:highlight w:val="none"/>
                <w:lang w:val="en-US" w:eastAsia="zh-CN" w:bidi="ar"/>
              </w:rPr>
              <w:t>A4幅面黑白双面网络单打印激光打印机</w:t>
            </w:r>
            <w:r>
              <w:rPr>
                <w:rFonts w:hint="default" w:ascii="宋体" w:hAnsi="宋体" w:eastAsia="宋体" w:cs="宋体"/>
                <w:i w:val="0"/>
                <w:iCs w:val="0"/>
                <w:color w:val="auto"/>
                <w:kern w:val="0"/>
                <w:sz w:val="21"/>
                <w:szCs w:val="21"/>
                <w:highlight w:val="none"/>
                <w:lang w:eastAsia="zh-CN" w:bidi="ar"/>
              </w:rPr>
              <w:t>：</w:t>
            </w:r>
            <w:r>
              <w:rPr>
                <w:rFonts w:hint="eastAsia" w:ascii="宋体" w:hAnsi="宋体" w:eastAsia="宋体" w:cs="宋体"/>
                <w:b/>
                <w:bCs/>
                <w:color w:val="auto"/>
                <w:kern w:val="2"/>
                <w:sz w:val="21"/>
                <w:szCs w:val="21"/>
                <w:highlight w:val="none"/>
                <w:lang w:val="en-US" w:eastAsia="zh-CN" w:bidi="ar"/>
              </w:rPr>
              <w:t>*</w:t>
            </w:r>
            <w:r>
              <w:rPr>
                <w:rFonts w:hint="eastAsia" w:ascii="宋体" w:hAnsi="宋体" w:eastAsia="宋体" w:cs="宋体"/>
                <w:b/>
                <w:bCs/>
                <w:color w:val="auto"/>
                <w:kern w:val="2"/>
                <w:sz w:val="21"/>
                <w:szCs w:val="21"/>
                <w:highlight w:val="none"/>
                <w:lang w:val="en-US" w:eastAsia="zh-CN" w:bidi="ar"/>
              </w:rPr>
              <w:t>打印速度(黑白,标准,A4)≥38PPM;</w:t>
            </w:r>
            <w:r>
              <w:rPr>
                <w:rFonts w:hint="eastAsia" w:ascii="宋体" w:hAnsi="宋体" w:eastAsia="宋体" w:cs="宋体"/>
                <w:b/>
                <w:bCs/>
                <w:color w:val="auto"/>
                <w:kern w:val="2"/>
                <w:sz w:val="21"/>
                <w:szCs w:val="21"/>
                <w:highlight w:val="none"/>
                <w:lang w:val="en-US" w:eastAsia="zh-CN" w:bidi="ar"/>
              </w:rPr>
              <w:t>典型能源消耗（kW·h）≤2.7，适配符合安全可靠测评要求的计算机平台及符合安全可靠测评要求的操作系统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74"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34</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16" w:type="pct"/>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rPr>
            </w:pPr>
            <w:r>
              <w:rPr>
                <w:rFonts w:hint="default" w:ascii="宋体" w:hAnsi="宋体" w:eastAsia="宋体" w:cs="宋体"/>
                <w:i w:val="0"/>
                <w:iCs w:val="0"/>
                <w:color w:val="auto"/>
                <w:kern w:val="0"/>
                <w:sz w:val="21"/>
                <w:szCs w:val="21"/>
                <w:highlight w:val="none"/>
                <w:lang w:eastAsia="zh-CN" w:bidi="ar"/>
              </w:rPr>
              <w:t xml:space="preserve">1-4 </w:t>
            </w:r>
            <w:r>
              <w:rPr>
                <w:rFonts w:hint="eastAsia" w:ascii="宋体" w:hAnsi="宋体" w:eastAsia="宋体" w:cs="宋体"/>
                <w:i w:val="0"/>
                <w:iCs w:val="0"/>
                <w:color w:val="auto"/>
                <w:kern w:val="0"/>
                <w:sz w:val="21"/>
                <w:szCs w:val="21"/>
                <w:highlight w:val="none"/>
                <w:lang w:val="en-US" w:eastAsia="zh-CN" w:bidi="ar"/>
              </w:rPr>
              <w:t>A4幅面彩色双面网络单打印激光打印机</w:t>
            </w:r>
            <w:r>
              <w:rPr>
                <w:rFonts w:hint="default" w:ascii="宋体" w:hAnsi="宋体" w:eastAsia="宋体" w:cs="宋体"/>
                <w:i w:val="0"/>
                <w:iCs w:val="0"/>
                <w:color w:val="auto"/>
                <w:kern w:val="0"/>
                <w:sz w:val="21"/>
                <w:szCs w:val="21"/>
                <w:highlight w:val="none"/>
                <w:lang w:eastAsia="zh-CN" w:bidi="ar"/>
              </w:rPr>
              <w:t>：</w:t>
            </w:r>
            <w:r>
              <w:rPr>
                <w:rFonts w:hint="eastAsia" w:ascii="宋体" w:hAnsi="宋体" w:eastAsia="宋体" w:cs="宋体"/>
                <w:b/>
                <w:bCs/>
                <w:color w:val="auto"/>
                <w:kern w:val="2"/>
                <w:sz w:val="21"/>
                <w:szCs w:val="21"/>
                <w:highlight w:val="none"/>
                <w:lang w:val="en-US" w:eastAsia="zh-CN" w:bidi="ar"/>
              </w:rPr>
              <w:t>*</w:t>
            </w:r>
            <w:r>
              <w:rPr>
                <w:rFonts w:hint="eastAsia" w:ascii="宋体" w:hAnsi="宋体" w:eastAsia="宋体" w:cs="宋体"/>
                <w:b/>
                <w:bCs/>
                <w:color w:val="auto"/>
                <w:kern w:val="2"/>
                <w:sz w:val="21"/>
                <w:szCs w:val="21"/>
                <w:highlight w:val="none"/>
                <w:lang w:val="en-US" w:eastAsia="zh-CN" w:bidi="ar"/>
              </w:rPr>
              <w:t>打印速度(黑白,标准,A4)≥21ppm，打印速度(彩色,标准,A4)≥21ppm；典型能源消耗（kW·h）≤1.5，</w:t>
            </w:r>
            <w:r>
              <w:rPr>
                <w:rFonts w:hint="eastAsia" w:ascii="宋体" w:hAnsi="宋体" w:eastAsia="宋体" w:cs="宋体"/>
                <w:b/>
                <w:bCs/>
                <w:color w:val="auto"/>
                <w:kern w:val="2"/>
                <w:sz w:val="21"/>
                <w:szCs w:val="21"/>
                <w:highlight w:val="none"/>
                <w:lang w:val="en-US" w:eastAsia="zh-CN" w:bidi="ar"/>
              </w:rPr>
              <w:t>适配符合安全可靠测评要求的计算机平台及符合安全可靠测评要求的操作系统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74"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35</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16" w:type="pct"/>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rPr>
            </w:pPr>
            <w:r>
              <w:rPr>
                <w:rFonts w:hint="default" w:ascii="宋体" w:hAnsi="宋体" w:eastAsia="宋体" w:cs="宋体"/>
                <w:i w:val="0"/>
                <w:iCs w:val="0"/>
                <w:color w:val="auto"/>
                <w:kern w:val="0"/>
                <w:sz w:val="21"/>
                <w:szCs w:val="21"/>
                <w:highlight w:val="none"/>
                <w:lang w:eastAsia="zh-CN" w:bidi="ar"/>
              </w:rPr>
              <w:t xml:space="preserve">1-5 </w:t>
            </w:r>
            <w:r>
              <w:rPr>
                <w:rFonts w:hint="eastAsia" w:ascii="宋体" w:hAnsi="宋体" w:eastAsia="宋体" w:cs="宋体"/>
                <w:i w:val="0"/>
                <w:iCs w:val="0"/>
                <w:color w:val="auto"/>
                <w:kern w:val="0"/>
                <w:sz w:val="21"/>
                <w:szCs w:val="21"/>
                <w:highlight w:val="none"/>
                <w:lang w:val="en-US" w:eastAsia="zh-CN" w:bidi="ar"/>
              </w:rPr>
              <w:t>A4幅面彩色双面网络单打印激光打印机</w:t>
            </w:r>
            <w:r>
              <w:rPr>
                <w:rFonts w:hint="default" w:ascii="宋体" w:hAnsi="宋体" w:eastAsia="宋体" w:cs="宋体"/>
                <w:i w:val="0"/>
                <w:iCs w:val="0"/>
                <w:color w:val="auto"/>
                <w:kern w:val="0"/>
                <w:sz w:val="21"/>
                <w:szCs w:val="21"/>
                <w:highlight w:val="none"/>
                <w:lang w:eastAsia="zh-CN" w:bidi="ar"/>
              </w:rPr>
              <w:t>：</w:t>
            </w:r>
            <w:r>
              <w:rPr>
                <w:rFonts w:hint="eastAsia" w:ascii="宋体" w:hAnsi="宋体" w:eastAsia="宋体" w:cs="宋体"/>
                <w:b/>
                <w:bCs/>
                <w:color w:val="auto"/>
                <w:kern w:val="2"/>
                <w:sz w:val="21"/>
                <w:szCs w:val="21"/>
                <w:highlight w:val="none"/>
                <w:lang w:val="en-US" w:eastAsia="zh-CN" w:bidi="ar"/>
              </w:rPr>
              <w:t>*</w:t>
            </w:r>
            <w:r>
              <w:rPr>
                <w:rFonts w:hint="eastAsia" w:ascii="宋体" w:hAnsi="宋体" w:eastAsia="宋体" w:cs="宋体"/>
                <w:b/>
                <w:bCs/>
                <w:color w:val="auto"/>
                <w:kern w:val="2"/>
                <w:sz w:val="21"/>
                <w:szCs w:val="21"/>
                <w:highlight w:val="none"/>
                <w:lang w:val="en-US" w:eastAsia="zh-CN" w:bidi="ar"/>
              </w:rPr>
              <w:t>打印速度(黑白,就绪,A4)≥33ppm，打印速度(彩色,标准,A4)≥33ppm；典型能源消耗（kW·h）≤3.5，</w:t>
            </w:r>
            <w:r>
              <w:rPr>
                <w:rFonts w:hint="eastAsia" w:ascii="宋体" w:hAnsi="宋体" w:eastAsia="宋体" w:cs="宋体"/>
                <w:b/>
                <w:bCs/>
                <w:color w:val="auto"/>
                <w:kern w:val="2"/>
                <w:sz w:val="21"/>
                <w:szCs w:val="21"/>
                <w:highlight w:val="none"/>
                <w:lang w:val="en-US" w:eastAsia="zh-CN" w:bidi="ar"/>
              </w:rPr>
              <w:t>适配符合安全可靠测评要求的计算机平台及符合安全可靠测评要求的操作系统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74"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36</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16" w:type="pct"/>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rPr>
            </w:pPr>
            <w:r>
              <w:rPr>
                <w:rFonts w:hint="default" w:ascii="宋体" w:hAnsi="宋体" w:eastAsia="宋体" w:cs="宋体"/>
                <w:i w:val="0"/>
                <w:iCs w:val="0"/>
                <w:color w:val="auto"/>
                <w:kern w:val="0"/>
                <w:sz w:val="21"/>
                <w:szCs w:val="21"/>
                <w:highlight w:val="none"/>
                <w:lang w:eastAsia="zh-CN" w:bidi="ar"/>
              </w:rPr>
              <w:t xml:space="preserve">1-6 </w:t>
            </w:r>
            <w:r>
              <w:rPr>
                <w:rFonts w:hint="eastAsia" w:ascii="宋体" w:hAnsi="宋体" w:eastAsia="宋体" w:cs="宋体"/>
                <w:i w:val="0"/>
                <w:iCs w:val="0"/>
                <w:color w:val="auto"/>
                <w:kern w:val="0"/>
                <w:sz w:val="21"/>
                <w:szCs w:val="21"/>
                <w:highlight w:val="none"/>
                <w:lang w:val="en-US" w:eastAsia="zh-CN" w:bidi="ar"/>
              </w:rPr>
              <w:t>A3幅面黑白网络双面单打印激光打印机</w:t>
            </w:r>
            <w:r>
              <w:rPr>
                <w:rFonts w:hint="default" w:ascii="宋体" w:hAnsi="宋体" w:eastAsia="宋体" w:cs="宋体"/>
                <w:i w:val="0"/>
                <w:iCs w:val="0"/>
                <w:color w:val="auto"/>
                <w:kern w:val="0"/>
                <w:sz w:val="21"/>
                <w:szCs w:val="21"/>
                <w:highlight w:val="none"/>
                <w:lang w:eastAsia="zh-CN" w:bidi="ar"/>
              </w:rPr>
              <w:t>：</w:t>
            </w:r>
            <w:r>
              <w:rPr>
                <w:rFonts w:hint="eastAsia" w:ascii="宋体" w:hAnsi="宋体" w:eastAsia="宋体" w:cs="宋体"/>
                <w:b/>
                <w:bCs/>
                <w:color w:val="auto"/>
                <w:kern w:val="2"/>
                <w:sz w:val="21"/>
                <w:szCs w:val="21"/>
                <w:highlight w:val="none"/>
                <w:lang w:val="en-US" w:eastAsia="zh-CN" w:bidi="ar"/>
              </w:rPr>
              <w:t>*</w:t>
            </w:r>
            <w:r>
              <w:rPr>
                <w:rFonts w:hint="eastAsia" w:ascii="宋体" w:hAnsi="宋体" w:eastAsia="宋体" w:cs="宋体"/>
                <w:b/>
                <w:bCs/>
                <w:color w:val="auto"/>
                <w:kern w:val="2"/>
                <w:sz w:val="21"/>
                <w:szCs w:val="21"/>
                <w:highlight w:val="none"/>
                <w:lang w:val="en-US" w:eastAsia="zh-CN" w:bidi="ar"/>
              </w:rPr>
              <w:t>打印速度(黑白,标准,A4)≥30ppm；</w:t>
            </w:r>
            <w:r>
              <w:rPr>
                <w:rFonts w:hint="eastAsia" w:ascii="宋体" w:hAnsi="宋体" w:eastAsia="宋体" w:cs="宋体"/>
                <w:b/>
                <w:bCs/>
                <w:color w:val="auto"/>
                <w:kern w:val="2"/>
                <w:sz w:val="21"/>
                <w:szCs w:val="21"/>
                <w:highlight w:val="none"/>
                <w:lang w:val="en-US" w:eastAsia="zh-CN" w:bidi="ar"/>
              </w:rPr>
              <w:t>典型能源消耗（kW·h）≤4.5，适配符合安全可靠测评要求的计算机平台及符合安全可靠测评要求的操作系统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74"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37</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16" w:type="pct"/>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rPr>
            </w:pPr>
            <w:r>
              <w:rPr>
                <w:rFonts w:hint="default" w:ascii="宋体" w:hAnsi="宋体" w:eastAsia="宋体" w:cs="宋体"/>
                <w:i w:val="0"/>
                <w:iCs w:val="0"/>
                <w:color w:val="auto"/>
                <w:kern w:val="0"/>
                <w:sz w:val="21"/>
                <w:szCs w:val="21"/>
                <w:highlight w:val="none"/>
                <w:lang w:eastAsia="zh-CN" w:bidi="ar"/>
              </w:rPr>
              <w:t xml:space="preserve">1-7 </w:t>
            </w:r>
            <w:r>
              <w:rPr>
                <w:rFonts w:hint="eastAsia" w:ascii="宋体" w:hAnsi="宋体" w:eastAsia="宋体" w:cs="宋体"/>
                <w:i w:val="0"/>
                <w:iCs w:val="0"/>
                <w:color w:val="auto"/>
                <w:kern w:val="0"/>
                <w:sz w:val="21"/>
                <w:szCs w:val="21"/>
                <w:highlight w:val="none"/>
                <w:lang w:val="en-US" w:eastAsia="zh-CN" w:bidi="ar"/>
              </w:rPr>
              <w:t>A3幅面彩色网络双面单打印激光打印机</w:t>
            </w:r>
            <w:r>
              <w:rPr>
                <w:rFonts w:hint="default" w:ascii="宋体" w:hAnsi="宋体" w:eastAsia="宋体" w:cs="宋体"/>
                <w:i w:val="0"/>
                <w:iCs w:val="0"/>
                <w:color w:val="auto"/>
                <w:kern w:val="0"/>
                <w:sz w:val="21"/>
                <w:szCs w:val="21"/>
                <w:highlight w:val="none"/>
                <w:lang w:eastAsia="zh-CN" w:bidi="ar"/>
              </w:rPr>
              <w:t>：</w:t>
            </w:r>
            <w:r>
              <w:rPr>
                <w:rFonts w:hint="eastAsia" w:ascii="宋体" w:hAnsi="宋体" w:eastAsia="宋体" w:cs="宋体"/>
                <w:b/>
                <w:bCs/>
                <w:color w:val="auto"/>
                <w:kern w:val="2"/>
                <w:sz w:val="21"/>
                <w:szCs w:val="21"/>
                <w:highlight w:val="none"/>
                <w:lang w:val="en-US" w:eastAsia="zh-CN" w:bidi="ar"/>
              </w:rPr>
              <w:t>*</w:t>
            </w:r>
            <w:r>
              <w:rPr>
                <w:rFonts w:hint="eastAsia" w:ascii="宋体" w:hAnsi="宋体" w:eastAsia="宋体" w:cs="宋体"/>
                <w:b/>
                <w:bCs/>
                <w:color w:val="auto"/>
                <w:kern w:val="2"/>
                <w:sz w:val="21"/>
                <w:szCs w:val="21"/>
                <w:highlight w:val="none"/>
                <w:lang w:val="en-US" w:eastAsia="zh-CN" w:bidi="ar"/>
              </w:rPr>
              <w:t>打印速度(黑白,标准,A4)≥20ppm，打印速度(彩色,标准,A4)≥20ppm；</w:t>
            </w:r>
            <w:r>
              <w:rPr>
                <w:rFonts w:hint="eastAsia" w:ascii="宋体" w:hAnsi="宋体" w:eastAsia="宋体" w:cs="宋体"/>
                <w:b/>
                <w:bCs/>
                <w:color w:val="auto"/>
                <w:kern w:val="2"/>
                <w:sz w:val="21"/>
                <w:szCs w:val="21"/>
                <w:highlight w:val="none"/>
                <w:lang w:val="en-US" w:eastAsia="zh-CN" w:bidi="ar"/>
              </w:rPr>
              <w:t>典型能源消耗（kW·h）≤4.5，适配符合安全可靠测评要求的计算机平台及符合安全可靠测评要求的操作系统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74"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38</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16" w:type="pct"/>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rPr>
            </w:pPr>
            <w:r>
              <w:rPr>
                <w:rFonts w:hint="eastAsia" w:ascii="宋体" w:hAnsi="宋体" w:eastAsia="宋体" w:cs="Times New Roman"/>
                <w:b/>
                <w:bCs w:val="0"/>
                <w:color w:val="auto"/>
                <w:kern w:val="2"/>
                <w:sz w:val="24"/>
                <w:szCs w:val="24"/>
                <w:highlight w:val="none"/>
                <w:lang w:val="en-US" w:eastAsia="zh-CN" w:bidi="ar"/>
              </w:rPr>
              <w:t>*1、投标人投标的激光打印机产品必须为同一品牌产品，否则将导致废标。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74"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39</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二</w:t>
            </w:r>
          </w:p>
        </w:tc>
        <w:tc>
          <w:tcPr>
            <w:tcW w:w="3416"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Times New Roman"/>
                <w:b/>
                <w:bCs w:val="0"/>
                <w:color w:val="auto"/>
                <w:kern w:val="2"/>
                <w:sz w:val="24"/>
                <w:szCs w:val="24"/>
                <w:highlight w:val="none"/>
                <w:lang w:val="en-US" w:eastAsia="zh-CN" w:bidi="ar"/>
              </w:rPr>
              <w:t>*1、投标人承诺设备</w:t>
            </w:r>
            <w:r>
              <w:rPr>
                <w:rFonts w:hint="eastAsia" w:ascii="宋体" w:hAnsi="宋体" w:eastAsia="宋体" w:cs="宋体"/>
                <w:b/>
                <w:bCs w:val="0"/>
                <w:color w:val="auto"/>
                <w:kern w:val="2"/>
                <w:sz w:val="24"/>
                <w:szCs w:val="24"/>
                <w:highlight w:val="none"/>
                <w:lang w:val="en-US" w:eastAsia="zh-CN" w:bidi="ar"/>
              </w:rPr>
              <w:t>自最终验收合格之日起至少一年免费上门保修。期间中标供应商应提供一切免费维修服务和免费更换零配件。同时投标人保证保修年限不低于合同货物中品牌型号的官网标准。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74"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40</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16"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Times New Roman"/>
                <w:b/>
                <w:bCs w:val="0"/>
                <w:color w:val="auto"/>
                <w:kern w:val="2"/>
                <w:sz w:val="24"/>
                <w:szCs w:val="24"/>
                <w:highlight w:val="none"/>
                <w:lang w:val="en-US" w:eastAsia="zh-CN" w:bidi="ar"/>
              </w:rPr>
              <w:t>*2、投标人应在投标文件中提供具体的售后服务承诺条款。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74"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41</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16"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Times New Roman"/>
                <w:b/>
                <w:bCs w:val="0"/>
                <w:color w:val="auto"/>
                <w:kern w:val="2"/>
                <w:sz w:val="24"/>
                <w:szCs w:val="24"/>
                <w:highlight w:val="none"/>
                <w:lang w:val="en-US" w:eastAsia="zh-CN" w:bidi="ar"/>
              </w:rPr>
              <w:t>*3、设备故障若在约定时间内无法修复的，中标供应商应先提供备用机</w:t>
            </w:r>
            <w:r>
              <w:rPr>
                <w:rFonts w:hint="eastAsia" w:ascii="宋体" w:hAnsi="宋体" w:eastAsia="宋体" w:cs="宋体"/>
                <w:b/>
                <w:bCs w:val="0"/>
                <w:color w:val="auto"/>
                <w:kern w:val="2"/>
                <w:sz w:val="24"/>
                <w:szCs w:val="24"/>
                <w:highlight w:val="none"/>
                <w:lang w:val="en-US" w:eastAsia="zh-CN" w:bidi="ar"/>
              </w:rPr>
              <w:t>供最终用户使用，直至设备修复；如中标供应商所提供的备用机与故障机的型号不同，则需免费提供耗材。如果中标供应商未在承诺的时间内将设备修复或者提供备用机的则中标供应商应按人民币：</w:t>
            </w:r>
            <w:r>
              <w:rPr>
                <w:rFonts w:hint="eastAsia" w:ascii="宋体" w:hAnsi="宋体" w:eastAsia="宋体" w:cs="Times New Roman"/>
                <w:b/>
                <w:bCs w:val="0"/>
                <w:color w:val="auto"/>
                <w:kern w:val="2"/>
                <w:sz w:val="24"/>
                <w:szCs w:val="24"/>
                <w:highlight w:val="none"/>
                <w:lang w:val="en-US" w:eastAsia="zh-CN" w:bidi="ar"/>
              </w:rPr>
              <w:t>200.00元/台/天向采购单位支付逾期违约金。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74"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42</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三</w:t>
            </w:r>
          </w:p>
        </w:tc>
        <w:tc>
          <w:tcPr>
            <w:tcW w:w="3416"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Times New Roman"/>
                <w:b/>
                <w:bCs w:val="0"/>
                <w:color w:val="auto"/>
                <w:kern w:val="2"/>
                <w:sz w:val="24"/>
                <w:szCs w:val="24"/>
                <w:highlight w:val="none"/>
                <w:lang w:val="en-US" w:eastAsia="zh-CN" w:bidi="ar"/>
              </w:rPr>
              <w:t>*1、投标人须以人民币报价，总报价为投标设备</w:t>
            </w:r>
            <w:r>
              <w:rPr>
                <w:rFonts w:hint="eastAsia" w:ascii="宋体" w:hAnsi="宋体" w:eastAsia="宋体" w:cs="宋体"/>
                <w:b/>
                <w:bCs w:val="0"/>
                <w:color w:val="auto"/>
                <w:kern w:val="2"/>
                <w:sz w:val="24"/>
                <w:szCs w:val="24"/>
                <w:highlight w:val="none"/>
                <w:lang w:val="en-US" w:eastAsia="zh-CN" w:bidi="ar"/>
              </w:rPr>
              <w:t>经最终验收合格并交付使用所有可能发生的费用，包括设备费、运送至采购单位指定地点的运输费、运输费保险费、专用工具费、税费、采购保管费、安装费、检验验收、安装调试费以及售后服务等一切费用（投标人可在分项报价表中详细列出报价，如果所列分项报价不含以上内容，则视为已含在总报价中），报价方式为总包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74"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43</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16"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Times New Roman"/>
                <w:b/>
                <w:bCs w:val="0"/>
                <w:color w:val="auto"/>
                <w:kern w:val="2"/>
                <w:sz w:val="24"/>
                <w:szCs w:val="24"/>
                <w:highlight w:val="none"/>
                <w:lang w:val="en-US" w:eastAsia="zh-CN" w:bidi="ar"/>
              </w:rPr>
              <w:t>*2、投标人必须列出采购货物一览表中品目号设备的单价及总价。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74"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44</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16"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Times New Roman"/>
                <w:b/>
                <w:bCs w:val="0"/>
                <w:color w:val="auto"/>
                <w:kern w:val="2"/>
                <w:sz w:val="24"/>
                <w:szCs w:val="24"/>
                <w:highlight w:val="none"/>
                <w:lang w:val="en-US" w:eastAsia="zh-CN" w:bidi="ar"/>
              </w:rPr>
              <w:t>*3、本项目的采购预算</w:t>
            </w:r>
            <w:r>
              <w:rPr>
                <w:rFonts w:hint="eastAsia" w:ascii="宋体" w:hAnsi="宋体" w:eastAsia="宋体" w:cs="宋体"/>
                <w:b/>
                <w:bCs w:val="0"/>
                <w:color w:val="auto"/>
                <w:kern w:val="2"/>
                <w:sz w:val="24"/>
                <w:szCs w:val="24"/>
                <w:highlight w:val="none"/>
                <w:lang w:val="en-US" w:eastAsia="zh-CN" w:bidi="ar"/>
              </w:rPr>
              <w:t>为人民币1188万元，各品目号也设置采购预算（品目号1-1为人民币1,100元/台；品目号1-2为人民币1,800元/台；品目号1-3为人民币2,900元/台；品目号1-4为人民币3,500元/台；品目号1-5为人民币7,000元/台；品目号1-6为人民币10,000元/台；品目号1-7为人民币12,000元/台），投标人的总报价和各品目号的报价均不得超过采购预算，否则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74"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45</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16"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Times New Roman"/>
                <w:b/>
                <w:bCs w:val="0"/>
                <w:color w:val="auto"/>
                <w:kern w:val="2"/>
                <w:sz w:val="24"/>
                <w:szCs w:val="24"/>
                <w:highlight w:val="none"/>
                <w:lang w:val="en-US" w:eastAsia="zh-CN" w:bidi="ar"/>
              </w:rPr>
              <w:t>*</w:t>
            </w:r>
            <w:r>
              <w:rPr>
                <w:rFonts w:hint="eastAsia" w:ascii="宋体" w:hAnsi="宋体" w:eastAsia="宋体" w:cs="宋体"/>
                <w:b/>
                <w:bCs w:val="0"/>
                <w:color w:val="auto"/>
                <w:kern w:val="2"/>
                <w:sz w:val="24"/>
                <w:szCs w:val="24"/>
                <w:highlight w:val="none"/>
                <w:lang w:val="en-US" w:eastAsia="zh-CN" w:bidi="ar"/>
              </w:rPr>
              <w:t>4、投标人承诺同意本项目采购的产品按照销售对象及销售区域的不同而分别与采购单位签订合同，即签订一份适用于厦门市政府机关事业单位、一份适用于福建省内其他终端用户采购合同。两份合同的总数量和总金额为本次采购的总数量和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74"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46</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四</w:t>
            </w:r>
          </w:p>
        </w:tc>
        <w:tc>
          <w:tcPr>
            <w:tcW w:w="3416"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Times New Roman"/>
                <w:b/>
                <w:bCs w:val="0"/>
                <w:color w:val="auto"/>
                <w:kern w:val="2"/>
                <w:sz w:val="24"/>
                <w:szCs w:val="24"/>
                <w:highlight w:val="none"/>
                <w:lang w:val="en-US" w:eastAsia="zh-CN" w:bidi="ar"/>
              </w:rPr>
              <w:t>*1、投标人须在投标文件中明确</w:t>
            </w:r>
            <w:r>
              <w:rPr>
                <w:rFonts w:hint="eastAsia" w:ascii="宋体" w:hAnsi="宋体" w:eastAsia="宋体" w:cs="宋体"/>
                <w:b/>
                <w:bCs w:val="0"/>
                <w:color w:val="auto"/>
                <w:kern w:val="2"/>
                <w:sz w:val="24"/>
                <w:szCs w:val="24"/>
                <w:highlight w:val="none"/>
                <w:lang w:val="en-US" w:eastAsia="zh-CN" w:bidi="ar"/>
              </w:rPr>
              <w:t>作出书面承诺：投标人承诺接受《采购合同》中《服务考核细则》对其的考核并同意按考核情况处理。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74"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47</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16"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Times New Roman"/>
                <w:b/>
                <w:bCs w:val="0"/>
                <w:color w:val="auto"/>
                <w:kern w:val="2"/>
                <w:sz w:val="24"/>
                <w:szCs w:val="24"/>
                <w:highlight w:val="none"/>
                <w:lang w:val="en-US" w:eastAsia="zh-CN" w:bidi="ar"/>
              </w:rPr>
              <w:t>*2、采购单位付款时，中标供应商应提供一般纳税人的增值税专用发票；否则，采购单位有权拒绝支付相应款项。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74"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48</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16"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Times New Roman"/>
                <w:b/>
                <w:bCs w:val="0"/>
                <w:color w:val="auto"/>
                <w:kern w:val="2"/>
                <w:sz w:val="24"/>
                <w:szCs w:val="24"/>
                <w:highlight w:val="none"/>
                <w:lang w:val="en-US" w:eastAsia="zh-CN" w:bidi="ar"/>
              </w:rPr>
              <w:t>*3、投标人承诺，如获中标将配合采购单位及产品检验检测机构进行投标产品的检验检测，产品检验检测产生的一切相关费用由中标供应商承担。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74"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49</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16"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Times New Roman"/>
                <w:b/>
                <w:bCs w:val="0"/>
                <w:color w:val="auto"/>
                <w:kern w:val="2"/>
                <w:sz w:val="24"/>
                <w:szCs w:val="24"/>
                <w:highlight w:val="none"/>
                <w:lang w:val="en-US" w:eastAsia="zh-CN" w:bidi="ar"/>
              </w:rPr>
              <w:t>*4</w:t>
            </w:r>
            <w:r>
              <w:rPr>
                <w:rFonts w:hint="eastAsia" w:ascii="宋体" w:hAnsi="宋体" w:eastAsia="宋体" w:cs="宋体"/>
                <w:b/>
                <w:bCs w:val="0"/>
                <w:color w:val="auto"/>
                <w:kern w:val="2"/>
                <w:sz w:val="24"/>
                <w:szCs w:val="24"/>
                <w:highlight w:val="none"/>
                <w:lang w:val="en-US" w:eastAsia="zh-CN" w:bidi="ar"/>
              </w:rPr>
              <w:t>、投标人承诺同意分别免费提供所有品目号各一台的投标产品给采购单位作为备用机，且于中标后第一次供货时一并提供。备用机归采购单位所有，由采购单位自行调配，合同期满后亦不予返还中标供应商。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74"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50</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16" w:type="pct"/>
            <w:noWrap w:val="0"/>
            <w:vAlign w:val="center"/>
          </w:tcPr>
          <w:p>
            <w:pPr>
              <w:keepNext w:val="0"/>
              <w:keepLines w:val="0"/>
              <w:suppressLineNumbers w:val="0"/>
              <w:adjustRightInd w:val="0"/>
              <w:snapToGrid w:val="0"/>
              <w:spacing w:before="0" w:beforeAutospacing="0" w:after="0" w:afterAutospacing="0" w:line="360" w:lineRule="auto"/>
              <w:ind w:left="0" w:right="0" w:firstLine="482" w:firstLineChars="200"/>
              <w:rPr>
                <w:rFonts w:hint="eastAsia" w:ascii="宋体" w:hAnsi="宋体" w:eastAsia="宋体" w:cs="宋体"/>
                <w:b/>
                <w:bCs w:val="0"/>
                <w:color w:val="auto"/>
                <w:kern w:val="2"/>
                <w:sz w:val="24"/>
                <w:szCs w:val="24"/>
                <w:highlight w:val="none"/>
                <w:lang w:val="en-US" w:eastAsia="zh-CN" w:bidi="ar"/>
              </w:rPr>
            </w:pPr>
            <w:r>
              <w:rPr>
                <w:rFonts w:hint="eastAsia" w:ascii="宋体" w:hAnsi="宋体" w:eastAsia="宋体" w:cs="宋体"/>
                <w:b/>
                <w:bCs w:val="0"/>
                <w:color w:val="auto"/>
                <w:kern w:val="2"/>
                <w:sz w:val="24"/>
                <w:szCs w:val="24"/>
                <w:highlight w:val="none"/>
                <w:lang w:val="en-US" w:eastAsia="zh-CN" w:bidi="ar"/>
              </w:rPr>
              <w:t>*5、分批供货，以采购单位的供货通知为准。</w:t>
            </w:r>
          </w:p>
          <w:p>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货物送采购单位仓库后再配送至最终用户的，中标供应商应在采购单位发出《定货单》之日起20 个日历日之内（《定货单》的交货期与本条约定不一致的，以《定货单》为准）将货交采购单位仓库， 货物到达采购单位仓库后，中标供应商应在接到采购单位通知后24小时内（仅指货物配送时限要求）将货物从采购单位仓库二次配送至最终用户（地址为厦门市岛内行政区域），并按约定完成安装调试后提请验收交付。中标供应商除承担运送至采购单位仓库的费用、货物存至采购单位仓库的仓储操作费（A4幅面激光打印机仓储操作费10元/台，A3幅面激光打印机仓储操作费15元/台），还应同时承担从采购单位仓库运送至最终用户的二次配送费用。中标供应商从采购单位仓库中提货之时起至货物经最终用户签收之时止，货物毁损、灭失的风险由中标供应商承担。</w:t>
            </w:r>
          </w:p>
          <w:p>
            <w:pPr>
              <w:keepNext w:val="0"/>
              <w:keepLines w:val="0"/>
              <w:suppressLineNumbers w:val="0"/>
              <w:adjustRightInd w:val="0"/>
              <w:snapToGrid w:val="0"/>
              <w:spacing w:before="0" w:beforeAutospacing="0" w:after="0" w:afterAutospacing="0" w:line="360" w:lineRule="auto"/>
              <w:ind w:left="0" w:right="0" w:firstLine="482" w:firstLineChars="200"/>
              <w:rPr>
                <w:rFonts w:hint="eastAsia" w:ascii="宋体" w:hAnsi="宋体" w:eastAsia="宋体" w:cs="宋体"/>
                <w:b/>
                <w:bCs w:val="0"/>
                <w:color w:val="auto"/>
                <w:kern w:val="2"/>
                <w:sz w:val="24"/>
                <w:szCs w:val="24"/>
                <w:highlight w:val="none"/>
                <w:lang w:val="en-US" w:eastAsia="zh-CN" w:bidi="ar"/>
              </w:rPr>
            </w:pPr>
            <w:r>
              <w:rPr>
                <w:rFonts w:hint="eastAsia" w:ascii="宋体" w:hAnsi="宋体" w:eastAsia="宋体" w:cs="宋体"/>
                <w:b/>
                <w:bCs w:val="0"/>
                <w:color w:val="auto"/>
                <w:kern w:val="2"/>
                <w:sz w:val="24"/>
                <w:szCs w:val="24"/>
                <w:highlight w:val="none"/>
                <w:lang w:val="en-US" w:eastAsia="zh-CN" w:bidi="ar"/>
              </w:rPr>
              <w:t>若中标供应商未按约定的时间完成二次配送的，采购单位将代为进行二次配送，中标供应商应按如下费用标准最迟在采购单位发出《定货单》之日起10个工作日内向采购单位或采购单位指定的第三方物流商支付相应仓储操作费及二次配送费用：A4幅面激光打印机仓储操作费10元/台，二次配送费15元/台；A3幅面激光打印机仓储操作费15元/台，二次配送费45元/台。若中标供应商未向采购单位或采购单位指定的第三方物流商支付该仓储操作费及二次配送费用的，采购单位有权从中标供应商货款或约定的履约保证金总额中扣除相应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74"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51</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16"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Times New Roman"/>
                <w:b/>
                <w:bCs w:val="0"/>
                <w:color w:val="auto"/>
                <w:kern w:val="0"/>
                <w:sz w:val="24"/>
                <w:szCs w:val="24"/>
                <w:highlight w:val="none"/>
                <w:lang w:val="en-US" w:eastAsia="zh-CN" w:bidi="ar"/>
              </w:rPr>
              <w:t xml:space="preserve"> *</w:t>
            </w:r>
            <w:r>
              <w:rPr>
                <w:rFonts w:hint="eastAsia" w:ascii="宋体" w:hAnsi="宋体" w:eastAsia="宋体" w:cs="宋体"/>
                <w:b/>
                <w:bCs w:val="0"/>
                <w:color w:val="auto"/>
                <w:kern w:val="0"/>
                <w:sz w:val="24"/>
                <w:szCs w:val="24"/>
                <w:highlight w:val="none"/>
                <w:lang w:val="en-US" w:eastAsia="zh-CN" w:bidi="ar"/>
              </w:rPr>
              <w:t>6、</w:t>
            </w:r>
            <w:r>
              <w:rPr>
                <w:rFonts w:hint="eastAsia" w:ascii="宋体" w:hAnsi="宋体" w:eastAsia="宋体" w:cs="宋体"/>
                <w:b/>
                <w:bCs w:val="0"/>
                <w:color w:val="auto"/>
                <w:kern w:val="2"/>
                <w:sz w:val="24"/>
                <w:szCs w:val="24"/>
                <w:highlight w:val="none"/>
                <w:lang w:val="en-US" w:eastAsia="zh-CN" w:bidi="ar"/>
              </w:rPr>
              <w:t>合同期内每三个月，采购单位可根据市场行情变化，与中标供应商就产品单价进行重新谈判，价格不得高于中标价格。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74"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52</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16"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bCs w:val="0"/>
                <w:color w:val="auto"/>
                <w:kern w:val="0"/>
                <w:sz w:val="24"/>
                <w:szCs w:val="24"/>
                <w:highlight w:val="none"/>
                <w:lang w:val="en-US" w:eastAsia="zh-CN" w:bidi="ar"/>
              </w:rPr>
            </w:pPr>
            <w:r>
              <w:rPr>
                <w:rFonts w:hint="eastAsia" w:ascii="宋体" w:hAnsi="宋体" w:eastAsia="宋体" w:cs="Times New Roman"/>
                <w:b/>
                <w:bCs w:val="0"/>
                <w:color w:val="auto"/>
                <w:kern w:val="0"/>
                <w:sz w:val="24"/>
                <w:szCs w:val="24"/>
                <w:highlight w:val="none"/>
                <w:lang w:val="en-US" w:eastAsia="zh-CN" w:bidi="ar"/>
              </w:rPr>
              <w:t>*</w:t>
            </w:r>
            <w:r>
              <w:rPr>
                <w:rFonts w:hint="eastAsia" w:ascii="宋体" w:hAnsi="宋体" w:eastAsia="宋体" w:cs="宋体"/>
                <w:b/>
                <w:bCs w:val="0"/>
                <w:color w:val="auto"/>
                <w:kern w:val="0"/>
                <w:sz w:val="24"/>
                <w:szCs w:val="24"/>
                <w:highlight w:val="none"/>
                <w:lang w:val="en-US" w:eastAsia="zh-CN" w:bidi="ar"/>
              </w:rPr>
              <w:t>7、投标人须在投标文件中书面承诺：提供产品的安装费用和上门售后服务费用不高于以下收费标准执行。</w:t>
            </w:r>
          </w:p>
          <w:p>
            <w:pPr>
              <w:keepNext w:val="0"/>
              <w:keepLines w:val="0"/>
              <w:suppressLineNumbers w:val="0"/>
              <w:spacing w:before="0" w:beforeAutospacing="0" w:after="0" w:afterAutospacing="0" w:line="360" w:lineRule="auto"/>
              <w:ind w:left="0" w:right="0"/>
              <w:rPr>
                <w:rFonts w:hint="default" w:ascii="宋体" w:hAnsi="宋体" w:eastAsia="宋体" w:cs="宋体"/>
                <w:b/>
                <w:bCs w:val="0"/>
                <w:color w:val="auto"/>
                <w:kern w:val="0"/>
                <w:sz w:val="24"/>
                <w:szCs w:val="24"/>
                <w:highlight w:val="none"/>
                <w:lang w:eastAsia="zh-CN" w:bidi="ar"/>
              </w:rPr>
            </w:pPr>
            <w:r>
              <w:rPr>
                <w:rFonts w:hint="default" w:ascii="宋体" w:hAnsi="宋体" w:eastAsia="宋体" w:cs="宋体"/>
                <w:b/>
                <w:bCs w:val="0"/>
                <w:color w:val="auto"/>
                <w:kern w:val="0"/>
                <w:sz w:val="24"/>
                <w:szCs w:val="24"/>
                <w:highlight w:val="none"/>
                <w:lang w:eastAsia="zh-CN" w:bidi="ar"/>
              </w:rPr>
              <w:t>详见“第三章招标内容及要求”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74"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53</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16"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Times New Roman"/>
                <w:b/>
                <w:bCs w:val="0"/>
                <w:color w:val="auto"/>
                <w:kern w:val="2"/>
                <w:sz w:val="24"/>
                <w:szCs w:val="24"/>
                <w:highlight w:val="none"/>
                <w:lang w:val="en-US" w:eastAsia="zh-CN" w:bidi="ar"/>
              </w:rPr>
              <w:t>*</w:t>
            </w:r>
            <w:r>
              <w:rPr>
                <w:rFonts w:hint="eastAsia" w:ascii="宋体" w:hAnsi="宋体" w:eastAsia="宋体" w:cs="宋体"/>
                <w:b/>
                <w:bCs w:val="0"/>
                <w:color w:val="auto"/>
                <w:kern w:val="2"/>
                <w:sz w:val="24"/>
                <w:szCs w:val="24"/>
                <w:highlight w:val="none"/>
                <w:lang w:val="en-US" w:eastAsia="zh-CN" w:bidi="ar"/>
              </w:rPr>
              <w:t>8、投标人承诺若中标将无条件参与采购单位举办的壹年两次的政府大宗产品推介会，并且免费提供相应的中标机型作为样机展示，否则视为违约，投标人应按中标机型的中标单价向采购单位支付违约金，若投标人未向采购单位支付，则采购单位有权直接从履约保证金款项中直接给予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74"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54</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16"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b/>
                <w:bCs w:val="0"/>
                <w:color w:val="auto"/>
                <w:kern w:val="2"/>
                <w:sz w:val="24"/>
                <w:szCs w:val="24"/>
                <w:highlight w:val="none"/>
                <w:lang w:val="en-US" w:eastAsia="zh-CN" w:bidi="ar"/>
              </w:rPr>
              <w:t>*9、</w:t>
            </w:r>
            <w:r>
              <w:rPr>
                <w:rFonts w:hint="default" w:ascii="宋体" w:hAnsi="宋体" w:eastAsia="宋体" w:cs="宋体"/>
                <w:b/>
                <w:bCs w:val="0"/>
                <w:color w:val="auto"/>
                <w:kern w:val="2"/>
                <w:sz w:val="24"/>
                <w:szCs w:val="24"/>
                <w:highlight w:val="none"/>
                <w:lang w:eastAsia="zh-CN" w:bidi="ar"/>
              </w:rPr>
              <w:t>投标</w:t>
            </w:r>
            <w:r>
              <w:rPr>
                <w:rFonts w:hint="eastAsia" w:ascii="宋体" w:hAnsi="宋体" w:eastAsia="宋体" w:cs="宋体"/>
                <w:b/>
                <w:bCs w:val="0"/>
                <w:color w:val="auto"/>
                <w:kern w:val="2"/>
                <w:sz w:val="24"/>
                <w:szCs w:val="24"/>
                <w:highlight w:val="none"/>
                <w:lang w:val="en-US" w:eastAsia="zh-CN" w:bidi="ar"/>
              </w:rPr>
              <w:t>人承诺若中标，验收时（包括初验和最终验收），</w:t>
            </w:r>
            <w:r>
              <w:rPr>
                <w:rFonts w:hint="default" w:ascii="宋体" w:hAnsi="宋体" w:eastAsia="宋体" w:cs="宋体"/>
                <w:b/>
                <w:bCs w:val="0"/>
                <w:color w:val="auto"/>
                <w:kern w:val="2"/>
                <w:sz w:val="24"/>
                <w:szCs w:val="24"/>
                <w:highlight w:val="none"/>
                <w:lang w:eastAsia="zh-CN" w:bidi="ar"/>
              </w:rPr>
              <w:t>投标</w:t>
            </w:r>
            <w:r>
              <w:rPr>
                <w:rFonts w:hint="eastAsia" w:ascii="宋体" w:hAnsi="宋体" w:eastAsia="宋体" w:cs="宋体"/>
                <w:b/>
                <w:bCs w:val="0"/>
                <w:color w:val="auto"/>
                <w:kern w:val="2"/>
                <w:sz w:val="24"/>
                <w:szCs w:val="24"/>
                <w:highlight w:val="none"/>
                <w:lang w:val="en-US" w:eastAsia="zh-CN" w:bidi="ar"/>
              </w:rPr>
              <w:t>人必须派代表参加并确认验收结果，否则视为</w:t>
            </w:r>
            <w:r>
              <w:rPr>
                <w:rFonts w:hint="default" w:ascii="宋体" w:hAnsi="宋体" w:eastAsia="宋体" w:cs="宋体"/>
                <w:b/>
                <w:bCs w:val="0"/>
                <w:color w:val="auto"/>
                <w:kern w:val="2"/>
                <w:sz w:val="24"/>
                <w:szCs w:val="24"/>
                <w:highlight w:val="none"/>
                <w:lang w:eastAsia="zh-CN" w:bidi="ar"/>
              </w:rPr>
              <w:t>投标</w:t>
            </w:r>
            <w:r>
              <w:rPr>
                <w:rFonts w:hint="eastAsia" w:ascii="宋体" w:hAnsi="宋体" w:eastAsia="宋体" w:cs="宋体"/>
                <w:b/>
                <w:bCs w:val="0"/>
                <w:color w:val="auto"/>
                <w:kern w:val="2"/>
                <w:sz w:val="24"/>
                <w:szCs w:val="24"/>
                <w:highlight w:val="none"/>
                <w:lang w:val="en-US" w:eastAsia="zh-CN" w:bidi="ar"/>
              </w:rPr>
              <w:t>人对验收意见无异议。如该批次产品在最终验收时，出现开箱破损或者故障，无法进行最终验收的，</w:t>
            </w:r>
            <w:r>
              <w:rPr>
                <w:rFonts w:hint="default" w:ascii="宋体" w:hAnsi="宋体" w:eastAsia="宋体" w:cs="宋体"/>
                <w:b/>
                <w:bCs w:val="0"/>
                <w:color w:val="auto"/>
                <w:kern w:val="2"/>
                <w:sz w:val="24"/>
                <w:szCs w:val="24"/>
                <w:highlight w:val="none"/>
                <w:lang w:eastAsia="zh-CN" w:bidi="ar"/>
              </w:rPr>
              <w:t>投标</w:t>
            </w:r>
            <w:r>
              <w:rPr>
                <w:rFonts w:hint="eastAsia" w:ascii="宋体" w:hAnsi="宋体" w:eastAsia="宋体" w:cs="宋体"/>
                <w:b/>
                <w:bCs w:val="0"/>
                <w:color w:val="auto"/>
                <w:kern w:val="2"/>
                <w:sz w:val="24"/>
                <w:szCs w:val="24"/>
                <w:highlight w:val="none"/>
                <w:lang w:val="en-US" w:eastAsia="zh-CN" w:bidi="ar"/>
              </w:rPr>
              <w:t>人无条件给予更换新机并保证最终验收的顺畅进行。若</w:t>
            </w:r>
            <w:r>
              <w:rPr>
                <w:rFonts w:hint="default" w:ascii="宋体" w:hAnsi="宋体" w:eastAsia="宋体" w:cs="宋体"/>
                <w:b/>
                <w:bCs w:val="0"/>
                <w:color w:val="auto"/>
                <w:kern w:val="2"/>
                <w:sz w:val="24"/>
                <w:szCs w:val="24"/>
                <w:highlight w:val="none"/>
                <w:lang w:eastAsia="zh-CN" w:bidi="ar"/>
              </w:rPr>
              <w:t>投标</w:t>
            </w:r>
            <w:r>
              <w:rPr>
                <w:rFonts w:hint="eastAsia" w:ascii="宋体" w:hAnsi="宋体" w:eastAsia="宋体" w:cs="宋体"/>
                <w:b/>
                <w:bCs w:val="0"/>
                <w:color w:val="auto"/>
                <w:kern w:val="2"/>
                <w:sz w:val="24"/>
                <w:szCs w:val="24"/>
                <w:highlight w:val="none"/>
                <w:lang w:val="en-US" w:eastAsia="zh-CN" w:bidi="ar"/>
              </w:rPr>
              <w:t>人不同意更换新机或者配合，采购单位有权直接于中标供应商的履约保证金中扣除该批次产品及安装的等额费用，该条款可能造成的成本费用包含在</w:t>
            </w:r>
            <w:r>
              <w:rPr>
                <w:rFonts w:hint="default" w:ascii="宋体" w:hAnsi="宋体" w:eastAsia="宋体" w:cs="宋体"/>
                <w:b/>
                <w:bCs w:val="0"/>
                <w:color w:val="auto"/>
                <w:kern w:val="2"/>
                <w:sz w:val="24"/>
                <w:szCs w:val="24"/>
                <w:highlight w:val="none"/>
                <w:lang w:eastAsia="zh-CN" w:bidi="ar"/>
              </w:rPr>
              <w:t>投标</w:t>
            </w:r>
            <w:r>
              <w:rPr>
                <w:rFonts w:hint="eastAsia" w:ascii="宋体" w:hAnsi="宋体" w:eastAsia="宋体" w:cs="宋体"/>
                <w:b/>
                <w:bCs w:val="0"/>
                <w:color w:val="auto"/>
                <w:kern w:val="2"/>
                <w:sz w:val="24"/>
                <w:szCs w:val="24"/>
                <w:highlight w:val="none"/>
                <w:lang w:val="en-US" w:eastAsia="zh-CN" w:bidi="ar"/>
              </w:rPr>
              <w:t>人的总报价中。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74"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55</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16"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b/>
                <w:bCs w:val="0"/>
                <w:color w:val="auto"/>
                <w:kern w:val="2"/>
                <w:sz w:val="24"/>
                <w:szCs w:val="24"/>
                <w:highlight w:val="none"/>
                <w:lang w:val="en-US" w:eastAsia="zh-CN" w:bidi="ar"/>
              </w:rPr>
              <w:t>*10、</w:t>
            </w:r>
            <w:r>
              <w:rPr>
                <w:rFonts w:hint="default" w:ascii="宋体" w:hAnsi="宋体" w:eastAsia="宋体" w:cs="宋体"/>
                <w:b/>
                <w:bCs w:val="0"/>
                <w:color w:val="auto"/>
                <w:kern w:val="2"/>
                <w:sz w:val="24"/>
                <w:szCs w:val="24"/>
                <w:highlight w:val="none"/>
                <w:lang w:eastAsia="zh-CN" w:bidi="ar"/>
              </w:rPr>
              <w:t>投标</w:t>
            </w:r>
            <w:r>
              <w:rPr>
                <w:rFonts w:hint="eastAsia" w:ascii="宋体" w:hAnsi="宋体" w:eastAsia="宋体" w:cs="宋体"/>
                <w:b/>
                <w:bCs w:val="0"/>
                <w:color w:val="auto"/>
                <w:kern w:val="2"/>
                <w:sz w:val="24"/>
                <w:szCs w:val="24"/>
                <w:highlight w:val="none"/>
                <w:lang w:val="en-US" w:eastAsia="zh-CN" w:bidi="ar"/>
              </w:rPr>
              <w:t>人若中标，因</w:t>
            </w:r>
            <w:r>
              <w:rPr>
                <w:rFonts w:hint="default" w:ascii="宋体" w:hAnsi="宋体" w:eastAsia="宋体" w:cs="宋体"/>
                <w:b/>
                <w:bCs w:val="0"/>
                <w:color w:val="auto"/>
                <w:kern w:val="2"/>
                <w:sz w:val="24"/>
                <w:szCs w:val="24"/>
                <w:highlight w:val="none"/>
                <w:lang w:eastAsia="zh-CN" w:bidi="ar"/>
              </w:rPr>
              <w:t>投标</w:t>
            </w:r>
            <w:r>
              <w:rPr>
                <w:rFonts w:hint="eastAsia" w:ascii="宋体" w:hAnsi="宋体" w:eastAsia="宋体" w:cs="宋体"/>
                <w:b/>
                <w:bCs w:val="0"/>
                <w:color w:val="auto"/>
                <w:kern w:val="2"/>
                <w:sz w:val="24"/>
                <w:szCs w:val="24"/>
                <w:highlight w:val="none"/>
                <w:lang w:val="en-US" w:eastAsia="zh-CN" w:bidi="ar"/>
              </w:rPr>
              <w:t>人产品给采购单位造成的客诉，若</w:t>
            </w:r>
            <w:r>
              <w:rPr>
                <w:rFonts w:hint="default" w:ascii="宋体" w:hAnsi="宋体" w:eastAsia="宋体" w:cs="宋体"/>
                <w:b/>
                <w:bCs w:val="0"/>
                <w:color w:val="auto"/>
                <w:kern w:val="2"/>
                <w:sz w:val="24"/>
                <w:szCs w:val="24"/>
                <w:highlight w:val="none"/>
                <w:lang w:eastAsia="zh-CN" w:bidi="ar"/>
              </w:rPr>
              <w:t>投标</w:t>
            </w:r>
            <w:r>
              <w:rPr>
                <w:rFonts w:hint="eastAsia" w:ascii="宋体" w:hAnsi="宋体" w:eastAsia="宋体" w:cs="宋体"/>
                <w:b/>
                <w:bCs w:val="0"/>
                <w:color w:val="auto"/>
                <w:kern w:val="2"/>
                <w:sz w:val="24"/>
                <w:szCs w:val="24"/>
                <w:highlight w:val="none"/>
                <w:lang w:val="en-US" w:eastAsia="zh-CN" w:bidi="ar"/>
              </w:rPr>
              <w:t>人在接到采购单位通知后3个日历日内无法解决客诉，采购单位有权自行解决客诉，并直接于</w:t>
            </w:r>
            <w:r>
              <w:rPr>
                <w:rFonts w:hint="default" w:ascii="宋体" w:hAnsi="宋体" w:eastAsia="宋体" w:cs="宋体"/>
                <w:b/>
                <w:bCs w:val="0"/>
                <w:color w:val="auto"/>
                <w:kern w:val="2"/>
                <w:sz w:val="24"/>
                <w:szCs w:val="24"/>
                <w:highlight w:val="none"/>
                <w:lang w:eastAsia="zh-CN" w:bidi="ar"/>
              </w:rPr>
              <w:t>投标</w:t>
            </w:r>
            <w:r>
              <w:rPr>
                <w:rFonts w:hint="eastAsia" w:ascii="宋体" w:hAnsi="宋体" w:eastAsia="宋体" w:cs="宋体"/>
                <w:b/>
                <w:bCs w:val="0"/>
                <w:color w:val="auto"/>
                <w:kern w:val="2"/>
                <w:sz w:val="24"/>
                <w:szCs w:val="24"/>
                <w:highlight w:val="none"/>
                <w:lang w:val="en-US" w:eastAsia="zh-CN" w:bidi="ar"/>
              </w:rPr>
              <w:t>人的履约保证金中扣除解决客诉所产生的费用。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74"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56</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16"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Times New Roman"/>
                <w:b/>
                <w:bCs w:val="0"/>
                <w:color w:val="auto"/>
                <w:kern w:val="2"/>
                <w:sz w:val="24"/>
                <w:szCs w:val="24"/>
                <w:highlight w:val="none"/>
                <w:lang w:val="en-US" w:eastAsia="zh-CN" w:bidi="ar"/>
              </w:rPr>
              <w:t>*</w:t>
            </w:r>
            <w:r>
              <w:rPr>
                <w:rFonts w:hint="eastAsia" w:ascii="宋体" w:hAnsi="宋体" w:eastAsia="宋体" w:cs="宋体"/>
                <w:b/>
                <w:bCs w:val="0"/>
                <w:color w:val="auto"/>
                <w:kern w:val="2"/>
                <w:sz w:val="24"/>
                <w:szCs w:val="24"/>
                <w:highlight w:val="none"/>
                <w:lang w:val="en-US" w:eastAsia="zh-CN" w:bidi="ar"/>
              </w:rPr>
              <w:t>11、投标人须在投标文件中书面承诺：中标供应商不按采购合同履行的，采购单位有权与排位在中标供应商之后第一位的中标候选供应商签订采购合同，以此类推。并且，作为中标供应商之后第一位的中标候选供应商同意与采购单位在中标结果公示期结束后直接按其报价签订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74"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57</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16"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Times New Roman"/>
                <w:b/>
                <w:bCs w:val="0"/>
                <w:color w:val="auto"/>
                <w:kern w:val="2"/>
                <w:sz w:val="24"/>
                <w:szCs w:val="24"/>
                <w:highlight w:val="none"/>
                <w:lang w:val="en-US" w:eastAsia="zh-CN" w:bidi="ar"/>
              </w:rPr>
              <w:t>*</w:t>
            </w:r>
            <w:r>
              <w:rPr>
                <w:rFonts w:hint="eastAsia" w:ascii="宋体" w:hAnsi="宋体" w:eastAsia="宋体" w:cs="宋体"/>
                <w:b/>
                <w:bCs w:val="0"/>
                <w:color w:val="auto"/>
                <w:kern w:val="2"/>
                <w:sz w:val="24"/>
                <w:szCs w:val="24"/>
                <w:highlight w:val="none"/>
                <w:lang w:val="en-US" w:eastAsia="zh-CN" w:bidi="ar"/>
              </w:rPr>
              <w:t>12、投标人对合同条款的任何负偏离将导致废标。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74"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58</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16"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Times New Roman"/>
                <w:b/>
                <w:bCs w:val="0"/>
                <w:color w:val="auto"/>
                <w:kern w:val="2"/>
                <w:sz w:val="24"/>
                <w:szCs w:val="24"/>
                <w:highlight w:val="none"/>
                <w:lang w:val="en-US" w:eastAsia="zh-CN" w:bidi="ar"/>
              </w:rPr>
              <w:t>*1</w:t>
            </w:r>
            <w:r>
              <w:rPr>
                <w:rFonts w:hint="eastAsia" w:ascii="宋体" w:hAnsi="宋体" w:eastAsia="宋体" w:cs="宋体"/>
                <w:b/>
                <w:bCs w:val="0"/>
                <w:color w:val="auto"/>
                <w:kern w:val="2"/>
                <w:sz w:val="24"/>
                <w:szCs w:val="24"/>
                <w:highlight w:val="none"/>
                <w:lang w:val="en-US" w:eastAsia="zh-CN" w:bidi="ar"/>
              </w:rPr>
              <w:t>3、对“一、招标要求”中带星号（“*”）的条款，投标人必须在投标文件中提供产品宣传单页或产品说明书或厂家官网产品页截图（加盖投标人公章，若投标人为联合体投标的，联合体中的其中一方盖章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74"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59</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16"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bCs w:val="0"/>
                <w:color w:val="auto"/>
                <w:kern w:val="2"/>
                <w:sz w:val="24"/>
                <w:szCs w:val="24"/>
                <w:highlight w:val="none"/>
                <w:lang w:val="en-US" w:eastAsia="zh-CN" w:bidi="ar"/>
              </w:rPr>
            </w:pPr>
            <w:r>
              <w:rPr>
                <w:rFonts w:hint="eastAsia" w:ascii="宋体" w:hAnsi="宋体" w:eastAsia="宋体" w:cs="宋体"/>
                <w:b/>
                <w:bCs w:val="0"/>
                <w:color w:val="auto"/>
                <w:kern w:val="2"/>
                <w:sz w:val="24"/>
                <w:szCs w:val="24"/>
                <w:highlight w:val="none"/>
                <w:lang w:val="en-US" w:eastAsia="zh-CN" w:bidi="ar"/>
              </w:rPr>
              <w:t>*14、凡属制造商的关联企业，其关联关系应符合《企业会计准则第36号——关联方披露（2006）》（财会[2006]3号）中“关联方关系”的要求，</w:t>
            </w:r>
            <w:r>
              <w:rPr>
                <w:rFonts w:hint="default" w:ascii="宋体" w:hAnsi="宋体" w:eastAsia="宋体" w:cs="宋体"/>
                <w:b/>
                <w:bCs w:val="0"/>
                <w:color w:val="auto"/>
                <w:kern w:val="2"/>
                <w:sz w:val="24"/>
                <w:szCs w:val="24"/>
                <w:highlight w:val="none"/>
                <w:lang w:eastAsia="zh-CN" w:bidi="ar"/>
              </w:rPr>
              <w:t>投标</w:t>
            </w:r>
            <w:r>
              <w:rPr>
                <w:rFonts w:hint="eastAsia" w:ascii="宋体" w:hAnsi="宋体" w:eastAsia="宋体" w:cs="宋体"/>
                <w:b/>
                <w:bCs w:val="0"/>
                <w:color w:val="auto"/>
                <w:kern w:val="2"/>
                <w:sz w:val="24"/>
                <w:szCs w:val="24"/>
                <w:highlight w:val="none"/>
                <w:lang w:val="en-US" w:eastAsia="zh-CN" w:bidi="ar"/>
              </w:rPr>
              <w:t>人应在</w:t>
            </w:r>
            <w:r>
              <w:rPr>
                <w:rFonts w:hint="default" w:ascii="宋体" w:hAnsi="宋体" w:eastAsia="宋体" w:cs="宋体"/>
                <w:b/>
                <w:bCs w:val="0"/>
                <w:color w:val="auto"/>
                <w:kern w:val="2"/>
                <w:sz w:val="24"/>
                <w:szCs w:val="24"/>
                <w:highlight w:val="none"/>
                <w:lang w:eastAsia="zh-CN" w:bidi="ar"/>
              </w:rPr>
              <w:t>投标</w:t>
            </w:r>
            <w:r>
              <w:rPr>
                <w:rFonts w:hint="eastAsia" w:ascii="宋体" w:hAnsi="宋体" w:eastAsia="宋体" w:cs="宋体"/>
                <w:b/>
                <w:bCs w:val="0"/>
                <w:color w:val="auto"/>
                <w:kern w:val="2"/>
                <w:sz w:val="24"/>
                <w:szCs w:val="24"/>
                <w:highlight w:val="none"/>
                <w:lang w:val="en-US" w:eastAsia="zh-CN" w:bidi="ar"/>
              </w:rPr>
              <w:t>文件中按后附格式提供《关联企业证明》。</w:t>
            </w:r>
          </w:p>
          <w:p>
            <w:pPr>
              <w:keepNext w:val="0"/>
              <w:keepLines w:val="0"/>
              <w:suppressLineNumbers w:val="0"/>
              <w:spacing w:before="0" w:beforeAutospacing="0" w:after="0" w:afterAutospacing="0" w:line="360" w:lineRule="auto"/>
              <w:ind w:left="0" w:right="0"/>
              <w:rPr>
                <w:rFonts w:hint="default" w:ascii="宋体" w:hAnsi="宋体" w:eastAsia="宋体" w:cs="宋体"/>
                <w:b/>
                <w:bCs w:val="0"/>
                <w:color w:val="auto"/>
                <w:kern w:val="2"/>
                <w:sz w:val="24"/>
                <w:szCs w:val="24"/>
                <w:highlight w:val="none"/>
                <w:lang w:eastAsia="zh-CN" w:bidi="ar"/>
              </w:rPr>
            </w:pPr>
            <w:r>
              <w:rPr>
                <w:rFonts w:hint="default" w:ascii="宋体" w:hAnsi="宋体" w:eastAsia="宋体" w:cs="宋体"/>
                <w:b/>
                <w:bCs w:val="0"/>
                <w:color w:val="auto"/>
                <w:kern w:val="2"/>
                <w:sz w:val="24"/>
                <w:szCs w:val="24"/>
                <w:highlight w:val="none"/>
                <w:lang w:eastAsia="zh-CN" w:bidi="ar"/>
              </w:rPr>
              <w:t>详见“第三章招标内容及要求”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74"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60</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16"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Times New Roman"/>
                <w:b/>
                <w:bCs w:val="0"/>
                <w:color w:val="auto"/>
                <w:kern w:val="2"/>
                <w:sz w:val="24"/>
                <w:szCs w:val="24"/>
                <w:highlight w:val="none"/>
                <w:lang w:val="en-US" w:eastAsia="zh-CN" w:bidi="ar"/>
              </w:rPr>
              <w:t>*1</w:t>
            </w:r>
            <w:r>
              <w:rPr>
                <w:rFonts w:hint="eastAsia" w:ascii="宋体" w:hAnsi="宋体" w:eastAsia="宋体" w:cs="宋体"/>
                <w:b/>
                <w:bCs w:val="0"/>
                <w:color w:val="auto"/>
                <w:kern w:val="2"/>
                <w:sz w:val="24"/>
                <w:szCs w:val="24"/>
                <w:highlight w:val="none"/>
                <w:lang w:val="en-US" w:eastAsia="zh-CN" w:bidi="ar"/>
              </w:rPr>
              <w:t>5、投标人所投标设备应符合国家强制性产品认证标准的要求，获得</w:t>
            </w:r>
            <w:r>
              <w:rPr>
                <w:rFonts w:hint="eastAsia" w:ascii="宋体" w:hAnsi="宋体" w:eastAsia="宋体" w:cs="Times New Roman"/>
                <w:b/>
                <w:bCs w:val="0"/>
                <w:color w:val="auto"/>
                <w:kern w:val="2"/>
                <w:sz w:val="24"/>
                <w:szCs w:val="24"/>
                <w:highlight w:val="none"/>
                <w:lang w:val="en-US" w:eastAsia="zh-CN" w:bidi="ar"/>
              </w:rPr>
              <w:t>CCC认证证书，并在投标文件中提供CCC认证证书的复印件。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74"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61</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16"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Times New Roman"/>
                <w:b/>
                <w:bCs w:val="0"/>
                <w:color w:val="auto"/>
                <w:kern w:val="2"/>
                <w:sz w:val="24"/>
                <w:szCs w:val="24"/>
                <w:highlight w:val="none"/>
                <w:lang w:val="en-US" w:eastAsia="zh-CN" w:bidi="ar"/>
              </w:rPr>
              <w:t>*1</w:t>
            </w:r>
            <w:r>
              <w:rPr>
                <w:rFonts w:hint="eastAsia" w:ascii="宋体" w:hAnsi="宋体" w:eastAsia="宋体" w:cs="宋体"/>
                <w:b/>
                <w:bCs w:val="0"/>
                <w:color w:val="auto"/>
                <w:kern w:val="2"/>
                <w:sz w:val="24"/>
                <w:szCs w:val="24"/>
                <w:highlight w:val="none"/>
                <w:lang w:val="en-US" w:eastAsia="zh-CN" w:bidi="ar"/>
              </w:rPr>
              <w:t>6、所投产品必须获得政府采购节能产品认证（激光打印机类）。投标人应在投标文件中提供其所投产品节能证书复印件（加盖投标人公章）。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74" w:type="pct"/>
            <w:tcBorders>
              <w:bottom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62</w:t>
            </w:r>
          </w:p>
        </w:tc>
        <w:tc>
          <w:tcPr>
            <w:tcW w:w="396" w:type="pct"/>
            <w:tcBorders>
              <w:bottom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tcBorders>
              <w:bottom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五</w:t>
            </w:r>
          </w:p>
        </w:tc>
        <w:tc>
          <w:tcPr>
            <w:tcW w:w="3416" w:type="pct"/>
            <w:tcBorders>
              <w:bottom w:val="single" w:color="auto" w:sz="4" w:space="0"/>
            </w:tcBorders>
            <w:noWrap w:val="0"/>
            <w:vAlign w:val="center"/>
          </w:tcPr>
          <w:p>
            <w:pPr>
              <w:keepNext w:val="0"/>
              <w:keepLines w:val="0"/>
              <w:widowControl/>
              <w:suppressLineNumbers w:val="0"/>
              <w:spacing w:before="0" w:beforeAutospacing="0" w:after="0" w:afterAutospacing="0" w:line="360" w:lineRule="auto"/>
              <w:ind w:left="0" w:right="0" w:firstLine="0" w:firstLineChars="0"/>
              <w:jc w:val="left"/>
              <w:rPr>
                <w:rFonts w:hint="default" w:ascii="宋体" w:hAnsi="宋体" w:eastAsia="宋体" w:cs="Times New Roman"/>
                <w:b/>
                <w:bCs w:val="0"/>
                <w:color w:val="auto"/>
                <w:kern w:val="2"/>
                <w:sz w:val="24"/>
                <w:szCs w:val="24"/>
                <w:highlight w:val="none"/>
                <w:lang w:bidi="ar"/>
              </w:rPr>
            </w:pPr>
            <w:r>
              <w:rPr>
                <w:rFonts w:hint="eastAsia" w:ascii="宋体" w:hAnsi="宋体" w:eastAsia="宋体" w:cs="Times New Roman"/>
                <w:b/>
                <w:bCs w:val="0"/>
                <w:color w:val="auto"/>
                <w:kern w:val="2"/>
                <w:sz w:val="24"/>
                <w:szCs w:val="24"/>
                <w:highlight w:val="none"/>
                <w:lang w:val="en-US" w:eastAsia="zh-CN" w:bidi="ar"/>
              </w:rPr>
              <w:t>投标人须对以下条款承诺：</w:t>
            </w:r>
          </w:p>
          <w:p>
            <w:pPr>
              <w:keepNext w:val="0"/>
              <w:keepLines w:val="0"/>
              <w:widowControl/>
              <w:suppressLineNumbers w:val="0"/>
              <w:spacing w:before="0" w:beforeAutospacing="0" w:after="0" w:afterAutospacing="0" w:line="360" w:lineRule="auto"/>
              <w:ind w:left="0" w:right="0" w:firstLine="0" w:firstLineChars="0"/>
              <w:jc w:val="left"/>
              <w:rPr>
                <w:rFonts w:hint="default" w:ascii="宋体" w:hAnsi="宋体" w:eastAsia="宋体" w:cs="Times New Roman"/>
                <w:b/>
                <w:bCs w:val="0"/>
                <w:color w:val="auto"/>
                <w:kern w:val="2"/>
                <w:sz w:val="24"/>
                <w:szCs w:val="24"/>
                <w:highlight w:val="none"/>
                <w:lang w:bidi="ar"/>
              </w:rPr>
            </w:pPr>
            <w:r>
              <w:rPr>
                <w:rFonts w:hint="eastAsia" w:ascii="宋体" w:hAnsi="宋体" w:eastAsia="宋体" w:cs="Times New Roman"/>
                <w:b/>
                <w:bCs w:val="0"/>
                <w:color w:val="auto"/>
                <w:kern w:val="2"/>
                <w:sz w:val="24"/>
                <w:szCs w:val="24"/>
                <w:highlight w:val="none"/>
                <w:lang w:val="en-US" w:eastAsia="zh-CN" w:bidi="ar"/>
              </w:rPr>
              <w:t>*1、中标供应商应在合同签订之日起7个日历日内向采购单位缴交合同总金额2%的供货履约保证金及合同总金额3%的服务履约保证金。供货履约保证金，采购单位于本合同有效期满且最后一批次货物供货完成后20个工作日内一次性无息支付给中标供应商（扣除相应的违约金、赔偿金）。服务履约保证金，采购单位于本合同有效期内最后一批次货物保修期届满后20个工作日内一次性无息支付给中标供应商（扣除相应的违约金、赔偿金）</w:t>
            </w:r>
          </w:p>
          <w:p>
            <w:pPr>
              <w:keepNext w:val="0"/>
              <w:keepLines w:val="0"/>
              <w:widowControl/>
              <w:suppressLineNumbers w:val="0"/>
              <w:spacing w:before="0" w:beforeAutospacing="0" w:after="0" w:afterAutospacing="0" w:line="360" w:lineRule="auto"/>
              <w:ind w:left="0" w:right="0" w:firstLine="0" w:firstLineChars="0"/>
              <w:jc w:val="left"/>
              <w:rPr>
                <w:rFonts w:hint="default" w:ascii="宋体" w:hAnsi="宋体" w:eastAsia="宋体" w:cs="Times New Roman"/>
                <w:b/>
                <w:bCs w:val="0"/>
                <w:color w:val="auto"/>
                <w:kern w:val="2"/>
                <w:sz w:val="24"/>
                <w:szCs w:val="24"/>
                <w:highlight w:val="none"/>
                <w:lang w:bidi="ar"/>
              </w:rPr>
            </w:pPr>
            <w:r>
              <w:rPr>
                <w:rFonts w:hint="eastAsia" w:ascii="宋体" w:hAnsi="宋体" w:eastAsia="宋体" w:cs="Times New Roman"/>
                <w:b/>
                <w:bCs w:val="0"/>
                <w:color w:val="auto"/>
                <w:kern w:val="2"/>
                <w:sz w:val="24"/>
                <w:szCs w:val="24"/>
                <w:highlight w:val="none"/>
                <w:lang w:val="en-US" w:eastAsia="zh-CN" w:bidi="ar"/>
              </w:rPr>
              <w:t>中标供应商因违约行为导致履约保证金被采购单位扣除的，中标供应商应于被扣除之日起7个日历日内补足，使履约保证金金额满足上述约定的要求。</w:t>
            </w:r>
          </w:p>
          <w:p>
            <w:pPr>
              <w:keepNext w:val="0"/>
              <w:keepLines w:val="0"/>
              <w:widowControl/>
              <w:suppressLineNumbers w:val="0"/>
              <w:spacing w:before="0" w:beforeAutospacing="0" w:after="0" w:afterAutospacing="0" w:line="360" w:lineRule="auto"/>
              <w:ind w:left="0" w:right="0" w:firstLine="0" w:firstLineChars="0"/>
              <w:jc w:val="left"/>
              <w:rPr>
                <w:rFonts w:hint="default" w:ascii="宋体" w:hAnsi="宋体" w:eastAsia="宋体" w:cs="Times New Roman"/>
                <w:b/>
                <w:bCs w:val="0"/>
                <w:color w:val="auto"/>
                <w:kern w:val="2"/>
                <w:sz w:val="24"/>
                <w:szCs w:val="24"/>
                <w:highlight w:val="none"/>
                <w:lang w:bidi="ar"/>
              </w:rPr>
            </w:pPr>
            <w:r>
              <w:rPr>
                <w:rFonts w:hint="eastAsia" w:ascii="宋体" w:hAnsi="宋体" w:eastAsia="宋体" w:cs="Times New Roman"/>
                <w:b/>
                <w:bCs w:val="0"/>
                <w:color w:val="auto"/>
                <w:kern w:val="2"/>
                <w:sz w:val="24"/>
                <w:szCs w:val="24"/>
                <w:highlight w:val="none"/>
                <w:lang w:val="en-US" w:eastAsia="zh-CN" w:bidi="ar"/>
              </w:rPr>
              <w:t>*2、交货方式：合同签订后分批供货，按批次支付货款。</w:t>
            </w:r>
          </w:p>
          <w:p>
            <w:pPr>
              <w:keepNext w:val="0"/>
              <w:keepLines w:val="0"/>
              <w:widowControl/>
              <w:suppressLineNumbers w:val="0"/>
              <w:spacing w:before="0" w:beforeAutospacing="0" w:after="0" w:afterAutospacing="0" w:line="360" w:lineRule="auto"/>
              <w:ind w:left="0" w:right="0" w:rightChars="0" w:firstLine="0" w:firstLineChars="0"/>
              <w:jc w:val="left"/>
              <w:rPr>
                <w:rFonts w:hint="default" w:ascii="宋体" w:hAnsi="宋体" w:eastAsia="宋体" w:cs="Times New Roman"/>
                <w:b/>
                <w:bCs w:val="0"/>
                <w:color w:val="auto"/>
                <w:kern w:val="2"/>
                <w:sz w:val="24"/>
                <w:szCs w:val="24"/>
                <w:highlight w:val="none"/>
                <w:lang w:bidi="ar"/>
              </w:rPr>
            </w:pPr>
            <w:r>
              <w:rPr>
                <w:rFonts w:hint="eastAsia" w:ascii="宋体" w:hAnsi="宋体" w:eastAsia="宋体" w:cs="Times New Roman"/>
                <w:b/>
                <w:bCs w:val="0"/>
                <w:color w:val="auto"/>
                <w:kern w:val="2"/>
                <w:sz w:val="24"/>
                <w:szCs w:val="24"/>
                <w:highlight w:val="none"/>
                <w:lang w:val="en-US" w:eastAsia="zh-CN" w:bidi="ar"/>
              </w:rPr>
              <w:t>*3、货交采购单位仓库的，经采购单位初验合格后，采购单位凭如下单证和文件在 45 个日历日内向中标供应商一次性支付至该批次货款的 100 %。</w:t>
            </w:r>
          </w:p>
          <w:p>
            <w:pPr>
              <w:keepNext w:val="0"/>
              <w:keepLines w:val="0"/>
              <w:widowControl/>
              <w:suppressLineNumbers w:val="0"/>
              <w:spacing w:before="0" w:beforeAutospacing="0" w:after="0" w:afterAutospacing="0" w:line="360" w:lineRule="auto"/>
              <w:ind w:left="0" w:right="0" w:rightChars="0" w:firstLine="0" w:firstLineChars="0"/>
              <w:jc w:val="left"/>
              <w:rPr>
                <w:rFonts w:hint="default" w:ascii="宋体" w:hAnsi="宋体" w:eastAsia="宋体" w:cs="Times New Roman"/>
                <w:b/>
                <w:bCs w:val="0"/>
                <w:color w:val="auto"/>
                <w:kern w:val="2"/>
                <w:sz w:val="24"/>
                <w:szCs w:val="24"/>
                <w:highlight w:val="none"/>
                <w:lang w:bidi="ar"/>
              </w:rPr>
            </w:pPr>
            <w:r>
              <w:rPr>
                <w:rFonts w:hint="eastAsia" w:ascii="宋体" w:hAnsi="宋体" w:eastAsia="宋体" w:cs="Times New Roman"/>
                <w:b/>
                <w:bCs w:val="0"/>
                <w:color w:val="auto"/>
                <w:kern w:val="2"/>
                <w:sz w:val="24"/>
                <w:szCs w:val="24"/>
                <w:highlight w:val="none"/>
                <w:lang w:val="en-US" w:eastAsia="zh-CN" w:bidi="ar"/>
              </w:rPr>
              <w:t>中标供应商要求付款应提交下列单证和文件：</w:t>
            </w:r>
          </w:p>
          <w:p>
            <w:pPr>
              <w:keepNext w:val="0"/>
              <w:keepLines w:val="0"/>
              <w:widowControl/>
              <w:suppressLineNumbers w:val="0"/>
              <w:spacing w:before="0" w:beforeAutospacing="0" w:after="0" w:afterAutospacing="0" w:line="360" w:lineRule="auto"/>
              <w:ind w:left="0" w:right="0" w:rightChars="0" w:firstLine="0" w:firstLineChars="0"/>
              <w:jc w:val="left"/>
              <w:rPr>
                <w:rFonts w:hint="default" w:ascii="宋体" w:hAnsi="宋体" w:eastAsia="宋体" w:cs="Times New Roman"/>
                <w:b/>
                <w:bCs w:val="0"/>
                <w:color w:val="auto"/>
                <w:kern w:val="2"/>
                <w:sz w:val="24"/>
                <w:szCs w:val="24"/>
                <w:highlight w:val="none"/>
                <w:lang w:bidi="ar"/>
              </w:rPr>
            </w:pPr>
            <w:r>
              <w:rPr>
                <w:rFonts w:hint="eastAsia" w:ascii="宋体" w:hAnsi="宋体" w:eastAsia="宋体" w:cs="Times New Roman"/>
                <w:b/>
                <w:bCs w:val="0"/>
                <w:color w:val="auto"/>
                <w:kern w:val="2"/>
                <w:sz w:val="24"/>
                <w:szCs w:val="24"/>
                <w:highlight w:val="none"/>
                <w:lang w:val="en-US" w:eastAsia="zh-CN" w:bidi="ar"/>
              </w:rPr>
              <w:t>a.金额为100%的该批次货款的一般纳税人增值税专用发票；</w:t>
            </w:r>
          </w:p>
          <w:p>
            <w:pPr>
              <w:keepNext w:val="0"/>
              <w:keepLines w:val="0"/>
              <w:widowControl/>
              <w:suppressLineNumbers w:val="0"/>
              <w:spacing w:before="0" w:beforeAutospacing="0" w:after="0" w:afterAutospacing="0" w:line="360" w:lineRule="auto"/>
              <w:ind w:left="0" w:right="0" w:rightChars="0" w:firstLine="0" w:firstLineChars="0"/>
              <w:jc w:val="left"/>
              <w:rPr>
                <w:rFonts w:hint="default" w:ascii="宋体" w:hAnsi="宋体" w:eastAsia="宋体" w:cs="Times New Roman"/>
                <w:b/>
                <w:bCs w:val="0"/>
                <w:color w:val="auto"/>
                <w:kern w:val="2"/>
                <w:sz w:val="24"/>
                <w:szCs w:val="24"/>
                <w:highlight w:val="none"/>
                <w:lang w:bidi="ar"/>
              </w:rPr>
            </w:pPr>
            <w:r>
              <w:rPr>
                <w:rFonts w:hint="eastAsia" w:ascii="宋体" w:hAnsi="宋体" w:eastAsia="宋体" w:cs="Times New Roman"/>
                <w:b/>
                <w:bCs w:val="0"/>
                <w:color w:val="auto"/>
                <w:kern w:val="2"/>
                <w:sz w:val="24"/>
                <w:szCs w:val="24"/>
                <w:highlight w:val="none"/>
                <w:lang w:val="en-US" w:eastAsia="zh-CN" w:bidi="ar"/>
              </w:rPr>
              <w:t>b.中标供应商已缴纳该批货物的中标/成交服务费和二次配送费用、仓储操作费的证明材料；</w:t>
            </w:r>
          </w:p>
          <w:p>
            <w:pPr>
              <w:keepNext w:val="0"/>
              <w:keepLines w:val="0"/>
              <w:widowControl/>
              <w:suppressLineNumbers w:val="0"/>
              <w:spacing w:before="0" w:beforeAutospacing="0" w:after="0" w:afterAutospacing="0" w:line="360" w:lineRule="auto"/>
              <w:ind w:left="0" w:right="0" w:rightChars="0" w:firstLine="0" w:firstLineChars="0"/>
              <w:jc w:val="left"/>
              <w:rPr>
                <w:rFonts w:hint="default" w:ascii="宋体" w:hAnsi="宋体" w:eastAsia="宋体" w:cs="Times New Roman"/>
                <w:b/>
                <w:bCs w:val="0"/>
                <w:color w:val="auto"/>
                <w:kern w:val="2"/>
                <w:sz w:val="24"/>
                <w:szCs w:val="24"/>
                <w:highlight w:val="none"/>
                <w:lang w:bidi="ar"/>
              </w:rPr>
            </w:pPr>
            <w:r>
              <w:rPr>
                <w:rFonts w:hint="eastAsia" w:ascii="宋体" w:hAnsi="宋体" w:eastAsia="宋体" w:cs="Times New Roman"/>
                <w:b/>
                <w:bCs w:val="0"/>
                <w:color w:val="auto"/>
                <w:kern w:val="2"/>
                <w:sz w:val="24"/>
                <w:szCs w:val="24"/>
                <w:highlight w:val="none"/>
                <w:lang w:val="en-US" w:eastAsia="zh-CN" w:bidi="ar"/>
              </w:rPr>
              <w:t>c.采购单位已收讫的该批次货物的《签收单》。</w:t>
            </w:r>
          </w:p>
          <w:p>
            <w:pPr>
              <w:keepNext w:val="0"/>
              <w:keepLines w:val="0"/>
              <w:widowControl/>
              <w:suppressLineNumbers w:val="0"/>
              <w:spacing w:before="0" w:beforeAutospacing="0" w:after="0" w:afterAutospacing="0" w:line="360" w:lineRule="auto"/>
              <w:ind w:left="0" w:right="0" w:rightChars="0" w:firstLine="0" w:firstLineChars="0"/>
              <w:jc w:val="left"/>
              <w:rPr>
                <w:rFonts w:hint="default" w:ascii="宋体" w:hAnsi="宋体" w:eastAsia="宋体" w:cs="Times New Roman"/>
                <w:b/>
                <w:bCs w:val="0"/>
                <w:color w:val="auto"/>
                <w:kern w:val="2"/>
                <w:sz w:val="24"/>
                <w:szCs w:val="24"/>
                <w:highlight w:val="none"/>
                <w:lang w:bidi="ar"/>
              </w:rPr>
            </w:pPr>
            <w:r>
              <w:rPr>
                <w:rFonts w:hint="eastAsia" w:ascii="宋体" w:hAnsi="宋体" w:eastAsia="宋体" w:cs="Times New Roman"/>
                <w:b/>
                <w:bCs w:val="0"/>
                <w:color w:val="auto"/>
                <w:kern w:val="2"/>
                <w:sz w:val="24"/>
                <w:szCs w:val="24"/>
                <w:highlight w:val="none"/>
                <w:lang w:val="en-US" w:eastAsia="zh-CN" w:bidi="ar"/>
              </w:rPr>
              <w:t>货物直送最终用户的，该批次货物经安装调试完毕并经最终验收合格后，采购单位凭如下单证和文件在45个日历日内向中标供应商一次性付清该批次货款的全款。</w:t>
            </w:r>
          </w:p>
          <w:p>
            <w:pPr>
              <w:keepNext w:val="0"/>
              <w:keepLines w:val="0"/>
              <w:widowControl/>
              <w:suppressLineNumbers w:val="0"/>
              <w:spacing w:before="0" w:beforeAutospacing="0" w:after="0" w:afterAutospacing="0" w:line="360" w:lineRule="auto"/>
              <w:ind w:left="0" w:right="0" w:rightChars="0" w:firstLine="0" w:firstLineChars="0"/>
              <w:jc w:val="left"/>
              <w:rPr>
                <w:rFonts w:hint="default" w:ascii="宋体" w:hAnsi="宋体" w:eastAsia="宋体" w:cs="Times New Roman"/>
                <w:b/>
                <w:bCs w:val="0"/>
                <w:color w:val="auto"/>
                <w:kern w:val="2"/>
                <w:sz w:val="24"/>
                <w:szCs w:val="24"/>
                <w:highlight w:val="none"/>
                <w:lang w:bidi="ar"/>
              </w:rPr>
            </w:pPr>
            <w:r>
              <w:rPr>
                <w:rFonts w:hint="eastAsia" w:ascii="宋体" w:hAnsi="宋体" w:eastAsia="宋体" w:cs="Times New Roman"/>
                <w:b/>
                <w:bCs w:val="0"/>
                <w:color w:val="auto"/>
                <w:kern w:val="2"/>
                <w:sz w:val="24"/>
                <w:szCs w:val="24"/>
                <w:highlight w:val="none"/>
                <w:lang w:val="en-US" w:eastAsia="zh-CN" w:bidi="ar"/>
              </w:rPr>
              <w:t>a.金额为100%的该批次货款的一般纳税人增值税专用发票；</w:t>
            </w:r>
          </w:p>
          <w:p>
            <w:pPr>
              <w:keepNext w:val="0"/>
              <w:keepLines w:val="0"/>
              <w:widowControl/>
              <w:suppressLineNumbers w:val="0"/>
              <w:spacing w:before="0" w:beforeAutospacing="0" w:after="0" w:afterAutospacing="0" w:line="360" w:lineRule="auto"/>
              <w:ind w:left="0" w:right="0" w:rightChars="0" w:firstLine="0" w:firstLineChars="0"/>
              <w:jc w:val="left"/>
              <w:rPr>
                <w:rFonts w:hint="default" w:ascii="宋体" w:hAnsi="宋体" w:eastAsia="宋体" w:cs="Times New Roman"/>
                <w:b/>
                <w:bCs w:val="0"/>
                <w:color w:val="auto"/>
                <w:kern w:val="2"/>
                <w:sz w:val="24"/>
                <w:szCs w:val="24"/>
                <w:highlight w:val="none"/>
                <w:lang w:bidi="ar"/>
              </w:rPr>
            </w:pPr>
            <w:r>
              <w:rPr>
                <w:rFonts w:hint="eastAsia" w:ascii="宋体" w:hAnsi="宋体" w:eastAsia="宋体" w:cs="Times New Roman"/>
                <w:b/>
                <w:bCs w:val="0"/>
                <w:color w:val="auto"/>
                <w:kern w:val="2"/>
                <w:sz w:val="24"/>
                <w:szCs w:val="24"/>
                <w:highlight w:val="none"/>
                <w:lang w:val="en-US" w:eastAsia="zh-CN" w:bidi="ar"/>
              </w:rPr>
              <w:t>b.中标供应商已缴纳该批货物的成交服务费的证明材料；</w:t>
            </w:r>
          </w:p>
          <w:p>
            <w:pPr>
              <w:keepNext w:val="0"/>
              <w:keepLines w:val="0"/>
              <w:widowControl/>
              <w:suppressLineNumbers w:val="0"/>
              <w:spacing w:before="0" w:beforeAutospacing="0" w:after="0" w:afterAutospacing="0" w:line="360" w:lineRule="auto"/>
              <w:ind w:left="0" w:right="0" w:rightChars="0" w:firstLine="0" w:firstLineChars="0"/>
              <w:jc w:val="left"/>
              <w:rPr>
                <w:rFonts w:hint="default" w:ascii="宋体" w:hAnsi="宋体" w:eastAsia="宋体" w:cs="Times New Roman"/>
                <w:b/>
                <w:bCs w:val="0"/>
                <w:color w:val="auto"/>
                <w:kern w:val="2"/>
                <w:sz w:val="24"/>
                <w:szCs w:val="24"/>
                <w:highlight w:val="none"/>
                <w:lang w:bidi="ar"/>
              </w:rPr>
            </w:pPr>
            <w:r>
              <w:rPr>
                <w:rFonts w:hint="eastAsia" w:ascii="宋体" w:hAnsi="宋体" w:eastAsia="宋体" w:cs="Times New Roman"/>
                <w:b/>
                <w:bCs w:val="0"/>
                <w:color w:val="auto"/>
                <w:kern w:val="2"/>
                <w:sz w:val="24"/>
                <w:szCs w:val="24"/>
                <w:highlight w:val="none"/>
                <w:lang w:val="en-US" w:eastAsia="zh-CN" w:bidi="ar"/>
              </w:rPr>
              <w:t>c.该批次货物的《验收报告》(经最终用户签署)。</w:t>
            </w:r>
          </w:p>
          <w:p>
            <w:pPr>
              <w:keepNext w:val="0"/>
              <w:keepLines w:val="0"/>
              <w:widowControl/>
              <w:suppressLineNumbers w:val="0"/>
              <w:spacing w:before="0" w:beforeAutospacing="0" w:after="0" w:afterAutospacing="0" w:line="360" w:lineRule="auto"/>
              <w:ind w:left="0" w:right="0" w:rightChars="0" w:firstLine="0" w:firstLineChars="0"/>
              <w:jc w:val="left"/>
              <w:rPr>
                <w:rFonts w:hint="default" w:ascii="宋体" w:hAnsi="宋体" w:eastAsia="宋体" w:cs="Times New Roman"/>
                <w:b/>
                <w:bCs w:val="0"/>
                <w:color w:val="auto"/>
                <w:kern w:val="2"/>
                <w:sz w:val="24"/>
                <w:szCs w:val="24"/>
                <w:highlight w:val="none"/>
                <w:lang w:bidi="ar"/>
              </w:rPr>
            </w:pPr>
            <w:r>
              <w:rPr>
                <w:rFonts w:hint="eastAsia" w:ascii="宋体" w:hAnsi="宋体" w:eastAsia="宋体" w:cs="Times New Roman"/>
                <w:b/>
                <w:bCs w:val="0"/>
                <w:color w:val="auto"/>
                <w:kern w:val="2"/>
                <w:sz w:val="24"/>
                <w:szCs w:val="24"/>
                <w:highlight w:val="none"/>
                <w:lang w:val="en-US" w:eastAsia="zh-CN" w:bidi="ar"/>
              </w:rPr>
              <w:t xml:space="preserve"> </w:t>
            </w:r>
          </w:p>
          <w:p>
            <w:pPr>
              <w:keepNext w:val="0"/>
              <w:keepLines w:val="0"/>
              <w:suppressLineNumbers w:val="0"/>
              <w:spacing w:before="0" w:beforeAutospacing="0" w:after="0" w:afterAutospacing="0" w:line="360" w:lineRule="auto"/>
              <w:ind w:left="0" w:right="0"/>
              <w:rPr>
                <w:rFonts w:hint="default" w:ascii="宋体" w:hAnsi="宋体" w:eastAsia="宋体" w:cs="Times New Roman"/>
                <w:b/>
                <w:color w:val="auto"/>
                <w:sz w:val="24"/>
                <w:szCs w:val="24"/>
                <w:highlight w:val="none"/>
                <w:lang w:bidi="ar"/>
              </w:rPr>
            </w:pPr>
            <w:r>
              <w:rPr>
                <w:rFonts w:hint="eastAsia" w:ascii="宋体" w:hAnsi="宋体" w:eastAsia="宋体" w:cs="Times New Roman"/>
                <w:b/>
                <w:bCs w:val="0"/>
                <w:color w:val="auto"/>
                <w:kern w:val="2"/>
                <w:sz w:val="24"/>
                <w:szCs w:val="24"/>
                <w:highlight w:val="none"/>
                <w:lang w:val="en-US" w:eastAsia="zh-CN" w:bidi="ar"/>
              </w:rPr>
              <w:t>备注：中标供应商可提出比以上内容更有利于采购单位的付款方式。</w:t>
            </w:r>
          </w:p>
        </w:tc>
      </w:tr>
    </w:tbl>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备注：由于编排顺序混乱而导致投标文件被误读或漏读，该投标人的投标可能被视为无效投标或承担不利的评标结果。</w:t>
      </w:r>
    </w:p>
    <w:p>
      <w:pPr>
        <w:spacing w:line="360" w:lineRule="auto"/>
        <w:jc w:val="center"/>
        <w:rPr>
          <w:rFonts w:hint="eastAsia" w:ascii="宋体" w:hAnsi="宋体" w:eastAsia="宋体" w:cs="宋体"/>
          <w:color w:val="auto"/>
          <w:sz w:val="32"/>
          <w:szCs w:val="32"/>
          <w:highlight w:val="none"/>
        </w:rPr>
      </w:pPr>
    </w:p>
    <w:p>
      <w:pPr>
        <w:spacing w:line="360" w:lineRule="auto"/>
        <w:jc w:val="center"/>
        <w:rPr>
          <w:rFonts w:hint="eastAsia" w:ascii="宋体" w:hAnsi="宋体" w:eastAsia="宋体" w:cs="宋体"/>
          <w:color w:val="auto"/>
          <w:sz w:val="32"/>
          <w:szCs w:val="32"/>
          <w:highlight w:val="none"/>
        </w:rPr>
      </w:pPr>
    </w:p>
    <w:p>
      <w:pPr>
        <w:spacing w:line="360" w:lineRule="auto"/>
        <w:jc w:val="center"/>
        <w:rPr>
          <w:rFonts w:hint="eastAsia" w:ascii="宋体" w:hAnsi="宋体" w:eastAsia="宋体" w:cs="宋体"/>
          <w:color w:val="auto"/>
          <w:sz w:val="32"/>
          <w:szCs w:val="32"/>
          <w:highlight w:val="none"/>
        </w:rPr>
      </w:pPr>
    </w:p>
    <w:p>
      <w:pPr>
        <w:spacing w:line="360" w:lineRule="auto"/>
        <w:jc w:val="center"/>
        <w:rPr>
          <w:rFonts w:hint="eastAsia" w:ascii="宋体" w:hAnsi="宋体" w:eastAsia="宋体" w:cs="宋体"/>
          <w:color w:val="auto"/>
          <w:sz w:val="32"/>
          <w:szCs w:val="32"/>
          <w:highlight w:val="none"/>
        </w:rPr>
      </w:pPr>
    </w:p>
    <w:p>
      <w:pPr>
        <w:spacing w:line="360" w:lineRule="auto"/>
        <w:jc w:val="center"/>
        <w:rPr>
          <w:rFonts w:hint="eastAsia" w:ascii="宋体" w:hAnsi="宋体" w:eastAsia="宋体" w:cs="宋体"/>
          <w:color w:val="auto"/>
          <w:sz w:val="32"/>
          <w:szCs w:val="32"/>
          <w:highlight w:val="none"/>
        </w:rPr>
      </w:pPr>
    </w:p>
    <w:p>
      <w:pPr>
        <w:spacing w:line="360" w:lineRule="auto"/>
        <w:jc w:val="center"/>
        <w:rPr>
          <w:rFonts w:hint="eastAsia" w:ascii="宋体" w:hAnsi="宋体" w:eastAsia="宋体" w:cs="宋体"/>
          <w:color w:val="auto"/>
          <w:sz w:val="32"/>
          <w:szCs w:val="32"/>
          <w:highlight w:val="none"/>
        </w:rPr>
      </w:pPr>
    </w:p>
    <w:p>
      <w:pPr>
        <w:spacing w:line="360" w:lineRule="auto"/>
        <w:jc w:val="center"/>
        <w:rPr>
          <w:rFonts w:hint="eastAsia" w:ascii="宋体" w:hAnsi="宋体" w:eastAsia="宋体" w:cs="宋体"/>
          <w:color w:val="auto"/>
          <w:sz w:val="32"/>
          <w:szCs w:val="32"/>
          <w:highlight w:val="none"/>
        </w:rPr>
      </w:pPr>
    </w:p>
    <w:p>
      <w:pPr>
        <w:spacing w:line="360" w:lineRule="auto"/>
        <w:jc w:val="center"/>
        <w:rPr>
          <w:rFonts w:hint="eastAsia" w:ascii="宋体" w:hAnsi="宋体" w:eastAsia="宋体" w:cs="宋体"/>
          <w:color w:val="auto"/>
          <w:sz w:val="32"/>
          <w:szCs w:val="32"/>
          <w:highlight w:val="none"/>
        </w:rPr>
      </w:pPr>
    </w:p>
    <w:p>
      <w:pPr>
        <w:spacing w:line="360" w:lineRule="auto"/>
        <w:jc w:val="center"/>
        <w:rPr>
          <w:rFonts w:hint="eastAsia" w:ascii="宋体" w:hAnsi="宋体" w:eastAsia="宋体" w:cs="宋体"/>
          <w:color w:val="auto"/>
          <w:sz w:val="32"/>
          <w:szCs w:val="32"/>
          <w:highlight w:val="none"/>
        </w:rPr>
      </w:pPr>
    </w:p>
    <w:p>
      <w:pPr>
        <w:spacing w:line="360" w:lineRule="auto"/>
        <w:jc w:val="center"/>
        <w:rPr>
          <w:rFonts w:hint="eastAsia" w:ascii="宋体" w:hAnsi="宋体" w:eastAsia="宋体" w:cs="宋体"/>
          <w:color w:val="auto"/>
          <w:sz w:val="32"/>
          <w:szCs w:val="32"/>
          <w:highlight w:val="none"/>
        </w:rPr>
      </w:pPr>
    </w:p>
    <w:p>
      <w:pPr>
        <w:spacing w:line="360" w:lineRule="auto"/>
        <w:jc w:val="center"/>
        <w:rPr>
          <w:rFonts w:hint="eastAsia" w:ascii="宋体" w:hAnsi="宋体" w:eastAsia="宋体" w:cs="宋体"/>
          <w:color w:val="auto"/>
          <w:sz w:val="32"/>
          <w:szCs w:val="32"/>
          <w:highlight w:val="none"/>
        </w:rPr>
      </w:pPr>
    </w:p>
    <w:p>
      <w:pPr>
        <w:spacing w:line="360" w:lineRule="auto"/>
        <w:jc w:val="center"/>
        <w:rPr>
          <w:rFonts w:hint="eastAsia" w:ascii="宋体" w:hAnsi="宋体" w:eastAsia="宋体" w:cs="宋体"/>
          <w:color w:val="auto"/>
          <w:sz w:val="32"/>
          <w:szCs w:val="32"/>
          <w:highlight w:val="none"/>
        </w:rPr>
      </w:pPr>
    </w:p>
    <w:p>
      <w:pPr>
        <w:spacing w:line="360" w:lineRule="auto"/>
        <w:jc w:val="center"/>
        <w:rPr>
          <w:rFonts w:hint="eastAsia" w:ascii="宋体" w:hAnsi="宋体" w:eastAsia="宋体" w:cs="宋体"/>
          <w:b/>
          <w:color w:val="auto"/>
          <w:sz w:val="32"/>
          <w:szCs w:val="32"/>
          <w:highlight w:val="none"/>
          <w:u w:val="single"/>
        </w:rPr>
      </w:pPr>
      <w:r>
        <w:rPr>
          <w:rFonts w:hint="eastAsia" w:ascii="宋体" w:hAnsi="宋体" w:eastAsia="宋体" w:cs="宋体"/>
          <w:color w:val="auto"/>
          <w:sz w:val="32"/>
          <w:szCs w:val="32"/>
          <w:highlight w:val="none"/>
        </w:rPr>
        <w:t>投标人须知前附表3：评标方法、评标标准、定标原则</w:t>
      </w:r>
    </w:p>
    <w:tbl>
      <w:tblPr>
        <w:tblStyle w:val="1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numPr>
                <w:ilvl w:val="0"/>
                <w:numId w:val="1"/>
              </w:numPr>
              <w:suppressLineNumbers w:val="0"/>
              <w:snapToGrid w:val="0"/>
              <w:spacing w:before="0" w:beforeAutospacing="0" w:after="0" w:afterAutospacing="0" w:line="360" w:lineRule="auto"/>
              <w:ind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评标方法：</w:t>
            </w:r>
          </w:p>
          <w:p>
            <w:pPr>
              <w:pStyle w:val="2"/>
              <w:keepNext w:val="0"/>
              <w:keepLines w:val="0"/>
              <w:suppressLineNumbers w:val="0"/>
              <w:snapToGrid w:val="0"/>
              <w:spacing w:before="0" w:beforeAutospacing="0" w:after="0" w:afterAutospacing="0" w:line="360" w:lineRule="auto"/>
              <w:ind w:left="480" w:right="0" w:firstLine="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eq \o\ac(</w:instrText>
            </w:r>
            <w:r>
              <w:rPr>
                <w:rFonts w:hint="eastAsia" w:ascii="宋体" w:hAnsi="宋体" w:eastAsia="宋体" w:cs="宋体"/>
                <w:b/>
                <w:color w:val="auto"/>
                <w:position w:val="-4"/>
                <w:sz w:val="36"/>
                <w:szCs w:val="24"/>
                <w:highlight w:val="none"/>
              </w:rPr>
              <w:instrText xml:space="preserve">□</w:instrText>
            </w:r>
            <w:r>
              <w:rPr>
                <w:rFonts w:hint="eastAsia" w:ascii="宋体" w:hAnsi="宋体" w:eastAsia="宋体" w:cs="宋体"/>
                <w:b/>
                <w:color w:val="auto"/>
                <w:sz w:val="24"/>
                <w:szCs w:val="24"/>
                <w:highlight w:val="none"/>
              </w:rPr>
              <w:instrText xml:space="preserve">,√)</w:instrText>
            </w:r>
            <w:r>
              <w:rPr>
                <w:rFonts w:hint="eastAsia" w:ascii="宋体" w:hAnsi="宋体" w:eastAsia="宋体" w:cs="宋体"/>
                <w:b/>
                <w:color w:val="auto"/>
                <w:sz w:val="24"/>
                <w:szCs w:val="24"/>
                <w:highlight w:val="none"/>
              </w:rPr>
              <w:fldChar w:fldCharType="end"/>
            </w:r>
            <w:r>
              <w:rPr>
                <w:rFonts w:hint="eastAsia" w:ascii="宋体" w:hAnsi="宋体" w:eastAsia="宋体" w:cs="宋体"/>
                <w:color w:val="auto"/>
                <w:sz w:val="24"/>
                <w:szCs w:val="24"/>
                <w:highlight w:val="none"/>
              </w:rPr>
              <w:t xml:space="preserve">综合评分法  □ 最低评标价法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suppressLineNumbers w:val="0"/>
              <w:snapToGrid w:val="0"/>
              <w:spacing w:before="0" w:beforeAutospacing="0" w:after="0" w:afterAutospacing="0" w:line="360" w:lineRule="auto"/>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二、评标标准：</w:t>
            </w:r>
          </w:p>
          <w:p>
            <w:pPr>
              <w:pStyle w:val="2"/>
              <w:keepNext w:val="0"/>
              <w:keepLines w:val="0"/>
              <w:suppressLineNumbers w:val="0"/>
              <w:snapToGrid w:val="0"/>
              <w:spacing w:before="0" w:beforeAutospacing="0" w:after="0" w:afterAutospacing="0" w:line="360" w:lineRule="auto"/>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（一）具体的评标标准、权重。</w:t>
            </w:r>
          </w:p>
          <w:p>
            <w:pPr>
              <w:pStyle w:val="2"/>
              <w:keepNext w:val="0"/>
              <w:keepLines w:val="0"/>
              <w:suppressLineNumbers w:val="0"/>
              <w:snapToGrid w:val="0"/>
              <w:spacing w:before="0" w:beforeAutospacing="0" w:after="0" w:afterAutospacing="0" w:line="360" w:lineRule="auto"/>
              <w:ind w:left="0" w:right="0"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详见附件</w:t>
            </w:r>
          </w:p>
          <w:p>
            <w:pPr>
              <w:pStyle w:val="2"/>
              <w:keepNext w:val="0"/>
              <w:keepLines w:val="0"/>
              <w:suppressLineNumbers w:val="0"/>
              <w:snapToGrid w:val="0"/>
              <w:spacing w:before="0" w:beforeAutospacing="0" w:after="0" w:afterAutospacing="0" w:line="360" w:lineRule="auto"/>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（二）推荐中标候选供应商名单。</w:t>
            </w:r>
          </w:p>
          <w:p>
            <w:pPr>
              <w:pStyle w:val="2"/>
              <w:keepNext w:val="0"/>
              <w:keepLines w:val="0"/>
              <w:suppressLineNumbers w:val="0"/>
              <w:snapToGrid w:val="0"/>
              <w:spacing w:before="0" w:beforeAutospacing="0" w:after="0" w:afterAutospacing="0" w:line="360" w:lineRule="auto"/>
              <w:ind w:left="0" w:right="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1、中标候选供应商数量：</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个。</w:t>
            </w:r>
          </w:p>
          <w:p>
            <w:pPr>
              <w:pStyle w:val="2"/>
              <w:keepNext w:val="0"/>
              <w:keepLines w:val="0"/>
              <w:suppressLineNumbers w:val="0"/>
              <w:snapToGrid w:val="0"/>
              <w:spacing w:before="0" w:beforeAutospacing="0" w:after="0" w:afterAutospacing="0" w:line="360" w:lineRule="auto"/>
              <w:ind w:left="0" w:right="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2、中标候选供应商排列顺序。经投标文件初审、澄清有关问题、比较与评价评标程序后，按以下办法推荐中标候选供应商名单的排列顺序（请按采购项目的评标方法从以下两项中选择一项打“√”）：</w:t>
            </w:r>
          </w:p>
          <w:p>
            <w:pPr>
              <w:pStyle w:val="2"/>
              <w:keepNext w:val="0"/>
              <w:keepLines w:val="0"/>
              <w:suppressLineNumbers w:val="0"/>
              <w:snapToGrid w:val="0"/>
              <w:spacing w:before="0" w:beforeAutospacing="0" w:after="0" w:afterAutospacing="0" w:line="360" w:lineRule="auto"/>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□采用最低评标价法的，按投标报价由低到高顺序排列。投标报价相同的，按技术指标优劣顺序排列。</w:t>
            </w:r>
          </w:p>
          <w:p>
            <w:pPr>
              <w:pStyle w:val="2"/>
              <w:keepNext w:val="0"/>
              <w:keepLines w:val="0"/>
              <w:suppressLineNumbers w:val="0"/>
              <w:snapToGrid w:val="0"/>
              <w:spacing w:before="0" w:beforeAutospacing="0" w:after="0" w:afterAutospacing="0" w:line="360" w:lineRule="auto"/>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eq \o\ac(</w:instrText>
            </w:r>
            <w:r>
              <w:rPr>
                <w:rFonts w:hint="eastAsia" w:ascii="宋体" w:hAnsi="宋体" w:eastAsia="宋体" w:cs="宋体"/>
                <w:b/>
                <w:color w:val="auto"/>
                <w:position w:val="-4"/>
                <w:sz w:val="36"/>
                <w:szCs w:val="24"/>
                <w:highlight w:val="none"/>
              </w:rPr>
              <w:instrText xml:space="preserve">□</w:instrText>
            </w:r>
            <w:r>
              <w:rPr>
                <w:rFonts w:hint="eastAsia" w:ascii="宋体" w:hAnsi="宋体" w:eastAsia="宋体" w:cs="宋体"/>
                <w:b/>
                <w:color w:val="auto"/>
                <w:sz w:val="24"/>
                <w:szCs w:val="24"/>
                <w:highlight w:val="none"/>
              </w:rPr>
              <w:instrText xml:space="preserve">,√)</w:instrText>
            </w:r>
            <w:r>
              <w:rPr>
                <w:rFonts w:hint="eastAsia" w:ascii="宋体" w:hAnsi="宋体" w:eastAsia="宋体" w:cs="宋体"/>
                <w:b/>
                <w:color w:val="auto"/>
                <w:sz w:val="24"/>
                <w:szCs w:val="24"/>
                <w:highlight w:val="none"/>
              </w:rPr>
              <w:fldChar w:fldCharType="end"/>
            </w:r>
            <w:r>
              <w:rPr>
                <w:rFonts w:hint="eastAsia" w:ascii="宋体" w:hAnsi="宋体" w:eastAsia="宋体" w:cs="宋体"/>
                <w:color w:val="auto"/>
                <w:sz w:val="24"/>
                <w:szCs w:val="24"/>
                <w:highlight w:val="none"/>
              </w:rPr>
              <w:t>采用综合评分法的，按评审后得分由高到低顺序排列。得分相同的，按投标报价由低到高顺序排列。得分且投标报价相同的，按技术指标优劣顺序排列。</w:t>
            </w:r>
          </w:p>
          <w:p>
            <w:pPr>
              <w:pStyle w:val="2"/>
              <w:keepNext w:val="0"/>
              <w:keepLines w:val="0"/>
              <w:suppressLineNumbers w:val="0"/>
              <w:snapToGrid w:val="0"/>
              <w:spacing w:before="0" w:beforeAutospacing="0" w:after="0" w:afterAutospacing="0" w:line="360" w:lineRule="auto"/>
              <w:ind w:left="0" w:righ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3、综合评分法特别无效投标认定</w:t>
            </w:r>
          </w:p>
          <w:p>
            <w:pPr>
              <w:pStyle w:val="2"/>
              <w:keepNext w:val="0"/>
              <w:keepLines w:val="0"/>
              <w:suppressLineNumbers w:val="0"/>
              <w:snapToGrid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对技术部分评分，无论是采用负偏离扣分、或不满足不得分、或按指标优劣程度评分的评分标准，投标人技术部分的实际得分少于招标文件设定的技术部分总分50%的认定为无效投标。</w:t>
            </w:r>
          </w:p>
          <w:p>
            <w:pPr>
              <w:pStyle w:val="6"/>
              <w:keepNext w:val="0"/>
              <w:keepLines w:val="0"/>
              <w:suppressLineNumbers w:val="0"/>
              <w:spacing w:before="0" w:beforeAutospacing="0" w:after="0" w:afterAutospacing="0" w:line="360" w:lineRule="auto"/>
              <w:ind w:left="0" w:right="0"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4、关于同一品牌产品投标的相关规定</w:t>
            </w:r>
          </w:p>
          <w:p>
            <w:pPr>
              <w:pStyle w:val="6"/>
              <w:keepNext w:val="0"/>
              <w:keepLines w:val="0"/>
              <w:suppressLineNumbers w:val="0"/>
              <w:spacing w:before="0" w:beforeAutospacing="0" w:after="0" w:afterAutospacing="0" w:line="360" w:lineRule="auto"/>
              <w:ind w:left="0" w:right="0"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如果有多家投标人以同一品牌的产品参加投标，只能视为一家。</w:t>
            </w:r>
          </w:p>
          <w:p>
            <w:pPr>
              <w:keepNext w:val="0"/>
              <w:keepLines w:val="0"/>
              <w:suppressLineNumbers w:val="0"/>
              <w:spacing w:before="0" w:beforeAutospacing="0" w:after="0" w:afterAutospacing="0" w:line="360" w:lineRule="auto"/>
              <w:ind w:left="0" w:right="0"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"http://lilun.caigou2003.com/recijiedu/2365668.html" \t "_blank"</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最低评标价法</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的采购项目，提供相同品牌产品的不同投标人参加同一合同项下投标的，以其中通过资格审查、符合性审查且报价最低的参加评标；报价相同的，由</w:t>
            </w:r>
            <w:r>
              <w:rPr>
                <w:rFonts w:hint="eastAsia" w:ascii="宋体" w:hAnsi="宋体" w:cs="宋体"/>
                <w:color w:val="auto"/>
                <w:sz w:val="24"/>
                <w:szCs w:val="24"/>
                <w:highlight w:val="none"/>
                <w:lang w:eastAsia="zh-CN"/>
              </w:rPr>
              <w:t>采购单位</w:t>
            </w:r>
            <w:r>
              <w:rPr>
                <w:rFonts w:hint="eastAsia" w:ascii="宋体" w:hAnsi="宋体" w:eastAsia="宋体" w:cs="宋体"/>
                <w:color w:val="auto"/>
                <w:sz w:val="24"/>
                <w:szCs w:val="24"/>
                <w:highlight w:val="none"/>
              </w:rPr>
              <w:t>委托</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"http://lilun.caigou2003.com/recijiedu/2539165.html" \t "_blank"</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评标委员会</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按照招标文件规定的方式确定一个参加评标的投标人，招标文件未规定的采取随机抽取方式确定，其他投标无效。</w:t>
            </w:r>
          </w:p>
          <w:p>
            <w:pPr>
              <w:keepNext w:val="0"/>
              <w:keepLines w:val="0"/>
              <w:suppressLineNumbers w:val="0"/>
              <w:spacing w:before="0" w:beforeAutospacing="0" w:after="0" w:afterAutospacing="0" w:line="360" w:lineRule="auto"/>
              <w:ind w:left="0" w:right="0" w:firstLine="3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使用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"http://lilun.caigou2003.com/recijiedu/2365667.html" \t "_blank"</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综合评分法</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的采购项目，提供相同品牌产品且通过资格审查、符合性审查的不同投标人参加同一合同项下投标的，按一家投标人计算，评审后得分最高的同品牌投标人获得中标供应商推荐资格；评审得分相同的，由</w:t>
            </w:r>
            <w:r>
              <w:rPr>
                <w:rFonts w:hint="eastAsia" w:ascii="宋体" w:hAnsi="宋体" w:cs="宋体"/>
                <w:color w:val="auto"/>
                <w:sz w:val="24"/>
                <w:szCs w:val="24"/>
                <w:highlight w:val="none"/>
                <w:lang w:eastAsia="zh-CN"/>
              </w:rPr>
              <w:t>采购单位</w:t>
            </w:r>
            <w:r>
              <w:rPr>
                <w:rFonts w:hint="eastAsia" w:ascii="宋体" w:hAnsi="宋体" w:eastAsia="宋体" w:cs="宋体"/>
                <w:color w:val="auto"/>
                <w:sz w:val="24"/>
                <w:szCs w:val="24"/>
                <w:highlight w:val="none"/>
              </w:rPr>
              <w:t>委托评标委员会按照招标文件规定的方式确定一个投标人获得中标供应商推荐资格，招标文件未规定的采取随机抽取方式确定，其他同品牌投标人不作为中标候选人。</w:t>
            </w:r>
          </w:p>
          <w:p>
            <w:pPr>
              <w:pStyle w:val="2"/>
              <w:keepNext w:val="0"/>
              <w:keepLines w:val="0"/>
              <w:suppressLineNumbers w:val="0"/>
              <w:snapToGrid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非单一产品采购项目，</w:t>
            </w:r>
            <w:r>
              <w:rPr>
                <w:rFonts w:hint="eastAsia" w:ascii="宋体" w:hAnsi="宋体" w:cs="宋体"/>
                <w:color w:val="auto"/>
                <w:sz w:val="24"/>
                <w:szCs w:val="24"/>
                <w:highlight w:val="none"/>
                <w:lang w:eastAsia="zh-CN"/>
              </w:rPr>
              <w:t>采购单位</w:t>
            </w:r>
            <w:r>
              <w:rPr>
                <w:rFonts w:hint="eastAsia" w:ascii="宋体" w:hAnsi="宋体" w:eastAsia="宋体" w:cs="宋体"/>
                <w:color w:val="auto"/>
                <w:sz w:val="24"/>
                <w:szCs w:val="24"/>
                <w:highlight w:val="none"/>
              </w:rPr>
              <w:t>应当根据采购项目技术构成、产品价格比重等合理确定核心产品，并在招标文件中载明。多家投标人提供的核心产品品牌相同的，按前两款规定处理。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suppressLineNumbers w:val="0"/>
              <w:snapToGrid w:val="0"/>
              <w:spacing w:before="0" w:beforeAutospacing="0" w:after="0" w:afterAutospacing="0" w:line="360" w:lineRule="auto"/>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三、定标原则（确定中标供应商数量：</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个）：</w:t>
            </w:r>
          </w:p>
          <w:p>
            <w:pPr>
              <w:pStyle w:val="2"/>
              <w:keepNext w:val="0"/>
              <w:keepLines w:val="0"/>
              <w:suppressLineNumbers w:val="0"/>
              <w:snapToGrid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采购单位</w:t>
            </w:r>
            <w:r>
              <w:rPr>
                <w:rFonts w:hint="eastAsia" w:ascii="宋体" w:hAnsi="宋体" w:eastAsia="宋体" w:cs="宋体"/>
                <w:color w:val="auto"/>
                <w:sz w:val="24"/>
                <w:szCs w:val="24"/>
                <w:highlight w:val="none"/>
              </w:rPr>
              <w:t>委托招标代理机构招标，在收到评标报告后五个工作日内，按照评标报告中推荐的中标候选供应商顺序确定中标供应商。</w:t>
            </w:r>
          </w:p>
          <w:p>
            <w:pPr>
              <w:pStyle w:val="2"/>
              <w:keepNext w:val="0"/>
              <w:keepLines w:val="0"/>
              <w:suppressLineNumbers w:val="0"/>
              <w:snapToGrid w:val="0"/>
              <w:spacing w:before="0" w:beforeAutospacing="0" w:after="0" w:afterAutospacing="0" w:line="360" w:lineRule="auto"/>
              <w:ind w:left="0" w:right="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eq \o\ac(</w:instrText>
            </w:r>
            <w:r>
              <w:rPr>
                <w:rFonts w:hint="eastAsia" w:ascii="宋体" w:hAnsi="宋体" w:eastAsia="宋体" w:cs="宋体"/>
                <w:b/>
                <w:color w:val="auto"/>
                <w:position w:val="-4"/>
                <w:sz w:val="36"/>
                <w:szCs w:val="24"/>
                <w:highlight w:val="none"/>
              </w:rPr>
              <w:instrText xml:space="preserve">□</w:instrText>
            </w:r>
            <w:r>
              <w:rPr>
                <w:rFonts w:hint="eastAsia" w:ascii="宋体" w:hAnsi="宋体" w:eastAsia="宋体" w:cs="宋体"/>
                <w:b/>
                <w:color w:val="auto"/>
                <w:sz w:val="24"/>
                <w:szCs w:val="24"/>
                <w:highlight w:val="none"/>
              </w:rPr>
              <w:instrText xml:space="preserve">,√)</w:instrText>
            </w:r>
            <w:r>
              <w:rPr>
                <w:rFonts w:hint="eastAsia" w:ascii="宋体" w:hAnsi="宋体" w:eastAsia="宋体" w:cs="宋体"/>
                <w:b/>
                <w:color w:val="auto"/>
                <w:sz w:val="24"/>
                <w:szCs w:val="24"/>
                <w:highlight w:val="none"/>
              </w:rPr>
              <w:fldChar w:fldCharType="end"/>
            </w:r>
            <w:r>
              <w:rPr>
                <w:rFonts w:hint="eastAsia" w:ascii="宋体" w:hAnsi="宋体" w:cs="宋体"/>
                <w:color w:val="auto"/>
                <w:sz w:val="24"/>
                <w:szCs w:val="24"/>
                <w:highlight w:val="none"/>
                <w:lang w:eastAsia="zh-CN"/>
              </w:rPr>
              <w:t>采购单位</w:t>
            </w:r>
            <w:r>
              <w:rPr>
                <w:rFonts w:hint="eastAsia" w:ascii="宋体" w:hAnsi="宋体" w:eastAsia="宋体" w:cs="宋体"/>
                <w:color w:val="auto"/>
                <w:sz w:val="24"/>
                <w:szCs w:val="24"/>
                <w:highlight w:val="none"/>
              </w:rPr>
              <w:t>委托招标代理机构招标，授权评标委员会直接确定中标供应商。</w:t>
            </w:r>
          </w:p>
          <w:p>
            <w:pPr>
              <w:pStyle w:val="2"/>
              <w:keepNext w:val="0"/>
              <w:keepLines w:val="0"/>
              <w:suppressLineNumbers w:val="0"/>
              <w:snapToGrid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采购单位</w:t>
            </w:r>
            <w:r>
              <w:rPr>
                <w:rFonts w:hint="eastAsia" w:ascii="宋体" w:hAnsi="宋体" w:eastAsia="宋体" w:cs="宋体"/>
                <w:color w:val="auto"/>
                <w:sz w:val="24"/>
                <w:szCs w:val="24"/>
                <w:highlight w:val="none"/>
              </w:rPr>
              <w:t>自行组织招标，在评标结束后五个工作日内确定中标供应商。</w:t>
            </w:r>
          </w:p>
        </w:tc>
      </w:tr>
    </w:tbl>
    <w:p>
      <w:pPr>
        <w:pStyle w:val="2"/>
        <w:snapToGrid w:val="0"/>
        <w:spacing w:line="360" w:lineRule="auto"/>
        <w:ind w:firstLine="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注：以联合体形式投标的，只能以联合体其中一方具备的条件作为评标依据。投标人应在投标文件中明确以联合体的确定一方的条件参与商务评分，投标人未明确的，则该投标人的该项商务评分按最低分处理。</w:t>
      </w:r>
    </w:p>
    <w:p>
      <w:pPr>
        <w:tabs>
          <w:tab w:val="left" w:pos="-1080"/>
          <w:tab w:val="left" w:pos="180"/>
          <w:tab w:val="left" w:pos="1080"/>
        </w:tabs>
        <w:spacing w:line="360" w:lineRule="auto"/>
        <w:rPr>
          <w:rFonts w:hint="eastAsia" w:ascii="宋体" w:hAnsi="宋体" w:eastAsia="宋体" w:cs="宋体"/>
          <w:b/>
          <w:color w:val="auto"/>
          <w:sz w:val="24"/>
          <w:szCs w:val="24"/>
          <w:highlight w:val="none"/>
        </w:rPr>
      </w:pPr>
    </w:p>
    <w:p>
      <w:pPr>
        <w:tabs>
          <w:tab w:val="left" w:pos="-1080"/>
          <w:tab w:val="left" w:pos="180"/>
          <w:tab w:val="left" w:pos="1080"/>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附件：评标标准、权重</w:t>
      </w:r>
    </w:p>
    <w:p>
      <w:pPr>
        <w:tabs>
          <w:tab w:val="left" w:pos="-1080"/>
          <w:tab w:val="left" w:pos="180"/>
          <w:tab w:val="left" w:pos="108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（一）技术评分(F1)：按</w:t>
      </w:r>
      <w:r>
        <w:rPr>
          <w:rFonts w:hint="eastAsia" w:ascii="宋体" w:hAnsi="宋体" w:cs="宋体"/>
          <w:color w:val="auto"/>
          <w:sz w:val="24"/>
          <w:szCs w:val="24"/>
          <w:highlight w:val="none"/>
          <w:lang w:val="en-US" w:eastAsia="zh-CN"/>
        </w:rPr>
        <w:t>55</w:t>
      </w:r>
      <w:r>
        <w:rPr>
          <w:rFonts w:hint="eastAsia" w:ascii="宋体" w:hAnsi="宋体" w:eastAsia="宋体" w:cs="宋体"/>
          <w:color w:val="auto"/>
          <w:sz w:val="24"/>
          <w:szCs w:val="24"/>
          <w:highlight w:val="none"/>
        </w:rPr>
        <w:t>分评分法，技术评分考虑下列因素：</w:t>
      </w:r>
    </w:p>
    <w:tbl>
      <w:tblPr>
        <w:tblStyle w:val="14"/>
        <w:tblW w:w="0" w:type="auto"/>
        <w:tblInd w:w="0" w:type="dxa"/>
        <w:tblLayout w:type="fixed"/>
        <w:tblCellMar>
          <w:top w:w="0" w:type="dxa"/>
          <w:left w:w="108" w:type="dxa"/>
          <w:bottom w:w="0" w:type="dxa"/>
          <w:right w:w="108" w:type="dxa"/>
        </w:tblCellMar>
      </w:tblPr>
      <w:tblGrid>
        <w:gridCol w:w="883"/>
        <w:gridCol w:w="6838"/>
        <w:gridCol w:w="898"/>
      </w:tblGrid>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细则内容</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满分</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Cs/>
                <w:color w:val="auto"/>
                <w:sz w:val="24"/>
                <w:szCs w:val="24"/>
                <w:highlight w:val="none"/>
              </w:rPr>
            </w:pPr>
            <w:r>
              <w:rPr>
                <w:rFonts w:hint="eastAsia" w:ascii="微软雅黑" w:hAnsi="微软雅黑" w:eastAsia="微软雅黑" w:cs="微软雅黑"/>
                <w:i w:val="0"/>
                <w:iCs w:val="0"/>
                <w:color w:val="auto"/>
                <w:kern w:val="0"/>
                <w:sz w:val="20"/>
                <w:szCs w:val="20"/>
                <w:highlight w:val="none"/>
                <w:u w:val="none"/>
                <w:lang w:val="en-US" w:eastAsia="zh-CN" w:bidi="ar"/>
              </w:rPr>
              <w:t>根据投标设备中品目号1-1的首页输出时间（黑白）进行评价。首页输出时间（黑白，就绪，A4）≤9秒的得3分，其余得0分。（（投标人需提供加盖投标人公章（若投标人为联合体投标的，联合体中的其中一方盖章即可）的产品彩页及所投标品牌的国内或国外官方网站体现该投标型号对应的规格参数的网页截图。投标人应保证彩页所注明的相关规格参数与投标人投标品牌制造商国内或国外官方网站的相关信息一致。）</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3</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Cs/>
                <w:color w:val="auto"/>
                <w:sz w:val="24"/>
                <w:szCs w:val="24"/>
                <w:highlight w:val="none"/>
              </w:rPr>
            </w:pPr>
            <w:r>
              <w:rPr>
                <w:rFonts w:hint="eastAsia" w:ascii="微软雅黑" w:hAnsi="微软雅黑" w:eastAsia="微软雅黑" w:cs="微软雅黑"/>
                <w:i w:val="0"/>
                <w:iCs w:val="0"/>
                <w:color w:val="auto"/>
                <w:kern w:val="0"/>
                <w:sz w:val="20"/>
                <w:szCs w:val="20"/>
                <w:highlight w:val="none"/>
                <w:u w:val="none"/>
                <w:lang w:val="en-US" w:eastAsia="zh-CN" w:bidi="ar"/>
              </w:rPr>
              <w:t>根据投标设备中品目号1-2的首页输出时间（黑白）进行评价。首页输出时间（黑白，就绪，A4）≤8秒的得3分，其余得0分。（（投标人需提供加盖投标人公章（若投标人为联合体投标的，联合体中的其中一方盖章即可）的产品彩页及所投标品牌的国内或国外官方网站体现该投标型号对应的规格参数的网页截图。投标人应保证彩页所注明的相关规格参数与投标人投标品牌制造商国内或国外官方网站的相关信息一致。）</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3</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Cs/>
                <w:color w:val="auto"/>
                <w:sz w:val="24"/>
                <w:szCs w:val="24"/>
                <w:highlight w:val="none"/>
              </w:rPr>
            </w:pPr>
            <w:r>
              <w:rPr>
                <w:rFonts w:hint="eastAsia" w:ascii="微软雅黑" w:hAnsi="微软雅黑" w:eastAsia="微软雅黑" w:cs="微软雅黑"/>
                <w:i w:val="0"/>
                <w:iCs w:val="0"/>
                <w:color w:val="auto"/>
                <w:kern w:val="0"/>
                <w:sz w:val="20"/>
                <w:szCs w:val="20"/>
                <w:highlight w:val="none"/>
                <w:u w:val="none"/>
                <w:lang w:val="en-US" w:eastAsia="zh-CN" w:bidi="ar"/>
              </w:rPr>
              <w:t>根据投标设备中品目号1-3的首页输出时间（黑白）进行评价。首页输出时间（黑白，就绪，A4）≤7秒的得3分，其余得0分。（（投标人需提供加盖投标人公章（若投标人为联合体投标的，联合体中的其中一方盖章即可）的产品彩页及所投标品牌的国内或国外官方网站体现该投标型号对应的规格参数的网页截图。投标人应保证彩页所注明的相关规格参数与投标人投标品牌制造商国内或国外官方网站的相关信息一致。）</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3</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Cs/>
                <w:color w:val="auto"/>
                <w:sz w:val="24"/>
                <w:szCs w:val="24"/>
                <w:highlight w:val="none"/>
              </w:rPr>
            </w:pPr>
            <w:r>
              <w:rPr>
                <w:rFonts w:hint="eastAsia" w:ascii="微软雅黑" w:hAnsi="微软雅黑" w:eastAsia="微软雅黑" w:cs="微软雅黑"/>
                <w:i w:val="0"/>
                <w:iCs w:val="0"/>
                <w:color w:val="auto"/>
                <w:kern w:val="0"/>
                <w:sz w:val="20"/>
                <w:szCs w:val="20"/>
                <w:highlight w:val="none"/>
                <w:u w:val="none"/>
                <w:lang w:val="en-US" w:eastAsia="zh-CN" w:bidi="ar"/>
              </w:rPr>
              <w:t>根据投标设备中品目号1-4的首页输出时间（黑白）进行评价。首页输出时间（（黑白，就绪，A4）≤13秒的得3分，其余得0分。（（投标人需提供加盖投标人公章（若投标人为联合体投标的，联合体中的其中一方盖章即可）的产品彩页及所投标品牌的国内或国外官方网站体现该投标型号对应的规格参数的网页截图。投标人应保证彩页所注明的相关规格参数与投标人投标品牌制造商国内或国外官方网站的相关信息一致。）</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1080"/>
                <w:tab w:val="left" w:pos="180"/>
                <w:tab w:val="left" w:pos="1080"/>
              </w:tabs>
              <w:spacing w:before="0" w:beforeAutospacing="0" w:after="0" w:afterAutospacing="0" w:line="360" w:lineRule="auto"/>
              <w:ind w:left="0" w:right="0"/>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3</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Cs/>
                <w:color w:val="auto"/>
                <w:sz w:val="24"/>
                <w:szCs w:val="24"/>
                <w:highlight w:val="none"/>
              </w:rPr>
            </w:pPr>
            <w:r>
              <w:rPr>
                <w:rFonts w:hint="eastAsia" w:ascii="微软雅黑" w:hAnsi="微软雅黑" w:eastAsia="微软雅黑" w:cs="微软雅黑"/>
                <w:i w:val="0"/>
                <w:iCs w:val="0"/>
                <w:color w:val="auto"/>
                <w:kern w:val="0"/>
                <w:sz w:val="20"/>
                <w:szCs w:val="20"/>
                <w:highlight w:val="none"/>
                <w:u w:val="none"/>
                <w:lang w:val="en-US" w:eastAsia="zh-CN" w:bidi="ar"/>
              </w:rPr>
              <w:t>根据投标设备中品目号1-4的首页输出时间（彩色）进行评价。首页输出时间（彩色，就绪，A4）≤13秒的得2分，其余得0分。（（投标人需提供加盖投标人公章（若投标人为联合体投标的，联合体中的其中一方盖章即可）的产品彩页及所投标品牌的国内或国外官方网站体现该投标型号对应的规格参数的网页截图。投标人应保证彩页所注明的相关规格参数与投标人投标品牌制造商国内或国外官方网站的相关信息一致。）</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pacing w:before="0" w:beforeAutospacing="0" w:after="0" w:afterAutospacing="0" w:line="360" w:lineRule="auto"/>
              <w:ind w:left="0" w:right="18"/>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2</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1-6</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Cs/>
                <w:color w:val="auto"/>
                <w:sz w:val="24"/>
                <w:szCs w:val="24"/>
                <w:highlight w:val="none"/>
              </w:rPr>
            </w:pPr>
            <w:r>
              <w:rPr>
                <w:rFonts w:hint="eastAsia" w:ascii="微软雅黑" w:hAnsi="微软雅黑" w:eastAsia="微软雅黑" w:cs="微软雅黑"/>
                <w:i w:val="0"/>
                <w:iCs w:val="0"/>
                <w:color w:val="auto"/>
                <w:kern w:val="0"/>
                <w:sz w:val="20"/>
                <w:szCs w:val="20"/>
                <w:highlight w:val="none"/>
                <w:u w:val="none"/>
                <w:lang w:val="en-US" w:eastAsia="zh-CN" w:bidi="ar"/>
              </w:rPr>
              <w:t>根据投标设备中品目号1-5的首页输出时间（黑白）进行评价。首页输出时间（黑白，就绪，A4）≤13秒的得3分，其余得0分。（（投标人需提供加盖投标人公章（若投标人为联合体投标的，联合体中的其中一方盖章即可）的产品彩页及所投标品牌的国内或国外官方网站体现该投标型号对应的规格参数的网页截图。投标人应保证彩页所注明的相关规格参数与投标人投标品牌制造商国内或国外官方网站的相关信息一致。）</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pacing w:before="0" w:beforeAutospacing="0" w:after="0" w:afterAutospacing="0" w:line="360" w:lineRule="auto"/>
              <w:ind w:left="0" w:right="18"/>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3</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1-7</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Cs/>
                <w:color w:val="auto"/>
                <w:sz w:val="24"/>
                <w:szCs w:val="24"/>
                <w:highlight w:val="none"/>
              </w:rPr>
            </w:pPr>
            <w:r>
              <w:rPr>
                <w:rFonts w:hint="eastAsia" w:ascii="微软雅黑" w:hAnsi="微软雅黑" w:eastAsia="微软雅黑" w:cs="微软雅黑"/>
                <w:i w:val="0"/>
                <w:iCs w:val="0"/>
                <w:color w:val="auto"/>
                <w:kern w:val="0"/>
                <w:sz w:val="20"/>
                <w:szCs w:val="20"/>
                <w:highlight w:val="none"/>
                <w:u w:val="none"/>
                <w:lang w:val="en-US" w:eastAsia="zh-CN" w:bidi="ar"/>
              </w:rPr>
              <w:t>根据投标设备中品目号1-5的首页输出时间（彩色）进行评价。首页输出时间（彩色，就绪，A4）≤13秒的得2分，其余得0分。（（投标人需提供加盖投标人公章（若投标人为联合体投标的，联合体中的其中一方盖章即可）的产品彩页及所投标品牌的国内或国外官方网站体现该投标型号对应的规格参数的网页截图。投标人应保证彩页所注明的相关规格参数与投标人投标品牌制造商国内或国外官方网站的相关信息一致。）</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pacing w:before="0" w:beforeAutospacing="0" w:after="0" w:afterAutospacing="0" w:line="360" w:lineRule="auto"/>
              <w:ind w:left="0" w:right="18"/>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2</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1-8</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Cs/>
                <w:color w:val="auto"/>
                <w:sz w:val="24"/>
                <w:szCs w:val="24"/>
                <w:highlight w:val="none"/>
              </w:rPr>
            </w:pPr>
            <w:r>
              <w:rPr>
                <w:rFonts w:hint="eastAsia" w:ascii="微软雅黑" w:hAnsi="微软雅黑" w:eastAsia="微软雅黑" w:cs="微软雅黑"/>
                <w:i w:val="0"/>
                <w:iCs w:val="0"/>
                <w:color w:val="auto"/>
                <w:kern w:val="0"/>
                <w:sz w:val="20"/>
                <w:szCs w:val="20"/>
                <w:highlight w:val="none"/>
                <w:u w:val="none"/>
                <w:lang w:val="en-US" w:eastAsia="zh-CN" w:bidi="ar"/>
              </w:rPr>
              <w:t>根据投标设备中品目号1-6的首页输出时间（黑白）进行评价。首页输出时间（（黑白，就绪，A4）≤10秒的得3分，其余得0分。（（投标人需提供加盖投标人公章（若投标人为联合体投标的，联合体中的其中一方盖章即可）的产品彩页及所投标品牌的国内或国外官方网站体现该投标型号对应的规格参数的网页截图。投标人应保证彩页所注明的相关规格参数与投标人投标品牌制造商国内或国外官方网站的相关信息一致。）</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1080"/>
                <w:tab w:val="left" w:pos="180"/>
                <w:tab w:val="left" w:pos="1080"/>
                <w:tab w:val="left" w:pos="2370"/>
              </w:tabs>
              <w:spacing w:before="0" w:beforeAutospacing="0" w:after="0" w:afterAutospacing="0" w:line="360" w:lineRule="auto"/>
              <w:ind w:left="0" w:right="0"/>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3</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Cs/>
                <w:color w:val="auto"/>
                <w:sz w:val="24"/>
                <w:szCs w:val="24"/>
                <w:highlight w:val="none"/>
              </w:rPr>
            </w:pPr>
            <w:r>
              <w:rPr>
                <w:rFonts w:hint="eastAsia" w:ascii="微软雅黑" w:hAnsi="微软雅黑" w:eastAsia="微软雅黑" w:cs="微软雅黑"/>
                <w:i w:val="0"/>
                <w:iCs w:val="0"/>
                <w:color w:val="auto"/>
                <w:kern w:val="0"/>
                <w:sz w:val="20"/>
                <w:szCs w:val="20"/>
                <w:highlight w:val="none"/>
                <w:u w:val="none"/>
                <w:lang w:val="en-US" w:eastAsia="zh-CN" w:bidi="ar"/>
              </w:rPr>
              <w:t>根据投标设备中品目号1-7的首页输出时间（黑白）进行评价。首页输出时间（黑白，就绪，A4）≤17秒的得3分，其余得0分。（（投标人需提供加盖投标人公章（若投标人为联合体投标的，联合体中的其中一方盖章即可）的产品彩页及所投标品牌的国内或国外官方网站体现该投标型号对应的规格参数的网页截图。投标人应保证彩页所注明的相关规格参数与投标人投标品牌制造商国内或国外官方网站的相关信息一致。）</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1080"/>
                <w:tab w:val="left" w:pos="180"/>
                <w:tab w:val="left" w:pos="1080"/>
                <w:tab w:val="left" w:pos="2370"/>
              </w:tabs>
              <w:spacing w:before="0" w:beforeAutospacing="0" w:after="0" w:afterAutospacing="0" w:line="360" w:lineRule="auto"/>
              <w:ind w:left="0" w:right="0"/>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3</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18"/>
                <w:szCs w:val="18"/>
                <w:highlight w:val="none"/>
                <w:u w:val="none"/>
                <w:lang w:val="en-US" w:eastAsia="zh-CN" w:bidi="ar"/>
              </w:rPr>
              <w:t>1-10</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Cs/>
                <w:color w:val="auto"/>
                <w:sz w:val="24"/>
                <w:szCs w:val="24"/>
                <w:highlight w:val="none"/>
              </w:rPr>
            </w:pPr>
            <w:r>
              <w:rPr>
                <w:rFonts w:hint="eastAsia" w:ascii="微软雅黑" w:hAnsi="微软雅黑" w:eastAsia="微软雅黑" w:cs="微软雅黑"/>
                <w:i w:val="0"/>
                <w:iCs w:val="0"/>
                <w:color w:val="auto"/>
                <w:kern w:val="0"/>
                <w:sz w:val="20"/>
                <w:szCs w:val="20"/>
                <w:highlight w:val="none"/>
                <w:u w:val="none"/>
                <w:lang w:val="en-US" w:eastAsia="zh-CN" w:bidi="ar"/>
              </w:rPr>
              <w:t>根据投标设备中品目号1-7的首页输出时间（彩色）进行评价。首页输出时间（彩色，就绪，A4）≤17秒的得2分，其余得0分。（（投标人需提供加盖投标人公章（若投标人为联合体投标的，联合体中的其中一方盖章即可）的产品彩页及所投标品牌的国内或国外官方网站体现该投标型号对应的规格参数的网页截图。投标人应保证彩页所注明的相关规格参数与投标人投标品牌制造商国内或国外官方网站的相关信息一致。）</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1080"/>
                <w:tab w:val="left" w:pos="180"/>
                <w:tab w:val="left" w:pos="1080"/>
                <w:tab w:val="left" w:pos="2370"/>
              </w:tabs>
              <w:spacing w:before="0" w:beforeAutospacing="0" w:after="0" w:afterAutospacing="0" w:line="360" w:lineRule="auto"/>
              <w:ind w:left="0" w:right="0"/>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2</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18"/>
                <w:szCs w:val="18"/>
                <w:highlight w:val="none"/>
                <w:u w:val="none"/>
                <w:lang w:val="en-US" w:eastAsia="zh-CN" w:bidi="ar"/>
              </w:rPr>
              <w:t>1-11</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Cs/>
                <w:color w:val="auto"/>
                <w:sz w:val="24"/>
                <w:szCs w:val="24"/>
                <w:highlight w:val="none"/>
              </w:rPr>
            </w:pPr>
            <w:r>
              <w:rPr>
                <w:rFonts w:hint="eastAsia" w:ascii="微软雅黑" w:hAnsi="微软雅黑" w:eastAsia="微软雅黑" w:cs="微软雅黑"/>
                <w:i w:val="0"/>
                <w:iCs w:val="0"/>
                <w:color w:val="auto"/>
                <w:kern w:val="0"/>
                <w:sz w:val="20"/>
                <w:szCs w:val="20"/>
                <w:highlight w:val="none"/>
                <w:u w:val="none"/>
                <w:lang w:val="en-US" w:eastAsia="zh-CN" w:bidi="ar"/>
              </w:rPr>
              <w:t>据投标设备中品目号1-1的典型能源消耗（kW·h）值进行评价</w:t>
            </w:r>
            <w:r>
              <w:rPr>
                <w:rFonts w:hint="default" w:ascii="微软雅黑" w:hAnsi="微软雅黑" w:eastAsia="微软雅黑" w:cs="微软雅黑"/>
                <w:i w:val="0"/>
                <w:iCs w:val="0"/>
                <w:color w:val="auto"/>
                <w:kern w:val="0"/>
                <w:sz w:val="20"/>
                <w:szCs w:val="20"/>
                <w:highlight w:val="none"/>
                <w:u w:val="none"/>
                <w:lang w:eastAsia="zh-CN" w:bidi="ar"/>
              </w:rPr>
              <w:t>。</w:t>
            </w:r>
            <w:r>
              <w:rPr>
                <w:rFonts w:hint="eastAsia" w:ascii="微软雅黑" w:hAnsi="微软雅黑" w:eastAsia="微软雅黑" w:cs="微软雅黑"/>
                <w:i w:val="0"/>
                <w:iCs w:val="0"/>
                <w:color w:val="auto"/>
                <w:kern w:val="0"/>
                <w:sz w:val="20"/>
                <w:szCs w:val="20"/>
                <w:highlight w:val="none"/>
                <w:u w:val="none"/>
                <w:lang w:val="en-US" w:eastAsia="zh-CN" w:bidi="ar"/>
              </w:rPr>
              <w:t>典型能源消耗（kW·h）≤1的得3分，其余得0分。（投标人需提供加盖投标人公章（若投标人为联合体投标的，联合体中的其中一方盖章即可）的体现该投标型号及对应的“典型能耗（kW•h)”的能效标识。）</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1080"/>
                <w:tab w:val="left" w:pos="180"/>
                <w:tab w:val="left" w:pos="1080"/>
                <w:tab w:val="left" w:pos="2370"/>
              </w:tabs>
              <w:spacing w:before="0" w:beforeAutospacing="0" w:after="0" w:afterAutospacing="0" w:line="360" w:lineRule="auto"/>
              <w:ind w:left="0" w:right="0"/>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3</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18"/>
                <w:szCs w:val="18"/>
                <w:highlight w:val="none"/>
                <w:u w:val="none"/>
                <w:lang w:val="en-US" w:eastAsia="zh-CN" w:bidi="ar"/>
              </w:rPr>
              <w:t>1-12</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Cs/>
                <w:color w:val="auto"/>
                <w:sz w:val="24"/>
                <w:szCs w:val="24"/>
                <w:highlight w:val="none"/>
              </w:rPr>
            </w:pPr>
            <w:r>
              <w:rPr>
                <w:rFonts w:hint="eastAsia" w:ascii="微软雅黑" w:hAnsi="微软雅黑" w:eastAsia="微软雅黑" w:cs="微软雅黑"/>
                <w:i w:val="0"/>
                <w:iCs w:val="0"/>
                <w:color w:val="auto"/>
                <w:kern w:val="0"/>
                <w:sz w:val="20"/>
                <w:szCs w:val="20"/>
                <w:highlight w:val="none"/>
                <w:u w:val="none"/>
                <w:lang w:val="en-US" w:eastAsia="zh-CN" w:bidi="ar"/>
              </w:rPr>
              <w:t>据投标设备中品目号1-2的典型能源消耗（kW·h）值进行评价</w:t>
            </w:r>
            <w:r>
              <w:rPr>
                <w:rFonts w:hint="default" w:ascii="微软雅黑" w:hAnsi="微软雅黑" w:eastAsia="微软雅黑" w:cs="微软雅黑"/>
                <w:i w:val="0"/>
                <w:iCs w:val="0"/>
                <w:color w:val="auto"/>
                <w:kern w:val="0"/>
                <w:sz w:val="20"/>
                <w:szCs w:val="20"/>
                <w:highlight w:val="none"/>
                <w:u w:val="none"/>
                <w:lang w:eastAsia="zh-CN" w:bidi="ar"/>
              </w:rPr>
              <w:t>。</w:t>
            </w:r>
            <w:r>
              <w:rPr>
                <w:rFonts w:hint="eastAsia" w:ascii="微软雅黑" w:hAnsi="微软雅黑" w:eastAsia="微软雅黑" w:cs="微软雅黑"/>
                <w:i w:val="0"/>
                <w:iCs w:val="0"/>
                <w:color w:val="auto"/>
                <w:kern w:val="0"/>
                <w:sz w:val="20"/>
                <w:szCs w:val="20"/>
                <w:highlight w:val="none"/>
                <w:u w:val="none"/>
                <w:lang w:val="en-US" w:eastAsia="zh-CN" w:bidi="ar"/>
              </w:rPr>
              <w:t>典型能源消耗（kW·h）≤1.2的得3分，其余得0分。（投标人需提供加盖投标人公章（若投标人为联合体投标的，联合体中的其中一方盖章即可）的体现该投标型号及对应的“典型能耗（kW•h)”的能效标识。）</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1080"/>
                <w:tab w:val="left" w:pos="180"/>
                <w:tab w:val="left" w:pos="1080"/>
                <w:tab w:val="left" w:pos="2370"/>
              </w:tabs>
              <w:spacing w:before="0" w:beforeAutospacing="0" w:after="0" w:afterAutospacing="0" w:line="360" w:lineRule="auto"/>
              <w:ind w:left="0" w:right="0"/>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3</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18"/>
                <w:szCs w:val="18"/>
                <w:highlight w:val="none"/>
                <w:u w:val="none"/>
                <w:lang w:val="en-US" w:eastAsia="zh-CN" w:bidi="ar"/>
              </w:rPr>
              <w:t>1-13</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Cs/>
                <w:color w:val="auto"/>
                <w:sz w:val="24"/>
                <w:szCs w:val="24"/>
                <w:highlight w:val="none"/>
              </w:rPr>
            </w:pPr>
            <w:r>
              <w:rPr>
                <w:rFonts w:hint="eastAsia" w:ascii="微软雅黑" w:hAnsi="微软雅黑" w:eastAsia="微软雅黑" w:cs="微软雅黑"/>
                <w:i w:val="0"/>
                <w:iCs w:val="0"/>
                <w:color w:val="auto"/>
                <w:kern w:val="0"/>
                <w:sz w:val="20"/>
                <w:szCs w:val="20"/>
                <w:highlight w:val="none"/>
                <w:u w:val="none"/>
                <w:lang w:val="en-US" w:eastAsia="zh-CN" w:bidi="ar"/>
              </w:rPr>
              <w:t>据投标设备中品目号1-3的典型能源消耗（kW·h）值进行评价</w:t>
            </w:r>
            <w:r>
              <w:rPr>
                <w:rFonts w:hint="default" w:ascii="微软雅黑" w:hAnsi="微软雅黑" w:eastAsia="微软雅黑" w:cs="微软雅黑"/>
                <w:i w:val="0"/>
                <w:iCs w:val="0"/>
                <w:color w:val="auto"/>
                <w:kern w:val="0"/>
                <w:sz w:val="20"/>
                <w:szCs w:val="20"/>
                <w:highlight w:val="none"/>
                <w:u w:val="none"/>
                <w:lang w:eastAsia="zh-CN" w:bidi="ar"/>
              </w:rPr>
              <w:t>。</w:t>
            </w:r>
            <w:r>
              <w:rPr>
                <w:rFonts w:hint="eastAsia" w:ascii="微软雅黑" w:hAnsi="微软雅黑" w:eastAsia="微软雅黑" w:cs="微软雅黑"/>
                <w:i w:val="0"/>
                <w:iCs w:val="0"/>
                <w:color w:val="auto"/>
                <w:kern w:val="0"/>
                <w:sz w:val="20"/>
                <w:szCs w:val="20"/>
                <w:highlight w:val="none"/>
                <w:u w:val="none"/>
                <w:lang w:val="en-US" w:eastAsia="zh-CN" w:bidi="ar"/>
              </w:rPr>
              <w:t>典型能源消耗（kW·h）≤1.8的得3分，其余得0分。（投标人需提供加盖投标人公章（若投标人为联合体投标的，联合体中的其中一方盖章即可）的体现该投标型号及对应的“典型能耗（kW•h)”的能效标识。）</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1080"/>
                <w:tab w:val="left" w:pos="180"/>
                <w:tab w:val="left" w:pos="1080"/>
                <w:tab w:val="left" w:pos="2370"/>
              </w:tabs>
              <w:spacing w:before="0" w:beforeAutospacing="0" w:after="0" w:afterAutospacing="0" w:line="360" w:lineRule="auto"/>
              <w:ind w:left="0" w:right="0"/>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3</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18"/>
                <w:szCs w:val="18"/>
                <w:highlight w:val="none"/>
                <w:u w:val="none"/>
                <w:lang w:val="en-US" w:eastAsia="zh-CN" w:bidi="ar"/>
              </w:rPr>
              <w:t>1-14</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Cs/>
                <w:color w:val="auto"/>
                <w:sz w:val="24"/>
                <w:szCs w:val="24"/>
                <w:highlight w:val="none"/>
              </w:rPr>
            </w:pPr>
            <w:r>
              <w:rPr>
                <w:rFonts w:hint="eastAsia" w:ascii="微软雅黑" w:hAnsi="微软雅黑" w:eastAsia="微软雅黑" w:cs="微软雅黑"/>
                <w:i w:val="0"/>
                <w:iCs w:val="0"/>
                <w:color w:val="auto"/>
                <w:kern w:val="0"/>
                <w:sz w:val="20"/>
                <w:szCs w:val="20"/>
                <w:highlight w:val="none"/>
                <w:u w:val="none"/>
                <w:lang w:val="en-US" w:eastAsia="zh-CN" w:bidi="ar"/>
              </w:rPr>
              <w:t>据投标设备中品目号1-4的典型能源消耗（kW·h）值进行评价</w:t>
            </w:r>
            <w:r>
              <w:rPr>
                <w:rFonts w:hint="default" w:ascii="微软雅黑" w:hAnsi="微软雅黑" w:eastAsia="微软雅黑" w:cs="微软雅黑"/>
                <w:i w:val="0"/>
                <w:iCs w:val="0"/>
                <w:color w:val="auto"/>
                <w:kern w:val="0"/>
                <w:sz w:val="20"/>
                <w:szCs w:val="20"/>
                <w:highlight w:val="none"/>
                <w:u w:val="none"/>
                <w:lang w:eastAsia="zh-CN" w:bidi="ar"/>
              </w:rPr>
              <w:t>。</w:t>
            </w:r>
            <w:r>
              <w:rPr>
                <w:rFonts w:hint="eastAsia" w:ascii="微软雅黑" w:hAnsi="微软雅黑" w:eastAsia="微软雅黑" w:cs="微软雅黑"/>
                <w:i w:val="0"/>
                <w:iCs w:val="0"/>
                <w:color w:val="auto"/>
                <w:kern w:val="0"/>
                <w:sz w:val="20"/>
                <w:szCs w:val="20"/>
                <w:highlight w:val="none"/>
                <w:u w:val="none"/>
                <w:lang w:val="en-US" w:eastAsia="zh-CN" w:bidi="ar"/>
              </w:rPr>
              <w:t>典型能源消耗（kW·h）≤1.2的得3分，其余得0分。（投标人需提供加盖投标人公章（若投标人为联合体投标的，联合体中的其中一方盖章即可）的体现该投标型号及对应的“典型能耗（kW•h)”的能效标识。）</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1080"/>
                <w:tab w:val="left" w:pos="180"/>
                <w:tab w:val="left" w:pos="1080"/>
                <w:tab w:val="left" w:pos="2370"/>
              </w:tabs>
              <w:spacing w:before="0" w:beforeAutospacing="0" w:after="0" w:afterAutospacing="0" w:line="360" w:lineRule="auto"/>
              <w:ind w:left="0" w:right="0"/>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3</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18"/>
                <w:szCs w:val="18"/>
                <w:highlight w:val="none"/>
                <w:u w:val="none"/>
                <w:lang w:val="en-US" w:eastAsia="zh-CN" w:bidi="ar"/>
              </w:rPr>
              <w:t>1-15</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Cs/>
                <w:color w:val="auto"/>
                <w:sz w:val="24"/>
                <w:szCs w:val="24"/>
                <w:highlight w:val="none"/>
              </w:rPr>
            </w:pPr>
            <w:r>
              <w:rPr>
                <w:rFonts w:hint="eastAsia" w:ascii="微软雅黑" w:hAnsi="微软雅黑" w:eastAsia="微软雅黑" w:cs="微软雅黑"/>
                <w:i w:val="0"/>
                <w:iCs w:val="0"/>
                <w:color w:val="auto"/>
                <w:kern w:val="0"/>
                <w:sz w:val="20"/>
                <w:szCs w:val="20"/>
                <w:highlight w:val="none"/>
                <w:u w:val="none"/>
                <w:lang w:val="en-US" w:eastAsia="zh-CN" w:bidi="ar"/>
              </w:rPr>
              <w:t>据投标设备中品目号1-5的典型能源消耗（kW·h）值进行评价</w:t>
            </w:r>
            <w:r>
              <w:rPr>
                <w:rFonts w:hint="default" w:ascii="微软雅黑" w:hAnsi="微软雅黑" w:eastAsia="微软雅黑" w:cs="微软雅黑"/>
                <w:i w:val="0"/>
                <w:iCs w:val="0"/>
                <w:color w:val="auto"/>
                <w:kern w:val="0"/>
                <w:sz w:val="20"/>
                <w:szCs w:val="20"/>
                <w:highlight w:val="none"/>
                <w:u w:val="none"/>
                <w:lang w:eastAsia="zh-CN" w:bidi="ar"/>
              </w:rPr>
              <w:t>。</w:t>
            </w:r>
            <w:r>
              <w:rPr>
                <w:rFonts w:hint="eastAsia" w:ascii="微软雅黑" w:hAnsi="微软雅黑" w:eastAsia="微软雅黑" w:cs="微软雅黑"/>
                <w:i w:val="0"/>
                <w:iCs w:val="0"/>
                <w:color w:val="auto"/>
                <w:kern w:val="0"/>
                <w:sz w:val="20"/>
                <w:szCs w:val="20"/>
                <w:highlight w:val="none"/>
                <w:u w:val="none"/>
                <w:lang w:val="en-US" w:eastAsia="zh-CN" w:bidi="ar"/>
              </w:rPr>
              <w:t>典型能源消耗（kW·h）≤1.5的得3分，其余得0分。（投标人需提供加盖投标人公章（若投标人为联合体投标的，联合体中的其中一方盖章即可）的体现该投标型号及对应的“典型能耗（kW•h)”的能效标识。）</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1080"/>
                <w:tab w:val="left" w:pos="180"/>
                <w:tab w:val="left" w:pos="1080"/>
                <w:tab w:val="left" w:pos="2370"/>
              </w:tabs>
              <w:spacing w:before="0" w:beforeAutospacing="0" w:after="0" w:afterAutospacing="0" w:line="360" w:lineRule="auto"/>
              <w:ind w:left="0" w:right="0"/>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3</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18"/>
                <w:szCs w:val="18"/>
                <w:highlight w:val="none"/>
                <w:u w:val="none"/>
                <w:lang w:val="en-US" w:eastAsia="zh-CN" w:bidi="ar"/>
              </w:rPr>
              <w:t>1-16</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Cs/>
                <w:color w:val="auto"/>
                <w:sz w:val="24"/>
                <w:szCs w:val="24"/>
                <w:highlight w:val="none"/>
              </w:rPr>
            </w:pPr>
            <w:r>
              <w:rPr>
                <w:rFonts w:hint="eastAsia" w:ascii="微软雅黑" w:hAnsi="微软雅黑" w:eastAsia="微软雅黑" w:cs="微软雅黑"/>
                <w:i w:val="0"/>
                <w:iCs w:val="0"/>
                <w:color w:val="auto"/>
                <w:kern w:val="0"/>
                <w:sz w:val="20"/>
                <w:szCs w:val="20"/>
                <w:highlight w:val="none"/>
                <w:u w:val="none"/>
                <w:lang w:val="en-US" w:eastAsia="zh-CN" w:bidi="ar"/>
              </w:rPr>
              <w:t>据投标设备中品目号1-6的典型能源消耗（kW·h）值进行评价</w:t>
            </w:r>
            <w:r>
              <w:rPr>
                <w:rFonts w:hint="default" w:ascii="微软雅黑" w:hAnsi="微软雅黑" w:eastAsia="微软雅黑" w:cs="微软雅黑"/>
                <w:i w:val="0"/>
                <w:iCs w:val="0"/>
                <w:color w:val="auto"/>
                <w:kern w:val="0"/>
                <w:sz w:val="20"/>
                <w:szCs w:val="20"/>
                <w:highlight w:val="none"/>
                <w:u w:val="none"/>
                <w:lang w:eastAsia="zh-CN" w:bidi="ar"/>
              </w:rPr>
              <w:t>。</w:t>
            </w:r>
            <w:r>
              <w:rPr>
                <w:rFonts w:hint="eastAsia" w:ascii="微软雅黑" w:hAnsi="微软雅黑" w:eastAsia="微软雅黑" w:cs="微软雅黑"/>
                <w:i w:val="0"/>
                <w:iCs w:val="0"/>
                <w:color w:val="auto"/>
                <w:kern w:val="0"/>
                <w:sz w:val="20"/>
                <w:szCs w:val="20"/>
                <w:highlight w:val="none"/>
                <w:u w:val="none"/>
                <w:lang w:val="en-US" w:eastAsia="zh-CN" w:bidi="ar"/>
              </w:rPr>
              <w:t>典型能源消耗（kW·h）≤1的得3分，其余得0分。（投标人需提供加盖投标人公章（若投标人为联合体投标的，联合体中的其中一方盖章即可）的体现该投标型号及对应的“典型能耗（kW•h)”的能效标识。）</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1080"/>
                <w:tab w:val="left" w:pos="180"/>
                <w:tab w:val="left" w:pos="1080"/>
                <w:tab w:val="left" w:pos="2370"/>
              </w:tabs>
              <w:spacing w:before="0" w:beforeAutospacing="0" w:after="0" w:afterAutospacing="0" w:line="360" w:lineRule="auto"/>
              <w:ind w:left="0" w:right="0"/>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3</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18"/>
                <w:szCs w:val="18"/>
                <w:highlight w:val="none"/>
                <w:u w:val="none"/>
                <w:lang w:val="en-US" w:eastAsia="zh-CN" w:bidi="ar"/>
              </w:rPr>
              <w:t>1-17</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Cs/>
                <w:color w:val="auto"/>
                <w:sz w:val="24"/>
                <w:szCs w:val="24"/>
                <w:highlight w:val="none"/>
              </w:rPr>
            </w:pPr>
            <w:r>
              <w:rPr>
                <w:rFonts w:hint="eastAsia" w:ascii="微软雅黑" w:hAnsi="微软雅黑" w:eastAsia="微软雅黑" w:cs="微软雅黑"/>
                <w:i w:val="0"/>
                <w:iCs w:val="0"/>
                <w:color w:val="auto"/>
                <w:kern w:val="0"/>
                <w:sz w:val="20"/>
                <w:szCs w:val="20"/>
                <w:highlight w:val="none"/>
                <w:u w:val="none"/>
                <w:lang w:val="en-US" w:eastAsia="zh-CN" w:bidi="ar"/>
              </w:rPr>
              <w:t>据投标设备中品目号1-7的典型能源消耗（kW·h）值进行评价</w:t>
            </w:r>
            <w:r>
              <w:rPr>
                <w:rFonts w:hint="default" w:ascii="微软雅黑" w:hAnsi="微软雅黑" w:eastAsia="微软雅黑" w:cs="微软雅黑"/>
                <w:i w:val="0"/>
                <w:iCs w:val="0"/>
                <w:color w:val="auto"/>
                <w:kern w:val="0"/>
                <w:sz w:val="20"/>
                <w:szCs w:val="20"/>
                <w:highlight w:val="none"/>
                <w:u w:val="none"/>
                <w:lang w:eastAsia="zh-CN" w:bidi="ar"/>
              </w:rPr>
              <w:t>。</w:t>
            </w:r>
            <w:r>
              <w:rPr>
                <w:rFonts w:hint="eastAsia" w:ascii="微软雅黑" w:hAnsi="微软雅黑" w:eastAsia="微软雅黑" w:cs="微软雅黑"/>
                <w:i w:val="0"/>
                <w:iCs w:val="0"/>
                <w:color w:val="auto"/>
                <w:kern w:val="0"/>
                <w:sz w:val="20"/>
                <w:szCs w:val="20"/>
                <w:highlight w:val="none"/>
                <w:u w:val="none"/>
                <w:lang w:val="en-US" w:eastAsia="zh-CN" w:bidi="ar"/>
              </w:rPr>
              <w:t>典型能源消耗（kW·h）≤2的得3分，其余得0分。（投标人需提供加盖投标人公章（若投标人为联合体投标的，联合体中的其中一方盖章即可）的体现该投标型号及对应的“典型能耗（kW•h)”的能效标识。）</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1080"/>
                <w:tab w:val="left" w:pos="180"/>
                <w:tab w:val="left" w:pos="1080"/>
                <w:tab w:val="left" w:pos="2370"/>
              </w:tabs>
              <w:spacing w:before="0" w:beforeAutospacing="0" w:after="0" w:afterAutospacing="0" w:line="360" w:lineRule="auto"/>
              <w:ind w:left="0" w:right="0"/>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3</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18"/>
                <w:szCs w:val="18"/>
                <w:highlight w:val="none"/>
                <w:u w:val="none"/>
                <w:lang w:val="en-US" w:eastAsia="zh-CN" w:bidi="ar"/>
              </w:rPr>
              <w:t>1-18</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Cs/>
                <w:color w:val="auto"/>
                <w:sz w:val="24"/>
                <w:szCs w:val="24"/>
                <w:highlight w:val="none"/>
              </w:rPr>
            </w:pPr>
            <w:r>
              <w:rPr>
                <w:rFonts w:hint="eastAsia" w:ascii="微软雅黑" w:hAnsi="微软雅黑" w:eastAsia="微软雅黑" w:cs="微软雅黑"/>
                <w:i w:val="0"/>
                <w:iCs w:val="0"/>
                <w:color w:val="auto"/>
                <w:kern w:val="0"/>
                <w:sz w:val="20"/>
                <w:szCs w:val="20"/>
                <w:highlight w:val="none"/>
                <w:u w:val="none"/>
                <w:lang w:val="en-US" w:eastAsia="zh-CN" w:bidi="ar"/>
              </w:rPr>
              <w:t>根据投标设备中品目号1-1的标配内存进行评价。标配内存≥64MB的得1分，其余得0分。（（投标人需提供加盖投标人公章（若投标人为联合体投标的，联合体中的其中一方盖章即可）的产品彩页及所投标品牌的国内或国外官方网站体现该投标型号对应的规格参数的网页截图。投标人应保证彩页所注明的相关规格参数与投标人投标品牌制造商国内或国外官方网站的相关信息一致。）</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1080"/>
                <w:tab w:val="left" w:pos="180"/>
                <w:tab w:val="left" w:pos="1080"/>
                <w:tab w:val="left" w:pos="2370"/>
              </w:tabs>
              <w:spacing w:before="0" w:beforeAutospacing="0" w:after="0" w:afterAutospacing="0" w:line="360" w:lineRule="auto"/>
              <w:ind w:left="0" w:right="0"/>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1</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18"/>
                <w:szCs w:val="18"/>
                <w:highlight w:val="none"/>
                <w:u w:val="none"/>
                <w:lang w:val="en-US" w:eastAsia="zh-CN" w:bidi="ar"/>
              </w:rPr>
              <w:t>1-19</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Cs/>
                <w:color w:val="auto"/>
                <w:sz w:val="24"/>
                <w:szCs w:val="24"/>
                <w:highlight w:val="none"/>
              </w:rPr>
            </w:pPr>
            <w:r>
              <w:rPr>
                <w:rFonts w:hint="eastAsia" w:ascii="微软雅黑" w:hAnsi="微软雅黑" w:eastAsia="微软雅黑" w:cs="微软雅黑"/>
                <w:i w:val="0"/>
                <w:iCs w:val="0"/>
                <w:color w:val="auto"/>
                <w:kern w:val="0"/>
                <w:sz w:val="20"/>
                <w:szCs w:val="20"/>
                <w:highlight w:val="none"/>
                <w:u w:val="none"/>
                <w:lang w:val="en-US" w:eastAsia="zh-CN" w:bidi="ar"/>
              </w:rPr>
              <w:t>根据投标设备中品目号1-2的标配内存进行评价。标配内存≥512MB的得1分，其余得0分。（（投标人需提供加盖投标人公章（若投标人为联合体投标的，联合体中的其中一方盖章即可）的产品彩页及所投标品牌的国内或国外官方网站体现该投标型号对应的规格参数的网页截图。投标人应保证彩页所注明的相关规格参数与投标人投标品牌制造商国内或国外官方网站的相关信息一致。）</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1080"/>
                <w:tab w:val="left" w:pos="180"/>
                <w:tab w:val="left" w:pos="1080"/>
                <w:tab w:val="left" w:pos="2370"/>
              </w:tabs>
              <w:spacing w:before="0" w:beforeAutospacing="0" w:after="0" w:afterAutospacing="0" w:line="360" w:lineRule="auto"/>
              <w:ind w:left="0" w:right="0"/>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1</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1-20</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微软雅黑" w:hAnsi="微软雅黑" w:eastAsia="微软雅黑" w:cs="微软雅黑"/>
                <w:i w:val="0"/>
                <w:iCs w:val="0"/>
                <w:color w:val="auto"/>
                <w:kern w:val="0"/>
                <w:sz w:val="20"/>
                <w:szCs w:val="20"/>
                <w:highlight w:val="none"/>
                <w:u w:val="none"/>
                <w:lang w:val="en-US" w:eastAsia="zh-CN" w:bidi="ar"/>
              </w:rPr>
              <w:t>根据投标设备中品目号1-3的标配内存进行评价。标配内存≥512MB的得1分，其余得0分。（（投标人需提供加盖投标人公章（若投标人为联合体投标的，联合体中的其中一方盖章即可）的产品彩页及所投标品牌的国内或国外官方网站体现该投标型号对应的规格参数的网页截图。投标人应保证彩页所注明的相关规格参数与投标人投标品牌制造商国内或国外官方网站的相关信息一致。）</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1080"/>
                <w:tab w:val="left" w:pos="180"/>
                <w:tab w:val="left" w:pos="1080"/>
                <w:tab w:val="left" w:pos="2370"/>
              </w:tabs>
              <w:spacing w:before="0" w:beforeAutospacing="0" w:after="0" w:afterAutospacing="0" w:line="360" w:lineRule="auto"/>
              <w:ind w:left="0" w:right="0"/>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1</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1-21</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微软雅黑" w:hAnsi="微软雅黑" w:eastAsia="微软雅黑" w:cs="微软雅黑"/>
                <w:i w:val="0"/>
                <w:iCs w:val="0"/>
                <w:color w:val="auto"/>
                <w:kern w:val="0"/>
                <w:sz w:val="20"/>
                <w:szCs w:val="20"/>
                <w:highlight w:val="none"/>
                <w:u w:val="none"/>
                <w:lang w:val="en-US" w:eastAsia="zh-CN" w:bidi="ar"/>
              </w:rPr>
              <w:t>根据投标设备中品目号1-4的标配内存进行评价。标配内存≥512MB的得1分，其余得0分。（（投标人需提供加盖投标人公章（若投标人为联合体投标的，联合体中的其中一方盖章即可）的产品彩页及所投标品牌的国内或国外官方网站体现该投标型号对应的规格参数的网页截图。投标人应保证彩页所注明的相关规格参数与投标人投标品牌制造商国内或国外官方网站的相关信息一致。）</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1080"/>
                <w:tab w:val="left" w:pos="180"/>
                <w:tab w:val="left" w:pos="1080"/>
                <w:tab w:val="left" w:pos="2370"/>
              </w:tabs>
              <w:spacing w:before="0" w:beforeAutospacing="0" w:after="0" w:afterAutospacing="0" w:line="360" w:lineRule="auto"/>
              <w:ind w:left="0" w:right="0"/>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1</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1-22</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微软雅黑" w:hAnsi="微软雅黑" w:eastAsia="微软雅黑" w:cs="微软雅黑"/>
                <w:i w:val="0"/>
                <w:iCs w:val="0"/>
                <w:color w:val="auto"/>
                <w:kern w:val="0"/>
                <w:sz w:val="20"/>
                <w:szCs w:val="20"/>
                <w:highlight w:val="none"/>
                <w:u w:val="none"/>
                <w:lang w:val="en-US" w:eastAsia="zh-CN" w:bidi="ar"/>
              </w:rPr>
              <w:t>根据投标设备中品目号1-5的标配内存进行评价。标配内存≥512MB的得1分，其余得0分。（（投标人需提供加盖投标人公章（若投标人为联合体投标的，联合体中的其中一方盖章即可）的产品彩页及所投标品牌的国内或国外官方网站体现该投标型号对应的规格参数的网页截图。投标人应保证彩页所注明的相关规格参数与投标人投标品牌制造商国内或国外官方网站的相关信息一致。）</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1080"/>
                <w:tab w:val="left" w:pos="180"/>
                <w:tab w:val="left" w:pos="1080"/>
                <w:tab w:val="left" w:pos="2370"/>
              </w:tabs>
              <w:spacing w:before="0" w:beforeAutospacing="0" w:after="0" w:afterAutospacing="0" w:line="360" w:lineRule="auto"/>
              <w:ind w:left="0" w:right="0"/>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1</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1-23</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微软雅黑" w:hAnsi="微软雅黑" w:eastAsia="微软雅黑" w:cs="微软雅黑"/>
                <w:i w:val="0"/>
                <w:iCs w:val="0"/>
                <w:color w:val="auto"/>
                <w:kern w:val="0"/>
                <w:sz w:val="20"/>
                <w:szCs w:val="20"/>
                <w:highlight w:val="none"/>
                <w:u w:val="none"/>
                <w:lang w:val="en-US" w:eastAsia="zh-CN" w:bidi="ar"/>
              </w:rPr>
              <w:t>根据投标设备中品目号1-6的标配内存进行评价。标配内存≥256MB的得1分，其余得0分。（（投标人需提供加盖投标人公章（若投标人为联合体投标的，联合体中的其中一方盖章即可）的产品彩页及所投标品牌的国内或国外官方网站体现该投标型号对应的规格参数的网页截图。投标人应保证彩页所注明的相关规格参数与投标人投标品牌制造商国内或国外官方网站的相关信息一致。）</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1080"/>
                <w:tab w:val="left" w:pos="180"/>
                <w:tab w:val="left" w:pos="1080"/>
                <w:tab w:val="left" w:pos="2370"/>
              </w:tabs>
              <w:spacing w:before="0" w:beforeAutospacing="0" w:after="0" w:afterAutospacing="0" w:line="360" w:lineRule="auto"/>
              <w:ind w:left="0" w:right="0"/>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1</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1-24</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微软雅黑" w:hAnsi="微软雅黑" w:eastAsia="微软雅黑" w:cs="微软雅黑"/>
                <w:i w:val="0"/>
                <w:iCs w:val="0"/>
                <w:color w:val="auto"/>
                <w:kern w:val="0"/>
                <w:sz w:val="20"/>
                <w:szCs w:val="20"/>
                <w:highlight w:val="none"/>
                <w:u w:val="none"/>
                <w:lang w:val="en-US" w:eastAsia="zh-CN" w:bidi="ar"/>
              </w:rPr>
              <w:t>根据投标设备中品目号1-7的标配内存进行评价。标配内存≥2GB的得1分，其余得0分。（（投标人需提供加盖投标人公章（若投标人为联合体投标的，联合体中的其中一方盖章即可）的产品彩页及所投标品牌的国内或国外官方网站体现该投标型号对应的规格参数的网页截图。投标人应保证彩页所注明的相关规格参数与投标人投标品牌制造商国内或国外官方网站的相关信息一致。）</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1080"/>
                <w:tab w:val="left" w:pos="180"/>
                <w:tab w:val="left" w:pos="1080"/>
                <w:tab w:val="left" w:pos="2370"/>
              </w:tabs>
              <w:spacing w:before="0" w:beforeAutospacing="0" w:after="0" w:afterAutospacing="0" w:line="360" w:lineRule="auto"/>
              <w:ind w:left="0" w:right="0"/>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1</w:t>
            </w:r>
          </w:p>
        </w:tc>
      </w:tr>
    </w:tbl>
    <w:p>
      <w:pPr>
        <w:tabs>
          <w:tab w:val="left" w:pos="-1080"/>
          <w:tab w:val="left" w:pos="180"/>
          <w:tab w:val="left" w:pos="1080"/>
        </w:tabs>
        <w:spacing w:line="360" w:lineRule="auto"/>
        <w:rPr>
          <w:rFonts w:hint="eastAsia" w:ascii="宋体" w:hAnsi="宋体" w:eastAsia="宋体" w:cs="宋体"/>
          <w:color w:val="auto"/>
          <w:sz w:val="24"/>
          <w:szCs w:val="24"/>
          <w:highlight w:val="none"/>
        </w:rPr>
      </w:pPr>
    </w:p>
    <w:p>
      <w:pPr>
        <w:tabs>
          <w:tab w:val="left" w:pos="-1080"/>
          <w:tab w:val="left" w:pos="180"/>
          <w:tab w:val="left" w:pos="108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（二）商务评分(F2)：按</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分评分法，商务评分考虑下列因素：</w:t>
      </w:r>
    </w:p>
    <w:tbl>
      <w:tblPr>
        <w:tblStyle w:val="14"/>
        <w:tblW w:w="0" w:type="auto"/>
        <w:tblInd w:w="0" w:type="dxa"/>
        <w:tblLayout w:type="fixed"/>
        <w:tblCellMar>
          <w:top w:w="0" w:type="dxa"/>
          <w:left w:w="108" w:type="dxa"/>
          <w:bottom w:w="0" w:type="dxa"/>
          <w:right w:w="108" w:type="dxa"/>
        </w:tblCellMar>
      </w:tblPr>
      <w:tblGrid>
        <w:gridCol w:w="883"/>
        <w:gridCol w:w="6838"/>
        <w:gridCol w:w="898"/>
      </w:tblGrid>
      <w:tr>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细则内容</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满分</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据投标人是否为投标产品的制造商、制造商的关联企业、联合体或代理商进行评分。投标人为投标产品（品目号1-1至1-7全部产品）的制造商或制造商的关联企业的得3分，联合体投标得2分，其余情况得0分。备注：联合体投标的，联合体一方必须是投标产品（品目号1-1至1-7全部产品）的制造商或制造商的关联企业，凡属制造商的关联企业，其关联关系应符合《企业会计准则第36号—关联方披露（2006）》（财会[2006]3号）中“关联方关系”的要求，投标人应在投标文件中按后附格式提供《关联企业证明》。</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3</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投标人提供自2023年1月1日至开标当天获得同类项目采购人盖章的服务满意度调查资料（以满意度调查资料盖章落款时间为准），且满意度调查结果为满意的，每提供1份得1分，最高得3分，须提供客户满意度调查复印件，否则不得分。</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3</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投标人承诺中标后在项目所在地提供售后服务人员≥30个的得3分，20个≤项目所在地提供售后服务人员＜30个的得2分，其余情况得0分。投标人需提供书面承诺函并加盖投标人公章，否则得0分。若投标人为联合体投标的，联合体中的其中一方盖章即可。</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3</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根据投标人对设备故障修复响应速度并能够有效解决采购人使用需求的进行评分：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能够在15分钟（含）内响应、1小时（含）内到达现场、8小时（含）内修复，未能在8小时（含）修复的，予以更换或提供代用设备的得3分；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能够在15分钟-30分钟（含）内响应、1小时-2小时（含）内到达现场、8小时-10小时（含）内修复，未能在10小时（含）修复的，予以更换或提供代用设备的得2分；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能够在30分钟-1小时（含）内响应、2小时-3小时（含）内到达现场、10小时-12小时（含）内修复，未能在12小时（含）修复的，予以更换或提供代用设备的得1分；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投标人需提供书面承诺函并加盖投标人公章，否则得0分。</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1080"/>
                <w:tab w:val="left" w:pos="180"/>
                <w:tab w:val="left" w:pos="1080"/>
              </w:tabs>
              <w:spacing w:before="0" w:beforeAutospacing="0" w:after="0" w:afterAutospacing="0" w:line="360" w:lineRule="auto"/>
              <w:ind w:left="0" w:right="0"/>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3</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根据投标人对最终用户投诉处理时效进行评分：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能够在15分钟（含）内响应、1小时（含）内开始处理、2个工作日（含）内处理完的得3分；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能够在15-30分钟（含）内响应、1-2小时（含）内开始处理、2个工作日-3个工作日（含）内处理完的得2分；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能够在30分钟-1小时（含）内响应、2-3小时（含）内开始处理、3个工作日-4个工作日（含）内处理完的得1分；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投标人需提供书面承诺函并加盖投标人公章，否则得0分。若投标人为联合体投标的，联合体中的其中一方盖章即可。</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pacing w:before="0" w:beforeAutospacing="0" w:after="0" w:afterAutospacing="0" w:line="360" w:lineRule="auto"/>
              <w:ind w:left="0" w:right="18"/>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3</w:t>
            </w:r>
          </w:p>
        </w:tc>
      </w:tr>
    </w:tbl>
    <w:p>
      <w:pPr>
        <w:tabs>
          <w:tab w:val="left" w:pos="-1080"/>
          <w:tab w:val="left" w:pos="180"/>
          <w:tab w:val="left" w:pos="108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（三）价格评分(F3)：按</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分评分法，评标委员会对各有效标投标报价进行审核确定评标价，并将最低有效标的评标价设为基准价，定其价格得分为</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分。按公式：价格得分＝</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sym w:font="Symbol" w:char="00B4"/>
      </w:r>
      <w:r>
        <w:rPr>
          <w:rFonts w:hint="eastAsia" w:ascii="宋体" w:hAnsi="宋体" w:eastAsia="宋体" w:cs="宋体"/>
          <w:color w:val="auto"/>
          <w:sz w:val="24"/>
          <w:szCs w:val="24"/>
          <w:highlight w:val="none"/>
        </w:rPr>
        <w:t xml:space="preserve"> （基准价/各个通过审核的有效投标人的评标价）计算，由</w:t>
      </w:r>
      <w:r>
        <w:rPr>
          <w:rFonts w:hint="eastAsia" w:ascii="宋体" w:hAnsi="宋体" w:eastAsia="宋体" w:cs="宋体"/>
          <w:color w:val="auto"/>
          <w:sz w:val="24"/>
          <w:szCs w:val="24"/>
          <w:highlight w:val="none"/>
        </w:rPr>
        <w:t>此算出各个通过审核的有效投标人的价格得分。</w:t>
      </w:r>
    </w:p>
    <w:p>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“小型和微型企业产品”的评分政策：投标人提供的货物既有中型企业制造，也有小微企业制造的，不享受办法规定的小微企业扶持政策。</w:t>
      </w:r>
    </w:p>
    <w:p>
      <w:pPr>
        <w:pStyle w:val="5"/>
        <w:spacing w:line="360" w:lineRule="auto"/>
        <w:ind w:firstLine="480" w:firstLineChars="200"/>
        <w:rPr>
          <w:rFonts w:hint="eastAsia" w:hAnsi="宋体" w:eastAsia="宋体" w:cs="宋体"/>
          <w:color w:val="auto"/>
          <w:sz w:val="24"/>
          <w:szCs w:val="24"/>
          <w:highlight w:val="none"/>
        </w:rPr>
      </w:pPr>
      <w:r>
        <w:rPr>
          <w:rFonts w:hint="eastAsia" w:hAnsi="宋体" w:eastAsia="宋体" w:cs="宋体"/>
          <w:color w:val="auto"/>
          <w:sz w:val="24"/>
          <w:szCs w:val="24"/>
          <w:highlight w:val="none"/>
        </w:rPr>
        <w:t>对其提供的小型或微型企业产品的投标报价给予</w:t>
      </w:r>
      <w:r>
        <w:rPr>
          <w:rFonts w:hint="default" w:hAnsi="宋体" w:cs="宋体"/>
          <w:color w:val="auto"/>
          <w:sz w:val="24"/>
          <w:szCs w:val="24"/>
          <w:highlight w:val="none"/>
        </w:rPr>
        <w:t>15</w:t>
      </w:r>
      <w:r>
        <w:rPr>
          <w:rFonts w:hint="eastAsia" w:hAnsi="宋体" w:eastAsia="宋体" w:cs="宋体"/>
          <w:color w:val="auto"/>
          <w:sz w:val="24"/>
          <w:szCs w:val="24"/>
          <w:highlight w:val="none"/>
        </w:rPr>
        <w:t>%的扣除</w:t>
      </w:r>
      <w:r>
        <w:rPr>
          <w:rFonts w:hint="eastAsia" w:hAnsi="宋体" w:eastAsia="宋体" w:cs="宋体"/>
          <w:color w:val="auto"/>
          <w:sz w:val="24"/>
          <w:szCs w:val="24"/>
          <w:highlight w:val="none"/>
        </w:rPr>
        <w:t>，扣除后的价格作为该投标人的评标价参与价格评分。</w:t>
      </w:r>
    </w:p>
    <w:p>
      <w:pPr>
        <w:pStyle w:val="5"/>
        <w:spacing w:line="360" w:lineRule="auto"/>
        <w:ind w:firstLine="480" w:firstLineChars="200"/>
        <w:rPr>
          <w:rFonts w:hint="eastAsia" w:hAnsi="宋体" w:eastAsia="宋体" w:cs="宋体"/>
          <w:color w:val="auto"/>
          <w:sz w:val="24"/>
          <w:szCs w:val="24"/>
          <w:highlight w:val="none"/>
        </w:rPr>
      </w:pPr>
      <w:r>
        <w:rPr>
          <w:rFonts w:hint="eastAsia" w:hAnsi="宋体" w:eastAsia="宋体" w:cs="宋体"/>
          <w:color w:val="auto"/>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接受大中型企业与小微企业组成联合体或者允许大中型企业向一家或者多家小微企业分包的采购项目，对于联合协议或者分包意向协议约定小微企业的合同份额占到合同总金额30%以上的，</w:t>
      </w:r>
      <w:r>
        <w:rPr>
          <w:rFonts w:hint="eastAsia" w:hAnsi="宋体" w:cs="宋体"/>
          <w:color w:val="auto"/>
          <w:sz w:val="24"/>
          <w:szCs w:val="24"/>
          <w:highlight w:val="none"/>
          <w:lang w:eastAsia="zh-CN"/>
        </w:rPr>
        <w:t>采购单位</w:t>
      </w:r>
      <w:r>
        <w:rPr>
          <w:rFonts w:hint="eastAsia" w:hAnsi="宋体" w:eastAsia="宋体" w:cs="宋体"/>
          <w:color w:val="auto"/>
          <w:sz w:val="24"/>
          <w:szCs w:val="24"/>
          <w:highlight w:val="none"/>
        </w:rPr>
        <w:t>、采购代理机构应当对联合体或者大中型企业的报价给予</w:t>
      </w:r>
      <w:r>
        <w:rPr>
          <w:rFonts w:hint="eastAsia" w:hAnsi="宋体" w:eastAsia="宋体" w:cs="宋体"/>
          <w:color w:val="auto"/>
          <w:sz w:val="24"/>
          <w:szCs w:val="24"/>
          <w:highlight w:val="none"/>
        </w:rPr>
        <w:t>6%的扣除</w:t>
      </w:r>
      <w:r>
        <w:rPr>
          <w:rFonts w:hint="eastAsia" w:hAnsi="宋体" w:eastAsia="宋体" w:cs="宋体"/>
          <w:color w:val="auto"/>
          <w:sz w:val="24"/>
          <w:szCs w:val="24"/>
          <w:highlight w:val="none"/>
        </w:rPr>
        <w:t>，用扣除后的价格参加评审。</w:t>
      </w:r>
    </w:p>
    <w:p>
      <w:pPr>
        <w:pStyle w:val="13"/>
        <w:numPr>
          <w:ilvl w:val="-1"/>
          <w:numId w:val="0"/>
        </w:numPr>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联合体各方均为小型、微型企业的，联合体视同为小型、微型企业。组成联合体的大中型企业和其他自然人、法人或者其他组织，与小型、微型企业之间不得存在投资关系。按照《财政部 司法部关于政府采购支持监狱企业发展有关问题的通知》（财库〔2014〕68号）有关规定，监狱企业视同小型、微型企业。</w:t>
      </w:r>
      <w:r>
        <w:rPr>
          <w:rFonts w:hint="eastAsia" w:ascii="宋体" w:hAnsi="宋体" w:eastAsia="宋体" w:cs="宋体"/>
          <w:color w:val="auto"/>
          <w:sz w:val="24"/>
          <w:szCs w:val="24"/>
          <w:highlight w:val="none"/>
          <w:lang w:eastAsia="zh-CN"/>
        </w:rPr>
        <w:t>根据《财政部 民政部 中国残疾人联合会关于促进残疾人就业政府采购政策的通知》（财库[2017]141号），残疾人福利性单位视同小型、微型企业。残疾人福利性单位属于小型、微型企业的，不重复享受政策。</w:t>
      </w:r>
    </w:p>
    <w:p>
      <w:pPr>
        <w:numPr>
          <w:ilvl w:val="-1"/>
          <w:numId w:val="0"/>
        </w:numPr>
        <w:tabs>
          <w:tab w:val="left" w:pos="-1080"/>
          <w:tab w:val="left" w:pos="180"/>
          <w:tab w:val="left" w:pos="1080"/>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lang w:val="en-US" w:eastAsia="zh-CN"/>
        </w:rPr>
        <w:t>节能、环境标志产品价格扣除：</w:t>
      </w:r>
    </w:p>
    <w:p>
      <w:pPr>
        <w:numPr>
          <w:ilvl w:val="-1"/>
          <w:numId w:val="0"/>
        </w:numPr>
        <w:tabs>
          <w:tab w:val="left" w:pos="-1080"/>
          <w:tab w:val="left" w:pos="180"/>
          <w:tab w:val="left" w:pos="1080"/>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的产品属于节能产品、环境标志产品政府采购品目清单范围的，依据国家确定的认证机构出具的、处于有效期之内的节能产品、环境标志产品认证证书，对获得证书的产品实施政府优先采购。对节能产品、环境标志产品政府采购品目清单范围内，实施优先采购的产品，给予产品价格报价</w:t>
      </w:r>
      <w:r>
        <w:rPr>
          <w:rFonts w:hint="eastAsia" w:ascii="宋体" w:hAnsi="宋体" w:eastAsia="宋体" w:cs="宋体"/>
          <w:color w:val="auto"/>
          <w:sz w:val="24"/>
          <w:szCs w:val="24"/>
          <w:highlight w:val="none"/>
          <w:lang w:val="en-US" w:eastAsia="zh-CN"/>
        </w:rPr>
        <w:t>10%的扣除</w:t>
      </w:r>
      <w:r>
        <w:rPr>
          <w:rFonts w:hint="eastAsia" w:ascii="宋体" w:hAnsi="宋体" w:eastAsia="宋体" w:cs="宋体"/>
          <w:color w:val="auto"/>
          <w:sz w:val="24"/>
          <w:szCs w:val="24"/>
          <w:highlight w:val="none"/>
          <w:lang w:val="en-US" w:eastAsia="zh-CN"/>
        </w:rPr>
        <w:t>，用扣除后的价格参加评审。采购标的同时包含其它非优先采购产品的，投标人须对优先采购产品和非优先采购产品进行分项报价，非优先采购产品的报价不得享受给予节能产品、环境标志产品的价格扣除优惠。</w:t>
      </w:r>
    </w:p>
    <w:p>
      <w:pPr>
        <w:numPr>
          <w:ilvl w:val="-1"/>
          <w:numId w:val="0"/>
        </w:numPr>
        <w:tabs>
          <w:tab w:val="left" w:pos="-1080"/>
          <w:tab w:val="left" w:pos="180"/>
          <w:tab w:val="left" w:pos="1080"/>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具体要求如下：</w:t>
      </w:r>
    </w:p>
    <w:p>
      <w:pPr>
        <w:numPr>
          <w:ilvl w:val="-1"/>
          <w:numId w:val="0"/>
        </w:numPr>
        <w:tabs>
          <w:tab w:val="left" w:pos="-1080"/>
          <w:tab w:val="left" w:pos="180"/>
          <w:tab w:val="left" w:pos="1080"/>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的产品属于《节能产品政府采购品目清单》范围内的产品或《环境标志产品政府采购品目清单》范围内的产品，且供应商提供的产品已取得节能（强制采购节能产品的除外）、环境标志产品认证证书（处于有效期内）。</w:t>
      </w:r>
    </w:p>
    <w:p>
      <w:pPr>
        <w:numPr>
          <w:ilvl w:val="-1"/>
          <w:numId w:val="0"/>
        </w:numPr>
        <w:tabs>
          <w:tab w:val="left" w:pos="-1080"/>
          <w:tab w:val="left" w:pos="180"/>
          <w:tab w:val="left" w:pos="108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投标人应分别明确节能或环境标志产品的名称、数量、分项报价、总报价，并提供认证证书复印件，否则不予</w:t>
      </w:r>
      <w:r>
        <w:rPr>
          <w:rFonts w:hint="eastAsia" w:ascii="宋体" w:hAnsi="宋体" w:eastAsia="宋体" w:cs="宋体"/>
          <w:color w:val="auto"/>
          <w:sz w:val="24"/>
          <w:szCs w:val="24"/>
          <w:highlight w:val="none"/>
          <w:lang w:eastAsia="zh-CN"/>
        </w:rPr>
        <w:t>价格扣除</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若节能产品、环境标志产品认证证书不能反映产品具体信息的，须提供认证证书附件。</w:t>
      </w:r>
      <w:r>
        <w:rPr>
          <w:rFonts w:hint="eastAsia" w:ascii="宋体" w:hAnsi="宋体" w:eastAsia="宋体" w:cs="宋体"/>
          <w:color w:val="auto"/>
          <w:sz w:val="24"/>
          <w:szCs w:val="24"/>
          <w:highlight w:val="none"/>
        </w:rPr>
        <w:t>此外，若投标人对节能或环境标志产品的报价明显高于其他同类产品的报价，投标人应按评标委员会要求作出说明并提供相关证明材料，不能合理说明或不能提供相关证明材料的，不予</w:t>
      </w:r>
      <w:r>
        <w:rPr>
          <w:rFonts w:hint="eastAsia" w:ascii="宋体" w:hAnsi="宋体" w:eastAsia="宋体" w:cs="宋体"/>
          <w:color w:val="auto"/>
          <w:sz w:val="24"/>
          <w:szCs w:val="24"/>
          <w:highlight w:val="none"/>
          <w:lang w:eastAsia="zh-CN"/>
        </w:rPr>
        <w:t>价格扣除</w:t>
      </w:r>
      <w:r>
        <w:rPr>
          <w:rFonts w:hint="eastAsia" w:ascii="宋体" w:hAnsi="宋体" w:eastAsia="宋体" w:cs="宋体"/>
          <w:color w:val="auto"/>
          <w:sz w:val="24"/>
          <w:szCs w:val="24"/>
          <w:highlight w:val="none"/>
        </w:rPr>
        <w:t>。</w:t>
      </w:r>
    </w:p>
    <w:p>
      <w:pPr>
        <w:widowControl/>
        <w:numPr>
          <w:ilvl w:val="0"/>
          <w:numId w:val="0"/>
        </w:numPr>
        <w:tabs>
          <w:tab w:val="left" w:pos="-1080"/>
          <w:tab w:val="left" w:pos="180"/>
          <w:tab w:val="left" w:pos="1080"/>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若节能、环境标志产品仅是构成投标产品的部件、组件或零件，则该投标产品不享受鼓励优惠政策。属于政府强制采购的节能产品不享受</w:t>
      </w:r>
      <w:r>
        <w:rPr>
          <w:rFonts w:hint="eastAsia" w:ascii="宋体" w:hAnsi="宋体" w:eastAsia="宋体" w:cs="宋体"/>
          <w:color w:val="auto"/>
          <w:sz w:val="24"/>
          <w:szCs w:val="24"/>
          <w:highlight w:val="none"/>
          <w:lang w:eastAsia="zh-CN"/>
        </w:rPr>
        <w:t>价格扣除</w:t>
      </w:r>
      <w:r>
        <w:rPr>
          <w:rFonts w:hint="eastAsia" w:ascii="宋体" w:hAnsi="宋体" w:eastAsia="宋体" w:cs="宋体"/>
          <w:color w:val="auto"/>
          <w:sz w:val="24"/>
          <w:szCs w:val="24"/>
          <w:highlight w:val="none"/>
        </w:rPr>
        <w:t>优惠。</w:t>
      </w:r>
      <w:r>
        <w:rPr>
          <w:rFonts w:hint="eastAsia" w:ascii="宋体" w:hAnsi="宋体" w:eastAsia="宋体" w:cs="宋体"/>
          <w:color w:val="auto"/>
          <w:sz w:val="24"/>
          <w:szCs w:val="24"/>
          <w:highlight w:val="none"/>
          <w:lang w:val="en-US" w:eastAsia="zh-CN"/>
        </w:rPr>
        <w:t>若投标产品既属于节能产品又属于环境标志产品，分别计算价格扣除优惠。</w:t>
      </w:r>
    </w:p>
    <w:p>
      <w:pPr>
        <w:tabs>
          <w:tab w:val="left" w:pos="-1080"/>
          <w:tab w:val="left" w:pos="180"/>
          <w:tab w:val="left" w:pos="108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）综合得分= F1+ F2 + F3 。</w:t>
      </w:r>
    </w:p>
    <w:p>
      <w:pPr>
        <w:pStyle w:val="5"/>
        <w:spacing w:line="360" w:lineRule="auto"/>
        <w:ind w:firstLine="840"/>
        <w:rPr>
          <w:rFonts w:hint="eastAsia" w:hAnsi="宋体" w:eastAsia="宋体" w:cs="宋体"/>
          <w:bCs/>
          <w:color w:val="auto"/>
          <w:sz w:val="24"/>
          <w:szCs w:val="24"/>
          <w:highlight w:val="none"/>
        </w:rPr>
      </w:pPr>
      <w:r>
        <w:rPr>
          <w:rFonts w:hint="eastAsia" w:hAnsi="宋体" w:eastAsia="宋体" w:cs="宋体"/>
          <w:bCs/>
          <w:color w:val="auto"/>
          <w:sz w:val="24"/>
          <w:szCs w:val="24"/>
          <w:highlight w:val="none"/>
        </w:rPr>
        <w:t>备注：1、技术商务评分中涉及排名情况的评分由评标委员会根据各投标人投标文件的响应情况进行综合评议得出排名。</w:t>
      </w:r>
    </w:p>
    <w:p>
      <w:pPr>
        <w:pStyle w:val="5"/>
        <w:numPr>
          <w:ilvl w:val="0"/>
          <w:numId w:val="2"/>
        </w:numPr>
        <w:spacing w:line="360" w:lineRule="auto"/>
        <w:ind w:firstLine="720" w:firstLineChars="300"/>
        <w:rPr>
          <w:rFonts w:hint="eastAsia" w:hAnsi="宋体" w:eastAsia="宋体" w:cs="宋体"/>
          <w:color w:val="auto"/>
          <w:sz w:val="24"/>
          <w:szCs w:val="24"/>
          <w:highlight w:val="none"/>
        </w:rPr>
      </w:pPr>
      <w:r>
        <w:rPr>
          <w:rFonts w:hint="eastAsia" w:hAnsi="宋体" w:eastAsia="宋体" w:cs="宋体"/>
          <w:color w:val="auto"/>
          <w:sz w:val="24"/>
          <w:szCs w:val="24"/>
          <w:highlight w:val="none"/>
        </w:rPr>
        <w:t>业绩作为评分条件的，投标人须提供该业绩项目的中标（成交）公告（提供相关网站中标（成交）公告的下载网页的复印件及其网址）、中标（成交）通知书复印件、采购合同文本复印件，以及能够证明该业绩项目已经</w:t>
      </w:r>
      <w:r>
        <w:rPr>
          <w:rFonts w:hint="eastAsia" w:hAnsi="宋体" w:cs="宋体"/>
          <w:color w:val="auto"/>
          <w:sz w:val="24"/>
          <w:szCs w:val="24"/>
          <w:highlight w:val="none"/>
          <w:lang w:eastAsia="zh-CN"/>
        </w:rPr>
        <w:t>采购单位</w:t>
      </w:r>
      <w:r>
        <w:rPr>
          <w:rFonts w:hint="eastAsia" w:hAnsi="宋体" w:eastAsia="宋体" w:cs="宋体"/>
          <w:color w:val="auto"/>
          <w:sz w:val="24"/>
          <w:szCs w:val="24"/>
          <w:highlight w:val="none"/>
        </w:rPr>
        <w:t>验收合格的相关证明文件复印件，原件备查；如未按招标文件要求提供该项业绩完整资料的，评标委员会对该项业绩将不予采信。</w:t>
      </w:r>
    </w:p>
    <w:p>
      <w:pPr>
        <w:pStyle w:val="5"/>
        <w:numPr>
          <w:ilvl w:val="0"/>
          <w:numId w:val="0"/>
        </w:numPr>
        <w:spacing w:line="360" w:lineRule="auto"/>
        <w:ind w:firstLine="720" w:firstLineChars="300"/>
        <w:rPr>
          <w:rFonts w:hint="eastAsia" w:hAnsi="宋体" w:eastAsia="宋体" w:cs="宋体"/>
          <w:color w:val="auto"/>
          <w:sz w:val="24"/>
          <w:szCs w:val="24"/>
          <w:highlight w:val="none"/>
        </w:rPr>
      </w:pPr>
    </w:p>
    <w:p>
      <w:pPr>
        <w:spacing w:line="360" w:lineRule="auto"/>
        <w:ind w:firstLine="1280" w:firstLineChars="400"/>
        <w:rPr>
          <w:rFonts w:hint="eastAsia" w:ascii="宋体" w:hAnsi="宋体" w:eastAsia="宋体" w:cs="宋体"/>
          <w:color w:val="auto"/>
          <w:sz w:val="32"/>
          <w:szCs w:val="32"/>
          <w:highlight w:val="none"/>
        </w:rPr>
      </w:pPr>
    </w:p>
    <w:p>
      <w:pPr>
        <w:spacing w:line="360" w:lineRule="auto"/>
        <w:ind w:firstLine="1280" w:firstLineChars="400"/>
        <w:rPr>
          <w:rFonts w:hint="eastAsia" w:ascii="宋体" w:hAnsi="宋体" w:eastAsia="宋体" w:cs="宋体"/>
          <w:color w:val="auto"/>
          <w:sz w:val="32"/>
          <w:szCs w:val="32"/>
          <w:highlight w:val="none"/>
        </w:rPr>
      </w:pPr>
    </w:p>
    <w:p>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投标人须知前附表4：中小企业优惠办法</w:t>
      </w:r>
    </w:p>
    <w:tbl>
      <w:tblPr>
        <w:tblStyle w:val="14"/>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77"/>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0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7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606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0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167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本项目是否属于预留份额专门面向中小企业采购活动</w:t>
            </w:r>
            <w:r>
              <w:rPr>
                <w:rFonts w:hint="eastAsia" w:ascii="宋体" w:hAnsi="宋体" w:eastAsia="宋体" w:cs="宋体"/>
                <w:b/>
                <w:color w:val="auto"/>
                <w:sz w:val="24"/>
                <w:szCs w:val="24"/>
                <w:highlight w:val="none"/>
              </w:rPr>
              <w:t>：</w:t>
            </w:r>
          </w:p>
        </w:tc>
        <w:tc>
          <w:tcPr>
            <w:tcW w:w="6063"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 xml:space="preserve">是/ </w:t>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eq \o\ac(</w:instrText>
            </w:r>
            <w:r>
              <w:rPr>
                <w:rFonts w:hint="eastAsia" w:ascii="宋体" w:hAnsi="宋体" w:eastAsia="宋体" w:cs="宋体"/>
                <w:b/>
                <w:color w:val="auto"/>
                <w:position w:val="-4"/>
                <w:sz w:val="36"/>
                <w:szCs w:val="24"/>
                <w:highlight w:val="none"/>
              </w:rPr>
              <w:instrText xml:space="preserve">□</w:instrText>
            </w:r>
            <w:r>
              <w:rPr>
                <w:rFonts w:hint="eastAsia" w:ascii="宋体" w:hAnsi="宋体" w:eastAsia="宋体" w:cs="宋体"/>
                <w:b/>
                <w:color w:val="auto"/>
                <w:sz w:val="24"/>
                <w:szCs w:val="24"/>
                <w:highlight w:val="none"/>
              </w:rPr>
              <w:instrText xml:space="preserve">,√)</w:instrText>
            </w:r>
            <w:r>
              <w:rPr>
                <w:rFonts w:hint="eastAsia" w:ascii="宋体" w:hAnsi="宋体" w:eastAsia="宋体" w:cs="宋体"/>
                <w:b/>
                <w:color w:val="auto"/>
                <w:sz w:val="24"/>
                <w:szCs w:val="24"/>
                <w:highlight w:val="none"/>
              </w:rPr>
              <w:fldChar w:fldCharType="end"/>
            </w:r>
            <w:r>
              <w:rPr>
                <w:rFonts w:hint="eastAsia" w:ascii="宋体" w:hAnsi="宋体" w:eastAsia="宋体" w:cs="宋体"/>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167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中小企业的认定标准</w:t>
            </w:r>
          </w:p>
        </w:tc>
        <w:tc>
          <w:tcPr>
            <w:tcW w:w="6063" w:type="dxa"/>
            <w:noWrap w:val="0"/>
            <w:vAlign w:val="top"/>
          </w:tcPr>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中小企业参加政府采购活动，应当出具《中小企业声明函》，否则不得享受相关中小企业扶持政策。</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须满足以下条件，才能认定为中小企业</w:t>
            </w:r>
            <w:r>
              <w:rPr>
                <w:rFonts w:hint="eastAsia" w:ascii="宋体" w:hAnsi="宋体" w:eastAsia="宋体" w:cs="宋体"/>
                <w:b/>
                <w:color w:val="auto"/>
                <w:sz w:val="24"/>
                <w:szCs w:val="24"/>
                <w:highlight w:val="none"/>
              </w:rPr>
              <w:t>（含中型、小型、微型企业，下同）</w:t>
            </w:r>
            <w:r>
              <w:rPr>
                <w:rFonts w:hint="eastAsia" w:ascii="宋体" w:hAnsi="宋体" w:eastAsia="宋体" w:cs="宋体"/>
                <w:color w:val="auto"/>
                <w:sz w:val="24"/>
                <w:szCs w:val="24"/>
                <w:highlight w:val="none"/>
              </w:rPr>
              <w:t>：</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政府采购促进中小企业发展管理办法》（财库〔2020〕46号）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900" w:type="dxa"/>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1677" w:type="dxa"/>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优惠办法：</w:t>
            </w:r>
          </w:p>
        </w:tc>
        <w:tc>
          <w:tcPr>
            <w:tcW w:w="6063" w:type="dxa"/>
            <w:tcBorders>
              <w:bottom w:val="single" w:color="auto" w:sz="4" w:space="0"/>
            </w:tcBorders>
            <w:noWrap w:val="0"/>
            <w:vAlign w:val="top"/>
          </w:tcPr>
          <w:p>
            <w:pPr>
              <w:keepNext w:val="0"/>
              <w:keepLines w:val="0"/>
              <w:suppressLineNumbers w:val="0"/>
              <w:spacing w:before="0" w:beforeAutospacing="0" w:after="0" w:afterAutospacing="0" w:line="360" w:lineRule="auto"/>
              <w:ind w:left="-65" w:leftChars="-31" w:right="0" w:firstLine="12" w:firstLineChars="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投标人为中小企业（含中型、小型、微型企业，下同）：</w:t>
            </w:r>
          </w:p>
          <w:p>
            <w:pPr>
              <w:keepNext w:val="0"/>
              <w:keepLines w:val="0"/>
              <w:suppressLineNumbers w:val="0"/>
              <w:spacing w:before="0" w:beforeAutospacing="0" w:after="0" w:afterAutospacing="0" w:line="360" w:lineRule="auto"/>
              <w:ind w:left="411" w:right="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①</w:t>
            </w:r>
            <w:r>
              <w:rPr>
                <w:rFonts w:hint="eastAsia" w:ascii="宋体" w:hAnsi="宋体" w:eastAsia="宋体" w:cs="宋体"/>
                <w:color w:val="auto"/>
                <w:spacing w:val="-4"/>
                <w:sz w:val="24"/>
                <w:szCs w:val="24"/>
                <w:highlight w:val="none"/>
              </w:rPr>
              <w:t>投</w:t>
            </w:r>
            <w:r>
              <w:rPr>
                <w:rFonts w:hint="eastAsia" w:ascii="宋体" w:hAnsi="宋体" w:eastAsia="宋体" w:cs="宋体"/>
                <w:color w:val="auto"/>
                <w:spacing w:val="-4"/>
                <w:sz w:val="24"/>
                <w:szCs w:val="24"/>
                <w:highlight w:val="none"/>
              </w:rPr>
              <w:t>标保证金：按招标文件约定数额的50%交纳</w:t>
            </w:r>
          </w:p>
          <w:p>
            <w:pPr>
              <w:keepNext w:val="0"/>
              <w:keepLines w:val="0"/>
              <w:suppressLineNumbers w:val="0"/>
              <w:spacing w:before="0" w:beforeAutospacing="0" w:after="0" w:afterAutospacing="0" w:line="360" w:lineRule="auto"/>
              <w:ind w:left="-65" w:leftChars="-31" w:right="0" w:firstLine="475" w:firstLineChars="205"/>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②履约保证金：按约定比例的50%支付（如果有的话）</w:t>
            </w:r>
          </w:p>
          <w:p>
            <w:pPr>
              <w:keepNext w:val="0"/>
              <w:keepLines w:val="0"/>
              <w:suppressLineNumbers w:val="0"/>
              <w:spacing w:before="0" w:beforeAutospacing="0" w:after="0" w:afterAutospacing="0" w:line="360" w:lineRule="auto"/>
              <w:ind w:left="-65" w:leftChars="-31" w:right="0" w:firstLine="475" w:firstLineChars="205"/>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③</w:t>
            </w:r>
            <w:r>
              <w:rPr>
                <w:rStyle w:val="17"/>
                <w:rFonts w:hint="eastAsia" w:ascii="宋体" w:hAnsi="宋体" w:eastAsia="宋体" w:cs="宋体"/>
                <w:b w:val="0"/>
                <w:color w:val="auto"/>
                <w:kern w:val="0"/>
                <w:sz w:val="24"/>
                <w:szCs w:val="24"/>
                <w:highlight w:val="none"/>
              </w:rPr>
              <w:t>代理服务费</w:t>
            </w:r>
            <w:r>
              <w:rPr>
                <w:rFonts w:hint="eastAsia" w:ascii="宋体" w:hAnsi="宋体" w:eastAsia="宋体" w:cs="宋体"/>
                <w:color w:val="auto"/>
                <w:spacing w:val="-4"/>
                <w:sz w:val="24"/>
                <w:szCs w:val="24"/>
                <w:highlight w:val="none"/>
              </w:rPr>
              <w:t>：按招标文件规定的收费标准下调</w:t>
            </w:r>
            <w:r>
              <w:rPr>
                <w:rFonts w:hint="eastAsia" w:ascii="宋体" w:hAnsi="宋体" w:eastAsia="宋体" w:cs="宋体"/>
                <w:color w:val="auto"/>
                <w:spacing w:val="-4"/>
                <w:sz w:val="24"/>
                <w:szCs w:val="24"/>
                <w:highlight w:val="none"/>
                <w:lang w:val="en-US" w:eastAsia="zh-CN"/>
              </w:rPr>
              <w:t>1</w:t>
            </w:r>
            <w:r>
              <w:rPr>
                <w:rFonts w:hint="eastAsia" w:ascii="宋体" w:hAnsi="宋体" w:eastAsia="宋体" w:cs="宋体"/>
                <w:color w:val="auto"/>
                <w:spacing w:val="-4"/>
                <w:sz w:val="24"/>
                <w:szCs w:val="24"/>
                <w:highlight w:val="none"/>
              </w:rPr>
              <w:t>0%</w:t>
            </w:r>
          </w:p>
          <w:p>
            <w:pPr>
              <w:keepNext w:val="0"/>
              <w:keepLines w:val="0"/>
              <w:suppressLineNumbers w:val="0"/>
              <w:spacing w:before="0" w:beforeAutospacing="0" w:after="0" w:afterAutospacing="0" w:line="360" w:lineRule="auto"/>
              <w:ind w:left="-65" w:leftChars="-31" w:right="0" w:firstLine="12" w:firstLineChars="5"/>
              <w:rPr>
                <w:rFonts w:hint="eastAsia" w:ascii="宋体" w:hAnsi="宋体" w:eastAsia="宋体" w:cs="宋体"/>
                <w:b/>
                <w:color w:val="auto"/>
                <w:spacing w:val="-4"/>
                <w:sz w:val="24"/>
                <w:szCs w:val="24"/>
                <w:highlight w:val="none"/>
              </w:rPr>
            </w:pPr>
          </w:p>
          <w:p>
            <w:pPr>
              <w:keepNext w:val="0"/>
              <w:keepLines w:val="0"/>
              <w:suppressLineNumbers w:val="0"/>
              <w:spacing w:before="0" w:beforeAutospacing="0" w:after="0" w:afterAutospacing="0" w:line="360" w:lineRule="auto"/>
              <w:ind w:left="-65" w:leftChars="-31" w:right="0" w:firstLine="12" w:firstLineChars="5"/>
              <w:rPr>
                <w:rFonts w:hint="eastAsia" w:ascii="宋体" w:hAnsi="宋体" w:eastAsia="宋体" w:cs="宋体"/>
                <w:b/>
                <w:color w:val="auto"/>
                <w:spacing w:val="-4"/>
                <w:sz w:val="24"/>
                <w:szCs w:val="24"/>
                <w:highlight w:val="none"/>
              </w:rPr>
            </w:pPr>
            <w:r>
              <w:rPr>
                <w:rFonts w:hint="eastAsia" w:ascii="宋体" w:hAnsi="宋体" w:eastAsia="宋体" w:cs="宋体"/>
                <w:b/>
                <w:color w:val="auto"/>
                <w:spacing w:val="-4"/>
                <w:sz w:val="24"/>
                <w:szCs w:val="24"/>
                <w:highlight w:val="none"/>
              </w:rPr>
              <w:t>投标产品为</w:t>
            </w:r>
            <w:r>
              <w:rPr>
                <w:rFonts w:hint="eastAsia" w:ascii="宋体" w:hAnsi="宋体" w:eastAsia="宋体" w:cs="宋体"/>
                <w:b/>
                <w:color w:val="auto"/>
                <w:sz w:val="24"/>
                <w:szCs w:val="24"/>
                <w:highlight w:val="none"/>
              </w:rPr>
              <w:t>小型企业或微型企业生产</w:t>
            </w:r>
            <w:r>
              <w:rPr>
                <w:rFonts w:hint="eastAsia" w:ascii="宋体" w:hAnsi="宋体" w:eastAsia="宋体" w:cs="宋体"/>
                <w:b/>
                <w:color w:val="auto"/>
                <w:spacing w:val="-4"/>
                <w:sz w:val="24"/>
                <w:szCs w:val="24"/>
                <w:highlight w:val="none"/>
              </w:rPr>
              <w:t>：</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投标人提供的货物既有中型企业制造，也有小微企业制造的，不享受办法规定的小微企业扶持政策。</w:t>
            </w:r>
          </w:p>
          <w:p>
            <w:pPr>
              <w:pStyle w:val="5"/>
              <w:keepNext w:val="0"/>
              <w:keepLines w:val="0"/>
              <w:suppressLineNumbers w:val="0"/>
              <w:spacing w:before="0" w:beforeAutospacing="0" w:after="0" w:afterAutospacing="0" w:line="360" w:lineRule="auto"/>
              <w:ind w:left="0" w:right="0" w:firstLine="480" w:firstLineChars="200"/>
              <w:rPr>
                <w:rFonts w:hint="eastAsia" w:hAnsi="宋体" w:eastAsia="宋体" w:cs="宋体"/>
                <w:color w:val="auto"/>
                <w:sz w:val="24"/>
                <w:szCs w:val="24"/>
                <w:highlight w:val="none"/>
              </w:rPr>
            </w:pPr>
            <w:r>
              <w:rPr>
                <w:rFonts w:hint="eastAsia" w:hAnsi="宋体" w:eastAsia="宋体" w:cs="宋体"/>
                <w:color w:val="auto"/>
                <w:sz w:val="24"/>
                <w:szCs w:val="24"/>
                <w:highlight w:val="none"/>
              </w:rPr>
              <w:t>对其提供的小型或微型企业产品的投标报价给予</w:t>
            </w:r>
            <w:r>
              <w:rPr>
                <w:rFonts w:hint="default" w:hAnsi="宋体" w:cs="宋体"/>
                <w:color w:val="auto"/>
                <w:sz w:val="24"/>
                <w:szCs w:val="24"/>
                <w:highlight w:val="none"/>
              </w:rPr>
              <w:t>15</w:t>
            </w:r>
            <w:r>
              <w:rPr>
                <w:rFonts w:hint="eastAsia" w:hAnsi="宋体" w:eastAsia="宋体" w:cs="宋体"/>
                <w:color w:val="auto"/>
                <w:sz w:val="24"/>
                <w:szCs w:val="24"/>
                <w:highlight w:val="none"/>
              </w:rPr>
              <w:t>%的扣除</w:t>
            </w:r>
            <w:r>
              <w:rPr>
                <w:rFonts w:hint="eastAsia" w:hAnsi="宋体" w:eastAsia="宋体" w:cs="宋体"/>
                <w:color w:val="auto"/>
                <w:sz w:val="24"/>
                <w:szCs w:val="24"/>
                <w:highlight w:val="none"/>
              </w:rPr>
              <w:t>，扣除后的价格作为该投标人的评标价参与价格评分。</w:t>
            </w:r>
          </w:p>
          <w:p>
            <w:pPr>
              <w:pStyle w:val="5"/>
              <w:keepNext w:val="0"/>
              <w:keepLines w:val="0"/>
              <w:suppressLineNumbers w:val="0"/>
              <w:spacing w:before="0" w:beforeAutospacing="0" w:after="0" w:afterAutospacing="0" w:line="360" w:lineRule="auto"/>
              <w:ind w:left="0" w:right="0" w:firstLine="480" w:firstLineChars="200"/>
              <w:rPr>
                <w:rFonts w:hint="eastAsia" w:hAnsi="宋体" w:eastAsia="宋体" w:cs="宋体"/>
                <w:color w:val="auto"/>
                <w:sz w:val="24"/>
                <w:szCs w:val="24"/>
                <w:highlight w:val="none"/>
              </w:rPr>
            </w:pPr>
            <w:r>
              <w:rPr>
                <w:rFonts w:hint="eastAsia" w:hAnsi="宋体" w:eastAsia="宋体" w:cs="宋体"/>
                <w:color w:val="auto"/>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接受大中型企业与小微企业组成联合体或者允许大中型企业向一家或者多家小微企业分包的采购项目，对于联合协议或者分包意向协议约定小微企业的合同份额占到合同总金额30%以上的，</w:t>
            </w:r>
            <w:r>
              <w:rPr>
                <w:rFonts w:hint="eastAsia" w:hAnsi="宋体" w:cs="宋体"/>
                <w:color w:val="auto"/>
                <w:sz w:val="24"/>
                <w:szCs w:val="24"/>
                <w:highlight w:val="none"/>
                <w:lang w:eastAsia="zh-CN"/>
              </w:rPr>
              <w:t>采购单位</w:t>
            </w:r>
            <w:r>
              <w:rPr>
                <w:rFonts w:hint="eastAsia" w:hAnsi="宋体" w:eastAsia="宋体" w:cs="宋体"/>
                <w:color w:val="auto"/>
                <w:sz w:val="24"/>
                <w:szCs w:val="24"/>
                <w:highlight w:val="none"/>
              </w:rPr>
              <w:t>、采购代理机构应当对联合体或者大中型企业的报价给予</w:t>
            </w:r>
            <w:r>
              <w:rPr>
                <w:rFonts w:hint="eastAsia" w:hAnsi="宋体" w:eastAsia="宋体" w:cs="宋体"/>
                <w:color w:val="auto"/>
                <w:sz w:val="24"/>
                <w:szCs w:val="24"/>
                <w:highlight w:val="none"/>
              </w:rPr>
              <w:t>6%的扣除</w:t>
            </w:r>
            <w:r>
              <w:rPr>
                <w:rFonts w:hint="eastAsia" w:hAnsi="宋体" w:eastAsia="宋体" w:cs="宋体"/>
                <w:color w:val="auto"/>
                <w:sz w:val="24"/>
                <w:szCs w:val="24"/>
                <w:highlight w:val="none"/>
              </w:rPr>
              <w:t>，用扣除后的价格参加评审。</w:t>
            </w:r>
          </w:p>
          <w:p>
            <w:pPr>
              <w:pStyle w:val="13"/>
              <w:keepNext w:val="0"/>
              <w:keepLines w:val="0"/>
              <w:numPr>
                <w:ilvl w:val="-1"/>
                <w:numId w:val="0"/>
              </w:numPr>
              <w:suppressLineNumbers w:val="0"/>
              <w:spacing w:before="0" w:beforeAutospacing="0" w:after="0" w:afterAutospacing="0" w:line="360" w:lineRule="auto"/>
              <w:ind w:left="0" w:leftChars="0" w:righ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联合体各方均为小型、微型企业的，联合体视同为小型、微型企业。组成联合体的大中型企业和其他自然人、法人或者其他组织，与小型、微型企业之间不得存在投资关系。按照《财政部 司法部关于政府采购支持监狱企业发展有关问题的通知》（财库〔2014〕68号）有关规定，监狱企业视同小型、微型企业。</w:t>
            </w:r>
            <w:r>
              <w:rPr>
                <w:rFonts w:hint="eastAsia" w:ascii="宋体" w:hAnsi="宋体" w:eastAsia="宋体" w:cs="宋体"/>
                <w:color w:val="auto"/>
                <w:sz w:val="24"/>
                <w:szCs w:val="24"/>
                <w:highlight w:val="none"/>
                <w:lang w:eastAsia="zh-CN"/>
              </w:rPr>
              <w:t>根据《财政部 民政部 中国残疾人联合会关于促进残疾人就业政府采购政策的通知》（财库[2017]141号），残疾人福利性单位视同小型、微型企业。残疾人福利性单位属于小型、微型企业的，不重复享受政策。</w:t>
            </w:r>
          </w:p>
          <w:p>
            <w:pPr>
              <w:pStyle w:val="5"/>
              <w:keepNext w:val="0"/>
              <w:keepLines w:val="0"/>
              <w:suppressLineNumbers w:val="0"/>
              <w:spacing w:before="0" w:beforeAutospacing="0" w:after="0" w:afterAutospacing="0" w:line="360" w:lineRule="auto"/>
              <w:ind w:left="0" w:right="0" w:firstLine="480" w:firstLineChars="200"/>
              <w:rPr>
                <w:rFonts w:hint="eastAsia" w:hAnsi="宋体" w:eastAsia="宋体" w:cs="宋体"/>
                <w:color w:val="auto"/>
                <w:sz w:val="24"/>
                <w:szCs w:val="24"/>
                <w:highlight w:val="none"/>
              </w:rPr>
            </w:pPr>
            <w:r>
              <w:rPr>
                <w:rFonts w:hint="eastAsia" w:ascii="宋体" w:hAnsi="宋体" w:eastAsia="宋体" w:cs="宋体"/>
                <w:b w:val="0"/>
                <w:color w:val="auto"/>
                <w:sz w:val="24"/>
                <w:szCs w:val="24"/>
                <w:highlight w:val="none"/>
                <w:lang w:val="en-US" w:eastAsia="zh-CN"/>
              </w:rPr>
              <w:t>若本项目属于预留份额专门面向中小企业采购活动，</w:t>
            </w:r>
            <w:r>
              <w:rPr>
                <w:rFonts w:hint="eastAsia" w:ascii="宋体" w:hAnsi="宋体" w:eastAsia="宋体" w:cs="宋体"/>
                <w:color w:val="auto"/>
                <w:sz w:val="24"/>
                <w:szCs w:val="24"/>
                <w:highlight w:val="none"/>
              </w:rPr>
              <w:t>不再执行价格评审优惠的扶持政策。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dstrike/>
                <w:color w:val="auto"/>
                <w:sz w:val="24"/>
                <w:szCs w:val="24"/>
                <w:highlight w:val="none"/>
              </w:rPr>
            </w:pPr>
            <w:r>
              <w:rPr>
                <w:rFonts w:hint="eastAsia" w:ascii="宋体" w:hAnsi="宋体" w:eastAsia="宋体" w:cs="宋体"/>
                <w:b/>
                <w:color w:val="auto"/>
                <w:sz w:val="24"/>
                <w:szCs w:val="24"/>
                <w:highlight w:val="none"/>
              </w:rPr>
              <w:t>4</w:t>
            </w:r>
          </w:p>
        </w:tc>
        <w:tc>
          <w:tcPr>
            <w:tcW w:w="1677" w:type="dxa"/>
            <w:noWrap w:val="0"/>
            <w:vAlign w:val="center"/>
          </w:tcPr>
          <w:p>
            <w:pPr>
              <w:pStyle w:val="11"/>
              <w:keepNext w:val="0"/>
              <w:keepLines w:val="0"/>
              <w:suppressLineNumbers w:val="0"/>
              <w:spacing w:before="0" w:beforeAutospacing="0" w:after="0" w:afterAutospacing="0" w:line="360" w:lineRule="auto"/>
              <w:ind w:left="0" w:right="0"/>
              <w:rPr>
                <w:rFonts w:hint="eastAsia" w:eastAsia="宋体"/>
                <w:color w:val="auto"/>
                <w:sz w:val="24"/>
                <w:szCs w:val="24"/>
                <w:highlight w:val="none"/>
              </w:rPr>
            </w:pPr>
            <w:r>
              <w:rPr>
                <w:rFonts w:hint="eastAsia" w:eastAsia="宋体"/>
                <w:color w:val="auto"/>
                <w:sz w:val="24"/>
                <w:szCs w:val="24"/>
                <w:highlight w:val="none"/>
              </w:rPr>
              <w:t>本项目对应的中小企业划分标准</w:t>
            </w:r>
            <w:r>
              <w:rPr>
                <w:rFonts w:hint="eastAsia" w:eastAsia="宋体"/>
                <w:color w:val="auto"/>
                <w:sz w:val="24"/>
                <w:szCs w:val="24"/>
                <w:highlight w:val="none"/>
              </w:rPr>
              <w:t>所属</w:t>
            </w:r>
            <w:r>
              <w:rPr>
                <w:rFonts w:hint="eastAsia"/>
                <w:color w:val="auto"/>
                <w:sz w:val="24"/>
                <w:szCs w:val="24"/>
                <w:highlight w:val="none"/>
                <w:u w:val="single"/>
                <w:lang w:eastAsia="zh-CN"/>
              </w:rPr>
              <w:t>工业</w:t>
            </w:r>
            <w:r>
              <w:rPr>
                <w:rFonts w:hint="eastAsia" w:eastAsia="宋体"/>
                <w:color w:val="auto"/>
                <w:sz w:val="24"/>
                <w:szCs w:val="24"/>
                <w:highlight w:val="none"/>
                <w:u w:val="single"/>
              </w:rPr>
              <w:t>行业。</w:t>
            </w:r>
          </w:p>
        </w:tc>
        <w:tc>
          <w:tcPr>
            <w:tcW w:w="6063" w:type="dxa"/>
            <w:tcBorders>
              <w:bottom w:val="single" w:color="auto" w:sz="4" w:space="0"/>
            </w:tcBorders>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dstrike/>
                <w:color w:val="auto"/>
                <w:sz w:val="24"/>
                <w:szCs w:val="24"/>
                <w:highlight w:val="none"/>
                <w:u w:val="single"/>
              </w:rPr>
            </w:pPr>
            <w:r>
              <w:rPr>
                <w:rFonts w:hint="eastAsia" w:ascii="宋体" w:hAnsi="宋体" w:eastAsia="宋体" w:cs="宋体"/>
                <w:color w:val="auto"/>
                <w:sz w:val="24"/>
                <w:szCs w:val="24"/>
                <w:highlight w:val="none"/>
              </w:rPr>
              <w:t>现行中小企业划分标准行业包括农、林、牧、渔业，工业，建筑业，批发业，零售业，交通运输业，仓储业，邮政业，住宿业，餐饮业，信息传输业，软件和信息技术服务业，房地产开发经营，物业管理，</w:t>
            </w:r>
            <w:r>
              <w:rPr>
                <w:rFonts w:hint="eastAsia" w:ascii="宋体" w:hAnsi="宋体" w:cs="宋体"/>
                <w:color w:val="auto"/>
                <w:sz w:val="24"/>
                <w:szCs w:val="24"/>
                <w:highlight w:val="none"/>
                <w:lang w:eastAsia="zh-CN"/>
              </w:rPr>
              <w:t>租赁和商务服务业</w:t>
            </w:r>
            <w:r>
              <w:rPr>
                <w:rFonts w:hint="eastAsia" w:ascii="宋体" w:hAnsi="宋体" w:eastAsia="宋体" w:cs="宋体"/>
                <w:color w:val="auto"/>
                <w:sz w:val="24"/>
                <w:szCs w:val="24"/>
                <w:highlight w:val="none"/>
              </w:rPr>
              <w:t>和其他未列明行业等十六类。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w:t>
            </w:r>
          </w:p>
        </w:tc>
        <w:tc>
          <w:tcPr>
            <w:tcW w:w="1677" w:type="dxa"/>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相关风险</w:t>
            </w:r>
          </w:p>
        </w:tc>
        <w:tc>
          <w:tcPr>
            <w:tcW w:w="6063" w:type="dxa"/>
            <w:tcBorders>
              <w:bottom w:val="single" w:color="auto" w:sz="4" w:space="0"/>
            </w:tcBorders>
            <w:noWrap w:val="0"/>
            <w:vAlign w:val="top"/>
          </w:tcPr>
          <w:p>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一、经评标委员会评审，存在下列任一情况的，投标人将不被视为中小企业：</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1.投标人不符合“工信部联企业[2011]300号”规定的中小企业标准的；</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2.投标货物全部或部分为使用大型企业注册商标的货物的；</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3.投标文件中标明的中小企业产品的制造商不符合“工信部联企业[2011]300号”规定的中小企业标准的；</w:t>
            </w:r>
          </w:p>
          <w:p>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二、提供虚假声明后果：</w:t>
            </w:r>
          </w:p>
          <w:p>
            <w:pPr>
              <w:keepNext w:val="0"/>
              <w:keepLines w:val="0"/>
              <w:widowControl/>
              <w:suppressLineNumbers w:val="0"/>
              <w:spacing w:before="0" w:beforeAutospacing="0" w:after="0" w:afterAutospacing="0" w:line="360" w:lineRule="auto"/>
              <w:ind w:left="0" w:right="0"/>
              <w:rPr>
                <w:rFonts w:hint="eastAsia" w:ascii="宋体" w:hAnsi="宋体" w:eastAsia="宋体" w:cs="宋体"/>
                <w:b/>
                <w:i/>
                <w:color w:val="auto"/>
                <w:kern w:val="0"/>
                <w:sz w:val="24"/>
                <w:szCs w:val="24"/>
                <w:highlight w:val="none"/>
                <w:u w:val="single"/>
              </w:rPr>
            </w:pPr>
            <w:r>
              <w:rPr>
                <w:rFonts w:hint="eastAsia" w:ascii="宋体" w:hAnsi="宋体" w:eastAsia="宋体" w:cs="宋体"/>
                <w:color w:val="auto"/>
                <w:kern w:val="0"/>
                <w:sz w:val="24"/>
                <w:szCs w:val="24"/>
                <w:highlight w:val="none"/>
              </w:rPr>
              <w:t>投标人为取得中小企业身份而提供虚假声明，在评审过程中发现的，按无效投标处理，投标保证金不予退还；已取得中标资格的，无论该行为是否影响中标，均取消其中标资格，投标保证金、代理服务费不予退还，该投标人还应承担由此引起的其他经济、法律责任。出现此种情形时，</w:t>
            </w:r>
            <w:r>
              <w:rPr>
                <w:rFonts w:hint="eastAsia" w:ascii="宋体" w:hAnsi="宋体" w:cs="宋体"/>
                <w:color w:val="auto"/>
                <w:kern w:val="0"/>
                <w:sz w:val="24"/>
                <w:szCs w:val="24"/>
                <w:highlight w:val="none"/>
                <w:lang w:eastAsia="zh-CN"/>
              </w:rPr>
              <w:t>采购单位</w:t>
            </w:r>
            <w:r>
              <w:rPr>
                <w:rFonts w:hint="eastAsia" w:ascii="宋体" w:hAnsi="宋体" w:eastAsia="宋体" w:cs="宋体"/>
                <w:color w:val="auto"/>
                <w:kern w:val="0"/>
                <w:sz w:val="24"/>
                <w:szCs w:val="24"/>
                <w:highlight w:val="none"/>
              </w:rPr>
              <w:t>、招标代理机构将有关情况上报政府采购监管部门，由监管部门按有关规定对其进行相应处罚。</w:t>
            </w:r>
            <w:r>
              <w:rPr>
                <w:rFonts w:hint="eastAsia" w:ascii="宋体" w:hAnsi="宋体" w:cs="宋体"/>
                <w:color w:val="auto"/>
                <w:kern w:val="0"/>
                <w:sz w:val="24"/>
                <w:szCs w:val="24"/>
                <w:highlight w:val="none"/>
                <w:lang w:eastAsia="zh-CN"/>
              </w:rPr>
              <w:t>采购单位</w:t>
            </w:r>
            <w:r>
              <w:rPr>
                <w:rFonts w:hint="eastAsia" w:ascii="宋体" w:hAnsi="宋体" w:eastAsia="宋体" w:cs="宋体"/>
                <w:color w:val="auto"/>
                <w:kern w:val="0"/>
                <w:sz w:val="24"/>
                <w:szCs w:val="24"/>
                <w:highlight w:val="none"/>
              </w:rPr>
              <w:t>、招标代理机构</w:t>
            </w:r>
            <w:r>
              <w:rPr>
                <w:rFonts w:hint="eastAsia" w:ascii="宋体" w:hAnsi="宋体" w:eastAsia="宋体" w:cs="宋体"/>
                <w:color w:val="auto"/>
                <w:sz w:val="24"/>
                <w:szCs w:val="24"/>
                <w:highlight w:val="none"/>
              </w:rPr>
              <w:t>有权上报财政部门，建议财政部门将该投标人列入不良行为记录名单，在一至三年内禁止该投标人参加政府采购活动并予以通报。</w:t>
            </w:r>
            <w:r>
              <w:rPr>
                <w:rFonts w:hint="eastAsia" w:ascii="宋体" w:hAnsi="宋体" w:eastAsia="宋体" w:cs="宋体"/>
                <w:b/>
                <w:i/>
                <w:color w:val="auto"/>
                <w:kern w:val="0"/>
                <w:sz w:val="24"/>
                <w:szCs w:val="24"/>
                <w:highlight w:val="none"/>
                <w:u w:val="single"/>
              </w:rPr>
              <w:t>（提醒：如果投不满足中小企业的认定标准，则不需要提供《中小企业声明函》，否则因此导致虚假应标的后果由投标人自行承担。）</w:t>
            </w:r>
          </w:p>
        </w:tc>
      </w:tr>
    </w:tbl>
    <w:p>
      <w:pPr>
        <w:spacing w:line="360" w:lineRule="auto"/>
        <w:rPr>
          <w:rFonts w:hint="eastAsia" w:ascii="宋体" w:hAnsi="宋体" w:eastAsia="宋体" w:cs="宋体"/>
          <w:b/>
          <w:bCs/>
          <w:color w:val="auto"/>
          <w:sz w:val="24"/>
          <w:szCs w:val="24"/>
          <w:highlight w:val="none"/>
        </w:rPr>
        <w:sectPr>
          <w:footerReference r:id="rId7" w:type="default"/>
          <w:pgSz w:w="11907" w:h="16840"/>
          <w:pgMar w:top="1440" w:right="1752" w:bottom="1290" w:left="1752" w:header="851" w:footer="992" w:gutter="0"/>
          <w:pgNumType w:start="1"/>
          <w:cols w:space="720" w:num="1"/>
          <w:docGrid w:linePitch="323" w:charSpace="-2"/>
        </w:sectPr>
      </w:pPr>
    </w:p>
    <w:p>
      <w:pPr>
        <w:pStyle w:val="2"/>
        <w:snapToGrid w:val="0"/>
        <w:spacing w:line="360" w:lineRule="auto"/>
        <w:ind w:firstLine="0"/>
        <w:jc w:val="cente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 xml:space="preserve">第三章  </w:t>
      </w:r>
      <w:r>
        <w:rPr>
          <w:rFonts w:hint="eastAsia" w:ascii="宋体" w:hAnsi="宋体" w:eastAsia="宋体" w:cs="宋体"/>
          <w:b/>
          <w:bCs/>
          <w:color w:val="auto"/>
          <w:sz w:val="32"/>
          <w:szCs w:val="32"/>
          <w:highlight w:val="none"/>
        </w:rPr>
        <w:t>招标内容及要求</w:t>
      </w:r>
    </w:p>
    <w:p>
      <w:pPr>
        <w:pStyle w:val="6"/>
        <w:spacing w:after="0" w:line="360" w:lineRule="auto"/>
        <w:ind w:left="181" w:leftChars="86" w:right="-334" w:rightChars="-15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提示说明：</w:t>
      </w:r>
    </w:p>
    <w:p>
      <w:pPr>
        <w:pStyle w:val="6"/>
        <w:spacing w:after="0" w:line="360" w:lineRule="auto"/>
        <w:ind w:left="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（1）全文中带有“*”的条款为关键性条款，对这些关键性条款的任何负偏离或不满足将导致该投标作无效投标处理。</w:t>
      </w:r>
      <w:r>
        <w:rPr>
          <w:rFonts w:hint="eastAsia" w:ascii="宋体" w:hAnsi="宋体" w:eastAsia="宋体" w:cs="宋体"/>
          <w:b/>
          <w:color w:val="auto"/>
          <w:sz w:val="24"/>
          <w:szCs w:val="24"/>
          <w:highlight w:val="none"/>
        </w:rPr>
        <w:t>投标人应对招标文件中的“*”号条款进行逐条响应，否则评标委员会对其投标做出不利评审，投标人必须自行承担责任。</w:t>
      </w:r>
    </w:p>
    <w:p>
      <w:pPr>
        <w:pStyle w:val="6"/>
        <w:spacing w:after="0" w:line="360" w:lineRule="auto"/>
        <w:ind w:left="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（2）本项目以合同包为单位，对于每个合同包，投标人必须完整地提供合同包要求的所有货物和服务，否则该投标人针对该合同包的投标将按照无效投标处理。</w:t>
      </w:r>
    </w:p>
    <w:p>
      <w:pPr>
        <w:pStyle w:val="6"/>
        <w:spacing w:after="0" w:line="360" w:lineRule="auto"/>
        <w:ind w:left="0" w:right="-334" w:rightChars="-15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（3）若招标文件第三章所述内容与其它部分的条款发生理解冲突，则以第三章所述内容为准；如招标文件发生变更，则相关条款的解释以更改通知为准。</w:t>
      </w:r>
    </w:p>
    <w:p>
      <w:pPr>
        <w:pStyle w:val="6"/>
        <w:spacing w:after="0" w:line="360" w:lineRule="auto"/>
        <w:ind w:left="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（4）经评标委员会认定要求澄清的证明文件必须在规定的时间内提供，否则其将不具有中标供应商的资格。</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（5）资格性证明文件请单独成册。</w:t>
      </w:r>
    </w:p>
    <w:p>
      <w:pPr>
        <w:pStyle w:val="6"/>
        <w:spacing w:after="0" w:line="360" w:lineRule="auto"/>
        <w:ind w:left="0"/>
        <w:rPr>
          <w:rFonts w:hint="eastAsia" w:ascii="宋体" w:hAnsi="宋体" w:eastAsia="宋体" w:cs="宋体"/>
          <w:b/>
          <w:bCs/>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rPr>
          <w:rFonts w:hint="eastAsia" w:ascii="宋体" w:hAnsi="宋体" w:eastAsia="宋体" w:cs="宋体"/>
          <w:color w:val="auto"/>
          <w:sz w:val="24"/>
          <w:szCs w:val="24"/>
          <w:highlight w:val="none"/>
        </w:rPr>
      </w:pPr>
    </w:p>
    <w:p>
      <w:pPr>
        <w:tabs>
          <w:tab w:val="left" w:pos="5130"/>
        </w:tabs>
        <w:spacing w:line="360" w:lineRule="auto"/>
        <w:rPr>
          <w:rFonts w:hint="eastAsia" w:ascii="宋体" w:hAnsi="宋体" w:eastAsia="宋体" w:cs="宋体"/>
          <w:color w:val="auto"/>
          <w:sz w:val="24"/>
          <w:szCs w:val="24"/>
          <w:highlight w:val="none"/>
        </w:rPr>
      </w:pPr>
    </w:p>
    <w:p>
      <w:pPr>
        <w:tabs>
          <w:tab w:val="left" w:pos="5130"/>
        </w:tabs>
        <w:spacing w:line="360" w:lineRule="auto"/>
        <w:rPr>
          <w:rFonts w:hint="eastAsia" w:ascii="宋体" w:hAnsi="宋体" w:eastAsia="宋体" w:cs="宋体"/>
          <w:color w:val="auto"/>
          <w:sz w:val="24"/>
          <w:szCs w:val="24"/>
          <w:highlight w:val="none"/>
        </w:rPr>
      </w:pPr>
    </w:p>
    <w:p>
      <w:pPr>
        <w:tabs>
          <w:tab w:val="left" w:pos="5130"/>
        </w:tabs>
        <w:spacing w:line="360" w:lineRule="auto"/>
        <w:rPr>
          <w:rFonts w:hint="eastAsia" w:ascii="宋体" w:hAnsi="宋体" w:eastAsia="宋体" w:cs="宋体"/>
          <w:color w:val="auto"/>
          <w:sz w:val="24"/>
          <w:szCs w:val="24"/>
          <w:highlight w:val="none"/>
        </w:rPr>
      </w:pPr>
    </w:p>
    <w:p>
      <w:pPr>
        <w:tabs>
          <w:tab w:val="left" w:pos="5130"/>
        </w:tabs>
        <w:spacing w:line="360" w:lineRule="auto"/>
        <w:rPr>
          <w:rFonts w:hint="eastAsia" w:ascii="宋体" w:hAnsi="宋体" w:eastAsia="宋体" w:cs="宋体"/>
          <w:color w:val="auto"/>
          <w:sz w:val="24"/>
          <w:szCs w:val="24"/>
          <w:highlight w:val="none"/>
        </w:rPr>
      </w:pPr>
    </w:p>
    <w:p>
      <w:pPr>
        <w:adjustRightInd w:val="0"/>
        <w:snapToGrid w:val="0"/>
        <w:spacing w:line="360" w:lineRule="auto"/>
        <w:jc w:val="left"/>
        <w:rPr>
          <w:rFonts w:hint="eastAsia" w:ascii="宋体" w:hAnsi="宋体" w:cs="Times New Roman"/>
          <w:b/>
          <w:color w:val="auto"/>
          <w:sz w:val="28"/>
          <w:szCs w:val="28"/>
          <w:highlight w:val="none"/>
          <w:lang w:val="en-US" w:eastAsia="zh-CN"/>
        </w:rPr>
      </w:pPr>
      <w:r>
        <w:rPr>
          <w:rFonts w:hint="eastAsia" w:ascii="宋体" w:hAnsi="宋体" w:cs="Times New Roman"/>
          <w:b/>
          <w:color w:val="auto"/>
          <w:sz w:val="28"/>
          <w:szCs w:val="28"/>
          <w:highlight w:val="none"/>
          <w:lang w:val="en-US" w:eastAsia="zh-CN"/>
        </w:rPr>
        <w:t>一、招标要求</w:t>
      </w:r>
    </w:p>
    <w:tbl>
      <w:tblPr>
        <w:tblStyle w:val="14"/>
        <w:tblW w:w="88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30"/>
        <w:gridCol w:w="1630"/>
        <w:gridCol w:w="55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品</w:t>
            </w:r>
            <w:r>
              <w:rPr>
                <w:rFonts w:hint="eastAsia" w:ascii="宋体" w:hAnsi="宋体" w:eastAsia="宋体" w:cs="宋体"/>
                <w:b/>
                <w:bCs w:val="0"/>
                <w:color w:val="auto"/>
                <w:kern w:val="2"/>
                <w:sz w:val="24"/>
                <w:szCs w:val="24"/>
                <w:highlight w:val="none"/>
                <w:lang w:val="en-US" w:eastAsia="zh-CN" w:bidi="ar"/>
              </w:rPr>
              <w:t>目</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号</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货物名称</w:t>
            </w: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w:t>
            </w:r>
          </w:p>
        </w:tc>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A4幅面黑白单打印激光打印机</w:t>
            </w: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Style w:val="42"/>
                <w:rFonts w:hint="eastAsia" w:asciiTheme="minorEastAsia" w:hAnsiTheme="minorEastAsia" w:eastAsiaTheme="minorEastAsia" w:cstheme="minorEastAsia"/>
                <w:b/>
                <w:bCs/>
                <w:color w:val="auto"/>
                <w:sz w:val="21"/>
                <w:szCs w:val="21"/>
                <w:highlight w:val="none"/>
                <w:lang w:val="en-US" w:eastAsia="zh-CN" w:bidi="ar"/>
              </w:rPr>
              <w:t>*</w:t>
            </w:r>
            <w:r>
              <w:rPr>
                <w:rStyle w:val="44"/>
                <w:rFonts w:hint="eastAsia" w:asciiTheme="minorEastAsia" w:hAnsiTheme="minorEastAsia" w:eastAsiaTheme="minorEastAsia" w:cstheme="minorEastAsia"/>
                <w:b/>
                <w:bCs/>
                <w:color w:val="auto"/>
                <w:sz w:val="21"/>
                <w:szCs w:val="21"/>
                <w:highlight w:val="none"/>
                <w:lang w:val="en-US" w:eastAsia="zh-CN" w:bidi="ar"/>
              </w:rPr>
              <w:t>打印速度(黑白,标准,A4)≥18ppm,典型能源消耗（kW·h）≤1.7，</w:t>
            </w:r>
            <w:r>
              <w:rPr>
                <w:rStyle w:val="42"/>
                <w:rFonts w:hint="eastAsia" w:asciiTheme="minorEastAsia" w:hAnsiTheme="minorEastAsia" w:eastAsiaTheme="minorEastAsia" w:cstheme="minorEastAsia"/>
                <w:b/>
                <w:bCs/>
                <w:color w:val="auto"/>
                <w:sz w:val="21"/>
                <w:szCs w:val="21"/>
                <w:highlight w:val="none"/>
                <w:lang w:val="en-US" w:eastAsia="zh-CN" w:bidi="ar"/>
              </w:rPr>
              <w:t>适配符合安全可靠测评要求的计算机平台及符合安全可靠测评要求的操作系统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标配内存≥32MB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打印分辨率（不含图像增强模式/精细模式）≥600*600dpi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首页打印时间（黑白,就绪,A4）≤10秒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标配接口USB2.0及以上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标配输入纸盒容量≥150页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标配输出纸盒容量≥100页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月打印负荷量≥5000页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配件：配备USB数据线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w:t>
            </w:r>
          </w:p>
        </w:tc>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A4幅面黑白双面网络单打印激光打印机</w:t>
            </w: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Style w:val="42"/>
                <w:rFonts w:hint="eastAsia" w:asciiTheme="minorEastAsia" w:hAnsiTheme="minorEastAsia" w:eastAsiaTheme="minorEastAsia" w:cstheme="minorEastAsia"/>
                <w:b/>
                <w:bCs/>
                <w:color w:val="auto"/>
                <w:sz w:val="21"/>
                <w:szCs w:val="21"/>
                <w:highlight w:val="none"/>
                <w:lang w:val="en-US" w:eastAsia="zh-CN" w:bidi="ar"/>
              </w:rPr>
              <w:t>*</w:t>
            </w:r>
            <w:r>
              <w:rPr>
                <w:rStyle w:val="44"/>
                <w:rFonts w:hint="eastAsia" w:asciiTheme="minorEastAsia" w:hAnsiTheme="minorEastAsia" w:eastAsiaTheme="minorEastAsia" w:cstheme="minorEastAsia"/>
                <w:b/>
                <w:bCs/>
                <w:color w:val="auto"/>
                <w:sz w:val="21"/>
                <w:szCs w:val="21"/>
                <w:highlight w:val="none"/>
                <w:lang w:val="en-US" w:eastAsia="zh-CN" w:bidi="ar"/>
              </w:rPr>
              <w:t>打印速度(黑白,标准,A4)≥28PPM;</w:t>
            </w:r>
            <w:r>
              <w:rPr>
                <w:rStyle w:val="42"/>
                <w:rFonts w:hint="eastAsia" w:asciiTheme="minorEastAsia" w:hAnsiTheme="minorEastAsia" w:eastAsiaTheme="minorEastAsia" w:cstheme="minorEastAsia"/>
                <w:b/>
                <w:bCs/>
                <w:color w:val="auto"/>
                <w:sz w:val="21"/>
                <w:szCs w:val="21"/>
                <w:highlight w:val="none"/>
                <w:lang w:val="en-US" w:eastAsia="zh-CN" w:bidi="ar"/>
              </w:rPr>
              <w:t>典型能源消耗（kW·h）≤1.8，适配符合安全可靠测评要求的计算机平台及符合安全可靠测评要求的操作系统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标配内存≥64MB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打印分辨率（不含图像增强模式/精细模式）≥600x600dpi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首页输出时间（黑白,就绪,A4）≤10秒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标配接口USB2.0及以上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标配输入纸盒容量≥150页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标配输出纸盒容量≥100页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月打印负荷量≥15000页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配件：配备USB数据线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w:t>
            </w:r>
          </w:p>
        </w:tc>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A4幅面黑白双面网络单打印激光打印机</w:t>
            </w: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Style w:val="42"/>
                <w:rFonts w:hint="eastAsia" w:asciiTheme="minorEastAsia" w:hAnsiTheme="minorEastAsia" w:eastAsiaTheme="minorEastAsia" w:cstheme="minorEastAsia"/>
                <w:b/>
                <w:bCs/>
                <w:color w:val="auto"/>
                <w:sz w:val="21"/>
                <w:szCs w:val="21"/>
                <w:highlight w:val="none"/>
                <w:lang w:val="en-US" w:eastAsia="zh-CN" w:bidi="ar"/>
              </w:rPr>
              <w:t>*</w:t>
            </w:r>
            <w:r>
              <w:rPr>
                <w:rStyle w:val="44"/>
                <w:rFonts w:hint="eastAsia" w:asciiTheme="minorEastAsia" w:hAnsiTheme="minorEastAsia" w:eastAsiaTheme="minorEastAsia" w:cstheme="minorEastAsia"/>
                <w:b/>
                <w:bCs/>
                <w:color w:val="auto"/>
                <w:sz w:val="21"/>
                <w:szCs w:val="21"/>
                <w:highlight w:val="none"/>
                <w:lang w:val="en-US" w:eastAsia="zh-CN" w:bidi="ar"/>
              </w:rPr>
              <w:t>打印速度(黑白,标准,A4)≥38PPM;</w:t>
            </w:r>
            <w:r>
              <w:rPr>
                <w:rStyle w:val="42"/>
                <w:rFonts w:hint="eastAsia" w:asciiTheme="minorEastAsia" w:hAnsiTheme="minorEastAsia" w:eastAsiaTheme="minorEastAsia" w:cstheme="minorEastAsia"/>
                <w:b/>
                <w:bCs/>
                <w:color w:val="auto"/>
                <w:sz w:val="21"/>
                <w:szCs w:val="21"/>
                <w:highlight w:val="none"/>
                <w:lang w:val="en-US" w:eastAsia="zh-CN" w:bidi="ar"/>
              </w:rPr>
              <w:t>典型能源消耗（kW·h）≤2.7，适配符合安全可靠测评要求的计算机平台及符合安全可靠测评要求的操作系统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标配内存≥256MB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打印分辨率（不含图像增强模式/精细模式）≥600x600dpi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首页输出时间（黑白,就绪,A4）≤8秒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标配接口USB2.0及以上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标配输入纸盒容量≥250页+50页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标配输出纸盒容量≥150页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月打印负荷量≥50000页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配件：配备USB数据线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trPr>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w:t>
            </w:r>
          </w:p>
        </w:tc>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A4幅面彩色双面网络单打印激光打印机</w:t>
            </w: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Style w:val="42"/>
                <w:rFonts w:hint="eastAsia" w:asciiTheme="minorEastAsia" w:hAnsiTheme="minorEastAsia" w:eastAsiaTheme="minorEastAsia" w:cstheme="minorEastAsia"/>
                <w:b/>
                <w:bCs/>
                <w:color w:val="auto"/>
                <w:sz w:val="21"/>
                <w:szCs w:val="21"/>
                <w:highlight w:val="none"/>
                <w:lang w:val="en-US" w:eastAsia="zh-CN" w:bidi="ar"/>
              </w:rPr>
              <w:t>*</w:t>
            </w:r>
            <w:r>
              <w:rPr>
                <w:rStyle w:val="44"/>
                <w:rFonts w:hint="eastAsia" w:asciiTheme="minorEastAsia" w:hAnsiTheme="minorEastAsia" w:eastAsiaTheme="minorEastAsia" w:cstheme="minorEastAsia"/>
                <w:b/>
                <w:bCs/>
                <w:color w:val="auto"/>
                <w:sz w:val="21"/>
                <w:szCs w:val="21"/>
                <w:highlight w:val="none"/>
                <w:lang w:val="en-US" w:eastAsia="zh-CN" w:bidi="ar"/>
              </w:rPr>
              <w:t>打印速度(黑白,标准,A4)≥21ppm，打印速度(彩色,标准,A4)≥21ppm；典型能源消耗（kW·h）≤1.5，</w:t>
            </w:r>
            <w:r>
              <w:rPr>
                <w:rStyle w:val="42"/>
                <w:rFonts w:hint="eastAsia" w:asciiTheme="minorEastAsia" w:hAnsiTheme="minorEastAsia" w:eastAsiaTheme="minorEastAsia" w:cstheme="minorEastAsia"/>
                <w:b/>
                <w:bCs/>
                <w:color w:val="auto"/>
                <w:sz w:val="21"/>
                <w:szCs w:val="21"/>
                <w:highlight w:val="none"/>
                <w:lang w:val="en-US" w:eastAsia="zh-CN" w:bidi="ar"/>
              </w:rPr>
              <w:t>适配符合安全可靠测评要求的计算机平台及符合安全可靠测评要求的操作系统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标配内存≥128MB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打印分辨率（不含图像增强模式/精细模式）≥600*600dpi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首页打印时间（黑白,就绪,A4）≤14秒；首页打印时间（（彩色,就绪,A4）≤14秒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标配接口USB2.0及以上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标配输入纸盒容量≥250页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标配输出纸盒容量≥100页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月打印负荷量≥30000页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配件：配备USB数据线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9" w:hRule="atLeast"/>
        </w:trPr>
        <w:tc>
          <w:tcPr>
            <w:tcW w:w="163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w:t>
            </w:r>
          </w:p>
        </w:tc>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A4幅面彩色双面网络单打印激光打印机</w:t>
            </w: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Style w:val="42"/>
                <w:rFonts w:hint="eastAsia" w:asciiTheme="minorEastAsia" w:hAnsiTheme="minorEastAsia" w:eastAsiaTheme="minorEastAsia" w:cstheme="minorEastAsia"/>
                <w:b/>
                <w:bCs/>
                <w:color w:val="auto"/>
                <w:sz w:val="21"/>
                <w:szCs w:val="21"/>
                <w:highlight w:val="none"/>
                <w:lang w:val="en-US" w:eastAsia="zh-CN" w:bidi="ar"/>
              </w:rPr>
              <w:t>*</w:t>
            </w:r>
            <w:r>
              <w:rPr>
                <w:rStyle w:val="44"/>
                <w:rFonts w:hint="eastAsia" w:asciiTheme="minorEastAsia" w:hAnsiTheme="minorEastAsia" w:eastAsiaTheme="minorEastAsia" w:cstheme="minorEastAsia"/>
                <w:b/>
                <w:bCs/>
                <w:color w:val="auto"/>
                <w:sz w:val="21"/>
                <w:szCs w:val="21"/>
                <w:highlight w:val="none"/>
                <w:lang w:val="en-US" w:eastAsia="zh-CN" w:bidi="ar"/>
              </w:rPr>
              <w:t>打印速度(黑白,就绪,A4)≥33ppm，打印速度(彩色,标准,A4)≥33ppm；典型能源消耗（kW·h）≤3.5，</w:t>
            </w:r>
            <w:r>
              <w:rPr>
                <w:rStyle w:val="42"/>
                <w:rFonts w:hint="eastAsia" w:asciiTheme="minorEastAsia" w:hAnsiTheme="minorEastAsia" w:eastAsiaTheme="minorEastAsia" w:cstheme="minorEastAsia"/>
                <w:b/>
                <w:bCs/>
                <w:color w:val="auto"/>
                <w:sz w:val="21"/>
                <w:szCs w:val="21"/>
                <w:highlight w:val="none"/>
                <w:lang w:val="en-US" w:eastAsia="zh-CN" w:bidi="ar"/>
              </w:rPr>
              <w:t>适配符合安全可靠测评要求的计算机平台及符合安全可靠测评要求的操作系统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63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标配内存≥512MB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63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打印分辨率（不含图像增强模式/精细模式）≥600*600dpi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63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首页打印时间（黑白,就绪,A4）≤14秒；首页打印时间（彩色,就绪,A4）≤14秒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163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标配接口USB2.0及以上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163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标配输入纸盒容量≥250页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63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标配输出纸盒容量≥100页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163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月打印负荷量≥50000页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63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配件：配备USB数据线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1-6</w:t>
            </w:r>
          </w:p>
        </w:tc>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A3幅面黑白网络双面单打印激光打印机</w:t>
            </w: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Style w:val="42"/>
                <w:rFonts w:hint="eastAsia" w:asciiTheme="minorEastAsia" w:hAnsiTheme="minorEastAsia" w:eastAsiaTheme="minorEastAsia" w:cstheme="minorEastAsia"/>
                <w:b/>
                <w:bCs/>
                <w:color w:val="auto"/>
                <w:sz w:val="21"/>
                <w:szCs w:val="21"/>
                <w:highlight w:val="none"/>
                <w:lang w:val="en-US" w:eastAsia="zh-CN" w:bidi="ar"/>
              </w:rPr>
              <w:t>*</w:t>
            </w:r>
            <w:r>
              <w:rPr>
                <w:rStyle w:val="44"/>
                <w:rFonts w:hint="eastAsia" w:asciiTheme="minorEastAsia" w:hAnsiTheme="minorEastAsia" w:eastAsiaTheme="minorEastAsia" w:cstheme="minorEastAsia"/>
                <w:b/>
                <w:bCs/>
                <w:color w:val="auto"/>
                <w:sz w:val="21"/>
                <w:szCs w:val="21"/>
                <w:highlight w:val="none"/>
                <w:lang w:val="en-US" w:eastAsia="zh-CN" w:bidi="ar"/>
              </w:rPr>
              <w:t>打印速度(黑白,标准,A4)≥30ppm；</w:t>
            </w:r>
            <w:r>
              <w:rPr>
                <w:rStyle w:val="42"/>
                <w:rFonts w:hint="eastAsia" w:asciiTheme="minorEastAsia" w:hAnsiTheme="minorEastAsia" w:eastAsiaTheme="minorEastAsia" w:cstheme="minorEastAsia"/>
                <w:b/>
                <w:bCs/>
                <w:color w:val="auto"/>
                <w:sz w:val="21"/>
                <w:szCs w:val="21"/>
                <w:highlight w:val="none"/>
                <w:lang w:val="en-US" w:eastAsia="zh-CN" w:bidi="ar"/>
              </w:rPr>
              <w:t>典型能源消耗（kW·h）≤4.5，适配符合安全可靠测评要求的计算机平台及符合安全可靠测评要求的操作系统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标配内存≥128MB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打印分辨率（不含图像增强模式/精细模式）≥600*600dpi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首页打印时间（黑白,就绪,A4）≤11秒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标配接口USB2.0及以上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标配输入纸盒容量≥250页＋100页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标配输出纸盒容量≥250页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月打印负荷量≥50000页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配件：配备USB数据线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1-7</w:t>
            </w:r>
          </w:p>
        </w:tc>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A3幅面彩色网络双面单打印激光打印机</w:t>
            </w: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Style w:val="42"/>
                <w:rFonts w:hint="eastAsia" w:asciiTheme="minorEastAsia" w:hAnsiTheme="minorEastAsia" w:eastAsiaTheme="minorEastAsia" w:cstheme="minorEastAsia"/>
                <w:b/>
                <w:bCs/>
                <w:color w:val="auto"/>
                <w:sz w:val="21"/>
                <w:szCs w:val="21"/>
                <w:highlight w:val="none"/>
                <w:lang w:val="en-US" w:eastAsia="zh-CN" w:bidi="ar"/>
              </w:rPr>
              <w:t>*</w:t>
            </w:r>
            <w:r>
              <w:rPr>
                <w:rStyle w:val="44"/>
                <w:rFonts w:hint="eastAsia" w:asciiTheme="minorEastAsia" w:hAnsiTheme="minorEastAsia" w:eastAsiaTheme="minorEastAsia" w:cstheme="minorEastAsia"/>
                <w:b/>
                <w:bCs/>
                <w:color w:val="auto"/>
                <w:sz w:val="21"/>
                <w:szCs w:val="21"/>
                <w:highlight w:val="none"/>
                <w:lang w:val="en-US" w:eastAsia="zh-CN" w:bidi="ar"/>
              </w:rPr>
              <w:t>打印速度(黑白,标准,A4)≥20ppm，打印速度(彩色,标准,A4)≥20ppm；</w:t>
            </w:r>
            <w:r>
              <w:rPr>
                <w:rStyle w:val="42"/>
                <w:rFonts w:hint="eastAsia" w:asciiTheme="minorEastAsia" w:hAnsiTheme="minorEastAsia" w:eastAsiaTheme="minorEastAsia" w:cstheme="minorEastAsia"/>
                <w:b/>
                <w:bCs/>
                <w:color w:val="auto"/>
                <w:sz w:val="21"/>
                <w:szCs w:val="21"/>
                <w:highlight w:val="none"/>
                <w:lang w:val="en-US" w:eastAsia="zh-CN" w:bidi="ar"/>
              </w:rPr>
              <w:t>典型能源消耗（kW·h）≤4.5，适配符合安全可靠测评要求的计算机平台及符合安全可靠测评要求的操作系统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标配内存≥128MB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打印分辨率（不含图像增强模式/精细模式）：≥600x600dpi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首页打印时间（黑白,就绪,A4）≤18秒；首页打印时间（彩色,就绪,A4）≤18秒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标配接口USB2.0及以上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标配输入纸盒容量≥250页+100页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标配输出纸盒容量≥250页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月打印负荷量≥50000页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5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配件：配备USB数据线</w:t>
            </w:r>
          </w:p>
        </w:tc>
      </w:tr>
    </w:tbl>
    <w:p>
      <w:pPr>
        <w:spacing w:line="360" w:lineRule="auto"/>
        <w:jc w:val="left"/>
        <w:rPr>
          <w:rFonts w:ascii="宋体" w:hAnsi="宋体"/>
          <w:b w:val="0"/>
          <w:bCs/>
          <w:color w:val="auto"/>
          <w:sz w:val="28"/>
          <w:szCs w:val="28"/>
          <w:highlight w:val="none"/>
        </w:rPr>
      </w:pPr>
      <w:r>
        <w:rPr>
          <w:rFonts w:hint="eastAsia" w:ascii="宋体" w:hAnsi="宋体" w:cs="Times New Roman"/>
          <w:b w:val="0"/>
          <w:bCs/>
          <w:color w:val="auto"/>
          <w:sz w:val="28"/>
          <w:szCs w:val="28"/>
          <w:highlight w:val="none"/>
        </w:rPr>
        <w:t>备注：</w:t>
      </w:r>
    </w:p>
    <w:p>
      <w:pPr>
        <w:spacing w:line="360" w:lineRule="auto"/>
        <w:ind w:firstLine="482" w:firstLineChars="200"/>
        <w:jc w:val="left"/>
        <w:rPr>
          <w:rFonts w:ascii="宋体" w:hAnsi="宋体"/>
          <w:b/>
          <w:bCs w:val="0"/>
          <w:color w:val="auto"/>
          <w:sz w:val="24"/>
          <w:szCs w:val="24"/>
          <w:highlight w:val="none"/>
        </w:rPr>
      </w:pPr>
      <w:r>
        <w:rPr>
          <w:rFonts w:ascii="宋体" w:hAnsi="宋体" w:cs="Times New Roman"/>
          <w:b/>
          <w:bCs w:val="0"/>
          <w:color w:val="auto"/>
          <w:sz w:val="24"/>
          <w:szCs w:val="24"/>
          <w:highlight w:val="none"/>
        </w:rPr>
        <w:t>*1、投标人投标的激光打印机产品必须为同一品牌产品，否则将导致废标。</w:t>
      </w:r>
    </w:p>
    <w:p>
      <w:pPr>
        <w:spacing w:line="360" w:lineRule="auto"/>
        <w:ind w:firstLine="480" w:firstLineChars="200"/>
        <w:jc w:val="left"/>
        <w:rPr>
          <w:rFonts w:ascii="宋体" w:hAnsi="宋体"/>
          <w:b w:val="0"/>
          <w:bCs/>
          <w:color w:val="auto"/>
          <w:sz w:val="24"/>
          <w:szCs w:val="24"/>
          <w:highlight w:val="none"/>
        </w:rPr>
      </w:pPr>
      <w:r>
        <w:rPr>
          <w:rFonts w:ascii="宋体" w:hAnsi="宋体" w:cs="Times New Roman"/>
          <w:b w:val="0"/>
          <w:bCs/>
          <w:color w:val="auto"/>
          <w:sz w:val="24"/>
          <w:szCs w:val="24"/>
          <w:highlight w:val="none"/>
        </w:rPr>
        <w:t>2、投标人须在投标文件中</w:t>
      </w:r>
      <w:r>
        <w:rPr>
          <w:rFonts w:hint="eastAsia" w:ascii="宋体" w:hAnsi="宋体" w:cs="Times New Roman"/>
          <w:b w:val="0"/>
          <w:bCs/>
          <w:color w:val="auto"/>
          <w:sz w:val="24"/>
          <w:szCs w:val="24"/>
          <w:highlight w:val="none"/>
        </w:rPr>
        <w:t>作出书面承诺：采购单位可调整各规格产品的实际供货数量；采购单位有权向厦门市政府机关事业单位和福建省内其他终端用户进行供货，投标人须提供相应的安装及售后服务保障，所需费用（不含福建省其他地市二次配送费用）已包含在总报价中。投标人承诺合同期内采购单位可增加各型号的采购数量，仍可按不高于中标价格执行。</w:t>
      </w:r>
    </w:p>
    <w:p>
      <w:pPr>
        <w:adjustRightInd w:val="0"/>
        <w:snapToGrid w:val="0"/>
        <w:spacing w:line="360" w:lineRule="auto"/>
        <w:jc w:val="left"/>
        <w:rPr>
          <w:rFonts w:hint="eastAsia" w:ascii="宋体" w:hAnsi="宋体" w:cs="Times New Roman"/>
          <w:b/>
          <w:color w:val="auto"/>
          <w:sz w:val="28"/>
          <w:szCs w:val="28"/>
          <w:highlight w:val="none"/>
          <w:lang w:val="en-US" w:eastAsia="zh-CN"/>
        </w:rPr>
      </w:pPr>
      <w:r>
        <w:rPr>
          <w:rFonts w:hint="eastAsia" w:ascii="宋体" w:hAnsi="宋体" w:cs="Times New Roman"/>
          <w:b/>
          <w:color w:val="auto"/>
          <w:sz w:val="28"/>
          <w:szCs w:val="28"/>
          <w:highlight w:val="none"/>
          <w:lang w:val="en-US" w:eastAsia="zh-CN"/>
        </w:rPr>
        <w:t>二、售后服务要求</w:t>
      </w:r>
    </w:p>
    <w:p>
      <w:pPr>
        <w:spacing w:line="360" w:lineRule="auto"/>
        <w:ind w:firstLine="482" w:firstLineChars="200"/>
        <w:rPr>
          <w:rFonts w:ascii="宋体" w:hAnsi="宋体" w:cs="宋体"/>
          <w:b/>
          <w:bCs w:val="0"/>
          <w:color w:val="auto"/>
          <w:sz w:val="24"/>
          <w:szCs w:val="24"/>
          <w:highlight w:val="none"/>
        </w:rPr>
      </w:pPr>
      <w:r>
        <w:rPr>
          <w:rFonts w:ascii="宋体" w:hAnsi="宋体" w:cs="Times New Roman"/>
          <w:b/>
          <w:bCs w:val="0"/>
          <w:color w:val="auto"/>
          <w:sz w:val="24"/>
          <w:szCs w:val="24"/>
          <w:highlight w:val="none"/>
        </w:rPr>
        <w:t>*1、投标人承诺设备</w:t>
      </w:r>
      <w:r>
        <w:rPr>
          <w:rFonts w:hint="eastAsia" w:ascii="宋体" w:hAnsi="宋体" w:cs="Times New Roman"/>
          <w:b/>
          <w:bCs w:val="0"/>
          <w:color w:val="auto"/>
          <w:sz w:val="24"/>
          <w:szCs w:val="24"/>
          <w:highlight w:val="none"/>
        </w:rPr>
        <w:t>自最终验收合格之日起至少一年免费上门保修。</w:t>
      </w:r>
      <w:r>
        <w:rPr>
          <w:rFonts w:hint="eastAsia" w:ascii="宋体" w:hAnsi="宋体" w:cs="宋体"/>
          <w:b/>
          <w:bCs w:val="0"/>
          <w:color w:val="auto"/>
          <w:sz w:val="24"/>
          <w:szCs w:val="24"/>
          <w:highlight w:val="none"/>
        </w:rPr>
        <w:t>期间中标供应商应提供一切免费维修服务和免费更换零配件。同时投标人保证</w:t>
      </w:r>
      <w:r>
        <w:rPr>
          <w:rFonts w:hint="eastAsia" w:ascii="宋体" w:hAnsi="宋体" w:eastAsia="宋体" w:cs="宋体"/>
          <w:b/>
          <w:bCs w:val="0"/>
          <w:color w:val="auto"/>
          <w:sz w:val="24"/>
          <w:szCs w:val="24"/>
          <w:highlight w:val="none"/>
        </w:rPr>
        <w:t>保修年限不低于合同货物中品牌型号的官网标准。</w:t>
      </w:r>
    </w:p>
    <w:p>
      <w:pPr>
        <w:spacing w:line="360" w:lineRule="auto"/>
        <w:ind w:firstLine="482" w:firstLineChars="200"/>
        <w:rPr>
          <w:rFonts w:ascii="宋体" w:hAnsi="宋体"/>
          <w:b/>
          <w:bCs w:val="0"/>
          <w:color w:val="auto"/>
          <w:sz w:val="24"/>
          <w:szCs w:val="24"/>
          <w:highlight w:val="none"/>
        </w:rPr>
      </w:pPr>
      <w:r>
        <w:rPr>
          <w:rFonts w:ascii="宋体" w:hAnsi="宋体" w:cs="Times New Roman"/>
          <w:b/>
          <w:bCs w:val="0"/>
          <w:color w:val="auto"/>
          <w:sz w:val="24"/>
          <w:szCs w:val="24"/>
          <w:highlight w:val="none"/>
        </w:rPr>
        <w:t>*2、投标人应在投标文件中提供具体的售后服务承诺条款。</w:t>
      </w:r>
    </w:p>
    <w:p>
      <w:pPr>
        <w:spacing w:line="360" w:lineRule="auto"/>
        <w:ind w:firstLine="482" w:firstLineChars="200"/>
        <w:rPr>
          <w:rFonts w:ascii="宋体" w:hAnsi="宋体"/>
          <w:b/>
          <w:bCs w:val="0"/>
          <w:color w:val="auto"/>
          <w:sz w:val="24"/>
          <w:szCs w:val="24"/>
          <w:highlight w:val="none"/>
        </w:rPr>
      </w:pPr>
      <w:r>
        <w:rPr>
          <w:rFonts w:ascii="宋体" w:hAnsi="宋体" w:cs="Times New Roman"/>
          <w:b/>
          <w:bCs w:val="0"/>
          <w:color w:val="auto"/>
          <w:sz w:val="24"/>
          <w:szCs w:val="24"/>
          <w:highlight w:val="none"/>
        </w:rPr>
        <w:t>*3、设备故障若在约定时间内无法修复的，中标供应商应先提供备用机</w:t>
      </w:r>
      <w:r>
        <w:rPr>
          <w:rFonts w:hint="eastAsia" w:ascii="宋体" w:hAnsi="宋体" w:cs="Times New Roman"/>
          <w:b/>
          <w:bCs w:val="0"/>
          <w:color w:val="auto"/>
          <w:sz w:val="24"/>
          <w:szCs w:val="24"/>
          <w:highlight w:val="none"/>
        </w:rPr>
        <w:t>供最终用户使用，直至设备修复；如中标供应商所提供的备用机与故障机的型号不同，则需免费提供耗材。如果中标供应商未在承诺的时间内将设备修复或者提供备用机的则中标供应商应按人民币：</w:t>
      </w:r>
      <w:r>
        <w:rPr>
          <w:rFonts w:ascii="宋体" w:hAnsi="宋体" w:cs="Times New Roman"/>
          <w:b/>
          <w:bCs w:val="0"/>
          <w:color w:val="auto"/>
          <w:sz w:val="24"/>
          <w:szCs w:val="24"/>
          <w:highlight w:val="none"/>
        </w:rPr>
        <w:t>200.00元/台/天向采购单位支付逾期违约金。</w:t>
      </w:r>
    </w:p>
    <w:p>
      <w:pPr>
        <w:adjustRightInd w:val="0"/>
        <w:snapToGrid w:val="0"/>
        <w:spacing w:line="360" w:lineRule="auto"/>
        <w:jc w:val="left"/>
        <w:rPr>
          <w:rFonts w:ascii="宋体" w:hAnsi="宋体"/>
          <w:b/>
          <w:color w:val="auto"/>
          <w:sz w:val="28"/>
          <w:szCs w:val="28"/>
          <w:highlight w:val="none"/>
        </w:rPr>
      </w:pPr>
      <w:r>
        <w:rPr>
          <w:rFonts w:hint="eastAsia" w:ascii="宋体" w:hAnsi="宋体" w:cs="Times New Roman"/>
          <w:b/>
          <w:color w:val="auto"/>
          <w:sz w:val="28"/>
          <w:szCs w:val="28"/>
          <w:highlight w:val="none"/>
          <w:lang w:val="en-US" w:eastAsia="zh-CN"/>
        </w:rPr>
        <w:t>三、</w:t>
      </w:r>
      <w:r>
        <w:rPr>
          <w:rFonts w:hint="eastAsia" w:ascii="宋体" w:hAnsi="宋体" w:cs="Times New Roman"/>
          <w:b/>
          <w:color w:val="auto"/>
          <w:sz w:val="28"/>
          <w:szCs w:val="28"/>
          <w:highlight w:val="none"/>
        </w:rPr>
        <w:t>投标要求</w:t>
      </w:r>
    </w:p>
    <w:p>
      <w:pPr>
        <w:spacing w:line="360" w:lineRule="auto"/>
        <w:ind w:firstLine="482" w:firstLineChars="200"/>
        <w:rPr>
          <w:rFonts w:ascii="宋体" w:hAnsi="宋体"/>
          <w:b/>
          <w:bCs w:val="0"/>
          <w:color w:val="auto"/>
          <w:sz w:val="24"/>
          <w:szCs w:val="24"/>
          <w:highlight w:val="none"/>
        </w:rPr>
      </w:pPr>
      <w:r>
        <w:rPr>
          <w:rFonts w:ascii="宋体" w:hAnsi="宋体" w:cs="Times New Roman"/>
          <w:b/>
          <w:bCs w:val="0"/>
          <w:color w:val="auto"/>
          <w:sz w:val="24"/>
          <w:szCs w:val="24"/>
          <w:highlight w:val="none"/>
        </w:rPr>
        <w:t>*1、投标人须以人民币报价，总报价为投标设备</w:t>
      </w:r>
      <w:r>
        <w:rPr>
          <w:rFonts w:hint="eastAsia" w:ascii="宋体" w:hAnsi="宋体" w:cs="Times New Roman"/>
          <w:b/>
          <w:bCs w:val="0"/>
          <w:color w:val="auto"/>
          <w:sz w:val="24"/>
          <w:szCs w:val="24"/>
          <w:highlight w:val="none"/>
        </w:rPr>
        <w:t>经最终验收合格并交付使用所有可能发生的费用，包括设备费、运送至采购单位指定地点的运输费、运输费保险费、专用工具费、税费、采购保管费、安装费、检验验收、安装调试费以及售后服务等一切费用（投标人可在分项报价表中详细列出报价，如果所列分项报价不含以上内容，则视为已含在总报价中），报价方式为总包价。</w:t>
      </w:r>
    </w:p>
    <w:p>
      <w:pPr>
        <w:spacing w:line="360" w:lineRule="auto"/>
        <w:ind w:firstLine="482" w:firstLineChars="200"/>
        <w:rPr>
          <w:rFonts w:ascii="宋体" w:hAnsi="宋体"/>
          <w:b/>
          <w:bCs w:val="0"/>
          <w:color w:val="auto"/>
          <w:sz w:val="24"/>
          <w:szCs w:val="24"/>
          <w:highlight w:val="none"/>
        </w:rPr>
      </w:pPr>
      <w:r>
        <w:rPr>
          <w:rFonts w:ascii="宋体" w:hAnsi="宋体" w:cs="Times New Roman"/>
          <w:b/>
          <w:bCs w:val="0"/>
          <w:color w:val="auto"/>
          <w:sz w:val="24"/>
          <w:szCs w:val="24"/>
          <w:highlight w:val="none"/>
        </w:rPr>
        <w:t>*2、投标人必须列出采购货物一览表中品目号设备的单价及总价。</w:t>
      </w:r>
    </w:p>
    <w:p>
      <w:pPr>
        <w:keepNext w:val="0"/>
        <w:keepLines w:val="0"/>
        <w:widowControl w:val="0"/>
        <w:suppressLineNumbers w:val="0"/>
        <w:spacing w:before="0" w:beforeAutospacing="0" w:after="0" w:afterAutospacing="0" w:line="360" w:lineRule="auto"/>
        <w:ind w:left="0" w:right="0" w:firstLine="482" w:firstLineChars="200"/>
        <w:jc w:val="both"/>
        <w:rPr>
          <w:rFonts w:ascii="宋体" w:hAnsi="宋体"/>
          <w:b/>
          <w:bCs w:val="0"/>
          <w:color w:val="auto"/>
          <w:sz w:val="24"/>
          <w:szCs w:val="24"/>
          <w:highlight w:val="none"/>
        </w:rPr>
      </w:pPr>
      <w:r>
        <w:rPr>
          <w:rFonts w:ascii="宋体" w:hAnsi="宋体" w:cs="Times New Roman"/>
          <w:b/>
          <w:bCs w:val="0"/>
          <w:color w:val="auto"/>
          <w:sz w:val="24"/>
          <w:szCs w:val="24"/>
          <w:highlight w:val="none"/>
        </w:rPr>
        <w:t>*3、本项目的采购预算</w:t>
      </w:r>
      <w:r>
        <w:rPr>
          <w:rFonts w:hint="eastAsia" w:ascii="宋体" w:hAnsi="宋体" w:cs="Times New Roman"/>
          <w:b/>
          <w:bCs w:val="0"/>
          <w:color w:val="auto"/>
          <w:sz w:val="24"/>
          <w:szCs w:val="24"/>
          <w:highlight w:val="none"/>
        </w:rPr>
        <w:t>为人民币</w:t>
      </w:r>
      <w:r>
        <w:rPr>
          <w:rFonts w:hint="eastAsia" w:ascii="宋体" w:hAnsi="宋体" w:cs="Times New Roman"/>
          <w:b/>
          <w:bCs w:val="0"/>
          <w:color w:val="auto"/>
          <w:sz w:val="24"/>
          <w:szCs w:val="24"/>
          <w:highlight w:val="none"/>
          <w:lang w:val="en-US" w:eastAsia="zh-CN"/>
        </w:rPr>
        <w:t>1188</w:t>
      </w:r>
      <w:r>
        <w:rPr>
          <w:rFonts w:hint="eastAsia" w:ascii="宋体" w:hAnsi="宋体" w:cs="Times New Roman"/>
          <w:b/>
          <w:bCs w:val="0"/>
          <w:color w:val="auto"/>
          <w:sz w:val="24"/>
          <w:szCs w:val="24"/>
          <w:highlight w:val="none"/>
        </w:rPr>
        <w:t>万元，各品目号也设置</w:t>
      </w:r>
      <w:r>
        <w:rPr>
          <w:rFonts w:hint="default" w:ascii="宋体" w:hAnsi="宋体" w:cs="Times New Roman"/>
          <w:b/>
          <w:bCs w:val="0"/>
          <w:color w:val="auto"/>
          <w:sz w:val="24"/>
          <w:szCs w:val="24"/>
          <w:highlight w:val="none"/>
        </w:rPr>
        <w:t>采购预算</w:t>
      </w:r>
      <w:r>
        <w:rPr>
          <w:rFonts w:hint="eastAsia" w:ascii="宋体" w:hAnsi="宋体" w:cs="Times New Roman"/>
          <w:b/>
          <w:bCs w:val="0"/>
          <w:color w:val="auto"/>
          <w:sz w:val="24"/>
          <w:szCs w:val="24"/>
          <w:highlight w:val="none"/>
          <w:lang w:eastAsia="zh-CN"/>
        </w:rPr>
        <w:t>（品</w:t>
      </w:r>
      <w:r>
        <w:rPr>
          <w:rFonts w:hint="eastAsia" w:ascii="宋体" w:hAnsi="宋体" w:eastAsia="宋体" w:cs="宋体"/>
          <w:b/>
          <w:bCs w:val="0"/>
          <w:color w:val="auto"/>
          <w:kern w:val="2"/>
          <w:sz w:val="24"/>
          <w:szCs w:val="24"/>
          <w:highlight w:val="none"/>
          <w:lang w:val="en-US" w:eastAsia="zh-CN" w:bidi="ar"/>
        </w:rPr>
        <w:t>目</w:t>
      </w:r>
      <w:r>
        <w:rPr>
          <w:rFonts w:hint="eastAsia" w:ascii="宋体" w:hAnsi="宋体" w:cs="Times New Roman"/>
          <w:b/>
          <w:bCs w:val="0"/>
          <w:color w:val="auto"/>
          <w:sz w:val="24"/>
          <w:szCs w:val="24"/>
          <w:highlight w:val="none"/>
          <w:lang w:eastAsia="zh-CN"/>
        </w:rPr>
        <w:t>号</w:t>
      </w:r>
      <w:r>
        <w:rPr>
          <w:rFonts w:hint="eastAsia" w:ascii="宋体" w:hAnsi="宋体" w:cs="Times New Roman"/>
          <w:b/>
          <w:bCs w:val="0"/>
          <w:color w:val="auto"/>
          <w:sz w:val="24"/>
          <w:szCs w:val="24"/>
          <w:highlight w:val="none"/>
          <w:lang w:val="en-US" w:eastAsia="zh-CN"/>
        </w:rPr>
        <w:t>1-1为人民币1,100元/台；</w:t>
      </w:r>
      <w:r>
        <w:rPr>
          <w:rFonts w:hint="eastAsia" w:ascii="宋体" w:hAnsi="宋体" w:cs="Times New Roman"/>
          <w:b/>
          <w:bCs w:val="0"/>
          <w:color w:val="auto"/>
          <w:sz w:val="24"/>
          <w:szCs w:val="24"/>
          <w:highlight w:val="none"/>
          <w:lang w:eastAsia="zh-CN"/>
        </w:rPr>
        <w:t>品</w:t>
      </w:r>
      <w:r>
        <w:rPr>
          <w:rFonts w:hint="eastAsia" w:ascii="宋体" w:hAnsi="宋体" w:eastAsia="宋体" w:cs="宋体"/>
          <w:b/>
          <w:bCs w:val="0"/>
          <w:color w:val="auto"/>
          <w:kern w:val="2"/>
          <w:sz w:val="24"/>
          <w:szCs w:val="24"/>
          <w:highlight w:val="none"/>
          <w:lang w:val="en-US" w:eastAsia="zh-CN" w:bidi="ar"/>
        </w:rPr>
        <w:t>目</w:t>
      </w:r>
      <w:r>
        <w:rPr>
          <w:rFonts w:hint="eastAsia" w:ascii="宋体" w:hAnsi="宋体" w:cs="Times New Roman"/>
          <w:b/>
          <w:bCs w:val="0"/>
          <w:color w:val="auto"/>
          <w:sz w:val="24"/>
          <w:szCs w:val="24"/>
          <w:highlight w:val="none"/>
          <w:lang w:eastAsia="zh-CN"/>
        </w:rPr>
        <w:t>号</w:t>
      </w:r>
      <w:r>
        <w:rPr>
          <w:rFonts w:hint="eastAsia" w:ascii="宋体" w:hAnsi="宋体" w:cs="Times New Roman"/>
          <w:b/>
          <w:bCs w:val="0"/>
          <w:color w:val="auto"/>
          <w:sz w:val="24"/>
          <w:szCs w:val="24"/>
          <w:highlight w:val="none"/>
          <w:lang w:val="en-US" w:eastAsia="zh-CN"/>
        </w:rPr>
        <w:t>1-2为人民币1,800元/台；</w:t>
      </w:r>
      <w:r>
        <w:rPr>
          <w:rFonts w:hint="eastAsia" w:ascii="宋体" w:hAnsi="宋体" w:cs="Times New Roman"/>
          <w:b/>
          <w:bCs w:val="0"/>
          <w:color w:val="auto"/>
          <w:sz w:val="24"/>
          <w:szCs w:val="24"/>
          <w:highlight w:val="none"/>
          <w:lang w:eastAsia="zh-CN"/>
        </w:rPr>
        <w:t>品</w:t>
      </w:r>
      <w:r>
        <w:rPr>
          <w:rFonts w:hint="eastAsia" w:ascii="宋体" w:hAnsi="宋体" w:eastAsia="宋体" w:cs="宋体"/>
          <w:b/>
          <w:bCs w:val="0"/>
          <w:color w:val="auto"/>
          <w:kern w:val="2"/>
          <w:sz w:val="24"/>
          <w:szCs w:val="24"/>
          <w:highlight w:val="none"/>
          <w:lang w:val="en-US" w:eastAsia="zh-CN" w:bidi="ar"/>
        </w:rPr>
        <w:t>目</w:t>
      </w:r>
      <w:r>
        <w:rPr>
          <w:rFonts w:hint="eastAsia" w:ascii="宋体" w:hAnsi="宋体" w:cs="Times New Roman"/>
          <w:b/>
          <w:bCs w:val="0"/>
          <w:color w:val="auto"/>
          <w:sz w:val="24"/>
          <w:szCs w:val="24"/>
          <w:highlight w:val="none"/>
          <w:lang w:eastAsia="zh-CN"/>
        </w:rPr>
        <w:t>号</w:t>
      </w:r>
      <w:r>
        <w:rPr>
          <w:rFonts w:hint="eastAsia" w:ascii="宋体" w:hAnsi="宋体" w:cs="Times New Roman"/>
          <w:b/>
          <w:bCs w:val="0"/>
          <w:color w:val="auto"/>
          <w:sz w:val="24"/>
          <w:szCs w:val="24"/>
          <w:highlight w:val="none"/>
          <w:lang w:val="en-US" w:eastAsia="zh-CN"/>
        </w:rPr>
        <w:t>1-3为人民币2,900元/台；</w:t>
      </w:r>
      <w:r>
        <w:rPr>
          <w:rFonts w:hint="eastAsia" w:ascii="宋体" w:hAnsi="宋体" w:cs="Times New Roman"/>
          <w:b/>
          <w:bCs w:val="0"/>
          <w:color w:val="auto"/>
          <w:sz w:val="24"/>
          <w:szCs w:val="24"/>
          <w:highlight w:val="none"/>
          <w:lang w:eastAsia="zh-CN"/>
        </w:rPr>
        <w:t>品</w:t>
      </w:r>
      <w:r>
        <w:rPr>
          <w:rFonts w:hint="eastAsia" w:ascii="宋体" w:hAnsi="宋体" w:eastAsia="宋体" w:cs="宋体"/>
          <w:b/>
          <w:bCs w:val="0"/>
          <w:color w:val="auto"/>
          <w:kern w:val="2"/>
          <w:sz w:val="24"/>
          <w:szCs w:val="24"/>
          <w:highlight w:val="none"/>
          <w:lang w:val="en-US" w:eastAsia="zh-CN" w:bidi="ar"/>
        </w:rPr>
        <w:t>目</w:t>
      </w:r>
      <w:r>
        <w:rPr>
          <w:rFonts w:hint="eastAsia" w:ascii="宋体" w:hAnsi="宋体" w:cs="Times New Roman"/>
          <w:b/>
          <w:bCs w:val="0"/>
          <w:color w:val="auto"/>
          <w:sz w:val="24"/>
          <w:szCs w:val="24"/>
          <w:highlight w:val="none"/>
          <w:lang w:eastAsia="zh-CN"/>
        </w:rPr>
        <w:t>号</w:t>
      </w:r>
      <w:r>
        <w:rPr>
          <w:rFonts w:hint="eastAsia" w:ascii="宋体" w:hAnsi="宋体" w:cs="Times New Roman"/>
          <w:b/>
          <w:bCs w:val="0"/>
          <w:color w:val="auto"/>
          <w:sz w:val="24"/>
          <w:szCs w:val="24"/>
          <w:highlight w:val="none"/>
          <w:lang w:val="en-US" w:eastAsia="zh-CN"/>
        </w:rPr>
        <w:t>1-4为人民币3,500元/台；</w:t>
      </w:r>
      <w:r>
        <w:rPr>
          <w:rFonts w:hint="eastAsia" w:ascii="宋体" w:hAnsi="宋体" w:cs="Times New Roman"/>
          <w:b/>
          <w:bCs w:val="0"/>
          <w:color w:val="auto"/>
          <w:sz w:val="24"/>
          <w:szCs w:val="24"/>
          <w:highlight w:val="none"/>
          <w:lang w:eastAsia="zh-CN"/>
        </w:rPr>
        <w:t>品</w:t>
      </w:r>
      <w:r>
        <w:rPr>
          <w:rFonts w:hint="eastAsia" w:ascii="宋体" w:hAnsi="宋体" w:eastAsia="宋体" w:cs="宋体"/>
          <w:b/>
          <w:bCs w:val="0"/>
          <w:color w:val="auto"/>
          <w:kern w:val="2"/>
          <w:sz w:val="24"/>
          <w:szCs w:val="24"/>
          <w:highlight w:val="none"/>
          <w:lang w:val="en-US" w:eastAsia="zh-CN" w:bidi="ar"/>
        </w:rPr>
        <w:t>目</w:t>
      </w:r>
      <w:r>
        <w:rPr>
          <w:rFonts w:hint="eastAsia" w:ascii="宋体" w:hAnsi="宋体" w:cs="Times New Roman"/>
          <w:b/>
          <w:bCs w:val="0"/>
          <w:color w:val="auto"/>
          <w:sz w:val="24"/>
          <w:szCs w:val="24"/>
          <w:highlight w:val="none"/>
          <w:lang w:eastAsia="zh-CN"/>
        </w:rPr>
        <w:t>号</w:t>
      </w:r>
      <w:r>
        <w:rPr>
          <w:rFonts w:hint="eastAsia" w:ascii="宋体" w:hAnsi="宋体" w:cs="Times New Roman"/>
          <w:b/>
          <w:bCs w:val="0"/>
          <w:color w:val="auto"/>
          <w:sz w:val="24"/>
          <w:szCs w:val="24"/>
          <w:highlight w:val="none"/>
          <w:lang w:val="en-US" w:eastAsia="zh-CN"/>
        </w:rPr>
        <w:t>1-5为人民币7,000元/台；</w:t>
      </w:r>
      <w:r>
        <w:rPr>
          <w:rFonts w:hint="eastAsia" w:ascii="宋体" w:hAnsi="宋体" w:cs="Times New Roman"/>
          <w:b/>
          <w:bCs w:val="0"/>
          <w:color w:val="auto"/>
          <w:sz w:val="24"/>
          <w:szCs w:val="24"/>
          <w:highlight w:val="none"/>
          <w:lang w:eastAsia="zh-CN"/>
        </w:rPr>
        <w:t>品</w:t>
      </w:r>
      <w:r>
        <w:rPr>
          <w:rFonts w:hint="eastAsia" w:ascii="宋体" w:hAnsi="宋体" w:eastAsia="宋体" w:cs="宋体"/>
          <w:b/>
          <w:bCs w:val="0"/>
          <w:color w:val="auto"/>
          <w:kern w:val="2"/>
          <w:sz w:val="24"/>
          <w:szCs w:val="24"/>
          <w:highlight w:val="none"/>
          <w:lang w:val="en-US" w:eastAsia="zh-CN" w:bidi="ar"/>
        </w:rPr>
        <w:t>目</w:t>
      </w:r>
      <w:r>
        <w:rPr>
          <w:rFonts w:hint="eastAsia" w:ascii="宋体" w:hAnsi="宋体" w:cs="Times New Roman"/>
          <w:b/>
          <w:bCs w:val="0"/>
          <w:color w:val="auto"/>
          <w:sz w:val="24"/>
          <w:szCs w:val="24"/>
          <w:highlight w:val="none"/>
          <w:lang w:eastAsia="zh-CN"/>
        </w:rPr>
        <w:t>号</w:t>
      </w:r>
      <w:r>
        <w:rPr>
          <w:rFonts w:hint="eastAsia" w:ascii="宋体" w:hAnsi="宋体" w:cs="Times New Roman"/>
          <w:b/>
          <w:bCs w:val="0"/>
          <w:color w:val="auto"/>
          <w:sz w:val="24"/>
          <w:szCs w:val="24"/>
          <w:highlight w:val="none"/>
          <w:lang w:val="en-US" w:eastAsia="zh-CN"/>
        </w:rPr>
        <w:t>1-6为人民币10,000元/台；</w:t>
      </w:r>
      <w:r>
        <w:rPr>
          <w:rFonts w:hint="eastAsia" w:ascii="宋体" w:hAnsi="宋体" w:cs="Times New Roman"/>
          <w:b/>
          <w:bCs w:val="0"/>
          <w:color w:val="auto"/>
          <w:sz w:val="24"/>
          <w:szCs w:val="24"/>
          <w:highlight w:val="none"/>
          <w:lang w:eastAsia="zh-CN"/>
        </w:rPr>
        <w:t>品</w:t>
      </w:r>
      <w:r>
        <w:rPr>
          <w:rFonts w:hint="eastAsia" w:ascii="宋体" w:hAnsi="宋体" w:eastAsia="宋体" w:cs="宋体"/>
          <w:b/>
          <w:bCs w:val="0"/>
          <w:color w:val="auto"/>
          <w:kern w:val="2"/>
          <w:sz w:val="24"/>
          <w:szCs w:val="24"/>
          <w:highlight w:val="none"/>
          <w:lang w:val="en-US" w:eastAsia="zh-CN" w:bidi="ar"/>
        </w:rPr>
        <w:t>目</w:t>
      </w:r>
      <w:r>
        <w:rPr>
          <w:rFonts w:hint="eastAsia" w:ascii="宋体" w:hAnsi="宋体" w:cs="Times New Roman"/>
          <w:b/>
          <w:bCs w:val="0"/>
          <w:color w:val="auto"/>
          <w:sz w:val="24"/>
          <w:szCs w:val="24"/>
          <w:highlight w:val="none"/>
          <w:lang w:eastAsia="zh-CN"/>
        </w:rPr>
        <w:t>号</w:t>
      </w:r>
      <w:r>
        <w:rPr>
          <w:rFonts w:hint="eastAsia" w:ascii="宋体" w:hAnsi="宋体" w:cs="Times New Roman"/>
          <w:b/>
          <w:bCs w:val="0"/>
          <w:color w:val="auto"/>
          <w:sz w:val="24"/>
          <w:szCs w:val="24"/>
          <w:highlight w:val="none"/>
          <w:lang w:val="en-US" w:eastAsia="zh-CN"/>
        </w:rPr>
        <w:t>1-7为人民币12,000元/台）</w:t>
      </w:r>
      <w:r>
        <w:rPr>
          <w:rFonts w:hint="eastAsia" w:ascii="宋体" w:hAnsi="宋体" w:cs="Times New Roman"/>
          <w:b/>
          <w:bCs w:val="0"/>
          <w:color w:val="auto"/>
          <w:sz w:val="24"/>
          <w:szCs w:val="24"/>
          <w:highlight w:val="none"/>
        </w:rPr>
        <w:t>，投标人的总报价和各品目号的报价均不得超过</w:t>
      </w:r>
      <w:r>
        <w:rPr>
          <w:rFonts w:hint="default" w:ascii="宋体" w:hAnsi="宋体" w:cs="Times New Roman"/>
          <w:b/>
          <w:bCs w:val="0"/>
          <w:color w:val="auto"/>
          <w:sz w:val="24"/>
          <w:szCs w:val="24"/>
          <w:highlight w:val="none"/>
        </w:rPr>
        <w:t>采购预算</w:t>
      </w:r>
      <w:r>
        <w:rPr>
          <w:rFonts w:hint="eastAsia" w:ascii="宋体" w:hAnsi="宋体" w:cs="Times New Roman"/>
          <w:b/>
          <w:bCs w:val="0"/>
          <w:color w:val="auto"/>
          <w:sz w:val="24"/>
          <w:szCs w:val="24"/>
          <w:highlight w:val="none"/>
        </w:rPr>
        <w:t>，否则作废标处理。</w:t>
      </w:r>
    </w:p>
    <w:p>
      <w:pPr>
        <w:spacing w:line="360" w:lineRule="auto"/>
        <w:ind w:firstLine="482" w:firstLineChars="200"/>
        <w:rPr>
          <w:rFonts w:ascii="宋体" w:hAnsi="宋体" w:cs="宋体"/>
          <w:b/>
          <w:bCs w:val="0"/>
          <w:color w:val="auto"/>
          <w:sz w:val="24"/>
          <w:szCs w:val="24"/>
          <w:highlight w:val="none"/>
        </w:rPr>
      </w:pPr>
      <w:r>
        <w:rPr>
          <w:rFonts w:ascii="宋体" w:hAnsi="宋体" w:cs="Times New Roman"/>
          <w:b/>
          <w:bCs w:val="0"/>
          <w:color w:val="auto"/>
          <w:sz w:val="24"/>
          <w:szCs w:val="24"/>
          <w:highlight w:val="none"/>
        </w:rPr>
        <w:t>*</w:t>
      </w:r>
      <w:r>
        <w:rPr>
          <w:rFonts w:hint="eastAsia" w:ascii="宋体" w:hAnsi="宋体" w:cs="Times New Roman"/>
          <w:b/>
          <w:bCs w:val="0"/>
          <w:color w:val="auto"/>
          <w:sz w:val="24"/>
          <w:szCs w:val="24"/>
          <w:highlight w:val="none"/>
          <w:lang w:val="en-US" w:eastAsia="zh-CN"/>
        </w:rPr>
        <w:t>4</w:t>
      </w:r>
      <w:r>
        <w:rPr>
          <w:rFonts w:ascii="宋体" w:hAnsi="宋体" w:cs="Times New Roman"/>
          <w:b/>
          <w:bCs w:val="0"/>
          <w:color w:val="auto"/>
          <w:sz w:val="24"/>
          <w:szCs w:val="24"/>
          <w:highlight w:val="none"/>
        </w:rPr>
        <w:t>、</w:t>
      </w:r>
      <w:r>
        <w:rPr>
          <w:rFonts w:hint="eastAsia" w:ascii="宋体" w:hAnsi="宋体" w:cs="宋体"/>
          <w:b/>
          <w:bCs w:val="0"/>
          <w:color w:val="auto"/>
          <w:sz w:val="24"/>
          <w:szCs w:val="24"/>
          <w:highlight w:val="none"/>
        </w:rPr>
        <w:t>投标人承诺同意本项目采购的产品按照销售对象及销售区域的不同而分别与采购单位签订合同，即签订一份适用于厦门市政府机关事业单位、一份适用于福建省内其他终端用户采购合同。两份合同的总数量和总金额为本次采购的总数量和总金额。</w:t>
      </w:r>
    </w:p>
    <w:p>
      <w:pPr>
        <w:adjustRightInd w:val="0"/>
        <w:snapToGrid w:val="0"/>
        <w:spacing w:line="360" w:lineRule="auto"/>
        <w:jc w:val="left"/>
        <w:rPr>
          <w:rFonts w:ascii="宋体" w:hAnsi="宋体"/>
          <w:b/>
          <w:color w:val="auto"/>
          <w:sz w:val="28"/>
          <w:szCs w:val="28"/>
          <w:highlight w:val="none"/>
        </w:rPr>
      </w:pPr>
      <w:r>
        <w:rPr>
          <w:rFonts w:hint="eastAsia" w:ascii="宋体" w:hAnsi="宋体" w:cs="Times New Roman"/>
          <w:b/>
          <w:color w:val="auto"/>
          <w:sz w:val="28"/>
          <w:szCs w:val="28"/>
          <w:highlight w:val="none"/>
          <w:lang w:eastAsia="zh-CN"/>
        </w:rPr>
        <w:t>四</w:t>
      </w:r>
      <w:r>
        <w:rPr>
          <w:rFonts w:hint="eastAsia" w:ascii="宋体" w:hAnsi="宋体" w:cs="Times New Roman"/>
          <w:b/>
          <w:color w:val="auto"/>
          <w:sz w:val="28"/>
          <w:szCs w:val="28"/>
          <w:highlight w:val="none"/>
        </w:rPr>
        <w:t>、其他要求及说明</w:t>
      </w:r>
    </w:p>
    <w:p>
      <w:pPr>
        <w:spacing w:line="360" w:lineRule="auto"/>
        <w:ind w:firstLine="482" w:firstLineChars="200"/>
        <w:rPr>
          <w:rFonts w:ascii="宋体" w:hAnsi="宋体"/>
          <w:b/>
          <w:color w:val="auto"/>
          <w:sz w:val="24"/>
          <w:szCs w:val="24"/>
          <w:highlight w:val="none"/>
        </w:rPr>
      </w:pPr>
      <w:r>
        <w:rPr>
          <w:rFonts w:ascii="宋体" w:hAnsi="宋体" w:cs="Times New Roman"/>
          <w:b/>
          <w:color w:val="auto"/>
          <w:sz w:val="24"/>
          <w:szCs w:val="24"/>
          <w:highlight w:val="none"/>
        </w:rPr>
        <w:t>*1、投标人须在投标文件中明确</w:t>
      </w:r>
      <w:r>
        <w:rPr>
          <w:rFonts w:hint="eastAsia" w:ascii="宋体" w:hAnsi="宋体" w:cs="Times New Roman"/>
          <w:b/>
          <w:color w:val="auto"/>
          <w:sz w:val="24"/>
          <w:szCs w:val="24"/>
          <w:highlight w:val="none"/>
        </w:rPr>
        <w:t>作出书面承诺：</w:t>
      </w:r>
    </w:p>
    <w:p>
      <w:pPr>
        <w:spacing w:line="360" w:lineRule="auto"/>
        <w:ind w:firstLine="482" w:firstLineChars="200"/>
        <w:rPr>
          <w:rFonts w:ascii="宋体" w:hAnsi="宋体"/>
          <w:b/>
          <w:color w:val="auto"/>
          <w:sz w:val="24"/>
          <w:szCs w:val="24"/>
          <w:highlight w:val="none"/>
        </w:rPr>
      </w:pPr>
      <w:r>
        <w:rPr>
          <w:rFonts w:hint="eastAsia" w:ascii="宋体" w:hAnsi="宋体" w:cs="Times New Roman"/>
          <w:b/>
          <w:color w:val="auto"/>
          <w:sz w:val="24"/>
          <w:szCs w:val="24"/>
          <w:highlight w:val="none"/>
        </w:rPr>
        <w:t>投标人承诺接受《采购合同》中《服务考核细则》对其的考核并同意按考核情况处理。</w:t>
      </w:r>
    </w:p>
    <w:p>
      <w:pPr>
        <w:spacing w:line="360" w:lineRule="auto"/>
        <w:ind w:firstLine="482" w:firstLineChars="200"/>
        <w:rPr>
          <w:rFonts w:ascii="宋体" w:hAnsi="宋体"/>
          <w:b/>
          <w:color w:val="auto"/>
          <w:sz w:val="24"/>
          <w:szCs w:val="24"/>
          <w:highlight w:val="none"/>
        </w:rPr>
      </w:pPr>
      <w:r>
        <w:rPr>
          <w:rFonts w:ascii="宋体" w:hAnsi="宋体" w:cs="Times New Roman"/>
          <w:b/>
          <w:color w:val="auto"/>
          <w:sz w:val="24"/>
          <w:szCs w:val="24"/>
          <w:highlight w:val="none"/>
        </w:rPr>
        <w:t>*2、采购单位付款时，中标供应商应提供一般纳税人的增值税专用发票；否则，采购单位有权拒绝支付相应款项。</w:t>
      </w:r>
    </w:p>
    <w:p>
      <w:pPr>
        <w:spacing w:line="360" w:lineRule="auto"/>
        <w:ind w:firstLine="482" w:firstLineChars="200"/>
        <w:rPr>
          <w:rFonts w:ascii="宋体" w:hAnsi="宋体"/>
          <w:b/>
          <w:color w:val="auto"/>
          <w:sz w:val="24"/>
          <w:szCs w:val="24"/>
          <w:highlight w:val="none"/>
        </w:rPr>
      </w:pPr>
      <w:r>
        <w:rPr>
          <w:rFonts w:ascii="宋体" w:hAnsi="宋体" w:cs="Times New Roman"/>
          <w:b/>
          <w:color w:val="auto"/>
          <w:sz w:val="24"/>
          <w:szCs w:val="24"/>
          <w:highlight w:val="none"/>
        </w:rPr>
        <w:t>*3、投标人承诺，如获中标将配合采购单位及产品检验检测机构进行投标产品的检验检测，产品检验检测产生的一切相关费用由中标供应商承担。</w:t>
      </w:r>
    </w:p>
    <w:p>
      <w:pPr>
        <w:adjustRightInd w:val="0"/>
        <w:snapToGrid w:val="0"/>
        <w:spacing w:line="360" w:lineRule="auto"/>
        <w:ind w:firstLine="472" w:firstLineChars="196"/>
        <w:jc w:val="left"/>
        <w:rPr>
          <w:rFonts w:ascii="宋体" w:hAnsi="宋体" w:cs="宋体"/>
          <w:b/>
          <w:color w:val="auto"/>
          <w:sz w:val="24"/>
          <w:szCs w:val="24"/>
          <w:highlight w:val="none"/>
        </w:rPr>
      </w:pPr>
      <w:r>
        <w:rPr>
          <w:rFonts w:ascii="宋体" w:hAnsi="宋体" w:cs="Times New Roman"/>
          <w:b/>
          <w:color w:val="auto"/>
          <w:sz w:val="24"/>
          <w:szCs w:val="24"/>
          <w:highlight w:val="none"/>
        </w:rPr>
        <w:t>*4</w:t>
      </w:r>
      <w:r>
        <w:rPr>
          <w:rFonts w:hint="eastAsia" w:ascii="宋体" w:hAnsi="宋体"/>
          <w:b/>
          <w:color w:val="auto"/>
          <w:sz w:val="24"/>
          <w:szCs w:val="24"/>
          <w:highlight w:val="none"/>
        </w:rPr>
        <w:t>、</w:t>
      </w:r>
      <w:r>
        <w:rPr>
          <w:rFonts w:hint="eastAsia" w:ascii="宋体" w:hAnsi="宋体" w:cs="宋体"/>
          <w:b/>
          <w:color w:val="auto"/>
          <w:sz w:val="24"/>
          <w:szCs w:val="24"/>
          <w:highlight w:val="none"/>
        </w:rPr>
        <w:t>投标人承诺同意分别免费提供所有品目号各一台的投标产品给采购单位作为备用机，且于中标后第一次供货时一并提供。备用机归采购单位所有，由采购单位自行调配，合同期满后亦不予返还中标供应商。</w:t>
      </w:r>
    </w:p>
    <w:p>
      <w:pPr>
        <w:shd w:val="clear"/>
        <w:spacing w:line="360" w:lineRule="auto"/>
        <w:ind w:firstLine="482" w:firstLineChars="200"/>
        <w:rPr>
          <w:rFonts w:ascii="宋体" w:hAnsi="宋体" w:cs="宋体"/>
          <w:b/>
          <w:color w:val="auto"/>
          <w:sz w:val="24"/>
          <w:szCs w:val="24"/>
          <w:highlight w:val="none"/>
        </w:rPr>
      </w:pPr>
      <w:r>
        <w:rPr>
          <w:rFonts w:ascii="宋体" w:hAnsi="宋体" w:cs="宋体"/>
          <w:b/>
          <w:color w:val="auto"/>
          <w:sz w:val="24"/>
          <w:szCs w:val="24"/>
          <w:highlight w:val="none"/>
        </w:rPr>
        <w:t>*</w:t>
      </w:r>
      <w:r>
        <w:rPr>
          <w:rFonts w:hint="eastAsia" w:ascii="宋体" w:hAnsi="宋体" w:cs="宋体"/>
          <w:b/>
          <w:color w:val="auto"/>
          <w:sz w:val="24"/>
          <w:szCs w:val="24"/>
          <w:highlight w:val="none"/>
          <w:lang w:val="en-US" w:eastAsia="zh-CN"/>
        </w:rPr>
        <w:t>5</w:t>
      </w:r>
      <w:r>
        <w:rPr>
          <w:rFonts w:ascii="宋体" w:hAnsi="宋体" w:cs="宋体"/>
          <w:b/>
          <w:color w:val="auto"/>
          <w:sz w:val="24"/>
          <w:szCs w:val="24"/>
          <w:highlight w:val="none"/>
        </w:rPr>
        <w:t>、</w:t>
      </w:r>
      <w:r>
        <w:rPr>
          <w:rFonts w:hint="eastAsia" w:ascii="宋体" w:hAnsi="宋体" w:cs="宋体"/>
          <w:b/>
          <w:color w:val="auto"/>
          <w:sz w:val="24"/>
          <w:szCs w:val="24"/>
          <w:highlight w:val="none"/>
          <w:lang w:eastAsia="zh-CN"/>
        </w:rPr>
        <w:t>分批供货，以采购单位的供货通知为准。</w:t>
      </w:r>
    </w:p>
    <w:p>
      <w:pPr>
        <w:adjustRightInd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货物送</w:t>
      </w:r>
      <w:r>
        <w:rPr>
          <w:rFonts w:hint="eastAsia" w:ascii="宋体" w:hAnsi="宋体" w:cs="宋体"/>
          <w:b/>
          <w:color w:val="auto"/>
          <w:sz w:val="24"/>
          <w:szCs w:val="24"/>
          <w:highlight w:val="none"/>
          <w:lang w:eastAsia="zh-CN"/>
        </w:rPr>
        <w:t>采购单位</w:t>
      </w:r>
      <w:r>
        <w:rPr>
          <w:rFonts w:hint="eastAsia" w:ascii="宋体" w:hAnsi="宋体" w:cs="宋体"/>
          <w:b/>
          <w:color w:val="auto"/>
          <w:sz w:val="24"/>
          <w:szCs w:val="24"/>
          <w:highlight w:val="none"/>
        </w:rPr>
        <w:t>仓库后再配送至最终用户的，中标供应商应在</w:t>
      </w:r>
      <w:r>
        <w:rPr>
          <w:rFonts w:hint="eastAsia" w:ascii="宋体" w:hAnsi="宋体" w:cs="宋体"/>
          <w:b/>
          <w:color w:val="auto"/>
          <w:sz w:val="24"/>
          <w:szCs w:val="24"/>
          <w:highlight w:val="none"/>
          <w:lang w:eastAsia="zh-CN"/>
        </w:rPr>
        <w:t>采购单位</w:t>
      </w:r>
      <w:r>
        <w:rPr>
          <w:rFonts w:hint="eastAsia" w:ascii="宋体" w:hAnsi="宋体" w:cs="宋体"/>
          <w:b/>
          <w:color w:val="auto"/>
          <w:sz w:val="24"/>
          <w:szCs w:val="24"/>
          <w:highlight w:val="none"/>
        </w:rPr>
        <w:t>发出《定货单》之日起</w:t>
      </w:r>
      <w:r>
        <w:rPr>
          <w:rFonts w:hint="eastAsia" w:ascii="宋体" w:hAnsi="宋体" w:cs="宋体"/>
          <w:b/>
          <w:color w:val="auto"/>
          <w:sz w:val="24"/>
          <w:szCs w:val="24"/>
          <w:highlight w:val="none"/>
          <w:lang w:val="en-US" w:eastAsia="zh-CN"/>
        </w:rPr>
        <w:t>20</w:t>
      </w:r>
      <w:r>
        <w:rPr>
          <w:rFonts w:hint="eastAsia" w:ascii="宋体" w:hAnsi="宋体" w:cs="宋体"/>
          <w:b/>
          <w:color w:val="auto"/>
          <w:sz w:val="24"/>
          <w:szCs w:val="24"/>
          <w:highlight w:val="none"/>
        </w:rPr>
        <w:t xml:space="preserve"> 个日历日之内（《定货单》的交货期与本条约定不一致的，以《定货单》为准）将货交</w:t>
      </w:r>
      <w:r>
        <w:rPr>
          <w:rFonts w:hint="eastAsia" w:ascii="宋体" w:hAnsi="宋体" w:cs="宋体"/>
          <w:b/>
          <w:color w:val="auto"/>
          <w:sz w:val="24"/>
          <w:szCs w:val="24"/>
          <w:highlight w:val="none"/>
          <w:lang w:eastAsia="zh-CN"/>
        </w:rPr>
        <w:t>采购单位</w:t>
      </w:r>
      <w:r>
        <w:rPr>
          <w:rFonts w:hint="eastAsia" w:ascii="宋体" w:hAnsi="宋体" w:cs="宋体"/>
          <w:b/>
          <w:color w:val="auto"/>
          <w:sz w:val="24"/>
          <w:szCs w:val="24"/>
          <w:highlight w:val="none"/>
        </w:rPr>
        <w:t>仓库，</w:t>
      </w:r>
      <w:r>
        <w:rPr>
          <w:rFonts w:hint="eastAsia" w:ascii="宋体" w:hAnsi="宋体" w:cs="宋体"/>
          <w:b/>
          <w:color w:val="auto"/>
          <w:sz w:val="24"/>
          <w:szCs w:val="24"/>
          <w:highlight w:val="none"/>
          <w:lang w:val="en-US" w:eastAsia="zh-CN"/>
        </w:rPr>
        <w:t xml:space="preserve"> </w:t>
      </w:r>
      <w:r>
        <w:rPr>
          <w:rFonts w:hint="eastAsia" w:ascii="宋体" w:hAnsi="宋体" w:cs="宋体"/>
          <w:b/>
          <w:color w:val="auto"/>
          <w:sz w:val="24"/>
          <w:szCs w:val="24"/>
          <w:highlight w:val="none"/>
        </w:rPr>
        <w:t>货物到达</w:t>
      </w:r>
      <w:r>
        <w:rPr>
          <w:rFonts w:hint="eastAsia" w:ascii="宋体" w:hAnsi="宋体" w:cs="宋体"/>
          <w:b/>
          <w:color w:val="auto"/>
          <w:sz w:val="24"/>
          <w:szCs w:val="24"/>
          <w:highlight w:val="none"/>
          <w:lang w:eastAsia="zh-CN"/>
        </w:rPr>
        <w:t>采购单位</w:t>
      </w:r>
      <w:r>
        <w:rPr>
          <w:rFonts w:hint="eastAsia" w:ascii="宋体" w:hAnsi="宋体" w:cs="宋体"/>
          <w:b/>
          <w:color w:val="auto"/>
          <w:sz w:val="24"/>
          <w:szCs w:val="24"/>
          <w:highlight w:val="none"/>
        </w:rPr>
        <w:t>仓库后，中标供应商应在接到</w:t>
      </w:r>
      <w:r>
        <w:rPr>
          <w:rFonts w:hint="eastAsia" w:ascii="宋体" w:hAnsi="宋体" w:cs="宋体"/>
          <w:b/>
          <w:color w:val="auto"/>
          <w:sz w:val="24"/>
          <w:szCs w:val="24"/>
          <w:highlight w:val="none"/>
          <w:lang w:eastAsia="zh-CN"/>
        </w:rPr>
        <w:t>采购单位</w:t>
      </w:r>
      <w:r>
        <w:rPr>
          <w:rFonts w:hint="eastAsia" w:ascii="宋体" w:hAnsi="宋体" w:cs="宋体"/>
          <w:b/>
          <w:color w:val="auto"/>
          <w:sz w:val="24"/>
          <w:szCs w:val="24"/>
          <w:highlight w:val="none"/>
        </w:rPr>
        <w:t>通知后24小时内（仅指货物配送时限要求）将货物从</w:t>
      </w:r>
      <w:r>
        <w:rPr>
          <w:rFonts w:hint="eastAsia" w:ascii="宋体" w:hAnsi="宋体" w:cs="宋体"/>
          <w:b/>
          <w:color w:val="auto"/>
          <w:sz w:val="24"/>
          <w:szCs w:val="24"/>
          <w:highlight w:val="none"/>
          <w:lang w:eastAsia="zh-CN"/>
        </w:rPr>
        <w:t>采购单位</w:t>
      </w:r>
      <w:r>
        <w:rPr>
          <w:rFonts w:hint="eastAsia" w:ascii="宋体" w:hAnsi="宋体" w:cs="宋体"/>
          <w:b/>
          <w:color w:val="auto"/>
          <w:sz w:val="24"/>
          <w:szCs w:val="24"/>
          <w:highlight w:val="none"/>
        </w:rPr>
        <w:t>仓库二次配送至最终用户（地址为厦门市岛内行政区域），并按约定完成安装调试后提请验收交付。中标供应商除承担运送至</w:t>
      </w:r>
      <w:r>
        <w:rPr>
          <w:rFonts w:hint="eastAsia" w:ascii="宋体" w:hAnsi="宋体" w:cs="宋体"/>
          <w:b/>
          <w:color w:val="auto"/>
          <w:sz w:val="24"/>
          <w:szCs w:val="24"/>
          <w:highlight w:val="none"/>
          <w:lang w:eastAsia="zh-CN"/>
        </w:rPr>
        <w:t>采购单位</w:t>
      </w:r>
      <w:r>
        <w:rPr>
          <w:rFonts w:hint="eastAsia" w:ascii="宋体" w:hAnsi="宋体" w:cs="宋体"/>
          <w:b/>
          <w:color w:val="auto"/>
          <w:sz w:val="24"/>
          <w:szCs w:val="24"/>
          <w:highlight w:val="none"/>
        </w:rPr>
        <w:t>仓库的费用、货物存至</w:t>
      </w:r>
      <w:r>
        <w:rPr>
          <w:rFonts w:hint="eastAsia" w:ascii="宋体" w:hAnsi="宋体" w:cs="宋体"/>
          <w:b/>
          <w:color w:val="auto"/>
          <w:sz w:val="24"/>
          <w:szCs w:val="24"/>
          <w:highlight w:val="none"/>
          <w:lang w:eastAsia="zh-CN"/>
        </w:rPr>
        <w:t>采购单位</w:t>
      </w:r>
      <w:r>
        <w:rPr>
          <w:rFonts w:hint="eastAsia" w:ascii="宋体" w:hAnsi="宋体" w:cs="宋体"/>
          <w:b/>
          <w:color w:val="auto"/>
          <w:sz w:val="24"/>
          <w:szCs w:val="24"/>
          <w:highlight w:val="none"/>
        </w:rPr>
        <w:t>仓库的仓储操作费</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rPr>
        <w:t>A4幅面激光打印机仓储操作费10元/台，A3幅面激光打印机仓储操作费15元/台</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rPr>
        <w:t>，还应同时承担从</w:t>
      </w:r>
      <w:r>
        <w:rPr>
          <w:rFonts w:hint="eastAsia" w:ascii="宋体" w:hAnsi="宋体" w:cs="宋体"/>
          <w:b/>
          <w:color w:val="auto"/>
          <w:sz w:val="24"/>
          <w:szCs w:val="24"/>
          <w:highlight w:val="none"/>
          <w:lang w:eastAsia="zh-CN"/>
        </w:rPr>
        <w:t>采购单位</w:t>
      </w:r>
      <w:r>
        <w:rPr>
          <w:rFonts w:hint="eastAsia" w:ascii="宋体" w:hAnsi="宋体" w:cs="宋体"/>
          <w:b/>
          <w:color w:val="auto"/>
          <w:sz w:val="24"/>
          <w:szCs w:val="24"/>
          <w:highlight w:val="none"/>
        </w:rPr>
        <w:t>仓库运送至最终用户的二次配送费用。中标供应商从</w:t>
      </w:r>
      <w:r>
        <w:rPr>
          <w:rFonts w:hint="eastAsia" w:ascii="宋体" w:hAnsi="宋体" w:cs="宋体"/>
          <w:b/>
          <w:color w:val="auto"/>
          <w:sz w:val="24"/>
          <w:szCs w:val="24"/>
          <w:highlight w:val="none"/>
          <w:lang w:eastAsia="zh-CN"/>
        </w:rPr>
        <w:t>采购单位</w:t>
      </w:r>
      <w:r>
        <w:rPr>
          <w:rFonts w:hint="eastAsia" w:ascii="宋体" w:hAnsi="宋体" w:cs="宋体"/>
          <w:b/>
          <w:color w:val="auto"/>
          <w:sz w:val="24"/>
          <w:szCs w:val="24"/>
          <w:highlight w:val="none"/>
        </w:rPr>
        <w:t>仓库中提货之时起至货物经最终用户签收之时止，货物毁损、灭失的风险由中标供应商承担。</w:t>
      </w:r>
    </w:p>
    <w:p>
      <w:pPr>
        <w:adjustRightInd w:val="0"/>
        <w:snapToGrid w:val="0"/>
        <w:spacing w:line="360" w:lineRule="auto"/>
        <w:ind w:firstLine="482" w:firstLineChars="200"/>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rPr>
        <w:t>若中标供应商未按约定的时间完成二次配送的，</w:t>
      </w:r>
      <w:r>
        <w:rPr>
          <w:rFonts w:hint="eastAsia" w:ascii="宋体" w:hAnsi="宋体" w:cs="宋体"/>
          <w:b/>
          <w:color w:val="auto"/>
          <w:sz w:val="24"/>
          <w:szCs w:val="24"/>
          <w:highlight w:val="none"/>
          <w:lang w:eastAsia="zh-CN"/>
        </w:rPr>
        <w:t>采购单位</w:t>
      </w:r>
      <w:r>
        <w:rPr>
          <w:rFonts w:hint="eastAsia" w:ascii="宋体" w:hAnsi="宋体" w:cs="宋体"/>
          <w:b/>
          <w:color w:val="auto"/>
          <w:sz w:val="24"/>
          <w:szCs w:val="24"/>
          <w:highlight w:val="none"/>
        </w:rPr>
        <w:t>将代为进行二次配送，中标供应商应按如下费用标准最迟在</w:t>
      </w:r>
      <w:r>
        <w:rPr>
          <w:rFonts w:hint="eastAsia" w:ascii="宋体" w:hAnsi="宋体" w:cs="宋体"/>
          <w:b/>
          <w:color w:val="auto"/>
          <w:sz w:val="24"/>
          <w:szCs w:val="24"/>
          <w:highlight w:val="none"/>
          <w:lang w:eastAsia="zh-CN"/>
        </w:rPr>
        <w:t>采购单位</w:t>
      </w:r>
      <w:r>
        <w:rPr>
          <w:rFonts w:hint="eastAsia" w:ascii="宋体" w:hAnsi="宋体" w:cs="宋体"/>
          <w:b/>
          <w:color w:val="auto"/>
          <w:sz w:val="24"/>
          <w:szCs w:val="24"/>
          <w:highlight w:val="none"/>
        </w:rPr>
        <w:t>发出《定货单》之日起</w:t>
      </w:r>
      <w:sdt>
        <w:sdtPr>
          <w:rPr>
            <w:rFonts w:hint="eastAsia" w:ascii="宋体" w:hAnsi="宋体" w:cs="宋体"/>
            <w:b/>
            <w:color w:val="auto"/>
            <w:sz w:val="24"/>
            <w:szCs w:val="24"/>
            <w:highlight w:val="none"/>
            <w:lang w:val="en-US" w:eastAsia="zh-CN"/>
          </w:rPr>
          <w:id w:val="147470622"/>
          <w:placeholder>
            <w:docPart w:val="{a7cee843-d018-40d1-bd6d-1b03ed85902a}"/>
          </w:placeholder>
        </w:sdtPr>
        <w:sdtEndPr>
          <w:rPr>
            <w:rFonts w:hint="eastAsia" w:ascii="宋体" w:hAnsi="宋体" w:cs="宋体"/>
            <w:b/>
            <w:color w:val="auto"/>
            <w:sz w:val="24"/>
            <w:szCs w:val="24"/>
            <w:highlight w:val="none"/>
            <w:lang w:val="en-US" w:eastAsia="zh-CN"/>
          </w:rPr>
        </w:sdtEndPr>
        <w:sdtContent>
          <w:r>
            <w:rPr>
              <w:rFonts w:hint="eastAsia" w:ascii="宋体" w:hAnsi="宋体" w:cs="宋体"/>
              <w:b/>
              <w:color w:val="auto"/>
              <w:sz w:val="24"/>
              <w:szCs w:val="24"/>
              <w:highlight w:val="none"/>
              <w:lang w:val="en-US" w:eastAsia="zh-CN"/>
            </w:rPr>
            <w:t>10</w:t>
          </w:r>
        </w:sdtContent>
      </w:sdt>
      <w:r>
        <w:rPr>
          <w:rFonts w:hint="eastAsia" w:ascii="宋体" w:hAnsi="宋体" w:cs="宋体"/>
          <w:b/>
          <w:color w:val="auto"/>
          <w:sz w:val="24"/>
          <w:szCs w:val="24"/>
          <w:highlight w:val="none"/>
        </w:rPr>
        <w:t>个</w:t>
      </w:r>
      <w:r>
        <w:rPr>
          <w:rFonts w:hint="eastAsia" w:ascii="宋体" w:hAnsi="宋体" w:cs="宋体"/>
          <w:b/>
          <w:color w:val="auto"/>
          <w:sz w:val="24"/>
          <w:szCs w:val="24"/>
          <w:highlight w:val="none"/>
          <w:lang w:eastAsia="zh-CN"/>
        </w:rPr>
        <w:t>工作</w:t>
      </w:r>
      <w:r>
        <w:rPr>
          <w:rFonts w:hint="eastAsia" w:ascii="宋体" w:hAnsi="宋体" w:cs="宋体"/>
          <w:b/>
          <w:color w:val="auto"/>
          <w:sz w:val="24"/>
          <w:szCs w:val="24"/>
          <w:highlight w:val="none"/>
        </w:rPr>
        <w:t>日内向</w:t>
      </w:r>
      <w:r>
        <w:rPr>
          <w:rFonts w:hint="eastAsia" w:ascii="宋体" w:hAnsi="宋体" w:cs="宋体"/>
          <w:b/>
          <w:color w:val="auto"/>
          <w:sz w:val="24"/>
          <w:szCs w:val="24"/>
          <w:highlight w:val="none"/>
          <w:lang w:eastAsia="zh-CN"/>
        </w:rPr>
        <w:t>采购单位</w:t>
      </w:r>
      <w:r>
        <w:rPr>
          <w:rFonts w:hint="eastAsia" w:ascii="宋体" w:hAnsi="宋体" w:cs="宋体"/>
          <w:b/>
          <w:color w:val="auto"/>
          <w:sz w:val="24"/>
          <w:szCs w:val="24"/>
          <w:highlight w:val="none"/>
        </w:rPr>
        <w:t>或</w:t>
      </w:r>
      <w:r>
        <w:rPr>
          <w:rFonts w:hint="eastAsia" w:ascii="宋体" w:hAnsi="宋体" w:cs="宋体"/>
          <w:b/>
          <w:color w:val="auto"/>
          <w:sz w:val="24"/>
          <w:szCs w:val="24"/>
          <w:highlight w:val="none"/>
          <w:lang w:eastAsia="zh-CN"/>
        </w:rPr>
        <w:t>采购单位</w:t>
      </w:r>
      <w:r>
        <w:rPr>
          <w:rFonts w:hint="eastAsia" w:ascii="宋体" w:hAnsi="宋体" w:cs="宋体"/>
          <w:b/>
          <w:color w:val="auto"/>
          <w:sz w:val="24"/>
          <w:szCs w:val="24"/>
          <w:highlight w:val="none"/>
        </w:rPr>
        <w:t>指定的第三方物流商支付相应</w:t>
      </w:r>
      <w:sdt>
        <w:sdtPr>
          <w:rPr>
            <w:rFonts w:hint="eastAsia" w:ascii="宋体" w:hAnsi="宋体" w:cs="宋体"/>
            <w:b/>
            <w:color w:val="auto"/>
            <w:sz w:val="24"/>
            <w:szCs w:val="24"/>
            <w:highlight w:val="none"/>
            <w:lang w:val="en-US" w:eastAsia="zh-CN"/>
          </w:rPr>
          <w:id w:val="147463159"/>
          <w:placeholder>
            <w:docPart w:val="{0bbcb715-e320-4d55-a876-dda7c4830a6e}"/>
          </w:placeholder>
        </w:sdtPr>
        <w:sdtEndPr>
          <w:rPr>
            <w:rFonts w:hint="eastAsia" w:ascii="宋体" w:hAnsi="宋体" w:cs="宋体"/>
            <w:b/>
            <w:color w:val="auto"/>
            <w:sz w:val="24"/>
            <w:szCs w:val="24"/>
            <w:highlight w:val="none"/>
            <w:lang w:val="en-US" w:eastAsia="zh-CN"/>
          </w:rPr>
        </w:sdtEndPr>
        <w:sdtContent>
          <w:r>
            <w:rPr>
              <w:rFonts w:hint="eastAsia" w:ascii="宋体" w:hAnsi="宋体" w:cs="宋体"/>
              <w:b/>
              <w:color w:val="auto"/>
              <w:sz w:val="24"/>
              <w:szCs w:val="24"/>
              <w:highlight w:val="none"/>
            </w:rPr>
            <w:t>仓储操作费及二次配送费用：A4幅面激光打印机仓储操作费10元/台，二次配送费15元/台；A3幅面激光打印机仓储操作费15元/台，二次配送费45元/台。</w:t>
          </w:r>
        </w:sdtContent>
      </w:sdt>
      <w:r>
        <w:rPr>
          <w:rFonts w:hint="eastAsia" w:ascii="宋体" w:hAnsi="宋体" w:cs="宋体"/>
          <w:b/>
          <w:color w:val="auto"/>
          <w:sz w:val="24"/>
          <w:szCs w:val="24"/>
          <w:highlight w:val="none"/>
        </w:rPr>
        <w:t>若中标供应商未向</w:t>
      </w:r>
      <w:r>
        <w:rPr>
          <w:rFonts w:hint="eastAsia" w:ascii="宋体" w:hAnsi="宋体" w:cs="宋体"/>
          <w:b/>
          <w:color w:val="auto"/>
          <w:sz w:val="24"/>
          <w:szCs w:val="24"/>
          <w:highlight w:val="none"/>
          <w:lang w:eastAsia="zh-CN"/>
        </w:rPr>
        <w:t>采购单位</w:t>
      </w:r>
      <w:r>
        <w:rPr>
          <w:rFonts w:hint="eastAsia" w:ascii="宋体" w:hAnsi="宋体" w:cs="宋体"/>
          <w:b/>
          <w:color w:val="auto"/>
          <w:sz w:val="24"/>
          <w:szCs w:val="24"/>
          <w:highlight w:val="none"/>
        </w:rPr>
        <w:t>或</w:t>
      </w:r>
      <w:r>
        <w:rPr>
          <w:rFonts w:hint="eastAsia" w:ascii="宋体" w:hAnsi="宋体" w:cs="宋体"/>
          <w:b/>
          <w:color w:val="auto"/>
          <w:sz w:val="24"/>
          <w:szCs w:val="24"/>
          <w:highlight w:val="none"/>
          <w:lang w:eastAsia="zh-CN"/>
        </w:rPr>
        <w:t>采购单位</w:t>
      </w:r>
      <w:r>
        <w:rPr>
          <w:rFonts w:hint="eastAsia" w:ascii="宋体" w:hAnsi="宋体" w:cs="宋体"/>
          <w:b/>
          <w:color w:val="auto"/>
          <w:sz w:val="24"/>
          <w:szCs w:val="24"/>
          <w:highlight w:val="none"/>
        </w:rPr>
        <w:t>指定的第三方物流商支付该仓储操作费及二次配送费用的，</w:t>
      </w:r>
      <w:r>
        <w:rPr>
          <w:rFonts w:hint="eastAsia" w:ascii="宋体" w:hAnsi="宋体" w:cs="宋体"/>
          <w:b/>
          <w:color w:val="auto"/>
          <w:sz w:val="24"/>
          <w:szCs w:val="24"/>
          <w:highlight w:val="none"/>
          <w:lang w:eastAsia="zh-CN"/>
        </w:rPr>
        <w:t>采购单位</w:t>
      </w:r>
      <w:r>
        <w:rPr>
          <w:rFonts w:hint="eastAsia" w:ascii="宋体" w:hAnsi="宋体" w:cs="宋体"/>
          <w:b/>
          <w:color w:val="auto"/>
          <w:sz w:val="24"/>
          <w:szCs w:val="24"/>
          <w:highlight w:val="none"/>
        </w:rPr>
        <w:t>有权从中标供应商货款或约定的履约保证金总额中扣除相应费用。</w:t>
      </w:r>
    </w:p>
    <w:p>
      <w:pPr>
        <w:adjustRightInd w:val="0"/>
        <w:snapToGrid w:val="0"/>
        <w:spacing w:line="360" w:lineRule="auto"/>
        <w:ind w:firstLine="472" w:firstLineChars="196"/>
        <w:jc w:val="left"/>
        <w:rPr>
          <w:rFonts w:ascii="宋体" w:hAnsi="宋体"/>
          <w:b/>
          <w:color w:val="auto"/>
          <w:kern w:val="0"/>
          <w:sz w:val="24"/>
          <w:szCs w:val="24"/>
          <w:highlight w:val="none"/>
        </w:rPr>
      </w:pPr>
      <w:r>
        <w:rPr>
          <w:rFonts w:ascii="宋体" w:hAnsi="宋体" w:cs="Times New Roman"/>
          <w:b/>
          <w:color w:val="auto"/>
          <w:kern w:val="0"/>
          <w:sz w:val="24"/>
          <w:szCs w:val="24"/>
          <w:highlight w:val="none"/>
        </w:rPr>
        <w:t xml:space="preserve"> *</w:t>
      </w:r>
      <w:r>
        <w:rPr>
          <w:rFonts w:hint="eastAsia" w:ascii="宋体" w:hAnsi="宋体" w:cs="Times New Roman"/>
          <w:b/>
          <w:color w:val="auto"/>
          <w:kern w:val="0"/>
          <w:sz w:val="24"/>
          <w:szCs w:val="24"/>
          <w:highlight w:val="none"/>
          <w:lang w:val="en-US" w:eastAsia="zh-CN"/>
        </w:rPr>
        <w:t>6</w:t>
      </w:r>
      <w:r>
        <w:rPr>
          <w:rFonts w:ascii="宋体" w:hAnsi="宋体" w:cs="Times New Roman"/>
          <w:b/>
          <w:color w:val="auto"/>
          <w:kern w:val="0"/>
          <w:sz w:val="24"/>
          <w:szCs w:val="24"/>
          <w:highlight w:val="none"/>
        </w:rPr>
        <w:t>、</w:t>
      </w:r>
      <w:r>
        <w:rPr>
          <w:rFonts w:hint="eastAsia" w:ascii="宋体" w:hAnsi="宋体" w:cs="宋体"/>
          <w:b/>
          <w:color w:val="auto"/>
          <w:sz w:val="24"/>
          <w:szCs w:val="24"/>
          <w:highlight w:val="none"/>
        </w:rPr>
        <w:t>合同期内每三个月，采购单位可根据市场行情变化，与中标供应商就产品单价进行重新谈判，价格不得高于中标价格。</w:t>
      </w:r>
    </w:p>
    <w:p>
      <w:pPr>
        <w:adjustRightInd w:val="0"/>
        <w:snapToGrid w:val="0"/>
        <w:spacing w:line="360" w:lineRule="auto"/>
        <w:ind w:firstLine="472" w:firstLineChars="196"/>
        <w:jc w:val="left"/>
        <w:rPr>
          <w:rFonts w:ascii="宋体" w:hAnsi="宋体"/>
          <w:b/>
          <w:color w:val="auto"/>
          <w:kern w:val="0"/>
          <w:sz w:val="24"/>
          <w:szCs w:val="24"/>
          <w:highlight w:val="none"/>
        </w:rPr>
      </w:pPr>
      <w:r>
        <w:rPr>
          <w:rFonts w:ascii="宋体" w:hAnsi="宋体" w:cs="Times New Roman"/>
          <w:b/>
          <w:color w:val="auto"/>
          <w:kern w:val="0"/>
          <w:sz w:val="24"/>
          <w:szCs w:val="24"/>
          <w:highlight w:val="none"/>
        </w:rPr>
        <w:t>*</w:t>
      </w:r>
      <w:r>
        <w:rPr>
          <w:rFonts w:hint="eastAsia" w:ascii="宋体" w:hAnsi="宋体" w:cs="Times New Roman"/>
          <w:b/>
          <w:color w:val="auto"/>
          <w:kern w:val="0"/>
          <w:sz w:val="24"/>
          <w:szCs w:val="24"/>
          <w:highlight w:val="none"/>
          <w:lang w:val="en-US" w:eastAsia="zh-CN"/>
        </w:rPr>
        <w:t>7</w:t>
      </w:r>
      <w:r>
        <w:rPr>
          <w:rFonts w:ascii="宋体" w:hAnsi="宋体" w:cs="Times New Roman"/>
          <w:b/>
          <w:color w:val="auto"/>
          <w:kern w:val="0"/>
          <w:sz w:val="24"/>
          <w:szCs w:val="24"/>
          <w:highlight w:val="none"/>
        </w:rPr>
        <w:t>、投标人须在投标文件中书面承诺：提供产品的安装费用和上门售后服务费用</w:t>
      </w:r>
      <w:r>
        <w:rPr>
          <w:rFonts w:hint="eastAsia" w:ascii="宋体" w:hAnsi="宋体" w:cs="Times New Roman"/>
          <w:b/>
          <w:color w:val="auto"/>
          <w:kern w:val="0"/>
          <w:sz w:val="24"/>
          <w:szCs w:val="24"/>
          <w:highlight w:val="none"/>
          <w:lang w:eastAsia="zh-CN"/>
        </w:rPr>
        <w:t>不高于</w:t>
      </w:r>
      <w:r>
        <w:rPr>
          <w:rFonts w:ascii="宋体" w:hAnsi="宋体" w:cs="Times New Roman"/>
          <w:b/>
          <w:color w:val="auto"/>
          <w:kern w:val="0"/>
          <w:sz w:val="24"/>
          <w:szCs w:val="24"/>
          <w:highlight w:val="none"/>
        </w:rPr>
        <w:t>以下收费标准执行。</w:t>
      </w:r>
    </w:p>
    <w:tbl>
      <w:tblPr>
        <w:tblStyle w:val="14"/>
        <w:tblW w:w="0" w:type="auto"/>
        <w:jc w:val="center"/>
        <w:tblLayout w:type="fixed"/>
        <w:tblCellMar>
          <w:top w:w="0" w:type="dxa"/>
          <w:left w:w="108" w:type="dxa"/>
          <w:bottom w:w="0" w:type="dxa"/>
          <w:right w:w="108" w:type="dxa"/>
        </w:tblCellMar>
      </w:tblPr>
      <w:tblGrid>
        <w:gridCol w:w="2125"/>
        <w:gridCol w:w="4977"/>
        <w:gridCol w:w="1194"/>
      </w:tblGrid>
      <w:tr>
        <w:tblPrEx>
          <w:tblCellMar>
            <w:top w:w="0" w:type="dxa"/>
            <w:left w:w="108" w:type="dxa"/>
            <w:bottom w:w="0" w:type="dxa"/>
            <w:right w:w="108" w:type="dxa"/>
          </w:tblCellMar>
        </w:tblPrEx>
        <w:trPr>
          <w:trHeight w:val="555" w:hRule="atLeast"/>
          <w:jc w:val="center"/>
        </w:trPr>
        <w:tc>
          <w:tcPr>
            <w:tcW w:w="2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费用名称</w:t>
            </w:r>
          </w:p>
        </w:tc>
        <w:tc>
          <w:tcPr>
            <w:tcW w:w="497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区域范围</w:t>
            </w:r>
          </w:p>
        </w:tc>
        <w:tc>
          <w:tcPr>
            <w:tcW w:w="119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收费标准</w:t>
            </w:r>
          </w:p>
        </w:tc>
      </w:tr>
      <w:tr>
        <w:tblPrEx>
          <w:tblCellMar>
            <w:top w:w="0" w:type="dxa"/>
            <w:left w:w="108" w:type="dxa"/>
            <w:bottom w:w="0" w:type="dxa"/>
            <w:right w:w="108" w:type="dxa"/>
          </w:tblCellMar>
        </w:tblPrEx>
        <w:trPr>
          <w:trHeight w:val="332" w:hRule="atLeast"/>
          <w:jc w:val="center"/>
        </w:trPr>
        <w:tc>
          <w:tcPr>
            <w:tcW w:w="212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激光打印机安装费用</w:t>
            </w:r>
          </w:p>
        </w:tc>
        <w:tc>
          <w:tcPr>
            <w:tcW w:w="4977" w:type="dxa"/>
            <w:tcBorders>
              <w:top w:val="nil"/>
              <w:left w:val="nil"/>
              <w:bottom w:val="single" w:color="auto" w:sz="4" w:space="0"/>
              <w:right w:val="single" w:color="auto" w:sz="4" w:space="0"/>
            </w:tcBorders>
            <w:shd w:val="clear" w:color="auto" w:fill="auto"/>
            <w:vAlign w:val="center"/>
          </w:tcPr>
          <w:p>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厦门市全区、福州市区内、莆田市区内、泉州市区内、漳州市区内、龙岩市区内、三明市区内、南平市区内和宁德市区内（福建省各地市区外划分详见该表格备注栏）</w:t>
            </w:r>
          </w:p>
        </w:tc>
        <w:tc>
          <w:tcPr>
            <w:tcW w:w="1194" w:type="dxa"/>
            <w:tcBorders>
              <w:top w:val="nil"/>
              <w:left w:val="nil"/>
              <w:bottom w:val="single" w:color="auto" w:sz="4" w:space="0"/>
              <w:right w:val="single" w:color="auto" w:sz="4" w:space="0"/>
            </w:tcBorders>
            <w:shd w:val="clear" w:color="auto" w:fill="auto"/>
            <w:vAlign w:val="center"/>
          </w:tcPr>
          <w:p>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免费</w:t>
            </w:r>
          </w:p>
        </w:tc>
      </w:tr>
      <w:tr>
        <w:tblPrEx>
          <w:tblCellMar>
            <w:top w:w="0" w:type="dxa"/>
            <w:left w:w="108" w:type="dxa"/>
            <w:bottom w:w="0" w:type="dxa"/>
            <w:right w:w="108" w:type="dxa"/>
          </w:tblCellMar>
        </w:tblPrEx>
        <w:trPr>
          <w:trHeight w:val="332" w:hRule="atLeast"/>
          <w:jc w:val="center"/>
        </w:trPr>
        <w:tc>
          <w:tcPr>
            <w:tcW w:w="212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bCs/>
                <w:color w:val="auto"/>
                <w:sz w:val="21"/>
                <w:szCs w:val="21"/>
                <w:highlight w:val="none"/>
              </w:rPr>
            </w:pPr>
          </w:p>
        </w:tc>
        <w:tc>
          <w:tcPr>
            <w:tcW w:w="4977" w:type="dxa"/>
            <w:tcBorders>
              <w:top w:val="nil"/>
              <w:left w:val="nil"/>
              <w:bottom w:val="single" w:color="auto" w:sz="4" w:space="0"/>
              <w:right w:val="single" w:color="auto" w:sz="4" w:space="0"/>
            </w:tcBorders>
            <w:shd w:val="clear" w:color="auto" w:fill="auto"/>
            <w:vAlign w:val="center"/>
          </w:tcPr>
          <w:p>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福州市区外、莆田市区外、泉州市区外、漳州市区外、龙岩市区外、三明市区外、南平市区外和宁德市区外（福建省各地市区外划分详见该表格备注栏）</w:t>
            </w:r>
          </w:p>
        </w:tc>
        <w:tc>
          <w:tcPr>
            <w:tcW w:w="1194" w:type="dxa"/>
            <w:tcBorders>
              <w:top w:val="nil"/>
              <w:left w:val="nil"/>
              <w:bottom w:val="single" w:color="auto" w:sz="4" w:space="0"/>
              <w:right w:val="single" w:color="auto" w:sz="4" w:space="0"/>
            </w:tcBorders>
            <w:shd w:val="clear" w:color="auto" w:fill="auto"/>
            <w:vAlign w:val="center"/>
          </w:tcPr>
          <w:p>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79元/台</w:t>
            </w:r>
          </w:p>
        </w:tc>
      </w:tr>
      <w:tr>
        <w:tblPrEx>
          <w:tblCellMar>
            <w:top w:w="0" w:type="dxa"/>
            <w:left w:w="108" w:type="dxa"/>
            <w:bottom w:w="0" w:type="dxa"/>
            <w:right w:w="108" w:type="dxa"/>
          </w:tblCellMar>
        </w:tblPrEx>
        <w:trPr>
          <w:trHeight w:val="1140" w:hRule="atLeast"/>
          <w:jc w:val="center"/>
        </w:trPr>
        <w:tc>
          <w:tcPr>
            <w:tcW w:w="82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备注：福建省各地市的区内/区外划分</w:t>
            </w:r>
          </w:p>
          <w:tbl>
            <w:tblPr>
              <w:tblStyle w:val="14"/>
              <w:tblW w:w="0" w:type="auto"/>
              <w:tblInd w:w="0" w:type="dxa"/>
              <w:tblLayout w:type="fixed"/>
              <w:tblCellMar>
                <w:top w:w="0" w:type="dxa"/>
                <w:left w:w="108" w:type="dxa"/>
                <w:bottom w:w="0" w:type="dxa"/>
                <w:right w:w="108" w:type="dxa"/>
              </w:tblCellMar>
            </w:tblPr>
            <w:tblGrid>
              <w:gridCol w:w="1014"/>
              <w:gridCol w:w="993"/>
              <w:gridCol w:w="6053"/>
            </w:tblGrid>
            <w:tr>
              <w:tblPrEx>
                <w:tblCellMar>
                  <w:top w:w="0" w:type="dxa"/>
                  <w:left w:w="108" w:type="dxa"/>
                  <w:bottom w:w="0" w:type="dxa"/>
                  <w:right w:w="108" w:type="dxa"/>
                </w:tblCellMar>
              </w:tblPrEx>
              <w:trPr>
                <w:trHeight w:val="375" w:hRule="atLeast"/>
              </w:trPr>
              <w:tc>
                <w:tcPr>
                  <w:tcW w:w="10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厦门</w:t>
                  </w:r>
                </w:p>
              </w:tc>
              <w:tc>
                <w:tcPr>
                  <w:tcW w:w="993" w:type="dxa"/>
                  <w:tcBorders>
                    <w:top w:val="single" w:color="auto" w:sz="8" w:space="0"/>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岛内</w:t>
                  </w:r>
                </w:p>
              </w:tc>
              <w:tc>
                <w:tcPr>
                  <w:tcW w:w="6053" w:type="dxa"/>
                  <w:tcBorders>
                    <w:top w:val="single" w:color="auto" w:sz="8" w:space="0"/>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思明区、湖里区</w:t>
                  </w:r>
                </w:p>
              </w:tc>
            </w:tr>
            <w:tr>
              <w:tblPrEx>
                <w:tblCellMar>
                  <w:top w:w="0" w:type="dxa"/>
                  <w:left w:w="108" w:type="dxa"/>
                  <w:bottom w:w="0" w:type="dxa"/>
                  <w:right w:w="108" w:type="dxa"/>
                </w:tblCellMar>
              </w:tblPrEx>
              <w:trPr>
                <w:trHeight w:val="405" w:hRule="atLeast"/>
              </w:trPr>
              <w:tc>
                <w:tcPr>
                  <w:tcW w:w="10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color w:val="auto"/>
                      <w:kern w:val="0"/>
                      <w:sz w:val="21"/>
                      <w:szCs w:val="21"/>
                      <w:highlight w:val="none"/>
                    </w:rPr>
                  </w:pPr>
                </w:p>
              </w:tc>
              <w:tc>
                <w:tcPr>
                  <w:tcW w:w="993" w:type="dxa"/>
                  <w:tcBorders>
                    <w:top w:val="single" w:color="auto" w:sz="8" w:space="0"/>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岛外</w:t>
                  </w:r>
                </w:p>
              </w:tc>
              <w:tc>
                <w:tcPr>
                  <w:tcW w:w="6053" w:type="dxa"/>
                  <w:tcBorders>
                    <w:top w:val="single" w:color="auto" w:sz="8" w:space="0"/>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海沧区、集美区、同安区、翔安区等厦门市非岛内范围</w:t>
                  </w:r>
                </w:p>
              </w:tc>
            </w:tr>
            <w:tr>
              <w:tblPrEx>
                <w:tblCellMar>
                  <w:top w:w="0" w:type="dxa"/>
                  <w:left w:w="108" w:type="dxa"/>
                  <w:bottom w:w="0" w:type="dxa"/>
                  <w:right w:w="108" w:type="dxa"/>
                </w:tblCellMar>
              </w:tblPrEx>
              <w:trPr>
                <w:trHeight w:val="310" w:hRule="atLeast"/>
              </w:trPr>
              <w:tc>
                <w:tcPr>
                  <w:tcW w:w="10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福州市</w:t>
                  </w:r>
                </w:p>
              </w:tc>
              <w:tc>
                <w:tcPr>
                  <w:tcW w:w="993" w:type="dxa"/>
                  <w:tcBorders>
                    <w:top w:val="single" w:color="auto" w:sz="8" w:space="0"/>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区内</w:t>
                  </w:r>
                </w:p>
              </w:tc>
              <w:tc>
                <w:tcPr>
                  <w:tcW w:w="6053" w:type="dxa"/>
                  <w:tcBorders>
                    <w:top w:val="single" w:color="auto" w:sz="8" w:space="0"/>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鼓楼区、台江区、仓山区、晋安区、马尾区</w:t>
                  </w:r>
                </w:p>
              </w:tc>
            </w:tr>
            <w:tr>
              <w:tblPrEx>
                <w:tblCellMar>
                  <w:top w:w="0" w:type="dxa"/>
                  <w:left w:w="108" w:type="dxa"/>
                  <w:bottom w:w="0" w:type="dxa"/>
                  <w:right w:w="108" w:type="dxa"/>
                </w:tblCellMar>
              </w:tblPrEx>
              <w:trPr>
                <w:trHeight w:val="615" w:hRule="atLeast"/>
              </w:trPr>
              <w:tc>
                <w:tcPr>
                  <w:tcW w:w="10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color w:val="auto"/>
                      <w:sz w:val="21"/>
                      <w:szCs w:val="21"/>
                      <w:highlight w:val="none"/>
                    </w:rPr>
                  </w:pPr>
                </w:p>
              </w:tc>
              <w:tc>
                <w:tcPr>
                  <w:tcW w:w="99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区外</w:t>
                  </w:r>
                </w:p>
              </w:tc>
              <w:tc>
                <w:tcPr>
                  <w:tcW w:w="605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福清市、长乐市、闽侯县、连江县、罗源县、闽清县、永泰县、平潭县等福州市非区内范围</w:t>
                  </w:r>
                </w:p>
              </w:tc>
            </w:tr>
            <w:tr>
              <w:tblPrEx>
                <w:tblCellMar>
                  <w:top w:w="0" w:type="dxa"/>
                  <w:left w:w="108" w:type="dxa"/>
                  <w:bottom w:w="0" w:type="dxa"/>
                  <w:right w:w="108" w:type="dxa"/>
                </w:tblCellMar>
              </w:tblPrEx>
              <w:trPr>
                <w:trHeight w:val="390" w:hRule="atLeast"/>
              </w:trPr>
              <w:tc>
                <w:tcPr>
                  <w:tcW w:w="1014" w:type="dxa"/>
                  <w:vMerge w:val="restart"/>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莆田市</w:t>
                  </w:r>
                </w:p>
              </w:tc>
              <w:tc>
                <w:tcPr>
                  <w:tcW w:w="99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区内</w:t>
                  </w:r>
                </w:p>
              </w:tc>
              <w:tc>
                <w:tcPr>
                  <w:tcW w:w="605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城厢区、荔城区、涵江区</w:t>
                  </w:r>
                </w:p>
              </w:tc>
            </w:tr>
            <w:tr>
              <w:tblPrEx>
                <w:tblCellMar>
                  <w:top w:w="0" w:type="dxa"/>
                  <w:left w:w="108" w:type="dxa"/>
                  <w:bottom w:w="0" w:type="dxa"/>
                  <w:right w:w="108" w:type="dxa"/>
                </w:tblCellMar>
              </w:tblPrEx>
              <w:trPr>
                <w:trHeight w:val="615" w:hRule="atLeast"/>
              </w:trPr>
              <w:tc>
                <w:tcPr>
                  <w:tcW w:w="1014"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color w:val="auto"/>
                      <w:sz w:val="21"/>
                      <w:szCs w:val="21"/>
                      <w:highlight w:val="none"/>
                    </w:rPr>
                  </w:pPr>
                </w:p>
              </w:tc>
              <w:tc>
                <w:tcPr>
                  <w:tcW w:w="99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区外</w:t>
                  </w:r>
                </w:p>
              </w:tc>
              <w:tc>
                <w:tcPr>
                  <w:tcW w:w="605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秀屿区、湄洲岛、仙游县、湄洲湾北岸开发区等莆田市非区内范围</w:t>
                  </w:r>
                </w:p>
              </w:tc>
            </w:tr>
            <w:tr>
              <w:tblPrEx>
                <w:tblCellMar>
                  <w:top w:w="0" w:type="dxa"/>
                  <w:left w:w="108" w:type="dxa"/>
                  <w:bottom w:w="0" w:type="dxa"/>
                  <w:right w:w="108" w:type="dxa"/>
                </w:tblCellMar>
              </w:tblPrEx>
              <w:trPr>
                <w:trHeight w:val="345" w:hRule="atLeast"/>
              </w:trPr>
              <w:tc>
                <w:tcPr>
                  <w:tcW w:w="1014" w:type="dxa"/>
                  <w:vMerge w:val="restart"/>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泉州市</w:t>
                  </w:r>
                </w:p>
              </w:tc>
              <w:tc>
                <w:tcPr>
                  <w:tcW w:w="99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区内</w:t>
                  </w:r>
                </w:p>
              </w:tc>
              <w:tc>
                <w:tcPr>
                  <w:tcW w:w="605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鲤城区、丰泽区、洛江区、泉港区</w:t>
                  </w:r>
                </w:p>
              </w:tc>
            </w:tr>
            <w:tr>
              <w:tblPrEx>
                <w:tblCellMar>
                  <w:top w:w="0" w:type="dxa"/>
                  <w:left w:w="108" w:type="dxa"/>
                  <w:bottom w:w="0" w:type="dxa"/>
                  <w:right w:w="108" w:type="dxa"/>
                </w:tblCellMar>
              </w:tblPrEx>
              <w:trPr>
                <w:trHeight w:val="615" w:hRule="atLeast"/>
              </w:trPr>
              <w:tc>
                <w:tcPr>
                  <w:tcW w:w="1014"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color w:val="auto"/>
                      <w:sz w:val="21"/>
                      <w:szCs w:val="21"/>
                      <w:highlight w:val="none"/>
                    </w:rPr>
                  </w:pPr>
                </w:p>
              </w:tc>
              <w:tc>
                <w:tcPr>
                  <w:tcW w:w="99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区外</w:t>
                  </w:r>
                </w:p>
              </w:tc>
              <w:tc>
                <w:tcPr>
                  <w:tcW w:w="605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晋江市、石狮市、南安市、惠安县、安溪县、永春县、德化县等泉州市非区内范围</w:t>
                  </w:r>
                </w:p>
              </w:tc>
            </w:tr>
            <w:tr>
              <w:tblPrEx>
                <w:tblCellMar>
                  <w:top w:w="0" w:type="dxa"/>
                  <w:left w:w="108" w:type="dxa"/>
                  <w:bottom w:w="0" w:type="dxa"/>
                  <w:right w:w="108" w:type="dxa"/>
                </w:tblCellMar>
              </w:tblPrEx>
              <w:trPr>
                <w:trHeight w:val="405" w:hRule="atLeast"/>
              </w:trPr>
              <w:tc>
                <w:tcPr>
                  <w:tcW w:w="1014" w:type="dxa"/>
                  <w:vMerge w:val="restart"/>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漳州市</w:t>
                  </w:r>
                </w:p>
              </w:tc>
              <w:tc>
                <w:tcPr>
                  <w:tcW w:w="99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区内</w:t>
                  </w:r>
                </w:p>
              </w:tc>
              <w:tc>
                <w:tcPr>
                  <w:tcW w:w="605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芗城区、龙文区</w:t>
                  </w:r>
                  <w:r>
                    <w:rPr>
                      <w:rFonts w:hint="eastAsia" w:asciiTheme="minorEastAsia" w:hAnsiTheme="minorEastAsia" w:eastAsiaTheme="minorEastAsia" w:cstheme="minorEastAsia"/>
                      <w:b/>
                      <w:color w:val="auto"/>
                      <w:kern w:val="0"/>
                      <w:sz w:val="21"/>
                      <w:szCs w:val="21"/>
                      <w:highlight w:val="none"/>
                      <w:lang w:eastAsia="zh-CN"/>
                    </w:rPr>
                    <w:t>、</w:t>
                  </w:r>
                  <w:r>
                    <w:rPr>
                      <w:rFonts w:hint="eastAsia" w:asciiTheme="minorEastAsia" w:hAnsiTheme="minorEastAsia" w:eastAsiaTheme="minorEastAsia" w:cstheme="minorEastAsia"/>
                      <w:b/>
                      <w:color w:val="auto"/>
                      <w:kern w:val="0"/>
                      <w:sz w:val="21"/>
                      <w:szCs w:val="21"/>
                      <w:highlight w:val="none"/>
                    </w:rPr>
                    <w:t>龙海</w:t>
                  </w:r>
                  <w:r>
                    <w:rPr>
                      <w:rFonts w:hint="eastAsia" w:asciiTheme="minorEastAsia" w:hAnsiTheme="minorEastAsia" w:eastAsiaTheme="minorEastAsia" w:cstheme="minorEastAsia"/>
                      <w:b/>
                      <w:color w:val="auto"/>
                      <w:kern w:val="0"/>
                      <w:sz w:val="21"/>
                      <w:szCs w:val="21"/>
                      <w:highlight w:val="none"/>
                    </w:rPr>
                    <w:t>区</w:t>
                  </w:r>
                  <w:r>
                    <w:rPr>
                      <w:rFonts w:hint="eastAsia" w:asciiTheme="minorEastAsia" w:hAnsiTheme="minorEastAsia" w:eastAsiaTheme="minorEastAsia" w:cstheme="minorEastAsia"/>
                      <w:b/>
                      <w:color w:val="auto"/>
                      <w:kern w:val="0"/>
                      <w:sz w:val="21"/>
                      <w:szCs w:val="21"/>
                      <w:highlight w:val="none"/>
                    </w:rPr>
                    <w:t>、长泰</w:t>
                  </w:r>
                  <w:r>
                    <w:rPr>
                      <w:rFonts w:hint="eastAsia" w:asciiTheme="minorEastAsia" w:hAnsiTheme="minorEastAsia" w:eastAsiaTheme="minorEastAsia" w:cstheme="minorEastAsia"/>
                      <w:b/>
                      <w:color w:val="auto"/>
                      <w:kern w:val="0"/>
                      <w:sz w:val="21"/>
                      <w:szCs w:val="21"/>
                      <w:highlight w:val="none"/>
                    </w:rPr>
                    <w:t>区</w:t>
                  </w:r>
                </w:p>
              </w:tc>
            </w:tr>
            <w:tr>
              <w:tblPrEx>
                <w:tblCellMar>
                  <w:top w:w="0" w:type="dxa"/>
                  <w:left w:w="108" w:type="dxa"/>
                  <w:bottom w:w="0" w:type="dxa"/>
                  <w:right w:w="108" w:type="dxa"/>
                </w:tblCellMar>
              </w:tblPrEx>
              <w:trPr>
                <w:trHeight w:val="615" w:hRule="atLeast"/>
              </w:trPr>
              <w:tc>
                <w:tcPr>
                  <w:tcW w:w="1014"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color w:val="auto"/>
                      <w:sz w:val="21"/>
                      <w:szCs w:val="21"/>
                      <w:highlight w:val="none"/>
                    </w:rPr>
                  </w:pPr>
                </w:p>
              </w:tc>
              <w:tc>
                <w:tcPr>
                  <w:tcW w:w="99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区外</w:t>
                  </w:r>
                </w:p>
              </w:tc>
              <w:tc>
                <w:tcPr>
                  <w:tcW w:w="605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云霄县、漳浦县、诏安县、东山县、南靖县、平和县、华安县等漳州市非区内范围</w:t>
                  </w:r>
                </w:p>
              </w:tc>
            </w:tr>
            <w:tr>
              <w:tblPrEx>
                <w:tblCellMar>
                  <w:top w:w="0" w:type="dxa"/>
                  <w:left w:w="108" w:type="dxa"/>
                  <w:bottom w:w="0" w:type="dxa"/>
                  <w:right w:w="108" w:type="dxa"/>
                </w:tblCellMar>
              </w:tblPrEx>
              <w:trPr>
                <w:trHeight w:val="285" w:hRule="atLeast"/>
              </w:trPr>
              <w:tc>
                <w:tcPr>
                  <w:tcW w:w="1014" w:type="dxa"/>
                  <w:vMerge w:val="restart"/>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龙岩市</w:t>
                  </w:r>
                </w:p>
              </w:tc>
              <w:tc>
                <w:tcPr>
                  <w:tcW w:w="99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区内</w:t>
                  </w:r>
                </w:p>
              </w:tc>
              <w:tc>
                <w:tcPr>
                  <w:tcW w:w="605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新罗区</w:t>
                  </w:r>
                </w:p>
              </w:tc>
            </w:tr>
            <w:tr>
              <w:tblPrEx>
                <w:tblCellMar>
                  <w:top w:w="0" w:type="dxa"/>
                  <w:left w:w="108" w:type="dxa"/>
                  <w:bottom w:w="0" w:type="dxa"/>
                  <w:right w:w="108" w:type="dxa"/>
                </w:tblCellMar>
              </w:tblPrEx>
              <w:trPr>
                <w:trHeight w:val="615" w:hRule="atLeast"/>
              </w:trPr>
              <w:tc>
                <w:tcPr>
                  <w:tcW w:w="1014"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color w:val="auto"/>
                      <w:sz w:val="21"/>
                      <w:szCs w:val="21"/>
                      <w:highlight w:val="none"/>
                    </w:rPr>
                  </w:pPr>
                </w:p>
              </w:tc>
              <w:tc>
                <w:tcPr>
                  <w:tcW w:w="99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区外</w:t>
                  </w:r>
                </w:p>
              </w:tc>
              <w:tc>
                <w:tcPr>
                  <w:tcW w:w="605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永定区、长汀县、连城县、上杭县、武平县等龙岩市非区内范围</w:t>
                  </w:r>
                </w:p>
              </w:tc>
            </w:tr>
            <w:tr>
              <w:tblPrEx>
                <w:tblCellMar>
                  <w:top w:w="0" w:type="dxa"/>
                  <w:left w:w="108" w:type="dxa"/>
                  <w:bottom w:w="0" w:type="dxa"/>
                  <w:right w:w="108" w:type="dxa"/>
                </w:tblCellMar>
              </w:tblPrEx>
              <w:trPr>
                <w:trHeight w:val="345" w:hRule="atLeast"/>
              </w:trPr>
              <w:tc>
                <w:tcPr>
                  <w:tcW w:w="1014" w:type="dxa"/>
                  <w:vMerge w:val="restart"/>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三明市</w:t>
                  </w:r>
                </w:p>
              </w:tc>
              <w:tc>
                <w:tcPr>
                  <w:tcW w:w="99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区内</w:t>
                  </w:r>
                </w:p>
              </w:tc>
              <w:tc>
                <w:tcPr>
                  <w:tcW w:w="605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梅列区、三元区</w:t>
                  </w:r>
                </w:p>
              </w:tc>
            </w:tr>
            <w:tr>
              <w:tblPrEx>
                <w:tblCellMar>
                  <w:top w:w="0" w:type="dxa"/>
                  <w:left w:w="108" w:type="dxa"/>
                  <w:bottom w:w="0" w:type="dxa"/>
                  <w:right w:w="108" w:type="dxa"/>
                </w:tblCellMar>
              </w:tblPrEx>
              <w:trPr>
                <w:trHeight w:val="615" w:hRule="atLeast"/>
              </w:trPr>
              <w:tc>
                <w:tcPr>
                  <w:tcW w:w="1014"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color w:val="auto"/>
                      <w:sz w:val="21"/>
                      <w:szCs w:val="21"/>
                      <w:highlight w:val="none"/>
                    </w:rPr>
                  </w:pPr>
                </w:p>
              </w:tc>
              <w:tc>
                <w:tcPr>
                  <w:tcW w:w="99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区外</w:t>
                  </w:r>
                </w:p>
              </w:tc>
              <w:tc>
                <w:tcPr>
                  <w:tcW w:w="605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永安市、沙县、尤溪县、大田县、明溪县、清流县、宁化县、将乐县、泰宁县、建宁县等三明市非区内范围</w:t>
                  </w:r>
                </w:p>
              </w:tc>
            </w:tr>
            <w:tr>
              <w:tblPrEx>
                <w:tblCellMar>
                  <w:top w:w="0" w:type="dxa"/>
                  <w:left w:w="108" w:type="dxa"/>
                  <w:bottom w:w="0" w:type="dxa"/>
                  <w:right w:w="108" w:type="dxa"/>
                </w:tblCellMar>
              </w:tblPrEx>
              <w:trPr>
                <w:trHeight w:val="345" w:hRule="atLeast"/>
              </w:trPr>
              <w:tc>
                <w:tcPr>
                  <w:tcW w:w="1014" w:type="dxa"/>
                  <w:vMerge w:val="restart"/>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南平市</w:t>
                  </w:r>
                </w:p>
              </w:tc>
              <w:tc>
                <w:tcPr>
                  <w:tcW w:w="99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区内</w:t>
                  </w:r>
                </w:p>
              </w:tc>
              <w:tc>
                <w:tcPr>
                  <w:tcW w:w="605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延平区</w:t>
                  </w:r>
                </w:p>
              </w:tc>
            </w:tr>
            <w:tr>
              <w:tblPrEx>
                <w:tblCellMar>
                  <w:top w:w="0" w:type="dxa"/>
                  <w:left w:w="108" w:type="dxa"/>
                  <w:bottom w:w="0" w:type="dxa"/>
                  <w:right w:w="108" w:type="dxa"/>
                </w:tblCellMar>
              </w:tblPrEx>
              <w:trPr>
                <w:trHeight w:val="615" w:hRule="atLeast"/>
              </w:trPr>
              <w:tc>
                <w:tcPr>
                  <w:tcW w:w="1014"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color w:val="auto"/>
                      <w:sz w:val="21"/>
                      <w:szCs w:val="21"/>
                      <w:highlight w:val="none"/>
                    </w:rPr>
                  </w:pPr>
                </w:p>
              </w:tc>
              <w:tc>
                <w:tcPr>
                  <w:tcW w:w="99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区外</w:t>
                  </w:r>
                </w:p>
              </w:tc>
              <w:tc>
                <w:tcPr>
                  <w:tcW w:w="605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顺昌县、建瓯市、邵武市、建阳区、政和县、松溪县、浦城县、武夷山市、光泽县等南平市非区内范围</w:t>
                  </w:r>
                </w:p>
              </w:tc>
            </w:tr>
            <w:tr>
              <w:tblPrEx>
                <w:tblCellMar>
                  <w:top w:w="0" w:type="dxa"/>
                  <w:left w:w="108" w:type="dxa"/>
                  <w:bottom w:w="0" w:type="dxa"/>
                  <w:right w:w="108" w:type="dxa"/>
                </w:tblCellMar>
              </w:tblPrEx>
              <w:trPr>
                <w:trHeight w:val="375" w:hRule="atLeast"/>
              </w:trPr>
              <w:tc>
                <w:tcPr>
                  <w:tcW w:w="1014" w:type="dxa"/>
                  <w:vMerge w:val="restart"/>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宁德市</w:t>
                  </w:r>
                </w:p>
              </w:tc>
              <w:tc>
                <w:tcPr>
                  <w:tcW w:w="99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区内</w:t>
                  </w:r>
                </w:p>
              </w:tc>
              <w:tc>
                <w:tcPr>
                  <w:tcW w:w="605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蕉城区、东侨新区</w:t>
                  </w:r>
                </w:p>
              </w:tc>
            </w:tr>
            <w:tr>
              <w:tblPrEx>
                <w:tblCellMar>
                  <w:top w:w="0" w:type="dxa"/>
                  <w:left w:w="108" w:type="dxa"/>
                  <w:bottom w:w="0" w:type="dxa"/>
                  <w:right w:w="108" w:type="dxa"/>
                </w:tblCellMar>
              </w:tblPrEx>
              <w:trPr>
                <w:trHeight w:val="615" w:hRule="atLeast"/>
              </w:trPr>
              <w:tc>
                <w:tcPr>
                  <w:tcW w:w="1014"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color w:val="auto"/>
                      <w:sz w:val="21"/>
                      <w:szCs w:val="21"/>
                      <w:highlight w:val="none"/>
                    </w:rPr>
                  </w:pPr>
                </w:p>
              </w:tc>
              <w:tc>
                <w:tcPr>
                  <w:tcW w:w="99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区外</w:t>
                  </w:r>
                </w:p>
              </w:tc>
              <w:tc>
                <w:tcPr>
                  <w:tcW w:w="605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福安市、福鼎市、霞浦县、古田县、屏南县、寿宁县、周宁县、柘荣县等宁德市非区内范围</w:t>
                  </w:r>
                </w:p>
              </w:tc>
            </w:tr>
          </w:tbl>
          <w:p>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bCs/>
                <w:color w:val="auto"/>
                <w:sz w:val="21"/>
                <w:szCs w:val="21"/>
                <w:highlight w:val="none"/>
              </w:rPr>
            </w:pPr>
          </w:p>
        </w:tc>
      </w:tr>
    </w:tbl>
    <w:p>
      <w:pPr>
        <w:adjustRightInd w:val="0"/>
        <w:snapToGrid w:val="0"/>
        <w:spacing w:line="360" w:lineRule="auto"/>
        <w:ind w:firstLine="472" w:firstLineChars="196"/>
        <w:jc w:val="left"/>
        <w:rPr>
          <w:rFonts w:ascii="宋体" w:hAnsi="宋体"/>
          <w:b/>
          <w:color w:val="auto"/>
          <w:sz w:val="24"/>
          <w:szCs w:val="24"/>
          <w:highlight w:val="none"/>
        </w:rPr>
      </w:pPr>
    </w:p>
    <w:p>
      <w:pPr>
        <w:adjustRightInd w:val="0"/>
        <w:snapToGrid w:val="0"/>
        <w:spacing w:line="360" w:lineRule="auto"/>
        <w:ind w:firstLine="472" w:firstLineChars="196"/>
        <w:jc w:val="left"/>
        <w:rPr>
          <w:rFonts w:hint="eastAsia" w:ascii="宋体" w:hAnsi="宋体" w:cs="Times New Roman"/>
          <w:b/>
          <w:color w:val="auto"/>
          <w:sz w:val="24"/>
          <w:szCs w:val="24"/>
          <w:highlight w:val="none"/>
        </w:rPr>
      </w:pPr>
      <w:r>
        <w:rPr>
          <w:rFonts w:ascii="宋体" w:hAnsi="宋体" w:cs="Times New Roman"/>
          <w:b/>
          <w:color w:val="auto"/>
          <w:sz w:val="24"/>
          <w:szCs w:val="24"/>
          <w:highlight w:val="none"/>
        </w:rPr>
        <w:t>*</w:t>
      </w:r>
      <w:r>
        <w:rPr>
          <w:rFonts w:hint="eastAsia" w:ascii="宋体" w:hAnsi="宋体" w:cs="Times New Roman"/>
          <w:b/>
          <w:color w:val="auto"/>
          <w:sz w:val="24"/>
          <w:szCs w:val="24"/>
          <w:highlight w:val="none"/>
          <w:lang w:val="en-US" w:eastAsia="zh-CN"/>
        </w:rPr>
        <w:t>8</w:t>
      </w:r>
      <w:r>
        <w:rPr>
          <w:rFonts w:ascii="宋体" w:hAnsi="宋体" w:cs="Times New Roman"/>
          <w:b/>
          <w:color w:val="auto"/>
          <w:sz w:val="24"/>
          <w:szCs w:val="24"/>
          <w:highlight w:val="none"/>
        </w:rPr>
        <w:t>、投标人承诺若中标将无条件参与采购单位举办的壹年两次的政府大宗产品推介会，并且免费提供相应的中标机型作为样机展示，否则视为违约，投标人应按中标机型的中标单价向采购单位支付违约金，若投标人未向采购单位支付，则采购单位有权直接从履约保证金款项中直</w:t>
      </w:r>
      <w:r>
        <w:rPr>
          <w:rFonts w:hint="eastAsia" w:ascii="宋体" w:hAnsi="宋体" w:cs="Times New Roman"/>
          <w:b/>
          <w:color w:val="auto"/>
          <w:sz w:val="24"/>
          <w:szCs w:val="24"/>
          <w:highlight w:val="none"/>
        </w:rPr>
        <w:t>接给予扣除。</w:t>
      </w:r>
    </w:p>
    <w:p>
      <w:pPr>
        <w:adjustRightInd w:val="0"/>
        <w:snapToGrid w:val="0"/>
        <w:spacing w:line="360" w:lineRule="auto"/>
        <w:ind w:firstLine="472" w:firstLineChars="196"/>
        <w:jc w:val="left"/>
        <w:rPr>
          <w:rFonts w:ascii="宋体" w:hAnsi="宋体" w:cs="Times New Roman"/>
          <w:b/>
          <w:color w:val="auto"/>
          <w:sz w:val="24"/>
          <w:szCs w:val="24"/>
          <w:highlight w:val="none"/>
        </w:rPr>
      </w:pPr>
      <w:r>
        <w:rPr>
          <w:rFonts w:hint="eastAsia" w:ascii="宋体" w:hAnsi="宋体" w:cs="Times New Roman"/>
          <w:b/>
          <w:color w:val="auto"/>
          <w:sz w:val="24"/>
          <w:szCs w:val="24"/>
          <w:highlight w:val="none"/>
        </w:rPr>
        <w:t>*9、</w:t>
      </w:r>
      <w:r>
        <w:rPr>
          <w:rFonts w:hint="default" w:ascii="宋体" w:hAnsi="宋体" w:cs="Times New Roman"/>
          <w:b/>
          <w:color w:val="auto"/>
          <w:sz w:val="24"/>
          <w:szCs w:val="24"/>
          <w:highlight w:val="none"/>
        </w:rPr>
        <w:t>投标</w:t>
      </w:r>
      <w:r>
        <w:rPr>
          <w:rFonts w:hint="eastAsia" w:ascii="宋体" w:hAnsi="宋体" w:cs="Times New Roman"/>
          <w:b/>
          <w:color w:val="auto"/>
          <w:sz w:val="24"/>
          <w:szCs w:val="24"/>
          <w:highlight w:val="none"/>
          <w:lang w:eastAsia="zh-CN"/>
        </w:rPr>
        <w:t>人</w:t>
      </w:r>
      <w:r>
        <w:rPr>
          <w:rFonts w:ascii="宋体" w:hAnsi="宋体" w:cs="Times New Roman"/>
          <w:b/>
          <w:color w:val="auto"/>
          <w:sz w:val="24"/>
          <w:szCs w:val="24"/>
          <w:highlight w:val="none"/>
        </w:rPr>
        <w:t>承诺若中标</w:t>
      </w:r>
      <w:r>
        <w:rPr>
          <w:rFonts w:hint="eastAsia" w:ascii="宋体" w:hAnsi="宋体" w:cs="Times New Roman"/>
          <w:b/>
          <w:color w:val="auto"/>
          <w:sz w:val="24"/>
          <w:szCs w:val="24"/>
          <w:highlight w:val="none"/>
        </w:rPr>
        <w:t>，验收时（包括初验和最终验收），</w:t>
      </w:r>
      <w:r>
        <w:rPr>
          <w:rFonts w:hint="default" w:ascii="宋体" w:hAnsi="宋体" w:cs="Times New Roman"/>
          <w:b/>
          <w:color w:val="auto"/>
          <w:sz w:val="24"/>
          <w:szCs w:val="24"/>
          <w:highlight w:val="none"/>
        </w:rPr>
        <w:t>投标</w:t>
      </w:r>
      <w:r>
        <w:rPr>
          <w:rFonts w:hint="eastAsia" w:ascii="宋体" w:hAnsi="宋体" w:cs="Times New Roman"/>
          <w:b/>
          <w:color w:val="auto"/>
          <w:sz w:val="24"/>
          <w:szCs w:val="24"/>
          <w:highlight w:val="none"/>
          <w:lang w:eastAsia="zh-CN"/>
        </w:rPr>
        <w:t>人</w:t>
      </w:r>
      <w:r>
        <w:rPr>
          <w:rFonts w:hint="eastAsia" w:ascii="宋体" w:hAnsi="宋体" w:cs="Times New Roman"/>
          <w:b/>
          <w:color w:val="auto"/>
          <w:sz w:val="24"/>
          <w:szCs w:val="24"/>
          <w:highlight w:val="none"/>
        </w:rPr>
        <w:t>必须派代表参加并确认验收结果，否则视为</w:t>
      </w:r>
      <w:r>
        <w:rPr>
          <w:rFonts w:hint="default" w:ascii="宋体" w:hAnsi="宋体" w:cs="Times New Roman"/>
          <w:b/>
          <w:color w:val="auto"/>
          <w:sz w:val="24"/>
          <w:szCs w:val="24"/>
          <w:highlight w:val="none"/>
        </w:rPr>
        <w:t>投标</w:t>
      </w:r>
      <w:r>
        <w:rPr>
          <w:rFonts w:hint="eastAsia" w:ascii="宋体" w:hAnsi="宋体" w:cs="Times New Roman"/>
          <w:b/>
          <w:color w:val="auto"/>
          <w:sz w:val="24"/>
          <w:szCs w:val="24"/>
          <w:highlight w:val="none"/>
          <w:lang w:eastAsia="zh-CN"/>
        </w:rPr>
        <w:t>人</w:t>
      </w:r>
      <w:r>
        <w:rPr>
          <w:rFonts w:hint="eastAsia" w:ascii="宋体" w:hAnsi="宋体" w:cs="Times New Roman"/>
          <w:b/>
          <w:color w:val="auto"/>
          <w:sz w:val="24"/>
          <w:szCs w:val="24"/>
          <w:highlight w:val="none"/>
        </w:rPr>
        <w:t>对验收意见无异议。如该批次产品在最终验收时，出现开箱破损或者故障，无法进行最终验收的，</w:t>
      </w:r>
      <w:r>
        <w:rPr>
          <w:rFonts w:hint="default" w:ascii="宋体" w:hAnsi="宋体" w:cs="Times New Roman"/>
          <w:b/>
          <w:color w:val="auto"/>
          <w:sz w:val="24"/>
          <w:szCs w:val="24"/>
          <w:highlight w:val="none"/>
        </w:rPr>
        <w:t>投标</w:t>
      </w:r>
      <w:r>
        <w:rPr>
          <w:rFonts w:hint="eastAsia" w:ascii="宋体" w:hAnsi="宋体" w:cs="Times New Roman"/>
          <w:b/>
          <w:color w:val="auto"/>
          <w:sz w:val="24"/>
          <w:szCs w:val="24"/>
          <w:highlight w:val="none"/>
          <w:lang w:eastAsia="zh-CN"/>
        </w:rPr>
        <w:t>人</w:t>
      </w:r>
      <w:r>
        <w:rPr>
          <w:rFonts w:hint="eastAsia" w:ascii="宋体" w:hAnsi="宋体" w:cs="Times New Roman"/>
          <w:b/>
          <w:color w:val="auto"/>
          <w:sz w:val="24"/>
          <w:szCs w:val="24"/>
          <w:highlight w:val="none"/>
        </w:rPr>
        <w:t>无条件给予更换新机并保证最终验收的顺畅进行。若</w:t>
      </w:r>
      <w:r>
        <w:rPr>
          <w:rFonts w:hint="default" w:ascii="宋体" w:hAnsi="宋体" w:cs="Times New Roman"/>
          <w:b/>
          <w:color w:val="auto"/>
          <w:sz w:val="24"/>
          <w:szCs w:val="24"/>
          <w:highlight w:val="none"/>
        </w:rPr>
        <w:t>投标</w:t>
      </w:r>
      <w:r>
        <w:rPr>
          <w:rFonts w:hint="eastAsia" w:ascii="宋体" w:hAnsi="宋体" w:cs="Times New Roman"/>
          <w:b/>
          <w:color w:val="auto"/>
          <w:sz w:val="24"/>
          <w:szCs w:val="24"/>
          <w:highlight w:val="none"/>
          <w:lang w:eastAsia="zh-CN"/>
        </w:rPr>
        <w:t>人</w:t>
      </w:r>
      <w:r>
        <w:rPr>
          <w:rFonts w:hint="eastAsia" w:ascii="宋体" w:hAnsi="宋体" w:cs="Times New Roman"/>
          <w:b/>
          <w:color w:val="auto"/>
          <w:sz w:val="24"/>
          <w:szCs w:val="24"/>
          <w:highlight w:val="none"/>
        </w:rPr>
        <w:t>不同意更换新机或者配合，采购单位有权直接于中标供应商的履约保证金中扣除该批次产品及安装的等额费用，该条款可能造成的成本费用包含在</w:t>
      </w:r>
      <w:r>
        <w:rPr>
          <w:rFonts w:hint="default" w:ascii="宋体" w:hAnsi="宋体" w:cs="Times New Roman"/>
          <w:b/>
          <w:color w:val="auto"/>
          <w:sz w:val="24"/>
          <w:szCs w:val="24"/>
          <w:highlight w:val="none"/>
        </w:rPr>
        <w:t>投标</w:t>
      </w:r>
      <w:r>
        <w:rPr>
          <w:rFonts w:hint="eastAsia" w:ascii="宋体" w:hAnsi="宋体" w:cs="Times New Roman"/>
          <w:b/>
          <w:color w:val="auto"/>
          <w:sz w:val="24"/>
          <w:szCs w:val="24"/>
          <w:highlight w:val="none"/>
          <w:lang w:eastAsia="zh-CN"/>
        </w:rPr>
        <w:t>人</w:t>
      </w:r>
      <w:r>
        <w:rPr>
          <w:rFonts w:hint="eastAsia" w:ascii="宋体" w:hAnsi="宋体" w:cs="Times New Roman"/>
          <w:b/>
          <w:color w:val="auto"/>
          <w:sz w:val="24"/>
          <w:szCs w:val="24"/>
          <w:highlight w:val="none"/>
        </w:rPr>
        <w:t>的总报价中。</w:t>
      </w:r>
    </w:p>
    <w:p>
      <w:pPr>
        <w:adjustRightInd w:val="0"/>
        <w:snapToGrid w:val="0"/>
        <w:spacing w:line="360" w:lineRule="auto"/>
        <w:ind w:firstLine="472" w:firstLineChars="196"/>
        <w:jc w:val="left"/>
        <w:rPr>
          <w:rFonts w:hint="eastAsia" w:ascii="宋体" w:hAnsi="宋体" w:cs="Times New Roman"/>
          <w:b/>
          <w:color w:val="auto"/>
          <w:sz w:val="24"/>
          <w:szCs w:val="24"/>
          <w:highlight w:val="none"/>
        </w:rPr>
      </w:pPr>
      <w:r>
        <w:rPr>
          <w:rFonts w:hint="eastAsia" w:ascii="宋体" w:hAnsi="宋体" w:cs="Times New Roman"/>
          <w:b/>
          <w:color w:val="auto"/>
          <w:sz w:val="24"/>
          <w:szCs w:val="24"/>
          <w:highlight w:val="none"/>
        </w:rPr>
        <w:t>*</w:t>
      </w:r>
      <w:r>
        <w:rPr>
          <w:rFonts w:hint="eastAsia" w:ascii="宋体" w:hAnsi="宋体" w:cs="Times New Roman"/>
          <w:b/>
          <w:color w:val="auto"/>
          <w:sz w:val="24"/>
          <w:szCs w:val="24"/>
          <w:highlight w:val="none"/>
          <w:lang w:val="en-US" w:eastAsia="zh-CN"/>
        </w:rPr>
        <w:t>10</w:t>
      </w:r>
      <w:r>
        <w:rPr>
          <w:rFonts w:hint="eastAsia" w:ascii="宋体" w:hAnsi="宋体" w:cs="Times New Roman"/>
          <w:b/>
          <w:color w:val="auto"/>
          <w:sz w:val="24"/>
          <w:szCs w:val="24"/>
          <w:highlight w:val="none"/>
        </w:rPr>
        <w:t>、</w:t>
      </w:r>
      <w:r>
        <w:rPr>
          <w:rFonts w:hint="default" w:ascii="宋体" w:hAnsi="宋体" w:cs="Times New Roman"/>
          <w:b/>
          <w:color w:val="auto"/>
          <w:sz w:val="24"/>
          <w:szCs w:val="24"/>
          <w:highlight w:val="none"/>
        </w:rPr>
        <w:t>投标</w:t>
      </w:r>
      <w:r>
        <w:rPr>
          <w:rFonts w:hint="eastAsia" w:ascii="宋体" w:hAnsi="宋体" w:cs="Times New Roman"/>
          <w:b/>
          <w:color w:val="auto"/>
          <w:sz w:val="24"/>
          <w:szCs w:val="24"/>
          <w:highlight w:val="none"/>
          <w:lang w:eastAsia="zh-CN"/>
        </w:rPr>
        <w:t>人</w:t>
      </w:r>
      <w:r>
        <w:rPr>
          <w:rFonts w:hint="eastAsia" w:ascii="宋体" w:hAnsi="宋体" w:cs="Times New Roman"/>
          <w:b/>
          <w:color w:val="auto"/>
          <w:sz w:val="24"/>
          <w:szCs w:val="24"/>
          <w:highlight w:val="none"/>
        </w:rPr>
        <w:t>若中标，因</w:t>
      </w:r>
      <w:r>
        <w:rPr>
          <w:rFonts w:hint="default" w:ascii="宋体" w:hAnsi="宋体" w:cs="Times New Roman"/>
          <w:b/>
          <w:color w:val="auto"/>
          <w:sz w:val="24"/>
          <w:szCs w:val="24"/>
          <w:highlight w:val="none"/>
        </w:rPr>
        <w:t>投标</w:t>
      </w:r>
      <w:r>
        <w:rPr>
          <w:rFonts w:hint="eastAsia" w:ascii="宋体" w:hAnsi="宋体" w:cs="Times New Roman"/>
          <w:b/>
          <w:color w:val="auto"/>
          <w:sz w:val="24"/>
          <w:szCs w:val="24"/>
          <w:highlight w:val="none"/>
          <w:lang w:eastAsia="zh-CN"/>
        </w:rPr>
        <w:t>人</w:t>
      </w:r>
      <w:r>
        <w:rPr>
          <w:rFonts w:hint="eastAsia" w:ascii="宋体" w:hAnsi="宋体" w:cs="Times New Roman"/>
          <w:b/>
          <w:color w:val="auto"/>
          <w:sz w:val="24"/>
          <w:szCs w:val="24"/>
          <w:highlight w:val="none"/>
        </w:rPr>
        <w:t>产品给采购单位造成的客诉，若</w:t>
      </w:r>
      <w:r>
        <w:rPr>
          <w:rFonts w:hint="default" w:ascii="宋体" w:hAnsi="宋体" w:cs="Times New Roman"/>
          <w:b/>
          <w:color w:val="auto"/>
          <w:sz w:val="24"/>
          <w:szCs w:val="24"/>
          <w:highlight w:val="none"/>
        </w:rPr>
        <w:t>投标</w:t>
      </w:r>
      <w:r>
        <w:rPr>
          <w:rFonts w:hint="eastAsia" w:ascii="宋体" w:hAnsi="宋体" w:cs="Times New Roman"/>
          <w:b/>
          <w:color w:val="auto"/>
          <w:sz w:val="24"/>
          <w:szCs w:val="24"/>
          <w:highlight w:val="none"/>
          <w:lang w:eastAsia="zh-CN"/>
        </w:rPr>
        <w:t>人</w:t>
      </w:r>
      <w:r>
        <w:rPr>
          <w:rFonts w:hint="eastAsia" w:ascii="宋体" w:hAnsi="宋体" w:cs="Times New Roman"/>
          <w:b/>
          <w:color w:val="auto"/>
          <w:sz w:val="24"/>
          <w:szCs w:val="24"/>
          <w:highlight w:val="none"/>
        </w:rPr>
        <w:t>在接到采购单位通知后3个日历日内无法解决客诉，采购单位有权自行解决客诉，并直接于</w:t>
      </w:r>
      <w:r>
        <w:rPr>
          <w:rFonts w:hint="default" w:ascii="宋体" w:hAnsi="宋体" w:cs="Times New Roman"/>
          <w:b/>
          <w:color w:val="auto"/>
          <w:sz w:val="24"/>
          <w:szCs w:val="24"/>
          <w:highlight w:val="none"/>
        </w:rPr>
        <w:t>投标</w:t>
      </w:r>
      <w:r>
        <w:rPr>
          <w:rFonts w:hint="eastAsia" w:ascii="宋体" w:hAnsi="宋体" w:cs="Times New Roman"/>
          <w:b/>
          <w:color w:val="auto"/>
          <w:sz w:val="24"/>
          <w:szCs w:val="24"/>
          <w:highlight w:val="none"/>
          <w:lang w:eastAsia="zh-CN"/>
        </w:rPr>
        <w:t>人</w:t>
      </w:r>
      <w:r>
        <w:rPr>
          <w:rFonts w:hint="eastAsia" w:ascii="宋体" w:hAnsi="宋体" w:cs="Times New Roman"/>
          <w:b/>
          <w:color w:val="auto"/>
          <w:sz w:val="24"/>
          <w:szCs w:val="24"/>
          <w:highlight w:val="none"/>
        </w:rPr>
        <w:t>的履约保证金中扣除解决客诉所产生的费用。</w:t>
      </w:r>
    </w:p>
    <w:p>
      <w:pPr>
        <w:adjustRightInd w:val="0"/>
        <w:snapToGrid w:val="0"/>
        <w:spacing w:line="360" w:lineRule="auto"/>
        <w:ind w:firstLine="472" w:firstLineChars="196"/>
        <w:jc w:val="left"/>
        <w:rPr>
          <w:rFonts w:hint="eastAsia" w:ascii="宋体" w:hAnsi="宋体" w:cs="Times New Roman"/>
          <w:b/>
          <w:color w:val="auto"/>
          <w:sz w:val="24"/>
          <w:szCs w:val="24"/>
          <w:highlight w:val="none"/>
        </w:rPr>
      </w:pPr>
      <w:r>
        <w:rPr>
          <w:rFonts w:ascii="宋体" w:hAnsi="宋体" w:cs="Times New Roman"/>
          <w:b/>
          <w:color w:val="auto"/>
          <w:sz w:val="24"/>
          <w:szCs w:val="24"/>
          <w:highlight w:val="none"/>
        </w:rPr>
        <w:t>*</w:t>
      </w:r>
      <w:r>
        <w:rPr>
          <w:rFonts w:hint="eastAsia" w:ascii="宋体" w:hAnsi="宋体" w:cs="Times New Roman"/>
          <w:b/>
          <w:color w:val="auto"/>
          <w:sz w:val="24"/>
          <w:szCs w:val="24"/>
          <w:highlight w:val="none"/>
          <w:lang w:val="en-US" w:eastAsia="zh-CN"/>
        </w:rPr>
        <w:t>11、</w:t>
      </w:r>
      <w:r>
        <w:rPr>
          <w:rFonts w:hint="eastAsia" w:ascii="宋体" w:hAnsi="宋体" w:cs="Times New Roman"/>
          <w:b/>
          <w:color w:val="auto"/>
          <w:sz w:val="24"/>
          <w:szCs w:val="24"/>
          <w:highlight w:val="none"/>
        </w:rPr>
        <w:t>投标人须在投标文件中书面承诺：中标供应商不按采购合同履行的，采购单位有权与排位在中标供应商之后第一位的中标候选供应商签订采购合同，以此类推。并且，作为中标供应商之后第一位的中标候选供应商同意与采购单位在中标结果公示期结束后直接按其报价签订采购合同。</w:t>
      </w:r>
    </w:p>
    <w:p>
      <w:pPr>
        <w:adjustRightInd w:val="0"/>
        <w:snapToGrid w:val="0"/>
        <w:spacing w:line="360" w:lineRule="auto"/>
        <w:ind w:firstLine="472" w:firstLineChars="196"/>
        <w:jc w:val="left"/>
        <w:rPr>
          <w:rFonts w:ascii="宋体" w:hAnsi="宋体"/>
          <w:b/>
          <w:color w:val="auto"/>
          <w:sz w:val="24"/>
          <w:szCs w:val="24"/>
          <w:highlight w:val="none"/>
        </w:rPr>
      </w:pPr>
      <w:r>
        <w:rPr>
          <w:rFonts w:ascii="宋体" w:hAnsi="宋体" w:cs="Times New Roman"/>
          <w:b/>
          <w:color w:val="auto"/>
          <w:sz w:val="24"/>
          <w:szCs w:val="24"/>
          <w:highlight w:val="none"/>
        </w:rPr>
        <w:t>*</w:t>
      </w:r>
      <w:r>
        <w:rPr>
          <w:rFonts w:hint="eastAsia" w:ascii="宋体" w:hAnsi="宋体" w:cs="Times New Roman"/>
          <w:b/>
          <w:color w:val="auto"/>
          <w:sz w:val="24"/>
          <w:szCs w:val="24"/>
          <w:highlight w:val="none"/>
          <w:lang w:val="en-US" w:eastAsia="zh-CN"/>
        </w:rPr>
        <w:t>12、</w:t>
      </w:r>
      <w:r>
        <w:rPr>
          <w:rFonts w:ascii="宋体" w:hAnsi="宋体" w:cs="Times New Roman"/>
          <w:b/>
          <w:color w:val="auto"/>
          <w:sz w:val="24"/>
          <w:szCs w:val="24"/>
          <w:highlight w:val="none"/>
        </w:rPr>
        <w:t>投标人对合同条款的任何负偏离将导致废标。</w:t>
      </w:r>
    </w:p>
    <w:p>
      <w:pPr>
        <w:adjustRightInd w:val="0"/>
        <w:snapToGrid w:val="0"/>
        <w:spacing w:line="360" w:lineRule="auto"/>
        <w:ind w:firstLine="472" w:firstLineChars="196"/>
        <w:jc w:val="left"/>
        <w:rPr>
          <w:rFonts w:ascii="宋体" w:hAnsi="宋体"/>
          <w:b/>
          <w:color w:val="auto"/>
          <w:sz w:val="24"/>
          <w:szCs w:val="24"/>
          <w:highlight w:val="none"/>
        </w:rPr>
      </w:pPr>
      <w:r>
        <w:rPr>
          <w:rFonts w:ascii="宋体" w:hAnsi="宋体" w:cs="Times New Roman"/>
          <w:b/>
          <w:color w:val="auto"/>
          <w:sz w:val="24"/>
          <w:szCs w:val="24"/>
          <w:highlight w:val="none"/>
        </w:rPr>
        <w:t>*1</w:t>
      </w:r>
      <w:r>
        <w:rPr>
          <w:rFonts w:hint="eastAsia" w:ascii="宋体" w:hAnsi="宋体" w:cs="Times New Roman"/>
          <w:b/>
          <w:color w:val="auto"/>
          <w:sz w:val="24"/>
          <w:szCs w:val="24"/>
          <w:highlight w:val="none"/>
          <w:lang w:val="en-US" w:eastAsia="zh-CN"/>
        </w:rPr>
        <w:t>3</w:t>
      </w:r>
      <w:r>
        <w:rPr>
          <w:rFonts w:ascii="宋体" w:hAnsi="宋体" w:cs="Times New Roman"/>
          <w:b/>
          <w:color w:val="auto"/>
          <w:sz w:val="24"/>
          <w:szCs w:val="24"/>
          <w:highlight w:val="none"/>
        </w:rPr>
        <w:t>、对“一、</w:t>
      </w:r>
      <w:r>
        <w:rPr>
          <w:rFonts w:hint="eastAsia" w:ascii="宋体" w:hAnsi="宋体" w:cs="Times New Roman"/>
          <w:b/>
          <w:color w:val="auto"/>
          <w:sz w:val="24"/>
          <w:szCs w:val="24"/>
          <w:highlight w:val="none"/>
          <w:lang w:eastAsia="zh-CN"/>
        </w:rPr>
        <w:t>招标要求</w:t>
      </w:r>
      <w:r>
        <w:rPr>
          <w:rFonts w:ascii="宋体" w:hAnsi="宋体" w:cs="Times New Roman"/>
          <w:b/>
          <w:color w:val="auto"/>
          <w:sz w:val="24"/>
          <w:szCs w:val="24"/>
          <w:highlight w:val="none"/>
        </w:rPr>
        <w:t>”中带星号（“*”）的条款，投标人必须</w:t>
      </w:r>
      <w:r>
        <w:rPr>
          <w:rFonts w:hint="eastAsia" w:ascii="宋体" w:hAnsi="宋体" w:cs="宋体"/>
          <w:b/>
          <w:color w:val="auto"/>
          <w:sz w:val="24"/>
          <w:szCs w:val="24"/>
          <w:highlight w:val="none"/>
        </w:rPr>
        <w:t>在投标文件中提供产品宣传单页或产品说明书或厂家官网产品页截图（加盖投标人公章，若投标人为联合体投标的，联合体中的其中一方盖章即可。）。</w:t>
      </w:r>
    </w:p>
    <w:p>
      <w:pPr>
        <w:adjustRightInd w:val="0"/>
        <w:snapToGrid w:val="0"/>
        <w:spacing w:line="360" w:lineRule="auto"/>
        <w:ind w:firstLine="472" w:firstLineChars="196"/>
        <w:jc w:val="left"/>
        <w:rPr>
          <w:rFonts w:ascii="宋体" w:hAnsi="宋体" w:cs="宋体"/>
          <w:b/>
          <w:color w:val="auto"/>
          <w:sz w:val="24"/>
          <w:szCs w:val="24"/>
          <w:highlight w:val="none"/>
        </w:rPr>
      </w:pPr>
      <w:r>
        <w:rPr>
          <w:rFonts w:ascii="宋体" w:hAnsi="宋体" w:cs="宋体"/>
          <w:b/>
          <w:color w:val="auto"/>
          <w:sz w:val="24"/>
          <w:szCs w:val="24"/>
          <w:highlight w:val="none"/>
        </w:rPr>
        <w:t>*1</w:t>
      </w:r>
      <w:r>
        <w:rPr>
          <w:rFonts w:hint="eastAsia" w:ascii="宋体" w:hAnsi="宋体" w:cs="宋体"/>
          <w:b/>
          <w:color w:val="auto"/>
          <w:sz w:val="24"/>
          <w:szCs w:val="24"/>
          <w:highlight w:val="none"/>
          <w:lang w:val="en-US" w:eastAsia="zh-CN"/>
        </w:rPr>
        <w:t>4</w:t>
      </w:r>
      <w:r>
        <w:rPr>
          <w:rFonts w:ascii="宋体" w:hAnsi="宋体" w:cs="宋体"/>
          <w:b/>
          <w:color w:val="auto"/>
          <w:sz w:val="24"/>
          <w:szCs w:val="24"/>
          <w:highlight w:val="none"/>
        </w:rPr>
        <w:t>、凡属制造商的关联企业，其关联关系应符合《企业会计准则第36号——关联方披露（2006）》（财会[2006]3号）中“关联方关系”的要求，投标人应在投标文件中按后附格式提供《关联企业</w:t>
      </w:r>
      <w:r>
        <w:rPr>
          <w:rFonts w:hint="eastAsia" w:ascii="宋体" w:hAnsi="宋体" w:cs="宋体"/>
          <w:b/>
          <w:color w:val="auto"/>
          <w:sz w:val="24"/>
          <w:szCs w:val="24"/>
          <w:highlight w:val="none"/>
        </w:rPr>
        <w:t>证明》。</w:t>
      </w:r>
    </w:p>
    <w:p>
      <w:pPr>
        <w:spacing w:line="360" w:lineRule="auto"/>
        <w:rPr>
          <w:b/>
          <w:color w:val="auto"/>
          <w:sz w:val="24"/>
          <w:szCs w:val="24"/>
          <w:highlight w:val="none"/>
        </w:rPr>
      </w:pPr>
      <w:r>
        <w:rPr>
          <w:rFonts w:hint="eastAsia" w:ascii="Times New Roman" w:hAnsi="Times New Roman" w:cs="Times New Roman"/>
          <w:b/>
          <w:color w:val="auto"/>
          <w:sz w:val="24"/>
          <w:szCs w:val="24"/>
          <w:highlight w:val="none"/>
        </w:rPr>
        <w:t>附件：关联关系证明</w:t>
      </w:r>
    </w:p>
    <w:p>
      <w:pPr>
        <w:spacing w:line="360" w:lineRule="auto"/>
        <w:jc w:val="center"/>
        <w:rPr>
          <w:b/>
          <w:color w:val="auto"/>
          <w:sz w:val="24"/>
          <w:szCs w:val="24"/>
          <w:highlight w:val="none"/>
        </w:rPr>
      </w:pPr>
      <w:r>
        <w:rPr>
          <w:rFonts w:hint="eastAsia" w:ascii="Times New Roman" w:hAnsi="Times New Roman" w:cs="Times New Roman"/>
          <w:b/>
          <w:color w:val="auto"/>
          <w:sz w:val="24"/>
          <w:szCs w:val="24"/>
          <w:highlight w:val="none"/>
        </w:rPr>
        <w:t>关联企业证明</w:t>
      </w:r>
    </w:p>
    <w:p>
      <w:pPr>
        <w:spacing w:line="360" w:lineRule="auto"/>
        <w:rPr>
          <w:b/>
          <w:color w:val="auto"/>
          <w:sz w:val="24"/>
          <w:szCs w:val="24"/>
          <w:highlight w:val="none"/>
        </w:rPr>
      </w:pPr>
      <w:r>
        <w:rPr>
          <w:rFonts w:hint="eastAsia" w:ascii="Times New Roman" w:hAnsi="Times New Roman" w:cs="Times New Roman"/>
          <w:b/>
          <w:color w:val="auto"/>
          <w:sz w:val="24"/>
          <w:szCs w:val="24"/>
          <w:highlight w:val="none"/>
        </w:rPr>
        <w:t>致：</w:t>
      </w:r>
      <w:r>
        <w:rPr>
          <w:rFonts w:ascii="Times New Roman" w:hAnsi="Times New Roman" w:cs="Times New Roman"/>
          <w:b/>
          <w:color w:val="auto"/>
          <w:sz w:val="24"/>
          <w:szCs w:val="24"/>
          <w:highlight w:val="none"/>
          <w:u w:val="single"/>
        </w:rPr>
        <w:t xml:space="preserve">  </w:t>
      </w:r>
      <w:r>
        <w:rPr>
          <w:rFonts w:hint="eastAsia" w:ascii="Times New Roman" w:hAnsi="Times New Roman" w:cs="Times New Roman"/>
          <w:b/>
          <w:color w:val="auto"/>
          <w:sz w:val="24"/>
          <w:szCs w:val="24"/>
          <w:highlight w:val="none"/>
          <w:u w:val="single"/>
        </w:rPr>
        <w:t>（采购代理机构）</w:t>
      </w:r>
      <w:r>
        <w:rPr>
          <w:rFonts w:ascii="Times New Roman" w:hAnsi="Times New Roman" w:cs="Times New Roman"/>
          <w:b/>
          <w:color w:val="auto"/>
          <w:sz w:val="24"/>
          <w:szCs w:val="24"/>
          <w:highlight w:val="none"/>
          <w:u w:val="single"/>
        </w:rPr>
        <w:t xml:space="preserve">  </w:t>
      </w:r>
    </w:p>
    <w:p>
      <w:pPr>
        <w:spacing w:line="360" w:lineRule="auto"/>
        <w:ind w:firstLine="482" w:firstLineChars="200"/>
        <w:rPr>
          <w:b/>
          <w:color w:val="auto"/>
          <w:sz w:val="24"/>
          <w:szCs w:val="24"/>
          <w:highlight w:val="none"/>
        </w:rPr>
      </w:pPr>
      <w:r>
        <w:rPr>
          <w:rFonts w:ascii="Times New Roman" w:hAnsi="Times New Roman" w:cs="Times New Roman"/>
          <w:b/>
          <w:color w:val="auto"/>
          <w:sz w:val="24"/>
          <w:szCs w:val="24"/>
          <w:highlight w:val="none"/>
          <w:u w:val="single"/>
        </w:rPr>
        <w:t xml:space="preserve">  </w:t>
      </w:r>
      <w:r>
        <w:rPr>
          <w:rFonts w:hint="eastAsia" w:ascii="Times New Roman" w:hAnsi="Times New Roman" w:cs="Times New Roman"/>
          <w:b/>
          <w:color w:val="auto"/>
          <w:sz w:val="24"/>
          <w:szCs w:val="24"/>
          <w:highlight w:val="none"/>
          <w:u w:val="single"/>
        </w:rPr>
        <w:t>（制造商或制造商关联企业名称）</w:t>
      </w:r>
      <w:r>
        <w:rPr>
          <w:rFonts w:ascii="Times New Roman" w:hAnsi="Times New Roman" w:cs="Times New Roman"/>
          <w:b/>
          <w:color w:val="auto"/>
          <w:sz w:val="24"/>
          <w:szCs w:val="24"/>
          <w:highlight w:val="none"/>
          <w:u w:val="single"/>
        </w:rPr>
        <w:t xml:space="preserve">  </w:t>
      </w:r>
      <w:r>
        <w:rPr>
          <w:rFonts w:hint="eastAsia" w:ascii="Times New Roman" w:hAnsi="Times New Roman" w:cs="Times New Roman"/>
          <w:b/>
          <w:color w:val="auto"/>
          <w:sz w:val="24"/>
          <w:szCs w:val="24"/>
          <w:highlight w:val="none"/>
        </w:rPr>
        <w:t>现在此声明，根据本项目招标文件的要求</w:t>
      </w:r>
      <w:r>
        <w:rPr>
          <w:rFonts w:ascii="Times New Roman" w:hAnsi="Times New Roman" w:cs="Times New Roman"/>
          <w:b/>
          <w:color w:val="auto"/>
          <w:sz w:val="24"/>
          <w:szCs w:val="24"/>
          <w:highlight w:val="none"/>
          <w:u w:val="single"/>
        </w:rPr>
        <w:t xml:space="preserve">  </w:t>
      </w:r>
      <w:r>
        <w:rPr>
          <w:rFonts w:hint="eastAsia" w:ascii="Times New Roman" w:hAnsi="Times New Roman" w:cs="Times New Roman"/>
          <w:b/>
          <w:color w:val="auto"/>
          <w:sz w:val="24"/>
          <w:szCs w:val="24"/>
          <w:highlight w:val="none"/>
          <w:u w:val="single"/>
        </w:rPr>
        <w:t>（制造商关联企业名称）</w:t>
      </w:r>
      <w:r>
        <w:rPr>
          <w:rFonts w:ascii="Times New Roman" w:hAnsi="Times New Roman" w:cs="Times New Roman"/>
          <w:b/>
          <w:color w:val="auto"/>
          <w:sz w:val="24"/>
          <w:szCs w:val="24"/>
          <w:highlight w:val="none"/>
          <w:u w:val="single"/>
        </w:rPr>
        <w:t xml:space="preserve"> </w:t>
      </w:r>
      <w:r>
        <w:rPr>
          <w:rFonts w:hint="eastAsia" w:ascii="Times New Roman" w:hAnsi="Times New Roman" w:cs="Times New Roman"/>
          <w:b/>
          <w:color w:val="auto"/>
          <w:sz w:val="24"/>
          <w:szCs w:val="24"/>
          <w:highlight w:val="none"/>
          <w:u w:val="single"/>
        </w:rPr>
        <w:t>是</w:t>
      </w:r>
      <w:r>
        <w:rPr>
          <w:rFonts w:ascii="Times New Roman" w:hAnsi="Times New Roman" w:cs="Times New Roman"/>
          <w:b/>
          <w:color w:val="auto"/>
          <w:sz w:val="24"/>
          <w:szCs w:val="24"/>
          <w:highlight w:val="none"/>
          <w:u w:val="single"/>
        </w:rPr>
        <w:t xml:space="preserve">  </w:t>
      </w:r>
      <w:r>
        <w:rPr>
          <w:rFonts w:hint="eastAsia" w:ascii="Times New Roman" w:hAnsi="Times New Roman" w:cs="Times New Roman"/>
          <w:b/>
          <w:color w:val="auto"/>
          <w:sz w:val="24"/>
          <w:szCs w:val="24"/>
          <w:highlight w:val="none"/>
          <w:u w:val="single"/>
        </w:rPr>
        <w:t>（制造商名称）</w:t>
      </w:r>
      <w:r>
        <w:rPr>
          <w:rFonts w:ascii="Times New Roman" w:hAnsi="Times New Roman" w:cs="Times New Roman"/>
          <w:b/>
          <w:color w:val="auto"/>
          <w:sz w:val="24"/>
          <w:szCs w:val="24"/>
          <w:highlight w:val="none"/>
          <w:u w:val="single"/>
        </w:rPr>
        <w:t xml:space="preserve"> </w:t>
      </w:r>
      <w:r>
        <w:rPr>
          <w:rFonts w:hint="eastAsia" w:ascii="Times New Roman" w:hAnsi="Times New Roman" w:cs="Times New Roman"/>
          <w:b/>
          <w:color w:val="auto"/>
          <w:sz w:val="24"/>
          <w:szCs w:val="24"/>
          <w:highlight w:val="none"/>
        </w:rPr>
        <w:t>的关联企业，</w:t>
      </w:r>
    </w:p>
    <w:p>
      <w:pPr>
        <w:spacing w:line="360" w:lineRule="auto"/>
        <w:ind w:firstLine="482" w:firstLineChars="200"/>
        <w:rPr>
          <w:b/>
          <w:color w:val="auto"/>
          <w:sz w:val="24"/>
          <w:szCs w:val="24"/>
          <w:highlight w:val="none"/>
        </w:rPr>
      </w:pPr>
      <w:r>
        <w:rPr>
          <w:rFonts w:hint="eastAsia" w:ascii="Times New Roman" w:hAnsi="Times New Roman" w:cs="Times New Roman"/>
          <w:b/>
          <w:color w:val="auto"/>
          <w:sz w:val="24"/>
          <w:szCs w:val="24"/>
          <w:highlight w:val="none"/>
        </w:rPr>
        <w:t>特此证明。</w:t>
      </w:r>
    </w:p>
    <w:p>
      <w:pPr>
        <w:spacing w:line="360" w:lineRule="auto"/>
        <w:ind w:firstLine="482" w:firstLineChars="200"/>
        <w:rPr>
          <w:b/>
          <w:color w:val="auto"/>
          <w:sz w:val="24"/>
          <w:szCs w:val="24"/>
          <w:highlight w:val="none"/>
        </w:rPr>
      </w:pPr>
    </w:p>
    <w:p>
      <w:pPr>
        <w:spacing w:line="360" w:lineRule="auto"/>
        <w:ind w:firstLine="482" w:firstLineChars="200"/>
        <w:rPr>
          <w:b/>
          <w:color w:val="auto"/>
          <w:sz w:val="24"/>
          <w:szCs w:val="24"/>
          <w:highlight w:val="none"/>
          <w:u w:val="single"/>
        </w:rPr>
      </w:pPr>
      <w:r>
        <w:rPr>
          <w:rFonts w:hint="eastAsia" w:ascii="Times New Roman" w:hAnsi="Times New Roman" w:cs="Times New Roman"/>
          <w:b/>
          <w:color w:val="auto"/>
          <w:sz w:val="24"/>
          <w:szCs w:val="24"/>
          <w:highlight w:val="none"/>
        </w:rPr>
        <w:t>制造商或制造商关联企业名称</w:t>
      </w:r>
      <w:r>
        <w:rPr>
          <w:rFonts w:hint="eastAsia" w:ascii="Times New Roman" w:hAnsi="Times New Roman" w:cs="Times New Roman"/>
          <w:b/>
          <w:color w:val="auto"/>
          <w:sz w:val="24"/>
          <w:szCs w:val="24"/>
          <w:highlight w:val="none"/>
          <w:u w:val="single"/>
        </w:rPr>
        <w:t>：</w:t>
      </w:r>
      <w:r>
        <w:rPr>
          <w:rFonts w:ascii="Times New Roman" w:hAnsi="Times New Roman" w:cs="Times New Roman"/>
          <w:b/>
          <w:color w:val="auto"/>
          <w:sz w:val="24"/>
          <w:szCs w:val="24"/>
          <w:highlight w:val="none"/>
          <w:u w:val="single"/>
        </w:rPr>
        <w:t xml:space="preserve">                            </w:t>
      </w:r>
    </w:p>
    <w:p>
      <w:pPr>
        <w:spacing w:line="360" w:lineRule="auto"/>
        <w:ind w:firstLine="482" w:firstLineChars="200"/>
        <w:rPr>
          <w:b/>
          <w:color w:val="auto"/>
          <w:sz w:val="24"/>
          <w:szCs w:val="24"/>
          <w:highlight w:val="none"/>
        </w:rPr>
      </w:pPr>
      <w:r>
        <w:rPr>
          <w:rFonts w:ascii="Times New Roman" w:hAnsi="Times New Roman" w:cs="Times New Roman"/>
          <w:b/>
          <w:color w:val="auto"/>
          <w:sz w:val="24"/>
          <w:szCs w:val="24"/>
          <w:highlight w:val="none"/>
        </w:rPr>
        <w:t xml:space="preserve">      </w:t>
      </w:r>
      <w:r>
        <w:rPr>
          <w:rFonts w:hint="eastAsia" w:ascii="Times New Roman" w:hAnsi="Times New Roman" w:cs="Times New Roman"/>
          <w:b/>
          <w:color w:val="auto"/>
          <w:sz w:val="24"/>
          <w:szCs w:val="24"/>
          <w:highlight w:val="none"/>
        </w:rPr>
        <w:t>（盖章）</w:t>
      </w:r>
      <w:r>
        <w:rPr>
          <w:rFonts w:ascii="Times New Roman" w:hAnsi="Times New Roman" w:cs="Times New Roman"/>
          <w:b/>
          <w:color w:val="auto"/>
          <w:sz w:val="24"/>
          <w:szCs w:val="24"/>
          <w:highlight w:val="none"/>
        </w:rPr>
        <w:t xml:space="preserve">                       </w:t>
      </w:r>
      <w:r>
        <w:rPr>
          <w:rFonts w:hint="eastAsia" w:ascii="Times New Roman" w:hAnsi="Times New Roman" w:cs="Times New Roman"/>
          <w:b/>
          <w:color w:val="auto"/>
          <w:sz w:val="24"/>
          <w:szCs w:val="24"/>
          <w:highlight w:val="none"/>
        </w:rPr>
        <w:t>日期：</w:t>
      </w:r>
    </w:p>
    <w:p>
      <w:pPr>
        <w:spacing w:line="360" w:lineRule="auto"/>
        <w:ind w:firstLine="482" w:firstLineChars="200"/>
        <w:rPr>
          <w:rFonts w:ascii="宋体" w:hAnsi="宋体"/>
          <w:b/>
          <w:color w:val="auto"/>
          <w:sz w:val="24"/>
          <w:szCs w:val="24"/>
          <w:highlight w:val="none"/>
        </w:rPr>
      </w:pPr>
    </w:p>
    <w:p>
      <w:pPr>
        <w:spacing w:line="360" w:lineRule="auto"/>
        <w:ind w:firstLine="482" w:firstLineChars="200"/>
        <w:rPr>
          <w:rFonts w:ascii="宋体" w:hAnsi="宋体"/>
          <w:b/>
          <w:color w:val="auto"/>
          <w:sz w:val="24"/>
          <w:szCs w:val="24"/>
          <w:highlight w:val="none"/>
        </w:rPr>
      </w:pPr>
      <w:r>
        <w:rPr>
          <w:rFonts w:ascii="宋体" w:hAnsi="宋体" w:cs="Times New Roman"/>
          <w:b/>
          <w:color w:val="auto"/>
          <w:sz w:val="24"/>
          <w:szCs w:val="24"/>
          <w:highlight w:val="none"/>
        </w:rPr>
        <w:t>*1</w:t>
      </w:r>
      <w:r>
        <w:rPr>
          <w:rFonts w:hint="eastAsia" w:ascii="宋体" w:hAnsi="宋体" w:cs="Times New Roman"/>
          <w:b/>
          <w:color w:val="auto"/>
          <w:sz w:val="24"/>
          <w:szCs w:val="24"/>
          <w:highlight w:val="none"/>
          <w:lang w:val="en-US" w:eastAsia="zh-CN"/>
        </w:rPr>
        <w:t>5</w:t>
      </w:r>
      <w:r>
        <w:rPr>
          <w:rFonts w:ascii="宋体" w:hAnsi="宋体" w:cs="Times New Roman"/>
          <w:b/>
          <w:color w:val="auto"/>
          <w:sz w:val="24"/>
          <w:szCs w:val="24"/>
          <w:highlight w:val="none"/>
        </w:rPr>
        <w:t>、投标人所投标设备应符合国家强制性产品认证标准的要求，获得CCC认证证书，并在投标文件中提供CCC认证证书的复印件。</w:t>
      </w:r>
    </w:p>
    <w:p>
      <w:pPr>
        <w:spacing w:line="360" w:lineRule="auto"/>
        <w:ind w:firstLine="482" w:firstLineChars="200"/>
        <w:rPr>
          <w:rFonts w:hint="eastAsia" w:ascii="宋体" w:hAnsi="宋体" w:cs="Times New Roman"/>
          <w:b/>
          <w:color w:val="auto"/>
          <w:sz w:val="24"/>
          <w:szCs w:val="24"/>
          <w:highlight w:val="none"/>
        </w:rPr>
      </w:pPr>
      <w:r>
        <w:rPr>
          <w:rFonts w:ascii="宋体" w:hAnsi="宋体" w:cs="Times New Roman"/>
          <w:b/>
          <w:color w:val="auto"/>
          <w:sz w:val="24"/>
          <w:szCs w:val="24"/>
          <w:highlight w:val="none"/>
        </w:rPr>
        <w:t>*1</w:t>
      </w:r>
      <w:r>
        <w:rPr>
          <w:rFonts w:hint="eastAsia" w:ascii="宋体" w:hAnsi="宋体" w:cs="Times New Roman"/>
          <w:b/>
          <w:color w:val="auto"/>
          <w:sz w:val="24"/>
          <w:szCs w:val="24"/>
          <w:highlight w:val="none"/>
          <w:lang w:val="en-US" w:eastAsia="zh-CN"/>
        </w:rPr>
        <w:t>6</w:t>
      </w:r>
      <w:r>
        <w:rPr>
          <w:rFonts w:ascii="宋体" w:hAnsi="宋体" w:cs="Times New Roman"/>
          <w:b/>
          <w:color w:val="auto"/>
          <w:sz w:val="24"/>
          <w:szCs w:val="24"/>
          <w:highlight w:val="none"/>
        </w:rPr>
        <w:t>、所投产品必须获得政府采购节能产品认证（激光打印机类）。投标人应在投标文件中提供其所投产品节能证书复印件</w:t>
      </w:r>
      <w:r>
        <w:rPr>
          <w:rFonts w:hint="eastAsia" w:ascii="宋体" w:hAnsi="宋体" w:cs="Times New Roman"/>
          <w:b/>
          <w:color w:val="auto"/>
          <w:sz w:val="24"/>
          <w:szCs w:val="24"/>
          <w:highlight w:val="none"/>
        </w:rPr>
        <w:t>（加盖投标人公章）。</w:t>
      </w:r>
    </w:p>
    <w:p>
      <w:pPr>
        <w:numPr>
          <w:ilvl w:val="-1"/>
          <w:numId w:val="0"/>
        </w:numPr>
        <w:spacing w:line="360" w:lineRule="auto"/>
        <w:ind w:firstLine="0" w:firstLineChars="0"/>
        <w:rPr>
          <w:rFonts w:hint="eastAsia" w:ascii="宋体" w:hAnsi="宋体"/>
          <w:b w:val="0"/>
          <w:bCs/>
          <w:color w:val="auto"/>
          <w:sz w:val="24"/>
          <w:szCs w:val="24"/>
          <w:highlight w:val="none"/>
        </w:rPr>
      </w:pPr>
      <w:r>
        <w:rPr>
          <w:rFonts w:hint="default" w:ascii="宋体" w:hAnsi="宋体"/>
          <w:b w:val="0"/>
          <w:bCs/>
          <w:color w:val="auto"/>
          <w:sz w:val="24"/>
          <w:szCs w:val="24"/>
          <w:highlight w:val="none"/>
        </w:rPr>
        <w:t xml:space="preserve">    17、</w:t>
      </w:r>
      <w:r>
        <w:rPr>
          <w:rFonts w:hint="eastAsia" w:ascii="宋体" w:hAnsi="宋体"/>
          <w:b w:val="0"/>
          <w:bCs/>
          <w:color w:val="auto"/>
          <w:sz w:val="24"/>
          <w:szCs w:val="24"/>
          <w:highlight w:val="none"/>
        </w:rPr>
        <w:t>投标人应当遵循诚实信用原则，不得作虚假承诺，投标人承诺不实的，属于提供虚假材料谋取中标、成交，应依法承担相应的法律责任。投标人提供虚假</w:t>
      </w:r>
      <w:r>
        <w:rPr>
          <w:rFonts w:hint="eastAsia" w:ascii="宋体" w:hAnsi="宋体"/>
          <w:b w:val="0"/>
          <w:bCs/>
          <w:color w:val="auto"/>
          <w:sz w:val="24"/>
          <w:szCs w:val="24"/>
          <w:highlight w:val="none"/>
          <w:lang w:eastAsia="zh-CN"/>
        </w:rPr>
        <w:t>材料</w:t>
      </w:r>
      <w:r>
        <w:rPr>
          <w:rFonts w:hint="eastAsia" w:ascii="宋体" w:hAnsi="宋体"/>
          <w:b w:val="0"/>
          <w:bCs/>
          <w:color w:val="auto"/>
          <w:sz w:val="24"/>
          <w:szCs w:val="24"/>
          <w:highlight w:val="none"/>
        </w:rPr>
        <w:t>，在评审过程中发现的，按无效投标处理，投标保证金不予退还；已取得中标资格的，无论该行为是否影响中标，均取消其中标资格，投标保证金、代理服务费不予退还，该投标人还应承担由此引起的其他经济、法律责任。出现此种情形时，采购人、招标代理机构将有关情况上报政府采购监管部门，由监管部门按有关规定对其进行相应处罚。采购人、招标代理机构有权上报财政部门，建议财政部门将该投标人列入不良行为记录名单，在一至三年内禁止该投标人参加政府采购活动并予以通报。</w:t>
      </w:r>
    </w:p>
    <w:p>
      <w:pPr>
        <w:spacing w:line="420" w:lineRule="auto"/>
        <w:rPr>
          <w:b/>
          <w:color w:val="auto"/>
          <w:sz w:val="28"/>
          <w:szCs w:val="28"/>
          <w:highlight w:val="none"/>
        </w:rPr>
      </w:pPr>
      <w:r>
        <w:rPr>
          <w:rFonts w:hint="eastAsia" w:cs="Times New Roman"/>
          <w:b/>
          <w:color w:val="auto"/>
          <w:sz w:val="28"/>
          <w:szCs w:val="28"/>
          <w:highlight w:val="none"/>
          <w:lang w:eastAsia="zh-CN"/>
        </w:rPr>
        <w:t>五</w:t>
      </w:r>
      <w:r>
        <w:rPr>
          <w:rFonts w:hint="eastAsia" w:ascii="Times New Roman" w:hAnsi="Times New Roman" w:cs="Times New Roman"/>
          <w:b/>
          <w:color w:val="auto"/>
          <w:sz w:val="28"/>
          <w:szCs w:val="28"/>
          <w:highlight w:val="none"/>
        </w:rPr>
        <w:t>、付款方式</w:t>
      </w:r>
    </w:p>
    <w:p>
      <w:pPr>
        <w:spacing w:line="360" w:lineRule="auto"/>
        <w:ind w:firstLine="482" w:firstLineChars="200"/>
        <w:rPr>
          <w:rFonts w:ascii="宋体" w:hAnsi="宋体"/>
          <w:b/>
          <w:color w:val="auto"/>
          <w:sz w:val="24"/>
          <w:szCs w:val="24"/>
          <w:highlight w:val="none"/>
        </w:rPr>
      </w:pPr>
      <w:r>
        <w:rPr>
          <w:rFonts w:hint="eastAsia" w:ascii="宋体" w:hAnsi="宋体" w:cs="宋体"/>
          <w:b/>
          <w:color w:val="auto"/>
          <w:sz w:val="24"/>
          <w:szCs w:val="24"/>
          <w:highlight w:val="none"/>
        </w:rPr>
        <w:t>投标人</w:t>
      </w:r>
      <w:r>
        <w:rPr>
          <w:rFonts w:hint="eastAsia" w:ascii="宋体" w:hAnsi="宋体" w:cs="Times New Roman"/>
          <w:b/>
          <w:color w:val="auto"/>
          <w:sz w:val="24"/>
          <w:szCs w:val="24"/>
          <w:highlight w:val="none"/>
        </w:rPr>
        <w:t>须对以下条款承诺：</w:t>
      </w:r>
    </w:p>
    <w:p>
      <w:pPr>
        <w:spacing w:line="360" w:lineRule="auto"/>
        <w:ind w:firstLine="482" w:firstLineChars="200"/>
        <w:rPr>
          <w:rFonts w:hint="eastAsia" w:ascii="宋体" w:hAnsi="宋体" w:cs="Times New Roman"/>
          <w:b/>
          <w:color w:val="auto"/>
          <w:sz w:val="24"/>
          <w:szCs w:val="24"/>
          <w:highlight w:val="none"/>
        </w:rPr>
      </w:pPr>
      <w:r>
        <w:rPr>
          <w:rFonts w:ascii="宋体" w:hAnsi="宋体" w:cs="Times New Roman"/>
          <w:b/>
          <w:color w:val="auto"/>
          <w:sz w:val="24"/>
          <w:szCs w:val="24"/>
          <w:highlight w:val="none"/>
        </w:rPr>
        <w:t>*1、</w:t>
      </w:r>
      <w:r>
        <w:rPr>
          <w:rFonts w:hint="eastAsia" w:ascii="宋体" w:hAnsi="宋体" w:eastAsia="宋体" w:cs="宋体"/>
          <w:b/>
          <w:color w:val="auto"/>
          <w:sz w:val="24"/>
          <w:szCs w:val="24"/>
          <w:highlight w:val="none"/>
        </w:rPr>
        <w:t>中标供应商</w:t>
      </w:r>
      <w:r>
        <w:rPr>
          <w:rFonts w:ascii="宋体" w:hAnsi="宋体" w:cs="Times New Roman"/>
          <w:b/>
          <w:color w:val="auto"/>
          <w:sz w:val="24"/>
          <w:szCs w:val="24"/>
          <w:highlight w:val="none"/>
        </w:rPr>
        <w:t>应</w:t>
      </w:r>
      <w:r>
        <w:rPr>
          <w:rFonts w:hint="eastAsia" w:ascii="宋体" w:hAnsi="宋体" w:cs="Times New Roman"/>
          <w:b/>
          <w:color w:val="auto"/>
          <w:sz w:val="24"/>
          <w:szCs w:val="24"/>
          <w:highlight w:val="none"/>
        </w:rPr>
        <w:t>在合同签订之日起7个日历日内向采购单位缴交合同总金额</w:t>
      </w:r>
      <w:r>
        <w:rPr>
          <w:rFonts w:hint="eastAsia" w:ascii="宋体" w:hAnsi="宋体" w:cs="Times New Roman"/>
          <w:b/>
          <w:color w:val="auto"/>
          <w:sz w:val="24"/>
          <w:szCs w:val="24"/>
          <w:highlight w:val="none"/>
          <w:lang w:val="en-US" w:eastAsia="zh-CN"/>
        </w:rPr>
        <w:t>2</w:t>
      </w:r>
      <w:r>
        <w:rPr>
          <w:rFonts w:hint="eastAsia" w:ascii="宋体" w:hAnsi="宋体" w:cs="Times New Roman"/>
          <w:b/>
          <w:color w:val="auto"/>
          <w:sz w:val="24"/>
          <w:szCs w:val="24"/>
          <w:highlight w:val="none"/>
        </w:rPr>
        <w:t>%的供货履约保证金及合同总金额</w:t>
      </w:r>
      <w:r>
        <w:rPr>
          <w:rFonts w:hint="eastAsia" w:ascii="宋体" w:hAnsi="宋体" w:cs="Times New Roman"/>
          <w:b/>
          <w:color w:val="auto"/>
          <w:sz w:val="24"/>
          <w:szCs w:val="24"/>
          <w:highlight w:val="none"/>
          <w:lang w:val="en-US" w:eastAsia="zh-CN"/>
        </w:rPr>
        <w:t>3</w:t>
      </w:r>
      <w:r>
        <w:rPr>
          <w:rFonts w:hint="eastAsia" w:ascii="宋体" w:hAnsi="宋体" w:cs="Times New Roman"/>
          <w:b/>
          <w:color w:val="auto"/>
          <w:sz w:val="24"/>
          <w:szCs w:val="24"/>
          <w:highlight w:val="none"/>
        </w:rPr>
        <w:t>%的服务履约保证金。供货履约保证金，采购单位于本合同有效期满且最后一批次货物供货完成后</w:t>
      </w:r>
      <w:r>
        <w:rPr>
          <w:rFonts w:hint="eastAsia" w:ascii="宋体" w:hAnsi="宋体" w:cs="Times New Roman"/>
          <w:b/>
          <w:color w:val="auto"/>
          <w:sz w:val="24"/>
          <w:szCs w:val="24"/>
          <w:highlight w:val="none"/>
          <w:lang w:val="en-US" w:eastAsia="zh-CN"/>
        </w:rPr>
        <w:t>2</w:t>
      </w:r>
      <w:r>
        <w:rPr>
          <w:rFonts w:ascii="宋体" w:hAnsi="宋体" w:cs="Times New Roman"/>
          <w:b/>
          <w:color w:val="auto"/>
          <w:sz w:val="24"/>
          <w:szCs w:val="24"/>
          <w:highlight w:val="none"/>
        </w:rPr>
        <w:t>0</w:t>
      </w:r>
      <w:r>
        <w:rPr>
          <w:rFonts w:hint="eastAsia" w:ascii="宋体" w:hAnsi="宋体" w:cs="Times New Roman"/>
          <w:b/>
          <w:color w:val="auto"/>
          <w:sz w:val="24"/>
          <w:szCs w:val="24"/>
          <w:highlight w:val="none"/>
        </w:rPr>
        <w:t>个工作日内一次性无息支付给</w:t>
      </w:r>
      <w:r>
        <w:rPr>
          <w:rFonts w:hint="eastAsia" w:ascii="宋体" w:hAnsi="宋体" w:eastAsia="宋体" w:cs="宋体"/>
          <w:b/>
          <w:color w:val="auto"/>
          <w:sz w:val="24"/>
          <w:szCs w:val="24"/>
          <w:highlight w:val="none"/>
        </w:rPr>
        <w:t>中标供应商</w:t>
      </w:r>
      <w:r>
        <w:rPr>
          <w:rFonts w:hint="eastAsia" w:ascii="宋体" w:hAnsi="宋体" w:cs="Times New Roman"/>
          <w:b/>
          <w:color w:val="auto"/>
          <w:sz w:val="24"/>
          <w:szCs w:val="24"/>
          <w:highlight w:val="none"/>
        </w:rPr>
        <w:t>（扣除相应的违约金、赔偿金）。服务履约保证金，采购单位于本合同有效期内最后一批次货物保修期届满后</w:t>
      </w:r>
      <w:r>
        <w:rPr>
          <w:rFonts w:hint="eastAsia" w:ascii="宋体" w:hAnsi="宋体" w:cs="Times New Roman"/>
          <w:b/>
          <w:color w:val="auto"/>
          <w:sz w:val="24"/>
          <w:szCs w:val="24"/>
          <w:highlight w:val="none"/>
          <w:lang w:val="en-US" w:eastAsia="zh-CN"/>
        </w:rPr>
        <w:t>2</w:t>
      </w:r>
      <w:r>
        <w:rPr>
          <w:rFonts w:ascii="宋体" w:hAnsi="宋体" w:cs="Times New Roman"/>
          <w:b/>
          <w:color w:val="auto"/>
          <w:sz w:val="24"/>
          <w:szCs w:val="24"/>
          <w:highlight w:val="none"/>
        </w:rPr>
        <w:t>0</w:t>
      </w:r>
      <w:r>
        <w:rPr>
          <w:rFonts w:hint="eastAsia" w:ascii="宋体" w:hAnsi="宋体" w:cs="Times New Roman"/>
          <w:b/>
          <w:color w:val="auto"/>
          <w:sz w:val="24"/>
          <w:szCs w:val="24"/>
          <w:highlight w:val="none"/>
        </w:rPr>
        <w:t>个工作日内一次性无息支付给</w:t>
      </w:r>
      <w:r>
        <w:rPr>
          <w:rFonts w:hint="eastAsia" w:ascii="宋体" w:hAnsi="宋体" w:eastAsia="宋体" w:cs="宋体"/>
          <w:b/>
          <w:color w:val="auto"/>
          <w:sz w:val="24"/>
          <w:szCs w:val="24"/>
          <w:highlight w:val="none"/>
        </w:rPr>
        <w:t>中标供应商</w:t>
      </w:r>
      <w:r>
        <w:rPr>
          <w:rFonts w:hint="eastAsia" w:ascii="宋体" w:hAnsi="宋体" w:cs="Times New Roman"/>
          <w:b/>
          <w:color w:val="auto"/>
          <w:sz w:val="24"/>
          <w:szCs w:val="24"/>
          <w:highlight w:val="none"/>
        </w:rPr>
        <w:t>（扣除相应的违约金、赔偿金）</w:t>
      </w:r>
    </w:p>
    <w:p>
      <w:pPr>
        <w:spacing w:line="360" w:lineRule="auto"/>
        <w:ind w:firstLine="482" w:firstLineChars="200"/>
        <w:rPr>
          <w:rFonts w:hint="eastAsia" w:ascii="宋体" w:hAnsi="宋体" w:cs="Times New Roman"/>
          <w:b/>
          <w:color w:val="auto"/>
          <w:sz w:val="24"/>
          <w:szCs w:val="24"/>
          <w:highlight w:val="none"/>
        </w:rPr>
      </w:pPr>
      <w:r>
        <w:rPr>
          <w:rFonts w:hint="eastAsia" w:ascii="宋体" w:hAnsi="宋体" w:eastAsia="宋体" w:cs="宋体"/>
          <w:b/>
          <w:color w:val="auto"/>
          <w:sz w:val="24"/>
          <w:szCs w:val="24"/>
          <w:highlight w:val="none"/>
        </w:rPr>
        <w:t>中标供应商</w:t>
      </w:r>
      <w:r>
        <w:rPr>
          <w:rFonts w:hint="eastAsia" w:ascii="宋体" w:hAnsi="宋体" w:cs="Times New Roman"/>
          <w:b/>
          <w:color w:val="auto"/>
          <w:sz w:val="24"/>
          <w:szCs w:val="24"/>
          <w:highlight w:val="none"/>
        </w:rPr>
        <w:t>因违约行为导致履约保证金被</w:t>
      </w:r>
      <w:r>
        <w:rPr>
          <w:rFonts w:ascii="宋体" w:hAnsi="宋体" w:cs="Times New Roman"/>
          <w:b/>
          <w:color w:val="auto"/>
          <w:sz w:val="24"/>
          <w:szCs w:val="24"/>
          <w:highlight w:val="none"/>
        </w:rPr>
        <w:t>采购单位</w:t>
      </w:r>
      <w:r>
        <w:rPr>
          <w:rFonts w:hint="eastAsia" w:ascii="宋体" w:hAnsi="宋体" w:cs="Times New Roman"/>
          <w:b/>
          <w:color w:val="auto"/>
          <w:sz w:val="24"/>
          <w:szCs w:val="24"/>
          <w:highlight w:val="none"/>
        </w:rPr>
        <w:t>扣除的，</w:t>
      </w:r>
      <w:r>
        <w:rPr>
          <w:rFonts w:hint="eastAsia" w:ascii="宋体" w:hAnsi="宋体" w:eastAsia="宋体" w:cs="宋体"/>
          <w:b/>
          <w:color w:val="auto"/>
          <w:sz w:val="24"/>
          <w:szCs w:val="24"/>
          <w:highlight w:val="none"/>
        </w:rPr>
        <w:t>中标供应商</w:t>
      </w:r>
      <w:r>
        <w:rPr>
          <w:rFonts w:hint="eastAsia" w:ascii="宋体" w:hAnsi="宋体" w:cs="Times New Roman"/>
          <w:b/>
          <w:color w:val="auto"/>
          <w:sz w:val="24"/>
          <w:szCs w:val="24"/>
          <w:highlight w:val="none"/>
        </w:rPr>
        <w:t>应于被扣除之日起7个日历日内补足，使履约保证金金额满足</w:t>
      </w:r>
      <w:r>
        <w:rPr>
          <w:rFonts w:hint="eastAsia" w:ascii="宋体" w:hAnsi="宋体" w:cs="Times New Roman"/>
          <w:b/>
          <w:color w:val="auto"/>
          <w:sz w:val="24"/>
          <w:szCs w:val="24"/>
          <w:highlight w:val="none"/>
          <w:lang w:eastAsia="zh-CN"/>
        </w:rPr>
        <w:t>上述</w:t>
      </w:r>
      <w:r>
        <w:rPr>
          <w:rFonts w:hint="eastAsia" w:ascii="宋体" w:hAnsi="宋体" w:cs="Times New Roman"/>
          <w:b/>
          <w:color w:val="auto"/>
          <w:sz w:val="24"/>
          <w:szCs w:val="24"/>
          <w:highlight w:val="none"/>
        </w:rPr>
        <w:t>约定的要求。</w:t>
      </w:r>
    </w:p>
    <w:p>
      <w:pPr>
        <w:spacing w:line="360" w:lineRule="auto"/>
        <w:ind w:firstLine="482" w:firstLineChars="200"/>
        <w:rPr>
          <w:rFonts w:ascii="宋体" w:hAnsi="宋体"/>
          <w:b/>
          <w:color w:val="auto"/>
          <w:sz w:val="24"/>
          <w:szCs w:val="24"/>
          <w:highlight w:val="none"/>
        </w:rPr>
      </w:pPr>
      <w:r>
        <w:rPr>
          <w:rFonts w:ascii="宋体" w:hAnsi="宋体" w:cs="Times New Roman"/>
          <w:b/>
          <w:color w:val="auto"/>
          <w:sz w:val="24"/>
          <w:szCs w:val="24"/>
          <w:highlight w:val="none"/>
        </w:rPr>
        <w:t>*2、交货方式：合同签订后分批供货，按批次支付货款。</w:t>
      </w:r>
    </w:p>
    <w:p>
      <w:pPr>
        <w:spacing w:line="360" w:lineRule="auto"/>
        <w:ind w:right="-99" w:rightChars="-47" w:firstLine="482" w:firstLineChars="200"/>
        <w:rPr>
          <w:rFonts w:ascii="宋体" w:hAnsi="宋体"/>
          <w:b/>
          <w:color w:val="auto"/>
          <w:sz w:val="24"/>
          <w:szCs w:val="24"/>
          <w:highlight w:val="none"/>
        </w:rPr>
      </w:pPr>
      <w:r>
        <w:rPr>
          <w:rFonts w:ascii="宋体" w:hAnsi="宋体" w:cs="Times New Roman"/>
          <w:b/>
          <w:color w:val="auto"/>
          <w:sz w:val="24"/>
          <w:szCs w:val="24"/>
          <w:highlight w:val="none"/>
        </w:rPr>
        <w:t>*3、货交采购单位仓库的，经采购单位初验合格后，采购单位凭</w:t>
      </w:r>
      <w:r>
        <w:rPr>
          <w:rFonts w:hint="eastAsia" w:ascii="宋体" w:hAnsi="宋体" w:cs="Times New Roman"/>
          <w:b/>
          <w:color w:val="auto"/>
          <w:sz w:val="24"/>
          <w:szCs w:val="24"/>
          <w:highlight w:val="none"/>
        </w:rPr>
        <w:t>如下单证和文件</w:t>
      </w:r>
      <w:r>
        <w:rPr>
          <w:rFonts w:ascii="宋体" w:hAnsi="宋体" w:cs="Times New Roman"/>
          <w:b/>
          <w:color w:val="auto"/>
          <w:sz w:val="24"/>
          <w:szCs w:val="24"/>
          <w:highlight w:val="none"/>
        </w:rPr>
        <w:t xml:space="preserve">在 45 </w:t>
      </w:r>
      <w:r>
        <w:rPr>
          <w:rFonts w:hint="eastAsia" w:ascii="宋体" w:hAnsi="宋体" w:cs="Times New Roman"/>
          <w:b/>
          <w:color w:val="auto"/>
          <w:sz w:val="24"/>
          <w:szCs w:val="24"/>
          <w:highlight w:val="none"/>
        </w:rPr>
        <w:t>个日历日内向</w:t>
      </w:r>
      <w:r>
        <w:rPr>
          <w:rFonts w:hint="eastAsia" w:ascii="宋体" w:hAnsi="宋体" w:eastAsia="宋体" w:cs="宋体"/>
          <w:b/>
          <w:color w:val="auto"/>
          <w:sz w:val="24"/>
          <w:szCs w:val="24"/>
          <w:highlight w:val="none"/>
        </w:rPr>
        <w:t>中标供应商</w:t>
      </w:r>
      <w:r>
        <w:rPr>
          <w:rFonts w:hint="eastAsia" w:ascii="宋体" w:hAnsi="宋体" w:cs="Times New Roman"/>
          <w:b/>
          <w:color w:val="auto"/>
          <w:sz w:val="24"/>
          <w:szCs w:val="24"/>
          <w:highlight w:val="none"/>
        </w:rPr>
        <w:t>一次性支付至该批次货款的</w:t>
      </w:r>
      <w:r>
        <w:rPr>
          <w:rFonts w:ascii="宋体" w:hAnsi="宋体" w:cs="Times New Roman"/>
          <w:b/>
          <w:color w:val="auto"/>
          <w:sz w:val="24"/>
          <w:szCs w:val="24"/>
          <w:highlight w:val="none"/>
        </w:rPr>
        <w:t xml:space="preserve"> 100 %。</w:t>
      </w:r>
    </w:p>
    <w:p>
      <w:pPr>
        <w:spacing w:line="360" w:lineRule="auto"/>
        <w:ind w:right="-99" w:rightChars="-47" w:firstLine="482" w:firstLineChars="200"/>
        <w:rPr>
          <w:rFonts w:ascii="宋体" w:hAnsi="宋体"/>
          <w:b/>
          <w:color w:val="auto"/>
          <w:sz w:val="24"/>
          <w:szCs w:val="24"/>
          <w:highlight w:val="none"/>
        </w:rPr>
      </w:pPr>
      <w:r>
        <w:rPr>
          <w:rFonts w:hint="eastAsia" w:ascii="宋体" w:hAnsi="宋体" w:eastAsia="宋体" w:cs="宋体"/>
          <w:b/>
          <w:color w:val="auto"/>
          <w:sz w:val="24"/>
          <w:szCs w:val="24"/>
          <w:highlight w:val="none"/>
        </w:rPr>
        <w:t>中标供应商</w:t>
      </w:r>
      <w:r>
        <w:rPr>
          <w:rFonts w:hint="eastAsia" w:ascii="宋体" w:hAnsi="宋体" w:cs="Times New Roman"/>
          <w:b/>
          <w:color w:val="auto"/>
          <w:sz w:val="24"/>
          <w:szCs w:val="24"/>
          <w:highlight w:val="none"/>
        </w:rPr>
        <w:t>要求付款应提交下列单证和文件：</w:t>
      </w:r>
    </w:p>
    <w:p>
      <w:pPr>
        <w:spacing w:line="360" w:lineRule="auto"/>
        <w:ind w:right="-99" w:rightChars="-47" w:firstLine="482" w:firstLineChars="200"/>
        <w:rPr>
          <w:rFonts w:hint="eastAsia" w:ascii="宋体" w:hAnsi="宋体" w:cs="Times New Roman"/>
          <w:b/>
          <w:color w:val="auto"/>
          <w:sz w:val="24"/>
          <w:szCs w:val="24"/>
          <w:highlight w:val="none"/>
        </w:rPr>
      </w:pPr>
      <w:r>
        <w:rPr>
          <w:rFonts w:hint="eastAsia" w:ascii="宋体" w:hAnsi="宋体" w:cs="Times New Roman"/>
          <w:b/>
          <w:color w:val="auto"/>
          <w:sz w:val="24"/>
          <w:szCs w:val="24"/>
          <w:highlight w:val="none"/>
        </w:rPr>
        <w:t>a.金额为</w:t>
      </w:r>
      <w:sdt>
        <w:sdtPr>
          <w:rPr>
            <w:rFonts w:hint="eastAsia" w:ascii="宋体" w:hAnsi="宋体" w:cs="Times New Roman"/>
            <w:b/>
            <w:color w:val="auto"/>
            <w:sz w:val="24"/>
            <w:szCs w:val="24"/>
            <w:highlight w:val="none"/>
            <w:lang w:val="en-US" w:eastAsia="zh-CN"/>
          </w:rPr>
          <w:id w:val="147459560"/>
          <w:placeholder>
            <w:docPart w:val="{ae82e8e8-99d9-4c38-a8a0-08f55c23a074}"/>
          </w:placeholder>
        </w:sdtPr>
        <w:sdtEndPr>
          <w:rPr>
            <w:rFonts w:hint="eastAsia" w:ascii="宋体" w:hAnsi="宋体" w:cs="Times New Roman"/>
            <w:b/>
            <w:color w:val="auto"/>
            <w:sz w:val="24"/>
            <w:szCs w:val="24"/>
            <w:highlight w:val="none"/>
            <w:lang w:val="en-US" w:eastAsia="zh-CN"/>
          </w:rPr>
        </w:sdtEndPr>
        <w:sdtContent>
          <w:r>
            <w:rPr>
              <w:rFonts w:hint="eastAsia" w:ascii="宋体" w:hAnsi="宋体" w:cs="Times New Roman"/>
              <w:b/>
              <w:color w:val="auto"/>
              <w:sz w:val="24"/>
              <w:szCs w:val="24"/>
              <w:highlight w:val="none"/>
            </w:rPr>
            <w:t>100%</w:t>
          </w:r>
        </w:sdtContent>
      </w:sdt>
      <w:r>
        <w:rPr>
          <w:rFonts w:hint="eastAsia" w:ascii="宋体" w:hAnsi="宋体" w:cs="Times New Roman"/>
          <w:b/>
          <w:color w:val="auto"/>
          <w:sz w:val="24"/>
          <w:szCs w:val="24"/>
          <w:highlight w:val="none"/>
        </w:rPr>
        <w:t>的该批次货款的一般纳税人增值税专用发票；</w:t>
      </w:r>
    </w:p>
    <w:p>
      <w:pPr>
        <w:spacing w:line="360" w:lineRule="auto"/>
        <w:ind w:right="-99" w:rightChars="-47" w:firstLine="482" w:firstLineChars="200"/>
        <w:rPr>
          <w:rFonts w:hint="eastAsia" w:ascii="宋体" w:hAnsi="宋体" w:cs="Times New Roman"/>
          <w:b/>
          <w:color w:val="auto"/>
          <w:sz w:val="24"/>
          <w:szCs w:val="24"/>
          <w:highlight w:val="none"/>
        </w:rPr>
      </w:pPr>
      <w:r>
        <w:rPr>
          <w:rFonts w:hint="eastAsia" w:ascii="宋体" w:hAnsi="宋体" w:cs="Times New Roman"/>
          <w:b/>
          <w:color w:val="auto"/>
          <w:sz w:val="24"/>
          <w:szCs w:val="24"/>
          <w:highlight w:val="none"/>
        </w:rPr>
        <w:t>b.</w:t>
      </w:r>
      <w:r>
        <w:rPr>
          <w:rFonts w:hint="eastAsia" w:ascii="宋体" w:hAnsi="宋体" w:eastAsia="宋体" w:cs="宋体"/>
          <w:b/>
          <w:color w:val="auto"/>
          <w:sz w:val="24"/>
          <w:szCs w:val="24"/>
          <w:highlight w:val="none"/>
        </w:rPr>
        <w:t>中标供应商</w:t>
      </w:r>
      <w:r>
        <w:rPr>
          <w:rFonts w:hint="eastAsia" w:ascii="宋体" w:hAnsi="宋体" w:cs="Times New Roman"/>
          <w:b/>
          <w:color w:val="auto"/>
          <w:sz w:val="24"/>
          <w:szCs w:val="24"/>
          <w:highlight w:val="none"/>
        </w:rPr>
        <w:t>已缴纳该批货物的中标/成交服务费和2.2.3的二次配送费用、仓储操作费的证明材料；</w:t>
      </w:r>
    </w:p>
    <w:p>
      <w:pPr>
        <w:spacing w:line="360" w:lineRule="auto"/>
        <w:ind w:right="-99" w:rightChars="-47" w:firstLine="482" w:firstLineChars="200"/>
        <w:rPr>
          <w:rFonts w:hint="eastAsia" w:ascii="宋体" w:hAnsi="宋体" w:cs="Times New Roman"/>
          <w:b/>
          <w:color w:val="auto"/>
          <w:sz w:val="24"/>
          <w:szCs w:val="24"/>
          <w:highlight w:val="none"/>
        </w:rPr>
      </w:pPr>
      <w:r>
        <w:rPr>
          <w:rFonts w:hint="eastAsia" w:ascii="宋体" w:hAnsi="宋体" w:cs="Times New Roman"/>
          <w:b/>
          <w:color w:val="auto"/>
          <w:sz w:val="24"/>
          <w:szCs w:val="24"/>
          <w:highlight w:val="none"/>
        </w:rPr>
        <w:t>c.</w:t>
      </w:r>
      <w:r>
        <w:rPr>
          <w:rFonts w:ascii="宋体" w:hAnsi="宋体" w:cs="Times New Roman"/>
          <w:b/>
          <w:color w:val="auto"/>
          <w:sz w:val="24"/>
          <w:szCs w:val="24"/>
          <w:highlight w:val="none"/>
        </w:rPr>
        <w:t>采购单位</w:t>
      </w:r>
      <w:r>
        <w:rPr>
          <w:rFonts w:hint="eastAsia" w:ascii="宋体" w:hAnsi="宋体" w:cs="Times New Roman"/>
          <w:b/>
          <w:color w:val="auto"/>
          <w:sz w:val="24"/>
          <w:szCs w:val="24"/>
          <w:highlight w:val="none"/>
        </w:rPr>
        <w:t>已收讫的该批次货物的《签收单》。</w:t>
      </w:r>
    </w:p>
    <w:p>
      <w:pPr>
        <w:spacing w:line="360" w:lineRule="auto"/>
        <w:ind w:right="-99" w:rightChars="-47" w:firstLine="482" w:firstLineChars="200"/>
        <w:rPr>
          <w:rFonts w:hint="eastAsia" w:ascii="宋体" w:hAnsi="宋体" w:cs="Times New Roman"/>
          <w:b/>
          <w:color w:val="auto"/>
          <w:sz w:val="24"/>
          <w:szCs w:val="24"/>
          <w:highlight w:val="none"/>
        </w:rPr>
      </w:pPr>
      <w:r>
        <w:rPr>
          <w:rFonts w:hint="eastAsia" w:ascii="宋体" w:hAnsi="宋体" w:cs="Times New Roman"/>
          <w:b/>
          <w:color w:val="auto"/>
          <w:sz w:val="24"/>
          <w:szCs w:val="24"/>
          <w:highlight w:val="none"/>
        </w:rPr>
        <w:t>货物直送最终用户的，该批次货物经安装调试完毕并经最终验收合格后，</w:t>
      </w:r>
      <w:r>
        <w:rPr>
          <w:rFonts w:hint="eastAsia" w:ascii="宋体" w:hAnsi="宋体" w:cs="Times New Roman"/>
          <w:b/>
          <w:color w:val="auto"/>
          <w:sz w:val="24"/>
          <w:szCs w:val="24"/>
          <w:highlight w:val="none"/>
          <w:lang w:eastAsia="zh-CN"/>
        </w:rPr>
        <w:t>采购单位</w:t>
      </w:r>
      <w:r>
        <w:rPr>
          <w:rFonts w:hint="eastAsia" w:ascii="宋体" w:hAnsi="宋体" w:cs="Times New Roman"/>
          <w:b/>
          <w:color w:val="auto"/>
          <w:sz w:val="24"/>
          <w:szCs w:val="24"/>
          <w:highlight w:val="none"/>
        </w:rPr>
        <w:t>凭如下单证和文件在</w:t>
      </w:r>
      <w:sdt>
        <w:sdtPr>
          <w:rPr>
            <w:rFonts w:hint="eastAsia" w:ascii="宋体" w:hAnsi="宋体" w:cs="Times New Roman"/>
            <w:b/>
            <w:color w:val="auto"/>
            <w:sz w:val="24"/>
            <w:szCs w:val="24"/>
            <w:highlight w:val="none"/>
            <w:lang w:val="en-US" w:eastAsia="zh-CN"/>
          </w:rPr>
          <w:id w:val="147459410"/>
          <w:placeholder>
            <w:docPart w:val="{d73a39f0-b524-41d0-beb1-672994a4e98b}"/>
          </w:placeholder>
        </w:sdtPr>
        <w:sdtEndPr>
          <w:rPr>
            <w:rFonts w:hint="eastAsia" w:ascii="宋体" w:hAnsi="宋体" w:cs="Times New Roman"/>
            <w:b/>
            <w:color w:val="auto"/>
            <w:sz w:val="24"/>
            <w:szCs w:val="24"/>
            <w:highlight w:val="none"/>
            <w:lang w:val="en-US" w:eastAsia="zh-CN"/>
          </w:rPr>
        </w:sdtEndPr>
        <w:sdtContent>
          <w:r>
            <w:rPr>
              <w:rFonts w:hint="eastAsia" w:ascii="宋体" w:hAnsi="宋体" w:cs="Times New Roman"/>
              <w:b/>
              <w:color w:val="auto"/>
              <w:sz w:val="24"/>
              <w:szCs w:val="24"/>
              <w:highlight w:val="none"/>
            </w:rPr>
            <w:t>45</w:t>
          </w:r>
        </w:sdtContent>
      </w:sdt>
      <w:r>
        <w:rPr>
          <w:rFonts w:hint="eastAsia" w:ascii="宋体" w:hAnsi="宋体" w:cs="Times New Roman"/>
          <w:b/>
          <w:color w:val="auto"/>
          <w:sz w:val="24"/>
          <w:szCs w:val="24"/>
          <w:highlight w:val="none"/>
        </w:rPr>
        <w:t>个日历日内向</w:t>
      </w:r>
      <w:r>
        <w:rPr>
          <w:rFonts w:hint="eastAsia" w:ascii="宋体" w:hAnsi="宋体" w:eastAsia="宋体" w:cs="宋体"/>
          <w:b/>
          <w:color w:val="auto"/>
          <w:sz w:val="24"/>
          <w:szCs w:val="24"/>
          <w:highlight w:val="none"/>
        </w:rPr>
        <w:t>中标供应商</w:t>
      </w:r>
      <w:r>
        <w:rPr>
          <w:rFonts w:hint="eastAsia" w:ascii="宋体" w:hAnsi="宋体" w:cs="Times New Roman"/>
          <w:b/>
          <w:color w:val="auto"/>
          <w:sz w:val="24"/>
          <w:szCs w:val="24"/>
          <w:highlight w:val="none"/>
        </w:rPr>
        <w:t>一次性付清该批次货款的</w:t>
      </w:r>
      <w:sdt>
        <w:sdtPr>
          <w:rPr>
            <w:rFonts w:hint="eastAsia" w:ascii="宋体" w:hAnsi="宋体" w:cs="Times New Roman"/>
            <w:b/>
            <w:color w:val="auto"/>
            <w:sz w:val="24"/>
            <w:szCs w:val="24"/>
            <w:highlight w:val="none"/>
            <w:lang w:val="en-US" w:eastAsia="zh-CN"/>
          </w:rPr>
          <w:id w:val="147459387"/>
          <w:placeholder>
            <w:docPart w:val="{cd2cdf7b-ed93-4cc9-ae12-5d7f9a2e6b87}"/>
          </w:placeholder>
        </w:sdtPr>
        <w:sdtEndPr>
          <w:rPr>
            <w:rFonts w:hint="eastAsia" w:ascii="宋体" w:hAnsi="宋体" w:cs="Times New Roman"/>
            <w:b/>
            <w:color w:val="auto"/>
            <w:sz w:val="24"/>
            <w:szCs w:val="24"/>
            <w:highlight w:val="none"/>
            <w:lang w:val="en-US" w:eastAsia="zh-CN"/>
          </w:rPr>
        </w:sdtEndPr>
        <w:sdtContent>
          <w:r>
            <w:rPr>
              <w:rFonts w:hint="eastAsia" w:ascii="宋体" w:hAnsi="宋体" w:cs="Times New Roman"/>
              <w:b/>
              <w:color w:val="auto"/>
              <w:sz w:val="24"/>
              <w:szCs w:val="24"/>
              <w:highlight w:val="none"/>
            </w:rPr>
            <w:t>全款</w:t>
          </w:r>
        </w:sdtContent>
      </w:sdt>
      <w:r>
        <w:rPr>
          <w:rFonts w:hint="eastAsia" w:ascii="宋体" w:hAnsi="宋体" w:cs="Times New Roman"/>
          <w:b/>
          <w:color w:val="auto"/>
          <w:sz w:val="24"/>
          <w:szCs w:val="24"/>
          <w:highlight w:val="none"/>
        </w:rPr>
        <w:t>。</w:t>
      </w:r>
    </w:p>
    <w:p>
      <w:pPr>
        <w:spacing w:line="360" w:lineRule="auto"/>
        <w:ind w:right="-99" w:rightChars="-47" w:firstLine="482" w:firstLineChars="200"/>
        <w:rPr>
          <w:rFonts w:hint="eastAsia" w:ascii="宋体" w:hAnsi="宋体" w:cs="Times New Roman"/>
          <w:b/>
          <w:color w:val="auto"/>
          <w:sz w:val="24"/>
          <w:szCs w:val="24"/>
          <w:highlight w:val="none"/>
        </w:rPr>
      </w:pPr>
      <w:r>
        <w:rPr>
          <w:rFonts w:hint="eastAsia" w:ascii="宋体" w:hAnsi="宋体" w:cs="Times New Roman"/>
          <w:b/>
          <w:color w:val="auto"/>
          <w:sz w:val="24"/>
          <w:szCs w:val="24"/>
          <w:highlight w:val="none"/>
        </w:rPr>
        <w:t>a.金额为</w:t>
      </w:r>
      <w:sdt>
        <w:sdtPr>
          <w:rPr>
            <w:rFonts w:hint="eastAsia" w:ascii="宋体" w:hAnsi="宋体" w:cs="Times New Roman"/>
            <w:b/>
            <w:color w:val="auto"/>
            <w:sz w:val="24"/>
            <w:szCs w:val="24"/>
            <w:highlight w:val="none"/>
            <w:lang w:val="en-US" w:eastAsia="zh-CN"/>
          </w:rPr>
          <w:id w:val="147459358"/>
          <w:placeholder>
            <w:docPart w:val="{567e31da-37df-48ee-bae8-51c7c4e545bb}"/>
          </w:placeholder>
        </w:sdtPr>
        <w:sdtEndPr>
          <w:rPr>
            <w:rFonts w:hint="eastAsia" w:ascii="宋体" w:hAnsi="宋体" w:cs="Times New Roman"/>
            <w:b/>
            <w:color w:val="auto"/>
            <w:sz w:val="24"/>
            <w:szCs w:val="24"/>
            <w:highlight w:val="none"/>
            <w:lang w:val="en-US" w:eastAsia="zh-CN"/>
          </w:rPr>
        </w:sdtEndPr>
        <w:sdtContent>
          <w:r>
            <w:rPr>
              <w:rFonts w:hint="eastAsia" w:ascii="宋体" w:hAnsi="宋体" w:cs="Times New Roman"/>
              <w:b/>
              <w:color w:val="auto"/>
              <w:sz w:val="24"/>
              <w:szCs w:val="24"/>
              <w:highlight w:val="none"/>
            </w:rPr>
            <w:t>100%</w:t>
          </w:r>
        </w:sdtContent>
      </w:sdt>
      <w:r>
        <w:rPr>
          <w:rFonts w:hint="eastAsia" w:ascii="宋体" w:hAnsi="宋体" w:cs="Times New Roman"/>
          <w:b/>
          <w:color w:val="auto"/>
          <w:sz w:val="24"/>
          <w:szCs w:val="24"/>
          <w:highlight w:val="none"/>
        </w:rPr>
        <w:t>的该批次货款的一般纳税人增值税专用发票；</w:t>
      </w:r>
    </w:p>
    <w:p>
      <w:pPr>
        <w:spacing w:line="360" w:lineRule="auto"/>
        <w:ind w:right="-99" w:rightChars="-47" w:firstLine="482" w:firstLineChars="200"/>
        <w:rPr>
          <w:rFonts w:hint="eastAsia" w:ascii="宋体" w:hAnsi="宋体" w:cs="Times New Roman"/>
          <w:b/>
          <w:color w:val="auto"/>
          <w:sz w:val="24"/>
          <w:szCs w:val="24"/>
          <w:highlight w:val="none"/>
        </w:rPr>
      </w:pPr>
      <w:r>
        <w:rPr>
          <w:rFonts w:hint="eastAsia" w:ascii="宋体" w:hAnsi="宋体" w:cs="Times New Roman"/>
          <w:b/>
          <w:color w:val="auto"/>
          <w:sz w:val="24"/>
          <w:szCs w:val="24"/>
          <w:highlight w:val="none"/>
        </w:rPr>
        <w:t>b.</w:t>
      </w:r>
      <w:r>
        <w:rPr>
          <w:rFonts w:hint="eastAsia" w:ascii="宋体" w:hAnsi="宋体" w:eastAsia="宋体" w:cs="宋体"/>
          <w:b/>
          <w:color w:val="auto"/>
          <w:sz w:val="24"/>
          <w:szCs w:val="24"/>
          <w:highlight w:val="none"/>
        </w:rPr>
        <w:t>中标供应商</w:t>
      </w:r>
      <w:r>
        <w:rPr>
          <w:rFonts w:hint="eastAsia" w:ascii="宋体" w:hAnsi="宋体" w:cs="Times New Roman"/>
          <w:b/>
          <w:color w:val="auto"/>
          <w:sz w:val="24"/>
          <w:szCs w:val="24"/>
          <w:highlight w:val="none"/>
        </w:rPr>
        <w:t>已缴纳该批货物的成交服务费的证明材料；</w:t>
      </w:r>
    </w:p>
    <w:p>
      <w:pPr>
        <w:spacing w:line="360" w:lineRule="auto"/>
        <w:ind w:right="-99" w:rightChars="-47" w:firstLine="482" w:firstLineChars="200"/>
        <w:rPr>
          <w:rFonts w:hint="eastAsia" w:ascii="宋体" w:hAnsi="宋体" w:cs="Times New Roman"/>
          <w:b/>
          <w:color w:val="auto"/>
          <w:sz w:val="24"/>
          <w:szCs w:val="24"/>
          <w:highlight w:val="none"/>
        </w:rPr>
      </w:pPr>
      <w:r>
        <w:rPr>
          <w:rFonts w:hint="eastAsia" w:ascii="宋体" w:hAnsi="宋体" w:cs="Times New Roman"/>
          <w:b/>
          <w:color w:val="auto"/>
          <w:sz w:val="24"/>
          <w:szCs w:val="24"/>
          <w:highlight w:val="none"/>
        </w:rPr>
        <w:t>c.该批次货物的《验收报告》(经最终用户签署)。</w:t>
      </w:r>
    </w:p>
    <w:p>
      <w:pPr>
        <w:tabs>
          <w:tab w:val="left" w:pos="5130"/>
        </w:tabs>
        <w:spacing w:line="360" w:lineRule="auto"/>
        <w:ind w:firstLine="482" w:firstLineChars="200"/>
        <w:rPr>
          <w:rFonts w:ascii="宋体" w:hAnsi="宋体" w:cs="宋体"/>
          <w:color w:val="auto"/>
          <w:sz w:val="24"/>
          <w:szCs w:val="24"/>
          <w:highlight w:val="none"/>
        </w:rPr>
      </w:pPr>
      <w:r>
        <w:rPr>
          <w:rFonts w:hint="eastAsia" w:ascii="宋体" w:hAnsi="宋体" w:cs="Times New Roman"/>
          <w:b/>
          <w:color w:val="auto"/>
          <w:sz w:val="24"/>
          <w:szCs w:val="24"/>
          <w:highlight w:val="none"/>
        </w:rPr>
        <w:t>备注：</w:t>
      </w:r>
      <w:r>
        <w:rPr>
          <w:rFonts w:hint="eastAsia" w:ascii="宋体" w:hAnsi="宋体" w:eastAsia="宋体" w:cs="宋体"/>
          <w:b/>
          <w:color w:val="auto"/>
          <w:sz w:val="24"/>
          <w:szCs w:val="24"/>
          <w:highlight w:val="none"/>
        </w:rPr>
        <w:t>中标供应商</w:t>
      </w:r>
      <w:r>
        <w:rPr>
          <w:rFonts w:hint="eastAsia" w:ascii="宋体" w:hAnsi="宋体" w:cs="Times New Roman"/>
          <w:b/>
          <w:color w:val="auto"/>
          <w:sz w:val="24"/>
          <w:szCs w:val="24"/>
          <w:highlight w:val="none"/>
        </w:rPr>
        <w:t>可提出比以上内容更有利于采购单位的付款方式。</w:t>
      </w:r>
    </w:p>
    <w:p>
      <w:pPr>
        <w:spacing w:line="360" w:lineRule="auto"/>
        <w:rPr>
          <w:rFonts w:ascii="宋体" w:hAnsi="宋体" w:cs="宋体"/>
          <w:b/>
          <w:color w:val="auto"/>
          <w:kern w:val="0"/>
          <w:sz w:val="28"/>
          <w:szCs w:val="28"/>
          <w:highlight w:val="none"/>
        </w:rPr>
      </w:pPr>
      <w:r>
        <w:rPr>
          <w:rFonts w:hint="eastAsia" w:ascii="宋体" w:hAnsi="宋体" w:cs="宋体"/>
          <w:b/>
          <w:color w:val="auto"/>
          <w:kern w:val="0"/>
          <w:sz w:val="28"/>
          <w:szCs w:val="28"/>
          <w:highlight w:val="none"/>
          <w:lang w:eastAsia="zh-CN"/>
        </w:rPr>
        <w:t>六</w:t>
      </w:r>
      <w:r>
        <w:rPr>
          <w:rFonts w:hint="eastAsia" w:ascii="宋体" w:hAnsi="宋体" w:cs="宋体"/>
          <w:b/>
          <w:color w:val="auto"/>
          <w:kern w:val="0"/>
          <w:sz w:val="28"/>
          <w:szCs w:val="28"/>
          <w:highlight w:val="none"/>
        </w:rPr>
        <w:t>、资格证明文件</w:t>
      </w:r>
    </w:p>
    <w:p>
      <w:pPr>
        <w:snapToGrid w:val="0"/>
        <w:spacing w:line="360" w:lineRule="auto"/>
        <w:ind w:firstLine="472" w:firstLineChars="196"/>
        <w:rPr>
          <w:rFonts w:ascii="宋体" w:hAnsi="宋体" w:cs="宋体"/>
          <w:b/>
          <w:color w:val="auto"/>
          <w:sz w:val="24"/>
          <w:szCs w:val="24"/>
          <w:highlight w:val="none"/>
        </w:rPr>
      </w:pPr>
      <w:r>
        <w:rPr>
          <w:rFonts w:hint="eastAsia" w:ascii="宋体" w:hAnsi="宋体" w:cs="宋体"/>
          <w:b/>
          <w:color w:val="auto"/>
          <w:sz w:val="24"/>
          <w:szCs w:val="24"/>
          <w:highlight w:val="none"/>
        </w:rPr>
        <w:t>*1、</w:t>
      </w:r>
      <w:r>
        <w:rPr>
          <w:rFonts w:hint="eastAsia" w:ascii="宋体" w:hAnsi="宋体" w:cs="宋体"/>
          <w:b/>
          <w:color w:val="auto"/>
          <w:sz w:val="24"/>
          <w:szCs w:val="24"/>
          <w:highlight w:val="none"/>
          <w:lang w:eastAsia="zh-CN"/>
        </w:rPr>
        <w:t>投标</w:t>
      </w:r>
      <w:r>
        <w:rPr>
          <w:rFonts w:hint="eastAsia" w:ascii="宋体" w:hAnsi="宋体" w:cs="宋体"/>
          <w:b/>
          <w:color w:val="auto"/>
          <w:sz w:val="24"/>
          <w:szCs w:val="24"/>
          <w:highlight w:val="none"/>
        </w:rPr>
        <w:t>人应提供工商营业执照（副本）（加盖公章）的复印件，提供税务登记证及组织机构代码证复印件。</w:t>
      </w:r>
      <w:r>
        <w:rPr>
          <w:rFonts w:hint="eastAsia" w:ascii="宋体" w:hAnsi="宋体" w:cs="宋体"/>
          <w:b/>
          <w:color w:val="auto"/>
          <w:sz w:val="24"/>
          <w:szCs w:val="24"/>
          <w:highlight w:val="none"/>
          <w:lang w:eastAsia="zh-CN"/>
        </w:rPr>
        <w:t>投标</w:t>
      </w:r>
      <w:r>
        <w:rPr>
          <w:rFonts w:hint="eastAsia" w:ascii="宋体" w:hAnsi="宋体" w:cs="宋体"/>
          <w:b/>
          <w:color w:val="auto"/>
          <w:sz w:val="24"/>
          <w:szCs w:val="24"/>
          <w:highlight w:val="none"/>
        </w:rPr>
        <w:t>人已提供加载有统一社会信用代码营业执照的，视为已提供税务登记证和组织机构代码证。</w:t>
      </w:r>
    </w:p>
    <w:p>
      <w:pPr>
        <w:spacing w:line="360" w:lineRule="auto"/>
        <w:ind w:firstLine="482" w:firstLineChars="200"/>
        <w:rPr>
          <w:rFonts w:ascii="宋体" w:hAnsi="宋体" w:cs="Arial"/>
          <w:b/>
          <w:bCs/>
          <w:color w:val="auto"/>
          <w:sz w:val="24"/>
          <w:szCs w:val="24"/>
          <w:highlight w:val="none"/>
        </w:rPr>
      </w:pPr>
      <w:r>
        <w:rPr>
          <w:rFonts w:hint="eastAsia" w:ascii="宋体" w:hAnsi="宋体" w:cs="Arial"/>
          <w:b/>
          <w:bCs/>
          <w:color w:val="auto"/>
          <w:sz w:val="24"/>
          <w:szCs w:val="24"/>
          <w:highlight w:val="none"/>
        </w:rPr>
        <w:t>*2、</w:t>
      </w:r>
      <w:r>
        <w:rPr>
          <w:rFonts w:hint="eastAsia" w:ascii="宋体" w:hAnsi="宋体" w:cs="宋体"/>
          <w:b/>
          <w:color w:val="auto"/>
          <w:sz w:val="24"/>
          <w:szCs w:val="24"/>
          <w:highlight w:val="none"/>
          <w:lang w:eastAsia="zh-CN"/>
        </w:rPr>
        <w:t>投标</w:t>
      </w:r>
      <w:r>
        <w:rPr>
          <w:rFonts w:hint="eastAsia" w:ascii="宋体" w:hAnsi="宋体" w:cs="Arial"/>
          <w:b/>
          <w:bCs/>
          <w:color w:val="auto"/>
          <w:sz w:val="24"/>
          <w:szCs w:val="24"/>
          <w:highlight w:val="none"/>
        </w:rPr>
        <w:t>人全权代表若不是单位负责人，应提供单位授权书原件，并提供被授权代表身份证复印件。</w:t>
      </w: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附表：</w:t>
      </w:r>
    </w:p>
    <w:p>
      <w:pPr>
        <w:spacing w:line="360" w:lineRule="auto"/>
        <w:ind w:firstLine="630" w:firstLineChars="196"/>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技术规格及商务响应表</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（投标人应针对下表中体现的招标要求及“投标人须知前附表2:资格性、符合性检查表”内容逐条说明投标响应情况，并附上相应资料，投标响应对应的页码以及偏离说明）</w:t>
      </w:r>
    </w:p>
    <w:p>
      <w:pPr>
        <w:spacing w:line="360" w:lineRule="auto"/>
        <w:rPr>
          <w:rFonts w:hint="eastAsia" w:ascii="宋体" w:hAnsi="宋体" w:eastAsia="宋体" w:cs="宋体"/>
          <w:b/>
          <w:color w:val="auto"/>
          <w:sz w:val="24"/>
          <w:szCs w:val="24"/>
          <w:highlight w:val="none"/>
        </w:rPr>
      </w:pPr>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971"/>
        <w:gridCol w:w="1024"/>
        <w:gridCol w:w="4493"/>
        <w:gridCol w:w="942"/>
        <w:gridCol w:w="1008"/>
        <w:gridCol w:w="531"/>
        <w:tblGridChange w:id="0">
          <w:tblGrid>
            <w:gridCol w:w="960"/>
            <w:gridCol w:w="206"/>
            <w:gridCol w:w="501"/>
            <w:gridCol w:w="470"/>
            <w:gridCol w:w="239"/>
            <w:gridCol w:w="785"/>
            <w:gridCol w:w="4493"/>
            <w:gridCol w:w="108"/>
            <w:gridCol w:w="834"/>
            <w:gridCol w:w="1008"/>
            <w:gridCol w:w="531"/>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76"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招标要求</w:t>
            </w:r>
          </w:p>
        </w:tc>
        <w:tc>
          <w:tcPr>
            <w:tcW w:w="122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合同包/品目号</w:t>
            </w:r>
          </w:p>
        </w:tc>
        <w:tc>
          <w:tcPr>
            <w:tcW w:w="4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5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条目号</w:t>
            </w:r>
          </w:p>
        </w:tc>
        <w:tc>
          <w:tcPr>
            <w:tcW w:w="22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招标文件要求</w:t>
            </w:r>
          </w:p>
        </w:tc>
        <w:tc>
          <w:tcPr>
            <w:tcW w:w="4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投标响应情况</w:t>
            </w:r>
          </w:p>
        </w:tc>
        <w:tc>
          <w:tcPr>
            <w:tcW w:w="4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投标响应对应的页码</w:t>
            </w:r>
          </w:p>
        </w:tc>
        <w:tc>
          <w:tcPr>
            <w:tcW w:w="2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5"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XM2024-DZ0031</w:t>
            </w:r>
          </w:p>
        </w:tc>
        <w:tc>
          <w:tcPr>
            <w:tcW w:w="479" w:type="pct"/>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sz w:val="24"/>
                <w:szCs w:val="24"/>
                <w:highlight w:val="none"/>
              </w:rPr>
            </w:pPr>
            <w:r>
              <w:rPr>
                <w:rFonts w:hint="default" w:ascii="宋体" w:hAnsi="宋体" w:eastAsia="宋体" w:cs="宋体"/>
                <w:b w:val="0"/>
                <w:bCs w:val="0"/>
                <w:color w:val="auto"/>
                <w:kern w:val="2"/>
                <w:sz w:val="24"/>
                <w:szCs w:val="24"/>
                <w:highlight w:val="none"/>
                <w:lang w:val="en-US" w:eastAsia="zh-CN" w:bidi="ar"/>
              </w:rPr>
              <w:t>2024年大宗激光打印机</w:t>
            </w:r>
          </w:p>
        </w:tc>
        <w:tc>
          <w:tcPr>
            <w:tcW w:w="505"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一</w:t>
            </w:r>
          </w:p>
        </w:tc>
        <w:tc>
          <w:tcPr>
            <w:tcW w:w="22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numPr>
                <w:ilvl w:val="0"/>
                <w:numId w:val="3"/>
              </w:numPr>
              <w:suppressLineNumbers w:val="0"/>
              <w:spacing w:before="0" w:beforeAutospacing="0" w:after="0" w:afterAutospacing="0" w:line="360" w:lineRule="auto"/>
              <w:ind w:left="0" w:right="0"/>
              <w:jc w:val="both"/>
              <w:rPr>
                <w:rFonts w:hint="default" w:ascii="宋体" w:hAnsi="宋体" w:cs="宋体"/>
                <w:color w:val="auto"/>
                <w:sz w:val="24"/>
                <w:szCs w:val="24"/>
                <w:highlight w:val="none"/>
              </w:rPr>
            </w:pPr>
            <w:r>
              <w:rPr>
                <w:rFonts w:hint="eastAsia" w:ascii="宋体" w:hAnsi="宋体" w:eastAsia="宋体" w:cs="宋体"/>
                <w:color w:val="auto"/>
                <w:sz w:val="24"/>
                <w:szCs w:val="24"/>
                <w:highlight w:val="none"/>
              </w:rPr>
              <w:t>招标要求</w:t>
            </w:r>
            <w:r>
              <w:rPr>
                <w:rFonts w:hint="default" w:ascii="宋体" w:hAnsi="宋体" w:cs="宋体"/>
                <w:color w:val="auto"/>
                <w:sz w:val="24"/>
                <w:szCs w:val="24"/>
                <w:highlight w:val="none"/>
              </w:rPr>
              <w:t>：</w:t>
            </w:r>
          </w:p>
          <w:p>
            <w:pPr>
              <w:keepNext w:val="0"/>
              <w:keepLines w:val="0"/>
              <w:widowControl w:val="0"/>
              <w:numPr>
                <w:ilvl w:val="-1"/>
                <w:numId w:val="0"/>
              </w:numPr>
              <w:suppressLineNumbers w:val="0"/>
              <w:spacing w:before="0" w:beforeAutospacing="0" w:after="0" w:afterAutospacing="0" w:line="360" w:lineRule="auto"/>
              <w:ind w:left="0" w:right="0"/>
              <w:jc w:val="both"/>
              <w:rPr>
                <w:rFonts w:hint="default" w:ascii="宋体" w:hAnsi="宋体" w:cs="宋体"/>
                <w:color w:val="auto"/>
                <w:sz w:val="24"/>
                <w:szCs w:val="24"/>
                <w:highlight w:val="none"/>
              </w:rPr>
            </w:pPr>
            <w:r>
              <w:rPr>
                <w:rFonts w:hint="default" w:ascii="宋体" w:hAnsi="宋体" w:cs="宋体"/>
                <w:color w:val="auto"/>
                <w:sz w:val="24"/>
                <w:szCs w:val="24"/>
                <w:highlight w:val="none"/>
              </w:rPr>
              <w:t>详见“第三章招标内容及要求”</w:t>
            </w:r>
          </w:p>
        </w:tc>
        <w:tc>
          <w:tcPr>
            <w:tcW w:w="4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4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2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5"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479"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505"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22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p>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标人须在投标文件中作出书面承诺：采购单位可调整各规格产品的实际供货数量；采购单位有权向厦门市政府机关事业单位和福建省内其他终端用户进行供货，投标人须提供相应的安装及售后服务保障，所需费用（不含福建省其他地市二次配送费用）已包含在总报价中。投标人承诺合同期内采购单位可增加各型号的采购数量，仍可按不高于中标价格执行。</w:t>
            </w:r>
          </w:p>
        </w:tc>
        <w:tc>
          <w:tcPr>
            <w:tcW w:w="4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4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2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5"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479"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505"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四</w:t>
            </w:r>
          </w:p>
        </w:tc>
        <w:tc>
          <w:tcPr>
            <w:tcW w:w="2216"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rPr>
            </w:pPr>
            <w:r>
              <w:rPr>
                <w:rFonts w:hint="default" w:ascii="宋体" w:hAnsi="宋体" w:eastAsia="宋体" w:cs="宋体"/>
                <w:b w:val="0"/>
                <w:bCs/>
                <w:color w:val="auto"/>
                <w:kern w:val="2"/>
                <w:sz w:val="24"/>
                <w:szCs w:val="24"/>
                <w:highlight w:val="none"/>
                <w:lang w:eastAsia="zh-CN" w:bidi="ar"/>
              </w:rPr>
              <w:t>17、</w:t>
            </w:r>
            <w:r>
              <w:rPr>
                <w:rFonts w:hint="eastAsia" w:ascii="宋体" w:hAnsi="宋体" w:eastAsia="宋体" w:cs="宋体"/>
                <w:b w:val="0"/>
                <w:bCs/>
                <w:color w:val="auto"/>
                <w:kern w:val="2"/>
                <w:sz w:val="24"/>
                <w:szCs w:val="24"/>
                <w:highlight w:val="none"/>
                <w:lang w:val="en-US" w:eastAsia="zh-CN" w:bidi="ar"/>
              </w:rPr>
              <w:t>投标人应当遵循诚实信用原则，不得作虚假承诺，投标人承诺不实的，属于提供虚假材料谋取中标、成交，应依法承担相应的法律责任。投标人提供虚假材料，在评审过程中发现的，按无效投标处理，投标保证金不予退还；已取得中标资格的，无论该行为是否影响中标，均取消其中标资格，投标保证金、代理服务费不予退还，该投标人还应承担由此引起的其他经济、法律责任。出现此种情形时，采购人、招标代理机构将有关情况上报政府采购监管部门，由监管部门按有关规定对其进行相应处罚。采购人、招标代理机构有权上报财政部门，建议财政部门将该投标人列入不良行为记录名单，在一至三年内禁止该投标人参加政府采购活动并予以通报。</w:t>
            </w:r>
          </w:p>
        </w:tc>
        <w:tc>
          <w:tcPr>
            <w:tcW w:w="4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4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2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5"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479"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2721" w:type="pct"/>
            <w:gridSpan w:val="2"/>
            <w:tcBorders>
              <w:left w:val="single" w:color="auto" w:sz="4" w:space="0"/>
              <w:bottom w:val="single" w:color="auto" w:sz="4" w:space="0"/>
              <w:right w:val="single" w:color="auto" w:sz="4" w:space="0"/>
            </w:tcBorders>
            <w:noWrap w:val="0"/>
            <w:vAlign w:val="center"/>
          </w:tcPr>
          <w:p>
            <w:pPr>
              <w:pStyle w:val="6"/>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其他所有带*条款。</w:t>
            </w:r>
          </w:p>
        </w:tc>
        <w:tc>
          <w:tcPr>
            <w:tcW w:w="4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4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2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bl>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b/>
          <w:bCs/>
          <w:color w:val="auto"/>
          <w:sz w:val="24"/>
          <w:szCs w:val="24"/>
          <w:highlight w:val="none"/>
        </w:rPr>
        <w:sectPr>
          <w:headerReference r:id="rId8" w:type="default"/>
          <w:footerReference r:id="rId9" w:type="default"/>
          <w:pgSz w:w="11906" w:h="16838"/>
          <w:pgMar w:top="851" w:right="851" w:bottom="851" w:left="1134" w:header="567" w:footer="567" w:gutter="0"/>
          <w:pgNumType w:start="1"/>
          <w:cols w:space="720" w:num="1"/>
          <w:docGrid w:linePitch="312" w:charSpace="0"/>
        </w:sectPr>
      </w:pPr>
    </w:p>
    <w:p>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bCs/>
          <w:color w:val="auto"/>
          <w:sz w:val="32"/>
          <w:szCs w:val="32"/>
          <w:highlight w:val="none"/>
        </w:rPr>
        <w:t>第四章</w:t>
      </w:r>
      <w:r>
        <w:rPr>
          <w:rFonts w:hint="eastAsia" w:ascii="宋体" w:hAnsi="宋体" w:eastAsia="宋体" w:cs="宋体"/>
          <w:b/>
          <w:color w:val="auto"/>
          <w:sz w:val="32"/>
          <w:szCs w:val="32"/>
          <w:highlight w:val="none"/>
        </w:rPr>
        <w:t xml:space="preserve">  </w:t>
      </w:r>
      <w:r>
        <w:rPr>
          <w:rFonts w:hint="default" w:ascii="宋体" w:hAnsi="宋体" w:cs="宋体"/>
          <w:b/>
          <w:color w:val="auto"/>
          <w:sz w:val="32"/>
          <w:szCs w:val="32"/>
          <w:highlight w:val="none"/>
        </w:rPr>
        <w:t>大宗</w:t>
      </w:r>
      <w:r>
        <w:rPr>
          <w:rFonts w:hint="eastAsia" w:ascii="宋体" w:hAnsi="宋体" w:eastAsia="宋体" w:cs="宋体"/>
          <w:b/>
          <w:color w:val="auto"/>
          <w:sz w:val="32"/>
          <w:szCs w:val="32"/>
          <w:highlight w:val="none"/>
        </w:rPr>
        <w:t>采购合同</w:t>
      </w:r>
    </w:p>
    <w:tbl>
      <w:tblPr>
        <w:tblStyle w:val="14"/>
        <w:tblW w:w="0" w:type="auto"/>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099"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注释： </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本格式条款仅作为双方签订合同的参考，为阐明各方的权利和义务，经协商可增加新的条款、修改相关条款， 但不得与招标文件、投标文件的实质性内容相背离。</w:t>
            </w:r>
          </w:p>
        </w:tc>
      </w:tr>
    </w:tbl>
    <w:p>
      <w:pPr>
        <w:spacing w:line="360" w:lineRule="auto"/>
        <w:jc w:val="center"/>
        <w:rPr>
          <w:rFonts w:ascii="宋体" w:hAnsi="宋体" w:eastAsia="宋体"/>
          <w:b/>
          <w:bCs/>
          <w:color w:val="auto"/>
          <w:sz w:val="32"/>
          <w:szCs w:val="32"/>
          <w:highlight w:val="none"/>
        </w:rPr>
      </w:pPr>
      <w:bookmarkStart w:id="0" w:name="htmc"/>
      <w:bookmarkEnd w:id="0"/>
      <w:r>
        <w:rPr>
          <w:rFonts w:hint="eastAsia" w:ascii="宋体" w:hAnsi="宋体"/>
          <w:b/>
          <w:bCs/>
          <w:color w:val="auto"/>
          <w:sz w:val="32"/>
          <w:szCs w:val="32"/>
          <w:highlight w:val="none"/>
          <w:u w:val="none"/>
        </w:rPr>
        <w:t>大宗激光打印机</w:t>
      </w:r>
      <w:r>
        <w:rPr>
          <w:rFonts w:hint="eastAsia" w:ascii="宋体" w:hAnsi="宋体"/>
          <w:b/>
          <w:bCs/>
          <w:color w:val="auto"/>
          <w:sz w:val="32"/>
          <w:szCs w:val="32"/>
          <w:highlight w:val="none"/>
        </w:rPr>
        <w:t>采购合同</w:t>
      </w:r>
    </w:p>
    <w:p>
      <w:pPr>
        <w:spacing w:line="360" w:lineRule="auto"/>
        <w:ind w:left="-284"/>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合同编号：</w:t>
      </w:r>
      <w:bookmarkStart w:id="1" w:name="jfhtbh"/>
      <w:bookmarkEnd w:id="1"/>
    </w:p>
    <w:p>
      <w:pPr>
        <w:adjustRightInd w:val="0"/>
        <w:snapToGrid w:val="0"/>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买方：</w:t>
      </w:r>
      <w:bookmarkStart w:id="2" w:name="jf"/>
      <w:bookmarkEnd w:id="2"/>
      <w:r>
        <w:rPr>
          <w:rFonts w:hint="eastAsia" w:ascii="宋体" w:hAnsi="宋体" w:eastAsia="宋体"/>
          <w:color w:val="auto"/>
          <w:sz w:val="24"/>
          <w:szCs w:val="24"/>
          <w:highlight w:val="none"/>
        </w:rPr>
        <w:t xml:space="preserve">                </w:t>
      </w:r>
    </w:p>
    <w:p>
      <w:pPr>
        <w:adjustRightInd w:val="0"/>
        <w:snapToGrid w:val="0"/>
        <w:spacing w:line="360" w:lineRule="auto"/>
        <w:jc w:val="left"/>
        <w:rPr>
          <w:rFonts w:ascii="宋体" w:hAnsi="宋体" w:eastAsia="宋体"/>
          <w:color w:val="auto"/>
          <w:sz w:val="24"/>
          <w:szCs w:val="24"/>
          <w:highlight w:val="none"/>
        </w:rPr>
      </w:pPr>
      <w:r>
        <w:rPr>
          <w:rFonts w:hint="eastAsia" w:ascii="宋体" w:hAnsi="宋体" w:eastAsia="宋体"/>
          <w:color w:val="auto"/>
          <w:sz w:val="24"/>
          <w:szCs w:val="24"/>
          <w:highlight w:val="none"/>
        </w:rPr>
        <w:t>卖方：</w:t>
      </w:r>
      <w:bookmarkStart w:id="3" w:name="yf"/>
    </w:p>
    <w:bookmarkEnd w:id="3"/>
    <w:p>
      <w:pPr>
        <w:adjustRightInd w:val="0"/>
        <w:snapToGrid w:val="0"/>
        <w:spacing w:line="360" w:lineRule="auto"/>
        <w:ind w:firstLine="480"/>
        <w:rPr>
          <w:rFonts w:ascii="宋体" w:hAnsi="宋体" w:eastAsia="宋体"/>
          <w:color w:val="auto"/>
          <w:sz w:val="24"/>
          <w:szCs w:val="24"/>
          <w:highlight w:val="none"/>
        </w:rPr>
      </w:pPr>
      <w:r>
        <w:rPr>
          <w:rFonts w:hint="eastAsia" w:ascii="宋体" w:hAnsi="宋体" w:eastAsia="宋体"/>
          <w:color w:val="auto"/>
          <w:sz w:val="24"/>
          <w:szCs w:val="24"/>
          <w:highlight w:val="none"/>
        </w:rPr>
        <w:t>根据买方对进行采购（招标/项目编号：</w:t>
      </w:r>
      <w:bookmarkStart w:id="4" w:name="zbxmbh"/>
      <w:bookmarkEnd w:id="4"/>
      <w:r>
        <w:rPr>
          <w:rFonts w:hint="eastAsia" w:ascii="宋体" w:hAnsi="宋体" w:eastAsia="宋体"/>
          <w:color w:val="auto"/>
          <w:sz w:val="24"/>
          <w:szCs w:val="24"/>
          <w:highlight w:val="none"/>
        </w:rPr>
        <w:t>）的采购结果，现依照招标/采购文件、投标/报价文件及有关法律、法规、规章规定的内容，双方达成如下协议：</w:t>
      </w:r>
    </w:p>
    <w:p>
      <w:pPr>
        <w:numPr>
          <w:ilvl w:val="0"/>
          <w:numId w:val="4"/>
        </w:numPr>
        <w:adjustRightInd w:val="0"/>
        <w:snapToGrid w:val="0"/>
        <w:spacing w:line="360" w:lineRule="auto"/>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合同标的物和合同价格</w:t>
      </w:r>
    </w:p>
    <w:p>
      <w:pPr>
        <w:numPr>
          <w:ilvl w:val="0"/>
          <w:numId w:val="0"/>
        </w:numPr>
        <w:adjustRightInd w:val="0"/>
        <w:snapToGrid w:val="0"/>
        <w:spacing w:line="360" w:lineRule="auto"/>
        <w:rPr>
          <w:rFonts w:hint="eastAsia" w:ascii="宋体" w:hAnsi="宋体" w:eastAsia="宋体" w:cs="宋体"/>
          <w:b/>
          <w:color w:val="auto"/>
          <w:sz w:val="24"/>
          <w:szCs w:val="24"/>
          <w:highlight w:val="none"/>
          <w:lang w:val="en-US"/>
        </w:rPr>
      </w:pPr>
      <w:r>
        <w:rPr>
          <w:rFonts w:hint="eastAsia" w:ascii="宋体" w:hAnsi="宋体" w:eastAsia="宋体" w:cs="宋体"/>
          <w:b/>
          <w:color w:val="auto"/>
          <w:sz w:val="24"/>
          <w:szCs w:val="24"/>
          <w:highlight w:val="none"/>
        </w:rPr>
        <w:fldChar w:fldCharType="begin">
          <w:ffData>
            <w:name w:val="Text1"/>
            <w:enabled/>
            <w:calcOnExit w:val="0"/>
            <w:textInput/>
          </w:ffData>
        </w:fldChar>
      </w:r>
      <w:bookmarkStart w:id="5" w:name="Text1"/>
      <w:r>
        <w:rPr>
          <w:rFonts w:hint="eastAsia" w:ascii="宋体" w:hAnsi="宋体" w:eastAsia="宋体" w:cs="宋体"/>
          <w:b/>
          <w:color w:val="auto"/>
          <w:sz w:val="24"/>
          <w:szCs w:val="24"/>
          <w:highlight w:val="none"/>
        </w:rPr>
        <w:instrText xml:space="preserve">FORMTEXT</w:instrText>
      </w:r>
      <w:r>
        <w:rPr>
          <w:rFonts w:hint="eastAsia" w:ascii="宋体" w:hAnsi="宋体" w:eastAsia="宋体" w:cs="宋体"/>
          <w:b/>
          <w:color w:val="auto"/>
          <w:sz w:val="24"/>
          <w:szCs w:val="24"/>
          <w:highlight w:val="none"/>
        </w:rPr>
        <w:fldChar w:fldCharType="separate"/>
      </w:r>
    </w:p>
    <w:tbl>
      <w:tblPr>
        <w:tblStyle w:val="14"/>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802"/>
        <w:gridCol w:w="1418"/>
        <w:gridCol w:w="1701"/>
        <w:gridCol w:w="131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60"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产品名称</w:t>
            </w:r>
          </w:p>
        </w:tc>
        <w:tc>
          <w:tcPr>
            <w:tcW w:w="1802"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规格型号</w:t>
            </w:r>
          </w:p>
        </w:tc>
        <w:tc>
          <w:tcPr>
            <w:tcW w:w="1418"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制造商</w:t>
            </w:r>
          </w:p>
        </w:tc>
        <w:tc>
          <w:tcPr>
            <w:tcW w:w="1701"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单价（元/台）</w:t>
            </w:r>
          </w:p>
        </w:tc>
        <w:tc>
          <w:tcPr>
            <w:tcW w:w="1319"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数量（台）</w:t>
            </w:r>
          </w:p>
        </w:tc>
        <w:tc>
          <w:tcPr>
            <w:tcW w:w="1560"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60"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c>
          <w:tcPr>
            <w:tcW w:w="1802"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c>
          <w:tcPr>
            <w:tcW w:w="1418"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c>
          <w:tcPr>
            <w:tcW w:w="1701"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c>
          <w:tcPr>
            <w:tcW w:w="1319"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c>
          <w:tcPr>
            <w:tcW w:w="1560"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60"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c>
          <w:tcPr>
            <w:tcW w:w="1802"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c>
          <w:tcPr>
            <w:tcW w:w="1418"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701"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c>
          <w:tcPr>
            <w:tcW w:w="1319"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c>
          <w:tcPr>
            <w:tcW w:w="1560"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481" w:type="dxa"/>
            <w:gridSpan w:val="4"/>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合计：</w:t>
            </w:r>
          </w:p>
        </w:tc>
        <w:tc>
          <w:tcPr>
            <w:tcW w:w="1319"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c>
          <w:tcPr>
            <w:tcW w:w="1560" w:type="dxa"/>
            <w:vAlign w:val="bottom"/>
          </w:tcPr>
          <w:p>
            <w:pPr>
              <w:keepNext w:val="0"/>
              <w:keepLines w:val="0"/>
              <w:widowControl/>
              <w:suppressLineNumbers w:val="0"/>
              <w:adjustRightInd w:val="0"/>
              <w:snapToGrid w:val="0"/>
              <w:spacing w:before="0" w:beforeAutospacing="0" w:after="0" w:afterAutospacing="0" w:line="360" w:lineRule="auto"/>
              <w:ind w:left="0" w:right="0"/>
              <w:jc w:val="center"/>
              <w:textAlignment w:val="bottom"/>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60" w:type="dxa"/>
            <w:gridSpan w:val="6"/>
            <w:vAlign w:val="center"/>
          </w:tcPr>
          <w:p>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合同总价：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60" w:type="dxa"/>
            <w:gridSpan w:val="6"/>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备注：</w:t>
            </w:r>
          </w:p>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单价为综合单价，为经最终验收合格并交付使用所有可能发生的费用，包括设备费、运送至买方指定地点的运输费（含二次配送费用、仓储操作费）、装卸费、保险费、采购保管、安装调试、产品检验检测、税收以及售后服务等一切费用。上表数量为暂定数量，买方可根据实际需求情况对各规格型号的产品数量进行调整，买方将按实际最终验收合格的数量和综合单价进行结算。</w:t>
            </w:r>
          </w:p>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2、买方有权向</w:t>
            </w:r>
            <w:r>
              <w:rPr>
                <w:rFonts w:hint="eastAsia" w:ascii="宋体" w:hAnsi="宋体" w:eastAsia="宋体" w:cs="宋体"/>
                <w:color w:val="auto"/>
                <w:kern w:val="0"/>
                <w:sz w:val="24"/>
                <w:szCs w:val="24"/>
                <w:highlight w:val="none"/>
                <w:u w:val="single"/>
              </w:rPr>
              <w:t>厦门市机关事业单位</w:t>
            </w:r>
            <w:r>
              <w:rPr>
                <w:rFonts w:hint="eastAsia" w:ascii="宋体" w:hAnsi="宋体" w:eastAsia="宋体" w:cs="宋体"/>
                <w:color w:val="auto"/>
                <w:kern w:val="0"/>
                <w:sz w:val="24"/>
                <w:szCs w:val="24"/>
                <w:highlight w:val="none"/>
              </w:rPr>
              <w:t>及</w:t>
            </w:r>
            <w:r>
              <w:rPr>
                <w:rFonts w:hint="eastAsia" w:ascii="宋体" w:hAnsi="宋体" w:eastAsia="宋体" w:cs="宋体"/>
                <w:color w:val="auto"/>
                <w:kern w:val="0"/>
                <w:sz w:val="24"/>
                <w:szCs w:val="24"/>
                <w:highlight w:val="none"/>
                <w:u w:val="single"/>
              </w:rPr>
              <w:t>福建省内其他终端用户</w:t>
            </w:r>
            <w:r>
              <w:rPr>
                <w:rFonts w:hint="eastAsia" w:ascii="宋体" w:hAnsi="宋体" w:eastAsia="宋体" w:cs="宋体"/>
                <w:color w:val="auto"/>
                <w:kern w:val="0"/>
                <w:sz w:val="24"/>
                <w:szCs w:val="24"/>
                <w:highlight w:val="none"/>
              </w:rPr>
              <w:t>（以上统称最终用户）进行供货，卖方须提供相应的安装及售后服务保障。</w:t>
            </w:r>
          </w:p>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3、具体技术参数详见附件1。卖方应免费向买方提供附件1内各型号备用机各</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台，备用机应与首批《定货单》确定的货物一同交付，卖方逾期交付备用机的，买方有权直接扣除卖方相应金额的履约保证金，针对合同标的物的各条款同样适用于备用机。保修期满后，备用机归买方所有。</w:t>
            </w:r>
          </w:p>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、合同期内，每三个月，买方可根据市场行情变化，与卖方就产品单价进行重新谈判，价格不得高于本合同约定的单价。</w:t>
            </w:r>
          </w:p>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合同期内，遇卖方下调合同相关型号货物价格，卖方应在2个工作日内将新的价格以书面形式告知买方，经买方确认后按最新价格进行供货并结算。一旦买方发现合同结算单价高于其它同类销售渠道或主流网站（京东、苏宁易购、国美、天猫）等的常规销售价格，买方有权要求卖方按照主流网站的最低价格再下浮</w:t>
            </w:r>
            <w:r>
              <w:rPr>
                <w:rFonts w:hint="eastAsia" w:ascii="宋体" w:hAnsi="宋体" w:eastAsia="宋体" w:cs="宋体"/>
                <w:color w:val="auto"/>
                <w:sz w:val="24"/>
                <w:szCs w:val="24"/>
                <w:highlight w:val="none"/>
                <w:u w:val="single"/>
              </w:rPr>
              <w:t>1.5%</w:t>
            </w:r>
            <w:r>
              <w:rPr>
                <w:rFonts w:hint="eastAsia" w:ascii="宋体" w:hAnsi="宋体" w:eastAsia="宋体" w:cs="宋体"/>
                <w:color w:val="auto"/>
                <w:sz w:val="24"/>
                <w:szCs w:val="24"/>
                <w:highlight w:val="none"/>
              </w:rPr>
              <w:t>作为合同货物的结算价格，如卖方拒绝调整或双方就价格调整无法协商一致的，卖方应按逾期天数，每日承担相当于4.1条约定的履约保证金总金额0.5%的违约金，同时买方有权终止本合同，不视为买方违约。</w:t>
            </w:r>
          </w:p>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、本合同有效期：</w:t>
            </w:r>
            <w:r>
              <w:rPr>
                <w:rFonts w:hint="eastAsia" w:ascii="宋体" w:hAnsi="宋体" w:eastAsia="宋体" w:cs="宋体"/>
                <w:color w:val="auto"/>
                <w:kern w:val="0"/>
                <w:sz w:val="24"/>
                <w:szCs w:val="24"/>
                <w:highlight w:val="none"/>
                <w:lang w:eastAsia="zh-CN"/>
              </w:rPr>
              <w:t>一</w:t>
            </w:r>
            <w:r>
              <w:rPr>
                <w:rFonts w:hint="eastAsia" w:ascii="宋体" w:hAnsi="宋体" w:eastAsia="宋体" w:cs="宋体"/>
                <w:color w:val="auto"/>
                <w:kern w:val="0"/>
                <w:sz w:val="24"/>
                <w:szCs w:val="24"/>
                <w:highlight w:val="none"/>
              </w:rPr>
              <w:t>年，自年月日至年月日。</w:t>
            </w:r>
            <w:r>
              <w:rPr>
                <w:rFonts w:hint="eastAsia" w:ascii="宋体" w:hAnsi="宋体" w:eastAsia="宋体" w:cs="宋体"/>
                <w:color w:val="auto"/>
                <w:kern w:val="0"/>
                <w:sz w:val="24"/>
                <w:szCs w:val="24"/>
                <w:highlight w:val="none"/>
              </w:rPr>
              <w:t>若合同到期之日下一期采购合同尚未生效，本合同自动顺延至下一期新的合同生效之日止。</w:t>
            </w:r>
          </w:p>
        </w:tc>
      </w:tr>
    </w:tbl>
    <w:p>
      <w:pPr>
        <w:numPr>
          <w:ilvl w:val="0"/>
          <w:numId w:val="0"/>
        </w:numPr>
        <w:adjustRightInd w:val="0"/>
        <w:snapToGrid w:val="0"/>
        <w:spacing w:line="360" w:lineRule="auto"/>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val="en-US"/>
        </w:rPr>
        <w:t> </w:t>
      </w:r>
      <w:r>
        <w:rPr>
          <w:rFonts w:hint="eastAsia" w:ascii="宋体" w:hAnsi="宋体" w:eastAsia="宋体" w:cs="宋体"/>
          <w:b/>
          <w:color w:val="auto"/>
          <w:sz w:val="24"/>
          <w:szCs w:val="24"/>
          <w:highlight w:val="none"/>
        </w:rPr>
        <w:fldChar w:fldCharType="end"/>
      </w:r>
      <w:bookmarkEnd w:id="5"/>
    </w:p>
    <w:p>
      <w:pPr>
        <w:adjustRightInd w:val="0"/>
        <w:snapToGrid w:val="0"/>
        <w:spacing w:beforeLines="50" w:line="360" w:lineRule="auto"/>
        <w:rPr>
          <w:rFonts w:ascii="宋体" w:hAnsi="宋体" w:eastAsia="宋体"/>
          <w:b/>
          <w:color w:val="auto"/>
          <w:sz w:val="24"/>
          <w:szCs w:val="24"/>
          <w:highlight w:val="none"/>
        </w:rPr>
      </w:pPr>
      <w:r>
        <w:rPr>
          <w:rFonts w:hint="eastAsia" w:ascii="宋体" w:hAnsi="宋体" w:eastAsia="宋体"/>
          <w:b/>
          <w:color w:val="auto"/>
          <w:sz w:val="24"/>
          <w:szCs w:val="24"/>
          <w:highlight w:val="none"/>
        </w:rPr>
        <w:t>2、交货方式</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2.1卖方按买方要求分批次供货。卖方送货至买方指定地点。</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2.1.1买方向卖方提交《定货单》的方式包括：合同书《定货单》形式、电子数据《定货单》形式等。以上所有《定货单》均适用于本合同。</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2.1.2合同书《定货单》形式，指买方向卖方提交加盖买方有效印章的《定货单》。</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2.1.3电子数据《定货单》形式：指买方通过指定的邮箱、微信等方式向卖方提交加盖买方有效印章的《定货单》扫描件。</w:t>
      </w:r>
      <w:sdt>
        <w:sdtPr>
          <w:rPr>
            <w:rFonts w:ascii="宋体" w:hAnsi="宋体" w:eastAsia="宋体" w:cstheme="minorBidi"/>
            <w:color w:val="auto"/>
            <w:kern w:val="2"/>
            <w:sz w:val="24"/>
            <w:szCs w:val="24"/>
            <w:highlight w:val="none"/>
            <w:lang w:val="en-US" w:eastAsia="zh-CN" w:bidi="ar-SA"/>
          </w:rPr>
          <w:id w:val="147473091"/>
          <w:placeholder>
            <w:docPart w:val="{0b568690-40d8-44bb-abd4-b5939b601d25}"/>
          </w:placeholder>
        </w:sdtPr>
        <w:sdtEndPr>
          <w:rPr>
            <w:rFonts w:hint="eastAsia" w:ascii="宋体" w:hAnsi="宋体" w:eastAsia="宋体" w:cstheme="minorBidi"/>
            <w:color w:val="auto"/>
            <w:kern w:val="2"/>
            <w:sz w:val="24"/>
            <w:szCs w:val="24"/>
            <w:highlight w:val="none"/>
            <w:lang w:val="en-US" w:eastAsia="zh-CN" w:bidi="ar-SA"/>
          </w:rPr>
        </w:sdtEndPr>
        <w:sdtContent>
          <w:r>
            <w:rPr>
              <w:rFonts w:ascii="宋体" w:hAnsi="宋体" w:cstheme="minorBidi"/>
              <w:color w:val="auto"/>
              <w:kern w:val="2"/>
              <w:sz w:val="24"/>
              <w:szCs w:val="24"/>
              <w:highlight w:val="none"/>
              <w:lang w:eastAsia="zh-CN" w:bidi="ar-SA"/>
            </w:rPr>
            <w:t xml:space="preserve"> </w:t>
          </w:r>
        </w:sdtContent>
      </w:sdt>
    </w:p>
    <w:p>
      <w:pPr>
        <w:adjustRightInd w:val="0"/>
        <w:snapToGrid w:val="0"/>
        <w:spacing w:line="360" w:lineRule="auto"/>
        <w:ind w:firstLine="480" w:firstLineChars="200"/>
        <w:rPr>
          <w:rFonts w:hint="default" w:ascii="宋体" w:hAnsi="宋体" w:eastAsia="宋体"/>
          <w:color w:val="auto"/>
          <w:sz w:val="24"/>
          <w:szCs w:val="24"/>
          <w:highlight w:val="none"/>
          <w:lang w:val="en-US"/>
        </w:rPr>
      </w:pPr>
      <w:r>
        <w:rPr>
          <w:rFonts w:ascii="宋体" w:hAnsi="宋体" w:eastAsia="宋体"/>
          <w:color w:val="auto"/>
          <w:sz w:val="24"/>
          <w:szCs w:val="24"/>
          <w:highlight w:val="none"/>
        </w:rPr>
        <w:fldChar w:fldCharType="begin">
          <w:ffData>
            <w:name w:val="Text2"/>
            <w:enabled/>
            <w:calcOnExit w:val="0"/>
            <w:textInput/>
          </w:ffData>
        </w:fldChar>
      </w:r>
      <w:bookmarkStart w:id="6" w:name="Text2"/>
      <w:r>
        <w:rPr>
          <w:rFonts w:ascii="宋体" w:hAnsi="宋体" w:eastAsia="宋体"/>
          <w:color w:val="auto"/>
          <w:sz w:val="24"/>
          <w:szCs w:val="24"/>
          <w:highlight w:val="none"/>
        </w:rPr>
        <w:instrText xml:space="preserve">FORMTEXT</w:instrText>
      </w:r>
      <w:r>
        <w:rPr>
          <w:rFonts w:ascii="宋体" w:hAnsi="宋体" w:eastAsia="宋体"/>
          <w:color w:val="auto"/>
          <w:sz w:val="24"/>
          <w:szCs w:val="24"/>
          <w:highlight w:val="none"/>
        </w:rPr>
        <w:fldChar w:fldCharType="separate"/>
      </w:r>
      <w:r>
        <w:rPr>
          <w:rFonts w:hint="default" w:ascii="宋体" w:hAnsi="宋体" w:eastAsia="宋体"/>
          <w:color w:val="auto"/>
          <w:sz w:val="24"/>
          <w:szCs w:val="24"/>
          <w:highlight w:val="none"/>
          <w:lang w:val="en-US"/>
        </w:rPr>
        <w:t> </w:t>
      </w:r>
    </w:p>
    <w:tbl>
      <w:tblPr>
        <w:tblStyle w:val="14"/>
        <w:tblW w:w="8344" w:type="dxa"/>
        <w:tblInd w:w="299" w:type="dxa"/>
        <w:tblLayout w:type="autofit"/>
        <w:tblCellMar>
          <w:top w:w="0" w:type="dxa"/>
          <w:left w:w="0" w:type="dxa"/>
          <w:bottom w:w="0" w:type="dxa"/>
          <w:right w:w="0" w:type="dxa"/>
        </w:tblCellMar>
      </w:tblPr>
      <w:tblGrid>
        <w:gridCol w:w="2782"/>
        <w:gridCol w:w="3012"/>
        <w:gridCol w:w="2550"/>
      </w:tblGrid>
      <w:tr>
        <w:tblPrEx>
          <w:tblCellMar>
            <w:top w:w="0" w:type="dxa"/>
            <w:left w:w="0" w:type="dxa"/>
            <w:bottom w:w="0" w:type="dxa"/>
            <w:right w:w="0" w:type="dxa"/>
          </w:tblCellMar>
        </w:tblPrEx>
        <w:trPr>
          <w:trHeight w:val="325" w:hRule="atLeast"/>
        </w:trPr>
        <w:tc>
          <w:tcPr>
            <w:tcW w:w="27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 w:val="24"/>
                <w:highlight w:val="none"/>
              </w:rPr>
            </w:pPr>
            <w:r>
              <w:rPr>
                <w:rFonts w:hint="eastAsia" w:ascii="宋体" w:hAnsi="宋体" w:eastAsia="宋体" w:cs="宋体"/>
                <w:bCs/>
                <w:color w:val="auto"/>
                <w:sz w:val="24"/>
                <w:highlight w:val="none"/>
              </w:rPr>
              <w:t>类型</w:t>
            </w:r>
          </w:p>
        </w:tc>
        <w:tc>
          <w:tcPr>
            <w:tcW w:w="3012" w:type="dxa"/>
            <w:tcBorders>
              <w:top w:val="single" w:color="auto" w:sz="8" w:space="0"/>
              <w:left w:val="nil"/>
              <w:bottom w:val="single" w:color="auto" w:sz="8" w:space="0"/>
              <w:right w:val="single" w:color="auto" w:sz="8" w:space="0"/>
            </w:tcBorders>
            <w:tcMar>
              <w:top w:w="15" w:type="dxa"/>
              <w:left w:w="15" w:type="dxa"/>
              <w:bottom w:w="0" w:type="dxa"/>
              <w:right w:w="15" w:type="dxa"/>
            </w:tcMa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 w:val="24"/>
                <w:highlight w:val="none"/>
              </w:rPr>
            </w:pPr>
            <w:r>
              <w:rPr>
                <w:rFonts w:hint="eastAsia" w:ascii="宋体" w:hAnsi="宋体" w:eastAsia="宋体" w:cs="宋体"/>
                <w:bCs/>
                <w:color w:val="auto"/>
                <w:sz w:val="24"/>
                <w:highlight w:val="none"/>
              </w:rPr>
              <w:t>卖方</w:t>
            </w:r>
          </w:p>
        </w:tc>
        <w:tc>
          <w:tcPr>
            <w:tcW w:w="2550" w:type="dxa"/>
            <w:tcBorders>
              <w:top w:val="single" w:color="auto" w:sz="8" w:space="0"/>
              <w:left w:val="nil"/>
              <w:bottom w:val="single" w:color="auto" w:sz="8" w:space="0"/>
              <w:right w:val="single" w:color="auto" w:sz="8" w:space="0"/>
            </w:tcBorders>
            <w:tcMar>
              <w:top w:w="15" w:type="dxa"/>
              <w:left w:w="15" w:type="dxa"/>
              <w:bottom w:w="0" w:type="dxa"/>
              <w:right w:w="15" w:type="dxa"/>
            </w:tcMa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 w:val="24"/>
                <w:highlight w:val="none"/>
              </w:rPr>
            </w:pPr>
            <w:r>
              <w:rPr>
                <w:rFonts w:hint="eastAsia" w:ascii="宋体" w:hAnsi="宋体" w:eastAsia="宋体" w:cs="宋体"/>
                <w:bCs/>
                <w:color w:val="auto"/>
                <w:sz w:val="24"/>
                <w:highlight w:val="none"/>
              </w:rPr>
              <w:t>买方</w:t>
            </w:r>
          </w:p>
        </w:tc>
      </w:tr>
      <w:tr>
        <w:tblPrEx>
          <w:tblCellMar>
            <w:top w:w="0" w:type="dxa"/>
            <w:left w:w="0" w:type="dxa"/>
            <w:bottom w:w="0" w:type="dxa"/>
            <w:right w:w="0" w:type="dxa"/>
          </w:tblCellMar>
        </w:tblPrEx>
        <w:trPr>
          <w:trHeight w:val="325" w:hRule="atLeast"/>
        </w:trPr>
        <w:tc>
          <w:tcPr>
            <w:tcW w:w="2782" w:type="dxa"/>
            <w:tcBorders>
              <w:top w:val="nil"/>
              <w:left w:val="single" w:color="auto" w:sz="8" w:space="0"/>
              <w:bottom w:val="single" w:color="auto" w:sz="8" w:space="0"/>
              <w:right w:val="single" w:color="auto" w:sz="8" w:space="0"/>
            </w:tcBorders>
            <w:tcMar>
              <w:top w:w="15" w:type="dxa"/>
              <w:left w:w="15" w:type="dxa"/>
              <w:bottom w:w="0" w:type="dxa"/>
              <w:right w:w="15" w:type="dxa"/>
            </w:tcMa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 w:val="24"/>
                <w:highlight w:val="none"/>
              </w:rPr>
            </w:pPr>
            <w:r>
              <w:rPr>
                <w:rFonts w:hint="eastAsia" w:ascii="宋体" w:hAnsi="宋体" w:eastAsia="宋体" w:cs="宋体"/>
                <w:bCs/>
                <w:color w:val="auto"/>
                <w:sz w:val="24"/>
                <w:highlight w:val="none"/>
              </w:rPr>
              <w:t>联系人</w:t>
            </w:r>
          </w:p>
        </w:tc>
        <w:tc>
          <w:tcPr>
            <w:tcW w:w="3012"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sz w:val="24"/>
                <w:highlight w:val="none"/>
              </w:rPr>
            </w:pPr>
          </w:p>
        </w:tc>
        <w:tc>
          <w:tcPr>
            <w:tcW w:w="2550"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sz w:val="24"/>
                <w:highlight w:val="none"/>
              </w:rPr>
            </w:pPr>
          </w:p>
        </w:tc>
      </w:tr>
      <w:tr>
        <w:tblPrEx>
          <w:tblCellMar>
            <w:top w:w="0" w:type="dxa"/>
            <w:left w:w="0" w:type="dxa"/>
            <w:bottom w:w="0" w:type="dxa"/>
            <w:right w:w="0" w:type="dxa"/>
          </w:tblCellMar>
        </w:tblPrEx>
        <w:trPr>
          <w:trHeight w:val="325" w:hRule="atLeast"/>
        </w:trPr>
        <w:tc>
          <w:tcPr>
            <w:tcW w:w="2782" w:type="dxa"/>
            <w:tcBorders>
              <w:top w:val="nil"/>
              <w:left w:val="single" w:color="auto" w:sz="8" w:space="0"/>
              <w:bottom w:val="single" w:color="auto" w:sz="8" w:space="0"/>
              <w:right w:val="single" w:color="auto" w:sz="8" w:space="0"/>
            </w:tcBorders>
            <w:tcMar>
              <w:top w:w="15" w:type="dxa"/>
              <w:left w:w="15" w:type="dxa"/>
              <w:bottom w:w="0" w:type="dxa"/>
              <w:right w:w="15" w:type="dxa"/>
            </w:tcMa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 w:val="24"/>
                <w:highlight w:val="none"/>
              </w:rPr>
            </w:pPr>
            <w:r>
              <w:rPr>
                <w:rFonts w:hint="eastAsia" w:ascii="宋体" w:hAnsi="宋体" w:eastAsia="宋体" w:cs="宋体"/>
                <w:bCs/>
                <w:color w:val="auto"/>
                <w:sz w:val="24"/>
                <w:highlight w:val="none"/>
              </w:rPr>
              <w:t>电话（同微信）</w:t>
            </w:r>
          </w:p>
        </w:tc>
        <w:tc>
          <w:tcPr>
            <w:tcW w:w="3012"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sz w:val="24"/>
                <w:highlight w:val="none"/>
              </w:rPr>
            </w:pPr>
          </w:p>
        </w:tc>
        <w:tc>
          <w:tcPr>
            <w:tcW w:w="2550" w:type="dxa"/>
            <w:tcBorders>
              <w:top w:val="nil"/>
              <w:left w:val="nil"/>
              <w:bottom w:val="single" w:color="auto" w:sz="8" w:space="0"/>
              <w:right w:val="single" w:color="auto" w:sz="8" w:space="0"/>
            </w:tcBorders>
            <w:tcMar>
              <w:top w:w="15" w:type="dxa"/>
              <w:left w:w="15" w:type="dxa"/>
              <w:bottom w:w="0" w:type="dxa"/>
              <w:right w:w="15" w:type="dxa"/>
            </w:tcMa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sz w:val="24"/>
                <w:highlight w:val="none"/>
              </w:rPr>
            </w:pPr>
          </w:p>
        </w:tc>
      </w:tr>
      <w:tr>
        <w:tblPrEx>
          <w:tblCellMar>
            <w:top w:w="0" w:type="dxa"/>
            <w:left w:w="0" w:type="dxa"/>
            <w:bottom w:w="0" w:type="dxa"/>
            <w:right w:w="0" w:type="dxa"/>
          </w:tblCellMar>
        </w:tblPrEx>
        <w:trPr>
          <w:trHeight w:val="325" w:hRule="atLeast"/>
        </w:trPr>
        <w:tc>
          <w:tcPr>
            <w:tcW w:w="2782" w:type="dxa"/>
            <w:tcBorders>
              <w:top w:val="nil"/>
              <w:left w:val="single" w:color="auto" w:sz="8" w:space="0"/>
              <w:bottom w:val="single" w:color="auto" w:sz="8" w:space="0"/>
              <w:right w:val="single" w:color="auto" w:sz="8" w:space="0"/>
            </w:tcBorders>
            <w:tcMar>
              <w:top w:w="15" w:type="dxa"/>
              <w:left w:w="15" w:type="dxa"/>
              <w:bottom w:w="0" w:type="dxa"/>
              <w:right w:w="15" w:type="dxa"/>
            </w:tcMa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 w:val="24"/>
                <w:highlight w:val="none"/>
              </w:rPr>
            </w:pPr>
            <w:r>
              <w:rPr>
                <w:rFonts w:hint="eastAsia" w:ascii="宋体" w:hAnsi="宋体" w:eastAsia="宋体" w:cs="宋体"/>
                <w:bCs/>
                <w:color w:val="auto"/>
                <w:sz w:val="24"/>
                <w:highlight w:val="none"/>
              </w:rPr>
              <w:t>座机</w:t>
            </w:r>
          </w:p>
        </w:tc>
        <w:tc>
          <w:tcPr>
            <w:tcW w:w="3012"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sz w:val="24"/>
                <w:highlight w:val="none"/>
              </w:rPr>
            </w:pPr>
          </w:p>
        </w:tc>
        <w:tc>
          <w:tcPr>
            <w:tcW w:w="2550" w:type="dxa"/>
            <w:tcBorders>
              <w:top w:val="nil"/>
              <w:left w:val="nil"/>
              <w:bottom w:val="single" w:color="auto" w:sz="8" w:space="0"/>
              <w:right w:val="single" w:color="auto" w:sz="8" w:space="0"/>
            </w:tcBorders>
            <w:tcMar>
              <w:top w:w="15" w:type="dxa"/>
              <w:left w:w="15" w:type="dxa"/>
              <w:bottom w:w="0" w:type="dxa"/>
              <w:right w:w="15" w:type="dxa"/>
            </w:tcMa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sz w:val="24"/>
                <w:highlight w:val="none"/>
              </w:rPr>
            </w:pPr>
          </w:p>
        </w:tc>
      </w:tr>
      <w:tr>
        <w:tblPrEx>
          <w:tblCellMar>
            <w:top w:w="0" w:type="dxa"/>
            <w:left w:w="0" w:type="dxa"/>
            <w:bottom w:w="0" w:type="dxa"/>
            <w:right w:w="0" w:type="dxa"/>
          </w:tblCellMar>
        </w:tblPrEx>
        <w:trPr>
          <w:trHeight w:val="325" w:hRule="atLeast"/>
        </w:trPr>
        <w:tc>
          <w:tcPr>
            <w:tcW w:w="2782" w:type="dxa"/>
            <w:tcBorders>
              <w:top w:val="nil"/>
              <w:left w:val="single" w:color="auto" w:sz="8" w:space="0"/>
              <w:bottom w:val="single" w:color="auto" w:sz="8" w:space="0"/>
              <w:right w:val="single" w:color="auto" w:sz="8" w:space="0"/>
            </w:tcBorders>
            <w:tcMar>
              <w:top w:w="15" w:type="dxa"/>
              <w:left w:w="15" w:type="dxa"/>
              <w:bottom w:w="0" w:type="dxa"/>
              <w:right w:w="15" w:type="dxa"/>
            </w:tcMa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 w:val="24"/>
                <w:highlight w:val="none"/>
              </w:rPr>
            </w:pPr>
            <w:r>
              <w:rPr>
                <w:rFonts w:hint="eastAsia" w:ascii="宋体" w:hAnsi="宋体" w:eastAsia="宋体" w:cs="宋体"/>
                <w:bCs/>
                <w:color w:val="auto"/>
                <w:sz w:val="24"/>
                <w:highlight w:val="none"/>
              </w:rPr>
              <w:t>联系邮箱</w:t>
            </w:r>
          </w:p>
        </w:tc>
        <w:tc>
          <w:tcPr>
            <w:tcW w:w="3012"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sz w:val="24"/>
                <w:highlight w:val="none"/>
                <w:u w:val="single"/>
              </w:rPr>
            </w:pPr>
          </w:p>
        </w:tc>
        <w:tc>
          <w:tcPr>
            <w:tcW w:w="2550"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sz w:val="24"/>
                <w:highlight w:val="none"/>
                <w:u w:val="single"/>
              </w:rPr>
            </w:pPr>
          </w:p>
        </w:tc>
      </w:tr>
      <w:tr>
        <w:tblPrEx>
          <w:tblCellMar>
            <w:top w:w="0" w:type="dxa"/>
            <w:left w:w="0" w:type="dxa"/>
            <w:bottom w:w="0" w:type="dxa"/>
            <w:right w:w="0" w:type="dxa"/>
          </w:tblCellMar>
        </w:tblPrEx>
        <w:trPr>
          <w:trHeight w:val="813" w:hRule="atLeast"/>
        </w:trPr>
        <w:tc>
          <w:tcPr>
            <w:tcW w:w="8344" w:type="dxa"/>
            <w:gridSpan w:val="3"/>
            <w:tcBorders>
              <w:top w:val="nil"/>
              <w:left w:val="single" w:color="auto" w:sz="8" w:space="0"/>
              <w:bottom w:val="single" w:color="auto" w:sz="8" w:space="0"/>
              <w:right w:val="single" w:color="auto" w:sz="8" w:space="0"/>
            </w:tcBorders>
            <w:tcMar>
              <w:top w:w="15" w:type="dxa"/>
              <w:left w:w="15" w:type="dxa"/>
              <w:bottom w:w="0" w:type="dxa"/>
              <w:right w:w="15" w:type="dxa"/>
            </w:tcMar>
          </w:tcPr>
          <w:p>
            <w:pPr>
              <w:keepNext w:val="0"/>
              <w:keepLines w:val="0"/>
              <w:widowControl/>
              <w:suppressLineNumbers w:val="0"/>
              <w:adjustRightInd w:val="0"/>
              <w:snapToGrid w:val="0"/>
              <w:spacing w:before="0" w:beforeAutospacing="0" w:after="0" w:afterAutospacing="0" w:line="360" w:lineRule="auto"/>
              <w:ind w:left="0" w:right="0"/>
              <w:jc w:val="left"/>
              <w:rPr>
                <w:rFonts w:hint="default" w:ascii="宋体" w:hAnsi="宋体" w:eastAsia="宋体" w:cs="宋体"/>
                <w:color w:val="auto"/>
                <w:sz w:val="24"/>
                <w:highlight w:val="none"/>
              </w:rPr>
            </w:pPr>
            <w:r>
              <w:rPr>
                <w:rFonts w:hint="eastAsia" w:ascii="宋体" w:hAnsi="宋体" w:eastAsia="宋体" w:cs="宋体"/>
                <w:color w:val="auto"/>
                <w:kern w:val="0"/>
                <w:sz w:val="24"/>
                <w:highlight w:val="none"/>
              </w:rPr>
              <w:t>备注：上述信息发生变更，应提前3个工作日通知对方，否则由此产生的责任、损失由违约方承担。</w:t>
            </w:r>
          </w:p>
        </w:tc>
      </w:tr>
    </w:tbl>
    <w:p>
      <w:pPr>
        <w:adjustRightInd w:val="0"/>
        <w:snapToGrid w:val="0"/>
        <w:spacing w:line="360" w:lineRule="auto"/>
        <w:ind w:firstLine="480" w:firstLineChars="200"/>
        <w:rPr>
          <w:rFonts w:ascii="宋体" w:hAnsi="宋体" w:eastAsia="宋体"/>
          <w:color w:val="auto"/>
          <w:sz w:val="24"/>
          <w:szCs w:val="24"/>
          <w:highlight w:val="none"/>
        </w:rPr>
      </w:pPr>
      <w:r>
        <w:rPr>
          <w:rFonts w:hint="default" w:ascii="宋体" w:hAnsi="宋体" w:eastAsia="宋体"/>
          <w:color w:val="auto"/>
          <w:sz w:val="24"/>
          <w:szCs w:val="24"/>
          <w:highlight w:val="none"/>
          <w:lang w:val="en-US"/>
        </w:rPr>
        <w:t> </w:t>
      </w:r>
      <w:r>
        <w:rPr>
          <w:rFonts w:ascii="宋体" w:hAnsi="宋体" w:eastAsia="宋体"/>
          <w:color w:val="auto"/>
          <w:sz w:val="24"/>
          <w:szCs w:val="24"/>
          <w:highlight w:val="none"/>
        </w:rPr>
        <w:fldChar w:fldCharType="end"/>
      </w:r>
      <w:bookmarkEnd w:id="6"/>
      <w:sdt>
        <w:sdtPr>
          <w:rPr>
            <w:rFonts w:ascii="宋体" w:hAnsi="宋体" w:eastAsia="宋体" w:cstheme="minorBidi"/>
            <w:color w:val="auto"/>
            <w:kern w:val="2"/>
            <w:sz w:val="24"/>
            <w:szCs w:val="24"/>
            <w:highlight w:val="none"/>
            <w:lang w:val="en-US" w:eastAsia="zh-CN" w:bidi="ar-SA"/>
          </w:rPr>
          <w:id w:val="147464593"/>
          <w:placeholder>
            <w:docPart w:val="{cf6f270d-c6d5-4fdf-b0cb-934e4b93336b}"/>
          </w:placeholder>
        </w:sdtPr>
        <w:sdtEndPr>
          <w:rPr>
            <w:rFonts w:ascii="宋体" w:hAnsi="宋体" w:eastAsia="宋体" w:cstheme="minorBidi"/>
            <w:color w:val="auto"/>
            <w:kern w:val="2"/>
            <w:sz w:val="24"/>
            <w:szCs w:val="24"/>
            <w:highlight w:val="none"/>
            <w:lang w:val="en-US" w:eastAsia="zh-CN" w:bidi="ar-SA"/>
          </w:rPr>
        </w:sdtEndPr>
        <w:sdtContent>
          <w:r>
            <w:rPr>
              <w:rFonts w:ascii="宋体" w:hAnsi="宋体" w:cstheme="minorBidi"/>
              <w:color w:val="auto"/>
              <w:kern w:val="2"/>
              <w:sz w:val="24"/>
              <w:szCs w:val="24"/>
              <w:highlight w:val="none"/>
              <w:lang w:eastAsia="zh-CN" w:bidi="ar-SA"/>
            </w:rPr>
            <w:t xml:space="preserve"> </w:t>
          </w:r>
        </w:sdtContent>
      </w:sdt>
    </w:p>
    <w:p>
      <w:pPr>
        <w:adjustRightInd w:val="0"/>
        <w:snapToGrid w:val="0"/>
        <w:spacing w:line="360" w:lineRule="auto"/>
        <w:ind w:firstLine="0" w:firstLineChars="0"/>
        <w:rPr>
          <w:rFonts w:ascii="宋体" w:hAnsi="宋体" w:eastAsia="宋体"/>
          <w:color w:val="auto"/>
          <w:sz w:val="24"/>
          <w:szCs w:val="24"/>
          <w:highlight w:val="none"/>
        </w:rPr>
      </w:pPr>
      <w:r>
        <w:rPr>
          <w:rFonts w:ascii="宋体" w:hAnsi="宋体"/>
          <w:color w:val="auto"/>
          <w:sz w:val="24"/>
          <w:szCs w:val="24"/>
          <w:highlight w:val="none"/>
        </w:rPr>
        <w:t xml:space="preserve">    </w:t>
      </w:r>
      <w:r>
        <w:rPr>
          <w:rFonts w:ascii="宋体" w:hAnsi="宋体" w:eastAsia="宋体"/>
          <w:color w:val="auto"/>
          <w:sz w:val="24"/>
          <w:szCs w:val="24"/>
          <w:highlight w:val="none"/>
        </w:rPr>
        <w:t>2.2交货地点</w:t>
      </w:r>
      <w:r>
        <w:rPr>
          <w:rFonts w:hint="eastAsia" w:ascii="宋体" w:hAnsi="宋体" w:eastAsia="宋体"/>
          <w:color w:val="auto"/>
          <w:sz w:val="24"/>
          <w:szCs w:val="24"/>
          <w:highlight w:val="none"/>
        </w:rPr>
        <w:t>、期限和二次配送</w:t>
      </w:r>
      <w:r>
        <w:rPr>
          <w:rFonts w:ascii="宋体" w:hAnsi="宋体" w:eastAsia="宋体"/>
          <w:color w:val="auto"/>
          <w:sz w:val="24"/>
          <w:szCs w:val="24"/>
          <w:highlight w:val="none"/>
        </w:rPr>
        <w:t>：</w:t>
      </w:r>
      <w:r>
        <w:rPr>
          <w:rFonts w:hint="eastAsia" w:ascii="宋体" w:hAnsi="宋体" w:eastAsia="宋体"/>
          <w:color w:val="auto"/>
          <w:sz w:val="24"/>
          <w:szCs w:val="24"/>
          <w:highlight w:val="none"/>
        </w:rPr>
        <w:t>货交</w:t>
      </w:r>
      <w:r>
        <w:rPr>
          <w:rFonts w:ascii="宋体" w:hAnsi="宋体" w:eastAsia="宋体"/>
          <w:color w:val="auto"/>
          <w:sz w:val="24"/>
          <w:szCs w:val="24"/>
          <w:highlight w:val="none"/>
        </w:rPr>
        <w:t>买方指定地点。</w:t>
      </w:r>
      <w:sdt>
        <w:sdtPr>
          <w:rPr>
            <w:rFonts w:ascii="宋体" w:hAnsi="宋体" w:eastAsia="宋体" w:cstheme="minorBidi"/>
            <w:color w:val="auto"/>
            <w:kern w:val="2"/>
            <w:sz w:val="24"/>
            <w:szCs w:val="24"/>
            <w:highlight w:val="none"/>
            <w:lang w:val="en-US" w:eastAsia="zh-CN" w:bidi="ar-SA"/>
          </w:rPr>
          <w:id w:val="147468493"/>
          <w:placeholder>
            <w:docPart w:val="{d17ed4cc-13ff-4d11-a9ea-446647539ef9}"/>
          </w:placeholder>
        </w:sdtPr>
        <w:sdtEndPr>
          <w:rPr>
            <w:rFonts w:ascii="宋体" w:hAnsi="宋体" w:eastAsia="宋体" w:cstheme="minorBidi"/>
            <w:color w:val="auto"/>
            <w:kern w:val="2"/>
            <w:sz w:val="24"/>
            <w:szCs w:val="24"/>
            <w:highlight w:val="none"/>
            <w:lang w:val="en-US" w:eastAsia="zh-CN" w:bidi="ar-SA"/>
          </w:rPr>
        </w:sdtEndPr>
        <w:sdtContent>
          <w:r>
            <w:rPr>
              <w:rFonts w:ascii="宋体" w:hAnsi="宋体" w:eastAsia="宋体"/>
              <w:color w:val="auto"/>
              <w:sz w:val="24"/>
              <w:szCs w:val="24"/>
              <w:highlight w:val="none"/>
            </w:rPr>
            <w:t>一般情况下，卖方应将货物送至买方仓库（福建省内指定地点）集中仓储，再根据买方指令从仓库提货后进行二次配送至最终用户。特殊情况下，卖方应将货物直接送至最终用户。具体按照《定货单》要求执行。</w:t>
          </w:r>
        </w:sdtContent>
      </w:sdt>
    </w:p>
    <w:sdt>
      <w:sdtPr>
        <w:rPr>
          <w:rFonts w:ascii="宋体" w:hAnsi="宋体" w:eastAsia="宋体" w:cstheme="minorBidi"/>
          <w:color w:val="auto"/>
          <w:kern w:val="2"/>
          <w:sz w:val="24"/>
          <w:szCs w:val="24"/>
          <w:highlight w:val="none"/>
          <w:lang w:val="en-US" w:eastAsia="zh-CN" w:bidi="ar-SA"/>
        </w:rPr>
        <w:id w:val="147463688"/>
        <w:placeholder>
          <w:docPart w:val="{c225dfd5-eb31-4e61-b4f8-83f0dfbc1530}"/>
        </w:placeholder>
      </w:sdtPr>
      <w:sdtEndPr>
        <w:rPr>
          <w:rFonts w:hint="eastAsia" w:ascii="宋体" w:hAnsi="宋体" w:eastAsia="宋体" w:cstheme="minorBidi"/>
          <w:color w:val="auto"/>
          <w:kern w:val="2"/>
          <w:sz w:val="24"/>
          <w:szCs w:val="24"/>
          <w:highlight w:val="none"/>
          <w:lang w:val="en-US" w:eastAsia="zh-CN" w:bidi="ar-SA"/>
        </w:rPr>
      </w:sdtEndPr>
      <w:sdtContent>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2.2.</w:t>
          </w:r>
          <w:r>
            <w:rPr>
              <w:rFonts w:hint="eastAsia" w:ascii="宋体" w:hAnsi="宋体" w:eastAsia="宋体"/>
              <w:color w:val="auto"/>
              <w:sz w:val="24"/>
              <w:szCs w:val="24"/>
              <w:highlight w:val="none"/>
            </w:rPr>
            <w:t>1货物</w:t>
          </w:r>
          <w:r>
            <w:rPr>
              <w:rFonts w:ascii="宋体" w:hAnsi="宋体" w:eastAsia="宋体"/>
              <w:color w:val="auto"/>
              <w:sz w:val="24"/>
              <w:szCs w:val="24"/>
              <w:highlight w:val="none"/>
            </w:rPr>
            <w:t>送</w:t>
          </w:r>
          <w:r>
            <w:rPr>
              <w:rFonts w:hint="eastAsia" w:ascii="宋体" w:hAnsi="宋体" w:eastAsia="宋体"/>
              <w:color w:val="auto"/>
              <w:sz w:val="24"/>
              <w:szCs w:val="24"/>
              <w:highlight w:val="none"/>
            </w:rPr>
            <w:t>买方</w:t>
          </w:r>
          <w:r>
            <w:rPr>
              <w:rFonts w:ascii="宋体" w:hAnsi="宋体" w:eastAsia="宋体"/>
              <w:color w:val="auto"/>
              <w:sz w:val="24"/>
              <w:szCs w:val="24"/>
              <w:highlight w:val="none"/>
            </w:rPr>
            <w:t>仓库后再</w:t>
          </w:r>
          <w:r>
            <w:rPr>
              <w:rFonts w:hint="eastAsia" w:ascii="宋体" w:hAnsi="宋体" w:eastAsia="宋体"/>
              <w:color w:val="auto"/>
              <w:sz w:val="24"/>
              <w:szCs w:val="24"/>
              <w:highlight w:val="none"/>
            </w:rPr>
            <w:t>配</w:t>
          </w:r>
          <w:r>
            <w:rPr>
              <w:rFonts w:ascii="宋体" w:hAnsi="宋体" w:eastAsia="宋体"/>
              <w:color w:val="auto"/>
              <w:sz w:val="24"/>
              <w:szCs w:val="24"/>
              <w:highlight w:val="none"/>
            </w:rPr>
            <w:t>送至最终用户的，</w:t>
          </w:r>
          <w:r>
            <w:rPr>
              <w:rFonts w:hint="eastAsia" w:ascii="宋体" w:hAnsi="宋体" w:eastAsia="宋体"/>
              <w:color w:val="auto"/>
              <w:sz w:val="24"/>
              <w:szCs w:val="24"/>
              <w:highlight w:val="none"/>
            </w:rPr>
            <w:t>卖方应在买方发出《定货单》之日</w:t>
          </w:r>
          <w:r>
            <w:rPr>
              <w:rFonts w:hint="eastAsia" w:ascii="宋体" w:hAnsi="宋体" w:eastAsia="宋体"/>
              <w:color w:val="auto"/>
              <w:sz w:val="24"/>
              <w:szCs w:val="24"/>
              <w:highlight w:val="none"/>
            </w:rPr>
            <w:t>起</w:t>
          </w:r>
          <w:r>
            <w:rPr>
              <w:rFonts w:hint="eastAsia" w:ascii="宋体" w:hAnsi="宋体" w:eastAsia="宋体"/>
              <w:color w:val="auto"/>
              <w:sz w:val="24"/>
              <w:szCs w:val="24"/>
              <w:highlight w:val="none"/>
              <w:u w:val="single"/>
              <w:lang w:val="en-US" w:eastAsia="zh-CN"/>
            </w:rPr>
            <w:t>20</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个日历日之内</w:t>
          </w:r>
          <w:r>
            <w:rPr>
              <w:rFonts w:hint="eastAsia" w:ascii="宋体" w:hAnsi="宋体" w:eastAsia="宋体"/>
              <w:color w:val="auto"/>
              <w:sz w:val="24"/>
              <w:szCs w:val="24"/>
              <w:highlight w:val="none"/>
            </w:rPr>
            <w:t>（《定货单》的交货期与本条约定不一致的，以《定货单》为准）将</w:t>
          </w:r>
          <w:r>
            <w:rPr>
              <w:rFonts w:ascii="宋体" w:hAnsi="宋体" w:eastAsia="宋体"/>
              <w:color w:val="auto"/>
              <w:sz w:val="24"/>
              <w:szCs w:val="24"/>
              <w:highlight w:val="none"/>
            </w:rPr>
            <w:t>货交</w:t>
          </w:r>
          <w:r>
            <w:rPr>
              <w:rFonts w:hint="eastAsia" w:ascii="宋体" w:hAnsi="宋体" w:eastAsia="宋体"/>
              <w:color w:val="auto"/>
              <w:sz w:val="24"/>
              <w:szCs w:val="24"/>
              <w:highlight w:val="none"/>
            </w:rPr>
            <w:t>买方仓库，</w:t>
          </w:r>
          <w:r>
            <w:rPr>
              <w:rFonts w:hint="eastAsia" w:ascii="宋体" w:hAnsi="宋体" w:eastAsia="宋体" w:cstheme="minorBidi"/>
              <w:color w:val="auto"/>
              <w:kern w:val="2"/>
              <w:sz w:val="24"/>
              <w:szCs w:val="24"/>
              <w:highlight w:val="none"/>
              <w:lang w:val="en-US" w:eastAsia="zh-CN" w:bidi="ar-SA"/>
            </w:rPr>
            <w:t xml:space="preserve"> </w:t>
          </w:r>
          <w:r>
            <w:rPr>
              <w:rFonts w:hint="eastAsia" w:ascii="宋体" w:hAnsi="宋体" w:eastAsia="宋体"/>
              <w:color w:val="auto"/>
              <w:sz w:val="24"/>
              <w:szCs w:val="24"/>
              <w:highlight w:val="none"/>
            </w:rPr>
            <w:t>货物到达买方仓库后，卖方应在接到买方通知后24小时内（仅指货物配送时限要求，安装调试至通过验收的时限以6</w:t>
          </w:r>
          <w:r>
            <w:rPr>
              <w:rFonts w:ascii="宋体" w:hAnsi="宋体" w:eastAsia="宋体"/>
              <w:color w:val="auto"/>
              <w:sz w:val="24"/>
              <w:szCs w:val="24"/>
              <w:highlight w:val="none"/>
            </w:rPr>
            <w:t>.1</w:t>
          </w:r>
          <w:r>
            <w:rPr>
              <w:rFonts w:hint="eastAsia" w:ascii="宋体" w:hAnsi="宋体" w:eastAsia="宋体"/>
              <w:color w:val="auto"/>
              <w:sz w:val="24"/>
              <w:szCs w:val="24"/>
              <w:highlight w:val="none"/>
            </w:rPr>
            <w:t>为准）将货物从买方仓库二次配送至最</w:t>
          </w:r>
          <w:r>
            <w:rPr>
              <w:rFonts w:hint="eastAsia" w:ascii="宋体" w:hAnsi="宋体" w:eastAsia="宋体"/>
              <w:color w:val="auto"/>
              <w:sz w:val="24"/>
              <w:szCs w:val="24"/>
              <w:highlight w:val="none"/>
            </w:rPr>
            <w:t>终用户（地址为厦门市岛内行政区域），并按第6条的约定完成安装调试后提请验收交付。</w:t>
          </w:r>
          <w:r>
            <w:rPr>
              <w:rFonts w:ascii="宋体" w:hAnsi="宋体" w:eastAsia="宋体"/>
              <w:color w:val="auto"/>
              <w:sz w:val="24"/>
              <w:szCs w:val="24"/>
              <w:highlight w:val="none"/>
            </w:rPr>
            <w:t>卖方除承担运送至买方仓库的费用</w:t>
          </w:r>
          <w:r>
            <w:rPr>
              <w:rFonts w:hint="eastAsia" w:ascii="宋体" w:hAnsi="宋体" w:eastAsia="宋体"/>
              <w:color w:val="auto"/>
              <w:sz w:val="24"/>
              <w:szCs w:val="24"/>
              <w:highlight w:val="none"/>
            </w:rPr>
            <w:t>、货物存至买方仓库的仓储操作费</w:t>
          </w:r>
          <w:r>
            <w:rPr>
              <w:rFonts w:hint="eastAsia" w:ascii="宋体" w:hAnsi="宋体" w:eastAsia="宋体"/>
              <w:color w:val="auto"/>
              <w:sz w:val="24"/>
              <w:szCs w:val="24"/>
              <w:highlight w:val="none"/>
              <w:lang w:eastAsia="zh-CN"/>
            </w:rPr>
            <w:t>（</w:t>
          </w:r>
          <w:r>
            <w:rPr>
              <w:rFonts w:hint="eastAsia" w:ascii="宋体" w:hAnsi="宋体"/>
              <w:color w:val="auto"/>
              <w:sz w:val="24"/>
              <w:szCs w:val="24"/>
              <w:highlight w:val="none"/>
            </w:rPr>
            <w:t>A4幅面激光打印机仓储操作费10元/台，A3幅面激光打印机仓储操作费15元/台</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rPr>
            <w:t>，还应同时承担从买方仓库运送至最终用户的二次配送费用</w:t>
          </w:r>
          <w:r>
            <w:rPr>
              <w:rFonts w:hint="eastAsia" w:ascii="宋体" w:hAnsi="宋体" w:eastAsia="宋体"/>
              <w:color w:val="auto"/>
              <w:sz w:val="24"/>
              <w:szCs w:val="24"/>
              <w:highlight w:val="none"/>
            </w:rPr>
            <w:t>。卖方从买方仓库中提货之时起至货物经最终用户签收之时止，货物毁损、灭失的风险由卖方承担。</w:t>
          </w:r>
        </w:p>
      </w:sdtContent>
    </w:sdt>
    <w:sdt>
      <w:sdtPr>
        <w:rPr>
          <w:rFonts w:hint="eastAsia" w:ascii="宋体" w:hAnsi="宋体" w:eastAsia="宋体" w:cstheme="minorBidi"/>
          <w:color w:val="auto"/>
          <w:kern w:val="2"/>
          <w:sz w:val="24"/>
          <w:szCs w:val="24"/>
          <w:highlight w:val="none"/>
          <w:lang w:val="en-US" w:eastAsia="zh-CN" w:bidi="ar-SA"/>
        </w:rPr>
        <w:id w:val="147463825"/>
        <w:placeholder>
          <w:docPart w:val="{6925133d-5b9b-4d1a-b3a5-23d5cebeb1f0}"/>
        </w:placeholder>
      </w:sdtPr>
      <w:sdtEndPr>
        <w:rPr>
          <w:rFonts w:hint="eastAsia" w:ascii="宋体" w:hAnsi="宋体" w:eastAsia="宋体" w:cstheme="minorBidi"/>
          <w:color w:val="auto"/>
          <w:kern w:val="2"/>
          <w:sz w:val="24"/>
          <w:szCs w:val="24"/>
          <w:highlight w:val="none"/>
          <w:lang w:val="en-US" w:eastAsia="zh-CN" w:bidi="ar-SA"/>
        </w:rPr>
      </w:sdtEndPr>
      <w:sdtContent>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2.2.2货物直送最终用户的</w:t>
          </w:r>
          <w:r>
            <w:rPr>
              <w:rFonts w:hint="eastAsia" w:ascii="宋体" w:hAnsi="宋体" w:eastAsia="宋体"/>
              <w:color w:val="auto"/>
              <w:sz w:val="24"/>
              <w:szCs w:val="24"/>
              <w:highlight w:val="none"/>
            </w:rPr>
            <w:t>，卖方应在买方发出《定货单》之日起24小时之内（《定货单》的交货期与本条约定不一致的，以《定货单》为准）将货交最终用户，并按第6条的约定完成安装调试后提请验收交付。</w:t>
          </w:r>
        </w:p>
      </w:sdtContent>
    </w:sdt>
    <w:p>
      <w:pPr>
        <w:adjustRightInd w:val="0"/>
        <w:snapToGrid w:val="0"/>
        <w:spacing w:line="360" w:lineRule="auto"/>
        <w:ind w:firstLine="480" w:firstLineChars="200"/>
        <w:rPr>
          <w:color w:val="auto"/>
          <w:highlight w:val="none"/>
        </w:rPr>
      </w:pPr>
      <w:r>
        <w:rPr>
          <w:rFonts w:hint="eastAsia" w:ascii="宋体" w:hAnsi="宋体" w:eastAsia="宋体"/>
          <w:color w:val="auto"/>
          <w:sz w:val="24"/>
          <w:szCs w:val="24"/>
          <w:highlight w:val="none"/>
        </w:rPr>
        <w:t>2.2.3若卖方未按</w:t>
      </w:r>
      <w:r>
        <w:rPr>
          <w:rFonts w:ascii="宋体" w:hAnsi="宋体" w:eastAsia="宋体"/>
          <w:color w:val="auto"/>
          <w:sz w:val="24"/>
          <w:szCs w:val="24"/>
          <w:highlight w:val="none"/>
        </w:rPr>
        <w:t>2.2.1</w:t>
      </w:r>
      <w:r>
        <w:rPr>
          <w:rFonts w:hint="eastAsia" w:ascii="宋体" w:hAnsi="宋体" w:eastAsia="宋体"/>
          <w:color w:val="auto"/>
          <w:sz w:val="24"/>
          <w:szCs w:val="24"/>
          <w:highlight w:val="none"/>
        </w:rPr>
        <w:t>约定的时间完成二次配送的，买方将代为进行二次配送，卖方应按如下费用标准最迟在买方发出《定货单》之日起</w:t>
      </w:r>
      <w:sdt>
        <w:sdtPr>
          <w:rPr>
            <w:rFonts w:hint="eastAsia" w:ascii="宋体" w:hAnsi="宋体" w:eastAsia="宋体" w:cstheme="minorBidi"/>
            <w:color w:val="auto"/>
            <w:kern w:val="2"/>
            <w:sz w:val="24"/>
            <w:szCs w:val="24"/>
            <w:highlight w:val="none"/>
            <w:lang w:val="en-US" w:eastAsia="zh-CN" w:bidi="ar-SA"/>
          </w:rPr>
          <w:id w:val="777689632"/>
          <w:placeholder>
            <w:docPart w:val="{fe242983-c9ce-4417-b029-c0b825e4f6fb}"/>
          </w:placeholder>
        </w:sdtPr>
        <w:sdtEndPr>
          <w:rPr>
            <w:rFonts w:hint="eastAsia" w:ascii="宋体" w:hAnsi="宋体" w:eastAsia="宋体" w:cstheme="minorBidi"/>
            <w:color w:val="auto"/>
            <w:kern w:val="2"/>
            <w:sz w:val="24"/>
            <w:szCs w:val="24"/>
            <w:highlight w:val="none"/>
            <w:u w:val="single"/>
            <w:lang w:val="en-US" w:eastAsia="zh-CN" w:bidi="ar-SA"/>
          </w:rPr>
        </w:sdtEndPr>
        <w:sdtContent>
          <w:r>
            <w:rPr>
              <w:rFonts w:hint="eastAsia" w:ascii="宋体" w:hAnsi="宋体" w:eastAsia="宋体"/>
              <w:color w:val="auto"/>
              <w:sz w:val="24"/>
              <w:szCs w:val="24"/>
              <w:highlight w:val="none"/>
              <w:u w:val="single"/>
              <w:lang w:val="en-US" w:eastAsia="zh-CN"/>
            </w:rPr>
            <w:t>10</w:t>
          </w:r>
        </w:sdtContent>
      </w:sdt>
      <w:r>
        <w:rPr>
          <w:rFonts w:hint="eastAsia" w:ascii="宋体" w:hAnsi="宋体" w:eastAsia="宋体"/>
          <w:color w:val="auto"/>
          <w:sz w:val="24"/>
          <w:szCs w:val="24"/>
          <w:highlight w:val="none"/>
        </w:rPr>
        <w:t>个</w:t>
      </w:r>
      <w:r>
        <w:rPr>
          <w:rFonts w:hint="eastAsia" w:ascii="宋体" w:hAnsi="宋体" w:eastAsia="宋体"/>
          <w:color w:val="auto"/>
          <w:sz w:val="24"/>
          <w:szCs w:val="24"/>
          <w:highlight w:val="none"/>
          <w:lang w:eastAsia="zh-CN"/>
        </w:rPr>
        <w:t>工作</w:t>
      </w:r>
      <w:r>
        <w:rPr>
          <w:rFonts w:hint="eastAsia" w:ascii="宋体" w:hAnsi="宋体" w:eastAsia="宋体"/>
          <w:color w:val="auto"/>
          <w:sz w:val="24"/>
          <w:szCs w:val="24"/>
          <w:highlight w:val="none"/>
        </w:rPr>
        <w:t>日内向买方或买方指定的第三方物流商支付相应</w:t>
      </w:r>
      <w:sdt>
        <w:sdtPr>
          <w:rPr>
            <w:rFonts w:hint="eastAsia" w:ascii="宋体" w:hAnsi="宋体" w:eastAsia="宋体" w:cstheme="minorBidi"/>
            <w:color w:val="auto"/>
            <w:kern w:val="2"/>
            <w:sz w:val="24"/>
            <w:szCs w:val="24"/>
            <w:highlight w:val="none"/>
            <w:lang w:val="en-US" w:eastAsia="zh-CN" w:bidi="ar-SA"/>
          </w:rPr>
          <w:id w:val="826950664"/>
          <w:placeholder>
            <w:docPart w:val="{3b7990ee-d9ed-4691-9536-989444b9b6fa}"/>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仓储操作费及二次配送费用：</w:t>
          </w:r>
          <w:r>
            <w:rPr>
              <w:rFonts w:hint="eastAsia" w:ascii="宋体" w:hAnsi="宋体"/>
              <w:color w:val="auto"/>
              <w:sz w:val="24"/>
              <w:szCs w:val="24"/>
              <w:highlight w:val="none"/>
            </w:rPr>
            <w:t>A4幅面激光打印机仓储操作费10元/台，二次配送费15元/台；A3幅面激光打印机仓储操作费15元/台，二次配送费45元/台。</w:t>
          </w:r>
        </w:sdtContent>
      </w:sdt>
      <w:r>
        <w:rPr>
          <w:rFonts w:hint="eastAsia" w:ascii="宋体" w:hAnsi="宋体" w:eastAsia="宋体"/>
          <w:color w:val="auto"/>
          <w:sz w:val="24"/>
          <w:szCs w:val="24"/>
          <w:highlight w:val="none"/>
        </w:rPr>
        <w:t>若卖方未向买方或买方指定的第三方物流商支付该仓储操作费及二次配送费用的，买方有权从卖方货款或4.1条约定的履约保证金总额中扣除相应费用。</w:t>
      </w:r>
    </w:p>
    <w:sdt>
      <w:sdtPr>
        <w:rPr>
          <w:rFonts w:hint="eastAsia" w:ascii="宋体" w:hAnsi="宋体" w:eastAsia="宋体" w:cstheme="minorBidi"/>
          <w:color w:val="auto"/>
          <w:kern w:val="2"/>
          <w:sz w:val="24"/>
          <w:szCs w:val="24"/>
          <w:highlight w:val="none"/>
          <w:lang w:val="en-US" w:eastAsia="zh-CN" w:bidi="ar-SA"/>
        </w:rPr>
        <w:id w:val="147463068"/>
        <w:placeholder>
          <w:docPart w:val="{b922067c-1d0e-4a3b-9e20-7e9d522c8a4f}"/>
        </w:placeholder>
      </w:sdtPr>
      <w:sdtEndPr>
        <w:rPr>
          <w:rFonts w:hint="eastAsia" w:ascii="宋体" w:hAnsi="宋体" w:eastAsia="宋体" w:cstheme="minorBidi"/>
          <w:color w:val="auto"/>
          <w:kern w:val="2"/>
          <w:sz w:val="24"/>
          <w:szCs w:val="24"/>
          <w:highlight w:val="none"/>
          <w:lang w:val="en-US" w:eastAsia="zh-CN" w:bidi="ar-SA"/>
        </w:rPr>
      </w:sdtEndPr>
      <w:sdtContent>
        <w:p>
          <w:pPr>
            <w:adjustRightInd w:val="0"/>
            <w:snapToGrid w:val="0"/>
            <w:spacing w:line="360" w:lineRule="auto"/>
            <w:ind w:firstLine="480" w:firstLineChars="200"/>
            <w:rPr>
              <w:rFonts w:hint="eastAsia" w:ascii="宋体" w:hAnsi="宋体" w:eastAsia="宋体"/>
              <w:color w:val="auto"/>
              <w:sz w:val="24"/>
              <w:szCs w:val="24"/>
              <w:highlight w:val="none"/>
            </w:rPr>
          </w:pPr>
          <w:r>
            <w:rPr>
              <w:rFonts w:hint="default" w:ascii="宋体" w:hAnsi="宋体" w:cstheme="minorBidi"/>
              <w:color w:val="auto"/>
              <w:kern w:val="2"/>
              <w:sz w:val="24"/>
              <w:szCs w:val="24"/>
              <w:highlight w:val="none"/>
              <w:lang w:eastAsia="zh-CN" w:bidi="ar-SA"/>
            </w:rPr>
            <w:t xml:space="preserve"> </w:t>
          </w:r>
        </w:p>
      </w:sdtContent>
    </w:sdt>
    <w:p>
      <w:pPr>
        <w:adjustRightInd w:val="0"/>
        <w:snapToGrid w:val="0"/>
        <w:spacing w:line="360" w:lineRule="auto"/>
        <w:ind w:firstLine="0" w:firstLineChars="0"/>
        <w:rPr>
          <w:rFonts w:ascii="宋体" w:hAnsi="宋体" w:eastAsia="宋体"/>
          <w:color w:val="auto"/>
          <w:sz w:val="24"/>
          <w:szCs w:val="24"/>
          <w:highlight w:val="none"/>
        </w:rPr>
      </w:pPr>
      <w:r>
        <w:rPr>
          <w:rFonts w:hint="default" w:ascii="宋体" w:hAnsi="宋体"/>
          <w:color w:val="auto"/>
          <w:sz w:val="24"/>
          <w:szCs w:val="24"/>
          <w:highlight w:val="none"/>
        </w:rPr>
        <w:t xml:space="preserve">    </w:t>
      </w:r>
      <w:r>
        <w:rPr>
          <w:rFonts w:hint="eastAsia" w:ascii="宋体" w:hAnsi="宋体" w:eastAsia="宋体"/>
          <w:color w:val="auto"/>
          <w:sz w:val="24"/>
          <w:szCs w:val="24"/>
          <w:highlight w:val="none"/>
        </w:rPr>
        <w:t>2.3交货时间的特别约定</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.3.1</w:t>
      </w:r>
      <w:r>
        <w:rPr>
          <w:rFonts w:hint="eastAsia" w:ascii="宋体" w:hAnsi="宋体" w:eastAsia="宋体"/>
          <w:color w:val="auto"/>
          <w:sz w:val="24"/>
          <w:szCs w:val="24"/>
          <w:highlight w:val="none"/>
        </w:rPr>
        <w:t>供货过程中，</w:t>
      </w:r>
      <w:r>
        <w:rPr>
          <w:rFonts w:hint="eastAsia" w:ascii="宋体" w:hAnsi="宋体" w:eastAsia="宋体"/>
          <w:color w:val="auto"/>
          <w:sz w:val="24"/>
          <w:szCs w:val="24"/>
          <w:highlight w:val="none"/>
        </w:rPr>
        <w:t>若出现暂时的配件型号变更或短缺等情况的，卖方须在买方发出《定货单》之日起</w:t>
      </w:r>
      <w:sdt>
        <w:sdtPr>
          <w:rPr>
            <w:rFonts w:hint="eastAsia" w:ascii="宋体" w:hAnsi="宋体" w:eastAsia="宋体" w:cstheme="minorBidi"/>
            <w:color w:val="auto"/>
            <w:kern w:val="2"/>
            <w:sz w:val="24"/>
            <w:szCs w:val="24"/>
            <w:highlight w:val="none"/>
            <w:lang w:val="en-US" w:eastAsia="zh-CN" w:bidi="ar-SA"/>
          </w:rPr>
          <w:id w:val="147470159"/>
          <w:placeholder>
            <w:docPart w:val="{b8480e3a-9326-4e41-9564-27814b209160}"/>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5</w:t>
          </w:r>
        </w:sdtContent>
      </w:sdt>
      <w:r>
        <w:rPr>
          <w:rFonts w:hint="eastAsia" w:ascii="宋体" w:hAnsi="宋体" w:eastAsia="宋体"/>
          <w:color w:val="auto"/>
          <w:sz w:val="24"/>
          <w:szCs w:val="24"/>
          <w:highlight w:val="none"/>
        </w:rPr>
        <w:t>个工作日</w:t>
      </w:r>
      <w:r>
        <w:rPr>
          <w:rFonts w:hint="eastAsia" w:ascii="宋体" w:hAnsi="宋体" w:eastAsia="宋体"/>
          <w:color w:val="auto"/>
          <w:sz w:val="24"/>
          <w:szCs w:val="24"/>
          <w:highlight w:val="none"/>
        </w:rPr>
        <w:t>内向买方和最终用户提供相应证明文件，并提供解决方案（但其价格不得高于成交价且配置配件的参数指标不得低于原来的要求）和买方、最终用户进行协商。经买方和最终用户认可后，卖方按最终确定的方案供货，货款按最终协商一致的价格结算，交货时间满足最终用户的要求。否则，按逾期交货处理。</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3.2</w:t>
      </w:r>
      <w:r>
        <w:rPr>
          <w:rFonts w:ascii="宋体" w:hAnsi="宋体" w:eastAsia="宋体" w:cs="宋体"/>
          <w:color w:val="auto"/>
          <w:sz w:val="24"/>
          <w:szCs w:val="24"/>
          <w:highlight w:val="none"/>
        </w:rPr>
        <w:t>若在合同期内有任何产品型号或配件升级变更，卖方应至少提前一个月书面通知买方相关信息（包括其升级产品型号、部件及详细配置方案）</w:t>
      </w:r>
      <w:sdt>
        <w:sdtPr>
          <w:rPr>
            <w:rFonts w:ascii="宋体" w:hAnsi="宋体" w:eastAsia="宋体" w:cs="宋体"/>
            <w:color w:val="auto"/>
            <w:kern w:val="2"/>
            <w:sz w:val="24"/>
            <w:szCs w:val="24"/>
            <w:highlight w:val="none"/>
            <w:lang w:val="en-US" w:eastAsia="zh-CN" w:bidi="ar-SA"/>
          </w:rPr>
          <w:id w:val="147461490"/>
          <w:placeholder>
            <w:docPart w:val="{65132aec-7498-48a2-9948-732a6c7b24a8}"/>
          </w:placeholder>
        </w:sdtPr>
        <w:sdtEndPr>
          <w:rPr>
            <w:rFonts w:ascii="宋体" w:hAnsi="宋体" w:eastAsia="宋体" w:cs="宋体"/>
            <w:color w:val="auto"/>
            <w:kern w:val="2"/>
            <w:sz w:val="24"/>
            <w:szCs w:val="24"/>
            <w:highlight w:val="none"/>
            <w:lang w:val="en-US" w:eastAsia="zh-CN" w:bidi="ar-SA"/>
          </w:rPr>
        </w:sdtEndPr>
        <w:sdtContent>
          <w:r>
            <w:rPr>
              <w:rFonts w:ascii="宋体" w:hAnsi="宋体" w:cs="宋体"/>
              <w:color w:val="auto"/>
              <w:kern w:val="2"/>
              <w:sz w:val="24"/>
              <w:szCs w:val="24"/>
              <w:highlight w:val="none"/>
              <w:lang w:eastAsia="zh-CN" w:bidi="ar-SA"/>
            </w:rPr>
            <w:t>，</w:t>
          </w:r>
        </w:sdtContent>
      </w:sdt>
      <w:r>
        <w:rPr>
          <w:rFonts w:ascii="宋体" w:hAnsi="宋体" w:eastAsia="宋体" w:cs="宋体"/>
          <w:color w:val="auto"/>
          <w:sz w:val="24"/>
          <w:szCs w:val="24"/>
          <w:highlight w:val="none"/>
        </w:rPr>
        <w:t>经买方书面同意后方可按升级后的产品（或配件）供货，价格按合同单价执行，交货时间按采购合同条款执行。同时，在买方同意之前，卖方仍应按原《定货单》的要求供货。否则，按逾期交货处理。</w:t>
      </w:r>
      <w:sdt>
        <w:sdtPr>
          <w:rPr>
            <w:rFonts w:ascii="宋体" w:hAnsi="宋体" w:eastAsia="宋体" w:cs="宋体"/>
            <w:color w:val="auto"/>
            <w:kern w:val="2"/>
            <w:sz w:val="24"/>
            <w:szCs w:val="24"/>
            <w:highlight w:val="none"/>
            <w:lang w:val="en-US" w:eastAsia="zh-CN" w:bidi="ar-SA"/>
          </w:rPr>
          <w:id w:val="147461712"/>
          <w:placeholder>
            <w:docPart w:val="{33e1a249-7726-4803-bac1-df3829b2917f}"/>
          </w:placeholder>
        </w:sdtPr>
        <w:sdtEndPr>
          <w:rPr>
            <w:rFonts w:hint="eastAsia" w:ascii="宋体" w:hAnsi="宋体" w:eastAsia="宋体" w:cs="宋体"/>
            <w:color w:val="auto"/>
            <w:kern w:val="2"/>
            <w:sz w:val="24"/>
            <w:szCs w:val="24"/>
            <w:highlight w:val="none"/>
            <w:lang w:val="en-US" w:eastAsia="zh-CN" w:bidi="ar-SA"/>
          </w:rPr>
        </w:sdtEndPr>
        <w:sdtContent>
          <w:r>
            <w:rPr>
              <w:rFonts w:ascii="宋体" w:hAnsi="宋体" w:eastAsia="宋体" w:cs="宋体"/>
              <w:color w:val="auto"/>
              <w:sz w:val="24"/>
              <w:szCs w:val="24"/>
              <w:highlight w:val="none"/>
            </w:rPr>
            <w:t>经最终用户认可后，卖方可按升级后的产品（或配件）供货。若在合同期内卖方有任何产品型号或配件停产且无法提供符合买方要求的升级型号或配件则视为严重违约，卖方应按每</w:t>
          </w:r>
          <w:r>
            <w:rPr>
              <w:rFonts w:ascii="宋体" w:hAnsi="宋体" w:eastAsia="宋体" w:cs="宋体"/>
              <w:color w:val="auto"/>
              <w:sz w:val="24"/>
              <w:szCs w:val="24"/>
              <w:highlight w:val="none"/>
            </w:rPr>
            <w:t>款机型</w:t>
          </w:r>
          <w:r>
            <w:rPr>
              <w:rFonts w:ascii="宋体" w:hAnsi="宋体" w:eastAsia="宋体" w:cs="宋体"/>
              <w:color w:val="auto"/>
              <w:sz w:val="24"/>
              <w:szCs w:val="24"/>
              <w:highlight w:val="none"/>
              <w:u w:val="single"/>
            </w:rPr>
            <w:t>20000</w:t>
          </w:r>
          <w:r>
            <w:rPr>
              <w:rFonts w:ascii="宋体" w:hAnsi="宋体" w:eastAsia="宋体" w:cs="宋体"/>
              <w:color w:val="auto"/>
              <w:sz w:val="24"/>
              <w:szCs w:val="24"/>
              <w:highlight w:val="none"/>
            </w:rPr>
            <w:t>元向买方缴纳违约金，买方有权单方面解除中标合同</w:t>
          </w:r>
          <w:r>
            <w:rPr>
              <w:rFonts w:hint="eastAsia" w:ascii="宋体" w:hAnsi="宋体" w:eastAsia="宋体" w:cs="宋体"/>
              <w:color w:val="auto"/>
              <w:sz w:val="24"/>
              <w:szCs w:val="24"/>
              <w:highlight w:val="none"/>
            </w:rPr>
            <w:t>并</w:t>
          </w:r>
          <w:r>
            <w:rPr>
              <w:rFonts w:ascii="宋体" w:hAnsi="宋体" w:eastAsia="宋体" w:cs="宋体"/>
              <w:color w:val="auto"/>
              <w:sz w:val="24"/>
              <w:szCs w:val="24"/>
              <w:highlight w:val="none"/>
            </w:rPr>
            <w:t>没收</w:t>
          </w:r>
          <w:r>
            <w:rPr>
              <w:rFonts w:hint="eastAsia" w:ascii="宋体" w:hAnsi="宋体" w:eastAsia="宋体" w:cs="宋体"/>
              <w:color w:val="auto"/>
              <w:sz w:val="24"/>
              <w:szCs w:val="24"/>
              <w:highlight w:val="none"/>
            </w:rPr>
            <w:t>4.1条约定的全部</w:t>
          </w:r>
          <w:r>
            <w:rPr>
              <w:rFonts w:ascii="宋体" w:hAnsi="宋体" w:eastAsia="宋体" w:cs="宋体"/>
              <w:color w:val="auto"/>
              <w:sz w:val="24"/>
              <w:szCs w:val="24"/>
              <w:highlight w:val="none"/>
            </w:rPr>
            <w:t>履约保证金</w:t>
          </w:r>
          <w:r>
            <w:rPr>
              <w:rFonts w:ascii="宋体" w:hAnsi="宋体" w:cs="宋体"/>
              <w:color w:val="auto"/>
              <w:sz w:val="24"/>
              <w:szCs w:val="24"/>
              <w:highlight w:val="none"/>
            </w:rPr>
            <w:t>。</w:t>
          </w:r>
        </w:sdtContent>
      </w:sdt>
      <w:r>
        <w:rPr>
          <w:rFonts w:hint="default" w:ascii="宋体" w:hAnsi="宋体" w:cs="宋体"/>
          <w:color w:val="auto"/>
          <w:kern w:val="2"/>
          <w:sz w:val="24"/>
          <w:szCs w:val="24"/>
          <w:highlight w:val="none"/>
          <w:lang w:eastAsia="zh-CN" w:bidi="ar-SA"/>
        </w:rPr>
        <w:t xml:space="preserve">    </w:t>
      </w:r>
      <w:r>
        <w:rPr>
          <w:rFonts w:hint="eastAsia" w:ascii="宋体" w:hAnsi="宋体" w:eastAsia="宋体"/>
          <w:color w:val="auto"/>
          <w:sz w:val="24"/>
          <w:szCs w:val="24"/>
          <w:highlight w:val="none"/>
        </w:rPr>
        <w:t>2.3.</w:t>
      </w:r>
      <w:r>
        <w:rPr>
          <w:rFonts w:ascii="宋体" w:hAnsi="宋体" w:eastAsia="宋体"/>
          <w:color w:val="auto"/>
          <w:sz w:val="24"/>
          <w:szCs w:val="24"/>
          <w:highlight w:val="none"/>
        </w:rPr>
        <w:t>3</w:t>
      </w:r>
      <w:r>
        <w:rPr>
          <w:rFonts w:hint="eastAsia" w:ascii="宋体" w:hAnsi="宋体" w:eastAsia="宋体"/>
          <w:color w:val="auto"/>
          <w:sz w:val="24"/>
          <w:szCs w:val="24"/>
          <w:highlight w:val="none"/>
        </w:rPr>
        <w:t>但凡要求卖方更换整机的，重新交货时间按2.</w:t>
      </w:r>
      <w:r>
        <w:rPr>
          <w:rFonts w:ascii="宋体" w:hAnsi="宋体" w:eastAsia="宋体"/>
          <w:color w:val="auto"/>
          <w:sz w:val="24"/>
          <w:szCs w:val="24"/>
          <w:highlight w:val="none"/>
        </w:rPr>
        <w:t>2</w:t>
      </w:r>
      <w:r>
        <w:rPr>
          <w:rFonts w:hint="eastAsia" w:ascii="宋体" w:hAnsi="宋体" w:eastAsia="宋体"/>
          <w:color w:val="auto"/>
          <w:sz w:val="24"/>
          <w:szCs w:val="24"/>
          <w:highlight w:val="none"/>
        </w:rPr>
        <w:t>.1、</w:t>
      </w:r>
      <w:r>
        <w:rPr>
          <w:rFonts w:ascii="宋体" w:hAnsi="宋体" w:eastAsia="宋体"/>
          <w:color w:val="auto"/>
          <w:sz w:val="24"/>
          <w:szCs w:val="24"/>
          <w:highlight w:val="none"/>
        </w:rPr>
        <w:t>2</w:t>
      </w:r>
      <w:r>
        <w:rPr>
          <w:rFonts w:hint="eastAsia" w:ascii="宋体" w:hAnsi="宋体" w:eastAsia="宋体"/>
          <w:color w:val="auto"/>
          <w:sz w:val="24"/>
          <w:szCs w:val="24"/>
          <w:highlight w:val="none"/>
        </w:rPr>
        <w:t>.</w:t>
      </w:r>
      <w:r>
        <w:rPr>
          <w:rFonts w:ascii="宋体" w:hAnsi="宋体" w:eastAsia="宋体"/>
          <w:color w:val="auto"/>
          <w:sz w:val="24"/>
          <w:szCs w:val="24"/>
          <w:highlight w:val="none"/>
        </w:rPr>
        <w:t>2.2</w:t>
      </w:r>
      <w:r>
        <w:rPr>
          <w:rFonts w:hint="eastAsia" w:ascii="宋体" w:hAnsi="宋体" w:eastAsia="宋体"/>
          <w:color w:val="auto"/>
          <w:sz w:val="24"/>
          <w:szCs w:val="24"/>
          <w:highlight w:val="none"/>
        </w:rPr>
        <w:t>条执行。</w:t>
      </w:r>
    </w:p>
    <w:p>
      <w:pPr>
        <w:adjustRightInd w:val="0"/>
        <w:snapToGrid w:val="0"/>
        <w:spacing w:line="360" w:lineRule="auto"/>
        <w:ind w:firstLine="480" w:firstLineChars="200"/>
        <w:rPr>
          <w:color w:val="auto"/>
          <w:highlight w:val="none"/>
        </w:rPr>
      </w:pPr>
      <w:r>
        <w:rPr>
          <w:rFonts w:hint="eastAsia" w:ascii="宋体" w:hAnsi="宋体" w:eastAsia="宋体"/>
          <w:color w:val="auto"/>
          <w:sz w:val="24"/>
          <w:szCs w:val="24"/>
          <w:highlight w:val="none"/>
        </w:rPr>
        <w:t>2.3.</w:t>
      </w:r>
      <w:r>
        <w:rPr>
          <w:rFonts w:ascii="宋体" w:hAnsi="宋体" w:eastAsia="宋体"/>
          <w:color w:val="auto"/>
          <w:sz w:val="24"/>
          <w:szCs w:val="24"/>
          <w:highlight w:val="none"/>
        </w:rPr>
        <w:t>4</w:t>
      </w:r>
      <w:r>
        <w:rPr>
          <w:rFonts w:hint="eastAsia" w:ascii="宋体" w:hAnsi="宋体" w:eastAsia="宋体"/>
          <w:color w:val="auto"/>
          <w:sz w:val="24"/>
          <w:szCs w:val="24"/>
          <w:highlight w:val="none"/>
        </w:rPr>
        <w:t>卖方在收到《定货单》后应按买方要求加盖公章并以扫描件及时回复确认，但最迟不超过</w:t>
      </w:r>
      <w:sdt>
        <w:sdtPr>
          <w:rPr>
            <w:rFonts w:hint="default" w:ascii="宋体" w:hAnsi="宋体" w:eastAsia="宋体" w:cstheme="minorBidi"/>
            <w:color w:val="auto"/>
            <w:kern w:val="2"/>
            <w:sz w:val="24"/>
            <w:szCs w:val="24"/>
            <w:highlight w:val="none"/>
            <w:lang w:val="en-US" w:eastAsia="zh-CN" w:bidi="ar-SA"/>
          </w:rPr>
          <w:id w:val="147469995"/>
          <w:placeholder>
            <w:docPart w:val="{5b6e93fb-5368-4fca-bd2e-0e6b88263139}"/>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stheme="minorBidi"/>
              <w:color w:val="auto"/>
              <w:kern w:val="2"/>
              <w:sz w:val="24"/>
              <w:szCs w:val="24"/>
              <w:highlight w:val="none"/>
              <w:lang w:val="en-US" w:eastAsia="zh-CN" w:bidi="ar-SA"/>
            </w:rPr>
            <w:t>3</w:t>
          </w:r>
        </w:sdtContent>
      </w:sdt>
      <w:r>
        <w:rPr>
          <w:rFonts w:hint="eastAsia" w:ascii="宋体" w:hAnsi="宋体" w:eastAsia="宋体"/>
          <w:color w:val="auto"/>
          <w:sz w:val="24"/>
          <w:szCs w:val="24"/>
          <w:highlight w:val="none"/>
        </w:rPr>
        <w:t>个日历日。若《定货单》发出之日起</w:t>
      </w:r>
      <w:sdt>
        <w:sdtPr>
          <w:rPr>
            <w:rFonts w:hint="eastAsia" w:ascii="宋体" w:hAnsi="宋体" w:eastAsia="宋体" w:cstheme="minorBidi"/>
            <w:color w:val="auto"/>
            <w:kern w:val="2"/>
            <w:sz w:val="24"/>
            <w:szCs w:val="24"/>
            <w:highlight w:val="none"/>
            <w:lang w:val="en-US" w:eastAsia="zh-CN" w:bidi="ar-SA"/>
          </w:rPr>
          <w:id w:val="147469973"/>
          <w:placeholder>
            <w:docPart w:val="{a707f3a1-03b9-4e6d-bb2d-b62c3c2da15d}"/>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lang w:val="en-US" w:eastAsia="zh-CN"/>
            </w:rPr>
            <w:t>3</w:t>
          </w:r>
        </w:sdtContent>
      </w:sdt>
      <w:r>
        <w:rPr>
          <w:rFonts w:hint="eastAsia" w:ascii="宋体" w:hAnsi="宋体" w:eastAsia="宋体"/>
          <w:color w:val="auto"/>
          <w:sz w:val="24"/>
          <w:szCs w:val="24"/>
          <w:highlight w:val="none"/>
        </w:rPr>
        <w:t>个日历日内卖方未按买方要求予以确认的，则卖方同意自第</w:t>
      </w:r>
      <w:sdt>
        <w:sdtPr>
          <w:rPr>
            <w:rFonts w:hint="eastAsia" w:ascii="宋体" w:hAnsi="宋体" w:eastAsia="宋体" w:cstheme="minorBidi"/>
            <w:color w:val="auto"/>
            <w:kern w:val="2"/>
            <w:sz w:val="24"/>
            <w:szCs w:val="24"/>
            <w:highlight w:val="none"/>
            <w:lang w:val="en-US" w:eastAsia="zh-CN" w:bidi="ar-SA"/>
          </w:rPr>
          <w:id w:val="147460814"/>
          <w:placeholder>
            <w:docPart w:val="{e539f9ca-dfb3-4fa3-9ffc-96009a7d9319}"/>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3</w:t>
          </w:r>
        </w:sdtContent>
      </w:sdt>
      <w:r>
        <w:rPr>
          <w:rFonts w:hint="eastAsia" w:ascii="宋体" w:hAnsi="宋体" w:eastAsia="宋体"/>
          <w:color w:val="auto"/>
          <w:sz w:val="24"/>
          <w:szCs w:val="24"/>
          <w:highlight w:val="none"/>
        </w:rPr>
        <w:t>个日历日起计算交货期。</w:t>
      </w:r>
      <w:sdt>
        <w:sdtPr>
          <w:rPr>
            <w:rFonts w:hint="eastAsia" w:ascii="宋体" w:hAnsi="宋体" w:eastAsia="宋体" w:cstheme="minorBidi"/>
            <w:color w:val="auto"/>
            <w:kern w:val="2"/>
            <w:sz w:val="24"/>
            <w:szCs w:val="24"/>
            <w:highlight w:val="none"/>
            <w:lang w:val="en-US" w:eastAsia="zh-CN" w:bidi="ar-SA"/>
          </w:rPr>
          <w:id w:val="147460726"/>
          <w:placeholder>
            <w:docPart w:val="{636e34d0-e553-45cf-adfd-7e7513331333}"/>
          </w:placeholder>
        </w:sdtPr>
        <w:sdtEndPr>
          <w:rPr>
            <w:rFonts w:hint="eastAsia" w:ascii="宋体" w:hAnsi="宋体" w:eastAsia="宋体" w:cstheme="minorBidi"/>
            <w:color w:val="auto"/>
            <w:kern w:val="2"/>
            <w:sz w:val="24"/>
            <w:szCs w:val="24"/>
            <w:highlight w:val="none"/>
            <w:lang w:val="en-US" w:eastAsia="zh-CN" w:bidi="ar-SA"/>
          </w:rPr>
        </w:sdtEndPr>
        <w:sdtContent>
          <w:r>
            <w:rPr>
              <w:rFonts w:hint="default" w:ascii="宋体" w:hAnsi="宋体" w:cstheme="minorBidi"/>
              <w:color w:val="auto"/>
              <w:kern w:val="2"/>
              <w:sz w:val="24"/>
              <w:szCs w:val="24"/>
              <w:highlight w:val="none"/>
              <w:lang w:eastAsia="zh-CN" w:bidi="ar-SA"/>
            </w:rPr>
            <w:t xml:space="preserve"> </w:t>
          </w:r>
        </w:sdtContent>
      </w:sdt>
    </w:p>
    <w:sdt>
      <w:sdtPr>
        <w:rPr>
          <w:rFonts w:hint="eastAsia" w:ascii="宋体" w:hAnsi="宋体" w:eastAsia="宋体" w:cstheme="minorBidi"/>
          <w:color w:val="auto"/>
          <w:kern w:val="2"/>
          <w:sz w:val="24"/>
          <w:szCs w:val="24"/>
          <w:highlight w:val="none"/>
          <w:lang w:val="en-US" w:eastAsia="zh-CN" w:bidi="ar-SA"/>
        </w:rPr>
        <w:id w:val="147469946"/>
        <w:placeholder>
          <w:docPart w:val="{77c59cd0-5785-4962-9b56-7a01c2cc86f6}"/>
        </w:placeholder>
      </w:sdtPr>
      <w:sdtEndPr>
        <w:rPr>
          <w:rFonts w:hint="eastAsia" w:ascii="宋体" w:hAnsi="宋体" w:eastAsia="宋体" w:cstheme="minorBidi"/>
          <w:color w:val="auto"/>
          <w:kern w:val="2"/>
          <w:sz w:val="24"/>
          <w:szCs w:val="24"/>
          <w:highlight w:val="none"/>
          <w:lang w:val="en-US" w:eastAsia="zh-CN" w:bidi="ar-SA"/>
        </w:rPr>
      </w:sdtEndPr>
      <w:sdtContent>
        <w:p>
          <w:pPr>
            <w:adjustRightInd w:val="0"/>
            <w:snapToGrid w:val="0"/>
            <w:spacing w:line="360" w:lineRule="auto"/>
            <w:ind w:firstLine="480" w:firstLineChars="200"/>
            <w:rPr>
              <w:rFonts w:hint="eastAsia" w:ascii="宋体" w:hAnsi="宋体" w:eastAsia="宋体"/>
              <w:color w:val="auto"/>
              <w:sz w:val="24"/>
              <w:szCs w:val="24"/>
              <w:highlight w:val="none"/>
            </w:rPr>
          </w:pPr>
          <w:r>
            <w:rPr>
              <w:rFonts w:hint="default" w:ascii="宋体" w:hAnsi="宋体" w:cstheme="minorBidi"/>
              <w:color w:val="auto"/>
              <w:kern w:val="2"/>
              <w:sz w:val="24"/>
              <w:szCs w:val="24"/>
              <w:highlight w:val="none"/>
              <w:lang w:eastAsia="zh-CN" w:bidi="ar-SA"/>
            </w:rPr>
            <w:t xml:space="preserve"> </w:t>
          </w:r>
        </w:p>
      </w:sdtContent>
    </w:sdt>
    <w:p>
      <w:pPr>
        <w:adjustRightInd w:val="0"/>
        <w:snapToGrid w:val="0"/>
        <w:spacing w:line="360" w:lineRule="auto"/>
        <w:rPr>
          <w:rFonts w:ascii="宋体" w:hAnsi="宋体" w:eastAsia="宋体"/>
          <w:b/>
          <w:color w:val="auto"/>
          <w:sz w:val="24"/>
          <w:szCs w:val="24"/>
          <w:highlight w:val="none"/>
        </w:rPr>
      </w:pPr>
      <w:r>
        <w:rPr>
          <w:rFonts w:hint="eastAsia" w:ascii="宋体" w:hAnsi="宋体" w:eastAsia="宋体"/>
          <w:b/>
          <w:color w:val="auto"/>
          <w:sz w:val="24"/>
          <w:szCs w:val="24"/>
          <w:highlight w:val="none"/>
        </w:rPr>
        <w:t>3、供货清单</w:t>
      </w:r>
    </w:p>
    <w:sdt>
      <w:sdtPr>
        <w:rPr>
          <w:rFonts w:hint="eastAsia" w:ascii="宋体" w:hAnsi="宋体" w:eastAsia="宋体" w:cstheme="minorBidi"/>
          <w:color w:val="auto"/>
          <w:kern w:val="2"/>
          <w:sz w:val="24"/>
          <w:szCs w:val="24"/>
          <w:highlight w:val="none"/>
          <w:lang w:val="en-US" w:eastAsia="zh-CN" w:bidi="ar-SA"/>
        </w:rPr>
        <w:id w:val="147460400"/>
        <w:placeholder>
          <w:docPart w:val="{46186c6f-a93f-49a6-9460-ab5d4b1cc044}"/>
        </w:placeholder>
      </w:sdtPr>
      <w:sdtEndPr>
        <w:rPr>
          <w:rFonts w:hint="eastAsia" w:ascii="宋体" w:hAnsi="宋体" w:eastAsia="宋体" w:cstheme="minorBidi"/>
          <w:color w:val="auto"/>
          <w:kern w:val="2"/>
          <w:sz w:val="24"/>
          <w:szCs w:val="24"/>
          <w:highlight w:val="none"/>
          <w:lang w:val="en-US" w:eastAsia="zh-CN" w:bidi="ar-SA"/>
        </w:rPr>
      </w:sdtEndPr>
      <w:sdtContent>
        <w:p>
          <w:pPr>
            <w:adjustRightInd w:val="0"/>
            <w:snapToGrid w:val="0"/>
            <w:spacing w:line="360" w:lineRule="auto"/>
            <w:ind w:firstLine="0" w:firstLineChars="0"/>
            <w:rPr>
              <w:rFonts w:ascii="宋体" w:hAnsi="宋体" w:eastAsia="宋体"/>
              <w:color w:val="auto"/>
              <w:sz w:val="24"/>
              <w:szCs w:val="24"/>
              <w:highlight w:val="none"/>
            </w:rPr>
          </w:pPr>
          <w:r>
            <w:rPr>
              <w:rFonts w:hint="default" w:ascii="宋体" w:hAnsi="宋体" w:cstheme="minorBidi"/>
              <w:color w:val="auto"/>
              <w:kern w:val="2"/>
              <w:sz w:val="24"/>
              <w:szCs w:val="24"/>
              <w:highlight w:val="none"/>
              <w:lang w:eastAsia="zh-CN" w:bidi="ar-SA"/>
            </w:rPr>
            <w:t xml:space="preserve">    </w:t>
          </w:r>
          <w:r>
            <w:rPr>
              <w:rFonts w:hint="eastAsia" w:ascii="宋体" w:hAnsi="宋体" w:eastAsia="宋体"/>
              <w:color w:val="auto"/>
              <w:sz w:val="24"/>
              <w:szCs w:val="24"/>
              <w:highlight w:val="none"/>
            </w:rPr>
            <w:t>3.1供货清单：包括产品主机、随机备品备件、专用工具的名称及数量。</w:t>
          </w:r>
        </w:p>
      </w:sdtContent>
    </w:sdt>
    <w:p>
      <w:pPr>
        <w:adjustRightInd w:val="0"/>
        <w:snapToGrid w:val="0"/>
        <w:spacing w:line="360" w:lineRule="auto"/>
        <w:rPr>
          <w:rFonts w:ascii="宋体" w:hAnsi="宋体" w:eastAsia="宋体"/>
          <w:b/>
          <w:color w:val="auto"/>
          <w:sz w:val="24"/>
          <w:szCs w:val="24"/>
          <w:highlight w:val="none"/>
        </w:rPr>
      </w:pPr>
      <w:r>
        <w:rPr>
          <w:rFonts w:hint="eastAsia" w:ascii="宋体" w:hAnsi="宋体" w:eastAsia="宋体"/>
          <w:b/>
          <w:color w:val="auto"/>
          <w:sz w:val="24"/>
          <w:szCs w:val="24"/>
          <w:highlight w:val="none"/>
        </w:rPr>
        <w:t>4、付款方式与条件</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4.1履约保证金</w:t>
      </w:r>
    </w:p>
    <w:sdt>
      <w:sdtPr>
        <w:rPr>
          <w:rFonts w:hint="eastAsia" w:ascii="宋体" w:hAnsi="宋体" w:eastAsia="宋体" w:cstheme="minorBidi"/>
          <w:color w:val="auto"/>
          <w:kern w:val="2"/>
          <w:sz w:val="24"/>
          <w:szCs w:val="24"/>
          <w:highlight w:val="none"/>
          <w:lang w:val="en-US" w:eastAsia="zh-CN" w:bidi="ar-SA"/>
        </w:rPr>
        <w:id w:val="147459903"/>
        <w:placeholder>
          <w:docPart w:val="{d0dff91b-a073-49ef-9742-072db524342d}"/>
        </w:placeholder>
      </w:sdtPr>
      <w:sdtEndPr>
        <w:rPr>
          <w:rFonts w:hint="eastAsia" w:ascii="宋体" w:hAnsi="宋体" w:eastAsia="宋体" w:cstheme="minorBidi"/>
          <w:color w:val="auto"/>
          <w:kern w:val="2"/>
          <w:sz w:val="24"/>
          <w:szCs w:val="24"/>
          <w:highlight w:val="none"/>
          <w:lang w:val="en-US" w:eastAsia="zh-CN" w:bidi="ar-SA"/>
        </w:rPr>
      </w:sdtEndPr>
      <w:sdtContent>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4.1.1卖方应在合同签订之日起7个日历日内向买方缴交合同总金额</w:t>
          </w:r>
          <w:r>
            <w:rPr>
              <w:rFonts w:hint="eastAsia" w:ascii="宋体" w:hAnsi="宋体" w:eastAsia="宋体"/>
              <w:color w:val="auto"/>
              <w:sz w:val="24"/>
              <w:szCs w:val="24"/>
              <w:highlight w:val="none"/>
              <w:u w:val="single"/>
              <w:lang w:val="en-US" w:eastAsia="zh-CN"/>
            </w:rPr>
            <w:t>2</w:t>
          </w:r>
          <w:r>
            <w:rPr>
              <w:rFonts w:hint="eastAsia" w:ascii="宋体" w:hAnsi="宋体" w:eastAsia="宋体"/>
              <w:color w:val="auto"/>
              <w:sz w:val="24"/>
              <w:szCs w:val="24"/>
              <w:highlight w:val="none"/>
              <w:u w:val="single"/>
            </w:rPr>
            <w:t>%</w:t>
          </w:r>
          <w:r>
            <w:rPr>
              <w:rFonts w:hint="eastAsia" w:ascii="宋体" w:hAnsi="宋体" w:eastAsia="宋体"/>
              <w:color w:val="auto"/>
              <w:sz w:val="24"/>
              <w:szCs w:val="24"/>
              <w:highlight w:val="none"/>
            </w:rPr>
            <w:t>的供货履约保证金及合同总金额</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%的服务履约保证金。</w:t>
          </w:r>
          <w:r>
            <w:rPr>
              <w:rFonts w:hint="eastAsia" w:ascii="宋体" w:hAnsi="宋体" w:eastAsia="宋体"/>
              <w:color w:val="auto"/>
              <w:sz w:val="24"/>
              <w:szCs w:val="24"/>
              <w:highlight w:val="none"/>
            </w:rPr>
            <w:t>供货履约保证金，买方于本合同有效期满且最后一批次货物供货完成后</w:t>
          </w:r>
          <w:r>
            <w:rPr>
              <w:rFonts w:hint="eastAsia" w:ascii="宋体" w:hAnsi="宋体" w:eastAsia="宋体"/>
              <w:color w:val="auto"/>
              <w:sz w:val="24"/>
              <w:szCs w:val="24"/>
              <w:highlight w:val="none"/>
              <w:u w:val="single"/>
              <w:lang w:val="en-US" w:eastAsia="zh-CN"/>
            </w:rPr>
            <w:t>2</w:t>
          </w:r>
          <w:r>
            <w:rPr>
              <w:rFonts w:ascii="宋体" w:hAnsi="宋体" w:eastAsia="宋体"/>
              <w:color w:val="auto"/>
              <w:sz w:val="24"/>
              <w:szCs w:val="24"/>
              <w:highlight w:val="none"/>
              <w:u w:val="single"/>
            </w:rPr>
            <w:t>0</w:t>
          </w:r>
          <w:r>
            <w:rPr>
              <w:rFonts w:hint="eastAsia" w:ascii="宋体" w:hAnsi="宋体" w:eastAsia="宋体"/>
              <w:color w:val="auto"/>
              <w:sz w:val="24"/>
              <w:szCs w:val="24"/>
              <w:highlight w:val="none"/>
            </w:rPr>
            <w:t>个工作日内一次性无息支付给卖方（扣除相应的违约金、赔偿金）。服务履约保证金，买方于本合同有效期内最后一批次货物保修期届满后</w:t>
          </w:r>
          <w:r>
            <w:rPr>
              <w:rFonts w:hint="eastAsia" w:ascii="宋体" w:hAnsi="宋体" w:eastAsia="宋体"/>
              <w:color w:val="auto"/>
              <w:sz w:val="24"/>
              <w:szCs w:val="24"/>
              <w:highlight w:val="none"/>
              <w:u w:val="single"/>
              <w:lang w:val="en-US" w:eastAsia="zh-CN"/>
            </w:rPr>
            <w:t>2</w:t>
          </w:r>
          <w:r>
            <w:rPr>
              <w:rFonts w:ascii="宋体" w:hAnsi="宋体" w:eastAsia="宋体"/>
              <w:color w:val="auto"/>
              <w:sz w:val="24"/>
              <w:szCs w:val="24"/>
              <w:highlight w:val="none"/>
              <w:u w:val="single"/>
            </w:rPr>
            <w:t>0</w:t>
          </w:r>
          <w:r>
            <w:rPr>
              <w:rFonts w:hint="eastAsia" w:ascii="宋体" w:hAnsi="宋体" w:eastAsia="宋体"/>
              <w:color w:val="auto"/>
              <w:sz w:val="24"/>
              <w:szCs w:val="24"/>
              <w:highlight w:val="none"/>
            </w:rPr>
            <w:t>个工作日内一次性无息支付给卖方（扣除相应的违约金、赔偿金）。</w:t>
          </w:r>
        </w:p>
      </w:sdtContent>
    </w:sdt>
    <w:p>
      <w:pPr>
        <w:adjustRightInd w:val="0"/>
        <w:snapToGrid w:val="0"/>
        <w:spacing w:line="360" w:lineRule="auto"/>
        <w:ind w:firstLine="480" w:firstLineChars="200"/>
        <w:rPr>
          <w:rFonts w:hint="eastAsia" w:ascii="宋体" w:hAnsi="宋体" w:eastAsia="宋体" w:cstheme="minorBidi"/>
          <w:color w:val="auto"/>
          <w:kern w:val="2"/>
          <w:sz w:val="24"/>
          <w:szCs w:val="24"/>
          <w:highlight w:val="none"/>
          <w:lang w:val="en-US" w:eastAsia="zh-CN" w:bidi="ar-SA"/>
        </w:rPr>
      </w:pPr>
      <w:sdt>
        <w:sdtPr>
          <w:rPr>
            <w:rFonts w:hint="eastAsia" w:ascii="宋体" w:hAnsi="宋体" w:eastAsia="宋体" w:cstheme="minorBidi"/>
            <w:color w:val="auto"/>
            <w:kern w:val="2"/>
            <w:sz w:val="24"/>
            <w:szCs w:val="24"/>
            <w:highlight w:val="none"/>
            <w:lang w:val="en-US" w:eastAsia="zh-CN" w:bidi="ar-SA"/>
          </w:rPr>
          <w:id w:val="147459887"/>
          <w:placeholder>
            <w:docPart w:val="{aaf5560e-530c-44c9-8d19-955be376179a}"/>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4.1.2卖方因违约行为导致履约保证金被买方扣除的，卖方应于被扣除之日起7个日历日内补足，使履约保证金金额满足4.1.1约定的要求。</w:t>
          </w:r>
        </w:sdtContent>
      </w:sdt>
      <w:sdt>
        <w:sdtPr>
          <w:rPr>
            <w:rFonts w:hint="eastAsia" w:ascii="宋体" w:hAnsi="宋体" w:eastAsia="宋体" w:cstheme="minorBidi"/>
            <w:color w:val="auto"/>
            <w:kern w:val="2"/>
            <w:sz w:val="24"/>
            <w:szCs w:val="24"/>
            <w:highlight w:val="none"/>
            <w:lang w:val="en-US" w:eastAsia="zh-CN" w:bidi="ar-SA"/>
          </w:rPr>
          <w:id w:val="147459864"/>
          <w:placeholder>
            <w:docPart w:val="{30c616d7-78e6-400c-8180-828d477a334b}"/>
          </w:placeholder>
        </w:sdtPr>
        <w:sdtEndPr>
          <w:rPr>
            <w:rFonts w:hint="eastAsia" w:ascii="宋体" w:hAnsi="宋体" w:eastAsia="宋体" w:cstheme="minorBidi"/>
            <w:color w:val="auto"/>
            <w:kern w:val="2"/>
            <w:sz w:val="24"/>
            <w:szCs w:val="24"/>
            <w:highlight w:val="none"/>
            <w:lang w:val="en-US" w:eastAsia="zh-CN" w:bidi="ar-SA"/>
          </w:rPr>
        </w:sdtEndPr>
        <w:sdtContent>
          <w:r>
            <w:rPr>
              <w:rFonts w:hint="default" w:ascii="宋体" w:hAnsi="宋体" w:cstheme="minorBidi"/>
              <w:color w:val="auto"/>
              <w:kern w:val="2"/>
              <w:sz w:val="24"/>
              <w:szCs w:val="24"/>
              <w:highlight w:val="none"/>
              <w:lang w:eastAsia="zh-CN" w:bidi="ar-SA"/>
            </w:rPr>
            <w:t xml:space="preserve"> </w:t>
          </w:r>
        </w:sdtContent>
      </w:sdt>
    </w:p>
    <w:p>
      <w:pPr>
        <w:adjustRightInd w:val="0"/>
        <w:snapToGrid w:val="0"/>
        <w:spacing w:line="360" w:lineRule="auto"/>
        <w:ind w:firstLine="0" w:firstLineChars="0"/>
        <w:rPr>
          <w:rFonts w:ascii="宋体" w:hAnsi="宋体" w:eastAsia="宋体"/>
          <w:color w:val="auto"/>
          <w:sz w:val="24"/>
          <w:szCs w:val="24"/>
          <w:highlight w:val="none"/>
        </w:rPr>
      </w:pPr>
      <w:r>
        <w:rPr>
          <w:rFonts w:hint="default" w:ascii="宋体" w:hAnsi="宋体"/>
          <w:color w:val="auto"/>
          <w:sz w:val="24"/>
          <w:szCs w:val="24"/>
          <w:highlight w:val="none"/>
        </w:rPr>
        <w:t xml:space="preserve">    </w:t>
      </w:r>
      <w:r>
        <w:rPr>
          <w:rFonts w:hint="eastAsia" w:ascii="宋体" w:hAnsi="宋体" w:eastAsia="宋体"/>
          <w:color w:val="auto"/>
          <w:sz w:val="24"/>
          <w:szCs w:val="24"/>
          <w:highlight w:val="none"/>
        </w:rPr>
        <w:t>4.2买方按批次支付货款。</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4.2.1货物送仓库后再送最终用户的，货交买方仓库经买方初验合格后，买方凭如下单证和文件在</w:t>
      </w:r>
      <w:sdt>
        <w:sdtPr>
          <w:rPr>
            <w:rFonts w:hint="eastAsia" w:ascii="宋体" w:hAnsi="宋体" w:eastAsia="宋体" w:cstheme="minorBidi"/>
            <w:color w:val="auto"/>
            <w:kern w:val="2"/>
            <w:sz w:val="24"/>
            <w:szCs w:val="24"/>
            <w:highlight w:val="none"/>
            <w:lang w:val="en-US" w:eastAsia="zh-CN" w:bidi="ar-SA"/>
          </w:rPr>
          <w:id w:val="147459622"/>
          <w:placeholder>
            <w:docPart w:val="{565f2eab-f860-4d6d-95a8-80bd4728c52d}"/>
          </w:placeholder>
        </w:sdtPr>
        <w:sdtEndPr>
          <w:rPr>
            <w:rFonts w:hint="eastAsia" w:ascii="宋体" w:hAnsi="宋体" w:eastAsia="宋体" w:cstheme="minorBidi"/>
            <w:color w:val="auto"/>
            <w:kern w:val="2"/>
            <w:sz w:val="24"/>
            <w:szCs w:val="24"/>
            <w:highlight w:val="none"/>
            <w:u w:val="single"/>
            <w:lang w:val="en-US" w:eastAsia="zh-CN" w:bidi="ar-SA"/>
          </w:rPr>
        </w:sdtEndPr>
        <w:sdtContent>
          <w:r>
            <w:rPr>
              <w:rFonts w:hint="eastAsia" w:ascii="宋体" w:hAnsi="宋体" w:eastAsia="宋体"/>
              <w:color w:val="auto"/>
              <w:sz w:val="24"/>
              <w:szCs w:val="24"/>
              <w:highlight w:val="none"/>
              <w:u w:val="single"/>
            </w:rPr>
            <w:t>45</w:t>
          </w:r>
        </w:sdtContent>
      </w:sdt>
      <w:r>
        <w:rPr>
          <w:rFonts w:hint="eastAsia" w:ascii="宋体" w:hAnsi="宋体" w:eastAsia="宋体"/>
          <w:color w:val="auto"/>
          <w:sz w:val="24"/>
          <w:szCs w:val="24"/>
          <w:highlight w:val="none"/>
        </w:rPr>
        <w:t>个日历日内向卖方一次性支付至该批次货款的</w:t>
      </w:r>
      <w:sdt>
        <w:sdtPr>
          <w:rPr>
            <w:rFonts w:hint="eastAsia" w:ascii="宋体" w:hAnsi="宋体" w:eastAsia="宋体" w:cstheme="minorBidi"/>
            <w:color w:val="auto"/>
            <w:kern w:val="2"/>
            <w:sz w:val="24"/>
            <w:szCs w:val="24"/>
            <w:highlight w:val="none"/>
            <w:lang w:val="en-US" w:eastAsia="zh-CN" w:bidi="ar-SA"/>
          </w:rPr>
          <w:id w:val="147459596"/>
          <w:placeholder>
            <w:docPart w:val="{1cc645d8-5ed1-49d8-aed1-9b8f0e48d133}"/>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100 %</w:t>
          </w:r>
        </w:sdtContent>
      </w:sdt>
      <w:r>
        <w:rPr>
          <w:rFonts w:hint="eastAsia" w:ascii="宋体" w:hAnsi="宋体" w:eastAsia="宋体"/>
          <w:color w:val="auto"/>
          <w:sz w:val="24"/>
          <w:szCs w:val="24"/>
          <w:highlight w:val="none"/>
        </w:rPr>
        <w:t>：</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a.金额为</w:t>
      </w:r>
      <w:sdt>
        <w:sdtPr>
          <w:rPr>
            <w:rFonts w:hint="eastAsia" w:ascii="宋体" w:hAnsi="宋体" w:eastAsia="宋体" w:cstheme="minorBidi"/>
            <w:color w:val="auto"/>
            <w:kern w:val="2"/>
            <w:sz w:val="24"/>
            <w:szCs w:val="24"/>
            <w:highlight w:val="none"/>
            <w:lang w:val="en-US" w:eastAsia="zh-CN" w:bidi="ar-SA"/>
          </w:rPr>
          <w:id w:val="844772823"/>
          <w:placeholder>
            <w:docPart w:val="{d6bbcb5d-e3b9-482f-be79-a6600e88198e}"/>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100%</w:t>
          </w:r>
        </w:sdtContent>
      </w:sdt>
      <w:r>
        <w:rPr>
          <w:rFonts w:hint="eastAsia" w:ascii="宋体" w:hAnsi="宋体" w:eastAsia="宋体"/>
          <w:color w:val="auto"/>
          <w:sz w:val="24"/>
          <w:szCs w:val="24"/>
          <w:highlight w:val="none"/>
        </w:rPr>
        <w:t>的该批次货款的一般纳税人增值税专用发票；</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b.卖方已缴纳该批货物的中标/成交服务费和</w:t>
      </w:r>
      <w:bookmarkStart w:id="7" w:name="_Hlk107934010"/>
      <w:r>
        <w:rPr>
          <w:rFonts w:hint="eastAsia" w:ascii="宋体" w:hAnsi="宋体" w:eastAsia="宋体"/>
          <w:color w:val="auto"/>
          <w:sz w:val="24"/>
          <w:szCs w:val="24"/>
          <w:highlight w:val="none"/>
        </w:rPr>
        <w:t>2.2.3的</w:t>
      </w:r>
      <w:bookmarkEnd w:id="7"/>
      <w:r>
        <w:rPr>
          <w:rFonts w:hint="eastAsia" w:ascii="宋体" w:hAnsi="宋体" w:eastAsia="宋体"/>
          <w:color w:val="auto"/>
          <w:sz w:val="24"/>
          <w:szCs w:val="24"/>
          <w:highlight w:val="none"/>
        </w:rPr>
        <w:t>二次配送费用、仓储操作费的证明材料；</w:t>
      </w:r>
    </w:p>
    <w:p>
      <w:pPr>
        <w:adjustRightInd w:val="0"/>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c.买方已收讫的该批次货物的《签收单》。</w:t>
      </w:r>
      <w:r>
        <w:rPr>
          <w:rFonts w:hint="default" w:ascii="宋体" w:hAnsi="宋体" w:cstheme="minorBidi"/>
          <w:color w:val="auto"/>
          <w:kern w:val="2"/>
          <w:sz w:val="24"/>
          <w:szCs w:val="24"/>
          <w:highlight w:val="none"/>
          <w:lang w:eastAsia="zh-CN" w:bidi="ar-SA"/>
        </w:rPr>
        <w:t xml:space="preserve"> </w:t>
      </w:r>
      <w:sdt>
        <w:sdtPr>
          <w:rPr>
            <w:rFonts w:hint="eastAsia" w:ascii="宋体" w:hAnsi="宋体" w:eastAsia="宋体" w:cstheme="minorBidi"/>
            <w:color w:val="auto"/>
            <w:kern w:val="2"/>
            <w:sz w:val="24"/>
            <w:szCs w:val="24"/>
            <w:highlight w:val="none"/>
            <w:lang w:val="en-US" w:eastAsia="zh-CN" w:bidi="ar-SA"/>
          </w:rPr>
          <w:id w:val="147459521"/>
          <w:placeholder>
            <w:docPart w:val="{0850a346-6850-44d0-a50f-8ba3877a663f}"/>
          </w:placeholder>
        </w:sdtPr>
        <w:sdtEndPr>
          <w:rPr>
            <w:rFonts w:hint="eastAsia" w:ascii="宋体" w:hAnsi="宋体" w:eastAsia="宋体" w:cstheme="minorBidi"/>
            <w:color w:val="auto"/>
            <w:kern w:val="2"/>
            <w:sz w:val="24"/>
            <w:szCs w:val="24"/>
            <w:highlight w:val="none"/>
            <w:lang w:val="en-US" w:eastAsia="zh-CN" w:bidi="ar-SA"/>
          </w:rPr>
        </w:sdtEndPr>
        <w:sdtContent>
          <w:r>
            <w:rPr>
              <w:rFonts w:hint="default" w:ascii="宋体" w:hAnsi="宋体" w:cstheme="minorBidi"/>
              <w:color w:val="auto"/>
              <w:kern w:val="2"/>
              <w:sz w:val="24"/>
              <w:szCs w:val="24"/>
              <w:highlight w:val="none"/>
              <w:lang w:eastAsia="zh-CN" w:bidi="ar-SA"/>
            </w:rPr>
            <w:t xml:space="preserve"> </w:t>
          </w:r>
        </w:sdtContent>
      </w:sdt>
    </w:p>
    <w:p>
      <w:pPr>
        <w:adjustRightInd w:val="0"/>
        <w:snapToGrid w:val="0"/>
        <w:spacing w:line="360" w:lineRule="auto"/>
        <w:ind w:firstLine="0" w:firstLineChars="0"/>
        <w:rPr>
          <w:rFonts w:ascii="宋体" w:hAnsi="宋体" w:eastAsia="宋体"/>
          <w:color w:val="auto"/>
          <w:sz w:val="24"/>
          <w:szCs w:val="24"/>
          <w:highlight w:val="none"/>
        </w:rPr>
      </w:pPr>
      <w:r>
        <w:rPr>
          <w:rFonts w:hint="default" w:ascii="宋体" w:hAnsi="宋体"/>
          <w:color w:val="auto"/>
          <w:sz w:val="24"/>
          <w:szCs w:val="24"/>
          <w:highlight w:val="none"/>
        </w:rPr>
        <w:t xml:space="preserve">    </w:t>
      </w:r>
      <w:r>
        <w:rPr>
          <w:rFonts w:hint="eastAsia" w:ascii="宋体" w:hAnsi="宋体" w:eastAsia="宋体"/>
          <w:color w:val="auto"/>
          <w:sz w:val="24"/>
          <w:szCs w:val="24"/>
          <w:highlight w:val="none"/>
        </w:rPr>
        <w:t>但是，买方向卖方支付货款并不表示送入仓库的货物通过最终验收。</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4.2.2货物直送最终用户的，该批次货物经安装调试完毕并经最终验收合格后，买方凭如下单证和文件在</w:t>
      </w:r>
      <w:sdt>
        <w:sdtPr>
          <w:rPr>
            <w:rFonts w:hint="eastAsia" w:ascii="宋体" w:hAnsi="宋体" w:eastAsia="宋体" w:cstheme="minorBidi"/>
            <w:color w:val="auto"/>
            <w:kern w:val="2"/>
            <w:sz w:val="24"/>
            <w:szCs w:val="24"/>
            <w:highlight w:val="none"/>
            <w:lang w:val="en-US" w:eastAsia="zh-CN" w:bidi="ar-SA"/>
          </w:rPr>
          <w:id w:val="255886650"/>
          <w:placeholder>
            <w:docPart w:val="{bd5f3981-559e-4451-9668-ea7c5a326fe6}"/>
          </w:placeholder>
        </w:sdtPr>
        <w:sdtEndPr>
          <w:rPr>
            <w:rFonts w:hint="eastAsia" w:ascii="宋体" w:hAnsi="宋体" w:eastAsia="宋体" w:cstheme="minorBidi"/>
            <w:color w:val="auto"/>
            <w:kern w:val="2"/>
            <w:sz w:val="24"/>
            <w:szCs w:val="24"/>
            <w:highlight w:val="none"/>
            <w:u w:val="single"/>
            <w:lang w:val="en-US" w:eastAsia="zh-CN" w:bidi="ar-SA"/>
          </w:rPr>
        </w:sdtEndPr>
        <w:sdtContent>
          <w:r>
            <w:rPr>
              <w:rFonts w:hint="eastAsia" w:ascii="宋体" w:hAnsi="宋体" w:eastAsia="宋体"/>
              <w:color w:val="auto"/>
              <w:sz w:val="24"/>
              <w:szCs w:val="24"/>
              <w:highlight w:val="none"/>
              <w:u w:val="single"/>
            </w:rPr>
            <w:t>45</w:t>
          </w:r>
        </w:sdtContent>
      </w:sdt>
      <w:r>
        <w:rPr>
          <w:rFonts w:hint="eastAsia" w:ascii="宋体" w:hAnsi="宋体" w:eastAsia="宋体"/>
          <w:color w:val="auto"/>
          <w:sz w:val="24"/>
          <w:szCs w:val="24"/>
          <w:highlight w:val="none"/>
        </w:rPr>
        <w:t>个日历日内向卖方一次性付清该批次货款的</w:t>
      </w:r>
      <w:sdt>
        <w:sdtPr>
          <w:rPr>
            <w:rFonts w:hint="eastAsia" w:ascii="宋体" w:hAnsi="宋体" w:eastAsia="宋体" w:cstheme="minorBidi"/>
            <w:color w:val="auto"/>
            <w:kern w:val="2"/>
            <w:sz w:val="24"/>
            <w:szCs w:val="24"/>
            <w:highlight w:val="none"/>
            <w:lang w:val="en-US" w:eastAsia="zh-CN" w:bidi="ar-SA"/>
          </w:rPr>
          <w:id w:val="151267880"/>
          <w:placeholder>
            <w:docPart w:val="{0f0de45b-6e3b-4c26-8a39-2aad490d0807}"/>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全款</w:t>
          </w:r>
        </w:sdtContent>
      </w:sdt>
      <w:r>
        <w:rPr>
          <w:rFonts w:hint="eastAsia" w:ascii="宋体" w:hAnsi="宋体" w:eastAsia="宋体"/>
          <w:color w:val="auto"/>
          <w:sz w:val="24"/>
          <w:szCs w:val="24"/>
          <w:highlight w:val="none"/>
        </w:rPr>
        <w:t>。</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a.金额为</w:t>
      </w:r>
      <w:sdt>
        <w:sdtPr>
          <w:rPr>
            <w:rFonts w:hint="eastAsia" w:ascii="宋体" w:hAnsi="宋体" w:eastAsia="宋体" w:cstheme="minorBidi"/>
            <w:color w:val="auto"/>
            <w:kern w:val="2"/>
            <w:sz w:val="24"/>
            <w:szCs w:val="24"/>
            <w:highlight w:val="none"/>
            <w:lang w:val="en-US" w:eastAsia="zh-CN" w:bidi="ar-SA"/>
          </w:rPr>
          <w:id w:val="288350785"/>
          <w:placeholder>
            <w:docPart w:val="{7d8c39fb-a158-4abf-bcac-de5e7b77e65a}"/>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100%</w:t>
          </w:r>
        </w:sdtContent>
      </w:sdt>
      <w:r>
        <w:rPr>
          <w:rFonts w:hint="eastAsia" w:ascii="宋体" w:hAnsi="宋体" w:eastAsia="宋体"/>
          <w:color w:val="auto"/>
          <w:sz w:val="24"/>
          <w:szCs w:val="24"/>
          <w:highlight w:val="none"/>
        </w:rPr>
        <w:t>的该批次货款的一般纳税人增值税专用发票；</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b.卖方已缴纳该批货物的成交服务费的证明材料；</w:t>
      </w:r>
    </w:p>
    <w:p>
      <w:pPr>
        <w:adjustRightInd w:val="0"/>
        <w:snapToGrid w:val="0"/>
        <w:spacing w:line="360" w:lineRule="auto"/>
        <w:ind w:firstLine="480" w:firstLineChars="200"/>
        <w:rPr>
          <w:rFonts w:hint="default" w:ascii="宋体" w:hAnsi="宋体" w:eastAsia="宋体" w:cstheme="minorBidi"/>
          <w:color w:val="auto"/>
          <w:kern w:val="2"/>
          <w:sz w:val="24"/>
          <w:szCs w:val="24"/>
          <w:highlight w:val="none"/>
          <w:lang w:eastAsia="zh-CN" w:bidi="ar-SA"/>
        </w:rPr>
      </w:pPr>
      <w:r>
        <w:rPr>
          <w:rFonts w:hint="eastAsia" w:ascii="宋体" w:hAnsi="宋体" w:eastAsia="宋体"/>
          <w:color w:val="auto"/>
          <w:sz w:val="24"/>
          <w:szCs w:val="24"/>
          <w:highlight w:val="none"/>
        </w:rPr>
        <w:t>c.该批次货物的《验收报告》(经最终用户签署)。</w:t>
      </w:r>
      <w:r>
        <w:rPr>
          <w:rFonts w:hint="default" w:ascii="宋体" w:hAnsi="宋体"/>
          <w:color w:val="auto"/>
          <w:sz w:val="24"/>
          <w:szCs w:val="24"/>
          <w:highlight w:val="none"/>
        </w:rPr>
        <w:t xml:space="preserve"> </w:t>
      </w:r>
      <w:sdt>
        <w:sdtPr>
          <w:rPr>
            <w:rFonts w:hint="eastAsia" w:ascii="宋体" w:hAnsi="宋体" w:eastAsia="宋体" w:cstheme="minorBidi"/>
            <w:color w:val="auto"/>
            <w:kern w:val="2"/>
            <w:sz w:val="24"/>
            <w:szCs w:val="24"/>
            <w:highlight w:val="none"/>
            <w:lang w:val="en-US" w:eastAsia="zh-CN" w:bidi="ar-SA"/>
          </w:rPr>
          <w:id w:val="147459335"/>
          <w:placeholder>
            <w:docPart w:val="{08628d74-ebbe-4950-8c58-7e9f8aa0bf0a}"/>
          </w:placeholder>
        </w:sdtPr>
        <w:sdtEndPr>
          <w:rPr>
            <w:rFonts w:hint="eastAsia" w:ascii="宋体" w:hAnsi="宋体" w:eastAsia="宋体" w:cstheme="minorBidi"/>
            <w:color w:val="auto"/>
            <w:kern w:val="2"/>
            <w:sz w:val="24"/>
            <w:szCs w:val="24"/>
            <w:highlight w:val="none"/>
            <w:lang w:val="en-US" w:eastAsia="zh-CN" w:bidi="ar-SA"/>
          </w:rPr>
        </w:sdtEndPr>
        <w:sdtContent/>
      </w:sdt>
      <w:r>
        <w:rPr>
          <w:rFonts w:hint="default" w:ascii="宋体" w:hAnsi="宋体" w:cstheme="minorBidi"/>
          <w:color w:val="auto"/>
          <w:kern w:val="2"/>
          <w:sz w:val="24"/>
          <w:szCs w:val="24"/>
          <w:highlight w:val="none"/>
          <w:lang w:eastAsia="zh-CN" w:bidi="ar-SA"/>
        </w:rPr>
        <w:t xml:space="preserve"> </w:t>
      </w:r>
    </w:p>
    <w:p>
      <w:pPr>
        <w:adjustRightInd w:val="0"/>
        <w:snapToGrid w:val="0"/>
        <w:spacing w:line="360" w:lineRule="auto"/>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5、质量要求和技术标准</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5.1卖方保证提供的所有产品的技术参数指标与合同附件1（技术参数）中对应产品的技术参数指标相一致。 </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5.2卖方保证提供的所有产品（包括所有配件、备件等）均是符合国家标准的、全新的、原产制造并经检验合格的、未使用过的、正宗品牌产品，否则买方有权退货。 </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5.3卖方承诺不拆换、不调换、不截留产品零部件；不以少充多、不以旧充新，不以劣充优，不以假充真；不提供降低产品等级标准的产品。否则买方有权退货。 </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5.4包装要求：卖方保证提供的所有合同产品均是厂家出厂的原包装；且必须采用相应标准及保护措施进行包装，这种包装应适应于相应的运输方式，并有良好的防潮、防震、防锈和防野蛮装卸等保护措施，以便保证货物安全运抵现场。货物在运输途中所发生锈、损坏和丢失的损失由卖方承担责任和费用。每件包装应附有详细装箱清单和质量合格证书。最终用户对包装破损的货物有权拒收，卖方承诺予以更换。 </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5.5卖方保证厂家出厂随机所安装的相关软件为正版软件。 </w:t>
      </w:r>
      <w:sdt>
        <w:sdtPr>
          <w:rPr>
            <w:rFonts w:hint="eastAsia" w:ascii="宋体" w:hAnsi="宋体" w:eastAsia="宋体" w:cstheme="minorBidi"/>
            <w:color w:val="auto"/>
            <w:kern w:val="2"/>
            <w:sz w:val="24"/>
            <w:szCs w:val="24"/>
            <w:highlight w:val="none"/>
            <w:lang w:val="en-US" w:eastAsia="zh-CN" w:bidi="ar-SA"/>
          </w:rPr>
          <w:id w:val="147458336"/>
          <w:placeholder>
            <w:docPart w:val="{030c38ef-b6c1-4dc2-aa20-ce00d2bea9eb}"/>
          </w:placeholder>
          <w:showingPlcHdr/>
        </w:sdtPr>
        <w:sdtEndPr>
          <w:rPr>
            <w:rFonts w:hint="eastAsia" w:ascii="宋体" w:hAnsi="宋体" w:eastAsia="宋体" w:cstheme="minorBidi"/>
            <w:color w:val="auto"/>
            <w:kern w:val="2"/>
            <w:sz w:val="24"/>
            <w:szCs w:val="24"/>
            <w:highlight w:val="none"/>
            <w:lang w:val="en-US" w:eastAsia="zh-CN" w:bidi="ar-SA"/>
          </w:rPr>
        </w:sdtEndPr>
        <w:sdtContent>
          <w:r>
            <w:rPr>
              <w:color w:val="auto"/>
              <w:highlight w:val="none"/>
            </w:rPr>
            <w:t>单击此处输入文字。</w:t>
          </w:r>
        </w:sdtContent>
      </w:sdt>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5.6卖方保证提供的产品的技术性能、综合质量的稳定性和可靠性；保证提供的产品符合国家质量、技术、环保、安全、节能、保密等相关法律、法规和政策要求及商检标准和电工标准。 </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5.7卖方承诺提供货物制造厂商的合格证书。</w:t>
      </w:r>
    </w:p>
    <w:sdt>
      <w:sdtPr>
        <w:rPr>
          <w:rFonts w:hint="eastAsia" w:ascii="宋体" w:hAnsi="宋体" w:eastAsia="宋体" w:cstheme="minorBidi"/>
          <w:color w:val="auto"/>
          <w:kern w:val="2"/>
          <w:sz w:val="24"/>
          <w:szCs w:val="24"/>
          <w:highlight w:val="none"/>
          <w:lang w:val="en-US" w:eastAsia="zh-CN" w:bidi="ar-SA"/>
        </w:rPr>
        <w:id w:val="147469600"/>
        <w:placeholder>
          <w:docPart w:val="{794b0de7-2f78-4e2d-9411-08063cd77168}"/>
        </w:placeholder>
      </w:sdtPr>
      <w:sdtEndPr>
        <w:rPr>
          <w:rFonts w:hint="eastAsia" w:ascii="宋体" w:hAnsi="宋体" w:eastAsia="宋体" w:cstheme="minorBidi"/>
          <w:color w:val="auto"/>
          <w:kern w:val="2"/>
          <w:sz w:val="24"/>
          <w:szCs w:val="24"/>
          <w:highlight w:val="none"/>
          <w:lang w:val="en-US" w:eastAsia="zh-CN" w:bidi="ar-SA"/>
        </w:rPr>
      </w:sdtEndPr>
      <w:sdtContent>
        <w:p>
          <w:pPr>
            <w:adjustRightInd w:val="0"/>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5.8卖方保证配合买方及产品检验检测机构进行合同产品的检验检测，产品检验检测的一切相关费用由卖方承担。</w:t>
          </w:r>
        </w:p>
      </w:sdtContent>
    </w:sdt>
    <w:p>
      <w:pPr>
        <w:adjustRightInd w:val="0"/>
        <w:snapToGrid w:val="0"/>
        <w:spacing w:line="360" w:lineRule="auto"/>
        <w:ind w:firstLine="0" w:firstLineChars="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6、安装要求</w:t>
      </w:r>
    </w:p>
    <w:sdt>
      <w:sdtPr>
        <w:rPr>
          <w:rFonts w:ascii="宋体" w:hAnsi="宋体" w:eastAsia="宋体" w:cstheme="minorBidi"/>
          <w:color w:val="auto"/>
          <w:kern w:val="2"/>
          <w:sz w:val="24"/>
          <w:szCs w:val="24"/>
          <w:highlight w:val="none"/>
          <w:lang w:val="en-US" w:eastAsia="zh-CN" w:bidi="ar-SA"/>
        </w:rPr>
        <w:id w:val="147469316"/>
        <w:placeholder>
          <w:docPart w:val="{473ba964-c17d-4dfa-bc4c-5a7e380ec99c}"/>
        </w:placeholder>
      </w:sdtPr>
      <w:sdtEndPr>
        <w:rPr>
          <w:rFonts w:hint="eastAsia" w:ascii="宋体" w:hAnsi="宋体" w:eastAsia="宋体" w:cstheme="minorBidi"/>
          <w:color w:val="auto"/>
          <w:kern w:val="2"/>
          <w:sz w:val="24"/>
          <w:szCs w:val="24"/>
          <w:highlight w:val="none"/>
          <w:lang w:val="en-US" w:eastAsia="zh-CN" w:bidi="ar-SA"/>
        </w:rPr>
      </w:sdtEndPr>
      <w:sdtContent>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6</w:t>
          </w:r>
          <w:r>
            <w:rPr>
              <w:rFonts w:hint="eastAsia" w:ascii="宋体" w:hAnsi="宋体" w:eastAsia="宋体"/>
              <w:color w:val="auto"/>
              <w:sz w:val="24"/>
              <w:szCs w:val="24"/>
              <w:highlight w:val="none"/>
            </w:rPr>
            <w:t>.</w:t>
          </w:r>
          <w:r>
            <w:rPr>
              <w:rFonts w:ascii="宋体" w:hAnsi="宋体" w:eastAsia="宋体"/>
              <w:color w:val="auto"/>
              <w:sz w:val="24"/>
              <w:szCs w:val="24"/>
              <w:highlight w:val="none"/>
            </w:rPr>
            <w:t>1</w:t>
          </w:r>
          <w:r>
            <w:rPr>
              <w:rFonts w:hint="eastAsia" w:ascii="宋体" w:hAnsi="宋体" w:eastAsia="宋体"/>
              <w:color w:val="auto"/>
              <w:sz w:val="24"/>
              <w:szCs w:val="24"/>
              <w:highlight w:val="none"/>
            </w:rPr>
            <w:t>卖方负责货物（设备）的安装，在接到买方或最终用户的安装要求后4个小时内安排安装服务人员到达指定地点进行安装调试，安装调试完成后三日内将最终用户确认的最终验收合格交付单及时反馈给买方：</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6.2</w:t>
          </w:r>
          <w:r>
            <w:rPr>
              <w:rFonts w:hint="eastAsia" w:ascii="宋体" w:hAnsi="宋体" w:eastAsia="宋体"/>
              <w:color w:val="auto"/>
              <w:sz w:val="24"/>
              <w:szCs w:val="24"/>
              <w:highlight w:val="none"/>
            </w:rPr>
            <w:t>安装前应做到：</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1)安装前应与最终用户核对机器型号和台数，确认无误后再安装；</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2)上门服务人员应着售后服务供应商工作牌；</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3)安装前应检查最终用户的电源电压是否安全稳定，如有问题，应及时告知最终用户，协商整改。</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6.3</w:t>
          </w:r>
          <w:r>
            <w:rPr>
              <w:rFonts w:hint="eastAsia" w:ascii="宋体" w:hAnsi="宋体" w:eastAsia="宋体"/>
              <w:color w:val="auto"/>
              <w:sz w:val="24"/>
              <w:szCs w:val="24"/>
              <w:highlight w:val="none"/>
            </w:rPr>
            <w:t>安装过程中应做到：</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1) 开箱验机，检查设备外观完好； </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 检查每台机器的服务编号；</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3) 如果设备在运输过程中出现损伤，卖方应负责免费给最终用户更换同型号新设备；  </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4) 设备安装到最终用户所指定的位置上，如位置无法正常安装，应与最终用户协商，提出解决方案； </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5) 给新机器连接线缆； </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6) 安装完成之后开机测试，并根据最终用户的需求进行设置。</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6.4</w:t>
          </w:r>
          <w:r>
            <w:rPr>
              <w:rFonts w:hint="eastAsia" w:ascii="宋体" w:hAnsi="宋体" w:eastAsia="宋体"/>
              <w:color w:val="auto"/>
              <w:sz w:val="24"/>
              <w:szCs w:val="24"/>
              <w:highlight w:val="none"/>
            </w:rPr>
            <w:t>安装完成后应做到：</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1)安装完毕，确认产品的正常运行；</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2)安装完毕，应为每台机器注册信息, 并向最终用户详细讲解保修条例；如没有注册信息而导致机器在保修期内无法免费保修的情况，卖方应负责相关维修费用；</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3)安装完毕，应向最终用户详细讲解使用操作方法和日常维护保养措施，耐心解答最终用户提出的问题，留下服务电话；并在设备合适的地方填(贴)上机器信息（包括报修电话、机器序列号及服务号），方便最终用户报修；</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4）安装完毕，应把工作现场打扫干净，将工具等物品复位；</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5）安装完毕，应按照买方要求填写验收报告，三个工作日内报送给买方。</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6.5</w:t>
          </w:r>
          <w:r>
            <w:rPr>
              <w:rFonts w:hint="eastAsia" w:ascii="宋体" w:hAnsi="宋体" w:eastAsia="宋体"/>
              <w:color w:val="auto"/>
              <w:sz w:val="24"/>
              <w:szCs w:val="24"/>
              <w:highlight w:val="none"/>
            </w:rPr>
            <w:t>卖方应按买方要求，每日制作报表反馈安装及验收报告签收情况。其他报表需求也应按买方要求提供。</w:t>
          </w:r>
        </w:p>
      </w:sdtContent>
    </w:sdt>
    <w:p>
      <w:pPr>
        <w:adjustRightInd w:val="0"/>
        <w:snapToGrid w:val="0"/>
        <w:spacing w:line="360" w:lineRule="auto"/>
        <w:rPr>
          <w:rFonts w:ascii="宋体" w:hAnsi="宋体" w:eastAsia="宋体"/>
          <w:b/>
          <w:bCs/>
          <w:color w:val="auto"/>
          <w:sz w:val="24"/>
          <w:szCs w:val="24"/>
          <w:highlight w:val="none"/>
        </w:rPr>
      </w:pPr>
      <w:r>
        <w:rPr>
          <w:rFonts w:ascii="宋体" w:hAnsi="宋体" w:eastAsia="宋体"/>
          <w:b/>
          <w:bCs/>
          <w:color w:val="auto"/>
          <w:sz w:val="24"/>
          <w:szCs w:val="24"/>
          <w:highlight w:val="none"/>
        </w:rPr>
        <w:t>7</w:t>
      </w:r>
      <w:r>
        <w:rPr>
          <w:rFonts w:hint="eastAsia" w:ascii="宋体" w:hAnsi="宋体" w:eastAsia="宋体"/>
          <w:b/>
          <w:bCs/>
          <w:color w:val="auto"/>
          <w:sz w:val="24"/>
          <w:szCs w:val="24"/>
          <w:highlight w:val="none"/>
        </w:rPr>
        <w:t>、验收标准及办法</w:t>
      </w:r>
    </w:p>
    <w:sdt>
      <w:sdtPr>
        <w:rPr>
          <w:rFonts w:ascii="宋体" w:hAnsi="宋体" w:eastAsia="宋体" w:cs="Times New Roman"/>
          <w:color w:val="auto"/>
          <w:kern w:val="2"/>
          <w:sz w:val="24"/>
          <w:szCs w:val="24"/>
          <w:highlight w:val="none"/>
          <w:lang w:val="en-US" w:eastAsia="zh-CN" w:bidi="ar-SA"/>
        </w:rPr>
        <w:id w:val="147469280"/>
        <w:placeholder>
          <w:docPart w:val="{f1488ab3-5e66-4b02-8c2f-e040b33da0f6}"/>
        </w:placeholder>
      </w:sdtPr>
      <w:sdtEndPr>
        <w:rPr>
          <w:rFonts w:hint="eastAsia" w:ascii="宋体" w:hAnsi="宋体" w:eastAsia="宋体" w:cs="Times New Roman"/>
          <w:color w:val="auto"/>
          <w:kern w:val="2"/>
          <w:sz w:val="24"/>
          <w:szCs w:val="24"/>
          <w:highlight w:val="none"/>
          <w:lang w:val="en-US" w:eastAsia="zh-CN" w:bidi="ar-SA"/>
        </w:rPr>
      </w:sdtEndPr>
      <w:sdtContent>
        <w:p>
          <w:pPr>
            <w:pStyle w:val="41"/>
            <w:adjustRightInd w:val="0"/>
            <w:snapToGrid w:val="0"/>
            <w:spacing w:line="360" w:lineRule="auto"/>
            <w:ind w:firstLine="480"/>
            <w:jc w:val="left"/>
            <w:rPr>
              <w:rFonts w:ascii="宋体" w:hAnsi="宋体"/>
              <w:color w:val="auto"/>
              <w:kern w:val="2"/>
              <w:sz w:val="24"/>
              <w:szCs w:val="24"/>
              <w:highlight w:val="none"/>
            </w:rPr>
          </w:pPr>
          <w:r>
            <w:rPr>
              <w:rFonts w:ascii="宋体" w:hAnsi="宋体"/>
              <w:color w:val="auto"/>
              <w:kern w:val="2"/>
              <w:sz w:val="24"/>
              <w:szCs w:val="24"/>
              <w:highlight w:val="none"/>
            </w:rPr>
            <w:t>7</w:t>
          </w:r>
          <w:r>
            <w:rPr>
              <w:rFonts w:hint="eastAsia" w:ascii="宋体" w:hAnsi="宋体"/>
              <w:color w:val="auto"/>
              <w:kern w:val="2"/>
              <w:sz w:val="24"/>
              <w:szCs w:val="24"/>
              <w:highlight w:val="none"/>
            </w:rPr>
            <w:t>.1初步验收：货物运抵买方指定地点后由买方或最终用户对照《定货单》对货物的外观、包装及数量进行验收。卖方应按买方要求填写《签收单》等单据。</w:t>
          </w:r>
        </w:p>
        <w:p>
          <w:pPr>
            <w:pStyle w:val="41"/>
            <w:adjustRightInd w:val="0"/>
            <w:snapToGrid w:val="0"/>
            <w:spacing w:line="360" w:lineRule="auto"/>
            <w:ind w:firstLine="480"/>
            <w:jc w:val="left"/>
            <w:rPr>
              <w:rFonts w:ascii="宋体" w:hAnsi="宋体"/>
              <w:color w:val="auto"/>
              <w:kern w:val="2"/>
              <w:sz w:val="24"/>
              <w:szCs w:val="24"/>
              <w:highlight w:val="none"/>
            </w:rPr>
          </w:pPr>
          <w:r>
            <w:rPr>
              <w:rFonts w:ascii="宋体" w:hAnsi="宋体"/>
              <w:color w:val="auto"/>
              <w:kern w:val="2"/>
              <w:sz w:val="24"/>
              <w:szCs w:val="24"/>
              <w:highlight w:val="none"/>
            </w:rPr>
            <w:t>7</w:t>
          </w:r>
          <w:r>
            <w:rPr>
              <w:rFonts w:hint="eastAsia" w:ascii="宋体" w:hAnsi="宋体"/>
              <w:color w:val="auto"/>
              <w:kern w:val="2"/>
              <w:sz w:val="24"/>
              <w:szCs w:val="24"/>
              <w:highlight w:val="none"/>
            </w:rPr>
            <w:t>.2最终验收：卖方根据合同要求进行设备安装、调试后，应按买方要求填写《验收报告》等单据并经最终用户签署确认后，三个工作日内报送给买方。</w:t>
          </w:r>
        </w:p>
        <w:p>
          <w:pPr>
            <w:pStyle w:val="41"/>
            <w:adjustRightInd w:val="0"/>
            <w:snapToGrid w:val="0"/>
            <w:spacing w:line="360" w:lineRule="auto"/>
            <w:ind w:firstLine="480"/>
            <w:jc w:val="left"/>
            <w:rPr>
              <w:rFonts w:ascii="宋体" w:hAnsi="宋体"/>
              <w:color w:val="auto"/>
              <w:kern w:val="2"/>
              <w:sz w:val="24"/>
              <w:szCs w:val="24"/>
              <w:highlight w:val="none"/>
            </w:rPr>
          </w:pPr>
          <w:r>
            <w:rPr>
              <w:rFonts w:ascii="宋体" w:hAnsi="宋体"/>
              <w:color w:val="auto"/>
              <w:kern w:val="2"/>
              <w:sz w:val="24"/>
              <w:szCs w:val="24"/>
              <w:highlight w:val="none"/>
            </w:rPr>
            <w:t>7</w:t>
          </w:r>
          <w:r>
            <w:rPr>
              <w:rFonts w:hint="eastAsia" w:ascii="宋体" w:hAnsi="宋体"/>
              <w:color w:val="auto"/>
              <w:kern w:val="2"/>
              <w:sz w:val="24"/>
              <w:szCs w:val="24"/>
              <w:highlight w:val="none"/>
            </w:rPr>
            <w:t>.3验收时（包括初验和最终验收），卖方必须派代表参加并确认验收结果。</w:t>
          </w:r>
        </w:p>
        <w:p>
          <w:pPr>
            <w:pStyle w:val="41"/>
            <w:adjustRightInd w:val="0"/>
            <w:snapToGrid w:val="0"/>
            <w:spacing w:line="360" w:lineRule="auto"/>
            <w:ind w:firstLine="480"/>
            <w:jc w:val="left"/>
            <w:rPr>
              <w:rFonts w:ascii="宋体" w:hAnsi="宋体"/>
              <w:color w:val="auto"/>
              <w:kern w:val="2"/>
              <w:sz w:val="24"/>
              <w:szCs w:val="24"/>
              <w:highlight w:val="none"/>
            </w:rPr>
          </w:pPr>
          <w:r>
            <w:rPr>
              <w:rFonts w:ascii="宋体" w:hAnsi="宋体"/>
              <w:color w:val="auto"/>
              <w:kern w:val="2"/>
              <w:sz w:val="24"/>
              <w:szCs w:val="24"/>
              <w:highlight w:val="none"/>
            </w:rPr>
            <w:t>7</w:t>
          </w:r>
          <w:r>
            <w:rPr>
              <w:rFonts w:hint="eastAsia" w:ascii="宋体" w:hAnsi="宋体"/>
              <w:color w:val="auto"/>
              <w:kern w:val="2"/>
              <w:sz w:val="24"/>
              <w:szCs w:val="24"/>
              <w:highlight w:val="none"/>
            </w:rPr>
            <w:t>.4移交使用：最终验收合格后，卖方应在最终用户要求的时间内将合同设备移交最终用户使用。合同货物毁损、灭失的风险自移交使用之日起转移。</w:t>
          </w:r>
        </w:p>
        <w:p>
          <w:pPr>
            <w:pStyle w:val="41"/>
            <w:adjustRightInd w:val="0"/>
            <w:snapToGrid w:val="0"/>
            <w:spacing w:line="360" w:lineRule="auto"/>
            <w:ind w:firstLine="480"/>
            <w:jc w:val="left"/>
            <w:rPr>
              <w:rFonts w:hint="eastAsia" w:ascii="宋体" w:hAnsi="宋体"/>
              <w:color w:val="auto"/>
              <w:kern w:val="2"/>
              <w:sz w:val="24"/>
              <w:szCs w:val="24"/>
              <w:highlight w:val="none"/>
            </w:rPr>
          </w:pPr>
          <w:r>
            <w:rPr>
              <w:rFonts w:ascii="宋体" w:hAnsi="宋体"/>
              <w:color w:val="auto"/>
              <w:kern w:val="2"/>
              <w:sz w:val="24"/>
              <w:szCs w:val="24"/>
              <w:highlight w:val="none"/>
            </w:rPr>
            <w:t>7</w:t>
          </w:r>
          <w:r>
            <w:rPr>
              <w:rFonts w:hint="eastAsia" w:ascii="宋体" w:hAnsi="宋体"/>
              <w:color w:val="auto"/>
              <w:kern w:val="2"/>
              <w:sz w:val="24"/>
              <w:szCs w:val="24"/>
              <w:highlight w:val="none"/>
            </w:rPr>
            <w:t>.5买方有权自行委托我国相关具有检验资质的部门、单位、机构针对卖方产品的精度、性能进行检验。其检验结果将作为验收标准的组成部分之一。</w:t>
          </w:r>
        </w:p>
        <w:p>
          <w:pPr>
            <w:pStyle w:val="41"/>
            <w:keepNext w:val="0"/>
            <w:keepLines w:val="0"/>
            <w:pageBreakBefore w:val="0"/>
            <w:widowControl/>
            <w:wordWrap/>
            <w:topLinePunct w:val="0"/>
            <w:autoSpaceDE/>
            <w:autoSpaceDN/>
            <w:bidi w:val="0"/>
            <w:adjustRightInd/>
            <w:snapToGrid/>
            <w:spacing w:line="360" w:lineRule="auto"/>
            <w:ind w:left="0" w:firstLine="420"/>
            <w:rPr>
              <w:rFonts w:ascii="宋体" w:hAnsi="宋体"/>
              <w:color w:val="auto"/>
              <w:kern w:val="2"/>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rPr>
            <w:t>.6</w:t>
          </w:r>
          <w:r>
            <w:rPr>
              <w:rFonts w:hint="eastAsia" w:ascii="宋体" w:hAnsi="宋体" w:eastAsia="宋体" w:cs="宋体"/>
              <w:color w:val="auto"/>
              <w:sz w:val="24"/>
              <w:szCs w:val="24"/>
              <w:highlight w:val="none"/>
              <w:lang w:eastAsia="zh-CN"/>
            </w:rPr>
            <w:t>验收时（包括初验和最终验收），卖方必须派代表参加并确认验收结果，否则视为卖方对验收意见无异议。如该批次产品在最终验收时，出现开箱破损或者故障，无法进行最终验收的，卖方无条件给予更换新机并保证最终验收的顺畅进行。若卖方不同意更换新机或者配合，买方有权直接于卖方的履约保证金中扣除该批次产品及安装的等额费用。</w:t>
          </w:r>
        </w:p>
      </w:sdtContent>
    </w:sdt>
    <w:p>
      <w:pPr>
        <w:adjustRightInd w:val="0"/>
        <w:snapToGrid w:val="0"/>
        <w:spacing w:line="360" w:lineRule="auto"/>
        <w:rPr>
          <w:rFonts w:ascii="宋体" w:hAnsi="宋体" w:eastAsia="宋体"/>
          <w:b/>
          <w:bCs/>
          <w:color w:val="auto"/>
          <w:sz w:val="24"/>
          <w:szCs w:val="24"/>
          <w:highlight w:val="none"/>
        </w:rPr>
      </w:pPr>
      <w:r>
        <w:rPr>
          <w:rFonts w:ascii="宋体" w:hAnsi="宋体" w:eastAsia="宋体"/>
          <w:b/>
          <w:bCs/>
          <w:color w:val="auto"/>
          <w:sz w:val="24"/>
          <w:szCs w:val="24"/>
          <w:highlight w:val="none"/>
        </w:rPr>
        <w:t>8</w:t>
      </w:r>
      <w:r>
        <w:rPr>
          <w:rFonts w:hint="eastAsia" w:ascii="宋体" w:hAnsi="宋体" w:eastAsia="宋体"/>
          <w:b/>
          <w:bCs/>
          <w:color w:val="auto"/>
          <w:sz w:val="24"/>
          <w:szCs w:val="24"/>
          <w:highlight w:val="none"/>
        </w:rPr>
        <w:t>、售后服务</w:t>
      </w:r>
      <w:sdt>
        <w:sdtPr>
          <w:rPr>
            <w:rFonts w:hint="eastAsia" w:ascii="宋体" w:hAnsi="宋体" w:eastAsia="宋体" w:cstheme="minorBidi"/>
            <w:b/>
            <w:bCs/>
            <w:color w:val="auto"/>
            <w:kern w:val="2"/>
            <w:sz w:val="24"/>
            <w:szCs w:val="24"/>
            <w:highlight w:val="none"/>
            <w:lang w:val="en-US" w:eastAsia="zh-CN" w:bidi="ar-SA"/>
          </w:rPr>
          <w:id w:val="147468633"/>
          <w:placeholder>
            <w:docPart w:val="{48a90ad6-c0c1-4e0d-9ea7-951b0d63bf13}"/>
          </w:placeholder>
        </w:sdtPr>
        <w:sdtEndPr>
          <w:rPr>
            <w:rFonts w:hint="eastAsia" w:ascii="宋体" w:hAnsi="宋体" w:eastAsia="宋体" w:cstheme="minorBidi"/>
            <w:b/>
            <w:bCs/>
            <w:color w:val="auto"/>
            <w:kern w:val="2"/>
            <w:sz w:val="24"/>
            <w:szCs w:val="24"/>
            <w:highlight w:val="none"/>
            <w:lang w:val="en-US" w:eastAsia="zh-CN" w:bidi="ar-SA"/>
          </w:rPr>
        </w:sdtEndPr>
        <w:sdtContent>
          <w:r>
            <w:rPr>
              <w:rFonts w:hint="default" w:ascii="宋体" w:hAnsi="宋体" w:cstheme="minorBidi"/>
              <w:b/>
              <w:bCs/>
              <w:color w:val="auto"/>
              <w:kern w:val="2"/>
              <w:sz w:val="24"/>
              <w:szCs w:val="24"/>
              <w:highlight w:val="none"/>
              <w:lang w:eastAsia="zh-CN" w:bidi="ar-SA"/>
            </w:rPr>
            <w:t xml:space="preserve"> </w:t>
          </w:r>
        </w:sdtContent>
      </w:sdt>
    </w:p>
    <w:sdt>
      <w:sdtPr>
        <w:rPr>
          <w:rFonts w:ascii="宋体" w:hAnsi="宋体" w:eastAsia="宋体" w:cstheme="minorBidi"/>
          <w:color w:val="auto"/>
          <w:kern w:val="2"/>
          <w:sz w:val="24"/>
          <w:szCs w:val="24"/>
          <w:highlight w:val="none"/>
          <w:lang w:val="en-US" w:eastAsia="zh-CN" w:bidi="ar-SA"/>
        </w:rPr>
        <w:id w:val="147468183"/>
        <w:placeholder>
          <w:docPart w:val="{e865adf1-12e1-4544-a602-b3bea81cf1e2}"/>
        </w:placeholder>
      </w:sdtPr>
      <w:sdtEndPr>
        <w:rPr>
          <w:rFonts w:hint="eastAsia" w:ascii="宋体" w:hAnsi="宋体" w:eastAsia="宋体" w:cstheme="minorBidi"/>
          <w:color w:val="auto"/>
          <w:kern w:val="2"/>
          <w:sz w:val="24"/>
          <w:szCs w:val="24"/>
          <w:highlight w:val="none"/>
          <w:lang w:val="en-US" w:eastAsia="zh-CN" w:bidi="ar-SA"/>
        </w:rPr>
      </w:sdtEndPr>
      <w:sdtContent>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8</w:t>
          </w:r>
          <w:r>
            <w:rPr>
              <w:rFonts w:hint="eastAsia" w:ascii="宋体" w:hAnsi="宋体" w:eastAsia="宋体"/>
              <w:color w:val="auto"/>
              <w:sz w:val="24"/>
              <w:szCs w:val="24"/>
              <w:highlight w:val="none"/>
            </w:rPr>
            <w:t>.1合同设备的保修期为自最终验收合格之日起计算    年,</w:t>
          </w:r>
          <w:r>
            <w:rPr>
              <w:rFonts w:hint="eastAsia" w:ascii="宋体" w:hAnsi="宋体" w:eastAsia="宋体"/>
              <w:color w:val="auto"/>
              <w:sz w:val="24"/>
              <w:szCs w:val="24"/>
              <w:highlight w:val="none"/>
              <w:lang w:eastAsia="zh-CN"/>
            </w:rPr>
            <w:t>保修期内</w:t>
          </w:r>
          <w:r>
            <w:rPr>
              <w:rFonts w:hint="eastAsia" w:ascii="宋体" w:hAnsi="宋体" w:eastAsia="宋体"/>
              <w:color w:val="auto"/>
              <w:sz w:val="24"/>
              <w:szCs w:val="24"/>
              <w:highlight w:val="none"/>
            </w:rPr>
            <w:t>免费上门提供售后服务</w:t>
          </w:r>
          <w:r>
            <w:rPr>
              <w:rFonts w:hint="eastAsia" w:ascii="宋体" w:hAnsi="宋体" w:eastAsia="宋体"/>
              <w:color w:val="auto"/>
              <w:sz w:val="24"/>
              <w:szCs w:val="24"/>
              <w:highlight w:val="none"/>
              <w:lang w:eastAsia="zh-CN"/>
            </w:rPr>
            <w:t>和免费更换零配件</w:t>
          </w:r>
          <w:r>
            <w:rPr>
              <w:rFonts w:hint="eastAsia" w:ascii="宋体" w:hAnsi="宋体" w:eastAsia="宋体"/>
              <w:color w:val="auto"/>
              <w:sz w:val="24"/>
              <w:szCs w:val="24"/>
              <w:highlight w:val="none"/>
            </w:rPr>
            <w:t>。同时保证保修年限不低于合同货物中品牌型号的官网标准。</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8</w:t>
          </w:r>
          <w:r>
            <w:rPr>
              <w:rFonts w:hint="eastAsia" w:ascii="宋体" w:hAnsi="宋体" w:eastAsia="宋体"/>
              <w:color w:val="auto"/>
              <w:sz w:val="24"/>
              <w:szCs w:val="24"/>
              <w:highlight w:val="none"/>
            </w:rPr>
            <w:t>.2卖方应按</w:t>
          </w:r>
          <w:r>
            <w:rPr>
              <w:rFonts w:hint="eastAsia" w:ascii="宋体" w:hAnsi="宋体" w:eastAsia="宋体"/>
              <w:color w:val="auto"/>
              <w:sz w:val="24"/>
              <w:szCs w:val="24"/>
              <w:highlight w:val="none"/>
            </w:rPr>
            <w:t>《部分商品修理更换退货责任规定》</w:t>
          </w:r>
          <w:r>
            <w:rPr>
              <w:rFonts w:hint="eastAsia" w:ascii="宋体" w:hAnsi="宋体" w:eastAsia="宋体"/>
              <w:color w:val="auto"/>
              <w:sz w:val="24"/>
              <w:szCs w:val="24"/>
              <w:highlight w:val="none"/>
            </w:rPr>
            <w:t>规定执行售后服务，产品出现性能故障的，应严格按照《部分商品修理更换退货责任规定》处理。上述规定要求与本合同其他条款有不一致的，按对最终用户较有利的条款执行。</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8</w:t>
          </w:r>
          <w:r>
            <w:rPr>
              <w:rFonts w:hint="eastAsia" w:ascii="宋体" w:hAnsi="宋体" w:eastAsia="宋体"/>
              <w:color w:val="auto"/>
              <w:sz w:val="24"/>
              <w:szCs w:val="24"/>
              <w:highlight w:val="none"/>
            </w:rPr>
            <w:t>.3卖方应自合同设备经最终验收合格之日起对合同设备在保修期内提供</w:t>
          </w:r>
          <w:r>
            <w:rPr>
              <w:rFonts w:hint="eastAsia" w:ascii="宋体" w:hAnsi="宋体" w:eastAsia="宋体"/>
              <w:color w:val="auto"/>
              <w:sz w:val="24"/>
              <w:szCs w:val="24"/>
              <w:highlight w:val="none"/>
            </w:rPr>
            <w:t>免费维护</w:t>
          </w:r>
          <w:r>
            <w:rPr>
              <w:rFonts w:hint="eastAsia" w:ascii="宋体" w:hAnsi="宋体" w:eastAsia="宋体"/>
              <w:color w:val="auto"/>
              <w:sz w:val="24"/>
              <w:szCs w:val="24"/>
              <w:highlight w:val="none"/>
            </w:rPr>
            <w:t>的服务，保修期外提供有偿的维护服务。</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8</w:t>
          </w:r>
          <w:r>
            <w:rPr>
              <w:rFonts w:hint="eastAsia" w:ascii="宋体" w:hAnsi="宋体" w:eastAsia="宋体"/>
              <w:color w:val="auto"/>
              <w:sz w:val="24"/>
              <w:szCs w:val="24"/>
              <w:highlight w:val="none"/>
            </w:rPr>
            <w:t>.4卖方应开通厦门本地的售后服务专线电话，供所有合同设备服务专用。售后服务专线电话应</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小时实时响应；卖方接到买方或最终用户的报修电话，应在</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分钟内电话响应，</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个工作小时内到达，到达后</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个工作小时内修复；若在</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个工作小时内无法修复的，卖方应先提供备用机供最终用户使用，直至设备修复；</w:t>
          </w:r>
          <w:r>
            <w:rPr>
              <w:rFonts w:hint="eastAsia" w:ascii="宋体" w:hAnsi="宋体" w:eastAsia="宋体"/>
              <w:color w:val="auto"/>
              <w:sz w:val="24"/>
              <w:szCs w:val="24"/>
              <w:highlight w:val="none"/>
            </w:rPr>
            <w:t>如卖方所提供的备用机与故障机的型号不同，则需免费提供耗材</w:t>
          </w:r>
          <w:r>
            <w:rPr>
              <w:rFonts w:hint="eastAsia" w:ascii="宋体" w:hAnsi="宋体" w:eastAsia="宋体"/>
              <w:color w:val="auto"/>
              <w:sz w:val="24"/>
              <w:szCs w:val="24"/>
              <w:highlight w:val="none"/>
            </w:rPr>
            <w:t>。如果卖方未在承诺的时间内将设备修复或者提供备用机的，则卖方应按200.00元/台/天向买方支付逾期违约金,但是违约金上限不超过合同设备总金额的1%。(注：上门服务时间主要根据最终用户需求而定，假如最终用户需要第二天上门处理的，应根据最终用户要求的时间上门；如果最终用户需要节假日或晚上19：30后上门，卖方也应根据最终用户的要求上门服务。如无特殊情况，须按照上述标准来服务。)</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8</w:t>
          </w:r>
          <w:r>
            <w:rPr>
              <w:rFonts w:hint="eastAsia" w:ascii="宋体" w:hAnsi="宋体" w:eastAsia="宋体"/>
              <w:color w:val="auto"/>
              <w:sz w:val="24"/>
              <w:szCs w:val="24"/>
              <w:highlight w:val="none"/>
            </w:rPr>
            <w:t>.5超出保修期的维修，卖方应向最终用户说明产品已过保，告知最终用户备件费、上门费及服务费，并向最终用户说明备件保修时间及保修方式，征得最终用户同意后再维修, 维修中收取的备件费、上门费及服务费等其它费用不得高于合同产品品牌官方标准（包含品牌官网标准、官方热线标准等），维修收费应</w:t>
          </w:r>
          <w:bookmarkStart w:id="8" w:name="_Hlk107908053"/>
          <w:r>
            <w:rPr>
              <w:rFonts w:hint="eastAsia" w:ascii="宋体" w:hAnsi="宋体" w:eastAsia="宋体"/>
              <w:color w:val="auto"/>
              <w:sz w:val="24"/>
              <w:szCs w:val="24"/>
              <w:highlight w:val="none"/>
            </w:rPr>
            <w:t>根据买方或最终用户的要求</w:t>
          </w:r>
          <w:bookmarkEnd w:id="8"/>
          <w:r>
            <w:rPr>
              <w:rFonts w:hint="eastAsia" w:ascii="宋体" w:hAnsi="宋体" w:eastAsia="宋体"/>
              <w:color w:val="auto"/>
              <w:sz w:val="24"/>
              <w:szCs w:val="24"/>
              <w:highlight w:val="none"/>
            </w:rPr>
            <w:t>提供发票。</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8</w:t>
          </w:r>
          <w:r>
            <w:rPr>
              <w:rFonts w:hint="eastAsia" w:ascii="宋体" w:hAnsi="宋体" w:eastAsia="宋体"/>
              <w:color w:val="auto"/>
              <w:sz w:val="24"/>
              <w:szCs w:val="24"/>
              <w:highlight w:val="none"/>
            </w:rPr>
            <w:t>.6 合同设备</w:t>
          </w:r>
          <w:bookmarkStart w:id="9" w:name="_Hlk107906917"/>
          <w:r>
            <w:rPr>
              <w:rFonts w:hint="eastAsia" w:ascii="宋体" w:hAnsi="宋体" w:eastAsia="宋体"/>
              <w:color w:val="auto"/>
              <w:sz w:val="24"/>
              <w:szCs w:val="24"/>
              <w:highlight w:val="none"/>
            </w:rPr>
            <w:t>通过最终验收并交付后</w:t>
          </w:r>
          <w:bookmarkEnd w:id="9"/>
          <w:r>
            <w:rPr>
              <w:rFonts w:hint="eastAsia" w:ascii="宋体" w:hAnsi="宋体" w:eastAsia="宋体"/>
              <w:color w:val="auto"/>
              <w:sz w:val="24"/>
              <w:szCs w:val="24"/>
              <w:highlight w:val="none"/>
            </w:rPr>
            <w:t>15天内出现故障，卖方应免费为最终用户更换同型号新整机；保修期内，发生产品性能故障维修2次及以上仍不能正常使用的，卖方应负责为最终用户免费更换同型号的新机。若合同设备的型号机器停产，卖方应与最终用户协商，更换其他型号的新机，更换的新机型性能不得低于故障机。换机后的新机，保修期限从换机之日起开始重新计算。因产品故障造成退、换机情况的，由卖方直接与最终用户办理退换机流程，并在5个工作日内送达最终用户处更换，不再经过买方仓库，卖方应将退换机涉及的相关单据、凭证等材料在退还后【</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】日内交付给买方。</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8</w:t>
          </w:r>
          <w:r>
            <w:rPr>
              <w:rFonts w:hint="eastAsia" w:ascii="宋体" w:hAnsi="宋体" w:eastAsia="宋体"/>
              <w:color w:val="auto"/>
              <w:sz w:val="24"/>
              <w:szCs w:val="24"/>
              <w:highlight w:val="none"/>
            </w:rPr>
            <w:t>.7卖方应为合同设备提供免费的上门安装调试服务，安装后产品故障保修由厦门当地维修站提供。</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8</w:t>
          </w:r>
          <w:r>
            <w:rPr>
              <w:rFonts w:hint="eastAsia" w:ascii="宋体" w:hAnsi="宋体" w:eastAsia="宋体"/>
              <w:color w:val="auto"/>
              <w:sz w:val="24"/>
              <w:szCs w:val="24"/>
              <w:highlight w:val="none"/>
            </w:rPr>
            <w:t>.8在设备的质保期内买方在合同设备的使用过程中，如发现并经双方确认证实产品存在质量隐患或者有严重的质量问题，买方有权要求卖方退换受影响的产品，由此产生的运输费等直接费用由卖方承担。</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8</w:t>
          </w:r>
          <w:r>
            <w:rPr>
              <w:rFonts w:hint="eastAsia" w:ascii="宋体" w:hAnsi="宋体" w:eastAsia="宋体"/>
              <w:color w:val="auto"/>
              <w:sz w:val="24"/>
              <w:szCs w:val="24"/>
              <w:highlight w:val="none"/>
            </w:rPr>
            <w:t>.9卖方应按最终用户的要求，每季度、每半年或每年一次，对合同设备进行保养服务，并将上门服务结果及时反馈给买方。</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8</w:t>
          </w:r>
          <w:r>
            <w:rPr>
              <w:rFonts w:hint="eastAsia" w:ascii="宋体" w:hAnsi="宋体" w:eastAsia="宋体"/>
              <w:color w:val="auto"/>
              <w:sz w:val="24"/>
              <w:szCs w:val="24"/>
              <w:highlight w:val="none"/>
            </w:rPr>
            <w:t>.10卖方在上门服务时，如果最终用户其它品牌设备出现故障需要卖方的工程师帮助解决，卖方的工程师不得拒绝最终用户的要求，在条件许可的前提下为最终用户服务；如果无法修复，应协助最终用户报修相应的技术售后服务网点或给出可行的解决方案供最终用户参考。</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8</w:t>
          </w:r>
          <w:r>
            <w:rPr>
              <w:rFonts w:hint="eastAsia" w:ascii="宋体" w:hAnsi="宋体" w:eastAsia="宋体"/>
              <w:color w:val="auto"/>
              <w:sz w:val="24"/>
              <w:szCs w:val="24"/>
              <w:highlight w:val="none"/>
            </w:rPr>
            <w:t>.11卖方在</w:t>
          </w:r>
          <w:r>
            <w:rPr>
              <w:rFonts w:hint="eastAsia" w:ascii="宋体" w:hAnsi="宋体" w:eastAsia="宋体"/>
              <w:color w:val="auto"/>
              <w:sz w:val="24"/>
              <w:szCs w:val="24"/>
              <w:highlight w:val="none"/>
              <w:u w:val="single"/>
            </w:rPr>
            <w:t>厦门</w:t>
          </w:r>
          <w:r>
            <w:rPr>
              <w:rFonts w:hint="eastAsia" w:ascii="宋体" w:hAnsi="宋体" w:eastAsia="宋体"/>
              <w:color w:val="auto"/>
              <w:sz w:val="24"/>
              <w:szCs w:val="24"/>
              <w:highlight w:val="none"/>
            </w:rPr>
            <w:t>地区拥有充足的备品备件，可以保证合同设备在正常损坏情况下，及时给最终用户提供保修或更换；超出保修期的合同设备，卖方应保证在二年内能及时提供产品维修所需的备件。</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8</w:t>
          </w:r>
          <w:r>
            <w:rPr>
              <w:rFonts w:hint="eastAsia" w:ascii="宋体" w:hAnsi="宋体" w:eastAsia="宋体"/>
              <w:color w:val="auto"/>
              <w:sz w:val="24"/>
              <w:szCs w:val="24"/>
              <w:highlight w:val="none"/>
            </w:rPr>
            <w:t>.12卖方应为合同设备建立完整的客户档案，保修期内，当合同设备发生维修，而最终用户无法提供发票或保修卡时，卖方应根据自身留存的档案，为最终用户提供应有的保修服务。</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8</w:t>
          </w:r>
          <w:r>
            <w:rPr>
              <w:rFonts w:hint="eastAsia" w:ascii="宋体" w:hAnsi="宋体" w:eastAsia="宋体"/>
              <w:color w:val="auto"/>
              <w:sz w:val="24"/>
              <w:szCs w:val="24"/>
              <w:highlight w:val="none"/>
            </w:rPr>
            <w:t>.13卖方应对合同设备进行100%的电话回访，每月初向买方提供上月的回访汇总报表及服务明细；当卖方在接到最终用户投诉时，要在</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分钟之内应响，</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个工作小时内开始处理，</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个工作日之内处理完；处理完最终用户的投诉，应及时将处理结果反馈给买方。</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8</w:t>
          </w:r>
          <w:r>
            <w:rPr>
              <w:rFonts w:hint="eastAsia" w:ascii="宋体" w:hAnsi="宋体" w:eastAsia="宋体"/>
              <w:color w:val="auto"/>
              <w:sz w:val="24"/>
              <w:szCs w:val="24"/>
              <w:highlight w:val="none"/>
            </w:rPr>
            <w:t>.14卖方应根据最终用户的需求开办合同设备的免费培训课程。</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8</w:t>
          </w:r>
          <w:r>
            <w:rPr>
              <w:rFonts w:hint="eastAsia" w:ascii="宋体" w:hAnsi="宋体" w:eastAsia="宋体"/>
              <w:color w:val="auto"/>
              <w:sz w:val="24"/>
              <w:szCs w:val="24"/>
              <w:highlight w:val="none"/>
            </w:rPr>
            <w:t>.15卖方不得以任何方式对买方隐瞒和欺骗服务情况，买方需要卖方提供的报表不得有虚假，上门服务工程师不得以任何方式引导最终用户对买方回访的回答。</w:t>
          </w:r>
        </w:p>
      </w:sdtContent>
    </w:sdt>
    <w:p>
      <w:pPr>
        <w:adjustRightInd w:val="0"/>
        <w:snapToGrid w:val="0"/>
        <w:spacing w:line="360" w:lineRule="auto"/>
        <w:rPr>
          <w:rFonts w:ascii="宋体" w:hAnsi="宋体" w:eastAsia="宋体"/>
          <w:b/>
          <w:bCs/>
          <w:color w:val="auto"/>
          <w:sz w:val="24"/>
          <w:szCs w:val="24"/>
          <w:highlight w:val="none"/>
        </w:rPr>
      </w:pPr>
      <w:r>
        <w:rPr>
          <w:rFonts w:ascii="宋体" w:hAnsi="宋体" w:eastAsia="宋体"/>
          <w:color w:val="auto"/>
          <w:sz w:val="24"/>
          <w:szCs w:val="24"/>
          <w:highlight w:val="none"/>
        </w:rPr>
        <w:t>9</w:t>
      </w:r>
      <w:r>
        <w:rPr>
          <w:rFonts w:hint="eastAsia" w:ascii="宋体" w:hAnsi="宋体" w:eastAsia="宋体"/>
          <w:b/>
          <w:bCs/>
          <w:color w:val="auto"/>
          <w:sz w:val="24"/>
          <w:szCs w:val="24"/>
          <w:highlight w:val="none"/>
        </w:rPr>
        <w:t>、知识产权</w:t>
      </w:r>
    </w:p>
    <w:sdt>
      <w:sdtPr>
        <w:rPr>
          <w:rFonts w:hint="eastAsia" w:ascii="宋体" w:hAnsi="宋体" w:eastAsia="宋体" w:cstheme="minorBidi"/>
          <w:color w:val="auto"/>
          <w:kern w:val="2"/>
          <w:sz w:val="24"/>
          <w:szCs w:val="24"/>
          <w:highlight w:val="none"/>
          <w:lang w:val="en-US" w:eastAsia="zh-CN" w:bidi="ar-SA"/>
        </w:rPr>
        <w:id w:val="147467846"/>
        <w:placeholder>
          <w:docPart w:val="{eeacbd54-5003-49a4-9e1a-fa0eac9abc2f}"/>
        </w:placeholder>
      </w:sdtPr>
      <w:sdtEndPr>
        <w:rPr>
          <w:rFonts w:hint="eastAsia" w:ascii="宋体" w:hAnsi="宋体" w:eastAsia="宋体" w:cstheme="minorBidi"/>
          <w:color w:val="auto"/>
          <w:kern w:val="2"/>
          <w:sz w:val="24"/>
          <w:szCs w:val="24"/>
          <w:highlight w:val="none"/>
          <w:lang w:val="en-US" w:eastAsia="zh-CN" w:bidi="ar-SA"/>
        </w:rPr>
      </w:sdtEndPr>
      <w:sdtContent>
        <w:p>
          <w:pPr>
            <w:adjustRightInd w:val="0"/>
            <w:snapToGrid w:val="0"/>
            <w:spacing w:line="360" w:lineRule="auto"/>
            <w:ind w:firstLine="480"/>
            <w:rPr>
              <w:rFonts w:ascii="宋体" w:hAnsi="宋体" w:eastAsia="宋体"/>
              <w:color w:val="auto"/>
              <w:sz w:val="24"/>
              <w:szCs w:val="24"/>
              <w:highlight w:val="none"/>
            </w:rPr>
          </w:pPr>
          <w:r>
            <w:rPr>
              <w:rFonts w:hint="eastAsia" w:ascii="宋体" w:hAnsi="宋体" w:eastAsia="宋体"/>
              <w:color w:val="auto"/>
              <w:sz w:val="24"/>
              <w:szCs w:val="24"/>
              <w:highlight w:val="none"/>
            </w:rPr>
            <w:t>卖方保证买方或最终用户在使用该品牌产品时不受到第三方关于侵犯知识产权的指控和索赔。如果任何第三方提出侵权指控或索赔，买方或最终用户有权将该等指控或索赔转告卖方。买方或最终用户对于该等索赔不承担责任，卖方应妥善处理该等纠纷，并承担处理该等侵权索赔的抗辩费用、经卖方谈判的和解费用及法院判决的赔偿等相关。</w:t>
          </w:r>
        </w:p>
        <w:p>
          <w:pPr>
            <w:adjustRightInd w:val="0"/>
            <w:snapToGrid w:val="0"/>
            <w:spacing w:line="360" w:lineRule="auto"/>
            <w:ind w:firstLine="480"/>
            <w:rPr>
              <w:rFonts w:ascii="宋体" w:hAnsi="宋体" w:eastAsia="宋体"/>
              <w:color w:val="auto"/>
              <w:sz w:val="24"/>
              <w:szCs w:val="24"/>
              <w:highlight w:val="none"/>
            </w:rPr>
          </w:pPr>
          <w:r>
            <w:rPr>
              <w:rFonts w:hint="eastAsia" w:ascii="宋体" w:hAnsi="宋体" w:eastAsia="宋体"/>
              <w:color w:val="auto"/>
              <w:sz w:val="24"/>
              <w:szCs w:val="24"/>
              <w:highlight w:val="none"/>
            </w:rPr>
            <w:t>同时，买方有权自费参与针对该等侵权索赔的应诉抗辩或和解，买方因此支出的费用和损失均由卖方承担，且买方有权在本合同的卖方保证金和买方应付货款中扣除前述费用。</w:t>
          </w:r>
        </w:p>
      </w:sdtContent>
    </w:sdt>
    <w:p>
      <w:pPr>
        <w:adjustRightInd w:val="0"/>
        <w:snapToGrid w:val="0"/>
        <w:spacing w:line="360" w:lineRule="auto"/>
        <w:rPr>
          <w:rFonts w:ascii="宋体" w:hAnsi="宋体" w:eastAsia="宋体"/>
          <w:b/>
          <w:bCs/>
          <w:color w:val="auto"/>
          <w:sz w:val="24"/>
          <w:szCs w:val="24"/>
          <w:highlight w:val="none"/>
        </w:rPr>
      </w:pPr>
      <w:r>
        <w:rPr>
          <w:rFonts w:ascii="宋体" w:hAnsi="宋体" w:eastAsia="宋体"/>
          <w:b/>
          <w:bCs/>
          <w:color w:val="auto"/>
          <w:sz w:val="24"/>
          <w:szCs w:val="24"/>
          <w:highlight w:val="none"/>
        </w:rPr>
        <w:t>10</w:t>
      </w:r>
      <w:r>
        <w:rPr>
          <w:rFonts w:hint="eastAsia" w:ascii="宋体" w:hAnsi="宋体" w:eastAsia="宋体"/>
          <w:b/>
          <w:bCs/>
          <w:color w:val="auto"/>
          <w:sz w:val="24"/>
          <w:szCs w:val="24"/>
          <w:highlight w:val="none"/>
        </w:rPr>
        <w:t>、违约责任</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10</w:t>
      </w:r>
      <w:r>
        <w:rPr>
          <w:rFonts w:hint="eastAsia" w:ascii="宋体" w:hAnsi="宋体" w:eastAsia="宋体"/>
          <w:color w:val="auto"/>
          <w:sz w:val="24"/>
          <w:szCs w:val="24"/>
          <w:highlight w:val="none"/>
        </w:rPr>
        <w:t>.1卖方若未能按时将保质足量产品送到买方仓库或最终用户指定地点的、或未能按时完成安装调试的，卖方应向买方每日支付当批货款</w:t>
      </w:r>
      <w:sdt>
        <w:sdtPr>
          <w:rPr>
            <w:rFonts w:hint="eastAsia" w:ascii="宋体" w:hAnsi="宋体" w:eastAsia="宋体" w:cstheme="minorBidi"/>
            <w:color w:val="auto"/>
            <w:kern w:val="2"/>
            <w:sz w:val="24"/>
            <w:szCs w:val="24"/>
            <w:highlight w:val="none"/>
            <w:lang w:val="en-US" w:eastAsia="zh-CN" w:bidi="ar-SA"/>
          </w:rPr>
          <w:id w:val="147467784"/>
          <w:placeholder>
            <w:docPart w:val="{06c967fe-12a9-4449-818d-6bc5985cacf5}"/>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0.5%</w:t>
          </w:r>
        </w:sdtContent>
      </w:sdt>
      <w:r>
        <w:rPr>
          <w:rFonts w:hint="eastAsia" w:ascii="宋体" w:hAnsi="宋体" w:eastAsia="宋体"/>
          <w:color w:val="auto"/>
          <w:sz w:val="24"/>
          <w:szCs w:val="24"/>
          <w:highlight w:val="none"/>
        </w:rPr>
        <w:t>的逾期违约金。单批次（单个</w:t>
      </w:r>
      <w:r>
        <w:rPr>
          <w:rFonts w:ascii="宋体" w:hAnsi="宋体" w:eastAsia="宋体" w:cs="宋体"/>
          <w:color w:val="auto"/>
          <w:sz w:val="24"/>
          <w:szCs w:val="24"/>
          <w:highlight w:val="none"/>
        </w:rPr>
        <w:t>《定货单》</w:t>
      </w:r>
      <w:r>
        <w:rPr>
          <w:rFonts w:hint="eastAsia" w:ascii="宋体" w:hAnsi="宋体" w:eastAsia="宋体"/>
          <w:color w:val="auto"/>
          <w:sz w:val="24"/>
          <w:szCs w:val="24"/>
          <w:highlight w:val="none"/>
        </w:rPr>
        <w:t>）供货中</w:t>
      </w:r>
      <w:r>
        <w:rPr>
          <w:rFonts w:hint="eastAsia" w:ascii="宋体" w:hAnsi="宋体" w:eastAsia="宋体"/>
          <w:color w:val="auto"/>
          <w:sz w:val="24"/>
          <w:szCs w:val="24"/>
          <w:highlight w:val="none"/>
        </w:rPr>
        <w:t>逾期超过</w:t>
      </w:r>
      <w:sdt>
        <w:sdtPr>
          <w:rPr>
            <w:rFonts w:hint="eastAsia" w:ascii="宋体" w:hAnsi="宋体" w:eastAsia="宋体" w:cstheme="minorBidi"/>
            <w:color w:val="auto"/>
            <w:kern w:val="2"/>
            <w:sz w:val="24"/>
            <w:szCs w:val="24"/>
            <w:highlight w:val="none"/>
            <w:lang w:val="en-US" w:eastAsia="zh-CN" w:bidi="ar-SA"/>
          </w:rPr>
          <w:id w:val="147467745"/>
          <w:placeholder>
            <w:docPart w:val="{6fad428f-f8a4-4e59-a197-a36bf475c986}"/>
          </w:placeholder>
        </w:sdtPr>
        <w:sdtEndPr>
          <w:rPr>
            <w:rFonts w:hint="eastAsia" w:ascii="宋体" w:hAnsi="宋体" w:eastAsia="宋体" w:cstheme="minorBidi"/>
            <w:color w:val="auto"/>
            <w:kern w:val="2"/>
            <w:sz w:val="24"/>
            <w:szCs w:val="24"/>
            <w:highlight w:val="none"/>
            <w:lang w:val="en-US" w:eastAsia="zh-CN" w:bidi="ar-SA"/>
          </w:rPr>
        </w:sdtEndPr>
        <w:sdtContent>
          <w:r>
            <w:rPr>
              <w:rFonts w:ascii="宋体" w:hAnsi="宋体" w:eastAsia="宋体"/>
              <w:color w:val="auto"/>
              <w:sz w:val="24"/>
              <w:szCs w:val="24"/>
              <w:highlight w:val="none"/>
            </w:rPr>
            <w:t>5</w:t>
          </w:r>
        </w:sdtContent>
      </w:sdt>
      <w:r>
        <w:rPr>
          <w:rFonts w:hint="eastAsia" w:ascii="宋体" w:hAnsi="宋体" w:eastAsia="宋体"/>
          <w:color w:val="auto"/>
          <w:sz w:val="24"/>
          <w:szCs w:val="24"/>
          <w:highlight w:val="none"/>
        </w:rPr>
        <w:t>个日历日交货或者安装不及时率（即：（逾期超过</w:t>
      </w:r>
      <w:sdt>
        <w:sdtPr>
          <w:rPr>
            <w:rFonts w:hint="eastAsia" w:ascii="宋体" w:hAnsi="宋体" w:eastAsia="宋体" w:cstheme="minorBidi"/>
            <w:color w:val="auto"/>
            <w:kern w:val="2"/>
            <w:sz w:val="24"/>
            <w:szCs w:val="24"/>
            <w:highlight w:val="none"/>
            <w:lang w:val="en-US" w:eastAsia="zh-CN" w:bidi="ar-SA"/>
          </w:rPr>
          <w:id w:val="147467722"/>
          <w:placeholder>
            <w:docPart w:val="{8b84d58b-f096-4391-9988-3aa02a35a270}"/>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5</w:t>
          </w:r>
        </w:sdtContent>
      </w:sdt>
      <w:r>
        <w:rPr>
          <w:rFonts w:hint="eastAsia" w:ascii="宋体" w:hAnsi="宋体" w:eastAsia="宋体"/>
          <w:color w:val="auto"/>
          <w:sz w:val="24"/>
          <w:szCs w:val="24"/>
          <w:highlight w:val="none"/>
        </w:rPr>
        <w:t>日的货物数量+逾期安装的货物数量）/该批次货物总数量）超过</w:t>
      </w:r>
      <w:sdt>
        <w:sdtPr>
          <w:rPr>
            <w:rFonts w:hint="eastAsia" w:ascii="宋体" w:hAnsi="宋体" w:eastAsia="宋体" w:cstheme="minorBidi"/>
            <w:color w:val="auto"/>
            <w:kern w:val="2"/>
            <w:sz w:val="24"/>
            <w:szCs w:val="24"/>
            <w:highlight w:val="none"/>
            <w:lang w:val="en-US" w:eastAsia="zh-CN" w:bidi="ar-SA"/>
          </w:rPr>
          <w:id w:val="147467709"/>
          <w:placeholder>
            <w:docPart w:val="{3b9306db-e990-47ce-88a3-f963ef449484}"/>
          </w:placeholder>
        </w:sdtPr>
        <w:sdtEndPr>
          <w:rPr>
            <w:rFonts w:hint="eastAsia" w:ascii="宋体" w:hAnsi="宋体" w:eastAsia="宋体" w:cstheme="minorBidi"/>
            <w:color w:val="auto"/>
            <w:kern w:val="2"/>
            <w:sz w:val="24"/>
            <w:szCs w:val="24"/>
            <w:highlight w:val="none"/>
            <w:lang w:val="en-US" w:eastAsia="zh-CN" w:bidi="ar-SA"/>
          </w:rPr>
        </w:sdtEndPr>
        <w:sdtContent>
          <w:r>
            <w:rPr>
              <w:rFonts w:ascii="宋体" w:hAnsi="宋体" w:eastAsia="宋体"/>
              <w:color w:val="auto"/>
              <w:sz w:val="24"/>
              <w:szCs w:val="24"/>
              <w:highlight w:val="none"/>
            </w:rPr>
            <w:t>7%</w:t>
          </w:r>
        </w:sdtContent>
      </w:sdt>
      <w:r>
        <w:rPr>
          <w:rFonts w:hint="eastAsia" w:ascii="宋体" w:hAnsi="宋体" w:eastAsia="宋体"/>
          <w:color w:val="auto"/>
          <w:sz w:val="24"/>
          <w:szCs w:val="24"/>
          <w:highlight w:val="none"/>
        </w:rPr>
        <w:t>的，</w:t>
      </w:r>
      <w:r>
        <w:rPr>
          <w:rFonts w:hint="eastAsia" w:ascii="宋体" w:hAnsi="宋体" w:eastAsia="宋体"/>
          <w:color w:val="auto"/>
          <w:sz w:val="24"/>
          <w:szCs w:val="24"/>
          <w:highlight w:val="none"/>
        </w:rPr>
        <w:t>买方有权单方面解除合同</w:t>
      </w:r>
      <w:bookmarkStart w:id="10" w:name="_Hlk107908538"/>
      <w:sdt>
        <w:sdtPr>
          <w:rPr>
            <w:rFonts w:hint="eastAsia" w:ascii="宋体" w:hAnsi="宋体" w:eastAsia="宋体" w:cstheme="minorBidi"/>
            <w:color w:val="auto"/>
            <w:kern w:val="2"/>
            <w:sz w:val="24"/>
            <w:szCs w:val="24"/>
            <w:highlight w:val="none"/>
            <w:lang w:val="en-US" w:eastAsia="zh-CN" w:bidi="ar-SA"/>
          </w:rPr>
          <w:id w:val="147467265"/>
          <w:placeholder>
            <w:docPart w:val="{3074992e-ddd5-4e75-a1be-e7cc331ddb04}"/>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并没收履约保证金</w:t>
          </w:r>
          <w:bookmarkEnd w:id="10"/>
          <w:r>
            <w:rPr>
              <w:rFonts w:hint="eastAsia" w:ascii="宋体" w:hAnsi="宋体" w:eastAsia="宋体"/>
              <w:color w:val="auto"/>
              <w:sz w:val="24"/>
              <w:szCs w:val="24"/>
              <w:highlight w:val="none"/>
            </w:rPr>
            <w:t>，</w:t>
          </w:r>
        </w:sdtContent>
      </w:sdt>
      <w:sdt>
        <w:sdtPr>
          <w:rPr>
            <w:rFonts w:hint="eastAsia" w:ascii="宋体" w:hAnsi="宋体" w:eastAsia="宋体" w:cstheme="minorBidi"/>
            <w:color w:val="auto"/>
            <w:kern w:val="2"/>
            <w:sz w:val="24"/>
            <w:szCs w:val="24"/>
            <w:highlight w:val="none"/>
            <w:lang w:val="en-US" w:eastAsia="zh-CN" w:bidi="ar-SA"/>
          </w:rPr>
          <w:id w:val="147467252"/>
          <w:placeholder>
            <w:docPart w:val="{dd4d7628-5858-4833-8503-595b1b5c06c3}"/>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卖方除应退还买方已支付的该批次货款外，还应另行支付相当于4.1条约定的履约保证金总金额的违约金，且买方有权</w:t>
          </w:r>
          <w:r>
            <w:rPr>
              <w:rFonts w:ascii="宋体" w:hAnsi="宋体" w:eastAsia="宋体"/>
              <w:color w:val="auto"/>
              <w:sz w:val="24"/>
              <w:szCs w:val="24"/>
              <w:highlight w:val="none"/>
            </w:rPr>
            <w:t>在三年内拒绝</w:t>
          </w:r>
          <w:r>
            <w:rPr>
              <w:rFonts w:hint="eastAsia" w:ascii="宋体" w:hAnsi="宋体" w:eastAsia="宋体"/>
              <w:color w:val="auto"/>
              <w:sz w:val="24"/>
              <w:szCs w:val="24"/>
              <w:highlight w:val="none"/>
            </w:rPr>
            <w:t>卖方</w:t>
          </w:r>
          <w:r>
            <w:rPr>
              <w:rFonts w:ascii="宋体" w:hAnsi="宋体" w:eastAsia="宋体"/>
              <w:color w:val="auto"/>
              <w:sz w:val="24"/>
              <w:szCs w:val="24"/>
              <w:highlight w:val="none"/>
            </w:rPr>
            <w:t>参与大宗政府招标采购项目</w:t>
          </w:r>
          <w:r>
            <w:rPr>
              <w:rFonts w:hint="eastAsia" w:ascii="宋体" w:hAnsi="宋体" w:eastAsia="宋体"/>
              <w:color w:val="auto"/>
              <w:sz w:val="24"/>
              <w:szCs w:val="24"/>
              <w:highlight w:val="none"/>
            </w:rPr>
            <w:t>的投标报价</w:t>
          </w:r>
        </w:sdtContent>
      </w:sdt>
      <w:r>
        <w:rPr>
          <w:rFonts w:hint="eastAsia" w:ascii="宋体" w:hAnsi="宋体" w:eastAsia="宋体"/>
          <w:color w:val="auto"/>
          <w:sz w:val="24"/>
          <w:szCs w:val="24"/>
          <w:highlight w:val="none"/>
        </w:rPr>
        <w:t>。</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10</w:t>
      </w:r>
      <w:r>
        <w:rPr>
          <w:rFonts w:hint="eastAsia" w:ascii="宋体" w:hAnsi="宋体" w:eastAsia="宋体"/>
          <w:color w:val="auto"/>
          <w:sz w:val="24"/>
          <w:szCs w:val="24"/>
          <w:highlight w:val="none"/>
        </w:rPr>
        <w:t>.2任一批次的产品若验收不合格（包括初验和最终验收），买方有权换货或单方解除合同。</w:t>
      </w:r>
      <w:sdt>
        <w:sdtPr>
          <w:rPr>
            <w:rFonts w:hint="eastAsia" w:ascii="宋体" w:hAnsi="宋体" w:eastAsia="宋体" w:cstheme="minorBidi"/>
            <w:color w:val="auto"/>
            <w:kern w:val="2"/>
            <w:sz w:val="24"/>
            <w:szCs w:val="24"/>
            <w:highlight w:val="none"/>
            <w:lang w:val="en-US" w:eastAsia="zh-CN" w:bidi="ar-SA"/>
          </w:rPr>
          <w:id w:val="147466925"/>
          <w:placeholder>
            <w:docPart w:val="{80cc6be0-c81c-4d25-ac61-76a544b95568}"/>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若买方选择换货的，卖方重新供货导致的供货延迟，按</w:t>
          </w:r>
          <w:r>
            <w:rPr>
              <w:rFonts w:ascii="宋体" w:hAnsi="宋体" w:eastAsia="宋体"/>
              <w:color w:val="auto"/>
              <w:sz w:val="24"/>
              <w:szCs w:val="24"/>
              <w:highlight w:val="none"/>
            </w:rPr>
            <w:t>10</w:t>
          </w:r>
          <w:r>
            <w:rPr>
              <w:rFonts w:hint="eastAsia" w:ascii="宋体" w:hAnsi="宋体" w:eastAsia="宋体"/>
              <w:color w:val="auto"/>
              <w:sz w:val="24"/>
              <w:szCs w:val="24"/>
              <w:highlight w:val="none"/>
            </w:rPr>
            <w:t>.1条违约责任处理；若买方选择单方解除合同的，</w:t>
          </w:r>
          <w:bookmarkStart w:id="11" w:name="_Hlk107909671"/>
          <w:r>
            <w:rPr>
              <w:rFonts w:hint="eastAsia" w:ascii="宋体" w:hAnsi="宋体" w:eastAsia="宋体"/>
              <w:color w:val="auto"/>
              <w:sz w:val="24"/>
              <w:szCs w:val="24"/>
              <w:highlight w:val="none"/>
            </w:rPr>
            <w:t>买方有权没收履约保证金，</w:t>
          </w:r>
          <w:bookmarkEnd w:id="11"/>
          <w:r>
            <w:rPr>
              <w:rFonts w:hint="eastAsia" w:ascii="宋体" w:hAnsi="宋体" w:eastAsia="宋体"/>
              <w:color w:val="auto"/>
              <w:sz w:val="24"/>
              <w:szCs w:val="24"/>
              <w:highlight w:val="none"/>
            </w:rPr>
            <w:t>卖方除应退还买方已支付该批次货款外，还应另行支付相当于4.1条约定的履约保证金总金额的违约金，且买方有权</w:t>
          </w:r>
          <w:r>
            <w:rPr>
              <w:rFonts w:ascii="宋体" w:hAnsi="宋体" w:eastAsia="宋体"/>
              <w:color w:val="auto"/>
              <w:sz w:val="24"/>
              <w:szCs w:val="24"/>
              <w:highlight w:val="none"/>
            </w:rPr>
            <w:t>在三年内拒绝</w:t>
          </w:r>
          <w:r>
            <w:rPr>
              <w:rFonts w:hint="eastAsia" w:ascii="宋体" w:hAnsi="宋体" w:eastAsia="宋体"/>
              <w:color w:val="auto"/>
              <w:sz w:val="24"/>
              <w:szCs w:val="24"/>
              <w:highlight w:val="none"/>
            </w:rPr>
            <w:t>卖方</w:t>
          </w:r>
          <w:r>
            <w:rPr>
              <w:rFonts w:ascii="宋体" w:hAnsi="宋体" w:eastAsia="宋体"/>
              <w:color w:val="auto"/>
              <w:sz w:val="24"/>
              <w:szCs w:val="24"/>
              <w:highlight w:val="none"/>
            </w:rPr>
            <w:t>参与大宗政府招标采购项目</w:t>
          </w:r>
          <w:r>
            <w:rPr>
              <w:rFonts w:hint="eastAsia" w:ascii="宋体" w:hAnsi="宋体" w:eastAsia="宋体"/>
              <w:color w:val="auto"/>
              <w:sz w:val="24"/>
              <w:szCs w:val="24"/>
              <w:highlight w:val="none"/>
            </w:rPr>
            <w:t>的投标报价。</w:t>
          </w:r>
        </w:sdtContent>
      </w:sdt>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10</w:t>
      </w:r>
      <w:r>
        <w:rPr>
          <w:rFonts w:hint="eastAsia" w:ascii="宋体" w:hAnsi="宋体" w:eastAsia="宋体"/>
          <w:color w:val="auto"/>
          <w:sz w:val="24"/>
          <w:szCs w:val="24"/>
          <w:highlight w:val="none"/>
        </w:rPr>
        <w:t>.3卖方保证所供成交产品质量与投标时的承诺一致，若有拆装、以次充好、偷换等行为,一经发现，</w:t>
      </w:r>
      <w:sdt>
        <w:sdtPr>
          <w:rPr>
            <w:rFonts w:hint="eastAsia" w:ascii="宋体" w:hAnsi="宋体" w:eastAsia="宋体" w:cstheme="minorBidi"/>
            <w:color w:val="auto"/>
            <w:kern w:val="2"/>
            <w:sz w:val="24"/>
            <w:szCs w:val="24"/>
            <w:highlight w:val="none"/>
            <w:lang w:val="en-US" w:eastAsia="zh-CN" w:bidi="ar-SA"/>
          </w:rPr>
          <w:id w:val="147466661"/>
          <w:placeholder>
            <w:docPart w:val="{a0931169-0b19-407a-95db-1ac308fb9cbe}"/>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买方将拒绝卖方作为厦门市政府采购供应商，拒绝其三年内参加相同项目的投标报价并有权单方解除合同</w:t>
          </w:r>
          <w:bookmarkStart w:id="12" w:name="_Hlk107909688"/>
          <w:r>
            <w:rPr>
              <w:rFonts w:hint="eastAsia" w:ascii="宋体" w:hAnsi="宋体" w:eastAsia="宋体"/>
              <w:color w:val="auto"/>
              <w:sz w:val="24"/>
              <w:szCs w:val="24"/>
              <w:highlight w:val="none"/>
            </w:rPr>
            <w:t>并没收履约保证金</w:t>
          </w:r>
          <w:bookmarkEnd w:id="12"/>
          <w:r>
            <w:rPr>
              <w:rFonts w:hint="eastAsia" w:ascii="宋体" w:hAnsi="宋体" w:eastAsia="宋体"/>
              <w:color w:val="auto"/>
              <w:sz w:val="24"/>
              <w:szCs w:val="24"/>
              <w:highlight w:val="none"/>
            </w:rPr>
            <w:t>，卖方除应退还买方已支付该批次货款外，还应另行支付相当于4.1条约定的履约保证金总金额的违约金。</w:t>
          </w:r>
        </w:sdtContent>
      </w:sdt>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10</w:t>
      </w:r>
      <w:r>
        <w:rPr>
          <w:rFonts w:hint="eastAsia" w:ascii="宋体" w:hAnsi="宋体" w:eastAsia="宋体"/>
          <w:color w:val="auto"/>
          <w:sz w:val="24"/>
          <w:szCs w:val="24"/>
          <w:highlight w:val="none"/>
        </w:rPr>
        <w:t>.4买方根据本合同约定提出换货、退货或解除合同的，卖方应在收到买方或最终用户通知后</w:t>
      </w:r>
      <w:sdt>
        <w:sdtPr>
          <w:rPr>
            <w:rFonts w:hint="eastAsia" w:ascii="宋体" w:hAnsi="宋体" w:eastAsia="宋体" w:cstheme="minorBidi"/>
            <w:color w:val="auto"/>
            <w:kern w:val="2"/>
            <w:sz w:val="24"/>
            <w:szCs w:val="24"/>
            <w:highlight w:val="none"/>
            <w:lang w:val="en-US" w:eastAsia="zh-CN" w:bidi="ar-SA"/>
          </w:rPr>
          <w:id w:val="147466569"/>
          <w:placeholder>
            <w:docPart w:val="{cde87bf1-69ed-4acc-83b0-c3c8e710fd4a}"/>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3</w:t>
          </w:r>
        </w:sdtContent>
      </w:sdt>
      <w:r>
        <w:rPr>
          <w:rFonts w:hint="eastAsia" w:ascii="宋体" w:hAnsi="宋体" w:eastAsia="宋体"/>
          <w:color w:val="auto"/>
          <w:sz w:val="24"/>
          <w:szCs w:val="24"/>
          <w:highlight w:val="none"/>
        </w:rPr>
        <w:t>个工作日内自行收回不符合合同约定的货物，并承担相应费用。因卖方原因导致退换货的，卖方应承担退换货所需的一切费用。如卖方未在规定时间内收回不合格货物，买方不对上述货物的灭失或损坏承担任何责任。如卖方逾期超过</w:t>
      </w:r>
      <w:sdt>
        <w:sdtPr>
          <w:rPr>
            <w:rFonts w:hint="eastAsia" w:ascii="宋体" w:hAnsi="宋体" w:eastAsia="宋体" w:cstheme="minorBidi"/>
            <w:color w:val="auto"/>
            <w:kern w:val="2"/>
            <w:sz w:val="24"/>
            <w:szCs w:val="24"/>
            <w:highlight w:val="none"/>
            <w:lang w:val="en-US" w:eastAsia="zh-CN" w:bidi="ar-SA"/>
          </w:rPr>
          <w:id w:val="147466393"/>
          <w:placeholder>
            <w:docPart w:val="{200aa1db-0a3a-40d0-a041-d5e90c5050fa}"/>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10</w:t>
          </w:r>
        </w:sdtContent>
      </w:sdt>
      <w:r>
        <w:rPr>
          <w:rFonts w:hint="eastAsia" w:ascii="宋体" w:hAnsi="宋体" w:eastAsia="宋体"/>
          <w:color w:val="auto"/>
          <w:sz w:val="24"/>
          <w:szCs w:val="24"/>
          <w:highlight w:val="none"/>
        </w:rPr>
        <w:t>个日历日仍未收回的，买方有权自行处理上述货物</w:t>
      </w:r>
      <w:sdt>
        <w:sdtPr>
          <w:rPr>
            <w:rFonts w:hint="eastAsia" w:ascii="宋体" w:hAnsi="宋体" w:eastAsia="宋体" w:cstheme="minorBidi"/>
            <w:color w:val="auto"/>
            <w:kern w:val="2"/>
            <w:sz w:val="24"/>
            <w:szCs w:val="24"/>
            <w:highlight w:val="none"/>
            <w:lang w:val="en-US" w:eastAsia="zh-CN" w:bidi="ar-SA"/>
          </w:rPr>
          <w:id w:val="147466351"/>
          <w:placeholder>
            <w:docPart w:val="{979beb80-685d-4fd9-9528-4fb3aad4dd23}"/>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，同时卖方应支付相当于4.1条约定的履约保证金总金额的违约金，且买方有权</w:t>
          </w:r>
          <w:r>
            <w:rPr>
              <w:rFonts w:ascii="宋体" w:hAnsi="宋体" w:eastAsia="宋体"/>
              <w:color w:val="auto"/>
              <w:sz w:val="24"/>
              <w:szCs w:val="24"/>
              <w:highlight w:val="none"/>
            </w:rPr>
            <w:t>在三年内拒绝卖方参与大宗政府招标采购项目</w:t>
          </w:r>
          <w:r>
            <w:rPr>
              <w:rFonts w:hint="eastAsia" w:ascii="宋体" w:hAnsi="宋体" w:eastAsia="宋体"/>
              <w:color w:val="auto"/>
              <w:sz w:val="24"/>
              <w:szCs w:val="24"/>
              <w:highlight w:val="none"/>
            </w:rPr>
            <w:t>的投标报价</w:t>
          </w:r>
        </w:sdtContent>
      </w:sdt>
      <w:r>
        <w:rPr>
          <w:rFonts w:hint="eastAsia" w:ascii="宋体" w:hAnsi="宋体" w:eastAsia="宋体"/>
          <w:color w:val="auto"/>
          <w:sz w:val="24"/>
          <w:szCs w:val="24"/>
          <w:highlight w:val="none"/>
        </w:rPr>
        <w:t>。</w:t>
      </w:r>
    </w:p>
    <w:sdt>
      <w:sdtPr>
        <w:rPr>
          <w:rFonts w:ascii="宋体" w:hAnsi="宋体" w:eastAsia="宋体" w:cstheme="minorBidi"/>
          <w:color w:val="auto"/>
          <w:kern w:val="2"/>
          <w:sz w:val="24"/>
          <w:szCs w:val="24"/>
          <w:highlight w:val="none"/>
          <w:lang w:val="en-US" w:eastAsia="zh-CN" w:bidi="ar-SA"/>
        </w:rPr>
        <w:id w:val="147465955"/>
        <w:placeholder>
          <w:docPart w:val="{eb1f37cb-0096-4e86-87e5-43a4d666c6f3}"/>
        </w:placeholder>
      </w:sdtPr>
      <w:sdtEndPr>
        <w:rPr>
          <w:rFonts w:hint="eastAsia" w:ascii="宋体" w:hAnsi="宋体" w:eastAsia="宋体" w:cstheme="minorBidi"/>
          <w:color w:val="auto"/>
          <w:kern w:val="2"/>
          <w:sz w:val="24"/>
          <w:szCs w:val="24"/>
          <w:highlight w:val="none"/>
          <w:lang w:val="en-US" w:eastAsia="zh-CN" w:bidi="ar-SA"/>
        </w:rPr>
      </w:sdtEndPr>
      <w:sdtContent>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10</w:t>
          </w:r>
          <w:r>
            <w:rPr>
              <w:rFonts w:hint="eastAsia" w:ascii="宋体" w:hAnsi="宋体" w:eastAsia="宋体"/>
              <w:color w:val="auto"/>
              <w:sz w:val="24"/>
              <w:szCs w:val="24"/>
              <w:highlight w:val="none"/>
            </w:rPr>
            <w:t>.5买方应按商定的付款周期及时支付卖方货款。若故意拖延支付货款，买方向卖方每日支付延迟付款部分0.1%的违约金，支付金额最高不超过受影响货物总额的5%。若协商不成，可根据规定向厦门市财政局政府采购监管处投诉并要求解决。</w:t>
          </w:r>
        </w:p>
      </w:sdtContent>
    </w:sdt>
    <w:p>
      <w:pPr>
        <w:adjustRightInd w:val="0"/>
        <w:snapToGrid w:val="0"/>
        <w:spacing w:line="360" w:lineRule="auto"/>
        <w:ind w:firstLine="480" w:firstLineChars="200"/>
        <w:rPr>
          <w:rFonts w:ascii="宋体" w:hAnsi="宋体" w:eastAsia="宋体"/>
          <w:color w:val="auto"/>
          <w:sz w:val="24"/>
          <w:szCs w:val="24"/>
          <w:highlight w:val="none"/>
        </w:rPr>
      </w:pPr>
      <w:sdt>
        <w:sdtPr>
          <w:rPr>
            <w:rFonts w:ascii="宋体" w:hAnsi="宋体" w:eastAsia="宋体" w:cstheme="minorBidi"/>
            <w:color w:val="auto"/>
            <w:kern w:val="2"/>
            <w:sz w:val="24"/>
            <w:szCs w:val="24"/>
            <w:highlight w:val="none"/>
            <w:lang w:val="en-US" w:eastAsia="zh-CN" w:bidi="ar-SA"/>
          </w:rPr>
          <w:id w:val="147465260"/>
          <w:placeholder>
            <w:docPart w:val="{050b69cd-1715-47a6-a2fd-aacfb5fcde72}"/>
          </w:placeholder>
        </w:sdtPr>
        <w:sdtEndPr>
          <w:rPr>
            <w:rFonts w:hint="eastAsia" w:ascii="宋体" w:hAnsi="宋体" w:eastAsia="宋体" w:cstheme="minorBidi"/>
            <w:color w:val="auto"/>
            <w:kern w:val="2"/>
            <w:sz w:val="24"/>
            <w:szCs w:val="24"/>
            <w:highlight w:val="none"/>
            <w:lang w:val="en-US" w:eastAsia="zh-CN" w:bidi="ar-SA"/>
          </w:rPr>
        </w:sdtEndPr>
        <w:sdtContent>
          <w:r>
            <w:rPr>
              <w:rFonts w:ascii="宋体" w:hAnsi="宋体" w:eastAsia="宋体"/>
              <w:color w:val="auto"/>
              <w:sz w:val="24"/>
              <w:szCs w:val="24"/>
              <w:highlight w:val="none"/>
            </w:rPr>
            <w:t>10</w:t>
          </w:r>
          <w:r>
            <w:rPr>
              <w:rFonts w:hint="eastAsia" w:ascii="宋体" w:hAnsi="宋体" w:eastAsia="宋体"/>
              <w:color w:val="auto"/>
              <w:sz w:val="24"/>
              <w:szCs w:val="24"/>
              <w:highlight w:val="none"/>
            </w:rPr>
            <w:t>.6</w:t>
          </w:r>
        </w:sdtContent>
      </w:sdt>
      <w:r>
        <w:rPr>
          <w:rFonts w:hint="eastAsia" w:ascii="宋体" w:hAnsi="宋体" w:eastAsia="宋体"/>
          <w:color w:val="auto"/>
          <w:sz w:val="24"/>
          <w:szCs w:val="24"/>
          <w:highlight w:val="none"/>
        </w:rPr>
        <w:t>除本合同另有约定</w:t>
      </w:r>
      <w:sdt>
        <w:sdtPr>
          <w:rPr>
            <w:rFonts w:hint="eastAsia" w:ascii="宋体" w:hAnsi="宋体" w:eastAsia="宋体" w:cstheme="minorBidi"/>
            <w:color w:val="auto"/>
            <w:kern w:val="2"/>
            <w:sz w:val="24"/>
            <w:szCs w:val="24"/>
            <w:highlight w:val="none"/>
            <w:lang w:val="en-US" w:eastAsia="zh-CN" w:bidi="ar-SA"/>
          </w:rPr>
          <w:id w:val="147465273"/>
          <w:placeholder>
            <w:docPart w:val="{9c0b1c7d-714f-422a-afda-21c161e0c5d6}"/>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w:t>
          </w:r>
          <w:r>
            <w:rPr>
              <w:rFonts w:ascii="宋体" w:hAnsi="宋体" w:eastAsia="宋体"/>
              <w:color w:val="auto"/>
              <w:sz w:val="24"/>
              <w:szCs w:val="24"/>
              <w:highlight w:val="none"/>
            </w:rPr>
            <w:t>10</w:t>
          </w:r>
          <w:r>
            <w:rPr>
              <w:rFonts w:hint="eastAsia" w:ascii="宋体" w:hAnsi="宋体" w:eastAsia="宋体"/>
              <w:color w:val="auto"/>
              <w:sz w:val="24"/>
              <w:szCs w:val="24"/>
              <w:highlight w:val="none"/>
            </w:rPr>
            <w:t>.1、</w:t>
          </w:r>
          <w:r>
            <w:rPr>
              <w:rFonts w:ascii="宋体" w:hAnsi="宋体" w:eastAsia="宋体"/>
              <w:color w:val="auto"/>
              <w:sz w:val="24"/>
              <w:szCs w:val="24"/>
              <w:highlight w:val="none"/>
            </w:rPr>
            <w:t>10</w:t>
          </w:r>
          <w:r>
            <w:rPr>
              <w:rFonts w:hint="eastAsia" w:ascii="宋体" w:hAnsi="宋体" w:eastAsia="宋体"/>
              <w:color w:val="auto"/>
              <w:sz w:val="24"/>
              <w:szCs w:val="24"/>
              <w:highlight w:val="none"/>
            </w:rPr>
            <w:t>.2、</w:t>
          </w:r>
          <w:r>
            <w:rPr>
              <w:rFonts w:ascii="宋体" w:hAnsi="宋体" w:eastAsia="宋体"/>
              <w:color w:val="auto"/>
              <w:sz w:val="24"/>
              <w:szCs w:val="24"/>
              <w:highlight w:val="none"/>
            </w:rPr>
            <w:t>10</w:t>
          </w:r>
          <w:r>
            <w:rPr>
              <w:rFonts w:hint="eastAsia" w:ascii="宋体" w:hAnsi="宋体" w:eastAsia="宋体"/>
              <w:color w:val="auto"/>
              <w:sz w:val="24"/>
              <w:szCs w:val="24"/>
              <w:highlight w:val="none"/>
            </w:rPr>
            <w:t>.3、</w:t>
          </w:r>
          <w:r>
            <w:rPr>
              <w:rFonts w:ascii="宋体" w:hAnsi="宋体" w:eastAsia="宋体"/>
              <w:color w:val="auto"/>
              <w:sz w:val="24"/>
              <w:szCs w:val="24"/>
              <w:highlight w:val="none"/>
            </w:rPr>
            <w:t>10</w:t>
          </w:r>
          <w:r>
            <w:rPr>
              <w:rFonts w:hint="eastAsia" w:ascii="宋体" w:hAnsi="宋体" w:eastAsia="宋体"/>
              <w:color w:val="auto"/>
              <w:sz w:val="24"/>
              <w:szCs w:val="24"/>
              <w:highlight w:val="none"/>
            </w:rPr>
            <w:t>.4、</w:t>
          </w:r>
          <w:r>
            <w:rPr>
              <w:rFonts w:ascii="宋体" w:hAnsi="宋体" w:eastAsia="宋体"/>
              <w:color w:val="auto"/>
              <w:sz w:val="24"/>
              <w:szCs w:val="24"/>
              <w:highlight w:val="none"/>
            </w:rPr>
            <w:t>10</w:t>
          </w:r>
          <w:r>
            <w:rPr>
              <w:rFonts w:hint="eastAsia" w:ascii="宋体" w:hAnsi="宋体" w:eastAsia="宋体"/>
              <w:color w:val="auto"/>
              <w:sz w:val="24"/>
              <w:szCs w:val="24"/>
              <w:highlight w:val="none"/>
            </w:rPr>
            <w:t>.8）</w:t>
          </w:r>
        </w:sdtContent>
      </w:sdt>
      <w:r>
        <w:rPr>
          <w:rFonts w:hint="eastAsia" w:ascii="宋体" w:hAnsi="宋体" w:eastAsia="宋体"/>
          <w:color w:val="auto"/>
          <w:sz w:val="24"/>
          <w:szCs w:val="24"/>
          <w:highlight w:val="none"/>
        </w:rPr>
        <w:t>，在买方发出的违约通知后</w:t>
      </w:r>
      <w:sdt>
        <w:sdtPr>
          <w:rPr>
            <w:rFonts w:hint="eastAsia" w:ascii="宋体" w:hAnsi="宋体" w:eastAsia="宋体" w:cstheme="minorBidi"/>
            <w:color w:val="auto"/>
            <w:kern w:val="2"/>
            <w:sz w:val="24"/>
            <w:szCs w:val="24"/>
            <w:highlight w:val="none"/>
            <w:lang w:val="en-US" w:eastAsia="zh-CN" w:bidi="ar-SA"/>
          </w:rPr>
          <w:id w:val="147465178"/>
          <w:placeholder>
            <w:docPart w:val="{c5c40a7f-6eda-4ad3-91e9-f9153459f610}"/>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30</w:t>
          </w:r>
        </w:sdtContent>
      </w:sdt>
      <w:r>
        <w:rPr>
          <w:rFonts w:hint="eastAsia" w:ascii="宋体" w:hAnsi="宋体" w:eastAsia="宋体"/>
          <w:color w:val="auto"/>
          <w:sz w:val="24"/>
          <w:szCs w:val="24"/>
          <w:highlight w:val="none"/>
        </w:rPr>
        <w:t>天内卖方仍未纠正其任何一种违约行为的，买方有权单方解除合同</w:t>
      </w:r>
      <w:r>
        <w:rPr>
          <w:rFonts w:ascii="宋体" w:hAnsi="宋体" w:eastAsia="宋体"/>
          <w:color w:val="auto"/>
          <w:sz w:val="24"/>
          <w:szCs w:val="24"/>
          <w:highlight w:val="none"/>
        </w:rPr>
        <w:t>并</w:t>
      </w:r>
      <w:r>
        <w:rPr>
          <w:rFonts w:hint="eastAsia" w:ascii="宋体" w:hAnsi="宋体" w:eastAsia="宋体"/>
          <w:color w:val="auto"/>
          <w:sz w:val="24"/>
          <w:szCs w:val="24"/>
          <w:highlight w:val="none"/>
        </w:rPr>
        <w:t>没收</w:t>
      </w:r>
      <w:r>
        <w:rPr>
          <w:rFonts w:ascii="宋体" w:hAnsi="宋体" w:eastAsia="宋体"/>
          <w:color w:val="auto"/>
          <w:sz w:val="24"/>
          <w:szCs w:val="24"/>
          <w:highlight w:val="none"/>
        </w:rPr>
        <w:t>卖方</w:t>
      </w:r>
      <w:r>
        <w:rPr>
          <w:rFonts w:hint="eastAsia" w:ascii="宋体" w:hAnsi="宋体" w:eastAsia="宋体"/>
          <w:color w:val="auto"/>
          <w:sz w:val="24"/>
          <w:szCs w:val="24"/>
          <w:highlight w:val="none"/>
        </w:rPr>
        <w:t>全部</w:t>
      </w:r>
      <w:r>
        <w:rPr>
          <w:rFonts w:ascii="宋体" w:hAnsi="宋体" w:eastAsia="宋体"/>
          <w:color w:val="auto"/>
          <w:sz w:val="24"/>
          <w:szCs w:val="24"/>
          <w:highlight w:val="none"/>
        </w:rPr>
        <w:t>履约保证金</w:t>
      </w:r>
      <w:r>
        <w:rPr>
          <w:rFonts w:hint="eastAsia" w:ascii="宋体" w:hAnsi="宋体" w:eastAsia="宋体"/>
          <w:color w:val="auto"/>
          <w:sz w:val="24"/>
          <w:szCs w:val="24"/>
          <w:highlight w:val="none"/>
        </w:rPr>
        <w:t>。</w:t>
      </w:r>
    </w:p>
    <w:p>
      <w:pPr>
        <w:adjustRightInd w:val="0"/>
        <w:snapToGrid w:val="0"/>
        <w:spacing w:line="360" w:lineRule="auto"/>
        <w:ind w:firstLine="480" w:firstLineChars="200"/>
        <w:rPr>
          <w:rFonts w:ascii="宋体" w:hAnsi="宋体" w:eastAsia="宋体"/>
          <w:color w:val="auto"/>
          <w:sz w:val="24"/>
          <w:szCs w:val="24"/>
          <w:highlight w:val="none"/>
        </w:rPr>
      </w:pPr>
      <w:sdt>
        <w:sdtPr>
          <w:rPr>
            <w:rFonts w:ascii="宋体" w:hAnsi="宋体" w:eastAsia="宋体" w:cstheme="minorBidi"/>
            <w:color w:val="auto"/>
            <w:kern w:val="2"/>
            <w:sz w:val="24"/>
            <w:szCs w:val="24"/>
            <w:highlight w:val="none"/>
            <w:lang w:val="en-US" w:eastAsia="zh-CN" w:bidi="ar-SA"/>
          </w:rPr>
          <w:id w:val="147465250"/>
          <w:placeholder>
            <w:docPart w:val="{07f651b4-507e-41da-85c7-e63f476ad40f}"/>
          </w:placeholder>
        </w:sdtPr>
        <w:sdtEndPr>
          <w:rPr>
            <w:rFonts w:hint="eastAsia" w:ascii="宋体" w:hAnsi="宋体" w:eastAsia="宋体" w:cstheme="minorBidi"/>
            <w:color w:val="auto"/>
            <w:kern w:val="2"/>
            <w:sz w:val="24"/>
            <w:szCs w:val="24"/>
            <w:highlight w:val="none"/>
            <w:lang w:val="en-US" w:eastAsia="zh-CN" w:bidi="ar-SA"/>
          </w:rPr>
        </w:sdtEndPr>
        <w:sdtContent>
          <w:r>
            <w:rPr>
              <w:rFonts w:ascii="宋体" w:hAnsi="宋体" w:eastAsia="宋体"/>
              <w:color w:val="auto"/>
              <w:sz w:val="24"/>
              <w:szCs w:val="24"/>
              <w:highlight w:val="none"/>
            </w:rPr>
            <w:t>10</w:t>
          </w:r>
          <w:r>
            <w:rPr>
              <w:rFonts w:hint="eastAsia" w:ascii="宋体" w:hAnsi="宋体" w:eastAsia="宋体"/>
              <w:color w:val="auto"/>
              <w:sz w:val="24"/>
              <w:szCs w:val="24"/>
              <w:highlight w:val="none"/>
            </w:rPr>
            <w:t>.7</w:t>
          </w:r>
        </w:sdtContent>
      </w:sdt>
      <w:r>
        <w:rPr>
          <w:rFonts w:hint="eastAsia" w:ascii="宋体" w:hAnsi="宋体" w:eastAsia="宋体"/>
          <w:color w:val="auto"/>
          <w:sz w:val="24"/>
          <w:szCs w:val="24"/>
          <w:highlight w:val="none"/>
        </w:rPr>
        <w:t>买方有权扣划卖方缴交的履约保证金作为违约金，履约保证金不足以抵扣违约金的，买方有权从应付货款中扣除相应费用。</w:t>
      </w:r>
      <w:sdt>
        <w:sdtPr>
          <w:rPr>
            <w:rFonts w:hint="eastAsia" w:ascii="宋体" w:hAnsi="宋体" w:eastAsia="宋体" w:cstheme="minorBidi"/>
            <w:color w:val="auto"/>
            <w:kern w:val="2"/>
            <w:sz w:val="24"/>
            <w:szCs w:val="24"/>
            <w:highlight w:val="none"/>
            <w:lang w:val="en-US" w:eastAsia="zh-CN" w:bidi="ar-SA"/>
          </w:rPr>
          <w:id w:val="147464055"/>
          <w:placeholder>
            <w:docPart w:val="{99283ef0-84f2-4a1c-bb2b-941d30378220}"/>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买方应在扣划履约保证金前书面通知卖方违约事由，如卖方在书面通知所列明的合理期限（不超过</w:t>
          </w:r>
          <w:r>
            <w:rPr>
              <w:rFonts w:ascii="宋体" w:hAnsi="宋体" w:eastAsia="宋体"/>
              <w:color w:val="auto"/>
              <w:sz w:val="24"/>
              <w:szCs w:val="24"/>
              <w:highlight w:val="none"/>
            </w:rPr>
            <w:t>10</w:t>
          </w:r>
          <w:r>
            <w:rPr>
              <w:rFonts w:hint="eastAsia" w:ascii="宋体" w:hAnsi="宋体" w:eastAsia="宋体"/>
              <w:color w:val="auto"/>
              <w:sz w:val="24"/>
              <w:szCs w:val="24"/>
              <w:highlight w:val="none"/>
            </w:rPr>
            <w:t>天）内未予纠正，则履约保证金扣划才可实施</w:t>
          </w:r>
          <w:bookmarkStart w:id="13" w:name="_Hlk107908883"/>
          <w:r>
            <w:rPr>
              <w:rFonts w:hint="eastAsia" w:ascii="宋体" w:hAnsi="宋体" w:eastAsia="宋体"/>
              <w:color w:val="auto"/>
              <w:sz w:val="24"/>
              <w:szCs w:val="24"/>
              <w:highlight w:val="none"/>
            </w:rPr>
            <w:t>（因卖方违约买方单方解除合同而没收履约保证金的不受此限制）</w:t>
          </w:r>
          <w:bookmarkEnd w:id="13"/>
          <w:r>
            <w:rPr>
              <w:rFonts w:hint="eastAsia" w:ascii="宋体" w:hAnsi="宋体" w:eastAsia="宋体"/>
              <w:color w:val="auto"/>
              <w:sz w:val="24"/>
              <w:szCs w:val="24"/>
              <w:highlight w:val="none"/>
            </w:rPr>
            <w:t>。</w:t>
          </w:r>
        </w:sdtContent>
      </w:sdt>
    </w:p>
    <w:p>
      <w:pPr>
        <w:adjustRightInd w:val="0"/>
        <w:snapToGrid w:val="0"/>
        <w:spacing w:line="360" w:lineRule="auto"/>
        <w:ind w:firstLine="480" w:firstLineChars="200"/>
        <w:rPr>
          <w:rFonts w:ascii="宋体" w:hAnsi="宋体" w:eastAsia="宋体"/>
          <w:color w:val="auto"/>
          <w:sz w:val="24"/>
          <w:szCs w:val="24"/>
          <w:highlight w:val="none"/>
        </w:rPr>
      </w:pPr>
      <w:sdt>
        <w:sdtPr>
          <w:rPr>
            <w:rFonts w:ascii="宋体" w:hAnsi="宋体" w:eastAsia="宋体" w:cstheme="minorBidi"/>
            <w:color w:val="auto"/>
            <w:kern w:val="2"/>
            <w:sz w:val="24"/>
            <w:szCs w:val="24"/>
            <w:highlight w:val="none"/>
            <w:lang w:val="en-US" w:eastAsia="zh-CN" w:bidi="ar-SA"/>
          </w:rPr>
          <w:id w:val="147465231"/>
          <w:placeholder>
            <w:docPart w:val="{56e20e7e-39ca-4ab5-ac5a-c4056c637641}"/>
          </w:placeholder>
        </w:sdtPr>
        <w:sdtEndPr>
          <w:rPr>
            <w:rFonts w:ascii="宋体" w:hAnsi="宋体" w:eastAsia="宋体" w:cstheme="minorBidi"/>
            <w:color w:val="auto"/>
            <w:kern w:val="2"/>
            <w:sz w:val="24"/>
            <w:szCs w:val="24"/>
            <w:highlight w:val="none"/>
            <w:lang w:val="en-US" w:eastAsia="zh-CN" w:bidi="ar-SA"/>
          </w:rPr>
        </w:sdtEndPr>
        <w:sdtContent>
          <w:r>
            <w:rPr>
              <w:rFonts w:ascii="宋体" w:hAnsi="宋体" w:eastAsia="宋体"/>
              <w:color w:val="auto"/>
              <w:sz w:val="24"/>
              <w:szCs w:val="24"/>
              <w:highlight w:val="none"/>
            </w:rPr>
            <w:t>10.8</w:t>
          </w:r>
        </w:sdtContent>
      </w:sdt>
      <w:r>
        <w:rPr>
          <w:rFonts w:hint="eastAsia" w:ascii="宋体" w:hAnsi="宋体" w:eastAsia="宋体"/>
          <w:color w:val="auto"/>
          <w:sz w:val="24"/>
          <w:szCs w:val="24"/>
          <w:highlight w:val="none"/>
        </w:rPr>
        <w:t>卖方存在以下情形的，</w:t>
      </w:r>
      <w:r>
        <w:rPr>
          <w:rFonts w:ascii="宋体" w:hAnsi="宋体" w:eastAsia="宋体"/>
          <w:color w:val="auto"/>
          <w:sz w:val="24"/>
          <w:szCs w:val="24"/>
          <w:highlight w:val="none"/>
        </w:rPr>
        <w:t>买方有权</w:t>
      </w:r>
      <w:r>
        <w:rPr>
          <w:rFonts w:hint="eastAsia" w:ascii="宋体" w:hAnsi="宋体" w:eastAsia="宋体"/>
          <w:color w:val="auto"/>
          <w:sz w:val="24"/>
          <w:szCs w:val="24"/>
          <w:highlight w:val="none"/>
        </w:rPr>
        <w:t>立即单方通知卖方解除合同</w:t>
      </w:r>
      <w:r>
        <w:rPr>
          <w:rFonts w:ascii="宋体" w:hAnsi="宋体" w:eastAsia="宋体"/>
          <w:color w:val="auto"/>
          <w:sz w:val="24"/>
          <w:szCs w:val="24"/>
          <w:highlight w:val="none"/>
        </w:rPr>
        <w:t>并</w:t>
      </w:r>
      <w:r>
        <w:rPr>
          <w:rFonts w:hint="eastAsia" w:ascii="宋体" w:hAnsi="宋体" w:eastAsia="宋体"/>
          <w:color w:val="auto"/>
          <w:sz w:val="24"/>
          <w:szCs w:val="24"/>
          <w:highlight w:val="none"/>
        </w:rPr>
        <w:t>没收</w:t>
      </w:r>
      <w:r>
        <w:rPr>
          <w:rFonts w:ascii="宋体" w:hAnsi="宋体" w:eastAsia="宋体"/>
          <w:color w:val="auto"/>
          <w:sz w:val="24"/>
          <w:szCs w:val="24"/>
          <w:highlight w:val="none"/>
        </w:rPr>
        <w:t>卖方</w:t>
      </w:r>
      <w:r>
        <w:rPr>
          <w:rFonts w:hint="eastAsia" w:ascii="宋体" w:hAnsi="宋体" w:eastAsia="宋体"/>
          <w:color w:val="auto"/>
          <w:sz w:val="24"/>
          <w:szCs w:val="24"/>
          <w:highlight w:val="none"/>
        </w:rPr>
        <w:t>全部</w:t>
      </w:r>
      <w:r>
        <w:rPr>
          <w:rFonts w:ascii="宋体" w:hAnsi="宋体" w:eastAsia="宋体"/>
          <w:color w:val="auto"/>
          <w:sz w:val="24"/>
          <w:szCs w:val="24"/>
          <w:highlight w:val="none"/>
        </w:rPr>
        <w:t>履约保证金</w:t>
      </w:r>
      <w:r>
        <w:rPr>
          <w:rFonts w:hint="eastAsia" w:ascii="宋体" w:hAnsi="宋体" w:eastAsia="宋体"/>
          <w:color w:val="auto"/>
          <w:sz w:val="24"/>
          <w:szCs w:val="24"/>
          <w:highlight w:val="none"/>
        </w:rPr>
        <w:t>，</w:t>
      </w:r>
      <w:r>
        <w:rPr>
          <w:rFonts w:ascii="宋体" w:hAnsi="宋体" w:eastAsia="宋体"/>
          <w:color w:val="auto"/>
          <w:sz w:val="24"/>
          <w:szCs w:val="24"/>
          <w:highlight w:val="none"/>
        </w:rPr>
        <w:t>并在三年内拒绝卖方参与大宗政府招标采购项目</w:t>
      </w:r>
      <w:r>
        <w:rPr>
          <w:rFonts w:hint="eastAsia" w:ascii="宋体" w:hAnsi="宋体" w:eastAsia="宋体"/>
          <w:color w:val="auto"/>
          <w:sz w:val="24"/>
          <w:szCs w:val="24"/>
          <w:highlight w:val="none"/>
        </w:rPr>
        <w:t>的投标报价：</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①违反法律法规、行业规范要求被有关部门查处的；</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②提供假冒伪劣产品的；</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③通过给回扣或变相给回扣的方式招揽业务的；</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④因产品质量或服务问题被有效投诉达</w:t>
      </w:r>
      <w:sdt>
        <w:sdtPr>
          <w:rPr>
            <w:rFonts w:hint="eastAsia" w:ascii="宋体" w:hAnsi="宋体" w:eastAsia="宋体" w:cstheme="minorBidi"/>
            <w:color w:val="auto"/>
            <w:kern w:val="2"/>
            <w:sz w:val="24"/>
            <w:szCs w:val="24"/>
            <w:highlight w:val="none"/>
            <w:lang w:val="en-US" w:eastAsia="zh-CN" w:bidi="ar-SA"/>
          </w:rPr>
          <w:id w:val="147463666"/>
          <w:placeholder>
            <w:docPart w:val="{277f2d8e-4ed6-47cb-9f9d-7c861a089fc6}"/>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三</w:t>
          </w:r>
        </w:sdtContent>
      </w:sdt>
      <w:r>
        <w:rPr>
          <w:rFonts w:hint="eastAsia" w:ascii="宋体" w:hAnsi="宋体" w:eastAsia="宋体"/>
          <w:color w:val="auto"/>
          <w:sz w:val="24"/>
          <w:szCs w:val="24"/>
          <w:highlight w:val="none"/>
        </w:rPr>
        <w:t>次以上的；</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⑤向有关部门、买方、最终使用方提供虚假信息或资料等情况的；</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⑥出现重大客户投诉事件（如政府采购管理部门督办事件、新闻媒体公开报道、采购业主书面发函投诉以及其他对买方产生严重负面影响的事件）；</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⑦报修率超过</w:t>
      </w:r>
      <w:sdt>
        <w:sdtPr>
          <w:rPr>
            <w:rFonts w:hint="eastAsia" w:ascii="宋体" w:hAnsi="宋体" w:eastAsia="宋体" w:cstheme="minorBidi"/>
            <w:color w:val="auto"/>
            <w:kern w:val="2"/>
            <w:sz w:val="24"/>
            <w:szCs w:val="24"/>
            <w:highlight w:val="none"/>
            <w:lang w:val="en-US" w:eastAsia="zh-CN" w:bidi="ar-SA"/>
          </w:rPr>
          <w:id w:val="147463771"/>
          <w:placeholder>
            <w:docPart w:val="{a27d27fd-d6e0-431c-9894-55a8d12836ed}"/>
          </w:placeholder>
        </w:sdtPr>
        <w:sdtEndPr>
          <w:rPr>
            <w:rFonts w:hint="eastAsia" w:ascii="宋体" w:hAnsi="宋体" w:eastAsia="宋体" w:cstheme="minorBidi"/>
            <w:color w:val="auto"/>
            <w:kern w:val="2"/>
            <w:sz w:val="24"/>
            <w:szCs w:val="24"/>
            <w:highlight w:val="none"/>
            <w:lang w:val="en-US" w:eastAsia="zh-CN" w:bidi="ar-SA"/>
          </w:rPr>
        </w:sdtEndPr>
        <w:sdtContent>
          <w:r>
            <w:rPr>
              <w:rFonts w:ascii="宋体" w:hAnsi="宋体" w:eastAsia="宋体"/>
              <w:color w:val="auto"/>
              <w:sz w:val="24"/>
              <w:szCs w:val="24"/>
              <w:highlight w:val="none"/>
            </w:rPr>
            <w:t>3%</w:t>
          </w:r>
        </w:sdtContent>
      </w:sdt>
      <w:r>
        <w:rPr>
          <w:rFonts w:ascii="宋体" w:hAnsi="宋体" w:eastAsia="宋体"/>
          <w:color w:val="auto"/>
          <w:sz w:val="24"/>
          <w:szCs w:val="24"/>
          <w:highlight w:val="none"/>
        </w:rPr>
        <w:t>（按品类分别统计）。报修率=保修期内硬件故障报修有效台次/已销售台数*100%（已销售台数超过</w:t>
      </w:r>
      <w:sdt>
        <w:sdtPr>
          <w:rPr>
            <w:rFonts w:ascii="宋体" w:hAnsi="宋体" w:eastAsia="宋体" w:cstheme="minorBidi"/>
            <w:color w:val="auto"/>
            <w:kern w:val="2"/>
            <w:sz w:val="24"/>
            <w:szCs w:val="24"/>
            <w:highlight w:val="none"/>
            <w:lang w:val="en-US" w:eastAsia="zh-CN" w:bidi="ar-SA"/>
          </w:rPr>
          <w:id w:val="147463624"/>
          <w:placeholder>
            <w:docPart w:val="{5dfbfb5f-6213-4be2-9af1-a40d90c96adb}"/>
          </w:placeholder>
        </w:sdtPr>
        <w:sdtEndPr>
          <w:rPr>
            <w:rFonts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50</w:t>
          </w:r>
          <w:r>
            <w:rPr>
              <w:rFonts w:ascii="宋体" w:hAnsi="宋体" w:eastAsia="宋体"/>
              <w:color w:val="auto"/>
              <w:sz w:val="24"/>
              <w:szCs w:val="24"/>
              <w:highlight w:val="none"/>
            </w:rPr>
            <w:t>台</w:t>
          </w:r>
        </w:sdtContent>
      </w:sdt>
      <w:r>
        <w:rPr>
          <w:rFonts w:ascii="宋体" w:hAnsi="宋体" w:eastAsia="宋体"/>
          <w:color w:val="auto"/>
          <w:sz w:val="24"/>
          <w:szCs w:val="24"/>
          <w:highlight w:val="none"/>
        </w:rPr>
        <w:t>之后开始计算报修率）。</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⑧逾期供货时间超过</w:t>
      </w:r>
      <w:sdt>
        <w:sdtPr>
          <w:rPr>
            <w:rFonts w:hint="eastAsia" w:ascii="宋体" w:hAnsi="宋体" w:eastAsia="宋体" w:cstheme="minorBidi"/>
            <w:color w:val="auto"/>
            <w:kern w:val="2"/>
            <w:sz w:val="24"/>
            <w:szCs w:val="24"/>
            <w:highlight w:val="none"/>
            <w:lang w:val="en-US" w:eastAsia="zh-CN" w:bidi="ar-SA"/>
          </w:rPr>
          <w:id w:val="147463748"/>
          <w:placeholder>
            <w:docPart w:val="{20cd20a7-1613-403c-8348-d855531ee1c9}"/>
          </w:placeholder>
        </w:sdtPr>
        <w:sdtEndPr>
          <w:rPr>
            <w:rFonts w:hint="eastAsia" w:ascii="宋体" w:hAnsi="宋体" w:eastAsia="宋体" w:cstheme="minorBidi"/>
            <w:color w:val="auto"/>
            <w:kern w:val="2"/>
            <w:sz w:val="24"/>
            <w:szCs w:val="24"/>
            <w:highlight w:val="none"/>
            <w:lang w:val="en-US" w:eastAsia="zh-CN" w:bidi="ar-SA"/>
          </w:rPr>
        </w:sdtEndPr>
        <w:sdtContent>
          <w:r>
            <w:rPr>
              <w:rFonts w:ascii="宋体" w:hAnsi="宋体" w:eastAsia="宋体"/>
              <w:color w:val="auto"/>
              <w:sz w:val="24"/>
              <w:szCs w:val="24"/>
              <w:highlight w:val="none"/>
            </w:rPr>
            <w:t>30</w:t>
          </w:r>
        </w:sdtContent>
      </w:sdt>
      <w:r>
        <w:rPr>
          <w:rFonts w:ascii="宋体" w:hAnsi="宋体" w:eastAsia="宋体"/>
          <w:color w:val="auto"/>
          <w:sz w:val="24"/>
          <w:szCs w:val="24"/>
          <w:highlight w:val="none"/>
        </w:rPr>
        <w:t>天</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rPr>
        <w:t>包括产品送到买方仓库或最终用户指定地点的逾期和完成产品安装调试的逾期）</w:t>
      </w:r>
      <w:r>
        <w:rPr>
          <w:rFonts w:ascii="宋体" w:hAnsi="宋体" w:eastAsia="宋体"/>
          <w:color w:val="auto"/>
          <w:sz w:val="24"/>
          <w:szCs w:val="24"/>
          <w:highlight w:val="none"/>
        </w:rPr>
        <w:t>。</w:t>
      </w:r>
    </w:p>
    <w:p>
      <w:pPr>
        <w:adjustRightInd w:val="0"/>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⑨产品入库检测、检验时发现大面积（同批次全部产品或不同批次同型号产品</w:t>
      </w:r>
      <w:sdt>
        <w:sdtPr>
          <w:rPr>
            <w:rFonts w:hint="eastAsia" w:ascii="宋体" w:hAnsi="宋体" w:eastAsia="宋体" w:cstheme="minorBidi"/>
            <w:color w:val="auto"/>
            <w:kern w:val="2"/>
            <w:sz w:val="24"/>
            <w:szCs w:val="24"/>
            <w:highlight w:val="none"/>
            <w:lang w:val="en-US" w:eastAsia="zh-CN" w:bidi="ar-SA"/>
          </w:rPr>
          <w:id w:val="147463585"/>
          <w:placeholder>
            <w:docPart w:val="{1b886c76-dc86-4261-98fa-50d140d39368}"/>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u w:val="single"/>
            </w:rPr>
            <w:t>3</w:t>
          </w:r>
          <w:r>
            <w:rPr>
              <w:rFonts w:hint="eastAsia" w:ascii="宋体" w:hAnsi="宋体" w:eastAsia="宋体"/>
              <w:color w:val="auto"/>
              <w:sz w:val="24"/>
              <w:szCs w:val="24"/>
              <w:highlight w:val="none"/>
            </w:rPr>
            <w:t>%</w:t>
          </w:r>
        </w:sdtContent>
      </w:sdt>
      <w:r>
        <w:rPr>
          <w:rFonts w:hint="eastAsia" w:ascii="宋体" w:hAnsi="宋体" w:eastAsia="宋体"/>
          <w:color w:val="auto"/>
          <w:sz w:val="24"/>
          <w:szCs w:val="24"/>
          <w:highlight w:val="none"/>
        </w:rPr>
        <w:t>及以上）产品质量问题。</w:t>
      </w:r>
    </w:p>
    <w:p>
      <w:pPr>
        <w:adjustRightInd w:val="0"/>
        <w:snapToGrid w:val="0"/>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s="宋体"/>
          <w:color w:val="auto"/>
          <w:sz w:val="24"/>
          <w:szCs w:val="24"/>
          <w:highlight w:val="none"/>
        </w:rPr>
        <w:t>⑩</w:t>
      </w:r>
      <w:r>
        <w:rPr>
          <w:rFonts w:hint="eastAsia" w:ascii="宋体" w:hAnsi="宋体" w:eastAsia="宋体"/>
          <w:color w:val="auto"/>
          <w:sz w:val="24"/>
          <w:szCs w:val="24"/>
          <w:highlight w:val="none"/>
        </w:rPr>
        <w:t>提供虚假材料谋取中标、成交</w:t>
      </w:r>
      <w:r>
        <w:rPr>
          <w:rFonts w:hint="eastAsia" w:ascii="宋体" w:hAnsi="宋体" w:eastAsia="宋体"/>
          <w:color w:val="auto"/>
          <w:sz w:val="24"/>
          <w:szCs w:val="24"/>
          <w:highlight w:val="none"/>
          <w:lang w:eastAsia="zh-CN"/>
        </w:rPr>
        <w:t>的。</w:t>
      </w:r>
    </w:p>
    <w:p>
      <w:pPr>
        <w:adjustRightInd w:val="0"/>
        <w:snapToGrid w:val="0"/>
        <w:spacing w:line="360" w:lineRule="auto"/>
        <w:ind w:firstLine="480" w:firstLineChars="200"/>
        <w:rPr>
          <w:rFonts w:ascii="宋体" w:hAnsi="宋体" w:eastAsia="宋体"/>
          <w:color w:val="auto"/>
          <w:sz w:val="24"/>
          <w:szCs w:val="24"/>
          <w:highlight w:val="none"/>
        </w:rPr>
      </w:pPr>
      <w:sdt>
        <w:sdtPr>
          <w:rPr>
            <w:rFonts w:ascii="宋体" w:hAnsi="宋体" w:eastAsia="宋体" w:cstheme="minorBidi"/>
            <w:color w:val="auto"/>
            <w:kern w:val="2"/>
            <w:sz w:val="24"/>
            <w:szCs w:val="24"/>
            <w:highlight w:val="none"/>
            <w:lang w:val="en-US" w:eastAsia="zh-CN" w:bidi="ar-SA"/>
          </w:rPr>
          <w:id w:val="147465214"/>
          <w:placeholder>
            <w:docPart w:val="{9bcd6e8b-66c4-476d-808f-890ec422dcb2}"/>
          </w:placeholder>
        </w:sdtPr>
        <w:sdtEndPr>
          <w:rPr>
            <w:rFonts w:ascii="宋体" w:hAnsi="宋体" w:eastAsia="宋体" w:cstheme="minorBidi"/>
            <w:color w:val="auto"/>
            <w:kern w:val="2"/>
            <w:sz w:val="24"/>
            <w:szCs w:val="24"/>
            <w:highlight w:val="none"/>
            <w:lang w:val="en-US" w:eastAsia="zh-CN" w:bidi="ar-SA"/>
          </w:rPr>
        </w:sdtEndPr>
        <w:sdtContent>
          <w:r>
            <w:rPr>
              <w:rFonts w:ascii="宋体" w:hAnsi="宋体" w:eastAsia="宋体"/>
              <w:color w:val="auto"/>
              <w:sz w:val="24"/>
              <w:szCs w:val="24"/>
              <w:highlight w:val="none"/>
            </w:rPr>
            <w:t>10</w:t>
          </w:r>
          <w:r>
            <w:rPr>
              <w:rFonts w:hint="eastAsia" w:ascii="宋体" w:hAnsi="宋体" w:eastAsia="宋体"/>
              <w:color w:val="auto"/>
              <w:sz w:val="24"/>
              <w:szCs w:val="24"/>
              <w:highlight w:val="none"/>
            </w:rPr>
            <w:t>.</w:t>
          </w:r>
          <w:r>
            <w:rPr>
              <w:rFonts w:ascii="宋体" w:hAnsi="宋体" w:eastAsia="宋体"/>
              <w:color w:val="auto"/>
              <w:sz w:val="24"/>
              <w:szCs w:val="24"/>
              <w:highlight w:val="none"/>
            </w:rPr>
            <w:t>9</w:t>
          </w:r>
        </w:sdtContent>
      </w:sdt>
      <w:r>
        <w:rPr>
          <w:rFonts w:hint="eastAsia" w:ascii="宋体" w:hAnsi="宋体" w:eastAsia="宋体"/>
          <w:color w:val="auto"/>
          <w:sz w:val="24"/>
          <w:szCs w:val="24"/>
          <w:highlight w:val="none"/>
        </w:rPr>
        <w:t>卖方承诺配合参与买方举办的壹年两次的政府大宗产品推介会，并且免费提供相应的合同机型作为样机展示，否则视为违约，卖方应按对应合同机型的单价向买方支付违约金，若卖方未向买方支付，则买方有权直接从履约保证金款项中直接给予扣除。</w:t>
      </w:r>
    </w:p>
    <w:p>
      <w:pPr>
        <w:adjustRightInd w:val="0"/>
        <w:snapToGrid w:val="0"/>
        <w:spacing w:line="360" w:lineRule="auto"/>
        <w:ind w:firstLine="480" w:firstLineChars="200"/>
        <w:rPr>
          <w:rFonts w:hint="eastAsia" w:ascii="宋体" w:hAnsi="宋体" w:eastAsia="宋体" w:cstheme="minorBidi"/>
          <w:color w:val="auto"/>
          <w:kern w:val="2"/>
          <w:sz w:val="24"/>
          <w:szCs w:val="24"/>
          <w:highlight w:val="none"/>
          <w:lang w:val="en-US" w:eastAsia="zh-CN" w:bidi="ar-SA"/>
        </w:rPr>
      </w:pPr>
      <w:sdt>
        <w:sdtPr>
          <w:rPr>
            <w:rFonts w:ascii="宋体" w:hAnsi="宋体" w:eastAsia="宋体" w:cstheme="minorBidi"/>
            <w:color w:val="auto"/>
            <w:kern w:val="2"/>
            <w:sz w:val="24"/>
            <w:szCs w:val="24"/>
            <w:highlight w:val="none"/>
            <w:lang w:val="en-US" w:eastAsia="zh-CN" w:bidi="ar-SA"/>
          </w:rPr>
          <w:id w:val="147463327"/>
          <w:placeholder>
            <w:docPart w:val="{e40f7459-8f60-430a-b328-a14c51ab4c03}"/>
          </w:placeholder>
        </w:sdtPr>
        <w:sdtEndPr>
          <w:rPr>
            <w:rFonts w:hint="eastAsia" w:ascii="宋体" w:hAnsi="宋体" w:eastAsia="宋体" w:cstheme="minorBidi"/>
            <w:color w:val="auto"/>
            <w:kern w:val="2"/>
            <w:sz w:val="24"/>
            <w:szCs w:val="24"/>
            <w:highlight w:val="none"/>
            <w:lang w:val="en-US" w:eastAsia="zh-CN" w:bidi="ar-SA"/>
          </w:rPr>
        </w:sdtEndPr>
        <w:sdtContent>
          <w:r>
            <w:rPr>
              <w:rFonts w:ascii="宋体" w:hAnsi="宋体" w:eastAsia="宋体"/>
              <w:color w:val="auto"/>
              <w:sz w:val="24"/>
              <w:szCs w:val="24"/>
              <w:highlight w:val="none"/>
            </w:rPr>
            <w:t>10</w:t>
          </w:r>
          <w:r>
            <w:rPr>
              <w:rFonts w:hint="eastAsia" w:ascii="宋体" w:hAnsi="宋体" w:eastAsia="宋体"/>
              <w:color w:val="auto"/>
              <w:sz w:val="24"/>
              <w:szCs w:val="24"/>
              <w:highlight w:val="none"/>
            </w:rPr>
            <w:t>.</w:t>
          </w:r>
          <w:r>
            <w:rPr>
              <w:rFonts w:ascii="宋体" w:hAnsi="宋体" w:eastAsia="宋体"/>
              <w:color w:val="auto"/>
              <w:sz w:val="24"/>
              <w:szCs w:val="24"/>
              <w:highlight w:val="none"/>
            </w:rPr>
            <w:t>10</w:t>
          </w:r>
          <w:bookmarkStart w:id="14" w:name="_Hlk107909184"/>
          <w:bookmarkStart w:id="15" w:name="_Hlk107909774"/>
          <w:r>
            <w:rPr>
              <w:rFonts w:hint="eastAsia" w:ascii="宋体" w:hAnsi="宋体" w:eastAsia="宋体"/>
              <w:color w:val="auto"/>
              <w:sz w:val="24"/>
              <w:szCs w:val="24"/>
              <w:highlight w:val="none"/>
            </w:rPr>
            <w:t>若有两家或以上的多家公司共同为本合同的卖方</w:t>
          </w:r>
          <w:bookmarkEnd w:id="14"/>
          <w:r>
            <w:rPr>
              <w:rFonts w:hint="eastAsia" w:ascii="宋体" w:hAnsi="宋体" w:eastAsia="宋体"/>
              <w:color w:val="auto"/>
              <w:sz w:val="24"/>
              <w:szCs w:val="24"/>
              <w:highlight w:val="none"/>
            </w:rPr>
            <w:t>，</w:t>
          </w:r>
          <w:bookmarkEnd w:id="15"/>
          <w:r>
            <w:rPr>
              <w:rFonts w:hint="eastAsia" w:ascii="宋体" w:hAnsi="宋体" w:eastAsia="宋体"/>
              <w:color w:val="auto"/>
              <w:sz w:val="24"/>
              <w:szCs w:val="24"/>
              <w:highlight w:val="none"/>
            </w:rPr>
            <w:t>买方有权向卖方中的任何一家或</w:t>
          </w:r>
          <w:bookmarkStart w:id="16" w:name="_Hlk107909793"/>
          <w:bookmarkStart w:id="17" w:name="_Hlk107909261"/>
          <w:r>
            <w:rPr>
              <w:rFonts w:hint="eastAsia" w:ascii="宋体" w:hAnsi="宋体" w:eastAsia="宋体"/>
              <w:color w:val="auto"/>
              <w:sz w:val="24"/>
              <w:szCs w:val="24"/>
              <w:highlight w:val="none"/>
            </w:rPr>
            <w:t>同时向</w:t>
          </w:r>
          <w:bookmarkEnd w:id="16"/>
          <w:r>
            <w:rPr>
              <w:rFonts w:hint="eastAsia" w:ascii="宋体" w:hAnsi="宋体" w:eastAsia="宋体"/>
              <w:color w:val="auto"/>
              <w:sz w:val="24"/>
              <w:szCs w:val="24"/>
              <w:highlight w:val="none"/>
            </w:rPr>
            <w:t>多家</w:t>
          </w:r>
          <w:bookmarkEnd w:id="17"/>
          <w:r>
            <w:rPr>
              <w:rFonts w:hint="eastAsia" w:ascii="宋体" w:hAnsi="宋体" w:eastAsia="宋体"/>
              <w:color w:val="auto"/>
              <w:sz w:val="24"/>
              <w:szCs w:val="24"/>
              <w:highlight w:val="none"/>
            </w:rPr>
            <w:t>就合同的履行提出索赔或要求其履行义务、责任、债务等，所有卖方共同承担合同的义务，且所有卖方就合同的履行承担连带责任。</w:t>
          </w:r>
        </w:sdtContent>
      </w:sdt>
      <w:sdt>
        <w:sdtPr>
          <w:rPr>
            <w:rFonts w:hint="eastAsia" w:ascii="宋体" w:hAnsi="宋体" w:eastAsia="宋体" w:cstheme="minorBidi"/>
            <w:color w:val="auto"/>
            <w:kern w:val="2"/>
            <w:sz w:val="24"/>
            <w:szCs w:val="24"/>
            <w:highlight w:val="none"/>
            <w:lang w:val="en-US" w:eastAsia="zh-CN" w:bidi="ar-SA"/>
          </w:rPr>
          <w:id w:val="147464666"/>
          <w:placeholder>
            <w:docPart w:val="{7b3506c7-d784-4856-b9c1-eda97dd2c43f}"/>
          </w:placeholder>
          <w:showingPlcHdr/>
        </w:sdtPr>
        <w:sdtEndPr>
          <w:rPr>
            <w:rFonts w:hint="eastAsia" w:ascii="宋体" w:hAnsi="宋体" w:eastAsia="宋体" w:cstheme="minorBidi"/>
            <w:color w:val="auto"/>
            <w:kern w:val="2"/>
            <w:sz w:val="24"/>
            <w:szCs w:val="24"/>
            <w:highlight w:val="none"/>
            <w:lang w:val="en-US" w:eastAsia="zh-CN" w:bidi="ar-SA"/>
          </w:rPr>
        </w:sdtEndPr>
        <w:sdtContent>
          <w:r>
            <w:rPr>
              <w:color w:val="auto"/>
              <w:highlight w:val="none"/>
            </w:rPr>
            <w:t>单击此处输入文字。</w:t>
          </w:r>
        </w:sdtContent>
      </w:sdt>
    </w:p>
    <w:sdt>
      <w:sdtPr>
        <w:rPr>
          <w:rFonts w:hint="eastAsia" w:ascii="宋体" w:hAnsi="宋体" w:eastAsia="宋体" w:cstheme="minorBidi"/>
          <w:color w:val="auto"/>
          <w:kern w:val="2"/>
          <w:sz w:val="24"/>
          <w:szCs w:val="24"/>
          <w:highlight w:val="none"/>
          <w:lang w:val="en-US" w:eastAsia="zh-CN" w:bidi="ar-SA"/>
        </w:rPr>
        <w:id w:val="744395646"/>
        <w:placeholder>
          <w:docPart w:val="{9dedaa38-3db6-4cfe-9da3-16f8269edf24}"/>
        </w:placeholder>
      </w:sdtPr>
      <w:sdtEndPr>
        <w:rPr>
          <w:rFonts w:hint="eastAsia" w:ascii="宋体" w:hAnsi="宋体" w:eastAsia="宋体" w:cstheme="minorBidi"/>
          <w:color w:val="auto"/>
          <w:kern w:val="2"/>
          <w:sz w:val="24"/>
          <w:szCs w:val="24"/>
          <w:highlight w:val="none"/>
          <w:lang w:val="en-US" w:eastAsia="zh-CN" w:bidi="ar-SA"/>
        </w:rPr>
      </w:sdtEndPr>
      <w:sdtContent>
        <w:sdt>
          <w:sdtPr>
            <w:rPr>
              <w:rFonts w:hint="eastAsia" w:ascii="宋体" w:hAnsi="宋体" w:eastAsia="宋体" w:cstheme="minorBidi"/>
              <w:color w:val="auto"/>
              <w:kern w:val="2"/>
              <w:sz w:val="24"/>
              <w:szCs w:val="24"/>
              <w:highlight w:val="none"/>
              <w:lang w:val="en-US" w:eastAsia="zh-CN" w:bidi="ar-SA"/>
            </w:rPr>
            <w:id w:val="147464659"/>
            <w:placeholder>
              <w:docPart w:val="{44a102d0-f6ac-4e2b-bc6a-1215eaf417d7}"/>
            </w:placeholder>
          </w:sdtPr>
          <w:sdtEndPr>
            <w:rPr>
              <w:rFonts w:hint="eastAsia" w:ascii="宋体" w:hAnsi="宋体" w:eastAsia="宋体" w:cstheme="minorBidi"/>
              <w:color w:val="auto"/>
              <w:kern w:val="2"/>
              <w:sz w:val="24"/>
              <w:szCs w:val="24"/>
              <w:highlight w:val="none"/>
              <w:lang w:val="en-US" w:eastAsia="zh-CN" w:bidi="ar-SA"/>
            </w:rPr>
          </w:sdtEndPr>
          <w:sdtContent>
            <w:p>
              <w:pPr>
                <w:adjustRightInd w:val="0"/>
                <w:snapToGrid w:val="0"/>
                <w:spacing w:line="360" w:lineRule="auto"/>
                <w:ind w:firstLine="480" w:firstLineChars="200"/>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
                </w:rPr>
                <w:t>10.11因卖方产品给买方造成的客诉，卖方在接到买方通知后3个日历日内无法解决客诉，买方有权自行解决客诉，并直接于卖方的履约保证金中扣除解决客诉所产生的费用。</w:t>
              </w:r>
            </w:p>
          </w:sdtContent>
        </w:sdt>
        <w:p>
          <w:pPr>
            <w:adjustRightInd w:val="0"/>
            <w:snapToGrid w:val="0"/>
            <w:spacing w:line="360" w:lineRule="auto"/>
            <w:ind w:firstLine="480" w:firstLineChars="200"/>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
            </w:rPr>
            <w:t>10.12卖方不按采购合同履行的，买方单位有权与排位在卖方之后第一位的中标候选供应商签订采购合同，以此类推。</w:t>
          </w:r>
        </w:p>
      </w:sdtContent>
    </w:sdt>
    <w:p>
      <w:pPr>
        <w:adjustRightInd w:val="0"/>
        <w:snapToGrid w:val="0"/>
        <w:spacing w:line="360" w:lineRule="auto"/>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10、不可抗力</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10.1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10.2本合同中的不可抗力指不能预见、不能避免并不能克服的客观情况。包括但不限于：自然灾害如地震、台风、洪水、火灾；政府行为、法律规定或其适用的变化或者其他任何无法预见、避免或者控制的事件。</w:t>
      </w:r>
    </w:p>
    <w:p>
      <w:pPr>
        <w:adjustRightInd w:val="0"/>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10.3当事人一方因不可抗力的原因不能履行合同的，应及时通知对方，以减轻可能给对方造成的损失，并应当在合理期限内提供证明。</w:t>
      </w:r>
      <w:r>
        <w:rPr>
          <w:rFonts w:hint="default" w:ascii="宋体" w:hAnsi="宋体" w:cstheme="minorBidi"/>
          <w:color w:val="auto"/>
          <w:kern w:val="2"/>
          <w:sz w:val="24"/>
          <w:szCs w:val="24"/>
          <w:highlight w:val="none"/>
          <w:lang w:eastAsia="zh-CN" w:bidi="ar-SA"/>
        </w:rPr>
        <w:t xml:space="preserve"> </w:t>
      </w:r>
      <w:sdt>
        <w:sdtPr>
          <w:rPr>
            <w:rFonts w:hint="eastAsia" w:ascii="宋体" w:hAnsi="宋体" w:eastAsia="宋体" w:cstheme="minorBidi"/>
            <w:color w:val="auto"/>
            <w:kern w:val="2"/>
            <w:sz w:val="24"/>
            <w:szCs w:val="24"/>
            <w:highlight w:val="none"/>
            <w:lang w:val="en-US" w:eastAsia="zh-CN" w:bidi="ar-SA"/>
          </w:rPr>
          <w:id w:val="147460348"/>
          <w:placeholder>
            <w:docPart w:val="{d3d5b16c-59bf-4bea-9b78-b0ca5e446e48}"/>
          </w:placeholder>
          <w:showingPlcHdr/>
        </w:sdtPr>
        <w:sdtEndPr>
          <w:rPr>
            <w:rFonts w:hint="eastAsia" w:ascii="宋体" w:hAnsi="宋体" w:eastAsia="宋体" w:cstheme="minorBidi"/>
            <w:color w:val="auto"/>
            <w:kern w:val="2"/>
            <w:sz w:val="24"/>
            <w:szCs w:val="24"/>
            <w:highlight w:val="none"/>
            <w:lang w:val="en-US" w:eastAsia="zh-CN" w:bidi="ar-SA"/>
          </w:rPr>
        </w:sdtEndPr>
        <w:sdtContent>
          <w:r>
            <w:rPr>
              <w:color w:val="auto"/>
              <w:highlight w:val="none"/>
            </w:rPr>
            <w:t>单击此处输入文字。</w:t>
          </w:r>
        </w:sdtContent>
      </w:sdt>
    </w:p>
    <w:p>
      <w:pPr>
        <w:adjustRightInd w:val="0"/>
        <w:snapToGrid w:val="0"/>
        <w:spacing w:line="360" w:lineRule="auto"/>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1</w:t>
      </w:r>
      <w:r>
        <w:rPr>
          <w:rFonts w:ascii="宋体" w:hAnsi="宋体" w:eastAsia="宋体"/>
          <w:b/>
          <w:bCs/>
          <w:color w:val="auto"/>
          <w:sz w:val="24"/>
          <w:szCs w:val="24"/>
          <w:highlight w:val="none"/>
        </w:rPr>
        <w:t>1</w:t>
      </w:r>
      <w:r>
        <w:rPr>
          <w:rFonts w:hint="eastAsia" w:ascii="宋体" w:hAnsi="宋体" w:eastAsia="宋体"/>
          <w:b/>
          <w:bCs/>
          <w:color w:val="auto"/>
          <w:sz w:val="24"/>
          <w:szCs w:val="24"/>
          <w:highlight w:val="none"/>
        </w:rPr>
        <w:t>、通知</w:t>
      </w:r>
    </w:p>
    <w:p>
      <w:pPr>
        <w:adjustRightInd w:val="0"/>
        <w:snapToGrid w:val="0"/>
        <w:spacing w:line="360" w:lineRule="auto"/>
        <w:ind w:firstLine="0" w:firstLineChars="0"/>
        <w:rPr>
          <w:rFonts w:hint="eastAsia" w:ascii="宋体" w:hAnsi="宋体" w:eastAsia="宋体"/>
          <w:color w:val="auto"/>
          <w:sz w:val="24"/>
          <w:szCs w:val="24"/>
          <w:highlight w:val="none"/>
          <w:lang w:eastAsia="zh-CN"/>
        </w:rPr>
      </w:pPr>
      <w:r>
        <w:rPr>
          <w:rFonts w:hint="default" w:ascii="宋体" w:hAnsi="宋体"/>
          <w:color w:val="auto"/>
          <w:sz w:val="24"/>
          <w:szCs w:val="24"/>
          <w:highlight w:val="none"/>
        </w:rPr>
        <w:t xml:space="preserve">    </w:t>
      </w:r>
      <w:r>
        <w:rPr>
          <w:rFonts w:hint="eastAsia" w:ascii="宋体" w:hAnsi="宋体" w:eastAsia="宋体"/>
          <w:color w:val="auto"/>
          <w:sz w:val="24"/>
          <w:szCs w:val="24"/>
          <w:highlight w:val="none"/>
        </w:rPr>
        <w:t>双方同意凡与本合同有关的通知及文件资料的送达，可以采用直接送达、或以EMS快递或电子邮件发送至本合同签字页载明的联系地址或电子信箱，双方指定联系人及联系方式与2</w:t>
      </w:r>
      <w:r>
        <w:rPr>
          <w:rFonts w:ascii="宋体" w:hAnsi="宋体" w:eastAsia="宋体"/>
          <w:color w:val="auto"/>
          <w:sz w:val="24"/>
          <w:szCs w:val="24"/>
          <w:highlight w:val="none"/>
        </w:rPr>
        <w:t>.1.3</w:t>
      </w:r>
      <w:r>
        <w:rPr>
          <w:rFonts w:hint="eastAsia" w:ascii="宋体" w:hAnsi="宋体" w:eastAsia="宋体"/>
          <w:color w:val="auto"/>
          <w:sz w:val="24"/>
          <w:szCs w:val="24"/>
          <w:highlight w:val="none"/>
        </w:rPr>
        <w:t>条所列一致。直接送达的以签收之日为送达日，以EMS快递通知的，以发往本合同签字页载明的联系地址之日视为送达，不论是否签收；以电子邮件通知的，以发生时间为送达时间。如同时采取多种方式发送通知的，以通知最先到达之日为送达日。电子邮箱、通讯地址、联系人等信息发生变更的，变更方应在变更前三天以书面形式告知对方；未告知的，视为未变更，由此导致通知及文件资料等不能送达或不能及时送达的后果由变更方自行承担。</w:t>
      </w:r>
    </w:p>
    <w:p>
      <w:pPr>
        <w:adjustRightInd w:val="0"/>
        <w:snapToGrid w:val="0"/>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双方指定的送达地址适用于合同履行、非诉方式争议解决、诉讼（含一审、二审、再审）及执行等程序。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上述送达具备《中华人民共和国民事诉讼法》规定送达效力，各方放弃提出异议、抗辩未依法送达的权利，产生的后果由各方自行承担。</w:t>
      </w:r>
    </w:p>
    <w:p>
      <w:pPr>
        <w:adjustRightInd w:val="0"/>
        <w:snapToGrid w:val="0"/>
        <w:spacing w:line="360" w:lineRule="auto"/>
        <w:rPr>
          <w:rFonts w:ascii="宋体" w:hAnsi="宋体" w:eastAsia="宋体"/>
          <w:color w:val="auto"/>
          <w:sz w:val="24"/>
          <w:szCs w:val="24"/>
          <w:highlight w:val="none"/>
        </w:rPr>
      </w:pPr>
      <w:r>
        <w:rPr>
          <w:rFonts w:hint="eastAsia" w:ascii="宋体" w:hAnsi="宋体" w:eastAsia="宋体"/>
          <w:b/>
          <w:bCs/>
          <w:color w:val="auto"/>
          <w:sz w:val="24"/>
          <w:szCs w:val="24"/>
          <w:highlight w:val="none"/>
        </w:rPr>
        <w:t>12、合同纠纷处理方式</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因本合同或与本合同有关的一切事项发生争议，由双方友好协商解决。协商不成的，任何一方均可向买方所在地人民法院提起诉讼。</w:t>
      </w:r>
    </w:p>
    <w:p>
      <w:pPr>
        <w:adjustRightInd w:val="0"/>
        <w:snapToGrid w:val="0"/>
        <w:spacing w:line="360" w:lineRule="auto"/>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13、其他约定</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13.1本采购项目的</w:t>
      </w:r>
      <w:sdt>
        <w:sdtPr>
          <w:rPr>
            <w:rFonts w:hint="eastAsia" w:ascii="宋体" w:hAnsi="宋体" w:eastAsia="宋体" w:cstheme="minorBidi"/>
            <w:color w:val="auto"/>
            <w:kern w:val="2"/>
            <w:sz w:val="24"/>
            <w:szCs w:val="24"/>
            <w:highlight w:val="none"/>
            <w:lang w:val="en-US" w:eastAsia="zh-CN" w:bidi="ar-SA"/>
          </w:rPr>
          <w:id w:val="147462549"/>
          <w:placeholder>
            <w:docPart w:val="{c98d0f19-8f95-4473-9902-59d75b193e76}"/>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谈判文件、卖方的投标文件、相关的澄清确认函（如果有的话）以及附件1《技术参数》、附件2《服务考核细则》、附件3《</w:t>
          </w:r>
          <w:r>
            <w:rPr>
              <w:rFonts w:hint="eastAsia" w:ascii="宋体" w:hAnsi="宋体" w:eastAsia="宋体" w:cs="宋体"/>
              <w:color w:val="auto"/>
              <w:sz w:val="24"/>
              <w:szCs w:val="24"/>
              <w:highlight w:val="none"/>
            </w:rPr>
            <w:t>安装费用收费标准</w:t>
          </w:r>
          <w:r>
            <w:rPr>
              <w:rFonts w:hint="eastAsia" w:ascii="宋体" w:hAnsi="宋体" w:eastAsia="宋体"/>
              <w:color w:val="auto"/>
              <w:sz w:val="24"/>
              <w:szCs w:val="24"/>
              <w:highlight w:val="none"/>
            </w:rPr>
            <w:t>》</w:t>
          </w:r>
        </w:sdtContent>
      </w:sdt>
      <w:r>
        <w:rPr>
          <w:rFonts w:hint="eastAsia" w:ascii="宋体" w:hAnsi="宋体" w:eastAsia="宋体"/>
          <w:color w:val="auto"/>
          <w:sz w:val="24"/>
          <w:szCs w:val="24"/>
          <w:highlight w:val="none"/>
        </w:rPr>
        <w:t>及其他附件均为本合同不可分割的一部分，该等文件与本合同正文约定不一致的，以对买方更有利的约定为准。</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13.2本合同未尽事宜，双方另行补充。</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13.3本合同一式</w:t>
      </w:r>
      <w:sdt>
        <w:sdtPr>
          <w:rPr>
            <w:rFonts w:hint="eastAsia" w:ascii="宋体" w:hAnsi="宋体" w:eastAsia="宋体" w:cstheme="minorBidi"/>
            <w:color w:val="auto"/>
            <w:kern w:val="2"/>
            <w:sz w:val="24"/>
            <w:szCs w:val="24"/>
            <w:highlight w:val="none"/>
            <w:lang w:val="en-US" w:eastAsia="zh-CN" w:bidi="ar-SA"/>
          </w:rPr>
          <w:id w:val="147462468"/>
          <w:placeholder>
            <w:docPart w:val="{84d06fe7-dfd4-425c-9c4b-c6e995334813}"/>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伍</w:t>
          </w:r>
        </w:sdtContent>
      </w:sdt>
      <w:r>
        <w:rPr>
          <w:rFonts w:hint="eastAsia" w:ascii="宋体" w:hAnsi="宋体" w:eastAsia="宋体"/>
          <w:color w:val="auto"/>
          <w:sz w:val="24"/>
          <w:szCs w:val="24"/>
          <w:highlight w:val="none"/>
        </w:rPr>
        <w:t>份，经双方签订之日起生效。买方、卖方各执</w:t>
      </w:r>
      <w:sdt>
        <w:sdtPr>
          <w:rPr>
            <w:rFonts w:hint="eastAsia" w:ascii="宋体" w:hAnsi="宋体" w:eastAsia="宋体" w:cstheme="minorBidi"/>
            <w:color w:val="auto"/>
            <w:kern w:val="2"/>
            <w:sz w:val="24"/>
            <w:szCs w:val="24"/>
            <w:highlight w:val="none"/>
            <w:lang w:val="en-US" w:eastAsia="zh-CN" w:bidi="ar-SA"/>
          </w:rPr>
          <w:id w:val="147460394"/>
          <w:placeholder>
            <w:docPart w:val="{f4e439dd-7e59-4a99-8ada-8579d0bab491}"/>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贰</w:t>
          </w:r>
        </w:sdtContent>
      </w:sdt>
      <w:r>
        <w:rPr>
          <w:rFonts w:hint="eastAsia" w:ascii="宋体" w:hAnsi="宋体" w:eastAsia="宋体"/>
          <w:color w:val="auto"/>
          <w:sz w:val="24"/>
          <w:szCs w:val="24"/>
          <w:highlight w:val="none"/>
        </w:rPr>
        <w:t>份，送厦门市财政局政府采购监管处备案一份，具有同等效力。</w:t>
      </w:r>
    </w:p>
    <w:p>
      <w:pPr>
        <w:adjustRightInd w:val="0"/>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13.4本合同期满后，本合同中有关质量保证、售后服务、知识产权及违约责任等条款继续保持有效。</w:t>
      </w:r>
    </w:p>
    <w:sdt>
      <w:sdtPr>
        <w:rPr>
          <w:rFonts w:hint="eastAsia" w:ascii="宋体" w:hAnsi="宋体" w:eastAsia="宋体" w:cstheme="minorBidi"/>
          <w:color w:val="auto"/>
          <w:kern w:val="2"/>
          <w:sz w:val="24"/>
          <w:szCs w:val="24"/>
          <w:highlight w:val="none"/>
          <w:lang w:val="en-US" w:eastAsia="zh-CN" w:bidi="ar-SA"/>
        </w:rPr>
        <w:id w:val="147460316"/>
        <w:placeholder>
          <w:docPart w:val="{3285d88d-3250-4109-9a41-ebfc4f746d1d}"/>
        </w:placeholder>
      </w:sdtPr>
      <w:sdtEndPr>
        <w:rPr>
          <w:rFonts w:hint="eastAsia" w:ascii="宋体" w:hAnsi="宋体" w:eastAsia="宋体" w:cstheme="minorBidi"/>
          <w:color w:val="auto"/>
          <w:kern w:val="2"/>
          <w:sz w:val="24"/>
          <w:szCs w:val="24"/>
          <w:highlight w:val="none"/>
          <w:lang w:val="en-US" w:eastAsia="zh-CN" w:bidi="ar-SA"/>
        </w:rPr>
      </w:sdtEndPr>
      <w:sdtContent>
        <w:p>
          <w:pPr>
            <w:adjustRightInd w:val="0"/>
            <w:snapToGrid w:val="0"/>
            <w:spacing w:line="360" w:lineRule="auto"/>
            <w:ind w:firstLine="480" w:firstLineChars="200"/>
            <w:rPr>
              <w:rFonts w:hint="eastAsia" w:ascii="宋体" w:hAnsi="宋体" w:eastAsia="宋体"/>
              <w:color w:val="auto"/>
              <w:sz w:val="24"/>
              <w:szCs w:val="24"/>
              <w:highlight w:val="none"/>
            </w:rPr>
          </w:pPr>
          <w:r>
            <w:rPr>
              <w:rFonts w:hint="default" w:ascii="宋体" w:hAnsi="宋体" w:cstheme="minorBidi"/>
              <w:color w:val="auto"/>
              <w:kern w:val="2"/>
              <w:sz w:val="24"/>
              <w:szCs w:val="24"/>
              <w:highlight w:val="none"/>
              <w:lang w:eastAsia="zh-CN" w:bidi="ar-SA"/>
            </w:rPr>
            <w:t xml:space="preserve"> </w:t>
          </w:r>
        </w:p>
      </w:sdtContent>
    </w:sdt>
    <w:p>
      <w:pPr>
        <w:spacing w:line="360" w:lineRule="auto"/>
        <w:ind w:firstLine="480" w:firstLineChars="200"/>
        <w:rPr>
          <w:rFonts w:ascii="宋体" w:hAnsi="宋体" w:eastAsia="宋体"/>
          <w:color w:val="auto"/>
          <w:sz w:val="24"/>
          <w:szCs w:val="24"/>
          <w:highlight w:val="none"/>
        </w:rPr>
      </w:pPr>
    </w:p>
    <w:tbl>
      <w:tblPr>
        <w:tblStyle w:val="14"/>
        <w:tblW w:w="9348" w:type="dxa"/>
        <w:jc w:val="center"/>
        <w:tblLayout w:type="fixed"/>
        <w:tblCellMar>
          <w:top w:w="0" w:type="dxa"/>
          <w:left w:w="108" w:type="dxa"/>
          <w:bottom w:w="0" w:type="dxa"/>
          <w:right w:w="108" w:type="dxa"/>
        </w:tblCellMar>
      </w:tblPr>
      <w:tblGrid>
        <w:gridCol w:w="1442"/>
        <w:gridCol w:w="3121"/>
        <w:gridCol w:w="1486"/>
        <w:gridCol w:w="3299"/>
      </w:tblGrid>
      <w:tr>
        <w:tblPrEx>
          <w:tblCellMar>
            <w:top w:w="0" w:type="dxa"/>
            <w:left w:w="108" w:type="dxa"/>
            <w:bottom w:w="0" w:type="dxa"/>
            <w:right w:w="108" w:type="dxa"/>
          </w:tblCellMar>
        </w:tblPrEx>
        <w:trPr>
          <w:trHeight w:val="438" w:hRule="atLeast"/>
          <w:jc w:val="center"/>
        </w:trPr>
        <w:tc>
          <w:tcPr>
            <w:tcW w:w="1442" w:type="dxa"/>
            <w:tcBorders>
              <w:top w:val="single" w:color="auto" w:sz="4" w:space="0"/>
              <w:left w:val="single" w:color="auto" w:sz="4" w:space="0"/>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b/>
                <w:bCs/>
                <w:color w:val="auto"/>
                <w:sz w:val="24"/>
                <w:szCs w:val="24"/>
                <w:highlight w:val="none"/>
              </w:rPr>
              <w:t>买   方</w:t>
            </w:r>
          </w:p>
        </w:tc>
        <w:tc>
          <w:tcPr>
            <w:tcW w:w="3121" w:type="dxa"/>
            <w:tcBorders>
              <w:top w:val="single" w:color="auto" w:sz="4" w:space="0"/>
              <w:left w:val="nil"/>
              <w:bottom w:val="single" w:color="auto" w:sz="4" w:space="0"/>
              <w:right w:val="single" w:color="auto" w:sz="4" w:space="0"/>
            </w:tcBorders>
            <w:vAlign w:val="center"/>
          </w:tcPr>
          <w:p>
            <w:pPr>
              <w:pStyle w:val="8"/>
              <w:keepNext w:val="0"/>
              <w:keepLines w:val="0"/>
              <w:suppressLineNumbers w:val="0"/>
              <w:spacing w:before="0" w:beforeAutospacing="0" w:after="0" w:afterAutospacing="0"/>
              <w:ind w:left="0" w:right="0"/>
              <w:rPr>
                <w:rFonts w:hint="default" w:ascii="宋体" w:hAnsi="宋体" w:eastAsia="宋体"/>
                <w:color w:val="auto"/>
                <w:kern w:val="0"/>
                <w:sz w:val="24"/>
                <w:highlight w:val="none"/>
              </w:rPr>
            </w:pPr>
            <w:bookmarkStart w:id="18" w:name="jf1"/>
            <w:bookmarkEnd w:id="18"/>
          </w:p>
        </w:tc>
        <w:tc>
          <w:tcPr>
            <w:tcW w:w="1486" w:type="dxa"/>
            <w:tcBorders>
              <w:top w:val="single" w:color="auto" w:sz="4" w:space="0"/>
              <w:left w:val="nil"/>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b/>
                <w:bCs/>
                <w:color w:val="auto"/>
                <w:sz w:val="24"/>
                <w:szCs w:val="24"/>
                <w:highlight w:val="none"/>
              </w:rPr>
              <w:t>卖   方</w:t>
            </w:r>
          </w:p>
        </w:tc>
        <w:tc>
          <w:tcPr>
            <w:tcW w:w="3299" w:type="dxa"/>
            <w:tcBorders>
              <w:top w:val="single" w:color="auto" w:sz="4" w:space="0"/>
              <w:left w:val="nil"/>
              <w:bottom w:val="single" w:color="auto" w:sz="4" w:space="0"/>
              <w:right w:val="single" w:color="auto" w:sz="4" w:space="0"/>
            </w:tcBorders>
            <w:vAlign w:val="center"/>
          </w:tcPr>
          <w:p>
            <w:pPr>
              <w:pStyle w:val="8"/>
              <w:keepNext w:val="0"/>
              <w:keepLines w:val="0"/>
              <w:suppressLineNumbers w:val="0"/>
              <w:spacing w:before="0" w:beforeAutospacing="0" w:after="0" w:afterAutospacing="0"/>
              <w:ind w:left="0" w:right="0"/>
              <w:rPr>
                <w:rFonts w:hint="default" w:ascii="宋体" w:hAnsi="宋体" w:eastAsia="宋体"/>
                <w:color w:val="auto"/>
                <w:kern w:val="0"/>
                <w:sz w:val="24"/>
                <w:highlight w:val="none"/>
              </w:rPr>
            </w:pPr>
            <w:bookmarkStart w:id="19" w:name="yf2"/>
            <w:bookmarkEnd w:id="19"/>
          </w:p>
        </w:tc>
      </w:tr>
      <w:tr>
        <w:tblPrEx>
          <w:tblCellMar>
            <w:top w:w="0" w:type="dxa"/>
            <w:left w:w="108" w:type="dxa"/>
            <w:bottom w:w="0" w:type="dxa"/>
            <w:right w:w="108" w:type="dxa"/>
          </w:tblCellMar>
        </w:tblPrEx>
        <w:trPr>
          <w:trHeight w:val="585" w:hRule="atLeast"/>
          <w:jc w:val="center"/>
        </w:trPr>
        <w:tc>
          <w:tcPr>
            <w:tcW w:w="1442" w:type="dxa"/>
            <w:tcBorders>
              <w:top w:val="single" w:color="auto" w:sz="4" w:space="0"/>
              <w:left w:val="single" w:color="auto" w:sz="4" w:space="0"/>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b/>
                <w:bCs/>
                <w:color w:val="auto"/>
                <w:sz w:val="24"/>
                <w:szCs w:val="24"/>
                <w:highlight w:val="none"/>
              </w:rPr>
              <w:t>单位地址</w:t>
            </w:r>
          </w:p>
        </w:tc>
        <w:tc>
          <w:tcPr>
            <w:tcW w:w="3121" w:type="dxa"/>
            <w:tcBorders>
              <w:top w:val="single" w:color="auto" w:sz="4" w:space="0"/>
              <w:left w:val="nil"/>
              <w:bottom w:val="single" w:color="auto" w:sz="4" w:space="0"/>
              <w:right w:val="single" w:color="auto" w:sz="4" w:space="0"/>
            </w:tcBorders>
            <w:vAlign w:val="center"/>
          </w:tcPr>
          <w:p>
            <w:pPr>
              <w:pStyle w:val="8"/>
              <w:keepNext w:val="0"/>
              <w:keepLines w:val="0"/>
              <w:suppressLineNumbers w:val="0"/>
              <w:spacing w:before="0" w:beforeAutospacing="0" w:after="0" w:afterAutospacing="0"/>
              <w:ind w:left="0" w:right="0"/>
              <w:rPr>
                <w:rFonts w:hint="default" w:ascii="宋体" w:hAnsi="宋体" w:eastAsia="宋体"/>
                <w:color w:val="auto"/>
                <w:kern w:val="0"/>
                <w:sz w:val="24"/>
                <w:highlight w:val="none"/>
              </w:rPr>
            </w:pPr>
            <w:bookmarkStart w:id="20" w:name="jfzcdz"/>
            <w:bookmarkEnd w:id="20"/>
          </w:p>
        </w:tc>
        <w:tc>
          <w:tcPr>
            <w:tcW w:w="1486" w:type="dxa"/>
            <w:tcBorders>
              <w:top w:val="single" w:color="auto" w:sz="4" w:space="0"/>
              <w:left w:val="nil"/>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b/>
                <w:bCs/>
                <w:color w:val="auto"/>
                <w:sz w:val="24"/>
                <w:szCs w:val="24"/>
                <w:highlight w:val="none"/>
              </w:rPr>
              <w:t>单位地址</w:t>
            </w:r>
          </w:p>
        </w:tc>
        <w:tc>
          <w:tcPr>
            <w:tcW w:w="3299" w:type="dxa"/>
            <w:tcBorders>
              <w:top w:val="single" w:color="auto" w:sz="4" w:space="0"/>
              <w:left w:val="nil"/>
              <w:bottom w:val="single" w:color="auto" w:sz="4" w:space="0"/>
              <w:right w:val="single" w:color="auto" w:sz="4" w:space="0"/>
            </w:tcBorders>
            <w:vAlign w:val="center"/>
          </w:tcPr>
          <w:p>
            <w:pPr>
              <w:pStyle w:val="8"/>
              <w:keepNext w:val="0"/>
              <w:keepLines w:val="0"/>
              <w:suppressLineNumbers w:val="0"/>
              <w:spacing w:before="0" w:beforeAutospacing="0" w:after="0" w:afterAutospacing="0"/>
              <w:ind w:left="0" w:right="0"/>
              <w:rPr>
                <w:rFonts w:hint="default" w:ascii="宋体" w:hAnsi="宋体" w:eastAsia="宋体"/>
                <w:color w:val="auto"/>
                <w:kern w:val="0"/>
                <w:sz w:val="24"/>
                <w:highlight w:val="none"/>
              </w:rPr>
            </w:pPr>
            <w:bookmarkStart w:id="21" w:name="yfzcdz"/>
            <w:bookmarkEnd w:id="21"/>
          </w:p>
        </w:tc>
      </w:tr>
      <w:tr>
        <w:tblPrEx>
          <w:tblCellMar>
            <w:top w:w="0" w:type="dxa"/>
            <w:left w:w="108" w:type="dxa"/>
            <w:bottom w:w="0" w:type="dxa"/>
            <w:right w:w="108" w:type="dxa"/>
          </w:tblCellMar>
        </w:tblPrEx>
        <w:trPr>
          <w:trHeight w:val="499" w:hRule="atLeast"/>
          <w:jc w:val="center"/>
        </w:trPr>
        <w:tc>
          <w:tcPr>
            <w:tcW w:w="1442" w:type="dxa"/>
            <w:tcBorders>
              <w:top w:val="single" w:color="auto" w:sz="4" w:space="0"/>
              <w:left w:val="single" w:color="auto" w:sz="4" w:space="0"/>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b/>
                <w:bCs/>
                <w:color w:val="auto"/>
                <w:sz w:val="24"/>
                <w:szCs w:val="24"/>
                <w:highlight w:val="none"/>
              </w:rPr>
            </w:pPr>
            <w:r>
              <w:rPr>
                <w:rFonts w:hint="eastAsia" w:ascii="宋体" w:hAnsi="宋体" w:eastAsia="宋体"/>
                <w:b/>
                <w:bCs/>
                <w:color w:val="auto"/>
                <w:sz w:val="24"/>
                <w:szCs w:val="24"/>
                <w:highlight w:val="none"/>
              </w:rPr>
              <w:t>法定代表人</w:t>
            </w:r>
          </w:p>
        </w:tc>
        <w:tc>
          <w:tcPr>
            <w:tcW w:w="3121" w:type="dxa"/>
            <w:tcBorders>
              <w:top w:val="single" w:color="auto" w:sz="4" w:space="0"/>
              <w:left w:val="nil"/>
              <w:bottom w:val="single" w:color="auto" w:sz="4" w:space="0"/>
              <w:right w:val="single" w:color="auto" w:sz="4" w:space="0"/>
            </w:tcBorders>
            <w:vAlign w:val="center"/>
          </w:tcPr>
          <w:p>
            <w:pPr>
              <w:pStyle w:val="8"/>
              <w:keepNext w:val="0"/>
              <w:keepLines w:val="0"/>
              <w:suppressLineNumbers w:val="0"/>
              <w:spacing w:before="0" w:beforeAutospacing="0" w:after="0" w:afterAutospacing="0"/>
              <w:ind w:left="0" w:right="0"/>
              <w:rPr>
                <w:rFonts w:hint="default" w:ascii="宋体" w:hAnsi="宋体" w:eastAsia="宋体"/>
                <w:color w:val="auto"/>
                <w:kern w:val="0"/>
                <w:sz w:val="24"/>
                <w:highlight w:val="none"/>
              </w:rPr>
            </w:pPr>
            <w:bookmarkStart w:id="22" w:name="jffddbr"/>
            <w:bookmarkEnd w:id="22"/>
          </w:p>
        </w:tc>
        <w:tc>
          <w:tcPr>
            <w:tcW w:w="1486" w:type="dxa"/>
            <w:tcBorders>
              <w:top w:val="single" w:color="auto" w:sz="4" w:space="0"/>
              <w:left w:val="nil"/>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b/>
                <w:bCs/>
                <w:color w:val="auto"/>
                <w:sz w:val="24"/>
                <w:szCs w:val="24"/>
                <w:highlight w:val="none"/>
              </w:rPr>
            </w:pPr>
            <w:r>
              <w:rPr>
                <w:rFonts w:hint="eastAsia" w:ascii="宋体" w:hAnsi="宋体" w:eastAsia="宋体"/>
                <w:b/>
                <w:bCs/>
                <w:color w:val="auto"/>
                <w:sz w:val="24"/>
                <w:szCs w:val="24"/>
                <w:highlight w:val="none"/>
              </w:rPr>
              <w:t>法定代表人</w:t>
            </w:r>
          </w:p>
        </w:tc>
        <w:tc>
          <w:tcPr>
            <w:tcW w:w="3299" w:type="dxa"/>
            <w:tcBorders>
              <w:top w:val="single" w:color="auto" w:sz="4" w:space="0"/>
              <w:left w:val="nil"/>
              <w:bottom w:val="single" w:color="auto" w:sz="4" w:space="0"/>
              <w:right w:val="single" w:color="auto" w:sz="4" w:space="0"/>
            </w:tcBorders>
            <w:vAlign w:val="center"/>
          </w:tcPr>
          <w:p>
            <w:pPr>
              <w:pStyle w:val="8"/>
              <w:keepNext w:val="0"/>
              <w:keepLines w:val="0"/>
              <w:suppressLineNumbers w:val="0"/>
              <w:spacing w:before="0" w:beforeAutospacing="0" w:after="0" w:afterAutospacing="0"/>
              <w:ind w:left="0" w:right="0"/>
              <w:rPr>
                <w:rFonts w:hint="default" w:ascii="宋体" w:hAnsi="宋体" w:eastAsia="宋体"/>
                <w:color w:val="auto"/>
                <w:kern w:val="0"/>
                <w:sz w:val="24"/>
                <w:highlight w:val="none"/>
              </w:rPr>
            </w:pPr>
            <w:bookmarkStart w:id="23" w:name="yffddbr"/>
            <w:bookmarkEnd w:id="23"/>
          </w:p>
        </w:tc>
      </w:tr>
      <w:tr>
        <w:tblPrEx>
          <w:tblCellMar>
            <w:top w:w="0" w:type="dxa"/>
            <w:left w:w="108" w:type="dxa"/>
            <w:bottom w:w="0" w:type="dxa"/>
            <w:right w:w="108" w:type="dxa"/>
          </w:tblCellMar>
        </w:tblPrEx>
        <w:trPr>
          <w:trHeight w:val="542" w:hRule="atLeast"/>
          <w:jc w:val="center"/>
        </w:trPr>
        <w:tc>
          <w:tcPr>
            <w:tcW w:w="1442" w:type="dxa"/>
            <w:tcBorders>
              <w:top w:val="single" w:color="auto" w:sz="4" w:space="0"/>
              <w:left w:val="single" w:color="auto" w:sz="4" w:space="0"/>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b/>
                <w:bCs/>
                <w:color w:val="auto"/>
                <w:sz w:val="24"/>
                <w:szCs w:val="24"/>
                <w:highlight w:val="none"/>
              </w:rPr>
              <w:t>签字代表</w:t>
            </w:r>
          </w:p>
        </w:tc>
        <w:tc>
          <w:tcPr>
            <w:tcW w:w="3121" w:type="dxa"/>
            <w:tcBorders>
              <w:top w:val="single" w:color="auto" w:sz="4" w:space="0"/>
              <w:left w:val="nil"/>
              <w:bottom w:val="single" w:color="auto" w:sz="4" w:space="0"/>
              <w:right w:val="single" w:color="auto" w:sz="4" w:space="0"/>
            </w:tcBorders>
            <w:vAlign w:val="center"/>
          </w:tcPr>
          <w:p>
            <w:pPr>
              <w:pStyle w:val="8"/>
              <w:keepNext w:val="0"/>
              <w:keepLines w:val="0"/>
              <w:suppressLineNumbers w:val="0"/>
              <w:spacing w:before="0" w:beforeAutospacing="0" w:after="0" w:afterAutospacing="0"/>
              <w:ind w:left="0" w:right="0"/>
              <w:rPr>
                <w:rFonts w:hint="default" w:ascii="宋体" w:hAnsi="宋体" w:eastAsia="宋体"/>
                <w:color w:val="auto"/>
                <w:kern w:val="0"/>
                <w:sz w:val="24"/>
                <w:highlight w:val="none"/>
              </w:rPr>
            </w:pPr>
          </w:p>
        </w:tc>
        <w:tc>
          <w:tcPr>
            <w:tcW w:w="1486" w:type="dxa"/>
            <w:tcBorders>
              <w:top w:val="single" w:color="auto" w:sz="4" w:space="0"/>
              <w:left w:val="nil"/>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b/>
                <w:bCs/>
                <w:color w:val="auto"/>
                <w:sz w:val="24"/>
                <w:szCs w:val="24"/>
                <w:highlight w:val="none"/>
              </w:rPr>
              <w:t>签字代表</w:t>
            </w:r>
          </w:p>
        </w:tc>
        <w:tc>
          <w:tcPr>
            <w:tcW w:w="3299" w:type="dxa"/>
            <w:tcBorders>
              <w:top w:val="single" w:color="auto" w:sz="4" w:space="0"/>
              <w:left w:val="nil"/>
              <w:bottom w:val="single" w:color="auto" w:sz="4" w:space="0"/>
              <w:right w:val="single" w:color="auto" w:sz="4" w:space="0"/>
            </w:tcBorders>
            <w:vAlign w:val="center"/>
          </w:tcPr>
          <w:p>
            <w:pPr>
              <w:pStyle w:val="8"/>
              <w:keepNext w:val="0"/>
              <w:keepLines w:val="0"/>
              <w:suppressLineNumbers w:val="0"/>
              <w:spacing w:before="0" w:beforeAutospacing="0" w:after="0" w:afterAutospacing="0"/>
              <w:ind w:left="0" w:right="0"/>
              <w:rPr>
                <w:rFonts w:hint="default" w:ascii="宋体" w:hAnsi="宋体" w:eastAsia="宋体"/>
                <w:color w:val="auto"/>
                <w:kern w:val="0"/>
                <w:sz w:val="24"/>
                <w:highlight w:val="none"/>
              </w:rPr>
            </w:pPr>
          </w:p>
        </w:tc>
      </w:tr>
      <w:tr>
        <w:tblPrEx>
          <w:tblCellMar>
            <w:top w:w="0" w:type="dxa"/>
            <w:left w:w="108" w:type="dxa"/>
            <w:bottom w:w="0" w:type="dxa"/>
            <w:right w:w="108" w:type="dxa"/>
          </w:tblCellMar>
        </w:tblPrEx>
        <w:trPr>
          <w:trHeight w:val="327" w:hRule="atLeast"/>
          <w:jc w:val="center"/>
        </w:trPr>
        <w:tc>
          <w:tcPr>
            <w:tcW w:w="1442" w:type="dxa"/>
            <w:tcBorders>
              <w:top w:val="single" w:color="auto" w:sz="4" w:space="0"/>
              <w:left w:val="single" w:color="auto" w:sz="4" w:space="0"/>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b/>
                <w:bCs/>
                <w:color w:val="auto"/>
                <w:sz w:val="24"/>
                <w:szCs w:val="24"/>
                <w:highlight w:val="none"/>
              </w:rPr>
              <w:t>电    话</w:t>
            </w:r>
          </w:p>
        </w:tc>
        <w:tc>
          <w:tcPr>
            <w:tcW w:w="3121" w:type="dxa"/>
            <w:tcBorders>
              <w:top w:val="single" w:color="auto" w:sz="4" w:space="0"/>
              <w:left w:val="nil"/>
              <w:bottom w:val="single" w:color="auto" w:sz="4" w:space="0"/>
              <w:right w:val="single" w:color="auto" w:sz="4" w:space="0"/>
            </w:tcBorders>
            <w:vAlign w:val="center"/>
          </w:tcPr>
          <w:p>
            <w:pPr>
              <w:pStyle w:val="8"/>
              <w:keepNext w:val="0"/>
              <w:keepLines w:val="0"/>
              <w:suppressLineNumbers w:val="0"/>
              <w:spacing w:before="0" w:beforeAutospacing="0" w:after="0" w:afterAutospacing="0"/>
              <w:ind w:left="0" w:right="0"/>
              <w:rPr>
                <w:rFonts w:hint="default" w:ascii="宋体" w:hAnsi="宋体" w:eastAsia="宋体"/>
                <w:color w:val="auto"/>
                <w:kern w:val="0"/>
                <w:sz w:val="24"/>
                <w:highlight w:val="none"/>
              </w:rPr>
            </w:pPr>
            <w:bookmarkStart w:id="24" w:name="jflxdh"/>
            <w:bookmarkEnd w:id="24"/>
          </w:p>
        </w:tc>
        <w:tc>
          <w:tcPr>
            <w:tcW w:w="1486" w:type="dxa"/>
            <w:tcBorders>
              <w:top w:val="single" w:color="auto" w:sz="4" w:space="0"/>
              <w:left w:val="nil"/>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b/>
                <w:bCs/>
                <w:color w:val="auto"/>
                <w:sz w:val="24"/>
                <w:szCs w:val="24"/>
                <w:highlight w:val="none"/>
              </w:rPr>
              <w:t>电   话</w:t>
            </w:r>
          </w:p>
        </w:tc>
        <w:tc>
          <w:tcPr>
            <w:tcW w:w="3299" w:type="dxa"/>
            <w:tcBorders>
              <w:top w:val="single" w:color="auto" w:sz="4" w:space="0"/>
              <w:left w:val="nil"/>
              <w:bottom w:val="single" w:color="auto" w:sz="4" w:space="0"/>
              <w:right w:val="single" w:color="auto" w:sz="4" w:space="0"/>
            </w:tcBorders>
            <w:vAlign w:val="center"/>
          </w:tcPr>
          <w:p>
            <w:pPr>
              <w:pStyle w:val="8"/>
              <w:keepNext w:val="0"/>
              <w:keepLines w:val="0"/>
              <w:suppressLineNumbers w:val="0"/>
              <w:spacing w:before="0" w:beforeAutospacing="0" w:after="0" w:afterAutospacing="0"/>
              <w:ind w:left="0" w:right="0"/>
              <w:rPr>
                <w:rFonts w:hint="default" w:ascii="宋体" w:hAnsi="宋体" w:eastAsia="宋体"/>
                <w:color w:val="auto"/>
                <w:kern w:val="0"/>
                <w:sz w:val="24"/>
                <w:highlight w:val="none"/>
              </w:rPr>
            </w:pPr>
            <w:bookmarkStart w:id="25" w:name="yflxdh"/>
            <w:bookmarkEnd w:id="25"/>
          </w:p>
        </w:tc>
      </w:tr>
      <w:tr>
        <w:tblPrEx>
          <w:tblCellMar>
            <w:top w:w="0" w:type="dxa"/>
            <w:left w:w="108" w:type="dxa"/>
            <w:bottom w:w="0" w:type="dxa"/>
            <w:right w:w="108" w:type="dxa"/>
          </w:tblCellMar>
        </w:tblPrEx>
        <w:trPr>
          <w:trHeight w:val="746" w:hRule="atLeast"/>
          <w:jc w:val="center"/>
        </w:trPr>
        <w:tc>
          <w:tcPr>
            <w:tcW w:w="1442" w:type="dxa"/>
            <w:tcBorders>
              <w:top w:val="single" w:color="auto" w:sz="4" w:space="0"/>
              <w:left w:val="single" w:color="auto" w:sz="4" w:space="0"/>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b/>
                <w:bCs/>
                <w:color w:val="auto"/>
                <w:sz w:val="24"/>
                <w:szCs w:val="24"/>
                <w:highlight w:val="none"/>
              </w:rPr>
            </w:pPr>
            <w:r>
              <w:rPr>
                <w:rFonts w:hint="eastAsia" w:ascii="宋体" w:hAnsi="宋体" w:eastAsia="宋体"/>
                <w:b/>
                <w:bCs/>
                <w:color w:val="auto"/>
                <w:sz w:val="24"/>
                <w:szCs w:val="24"/>
                <w:highlight w:val="none"/>
              </w:rPr>
              <w:t>开户行</w:t>
            </w:r>
          </w:p>
        </w:tc>
        <w:tc>
          <w:tcPr>
            <w:tcW w:w="3121" w:type="dxa"/>
            <w:tcBorders>
              <w:top w:val="single" w:color="auto" w:sz="4" w:space="0"/>
              <w:left w:val="nil"/>
              <w:bottom w:val="single" w:color="auto" w:sz="4" w:space="0"/>
              <w:right w:val="single" w:color="auto" w:sz="4" w:space="0"/>
            </w:tcBorders>
            <w:vAlign w:val="center"/>
          </w:tcPr>
          <w:p>
            <w:pPr>
              <w:pStyle w:val="8"/>
              <w:keepNext w:val="0"/>
              <w:keepLines w:val="0"/>
              <w:suppressLineNumbers w:val="0"/>
              <w:spacing w:before="0" w:beforeAutospacing="0" w:after="0" w:afterAutospacing="0"/>
              <w:ind w:left="0" w:right="0"/>
              <w:rPr>
                <w:rFonts w:hint="default" w:ascii="宋体" w:hAnsi="宋体" w:eastAsia="宋体"/>
                <w:color w:val="auto"/>
                <w:kern w:val="0"/>
                <w:sz w:val="24"/>
                <w:highlight w:val="none"/>
              </w:rPr>
            </w:pPr>
            <w:bookmarkStart w:id="26" w:name="jfkhh"/>
            <w:bookmarkEnd w:id="26"/>
          </w:p>
        </w:tc>
        <w:tc>
          <w:tcPr>
            <w:tcW w:w="1486" w:type="dxa"/>
            <w:tcBorders>
              <w:top w:val="single" w:color="auto" w:sz="4" w:space="0"/>
              <w:left w:val="nil"/>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b/>
                <w:bCs/>
                <w:color w:val="auto"/>
                <w:sz w:val="24"/>
                <w:szCs w:val="24"/>
                <w:highlight w:val="none"/>
              </w:rPr>
            </w:pPr>
            <w:r>
              <w:rPr>
                <w:rFonts w:hint="eastAsia" w:ascii="宋体" w:hAnsi="宋体" w:eastAsia="宋体"/>
                <w:b/>
                <w:bCs/>
                <w:color w:val="auto"/>
                <w:sz w:val="24"/>
                <w:szCs w:val="24"/>
                <w:highlight w:val="none"/>
              </w:rPr>
              <w:t>开户行</w:t>
            </w:r>
          </w:p>
        </w:tc>
        <w:tc>
          <w:tcPr>
            <w:tcW w:w="329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spacing w:before="0" w:beforeAutospacing="0" w:after="0" w:afterAutospacing="0" w:line="240" w:lineRule="atLeast"/>
              <w:ind w:left="0" w:right="0"/>
              <w:jc w:val="left"/>
              <w:rPr>
                <w:rFonts w:hint="default" w:ascii="宋体" w:hAnsi="宋体" w:eastAsia="宋体"/>
                <w:color w:val="auto"/>
                <w:kern w:val="0"/>
                <w:sz w:val="24"/>
                <w:szCs w:val="18"/>
                <w:highlight w:val="none"/>
              </w:rPr>
            </w:pPr>
            <w:bookmarkStart w:id="27" w:name="yfkhh"/>
            <w:bookmarkEnd w:id="27"/>
          </w:p>
        </w:tc>
      </w:tr>
      <w:tr>
        <w:tblPrEx>
          <w:tblCellMar>
            <w:top w:w="0" w:type="dxa"/>
            <w:left w:w="108" w:type="dxa"/>
            <w:bottom w:w="0" w:type="dxa"/>
            <w:right w:w="108" w:type="dxa"/>
          </w:tblCellMar>
        </w:tblPrEx>
        <w:trPr>
          <w:trHeight w:val="336" w:hRule="atLeast"/>
          <w:jc w:val="center"/>
        </w:trPr>
        <w:tc>
          <w:tcPr>
            <w:tcW w:w="1442" w:type="dxa"/>
            <w:tcBorders>
              <w:top w:val="single" w:color="auto" w:sz="4" w:space="0"/>
              <w:left w:val="single" w:color="auto" w:sz="4" w:space="0"/>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b/>
                <w:bCs/>
                <w:color w:val="auto"/>
                <w:sz w:val="24"/>
                <w:szCs w:val="24"/>
                <w:highlight w:val="none"/>
              </w:rPr>
            </w:pPr>
            <w:r>
              <w:rPr>
                <w:rFonts w:hint="eastAsia" w:ascii="宋体" w:hAnsi="宋体" w:eastAsia="宋体"/>
                <w:b/>
                <w:bCs/>
                <w:color w:val="auto"/>
                <w:spacing w:val="20"/>
                <w:kern w:val="0"/>
                <w:sz w:val="24"/>
                <w:szCs w:val="24"/>
                <w:highlight w:val="none"/>
              </w:rPr>
              <w:t>账  号</w:t>
            </w:r>
          </w:p>
        </w:tc>
        <w:tc>
          <w:tcPr>
            <w:tcW w:w="3121" w:type="dxa"/>
            <w:tcBorders>
              <w:top w:val="single" w:color="auto" w:sz="4" w:space="0"/>
              <w:left w:val="single" w:color="auto" w:sz="4" w:space="0"/>
              <w:bottom w:val="single" w:color="auto" w:sz="4" w:space="0"/>
              <w:right w:val="single" w:color="auto" w:sz="4" w:space="0"/>
            </w:tcBorders>
            <w:vAlign w:val="center"/>
          </w:tcPr>
          <w:p>
            <w:pPr>
              <w:pStyle w:val="8"/>
              <w:keepNext w:val="0"/>
              <w:keepLines w:val="0"/>
              <w:suppressLineNumbers w:val="0"/>
              <w:spacing w:before="0" w:beforeAutospacing="0" w:after="0" w:afterAutospacing="0"/>
              <w:ind w:left="0" w:right="0"/>
              <w:rPr>
                <w:rFonts w:hint="default" w:ascii="宋体" w:hAnsi="宋体" w:eastAsia="宋体"/>
                <w:color w:val="auto"/>
                <w:kern w:val="0"/>
                <w:sz w:val="24"/>
                <w:highlight w:val="none"/>
              </w:rPr>
            </w:pPr>
            <w:bookmarkStart w:id="28" w:name="jfzh"/>
            <w:bookmarkEnd w:id="28"/>
          </w:p>
        </w:tc>
        <w:tc>
          <w:tcPr>
            <w:tcW w:w="1486" w:type="dxa"/>
            <w:tcBorders>
              <w:top w:val="single" w:color="auto" w:sz="4" w:space="0"/>
              <w:left w:val="nil"/>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b/>
                <w:bCs/>
                <w:color w:val="auto"/>
                <w:sz w:val="24"/>
                <w:szCs w:val="24"/>
                <w:highlight w:val="none"/>
              </w:rPr>
            </w:pPr>
            <w:r>
              <w:rPr>
                <w:rFonts w:hint="eastAsia" w:ascii="宋体" w:hAnsi="宋体" w:eastAsia="宋体"/>
                <w:b/>
                <w:bCs/>
                <w:color w:val="auto"/>
                <w:spacing w:val="20"/>
                <w:kern w:val="0"/>
                <w:sz w:val="24"/>
                <w:szCs w:val="24"/>
                <w:highlight w:val="none"/>
              </w:rPr>
              <w:t>账  号</w:t>
            </w:r>
          </w:p>
        </w:tc>
        <w:tc>
          <w:tcPr>
            <w:tcW w:w="329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spacing w:before="0" w:beforeAutospacing="0" w:after="0" w:afterAutospacing="0" w:line="360" w:lineRule="auto"/>
              <w:ind w:left="0" w:right="0"/>
              <w:jc w:val="left"/>
              <w:rPr>
                <w:rFonts w:hint="default" w:ascii="宋体" w:hAnsi="宋体" w:eastAsia="宋体"/>
                <w:color w:val="auto"/>
                <w:kern w:val="0"/>
                <w:sz w:val="24"/>
                <w:szCs w:val="18"/>
                <w:highlight w:val="none"/>
              </w:rPr>
            </w:pPr>
            <w:bookmarkStart w:id="29" w:name="yfzh"/>
            <w:bookmarkEnd w:id="29"/>
          </w:p>
        </w:tc>
      </w:tr>
      <w:tr>
        <w:tblPrEx>
          <w:tblCellMar>
            <w:top w:w="0" w:type="dxa"/>
            <w:left w:w="108" w:type="dxa"/>
            <w:bottom w:w="0" w:type="dxa"/>
            <w:right w:w="108" w:type="dxa"/>
          </w:tblCellMar>
        </w:tblPrEx>
        <w:trPr>
          <w:trHeight w:val="465" w:hRule="atLeast"/>
          <w:jc w:val="center"/>
        </w:trPr>
        <w:tc>
          <w:tcPr>
            <w:tcW w:w="1442" w:type="dxa"/>
            <w:tcBorders>
              <w:top w:val="single" w:color="auto" w:sz="4" w:space="0"/>
              <w:left w:val="single" w:color="auto" w:sz="4" w:space="0"/>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b/>
                <w:bCs/>
                <w:color w:val="auto"/>
                <w:sz w:val="24"/>
                <w:szCs w:val="24"/>
                <w:highlight w:val="none"/>
              </w:rPr>
              <w:t>签订日期</w:t>
            </w:r>
          </w:p>
        </w:tc>
        <w:tc>
          <w:tcPr>
            <w:tcW w:w="3121" w:type="dxa"/>
            <w:tcBorders>
              <w:top w:val="single" w:color="auto" w:sz="4" w:space="0"/>
              <w:left w:val="single" w:color="auto" w:sz="4" w:space="0"/>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rPr>
                <w:rFonts w:hint="default" w:ascii="宋体" w:hAnsi="宋体" w:eastAsia="宋体"/>
                <w:color w:val="auto"/>
                <w:sz w:val="24"/>
                <w:szCs w:val="24"/>
                <w:highlight w:val="none"/>
              </w:rPr>
            </w:pPr>
          </w:p>
        </w:tc>
        <w:tc>
          <w:tcPr>
            <w:tcW w:w="1486" w:type="dxa"/>
            <w:tcBorders>
              <w:top w:val="single" w:color="auto" w:sz="4" w:space="0"/>
              <w:left w:val="nil"/>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b/>
                <w:bCs/>
                <w:color w:val="auto"/>
                <w:sz w:val="24"/>
                <w:szCs w:val="24"/>
                <w:highlight w:val="none"/>
              </w:rPr>
              <w:t>签订日期</w:t>
            </w:r>
          </w:p>
        </w:tc>
        <w:tc>
          <w:tcPr>
            <w:tcW w:w="3299" w:type="dxa"/>
            <w:tcBorders>
              <w:top w:val="single" w:color="auto" w:sz="4" w:space="0"/>
              <w:left w:val="nil"/>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rPr>
                <w:rFonts w:hint="default" w:ascii="宋体" w:hAnsi="宋体" w:eastAsia="宋体"/>
                <w:color w:val="auto"/>
                <w:sz w:val="24"/>
                <w:szCs w:val="24"/>
                <w:highlight w:val="none"/>
              </w:rPr>
            </w:pPr>
          </w:p>
        </w:tc>
      </w:tr>
      <w:tr>
        <w:tblPrEx>
          <w:tblCellMar>
            <w:top w:w="0" w:type="dxa"/>
            <w:left w:w="108" w:type="dxa"/>
            <w:bottom w:w="0" w:type="dxa"/>
            <w:right w:w="108" w:type="dxa"/>
          </w:tblCellMar>
        </w:tblPrEx>
        <w:trPr>
          <w:trHeight w:val="415" w:hRule="atLeast"/>
          <w:jc w:val="center"/>
        </w:trPr>
        <w:tc>
          <w:tcPr>
            <w:tcW w:w="4563" w:type="dxa"/>
            <w:gridSpan w:val="2"/>
            <w:vMerge w:val="restart"/>
            <w:tcBorders>
              <w:top w:val="single" w:color="auto" w:sz="4" w:space="0"/>
              <w:left w:val="nil"/>
              <w:bottom w:val="nil"/>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b/>
                <w:bCs/>
                <w:color w:val="auto"/>
                <w:sz w:val="24"/>
                <w:szCs w:val="24"/>
                <w:highlight w:val="none"/>
              </w:rPr>
              <w:t>卖   方</w:t>
            </w:r>
          </w:p>
        </w:tc>
        <w:tc>
          <w:tcPr>
            <w:tcW w:w="3299" w:type="dxa"/>
            <w:tcBorders>
              <w:top w:val="single" w:color="auto" w:sz="4" w:space="0"/>
              <w:left w:val="nil"/>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rPr>
                <w:rFonts w:hint="default" w:ascii="宋体" w:hAnsi="宋体" w:eastAsia="宋体"/>
                <w:color w:val="auto"/>
                <w:sz w:val="24"/>
                <w:szCs w:val="24"/>
                <w:highlight w:val="none"/>
              </w:rPr>
            </w:pPr>
          </w:p>
        </w:tc>
      </w:tr>
      <w:tr>
        <w:tblPrEx>
          <w:tblCellMar>
            <w:top w:w="0" w:type="dxa"/>
            <w:left w:w="108" w:type="dxa"/>
            <w:bottom w:w="0" w:type="dxa"/>
            <w:right w:w="108" w:type="dxa"/>
          </w:tblCellMar>
        </w:tblPrEx>
        <w:trPr>
          <w:trHeight w:val="552" w:hRule="atLeast"/>
          <w:jc w:val="center"/>
        </w:trPr>
        <w:tc>
          <w:tcPr>
            <w:tcW w:w="4563" w:type="dxa"/>
            <w:gridSpan w:val="2"/>
            <w:vMerge w:val="continue"/>
            <w:tcBorders>
              <w:top w:val="nil"/>
              <w:left w:val="nil"/>
              <w:bottom w:val="nil"/>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b/>
                <w:bCs/>
                <w:color w:val="auto"/>
                <w:sz w:val="24"/>
                <w:szCs w:val="24"/>
                <w:highlight w:val="none"/>
              </w:rPr>
              <w:t>单位地址</w:t>
            </w:r>
          </w:p>
        </w:tc>
        <w:tc>
          <w:tcPr>
            <w:tcW w:w="3299" w:type="dxa"/>
            <w:tcBorders>
              <w:top w:val="single" w:color="auto" w:sz="4" w:space="0"/>
              <w:left w:val="nil"/>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240" w:lineRule="atLeast"/>
              <w:ind w:left="0" w:right="0"/>
              <w:rPr>
                <w:rFonts w:hint="default" w:ascii="宋体" w:hAnsi="宋体" w:eastAsia="宋体"/>
                <w:color w:val="auto"/>
                <w:sz w:val="24"/>
                <w:szCs w:val="24"/>
                <w:highlight w:val="none"/>
              </w:rPr>
            </w:pPr>
          </w:p>
        </w:tc>
      </w:tr>
      <w:tr>
        <w:tblPrEx>
          <w:tblCellMar>
            <w:top w:w="0" w:type="dxa"/>
            <w:left w:w="108" w:type="dxa"/>
            <w:bottom w:w="0" w:type="dxa"/>
            <w:right w:w="108" w:type="dxa"/>
          </w:tblCellMar>
        </w:tblPrEx>
        <w:trPr>
          <w:trHeight w:val="595" w:hRule="atLeast"/>
          <w:jc w:val="center"/>
        </w:trPr>
        <w:tc>
          <w:tcPr>
            <w:tcW w:w="4563" w:type="dxa"/>
            <w:gridSpan w:val="2"/>
            <w:vMerge w:val="continue"/>
            <w:tcBorders>
              <w:top w:val="nil"/>
              <w:left w:val="nil"/>
              <w:bottom w:val="nil"/>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b/>
                <w:bCs/>
                <w:color w:val="auto"/>
                <w:sz w:val="24"/>
                <w:szCs w:val="24"/>
                <w:highlight w:val="none"/>
              </w:rPr>
            </w:pPr>
            <w:r>
              <w:rPr>
                <w:rFonts w:hint="eastAsia" w:ascii="宋体" w:hAnsi="宋体" w:eastAsia="宋体"/>
                <w:b/>
                <w:bCs/>
                <w:color w:val="auto"/>
                <w:sz w:val="24"/>
                <w:szCs w:val="24"/>
                <w:highlight w:val="none"/>
              </w:rPr>
              <w:t>法定代表人</w:t>
            </w:r>
          </w:p>
        </w:tc>
        <w:tc>
          <w:tcPr>
            <w:tcW w:w="3299" w:type="dxa"/>
            <w:tcBorders>
              <w:top w:val="single" w:color="auto" w:sz="4" w:space="0"/>
              <w:left w:val="nil"/>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240" w:lineRule="atLeast"/>
              <w:ind w:left="0" w:right="0"/>
              <w:rPr>
                <w:rFonts w:hint="default" w:ascii="宋体" w:hAnsi="宋体" w:eastAsia="宋体"/>
                <w:color w:val="auto"/>
                <w:sz w:val="24"/>
                <w:szCs w:val="24"/>
                <w:highlight w:val="none"/>
              </w:rPr>
            </w:pPr>
          </w:p>
        </w:tc>
      </w:tr>
      <w:tr>
        <w:tblPrEx>
          <w:tblCellMar>
            <w:top w:w="0" w:type="dxa"/>
            <w:left w:w="108" w:type="dxa"/>
            <w:bottom w:w="0" w:type="dxa"/>
            <w:right w:w="108" w:type="dxa"/>
          </w:tblCellMar>
        </w:tblPrEx>
        <w:trPr>
          <w:trHeight w:val="595" w:hRule="atLeast"/>
          <w:jc w:val="center"/>
        </w:trPr>
        <w:tc>
          <w:tcPr>
            <w:tcW w:w="4563" w:type="dxa"/>
            <w:gridSpan w:val="2"/>
            <w:vMerge w:val="continue"/>
            <w:tcBorders>
              <w:top w:val="nil"/>
              <w:left w:val="nil"/>
              <w:bottom w:val="nil"/>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b/>
                <w:bCs/>
                <w:color w:val="auto"/>
                <w:sz w:val="24"/>
                <w:szCs w:val="24"/>
                <w:highlight w:val="none"/>
              </w:rPr>
              <w:t>签字代表</w:t>
            </w:r>
          </w:p>
        </w:tc>
        <w:tc>
          <w:tcPr>
            <w:tcW w:w="3299" w:type="dxa"/>
            <w:tcBorders>
              <w:top w:val="single" w:color="auto" w:sz="4" w:space="0"/>
              <w:left w:val="nil"/>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rPr>
                <w:rFonts w:hint="default" w:ascii="宋体" w:hAnsi="宋体" w:eastAsia="宋体"/>
                <w:color w:val="auto"/>
                <w:sz w:val="24"/>
                <w:szCs w:val="24"/>
                <w:highlight w:val="none"/>
              </w:rPr>
            </w:pPr>
          </w:p>
        </w:tc>
      </w:tr>
      <w:tr>
        <w:tblPrEx>
          <w:tblCellMar>
            <w:top w:w="0" w:type="dxa"/>
            <w:left w:w="108" w:type="dxa"/>
            <w:bottom w:w="0" w:type="dxa"/>
            <w:right w:w="108" w:type="dxa"/>
          </w:tblCellMar>
        </w:tblPrEx>
        <w:trPr>
          <w:trHeight w:val="595" w:hRule="atLeast"/>
          <w:jc w:val="center"/>
        </w:trPr>
        <w:tc>
          <w:tcPr>
            <w:tcW w:w="4563" w:type="dxa"/>
            <w:gridSpan w:val="2"/>
            <w:vMerge w:val="continue"/>
            <w:tcBorders>
              <w:top w:val="nil"/>
              <w:left w:val="nil"/>
              <w:bottom w:val="nil"/>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b/>
                <w:bCs/>
                <w:color w:val="auto"/>
                <w:sz w:val="24"/>
                <w:szCs w:val="24"/>
                <w:highlight w:val="none"/>
              </w:rPr>
              <w:t>电   话</w:t>
            </w:r>
          </w:p>
        </w:tc>
        <w:tc>
          <w:tcPr>
            <w:tcW w:w="3299" w:type="dxa"/>
            <w:tcBorders>
              <w:top w:val="single" w:color="auto" w:sz="4" w:space="0"/>
              <w:left w:val="nil"/>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rPr>
                <w:rFonts w:hint="default" w:ascii="宋体" w:hAnsi="宋体" w:eastAsia="宋体"/>
                <w:color w:val="auto"/>
                <w:sz w:val="24"/>
                <w:szCs w:val="24"/>
                <w:highlight w:val="none"/>
              </w:rPr>
            </w:pPr>
          </w:p>
        </w:tc>
      </w:tr>
      <w:tr>
        <w:tblPrEx>
          <w:tblCellMar>
            <w:top w:w="0" w:type="dxa"/>
            <w:left w:w="108" w:type="dxa"/>
            <w:bottom w:w="0" w:type="dxa"/>
            <w:right w:w="108" w:type="dxa"/>
          </w:tblCellMar>
        </w:tblPrEx>
        <w:trPr>
          <w:trHeight w:val="595" w:hRule="atLeast"/>
          <w:jc w:val="center"/>
        </w:trPr>
        <w:tc>
          <w:tcPr>
            <w:tcW w:w="4563" w:type="dxa"/>
            <w:gridSpan w:val="2"/>
            <w:vMerge w:val="continue"/>
            <w:tcBorders>
              <w:top w:val="nil"/>
              <w:left w:val="nil"/>
              <w:bottom w:val="nil"/>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b/>
                <w:bCs/>
                <w:color w:val="auto"/>
                <w:sz w:val="24"/>
                <w:szCs w:val="24"/>
                <w:highlight w:val="none"/>
              </w:rPr>
            </w:pPr>
            <w:r>
              <w:rPr>
                <w:rFonts w:hint="eastAsia" w:ascii="宋体" w:hAnsi="宋体" w:eastAsia="宋体"/>
                <w:b/>
                <w:bCs/>
                <w:color w:val="auto"/>
                <w:sz w:val="24"/>
                <w:szCs w:val="24"/>
                <w:highlight w:val="none"/>
              </w:rPr>
              <w:t>开户行</w:t>
            </w:r>
          </w:p>
        </w:tc>
        <w:tc>
          <w:tcPr>
            <w:tcW w:w="3299" w:type="dxa"/>
            <w:tcBorders>
              <w:top w:val="single" w:color="auto" w:sz="4" w:space="0"/>
              <w:left w:val="nil"/>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rPr>
                <w:rFonts w:hint="default" w:ascii="宋体" w:hAnsi="宋体" w:eastAsia="宋体"/>
                <w:color w:val="auto"/>
                <w:sz w:val="24"/>
                <w:szCs w:val="24"/>
                <w:highlight w:val="none"/>
              </w:rPr>
            </w:pPr>
          </w:p>
        </w:tc>
      </w:tr>
      <w:tr>
        <w:tblPrEx>
          <w:tblCellMar>
            <w:top w:w="0" w:type="dxa"/>
            <w:left w:w="108" w:type="dxa"/>
            <w:bottom w:w="0" w:type="dxa"/>
            <w:right w:w="108" w:type="dxa"/>
          </w:tblCellMar>
        </w:tblPrEx>
        <w:trPr>
          <w:trHeight w:val="595" w:hRule="atLeast"/>
          <w:jc w:val="center"/>
        </w:trPr>
        <w:tc>
          <w:tcPr>
            <w:tcW w:w="4563" w:type="dxa"/>
            <w:gridSpan w:val="2"/>
            <w:vMerge w:val="continue"/>
            <w:tcBorders>
              <w:top w:val="nil"/>
              <w:left w:val="nil"/>
              <w:bottom w:val="nil"/>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b/>
                <w:bCs/>
                <w:color w:val="auto"/>
                <w:sz w:val="24"/>
                <w:szCs w:val="24"/>
                <w:highlight w:val="none"/>
              </w:rPr>
            </w:pPr>
            <w:r>
              <w:rPr>
                <w:rFonts w:hint="eastAsia" w:ascii="宋体" w:hAnsi="宋体" w:eastAsia="宋体"/>
                <w:b/>
                <w:bCs/>
                <w:color w:val="auto"/>
                <w:spacing w:val="20"/>
                <w:kern w:val="0"/>
                <w:sz w:val="24"/>
                <w:szCs w:val="24"/>
                <w:highlight w:val="none"/>
              </w:rPr>
              <w:t>账  号</w:t>
            </w:r>
          </w:p>
        </w:tc>
        <w:tc>
          <w:tcPr>
            <w:tcW w:w="3299" w:type="dxa"/>
            <w:tcBorders>
              <w:top w:val="single" w:color="auto" w:sz="4" w:space="0"/>
              <w:left w:val="nil"/>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rPr>
                <w:rFonts w:hint="default" w:ascii="宋体" w:hAnsi="宋体" w:eastAsia="宋体"/>
                <w:color w:val="auto"/>
                <w:sz w:val="24"/>
                <w:szCs w:val="24"/>
                <w:highlight w:val="none"/>
              </w:rPr>
            </w:pPr>
          </w:p>
        </w:tc>
      </w:tr>
      <w:tr>
        <w:tblPrEx>
          <w:tblCellMar>
            <w:top w:w="0" w:type="dxa"/>
            <w:left w:w="108" w:type="dxa"/>
            <w:bottom w:w="0" w:type="dxa"/>
            <w:right w:w="108" w:type="dxa"/>
          </w:tblCellMar>
        </w:tblPrEx>
        <w:trPr>
          <w:trHeight w:val="70" w:hRule="atLeast"/>
          <w:jc w:val="center"/>
        </w:trPr>
        <w:tc>
          <w:tcPr>
            <w:tcW w:w="4563" w:type="dxa"/>
            <w:gridSpan w:val="2"/>
            <w:vMerge w:val="continue"/>
            <w:tcBorders>
              <w:top w:val="nil"/>
              <w:left w:val="nil"/>
              <w:bottom w:val="nil"/>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b/>
                <w:bCs/>
                <w:color w:val="auto"/>
                <w:sz w:val="24"/>
                <w:szCs w:val="24"/>
                <w:highlight w:val="none"/>
              </w:rPr>
              <w:t>签订日期</w:t>
            </w:r>
          </w:p>
        </w:tc>
        <w:tc>
          <w:tcPr>
            <w:tcW w:w="3299" w:type="dxa"/>
            <w:tcBorders>
              <w:top w:val="single" w:color="auto" w:sz="4" w:space="0"/>
              <w:left w:val="nil"/>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rPr>
                <w:rFonts w:hint="default" w:ascii="宋体" w:hAnsi="宋体" w:eastAsia="宋体"/>
                <w:color w:val="auto"/>
                <w:sz w:val="24"/>
                <w:szCs w:val="24"/>
                <w:highlight w:val="none"/>
              </w:rPr>
            </w:pPr>
          </w:p>
        </w:tc>
      </w:tr>
    </w:tbl>
    <w:p>
      <w:pPr>
        <w:spacing w:line="360" w:lineRule="auto"/>
        <w:rPr>
          <w:rFonts w:ascii="宋体" w:hAnsi="宋体" w:eastAsia="宋体"/>
          <w:color w:val="auto"/>
          <w:sz w:val="24"/>
          <w:szCs w:val="24"/>
          <w:highlight w:val="none"/>
        </w:rPr>
      </w:pPr>
    </w:p>
    <w:p>
      <w:pPr>
        <w:spacing w:line="360" w:lineRule="auto"/>
        <w:rPr>
          <w:rFonts w:ascii="宋体" w:hAnsi="宋体" w:eastAsia="宋体"/>
          <w:color w:val="auto"/>
          <w:sz w:val="24"/>
          <w:szCs w:val="24"/>
          <w:highlight w:val="none"/>
        </w:rPr>
      </w:pPr>
    </w:p>
    <w:p>
      <w:pPr>
        <w:spacing w:line="360" w:lineRule="auto"/>
        <w:rPr>
          <w:rFonts w:ascii="宋体" w:hAnsi="宋体" w:eastAsia="宋体"/>
          <w:color w:val="auto"/>
          <w:sz w:val="24"/>
          <w:szCs w:val="24"/>
          <w:highlight w:val="none"/>
        </w:rPr>
      </w:pPr>
    </w:p>
    <w:p>
      <w:pPr>
        <w:spacing w:line="360" w:lineRule="auto"/>
        <w:rPr>
          <w:rFonts w:ascii="宋体" w:hAnsi="宋体" w:eastAsia="宋体"/>
          <w:color w:val="auto"/>
          <w:sz w:val="24"/>
          <w:szCs w:val="24"/>
          <w:highlight w:val="none"/>
        </w:rPr>
        <w:sectPr>
          <w:pgSz w:w="11906" w:h="16838"/>
          <w:pgMar w:top="1440" w:right="1800" w:bottom="1440" w:left="1800" w:header="851" w:footer="992" w:gutter="0"/>
          <w:cols w:space="425" w:num="1"/>
          <w:docGrid w:type="lines" w:linePitch="312" w:charSpace="0"/>
        </w:sectPr>
      </w:pPr>
    </w:p>
    <w:sdt>
      <w:sdtPr>
        <w:rPr>
          <w:rFonts w:hint="eastAsia" w:ascii="宋体" w:hAnsi="宋体" w:eastAsia="宋体" w:cstheme="minorBidi"/>
          <w:b/>
          <w:bCs/>
          <w:color w:val="auto"/>
          <w:kern w:val="2"/>
          <w:sz w:val="24"/>
          <w:szCs w:val="24"/>
          <w:highlight w:val="none"/>
          <w:lang w:val="en-US" w:eastAsia="zh-CN" w:bidi="ar-SA"/>
        </w:rPr>
        <w:id w:val="147459264"/>
        <w:placeholder>
          <w:docPart w:val="{186055d7-b528-409f-af7e-9b0978ef4d97}"/>
        </w:placeholder>
      </w:sdtPr>
      <w:sdtEndPr>
        <w:rPr>
          <w:rFonts w:hint="eastAsia" w:ascii="宋体" w:hAnsi="宋体" w:eastAsia="宋体" w:cstheme="minorBidi"/>
          <w:b/>
          <w:bCs/>
          <w:color w:val="auto"/>
          <w:kern w:val="2"/>
          <w:sz w:val="24"/>
          <w:szCs w:val="24"/>
          <w:highlight w:val="none"/>
          <w:lang w:val="en-US" w:eastAsia="zh-CN" w:bidi="ar-SA"/>
        </w:rPr>
      </w:sdtEndPr>
      <w:sdtContent>
        <w:p>
          <w:pPr>
            <w:spacing w:line="360" w:lineRule="auto"/>
            <w:rPr>
              <w:rFonts w:hint="eastAsia" w:ascii="宋体" w:hAnsi="宋体" w:eastAsia="宋体" w:cstheme="minorBidi"/>
              <w:b/>
              <w:bCs/>
              <w:color w:val="auto"/>
              <w:kern w:val="2"/>
              <w:sz w:val="24"/>
              <w:szCs w:val="24"/>
              <w:highlight w:val="none"/>
              <w:lang w:val="en-US" w:eastAsia="zh-CN" w:bidi="ar-SA"/>
            </w:rPr>
          </w:pPr>
          <w:r>
            <w:rPr>
              <w:rFonts w:hint="eastAsia" w:ascii="宋体" w:hAnsi="宋体" w:eastAsia="宋体"/>
              <w:b/>
              <w:bCs/>
              <w:color w:val="auto"/>
              <w:sz w:val="24"/>
              <w:szCs w:val="24"/>
              <w:highlight w:val="none"/>
            </w:rPr>
            <w:t>附件</w:t>
          </w:r>
          <w:r>
            <w:rPr>
              <w:rFonts w:ascii="宋体" w:hAnsi="宋体" w:eastAsia="宋体"/>
              <w:b/>
              <w:bCs/>
              <w:color w:val="auto"/>
              <w:sz w:val="24"/>
              <w:szCs w:val="24"/>
              <w:highlight w:val="none"/>
            </w:rPr>
            <w:t>1</w:t>
          </w:r>
          <w:r>
            <w:rPr>
              <w:rFonts w:hint="eastAsia" w:ascii="宋体" w:hAnsi="宋体" w:eastAsia="宋体"/>
              <w:b/>
              <w:bCs/>
              <w:color w:val="auto"/>
              <w:sz w:val="24"/>
              <w:szCs w:val="24"/>
              <w:highlight w:val="none"/>
            </w:rPr>
            <w:t>：技术参数</w:t>
          </w:r>
        </w:p>
      </w:sdtContent>
    </w:sdt>
    <w:p>
      <w:pPr>
        <w:spacing w:line="360" w:lineRule="auto"/>
        <w:rPr>
          <w:rFonts w:hint="default" w:ascii="宋体" w:hAnsi="宋体" w:eastAsia="宋体" w:cstheme="minorBidi"/>
          <w:b/>
          <w:bCs/>
          <w:color w:val="auto"/>
          <w:kern w:val="2"/>
          <w:sz w:val="24"/>
          <w:szCs w:val="24"/>
          <w:highlight w:val="none"/>
          <w:lang w:val="en-US" w:eastAsia="zh-CN" w:bidi="ar-SA"/>
        </w:rPr>
      </w:pPr>
      <w:r>
        <w:rPr>
          <w:rFonts w:hint="eastAsia" w:ascii="宋体" w:hAnsi="宋体" w:eastAsia="宋体" w:cstheme="minorBidi"/>
          <w:b/>
          <w:bCs/>
          <w:color w:val="auto"/>
          <w:kern w:val="2"/>
          <w:sz w:val="24"/>
          <w:szCs w:val="24"/>
          <w:highlight w:val="none"/>
          <w:lang w:val="en-US" w:eastAsia="zh-CN" w:bidi="ar-SA"/>
        </w:rPr>
        <w:fldChar w:fldCharType="begin">
          <w:ffData>
            <w:name w:val="Text3"/>
            <w:enabled/>
            <w:calcOnExit w:val="0"/>
            <w:textInput/>
          </w:ffData>
        </w:fldChar>
      </w:r>
      <w:bookmarkStart w:id="30" w:name="Text3"/>
      <w:r>
        <w:rPr>
          <w:rFonts w:hint="eastAsia" w:ascii="宋体" w:hAnsi="宋体" w:eastAsia="宋体" w:cstheme="minorBidi"/>
          <w:b/>
          <w:bCs/>
          <w:color w:val="auto"/>
          <w:kern w:val="2"/>
          <w:sz w:val="24"/>
          <w:szCs w:val="24"/>
          <w:highlight w:val="none"/>
          <w:lang w:val="en-US" w:eastAsia="zh-CN" w:bidi="ar-SA"/>
        </w:rPr>
        <w:instrText xml:space="preserve">FORMTEXT</w:instrText>
      </w:r>
      <w:r>
        <w:rPr>
          <w:rFonts w:hint="eastAsia" w:ascii="宋体" w:hAnsi="宋体" w:eastAsia="宋体" w:cstheme="minorBidi"/>
          <w:b/>
          <w:bCs/>
          <w:color w:val="auto"/>
          <w:kern w:val="2"/>
          <w:sz w:val="24"/>
          <w:szCs w:val="24"/>
          <w:highlight w:val="none"/>
          <w:lang w:val="en-US" w:eastAsia="zh-CN" w:bidi="ar-SA"/>
        </w:rPr>
        <w:fldChar w:fldCharType="separate"/>
      </w:r>
      <w:r>
        <w:rPr>
          <w:rFonts w:hint="default" w:ascii="宋体" w:hAnsi="宋体" w:eastAsia="宋体" w:cstheme="minorBidi"/>
          <w:b/>
          <w:bCs/>
          <w:color w:val="auto"/>
          <w:kern w:val="2"/>
          <w:sz w:val="24"/>
          <w:szCs w:val="24"/>
          <w:highlight w:val="none"/>
          <w:lang w:val="en-US" w:eastAsia="zh-CN" w:bidi="ar-SA"/>
        </w:rPr>
        <w:t> </w:t>
      </w:r>
    </w:p>
    <w:tbl>
      <w:tblPr>
        <w:tblStyle w:val="14"/>
        <w:tblW w:w="48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033"/>
        <w:gridCol w:w="1836"/>
        <w:gridCol w:w="915"/>
        <w:gridCol w:w="1403"/>
        <w:gridCol w:w="1005"/>
        <w:gridCol w:w="163"/>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41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105" w:right="0" w:hanging="105" w:hangingChars="5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62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111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center"/>
              <w:rPr>
                <w:rFonts w:hint="default" w:ascii="宋体" w:hAnsi="宋体" w:eastAsia="宋体" w:cs="宋体"/>
                <w:color w:val="auto"/>
                <w:szCs w:val="21"/>
                <w:highlight w:val="none"/>
              </w:rPr>
            </w:pPr>
          </w:p>
        </w:tc>
        <w:tc>
          <w:tcPr>
            <w:tcW w:w="55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firstLine="105" w:firstLineChars="5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制造商</w:t>
            </w:r>
          </w:p>
        </w:tc>
        <w:tc>
          <w:tcPr>
            <w:tcW w:w="85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center"/>
              <w:rPr>
                <w:rFonts w:hint="default" w:ascii="宋体" w:hAnsi="宋体" w:eastAsia="宋体" w:cs="宋体"/>
                <w:color w:val="auto"/>
                <w:kern w:val="0"/>
                <w:szCs w:val="21"/>
                <w:highlight w:val="none"/>
              </w:rPr>
            </w:pPr>
          </w:p>
        </w:tc>
        <w:tc>
          <w:tcPr>
            <w:tcW w:w="60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型号规格</w:t>
            </w:r>
          </w:p>
        </w:tc>
        <w:tc>
          <w:tcPr>
            <w:tcW w:w="83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5000" w:type="pct"/>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参数详情：</w:t>
            </w:r>
          </w:p>
          <w:p>
            <w:pPr>
              <w:keepNext w:val="0"/>
              <w:keepLines w:val="0"/>
              <w:suppressLineNumbers w:val="0"/>
              <w:spacing w:before="0" w:beforeAutospacing="0" w:after="0" w:afterAutospacing="0" w:line="240" w:lineRule="atLeast"/>
              <w:ind w:left="0" w:right="0"/>
              <w:jc w:val="left"/>
              <w:rPr>
                <w:rFonts w:hint="default" w:ascii="宋体" w:hAnsi="宋体" w:eastAsia="宋体" w:cs="宋体"/>
                <w:color w:val="auto"/>
                <w:szCs w:val="21"/>
                <w:highlight w:val="none"/>
              </w:rPr>
            </w:pPr>
          </w:p>
          <w:p>
            <w:pPr>
              <w:keepNext w:val="0"/>
              <w:keepLines w:val="0"/>
              <w:suppressLineNumbers w:val="0"/>
              <w:spacing w:before="0" w:beforeAutospacing="0" w:after="0" w:afterAutospacing="0" w:line="240" w:lineRule="atLeast"/>
              <w:ind w:left="0" w:right="0"/>
              <w:rPr>
                <w:rFonts w:hint="default" w:ascii="宋体" w:hAnsi="宋体" w:eastAsia="宋体" w:cs="宋体"/>
                <w:color w:val="auto"/>
                <w:szCs w:val="21"/>
                <w:highlight w:val="none"/>
              </w:rPr>
            </w:pPr>
          </w:p>
          <w:p>
            <w:pPr>
              <w:keepNext w:val="0"/>
              <w:keepLines w:val="0"/>
              <w:suppressLineNumbers w:val="0"/>
              <w:spacing w:before="0" w:beforeAutospacing="0" w:after="0" w:afterAutospacing="0" w:line="240" w:lineRule="atLeast"/>
              <w:ind w:left="0" w:right="0"/>
              <w:rPr>
                <w:rFonts w:hint="default" w:ascii="宋体" w:hAnsi="宋体" w:eastAsia="宋体" w:cs="宋体"/>
                <w:color w:val="auto"/>
                <w:szCs w:val="21"/>
                <w:highlight w:val="none"/>
              </w:rPr>
            </w:pPr>
          </w:p>
          <w:p>
            <w:pPr>
              <w:keepNext w:val="0"/>
              <w:keepLines w:val="0"/>
              <w:suppressLineNumbers w:val="0"/>
              <w:spacing w:before="0" w:beforeAutospacing="0" w:after="0" w:afterAutospacing="0" w:line="240" w:lineRule="atLeast"/>
              <w:ind w:left="0" w:right="0"/>
              <w:rPr>
                <w:rFonts w:hint="default" w:ascii="宋体" w:hAnsi="宋体" w:eastAsia="宋体" w:cs="宋体"/>
                <w:color w:val="auto"/>
                <w:szCs w:val="21"/>
                <w:highlight w:val="none"/>
              </w:rPr>
            </w:pPr>
          </w:p>
          <w:p>
            <w:pPr>
              <w:keepNext w:val="0"/>
              <w:keepLines w:val="0"/>
              <w:suppressLineNumbers w:val="0"/>
              <w:spacing w:before="0" w:beforeAutospacing="0" w:after="0" w:afterAutospacing="0" w:line="240" w:lineRule="atLeast"/>
              <w:ind w:left="0" w:right="0"/>
              <w:rPr>
                <w:rFonts w:hint="default" w:ascii="宋体" w:hAnsi="宋体" w:eastAsia="宋体" w:cs="宋体"/>
                <w:color w:val="auto"/>
                <w:szCs w:val="21"/>
                <w:highlight w:val="none"/>
              </w:rPr>
            </w:pPr>
          </w:p>
          <w:p>
            <w:pPr>
              <w:keepNext w:val="0"/>
              <w:keepLines w:val="0"/>
              <w:suppressLineNumbers w:val="0"/>
              <w:spacing w:before="0" w:beforeAutospacing="0" w:after="0" w:afterAutospacing="0" w:line="240" w:lineRule="atLeast"/>
              <w:ind w:left="0" w:right="0"/>
              <w:rPr>
                <w:rFonts w:hint="default" w:ascii="宋体" w:hAnsi="宋体" w:eastAsia="宋体" w:cs="宋体"/>
                <w:color w:val="auto"/>
                <w:szCs w:val="21"/>
                <w:highlight w:val="none"/>
              </w:rPr>
            </w:pPr>
          </w:p>
          <w:p>
            <w:pPr>
              <w:keepNext w:val="0"/>
              <w:keepLines w:val="0"/>
              <w:suppressLineNumbers w:val="0"/>
              <w:spacing w:before="0" w:beforeAutospacing="0" w:after="0" w:afterAutospacing="0" w:line="240" w:lineRule="atLeast"/>
              <w:ind w:left="0" w:right="0"/>
              <w:rPr>
                <w:rFonts w:hint="default"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41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105" w:right="0" w:hanging="105" w:hangingChars="5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62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111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center"/>
              <w:rPr>
                <w:rFonts w:hint="default" w:ascii="宋体" w:hAnsi="宋体" w:eastAsia="宋体" w:cs="宋体"/>
                <w:color w:val="auto"/>
                <w:szCs w:val="21"/>
                <w:highlight w:val="none"/>
              </w:rPr>
            </w:pPr>
          </w:p>
        </w:tc>
        <w:tc>
          <w:tcPr>
            <w:tcW w:w="55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firstLine="105" w:firstLineChars="5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制造商</w:t>
            </w:r>
          </w:p>
        </w:tc>
        <w:tc>
          <w:tcPr>
            <w:tcW w:w="85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center"/>
              <w:rPr>
                <w:rFonts w:hint="default" w:ascii="宋体" w:hAnsi="宋体" w:eastAsia="宋体" w:cs="宋体"/>
                <w:color w:val="auto"/>
                <w:kern w:val="0"/>
                <w:szCs w:val="21"/>
                <w:highlight w:val="none"/>
              </w:rPr>
            </w:pPr>
          </w:p>
        </w:tc>
        <w:tc>
          <w:tcPr>
            <w:tcW w:w="708"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型号规格</w:t>
            </w:r>
          </w:p>
        </w:tc>
        <w:tc>
          <w:tcPr>
            <w:tcW w:w="73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000" w:type="pct"/>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参数详情：</w:t>
            </w:r>
          </w:p>
          <w:p>
            <w:pPr>
              <w:keepNext w:val="0"/>
              <w:keepLines w:val="0"/>
              <w:suppressLineNumbers w:val="0"/>
              <w:spacing w:before="0" w:beforeAutospacing="0" w:after="0" w:afterAutospacing="0" w:line="240" w:lineRule="atLeast"/>
              <w:ind w:left="0" w:right="0"/>
              <w:jc w:val="left"/>
              <w:rPr>
                <w:rFonts w:hint="default" w:ascii="宋体" w:hAnsi="宋体" w:eastAsia="宋体" w:cs="宋体"/>
                <w:color w:val="auto"/>
                <w:szCs w:val="21"/>
                <w:highlight w:val="none"/>
              </w:rPr>
            </w:pPr>
          </w:p>
          <w:p>
            <w:pPr>
              <w:keepNext w:val="0"/>
              <w:keepLines w:val="0"/>
              <w:suppressLineNumbers w:val="0"/>
              <w:spacing w:before="0" w:beforeAutospacing="0" w:after="0" w:afterAutospacing="0" w:line="240" w:lineRule="atLeast"/>
              <w:ind w:left="0" w:right="0"/>
              <w:jc w:val="left"/>
              <w:rPr>
                <w:rFonts w:hint="default" w:ascii="宋体" w:hAnsi="宋体" w:eastAsia="宋体" w:cs="宋体"/>
                <w:color w:val="auto"/>
                <w:szCs w:val="21"/>
                <w:highlight w:val="none"/>
              </w:rPr>
            </w:pPr>
          </w:p>
          <w:p>
            <w:pPr>
              <w:keepNext w:val="0"/>
              <w:keepLines w:val="0"/>
              <w:widowControl/>
              <w:suppressLineNumbers w:val="0"/>
              <w:spacing w:before="0" w:beforeAutospacing="0" w:after="0" w:afterAutospacing="0" w:line="240" w:lineRule="atLeast"/>
              <w:ind w:left="0" w:right="0"/>
              <w:jc w:val="left"/>
              <w:rPr>
                <w:rFonts w:hint="default" w:ascii="宋体" w:hAnsi="宋体" w:eastAsia="宋体" w:cs="宋体"/>
                <w:color w:val="auto"/>
                <w:szCs w:val="21"/>
                <w:highlight w:val="none"/>
              </w:rPr>
            </w:pPr>
          </w:p>
          <w:p>
            <w:pPr>
              <w:keepNext w:val="0"/>
              <w:keepLines w:val="0"/>
              <w:widowControl/>
              <w:suppressLineNumbers w:val="0"/>
              <w:spacing w:before="0" w:beforeAutospacing="0" w:after="0" w:afterAutospacing="0" w:line="240" w:lineRule="atLeast"/>
              <w:ind w:left="0" w:right="0"/>
              <w:jc w:val="left"/>
              <w:rPr>
                <w:rFonts w:hint="default" w:ascii="宋体" w:hAnsi="宋体" w:eastAsia="宋体" w:cs="宋体"/>
                <w:color w:val="auto"/>
                <w:szCs w:val="21"/>
                <w:highlight w:val="none"/>
              </w:rPr>
            </w:pPr>
          </w:p>
          <w:p>
            <w:pPr>
              <w:keepNext w:val="0"/>
              <w:keepLines w:val="0"/>
              <w:widowControl/>
              <w:suppressLineNumbers w:val="0"/>
              <w:spacing w:before="0" w:beforeAutospacing="0" w:after="0" w:afterAutospacing="0" w:line="240" w:lineRule="atLeast"/>
              <w:ind w:left="0" w:right="0"/>
              <w:jc w:val="left"/>
              <w:rPr>
                <w:rFonts w:hint="default" w:ascii="宋体" w:hAnsi="宋体" w:eastAsia="宋体" w:cs="宋体"/>
                <w:color w:val="auto"/>
                <w:szCs w:val="21"/>
                <w:highlight w:val="none"/>
              </w:rPr>
            </w:pPr>
          </w:p>
          <w:p>
            <w:pPr>
              <w:keepNext w:val="0"/>
              <w:keepLines w:val="0"/>
              <w:widowControl/>
              <w:suppressLineNumbers w:val="0"/>
              <w:spacing w:before="0" w:beforeAutospacing="0" w:after="0" w:afterAutospacing="0" w:line="240" w:lineRule="atLeast"/>
              <w:ind w:left="0" w:right="0"/>
              <w:jc w:val="left"/>
              <w:rPr>
                <w:rFonts w:hint="default" w:ascii="宋体" w:hAnsi="宋体" w:eastAsia="宋体" w:cs="宋体"/>
                <w:color w:val="auto"/>
                <w:szCs w:val="21"/>
                <w:highlight w:val="none"/>
              </w:rPr>
            </w:pPr>
          </w:p>
          <w:p>
            <w:pPr>
              <w:keepNext w:val="0"/>
              <w:keepLines w:val="0"/>
              <w:widowControl/>
              <w:suppressLineNumbers w:val="0"/>
              <w:spacing w:before="0" w:beforeAutospacing="0" w:after="0" w:afterAutospacing="0" w:line="240" w:lineRule="atLeast"/>
              <w:ind w:left="0" w:right="0"/>
              <w:jc w:val="left"/>
              <w:rPr>
                <w:rFonts w:hint="default" w:ascii="宋体" w:hAnsi="宋体" w:eastAsia="宋体" w:cs="宋体"/>
                <w:color w:val="auto"/>
                <w:szCs w:val="21"/>
                <w:highlight w:val="none"/>
              </w:rPr>
            </w:pPr>
          </w:p>
        </w:tc>
      </w:tr>
    </w:tbl>
    <w:p>
      <w:pPr>
        <w:spacing w:line="360" w:lineRule="auto"/>
        <w:rPr>
          <w:rFonts w:hint="eastAsia" w:ascii="宋体" w:hAnsi="宋体" w:eastAsia="宋体" w:cstheme="minorBidi"/>
          <w:b/>
          <w:bCs/>
          <w:color w:val="auto"/>
          <w:kern w:val="2"/>
          <w:sz w:val="24"/>
          <w:szCs w:val="24"/>
          <w:highlight w:val="none"/>
          <w:lang w:val="en-US" w:eastAsia="zh-CN" w:bidi="ar-SA"/>
        </w:rPr>
      </w:pPr>
      <w:r>
        <w:rPr>
          <w:rFonts w:hint="default" w:ascii="宋体" w:hAnsi="宋体" w:eastAsia="宋体" w:cstheme="minorBidi"/>
          <w:b/>
          <w:bCs/>
          <w:color w:val="auto"/>
          <w:kern w:val="2"/>
          <w:sz w:val="24"/>
          <w:szCs w:val="24"/>
          <w:highlight w:val="none"/>
          <w:lang w:val="en-US" w:eastAsia="zh-CN" w:bidi="ar-SA"/>
        </w:rPr>
        <w:t> </w:t>
      </w:r>
      <w:r>
        <w:rPr>
          <w:rFonts w:hint="eastAsia" w:ascii="宋体" w:hAnsi="宋体" w:eastAsia="宋体" w:cstheme="minorBidi"/>
          <w:b/>
          <w:bCs/>
          <w:color w:val="auto"/>
          <w:kern w:val="2"/>
          <w:sz w:val="24"/>
          <w:szCs w:val="24"/>
          <w:highlight w:val="none"/>
          <w:lang w:val="en-US" w:eastAsia="zh-CN" w:bidi="ar-SA"/>
        </w:rPr>
        <w:fldChar w:fldCharType="end"/>
      </w:r>
      <w:bookmarkEnd w:id="30"/>
    </w:p>
    <w:p>
      <w:pPr>
        <w:spacing w:line="360" w:lineRule="auto"/>
        <w:rPr>
          <w:rFonts w:ascii="宋体" w:hAnsi="宋体" w:eastAsia="宋体"/>
          <w:color w:val="auto"/>
          <w:sz w:val="24"/>
          <w:szCs w:val="24"/>
          <w:highlight w:val="none"/>
        </w:rPr>
      </w:pPr>
    </w:p>
    <w:p>
      <w:pPr>
        <w:rPr>
          <w:rFonts w:ascii="宋体" w:hAnsi="宋体" w:eastAsia="宋体"/>
          <w:color w:val="auto"/>
          <w:sz w:val="24"/>
          <w:szCs w:val="24"/>
          <w:highlight w:val="none"/>
        </w:rPr>
        <w:sectPr>
          <w:pgSz w:w="11906" w:h="16838"/>
          <w:pgMar w:top="1440" w:right="1800" w:bottom="1440" w:left="1800" w:header="851" w:footer="992" w:gutter="0"/>
          <w:cols w:space="425" w:num="1"/>
          <w:docGrid w:type="lines" w:linePitch="312" w:charSpace="0"/>
        </w:sectPr>
      </w:pPr>
    </w:p>
    <w:p>
      <w:pP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附件</w:t>
      </w:r>
      <w:r>
        <w:rPr>
          <w:rFonts w:ascii="宋体" w:hAnsi="宋体" w:eastAsia="宋体"/>
          <w:b/>
          <w:bCs/>
          <w:color w:val="auto"/>
          <w:sz w:val="24"/>
          <w:szCs w:val="24"/>
          <w:highlight w:val="none"/>
        </w:rPr>
        <w:t>2</w:t>
      </w:r>
      <w:r>
        <w:rPr>
          <w:rFonts w:hint="eastAsia" w:ascii="宋体" w:hAnsi="宋体" w:eastAsia="宋体"/>
          <w:b/>
          <w:bCs/>
          <w:color w:val="auto"/>
          <w:sz w:val="24"/>
          <w:szCs w:val="24"/>
          <w:highlight w:val="none"/>
        </w:rPr>
        <w:t>：服务考核细则</w:t>
      </w:r>
    </w:p>
    <w:p>
      <w:pPr>
        <w:rPr>
          <w:rFonts w:ascii="宋体" w:hAnsi="宋体" w:eastAsia="宋体"/>
          <w:color w:val="auto"/>
          <w:sz w:val="24"/>
          <w:szCs w:val="24"/>
          <w:highlight w:val="none"/>
        </w:rPr>
      </w:pPr>
    </w:p>
    <w:p>
      <w:pPr>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保修期间，买方将定期对最终用户进行回访，跟踪了解设备的使用情况及卖方的售后服务质量，依照以上的服务承诺，制定以下考核细则。</w:t>
      </w:r>
    </w:p>
    <w:p>
      <w:pPr>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1、合同期内每月考核一次；</w:t>
      </w:r>
    </w:p>
    <w:p>
      <w:pPr>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2、每月10日前，买方将上月考核结果及涉及扣费的数据发给卖方核对，卖方在不影响到客户体验的情况下可以对考核结果提出异议，并要求在每月15日前书面反馈，逾期视为对买方的考核结果无异议。</w:t>
      </w:r>
    </w:p>
    <w:p>
      <w:pPr>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3、买方有权从应付但未付给卖方的任一笔款项中，扣除考核结果中列明的违约金。</w:t>
      </w:r>
    </w:p>
    <w:p>
      <w:pPr>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4、具体违约金标准如下：</w:t>
      </w:r>
    </w:p>
    <w:p>
      <w:pPr>
        <w:ind w:firstLine="480" w:firstLineChars="200"/>
        <w:rPr>
          <w:rFonts w:hint="default" w:ascii="宋体" w:hAnsi="宋体" w:eastAsia="宋体"/>
          <w:color w:val="auto"/>
          <w:sz w:val="24"/>
          <w:szCs w:val="24"/>
          <w:highlight w:val="none"/>
          <w:lang w:val="en-US"/>
        </w:rPr>
      </w:pPr>
      <w:r>
        <w:rPr>
          <w:rFonts w:hint="eastAsia" w:ascii="宋体" w:hAnsi="宋体" w:eastAsia="宋体"/>
          <w:color w:val="auto"/>
          <w:sz w:val="24"/>
          <w:szCs w:val="24"/>
          <w:highlight w:val="none"/>
        </w:rPr>
        <w:fldChar w:fldCharType="begin">
          <w:ffData>
            <w:name w:val="Text4"/>
            <w:enabled/>
            <w:calcOnExit w:val="0"/>
            <w:textInput/>
          </w:ffData>
        </w:fldChar>
      </w:r>
      <w:bookmarkStart w:id="31" w:name="Text4"/>
      <w:r>
        <w:rPr>
          <w:rFonts w:hint="eastAsia" w:ascii="宋体" w:hAnsi="宋体" w:eastAsia="宋体"/>
          <w:color w:val="auto"/>
          <w:sz w:val="24"/>
          <w:szCs w:val="24"/>
          <w:highlight w:val="none"/>
        </w:rPr>
        <w:instrText xml:space="preserve">FORMTEXT</w:instrText>
      </w:r>
      <w:r>
        <w:rPr>
          <w:rFonts w:hint="eastAsia" w:ascii="宋体" w:hAnsi="宋体" w:eastAsia="宋体"/>
          <w:color w:val="auto"/>
          <w:sz w:val="24"/>
          <w:szCs w:val="24"/>
          <w:highlight w:val="none"/>
        </w:rPr>
        <w:fldChar w:fldCharType="separate"/>
      </w:r>
      <w:r>
        <w:rPr>
          <w:rFonts w:hint="default" w:ascii="宋体" w:hAnsi="宋体" w:eastAsia="宋体"/>
          <w:color w:val="auto"/>
          <w:sz w:val="24"/>
          <w:szCs w:val="24"/>
          <w:highlight w:val="none"/>
          <w:lang w:val="en-US"/>
        </w:rPr>
        <w:t> </w:t>
      </w:r>
    </w:p>
    <w:tbl>
      <w:tblPr>
        <w:tblStyle w:val="15"/>
        <w:tblW w:w="1073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85"/>
        <w:gridCol w:w="719"/>
        <w:gridCol w:w="1314"/>
        <w:gridCol w:w="1038"/>
        <w:gridCol w:w="3257"/>
        <w:gridCol w:w="1787"/>
        <w:gridCol w:w="213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6"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序号</w:t>
            </w:r>
          </w:p>
        </w:tc>
        <w:tc>
          <w:tcPr>
            <w:tcW w:w="719" w:type="dxa"/>
          </w:tcPr>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考核项目</w:t>
            </w:r>
          </w:p>
        </w:tc>
        <w:tc>
          <w:tcPr>
            <w:tcW w:w="1314" w:type="dxa"/>
          </w:tcPr>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考核说明</w:t>
            </w:r>
          </w:p>
        </w:tc>
        <w:tc>
          <w:tcPr>
            <w:tcW w:w="1038" w:type="dxa"/>
          </w:tcPr>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涉及服务环节</w:t>
            </w:r>
          </w:p>
        </w:tc>
        <w:tc>
          <w:tcPr>
            <w:tcW w:w="3257" w:type="dxa"/>
          </w:tcPr>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供应商服务要求</w:t>
            </w:r>
          </w:p>
        </w:tc>
        <w:tc>
          <w:tcPr>
            <w:tcW w:w="1787"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考核标准</w:t>
            </w:r>
          </w:p>
        </w:tc>
        <w:tc>
          <w:tcPr>
            <w:tcW w:w="2139"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考核金额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1"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19" w:type="dxa"/>
            <w:vMerge w:val="restart"/>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服务效率</w:t>
            </w:r>
          </w:p>
        </w:tc>
        <w:tc>
          <w:tcPr>
            <w:tcW w:w="1314" w:type="dxa"/>
            <w:vMerge w:val="restart"/>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1、服务响应不及时或服务时间超出约定时间，且未提前与最终用户做好沟通，或未经最终用户同意。</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2、未在规定时间内解决最终用户的正当需求，最终用户要求但未提供备用机；</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3、设备维修时超出约定时间仍未修复的；</w:t>
            </w:r>
          </w:p>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4、需要提供服务的设备超出一台且满足上述任一条件的，按200元/台/次考核</w:t>
            </w:r>
          </w:p>
        </w:tc>
        <w:tc>
          <w:tcPr>
            <w:tcW w:w="1038"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电话响应时效</w:t>
            </w:r>
          </w:p>
        </w:tc>
        <w:tc>
          <w:tcPr>
            <w:tcW w:w="325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收到万翔客服专员通知后，在1个工作小时内联系客户约定上门时间；并及时将约定时间反馈给万翔客服专员。</w:t>
            </w:r>
          </w:p>
        </w:tc>
        <w:tc>
          <w:tcPr>
            <w:tcW w:w="178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万翔客服专员报单后1个工作小时内</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400元/次+（N-1）*200元/台/次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6"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19"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314"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038" w:type="dxa"/>
            <w:vMerge w:val="restart"/>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上门服务时效</w:t>
            </w:r>
          </w:p>
        </w:tc>
        <w:tc>
          <w:tcPr>
            <w:tcW w:w="3257" w:type="dxa"/>
            <w:vMerge w:val="restart"/>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按与客户约定时间上门服务；</w:t>
            </w:r>
          </w:p>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如特殊情况不能按约定时间上门，必须提前联系最终用户且征得最终用户的同意，同时重新预约上门服务时间，并务必保证按此约定时间上门。</w:t>
            </w:r>
          </w:p>
        </w:tc>
        <w:tc>
          <w:tcPr>
            <w:tcW w:w="178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万翔客服专员报单后4个工作小时内</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400元/次+（N-1）*200元/台/次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719"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314"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038"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3257"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78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因</w:t>
            </w:r>
            <w:r>
              <w:rPr>
                <w:rFonts w:hint="eastAsia" w:ascii="宋体" w:hAnsi="宋体" w:eastAsia="宋体" w:cs="宋体"/>
                <w:b/>
                <w:bCs/>
                <w:color w:val="auto"/>
                <w:kern w:val="0"/>
                <w:sz w:val="18"/>
                <w:szCs w:val="18"/>
                <w:highlight w:val="none"/>
              </w:rPr>
              <w:t>客户原因</w:t>
            </w:r>
            <w:r>
              <w:rPr>
                <w:rFonts w:hint="eastAsia" w:ascii="宋体" w:hAnsi="宋体" w:eastAsia="宋体" w:cs="宋体"/>
                <w:color w:val="auto"/>
                <w:kern w:val="0"/>
                <w:sz w:val="18"/>
                <w:szCs w:val="18"/>
                <w:highlight w:val="none"/>
              </w:rPr>
              <w:t>需延后上门时间并另外约定上门时间，需在承诺的时间内达到</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400元/次+（N-1）*200元/台/次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6"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719"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314"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038" w:type="dxa"/>
            <w:vMerge w:val="restart"/>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维修时效</w:t>
            </w:r>
          </w:p>
        </w:tc>
        <w:tc>
          <w:tcPr>
            <w:tcW w:w="325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上门检测后需现场向最终用户说明故障情况并告知解决方案、如需调拨维修配件，需要告知最终用户配件更换时效并征得客户同意</w:t>
            </w:r>
          </w:p>
        </w:tc>
        <w:tc>
          <w:tcPr>
            <w:tcW w:w="178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在承诺的时间内完成服务</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400元/次+（N-1）*200元/台/次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7"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719"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314"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038"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325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如调拨配件时间长（超过2个工作日）、更换完配件仍无法使用、需要整机取走维修等问题导致客户无法使用，必须直接向客户说明情况并询问是否需要备用机，告知客户服务时效并在承诺的时间内完成相应的服务内容；服务商必须根据要求直接确定是否进入提供备用机或者退换机服务流程</w:t>
            </w:r>
          </w:p>
        </w:tc>
        <w:tc>
          <w:tcPr>
            <w:tcW w:w="178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向客户说明情况，告知客户提供备用机和退换机的解决方案，同时告知客户服务时效，并在承诺的时间内完成相应的服务内容。</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400元/次+（N-1）*200元/台/次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3"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w:t>
            </w:r>
          </w:p>
        </w:tc>
        <w:tc>
          <w:tcPr>
            <w:tcW w:w="719"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314"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038"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备用机提供时效</w:t>
            </w:r>
          </w:p>
        </w:tc>
        <w:tc>
          <w:tcPr>
            <w:tcW w:w="325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服务商自行提供备用机，按与客户约定时间完成服务</w:t>
            </w:r>
          </w:p>
        </w:tc>
        <w:tc>
          <w:tcPr>
            <w:tcW w:w="178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客户确认使用备用机后在1个工作日内提供备机</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400元/次+（N-1）*200元/台/次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5"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w:t>
            </w:r>
          </w:p>
        </w:tc>
        <w:tc>
          <w:tcPr>
            <w:tcW w:w="719"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314"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038" w:type="dxa"/>
            <w:vMerge w:val="restart"/>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换机服务时效</w:t>
            </w:r>
          </w:p>
        </w:tc>
        <w:tc>
          <w:tcPr>
            <w:tcW w:w="325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确认换机后，在5个工作日内完成换机，如果超出5个工作日必须征得最终用户的同意，并在承诺的时间内完成服务</w:t>
            </w:r>
          </w:p>
        </w:tc>
        <w:tc>
          <w:tcPr>
            <w:tcW w:w="178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在承诺的时间内完成换机。</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400元/次+（N-1）*200元/台/次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2"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w:t>
            </w:r>
          </w:p>
        </w:tc>
        <w:tc>
          <w:tcPr>
            <w:tcW w:w="719"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314"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038"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325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核实产品主要部件在1年内同样故障报修工单达到三次或三次以上的供应商必须按照客户需求给予更换新机，配置参数需大于等于原机型，换机流程不再经过万翔，换机流程中须提供备用机（备用机服务标准同上）</w:t>
            </w:r>
          </w:p>
        </w:tc>
        <w:tc>
          <w:tcPr>
            <w:tcW w:w="178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同意并给予客户换机。</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500元/台/次；同时在质保金中扣除换新机所需货款，由万翔直接给客户换机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3"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c>
          <w:tcPr>
            <w:tcW w:w="719"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314"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038"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验收报告/辅材发票提供时效</w:t>
            </w:r>
          </w:p>
        </w:tc>
        <w:tc>
          <w:tcPr>
            <w:tcW w:w="325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收到万翔客服专员通知后，2个工作日内提供验收报告/辅材发票给最终用户。</w:t>
            </w:r>
          </w:p>
        </w:tc>
        <w:tc>
          <w:tcPr>
            <w:tcW w:w="178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万翔客服专员报单后2个工作日内</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400元/单/次，每逾期1个工作日按100元/单/工作日的标准加收违约金；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62"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c>
          <w:tcPr>
            <w:tcW w:w="719" w:type="dxa"/>
            <w:vMerge w:val="restart"/>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服务规范</w:t>
            </w:r>
          </w:p>
        </w:tc>
        <w:tc>
          <w:tcPr>
            <w:tcW w:w="1314" w:type="dxa"/>
            <w:vMerge w:val="restart"/>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服务态度或服务不规范，如：服务人员着装不规范，言语生硬、敷衍、态度不好；未能妥善处理客户的不满情绪；用户要求附加一些明显力所能及范围之内的服务而拒不提供服务；损坏客户物品未赔偿等违反服务规范的行为。</w:t>
            </w:r>
          </w:p>
        </w:tc>
        <w:tc>
          <w:tcPr>
            <w:tcW w:w="1038"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服务前的服务规范</w:t>
            </w:r>
          </w:p>
        </w:tc>
        <w:tc>
          <w:tcPr>
            <w:tcW w:w="325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1）上门服务人员应着品牌工装；</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 xml:space="preserve"> 2）安装/维修前应与最终用户核对机器型号、配置和台数；如维修需要向客户核实故障现象。</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3）安装前检查确认外包装完好再拆箱安装；如有异常须及时向最终用户反馈并报备给万翔客服专员后，再进行开箱验机；</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4）安装/维修前应检查最终用户的电源电压是否安全稳定，如有问题，应及时告知最终用户，协商整改；</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5）由于服务单位自身原因造成多人或多次联系客户、或上门服务时发现由于自身原因不能提供服务（如上门服务发现未带物料、上门安装空调发现未取孔）；</w:t>
            </w:r>
          </w:p>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6）上门安装/维修时发现由于环境复杂或安装/维修有难度，拒绝为客户提供服务。</w:t>
            </w:r>
          </w:p>
        </w:tc>
        <w:tc>
          <w:tcPr>
            <w:tcW w:w="178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任一条，发现未按规范</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400元/次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11</w:t>
            </w:r>
          </w:p>
        </w:tc>
        <w:tc>
          <w:tcPr>
            <w:tcW w:w="719"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314"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038"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服务中的服务规范</w:t>
            </w:r>
          </w:p>
        </w:tc>
        <w:tc>
          <w:tcPr>
            <w:tcW w:w="325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1）安装过程中发现外包装完好，开箱出现货物内损则第一时间给最终用户换机处理，并报备给万翔客服专员；</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2）检查每台机器的服务编号；</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 xml:space="preserve">3) 安装时如果发现设备异常，及时与客户进行沟通，待情况核实清楚后，再行安装； </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4）免费提供所有设备的安装调试（包括计算机操作系统及补丁等应用软件安装等服务），安装完成后要开机测试以确保设备能够正常使用；</w:t>
            </w:r>
          </w:p>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5）协助最终用户安装外设等常用设备。并根据最终用户需求进行设置。</w:t>
            </w:r>
          </w:p>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6）安装位置必须保证设备的正常使用，如安装位置与客户要求不符，需要提前与客户沟通并找到适合的解决方案；</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7）安装务必保障美观，不能出现设备安装歪斜、影响美观或影响设备正常使用等情况；</w:t>
            </w:r>
          </w:p>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8）如果安装/维修数量较多，不能一天内完成，服务单位应连续为客户提供服务，并将情况及时向最终用户做汇报沟通；如有异常情况不能连续安装或暂时先离开现场，必须提前征得最终用户的同意。</w:t>
            </w:r>
          </w:p>
        </w:tc>
        <w:tc>
          <w:tcPr>
            <w:tcW w:w="178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任一条，发现未按规范</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400元/次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23"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12</w:t>
            </w:r>
          </w:p>
        </w:tc>
        <w:tc>
          <w:tcPr>
            <w:tcW w:w="719"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314"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038"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服务后的服务规范</w:t>
            </w:r>
          </w:p>
        </w:tc>
        <w:tc>
          <w:tcPr>
            <w:tcW w:w="325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1)安装完毕，应和最终用户一起确认产品的正常运行。</w:t>
            </w:r>
          </w:p>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br w:type="page"/>
            </w:r>
            <w:r>
              <w:rPr>
                <w:rFonts w:hint="eastAsia" w:ascii="宋体" w:hAnsi="宋体" w:eastAsia="宋体" w:cs="宋体"/>
                <w:color w:val="auto"/>
                <w:kern w:val="0"/>
                <w:sz w:val="18"/>
                <w:szCs w:val="18"/>
                <w:highlight w:val="none"/>
              </w:rPr>
              <w:t>2)安装完毕，并为每台机器注册信息, 应向最终用户详细讲解保修条例；如没有注册信息而导致机器在保修期内无法保修的情况，服务商要负责此维修费用。</w:t>
            </w:r>
          </w:p>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br w:type="page"/>
            </w:r>
            <w:r>
              <w:rPr>
                <w:rFonts w:hint="eastAsia" w:ascii="宋体" w:hAnsi="宋体" w:eastAsia="宋体" w:cs="宋体"/>
                <w:color w:val="auto"/>
                <w:kern w:val="0"/>
                <w:sz w:val="18"/>
                <w:szCs w:val="18"/>
                <w:highlight w:val="none"/>
              </w:rPr>
              <w:t>3)安装完毕，应向最终用户详细讲解使用操作方法和日常维护保养措施，耐心解答最终用户提出的问题，并留下服务电话；在设备合适的地方填(贴)上机器信息（包括报修电话、机器序列号及服务号），以方便最终用户报修。</w:t>
            </w:r>
            <w:r>
              <w:rPr>
                <w:rFonts w:hint="eastAsia" w:ascii="宋体" w:hAnsi="宋体" w:eastAsia="宋体" w:cs="宋体"/>
                <w:color w:val="auto"/>
                <w:kern w:val="0"/>
                <w:sz w:val="18"/>
                <w:szCs w:val="18"/>
                <w:highlight w:val="none"/>
              </w:rPr>
              <w:br w:type="page"/>
            </w:r>
          </w:p>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4）安装/维修等服务结束后，应把工作现场打扫干净，将工具等物品复位，并将安装/维修过程中产生的垃圾带离现场。</w:t>
            </w:r>
          </w:p>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br w:type="page"/>
            </w:r>
            <w:r>
              <w:rPr>
                <w:rFonts w:hint="eastAsia" w:ascii="宋体" w:hAnsi="宋体" w:eastAsia="宋体" w:cs="宋体"/>
                <w:color w:val="auto"/>
                <w:kern w:val="0"/>
                <w:sz w:val="18"/>
                <w:szCs w:val="18"/>
                <w:highlight w:val="none"/>
              </w:rPr>
              <w:t>5）安装完毕，应将《厦门市大宗货物政府采购供货验收单》按万翔网商要求打印并交给客户盖章、签字。</w:t>
            </w:r>
            <w:r>
              <w:rPr>
                <w:rFonts w:hint="eastAsia" w:ascii="宋体" w:hAnsi="宋体" w:eastAsia="宋体" w:cs="宋体"/>
                <w:color w:val="auto"/>
                <w:kern w:val="0"/>
                <w:sz w:val="18"/>
                <w:szCs w:val="18"/>
                <w:highlight w:val="none"/>
              </w:rPr>
              <w:br w:type="page"/>
            </w:r>
          </w:p>
        </w:tc>
        <w:tc>
          <w:tcPr>
            <w:tcW w:w="178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任一条，发现未按规范</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400元/次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2"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13</w:t>
            </w:r>
          </w:p>
        </w:tc>
        <w:tc>
          <w:tcPr>
            <w:tcW w:w="719"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314"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038"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服务仪表、态度</w:t>
            </w:r>
          </w:p>
        </w:tc>
        <w:tc>
          <w:tcPr>
            <w:tcW w:w="325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服务人员着装应规范，言语不生硬、不敷衍、态度好；妥善处理客户的不满情绪；</w:t>
            </w:r>
          </w:p>
        </w:tc>
        <w:tc>
          <w:tcPr>
            <w:tcW w:w="178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客户反馈属实。</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400元/次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3"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14</w:t>
            </w:r>
          </w:p>
        </w:tc>
        <w:tc>
          <w:tcPr>
            <w:tcW w:w="719"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314"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038"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额外情况规范</w:t>
            </w:r>
          </w:p>
        </w:tc>
        <w:tc>
          <w:tcPr>
            <w:tcW w:w="3257" w:type="dxa"/>
          </w:tcPr>
          <w:p>
            <w:pPr>
              <w:keepNext w:val="0"/>
              <w:keepLines w:val="0"/>
              <w:widowControl/>
              <w:suppressLineNumbers w:val="0"/>
              <w:spacing w:before="0" w:beforeAutospacing="0" w:after="240" w:afterAutospacing="0"/>
              <w:ind w:left="0" w:right="0"/>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1）电话联系客户时间及上门服务时间必须在最终用户的正常工作时间内，已提前沟通且客户同意的情况下除外。</w:t>
            </w:r>
          </w:p>
          <w:p>
            <w:pPr>
              <w:keepNext w:val="0"/>
              <w:keepLines w:val="0"/>
              <w:widowControl/>
              <w:suppressLineNumbers w:val="0"/>
              <w:spacing w:before="0" w:beforeAutospacing="0" w:after="24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用户要求附加一些明显力所能及范围之内的服务应配合处理；或者其它品牌产品出现故障需要卖方工程师帮助解决。卖方工程师不得拒绝最终用户，在条件许可的前提下为最终用户解决。如果无法修复应协助最终用户报修相应的服务商或者给出解决方案。</w:t>
            </w:r>
          </w:p>
        </w:tc>
        <w:tc>
          <w:tcPr>
            <w:tcW w:w="178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客户反馈属实。</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400元/次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2"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15</w:t>
            </w:r>
          </w:p>
        </w:tc>
        <w:tc>
          <w:tcPr>
            <w:tcW w:w="719"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314"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038"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意外情况规范</w:t>
            </w:r>
          </w:p>
        </w:tc>
        <w:tc>
          <w:tcPr>
            <w:tcW w:w="3257" w:type="dxa"/>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1）服务过程中如有损坏客户物品，应及时与客户沟通赔偿方案，并在约定时间内进行赔偿。</w:t>
            </w:r>
          </w:p>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2）安装的设备务必保证使用安全，不能出现在使用过程中掉落等意外情况；</w:t>
            </w:r>
          </w:p>
        </w:tc>
        <w:tc>
          <w:tcPr>
            <w:tcW w:w="178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客户反馈属实。</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500元/次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13"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16</w:t>
            </w:r>
          </w:p>
        </w:tc>
        <w:tc>
          <w:tcPr>
            <w:tcW w:w="719"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314"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038"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备用机使用</w:t>
            </w:r>
          </w:p>
        </w:tc>
        <w:tc>
          <w:tcPr>
            <w:tcW w:w="325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反馈客服专员确认使用备用机，如无同型号备用机使用，需提供符合客户需求的其他型号设备使用，备用机必须无偿进行安装调试，并签订《产品备用机使用单》，报修机解除故障归还客户后，还需现场调试，并在《产品备用机使用单》上签署明确可正常使用，才可退还备用机</w:t>
            </w:r>
          </w:p>
        </w:tc>
        <w:tc>
          <w:tcPr>
            <w:tcW w:w="178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未提供备用机的安装调试等；或者客户机子还未修复好，就要求客户归还备用机</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400元/次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8"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17</w:t>
            </w:r>
          </w:p>
        </w:tc>
        <w:tc>
          <w:tcPr>
            <w:tcW w:w="719" w:type="dxa"/>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服务质量</w:t>
            </w:r>
          </w:p>
        </w:tc>
        <w:tc>
          <w:tcPr>
            <w:tcW w:w="1314" w:type="dxa"/>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服务人员不具备服务能力；</w:t>
            </w:r>
          </w:p>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维修后一个月内又出现同样故障、或同一故障频繁重复再现；</w:t>
            </w:r>
          </w:p>
        </w:tc>
        <w:tc>
          <w:tcPr>
            <w:tcW w:w="1038"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客户报修频率</w:t>
            </w:r>
          </w:p>
        </w:tc>
        <w:tc>
          <w:tcPr>
            <w:tcW w:w="325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1）一个月内再次出现同样故障。或者故障反复出现。</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2）明确由于服务引发的产品其他故障。</w:t>
            </w:r>
          </w:p>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3）服务人员上门后表示不会安装或维修，或安装/维修操作不熟练。</w:t>
            </w:r>
          </w:p>
        </w:tc>
        <w:tc>
          <w:tcPr>
            <w:tcW w:w="178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客户反馈属实。</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400元/次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49"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18</w:t>
            </w:r>
          </w:p>
        </w:tc>
        <w:tc>
          <w:tcPr>
            <w:tcW w:w="719" w:type="dxa"/>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收费</w:t>
            </w:r>
          </w:p>
        </w:tc>
        <w:tc>
          <w:tcPr>
            <w:tcW w:w="1314"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未按合同规定操作，未提前与最终用户沟通收费标准，多收费或乱收费</w:t>
            </w:r>
          </w:p>
        </w:tc>
        <w:tc>
          <w:tcPr>
            <w:tcW w:w="1038"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收费项目</w:t>
            </w:r>
          </w:p>
        </w:tc>
        <w:tc>
          <w:tcPr>
            <w:tcW w:w="3257" w:type="dxa"/>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1）有偿服务的范围，应按合同约定的收费标准或公司定价向客户说明并提前报价给客户，合同中明确免费的不得向客户收费，合同中明确免费的不能以隐瞒或欺骗的方式向客户提供收费的替代物料。</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2）报价时应向客户提供清单明细，包括规格型号、单价、数量、总价、保修时间（如有）、保修方式（如有）；</w:t>
            </w:r>
          </w:p>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3）提供服务前必须征得最终用户的同意；不能出现服务完成后才告知客户需要收费。</w:t>
            </w:r>
          </w:p>
        </w:tc>
        <w:tc>
          <w:tcPr>
            <w:tcW w:w="178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客户反馈属实。</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500元/次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6"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19</w:t>
            </w:r>
          </w:p>
        </w:tc>
        <w:tc>
          <w:tcPr>
            <w:tcW w:w="719" w:type="dxa"/>
            <w:vMerge w:val="restart"/>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验收报告回收时效</w:t>
            </w:r>
          </w:p>
        </w:tc>
        <w:tc>
          <w:tcPr>
            <w:tcW w:w="1314" w:type="dxa"/>
            <w:vMerge w:val="restart"/>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未按合同规定，安装调试完成后应及时反馈给买方，并按照买方要求由最终用户填写《验收报告》，三个工作日内报送给买方。超过5个工作日仍未回收的，按每逾期一天10元/单的标准加收违约金。</w:t>
            </w:r>
          </w:p>
        </w:tc>
        <w:tc>
          <w:tcPr>
            <w:tcW w:w="1038"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提供给最终用户验收报告的时效</w:t>
            </w:r>
          </w:p>
        </w:tc>
        <w:tc>
          <w:tcPr>
            <w:tcW w:w="325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1）安装完成后及时提供“验收报告”给最终用户，其中“客户联”留给客户，将其他联在2个工作日内（安装调试完毕后，次日算第一天）回收；</w:t>
            </w:r>
          </w:p>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2）如验收报告超出约定时间提供，必须提前与最终用户做好沟通并征得最终用户的同意。</w:t>
            </w:r>
          </w:p>
        </w:tc>
        <w:tc>
          <w:tcPr>
            <w:tcW w:w="178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安装后超过2个工作日客户催验收报告。</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200元/次+（N-1）*10元/台/次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6"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w:t>
            </w:r>
          </w:p>
        </w:tc>
        <w:tc>
          <w:tcPr>
            <w:tcW w:w="719"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314"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038"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提供客户签盖的验收报告给万翔</w:t>
            </w:r>
          </w:p>
        </w:tc>
        <w:tc>
          <w:tcPr>
            <w:tcW w:w="325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安装验收后5个工作日内将“验收报告”按要求返回给万翔网商，如超出时间未返回，必须提前向万翔客服说明情况；如万翔网商未收到反馈且在安装后5个工作日内未收到返回的“验收报告”则视为延误。</w:t>
            </w:r>
          </w:p>
        </w:tc>
        <w:tc>
          <w:tcPr>
            <w:tcW w:w="178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安装后超过5个工作日万翔网商未收到验收报告</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200元/次+（N-1）*10元/台/次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6"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21</w:t>
            </w:r>
          </w:p>
        </w:tc>
        <w:tc>
          <w:tcPr>
            <w:tcW w:w="719" w:type="dxa"/>
            <w:vMerge w:val="restart"/>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信息反馈</w:t>
            </w:r>
          </w:p>
        </w:tc>
        <w:tc>
          <w:tcPr>
            <w:tcW w:w="1314" w:type="dxa"/>
            <w:vMerge w:val="restart"/>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未按买方要求反馈所需报表，或所提供报表信息存在虚假的问题。</w:t>
            </w:r>
          </w:p>
        </w:tc>
        <w:tc>
          <w:tcPr>
            <w:tcW w:w="1038"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服务商操作平台进度回复</w:t>
            </w:r>
          </w:p>
        </w:tc>
        <w:tc>
          <w:tcPr>
            <w:tcW w:w="325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在收到买方派单后且在服务完成后一个工作日内进行回复</w:t>
            </w:r>
          </w:p>
        </w:tc>
        <w:tc>
          <w:tcPr>
            <w:tcW w:w="1787" w:type="dxa"/>
            <w:noWrap/>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回复不及时、虚假信息等</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500元/次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6"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22</w:t>
            </w:r>
          </w:p>
        </w:tc>
        <w:tc>
          <w:tcPr>
            <w:tcW w:w="719"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314"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038"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日常售后回复信息</w:t>
            </w:r>
          </w:p>
        </w:tc>
        <w:tc>
          <w:tcPr>
            <w:tcW w:w="325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在收到买方派单后应按照合同要求及时进行回复</w:t>
            </w:r>
          </w:p>
        </w:tc>
        <w:tc>
          <w:tcPr>
            <w:tcW w:w="1787" w:type="dxa"/>
            <w:noWrap/>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催安装、报修、退换货等售后需求，处理情况虚假等</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500元/次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6"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23</w:t>
            </w:r>
          </w:p>
        </w:tc>
        <w:tc>
          <w:tcPr>
            <w:tcW w:w="719"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314"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038"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其他万翔要求提供的信息</w:t>
            </w:r>
          </w:p>
        </w:tc>
        <w:tc>
          <w:tcPr>
            <w:tcW w:w="325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在收到买方派单后应按照合同要求及时进行回复</w:t>
            </w:r>
          </w:p>
        </w:tc>
        <w:tc>
          <w:tcPr>
            <w:tcW w:w="1787" w:type="dxa"/>
            <w:noWrap/>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信息虚假等</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500元/次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6"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24</w:t>
            </w:r>
          </w:p>
        </w:tc>
        <w:tc>
          <w:tcPr>
            <w:tcW w:w="719" w:type="dxa"/>
            <w:vMerge w:val="restart"/>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投诉（根据卖方产品质量、服务造成用户投诉的层级进计收违约金，当投诉涉及多个层级以最高层级计收违约金标准为准）</w:t>
            </w:r>
          </w:p>
        </w:tc>
        <w:tc>
          <w:tcPr>
            <w:tcW w:w="1314"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1、投诉至买方售后服务部门并得以证实                                        </w:t>
            </w:r>
          </w:p>
        </w:tc>
        <w:tc>
          <w:tcPr>
            <w:tcW w:w="1038"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投诉到万翔售后</w:t>
            </w:r>
          </w:p>
        </w:tc>
        <w:tc>
          <w:tcPr>
            <w:tcW w:w="325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应妥善处理客户不满或者需求，不应让客户向万翔投诉</w:t>
            </w:r>
          </w:p>
        </w:tc>
        <w:tc>
          <w:tcPr>
            <w:tcW w:w="1787" w:type="dxa"/>
            <w:noWrap/>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服务商无法证明情况不属实</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10000元/次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6"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25</w:t>
            </w:r>
          </w:p>
        </w:tc>
        <w:tc>
          <w:tcPr>
            <w:tcW w:w="719"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314"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2、投诉至厦门翔业集团内部监管部门并得以证实          </w:t>
            </w:r>
          </w:p>
        </w:tc>
        <w:tc>
          <w:tcPr>
            <w:tcW w:w="1038"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投诉到翔业集团内部监管部门</w:t>
            </w:r>
          </w:p>
        </w:tc>
        <w:tc>
          <w:tcPr>
            <w:tcW w:w="325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应妥善处理客户不满或者需求，不应让客户向翔业集团监管部门投诉</w:t>
            </w:r>
          </w:p>
        </w:tc>
        <w:tc>
          <w:tcPr>
            <w:tcW w:w="1787" w:type="dxa"/>
            <w:noWrap/>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服务商无法证明情况不属实</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20000元/次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6"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26</w:t>
            </w:r>
          </w:p>
        </w:tc>
        <w:tc>
          <w:tcPr>
            <w:tcW w:w="719"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314"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3、投诉至社会监管部门（如工商局等）并得到证实</w:t>
            </w:r>
          </w:p>
        </w:tc>
        <w:tc>
          <w:tcPr>
            <w:tcW w:w="1038"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投诉到社会监管部门</w:t>
            </w:r>
          </w:p>
        </w:tc>
        <w:tc>
          <w:tcPr>
            <w:tcW w:w="325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应妥善处理客户不满或者需求，不应让客户社会监管部门投诉</w:t>
            </w:r>
          </w:p>
        </w:tc>
        <w:tc>
          <w:tcPr>
            <w:tcW w:w="178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服务商无法取得社会监管部门撤诉</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40000元/次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54" w:hRule="atLeast"/>
          <w:jc w:val="center"/>
        </w:trPr>
        <w:tc>
          <w:tcPr>
            <w:tcW w:w="485" w:type="dxa"/>
            <w:tcBorders>
              <w:bottom w:val="single" w:color="000000" w:themeColor="text1" w:sz="4" w:space="0"/>
            </w:tcBorders>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27</w:t>
            </w:r>
          </w:p>
        </w:tc>
        <w:tc>
          <w:tcPr>
            <w:tcW w:w="719" w:type="dxa"/>
            <w:vMerge w:val="continue"/>
            <w:tcBorders>
              <w:bottom w:val="single" w:color="000000" w:themeColor="text1" w:sz="4" w:space="0"/>
            </w:tcBorders>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314" w:type="dxa"/>
            <w:tcBorders>
              <w:bottom w:val="single" w:color="000000" w:themeColor="text1" w:sz="4" w:space="0"/>
            </w:tcBorders>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4、投诉至社会媒体并被曝光（如报纸、杂志、电视广播、主流官网等）                                       </w:t>
            </w:r>
          </w:p>
        </w:tc>
        <w:tc>
          <w:tcPr>
            <w:tcW w:w="1038" w:type="dxa"/>
            <w:tcBorders>
              <w:bottom w:val="single" w:color="000000" w:themeColor="text1" w:sz="4" w:space="0"/>
            </w:tcBorders>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投诉至社会媒体并被曝光（如报纸、杂志、电视广播、主流官网等）                                       </w:t>
            </w:r>
          </w:p>
        </w:tc>
        <w:tc>
          <w:tcPr>
            <w:tcW w:w="3257" w:type="dxa"/>
            <w:tcBorders>
              <w:bottom w:val="single" w:color="000000" w:themeColor="text1" w:sz="4" w:space="0"/>
            </w:tcBorders>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应妥善处理客户不满或者需求，不应让客户投诉到社会媒体</w:t>
            </w:r>
          </w:p>
        </w:tc>
        <w:tc>
          <w:tcPr>
            <w:tcW w:w="1787" w:type="dxa"/>
            <w:tcBorders>
              <w:bottom w:val="single" w:color="000000" w:themeColor="text1" w:sz="4" w:space="0"/>
            </w:tcBorders>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报纸、杂志、电视广播、主流官网等曝光了事情</w:t>
            </w:r>
          </w:p>
        </w:tc>
        <w:tc>
          <w:tcPr>
            <w:tcW w:w="2139" w:type="dxa"/>
            <w:tcBorders>
              <w:bottom w:val="single" w:color="000000" w:themeColor="text1" w:sz="4" w:space="0"/>
            </w:tcBorders>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200000元/次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jc w:val="center"/>
        </w:trPr>
        <w:tc>
          <w:tcPr>
            <w:tcW w:w="485" w:type="dxa"/>
            <w:shd w:val="clear" w:color="auto" w:fill="auto"/>
          </w:tcPr>
          <w:p>
            <w:pPr>
              <w:keepNext w:val="0"/>
              <w:keepLines w:val="0"/>
              <w:suppressLineNumbers w:val="0"/>
              <w:spacing w:before="0" w:beforeAutospacing="0" w:after="0" w:afterAutospacing="0"/>
              <w:ind w:left="0" w:right="0"/>
              <w:rPr>
                <w:rFonts w:hint="default"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28</w:t>
            </w:r>
          </w:p>
        </w:tc>
        <w:tc>
          <w:tcPr>
            <w:tcW w:w="719" w:type="dxa"/>
            <w:shd w:val="clear" w:color="auto" w:fill="auto"/>
          </w:tcPr>
          <w:p>
            <w:pPr>
              <w:keepNext w:val="0"/>
              <w:keepLines w:val="0"/>
              <w:suppressLineNumbers w:val="0"/>
              <w:spacing w:before="0" w:beforeAutospacing="0" w:after="0" w:afterAutospacing="0"/>
              <w:ind w:left="0" w:right="0"/>
              <w:rPr>
                <w:rFonts w:hint="default"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考核违约金缴交或履约保证金扣划</w:t>
            </w:r>
          </w:p>
        </w:tc>
        <w:tc>
          <w:tcPr>
            <w:tcW w:w="1314" w:type="dxa"/>
            <w:shd w:val="clear" w:color="auto" w:fill="auto"/>
          </w:tcPr>
          <w:p>
            <w:pPr>
              <w:keepNext w:val="0"/>
              <w:keepLines w:val="0"/>
              <w:suppressLineNumbers w:val="0"/>
              <w:spacing w:before="0" w:beforeAutospacing="0" w:after="0" w:afterAutospacing="0"/>
              <w:ind w:left="0" w:right="-107" w:rightChars="-51"/>
              <w:rPr>
                <w:rFonts w:hint="default"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收到考核表后30</w:t>
            </w:r>
            <w:r>
              <w:rPr>
                <w:rFonts w:hint="eastAsia" w:ascii="宋体" w:hAnsi="宋体" w:eastAsia="宋体" w:cs="Times New Roman"/>
                <w:color w:val="auto"/>
                <w:kern w:val="0"/>
                <w:sz w:val="18"/>
                <w:szCs w:val="18"/>
                <w:highlight w:val="none"/>
              </w:rPr>
              <w:t>个日历</w:t>
            </w:r>
            <w:r>
              <w:rPr>
                <w:rFonts w:hint="eastAsia" w:ascii="宋体" w:hAnsi="宋体" w:eastAsia="宋体" w:cs="Times New Roman"/>
                <w:color w:val="auto"/>
                <w:kern w:val="0"/>
                <w:sz w:val="18"/>
                <w:szCs w:val="18"/>
                <w:highlight w:val="none"/>
              </w:rPr>
              <w:t>日内交清考核款项</w:t>
            </w:r>
          </w:p>
        </w:tc>
        <w:tc>
          <w:tcPr>
            <w:tcW w:w="1038" w:type="dxa"/>
            <w:shd w:val="clear" w:color="auto" w:fill="auto"/>
          </w:tcPr>
          <w:p>
            <w:pPr>
              <w:keepNext w:val="0"/>
              <w:keepLines w:val="0"/>
              <w:suppressLineNumbers w:val="0"/>
              <w:spacing w:before="0" w:beforeAutospacing="0" w:after="0" w:afterAutospacing="0"/>
              <w:ind w:left="0" w:right="0"/>
              <w:rPr>
                <w:rFonts w:hint="default"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违约金缴交</w:t>
            </w:r>
          </w:p>
        </w:tc>
        <w:tc>
          <w:tcPr>
            <w:tcW w:w="3257" w:type="dxa"/>
            <w:shd w:val="clear" w:color="auto" w:fill="auto"/>
          </w:tcPr>
          <w:p>
            <w:pPr>
              <w:keepNext w:val="0"/>
              <w:keepLines w:val="0"/>
              <w:suppressLineNumbers w:val="0"/>
              <w:spacing w:before="0" w:beforeAutospacing="0" w:after="0" w:afterAutospacing="0"/>
              <w:ind w:left="0" w:right="0"/>
              <w:rPr>
                <w:rFonts w:hint="default"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服务商应在收到万翔网商发出考核表后的30</w:t>
            </w:r>
            <w:r>
              <w:rPr>
                <w:rFonts w:hint="eastAsia" w:ascii="宋体" w:hAnsi="宋体" w:eastAsia="宋体" w:cs="Times New Roman"/>
                <w:color w:val="auto"/>
                <w:kern w:val="0"/>
                <w:sz w:val="18"/>
                <w:szCs w:val="18"/>
                <w:highlight w:val="none"/>
              </w:rPr>
              <w:t>个日历</w:t>
            </w:r>
            <w:r>
              <w:rPr>
                <w:rFonts w:hint="eastAsia" w:ascii="宋体" w:hAnsi="宋体" w:eastAsia="宋体" w:cs="Times New Roman"/>
                <w:color w:val="auto"/>
                <w:kern w:val="0"/>
                <w:sz w:val="18"/>
                <w:szCs w:val="18"/>
                <w:highlight w:val="none"/>
              </w:rPr>
              <w:t>日内交清违约金，交完后将付款情况告知万翔网商对应的采购专员。</w:t>
            </w:r>
          </w:p>
        </w:tc>
        <w:tc>
          <w:tcPr>
            <w:tcW w:w="1787" w:type="dxa"/>
            <w:shd w:val="clear" w:color="auto" w:fill="auto"/>
          </w:tcPr>
          <w:p>
            <w:pPr>
              <w:keepNext w:val="0"/>
              <w:keepLines w:val="0"/>
              <w:suppressLineNumbers w:val="0"/>
              <w:spacing w:before="0" w:beforeAutospacing="0" w:after="0" w:afterAutospacing="0"/>
              <w:ind w:left="0" w:right="0"/>
              <w:rPr>
                <w:rFonts w:hint="default"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未按要求时效和金额缴交违约金</w:t>
            </w:r>
          </w:p>
        </w:tc>
        <w:tc>
          <w:tcPr>
            <w:tcW w:w="2139" w:type="dxa"/>
            <w:shd w:val="clear" w:color="auto" w:fill="auto"/>
          </w:tcPr>
          <w:p>
            <w:pPr>
              <w:keepNext w:val="0"/>
              <w:keepLines w:val="0"/>
              <w:suppressLineNumbers w:val="0"/>
              <w:spacing w:before="0" w:beforeAutospacing="0" w:after="0" w:afterAutospacing="0"/>
              <w:ind w:left="0" w:right="0"/>
              <w:rPr>
                <w:rFonts w:hint="default"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超过30</w:t>
            </w:r>
            <w:r>
              <w:rPr>
                <w:rFonts w:hint="eastAsia" w:ascii="宋体" w:hAnsi="宋体" w:eastAsia="宋体" w:cs="Times New Roman"/>
                <w:color w:val="auto"/>
                <w:kern w:val="0"/>
                <w:sz w:val="18"/>
                <w:szCs w:val="18"/>
                <w:highlight w:val="none"/>
              </w:rPr>
              <w:t>个日历</w:t>
            </w:r>
            <w:r>
              <w:rPr>
                <w:rFonts w:hint="eastAsia" w:ascii="宋体" w:hAnsi="宋体" w:eastAsia="宋体" w:cs="Times New Roman"/>
                <w:color w:val="auto"/>
                <w:kern w:val="0"/>
                <w:sz w:val="18"/>
                <w:szCs w:val="18"/>
                <w:highlight w:val="none"/>
              </w:rPr>
              <w:t>日按双倍计收违约金</w:t>
            </w:r>
          </w:p>
        </w:tc>
      </w:tr>
    </w:tbl>
    <w:p>
      <w:pPr>
        <w:ind w:firstLine="480" w:firstLineChars="200"/>
        <w:rPr>
          <w:rFonts w:hint="eastAsia" w:ascii="宋体" w:hAnsi="宋体" w:eastAsia="宋体"/>
          <w:color w:val="auto"/>
          <w:sz w:val="24"/>
          <w:szCs w:val="24"/>
          <w:highlight w:val="none"/>
        </w:rPr>
      </w:pPr>
      <w:r>
        <w:rPr>
          <w:rFonts w:hint="default" w:ascii="宋体" w:hAnsi="宋体" w:eastAsia="宋体"/>
          <w:color w:val="auto"/>
          <w:sz w:val="24"/>
          <w:szCs w:val="24"/>
          <w:highlight w:val="none"/>
          <w:lang w:val="en-US"/>
        </w:rPr>
        <w:t> </w:t>
      </w:r>
      <w:r>
        <w:rPr>
          <w:rFonts w:hint="eastAsia" w:ascii="宋体" w:hAnsi="宋体" w:eastAsia="宋体"/>
          <w:color w:val="auto"/>
          <w:sz w:val="24"/>
          <w:szCs w:val="24"/>
          <w:highlight w:val="none"/>
        </w:rPr>
        <w:fldChar w:fldCharType="end"/>
      </w:r>
      <w:bookmarkEnd w:id="31"/>
    </w:p>
    <w:p>
      <w:pPr>
        <w:rPr>
          <w:rFonts w:ascii="宋体" w:hAnsi="宋体" w:eastAsia="宋体"/>
          <w:color w:val="auto"/>
          <w:sz w:val="24"/>
          <w:szCs w:val="24"/>
          <w:highlight w:val="none"/>
        </w:rPr>
      </w:pPr>
    </w:p>
    <w:p>
      <w:pPr>
        <w:rPr>
          <w:rFonts w:ascii="宋体" w:hAnsi="宋体" w:eastAsia="宋体"/>
          <w:color w:val="auto"/>
          <w:sz w:val="24"/>
          <w:szCs w:val="24"/>
          <w:highlight w:val="none"/>
        </w:rPr>
      </w:pPr>
    </w:p>
    <w:p>
      <w:pPr>
        <w:rPr>
          <w:rFonts w:ascii="宋体" w:hAnsi="宋体" w:eastAsia="宋体"/>
          <w:color w:val="auto"/>
          <w:sz w:val="24"/>
          <w:szCs w:val="24"/>
          <w:highlight w:val="none"/>
        </w:rPr>
        <w:sectPr>
          <w:pgSz w:w="11906" w:h="16838"/>
          <w:pgMar w:top="1440" w:right="1800" w:bottom="1440" w:left="1800" w:header="851" w:footer="992" w:gutter="0"/>
          <w:cols w:space="425" w:num="1"/>
          <w:docGrid w:type="lines" w:linePitch="312" w:charSpace="0"/>
        </w:sectPr>
      </w:pPr>
    </w:p>
    <w:sdt>
      <w:sdtPr>
        <w:rPr>
          <w:rFonts w:hint="eastAsia" w:ascii="宋体" w:hAnsi="宋体" w:eastAsia="宋体" w:cstheme="minorBidi"/>
          <w:b/>
          <w:bCs/>
          <w:color w:val="auto"/>
          <w:kern w:val="2"/>
          <w:sz w:val="24"/>
          <w:szCs w:val="24"/>
          <w:highlight w:val="none"/>
          <w:lang w:val="en-US" w:eastAsia="zh-CN" w:bidi="ar-SA"/>
        </w:rPr>
        <w:id w:val="147458957"/>
        <w:placeholder>
          <w:docPart w:val="{fce089f2-9f15-435b-917d-72166b317564}"/>
        </w:placeholder>
      </w:sdtPr>
      <w:sdtEndPr>
        <w:rPr>
          <w:rFonts w:hint="eastAsia" w:ascii="宋体" w:hAnsi="宋体" w:eastAsia="宋体" w:cs="宋体"/>
          <w:b/>
          <w:bCs/>
          <w:color w:val="auto"/>
          <w:kern w:val="2"/>
          <w:sz w:val="24"/>
          <w:szCs w:val="24"/>
          <w:highlight w:val="none"/>
          <w:lang w:val="en-US" w:eastAsia="zh-CN" w:bidi="ar-SA"/>
        </w:rPr>
      </w:sdtEndPr>
      <w:sdtContent>
        <w:p>
          <w:pP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b/>
              <w:bCs/>
              <w:color w:val="auto"/>
              <w:sz w:val="24"/>
              <w:szCs w:val="24"/>
              <w:highlight w:val="none"/>
            </w:rPr>
            <w:t>附件3：</w:t>
          </w:r>
          <w:r>
            <w:rPr>
              <w:rFonts w:hint="eastAsia" w:ascii="宋体" w:hAnsi="宋体" w:eastAsia="宋体" w:cs="宋体"/>
              <w:b/>
              <w:bCs/>
              <w:color w:val="auto"/>
              <w:sz w:val="24"/>
              <w:szCs w:val="24"/>
              <w:highlight w:val="none"/>
            </w:rPr>
            <w:t>安装费用收费标准</w:t>
          </w:r>
        </w:p>
      </w:sdtContent>
    </w:sdt>
    <w:p>
      <w:pPr>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fldChar w:fldCharType="begin">
          <w:ffData>
            <w:name w:val="Text5"/>
            <w:enabled/>
            <w:calcOnExit w:val="0"/>
            <w:textInput/>
          </w:ffData>
        </w:fldChar>
      </w:r>
      <w:bookmarkStart w:id="32" w:name="Text5"/>
      <w:r>
        <w:rPr>
          <w:rFonts w:hint="eastAsia" w:ascii="宋体" w:hAnsi="宋体" w:eastAsia="宋体" w:cs="宋体"/>
          <w:b/>
          <w:bCs/>
          <w:color w:val="auto"/>
          <w:kern w:val="2"/>
          <w:sz w:val="24"/>
          <w:szCs w:val="24"/>
          <w:highlight w:val="none"/>
          <w:lang w:val="en-US" w:eastAsia="zh-CN" w:bidi="ar-SA"/>
        </w:rPr>
        <w:instrText xml:space="preserve">FORMTEXT</w:instrText>
      </w:r>
      <w:r>
        <w:rPr>
          <w:rFonts w:hint="eastAsia" w:ascii="宋体" w:hAnsi="宋体" w:eastAsia="宋体" w:cs="宋体"/>
          <w:b/>
          <w:bCs/>
          <w:color w:val="auto"/>
          <w:kern w:val="2"/>
          <w:sz w:val="24"/>
          <w:szCs w:val="24"/>
          <w:highlight w:val="none"/>
          <w:lang w:val="en-US" w:eastAsia="zh-CN" w:bidi="ar-SA"/>
        </w:rPr>
        <w:fldChar w:fldCharType="separate"/>
      </w:r>
      <w:r>
        <w:rPr>
          <w:rFonts w:hint="default" w:ascii="宋体" w:hAnsi="宋体" w:eastAsia="宋体" w:cs="宋体"/>
          <w:b/>
          <w:bCs/>
          <w:color w:val="auto"/>
          <w:kern w:val="2"/>
          <w:sz w:val="24"/>
          <w:szCs w:val="24"/>
          <w:highlight w:val="none"/>
          <w:lang w:val="en-US" w:eastAsia="zh-CN" w:bidi="ar-SA"/>
        </w:rPr>
        <w:t> </w:t>
      </w:r>
    </w:p>
    <w:tbl>
      <w:tblPr>
        <w:tblStyle w:val="14"/>
        <w:tblW w:w="0" w:type="auto"/>
        <w:tblInd w:w="0" w:type="dxa"/>
        <w:tblLayout w:type="fixed"/>
        <w:tblCellMar>
          <w:top w:w="0" w:type="dxa"/>
          <w:left w:w="108" w:type="dxa"/>
          <w:bottom w:w="0" w:type="dxa"/>
          <w:right w:w="108" w:type="dxa"/>
        </w:tblCellMar>
      </w:tblPr>
      <w:tblGrid>
        <w:gridCol w:w="2125"/>
        <w:gridCol w:w="4977"/>
        <w:gridCol w:w="1194"/>
      </w:tblGrid>
      <w:tr>
        <w:tblPrEx>
          <w:tblCellMar>
            <w:top w:w="0" w:type="dxa"/>
            <w:left w:w="108" w:type="dxa"/>
            <w:bottom w:w="0" w:type="dxa"/>
            <w:right w:w="108" w:type="dxa"/>
          </w:tblCellMar>
        </w:tblPrEx>
        <w:trPr>
          <w:trHeight w:val="555" w:hRule="atLeast"/>
        </w:trPr>
        <w:tc>
          <w:tcPr>
            <w:tcW w:w="21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费用名称</w:t>
            </w:r>
          </w:p>
        </w:tc>
        <w:tc>
          <w:tcPr>
            <w:tcW w:w="4977"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color="auto" w:fill="FFFFFF"/>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区域范围</w:t>
            </w:r>
          </w:p>
        </w:tc>
        <w:tc>
          <w:tcPr>
            <w:tcW w:w="1194"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color="auto" w:fill="FFFFFF"/>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收费标准</w:t>
            </w:r>
          </w:p>
        </w:tc>
      </w:tr>
      <w:tr>
        <w:tblPrEx>
          <w:tblCellMar>
            <w:top w:w="0" w:type="dxa"/>
            <w:left w:w="108" w:type="dxa"/>
            <w:bottom w:w="0" w:type="dxa"/>
            <w:right w:w="108" w:type="dxa"/>
          </w:tblCellMar>
        </w:tblPrEx>
        <w:trPr>
          <w:trHeight w:val="332" w:hRule="atLeast"/>
        </w:trPr>
        <w:tc>
          <w:tcPr>
            <w:tcW w:w="2125" w:type="dxa"/>
            <w:vMerge w:val="restart"/>
            <w:tcBorders>
              <w:top w:val="nil"/>
              <w:left w:val="single" w:color="auto" w:sz="4" w:space="0"/>
              <w:bottom w:val="single" w:color="auto" w:sz="4" w:space="0"/>
              <w:right w:val="single" w:color="auto" w:sz="4" w:space="0"/>
            </w:tcBorders>
            <w:vAlign w:val="center"/>
          </w:tcPr>
          <w:p>
            <w:pPr>
              <w:keepNext w:val="0"/>
              <w:keepLines w:val="0"/>
              <w:suppressLineNumbers w:val="0"/>
              <w:shd w:val="clear" w:color="auto" w:fill="FFFFFF"/>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安装费用</w:t>
            </w:r>
          </w:p>
        </w:tc>
        <w:tc>
          <w:tcPr>
            <w:tcW w:w="4977" w:type="dxa"/>
            <w:tcBorders>
              <w:top w:val="nil"/>
              <w:left w:val="nil"/>
              <w:bottom w:val="single" w:color="auto" w:sz="4" w:space="0"/>
              <w:right w:val="single" w:color="auto" w:sz="4" w:space="0"/>
            </w:tcBorders>
            <w:vAlign w:val="center"/>
          </w:tcPr>
          <w:p>
            <w:pPr>
              <w:keepNext w:val="0"/>
              <w:keepLines w:val="0"/>
              <w:suppressLineNumbers w:val="0"/>
              <w:shd w:val="clear" w:color="auto" w:fill="FFFFFF"/>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厦门市全区、福州市区内、莆田市区内、泉州市区内、漳州市区内、龙岩市区内、三明市区内、南平市区内和宁德市区内（福建省各地市区外划分详见该表格备注栏）</w:t>
            </w:r>
          </w:p>
        </w:tc>
        <w:tc>
          <w:tcPr>
            <w:tcW w:w="1194" w:type="dxa"/>
            <w:tcBorders>
              <w:top w:val="nil"/>
              <w:left w:val="nil"/>
              <w:bottom w:val="single" w:color="auto" w:sz="4" w:space="0"/>
              <w:right w:val="single" w:color="auto" w:sz="4" w:space="0"/>
            </w:tcBorders>
            <w:vAlign w:val="center"/>
          </w:tcPr>
          <w:p>
            <w:pPr>
              <w:keepNext w:val="0"/>
              <w:keepLines w:val="0"/>
              <w:suppressLineNumbers w:val="0"/>
              <w:shd w:val="clear" w:color="auto" w:fill="FFFFFF"/>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免费</w:t>
            </w:r>
          </w:p>
        </w:tc>
      </w:tr>
      <w:tr>
        <w:tblPrEx>
          <w:tblCellMar>
            <w:top w:w="0" w:type="dxa"/>
            <w:left w:w="108" w:type="dxa"/>
            <w:bottom w:w="0" w:type="dxa"/>
            <w:right w:w="108" w:type="dxa"/>
          </w:tblCellMar>
        </w:tblPrEx>
        <w:trPr>
          <w:trHeight w:val="332" w:hRule="atLeast"/>
        </w:trPr>
        <w:tc>
          <w:tcPr>
            <w:tcW w:w="2125"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Cs w:val="21"/>
                <w:highlight w:val="none"/>
              </w:rPr>
            </w:pPr>
          </w:p>
        </w:tc>
        <w:tc>
          <w:tcPr>
            <w:tcW w:w="4977" w:type="dxa"/>
            <w:tcBorders>
              <w:top w:val="nil"/>
              <w:left w:val="nil"/>
              <w:bottom w:val="single" w:color="auto" w:sz="4" w:space="0"/>
              <w:right w:val="single" w:color="auto" w:sz="4" w:space="0"/>
            </w:tcBorders>
            <w:vAlign w:val="center"/>
          </w:tcPr>
          <w:p>
            <w:pPr>
              <w:keepNext w:val="0"/>
              <w:keepLines w:val="0"/>
              <w:suppressLineNumbers w:val="0"/>
              <w:shd w:val="clear" w:color="auto" w:fill="FFFFFF"/>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福州市区外、莆田市区外、泉州市区外、漳州市区外、龙岩市区外、三明市区外、南平市区外和宁德市区外（福建省各地市区外划分详见该表格备注栏）</w:t>
            </w:r>
          </w:p>
        </w:tc>
        <w:tc>
          <w:tcPr>
            <w:tcW w:w="1194" w:type="dxa"/>
            <w:tcBorders>
              <w:top w:val="nil"/>
              <w:left w:val="nil"/>
              <w:bottom w:val="single" w:color="auto" w:sz="4" w:space="0"/>
              <w:right w:val="single" w:color="auto" w:sz="4" w:space="0"/>
            </w:tcBorders>
            <w:vAlign w:val="center"/>
          </w:tcPr>
          <w:p>
            <w:pPr>
              <w:keepNext w:val="0"/>
              <w:keepLines w:val="0"/>
              <w:suppressLineNumbers w:val="0"/>
              <w:shd w:val="clear" w:color="auto" w:fill="FFFFFF"/>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元/台</w:t>
            </w:r>
          </w:p>
        </w:tc>
      </w:tr>
      <w:tr>
        <w:tblPrEx>
          <w:tblCellMar>
            <w:top w:w="0" w:type="dxa"/>
            <w:left w:w="108" w:type="dxa"/>
            <w:bottom w:w="0" w:type="dxa"/>
            <w:right w:w="108" w:type="dxa"/>
          </w:tblCellMar>
        </w:tblPrEx>
        <w:trPr>
          <w:trHeight w:val="1140" w:hRule="atLeast"/>
        </w:trPr>
        <w:tc>
          <w:tcPr>
            <w:tcW w:w="829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备注：福建省各地市的区内/区外划分</w:t>
            </w:r>
          </w:p>
          <w:tbl>
            <w:tblPr>
              <w:tblStyle w:val="14"/>
              <w:tblW w:w="0" w:type="auto"/>
              <w:tblInd w:w="0" w:type="dxa"/>
              <w:tblLayout w:type="fixed"/>
              <w:tblCellMar>
                <w:top w:w="0" w:type="dxa"/>
                <w:left w:w="108" w:type="dxa"/>
                <w:bottom w:w="0" w:type="dxa"/>
                <w:right w:w="108" w:type="dxa"/>
              </w:tblCellMar>
            </w:tblPr>
            <w:tblGrid>
              <w:gridCol w:w="1014"/>
              <w:gridCol w:w="993"/>
              <w:gridCol w:w="6053"/>
            </w:tblGrid>
            <w:tr>
              <w:tblPrEx>
                <w:tblCellMar>
                  <w:top w:w="0" w:type="dxa"/>
                  <w:left w:w="108" w:type="dxa"/>
                  <w:bottom w:w="0" w:type="dxa"/>
                  <w:right w:w="108" w:type="dxa"/>
                </w:tblCellMar>
              </w:tblPrEx>
              <w:trPr>
                <w:trHeight w:val="375" w:hRule="atLeast"/>
              </w:trPr>
              <w:tc>
                <w:tcPr>
                  <w:tcW w:w="10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厦门</w:t>
                  </w:r>
                </w:p>
              </w:tc>
              <w:tc>
                <w:tcPr>
                  <w:tcW w:w="993" w:type="dxa"/>
                  <w:tcBorders>
                    <w:top w:val="single" w:color="auto" w:sz="8" w:space="0"/>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岛内</w:t>
                  </w:r>
                </w:p>
              </w:tc>
              <w:tc>
                <w:tcPr>
                  <w:tcW w:w="6053" w:type="dxa"/>
                  <w:tcBorders>
                    <w:top w:val="single" w:color="auto" w:sz="8" w:space="0"/>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思明区、湖里区</w:t>
                  </w:r>
                </w:p>
              </w:tc>
            </w:tr>
            <w:tr>
              <w:tblPrEx>
                <w:tblCellMar>
                  <w:top w:w="0" w:type="dxa"/>
                  <w:left w:w="108" w:type="dxa"/>
                  <w:bottom w:w="0" w:type="dxa"/>
                  <w:right w:w="108" w:type="dxa"/>
                </w:tblCellMar>
              </w:tblPrEx>
              <w:trPr>
                <w:trHeight w:val="405" w:hRule="atLeast"/>
              </w:trPr>
              <w:tc>
                <w:tcPr>
                  <w:tcW w:w="10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p>
              </w:tc>
              <w:tc>
                <w:tcPr>
                  <w:tcW w:w="993" w:type="dxa"/>
                  <w:tcBorders>
                    <w:top w:val="single" w:color="auto" w:sz="8" w:space="0"/>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岛外</w:t>
                  </w:r>
                </w:p>
              </w:tc>
              <w:tc>
                <w:tcPr>
                  <w:tcW w:w="6053" w:type="dxa"/>
                  <w:tcBorders>
                    <w:top w:val="single" w:color="auto" w:sz="8" w:space="0"/>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海沧区、集美区、同安区、翔安区等厦门市非岛内范围</w:t>
                  </w:r>
                </w:p>
              </w:tc>
            </w:tr>
            <w:tr>
              <w:tblPrEx>
                <w:tblCellMar>
                  <w:top w:w="0" w:type="dxa"/>
                  <w:left w:w="108" w:type="dxa"/>
                  <w:bottom w:w="0" w:type="dxa"/>
                  <w:right w:w="108" w:type="dxa"/>
                </w:tblCellMar>
              </w:tblPrEx>
              <w:trPr>
                <w:trHeight w:val="310" w:hRule="atLeast"/>
              </w:trPr>
              <w:tc>
                <w:tcPr>
                  <w:tcW w:w="10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福州市</w:t>
                  </w:r>
                </w:p>
              </w:tc>
              <w:tc>
                <w:tcPr>
                  <w:tcW w:w="993" w:type="dxa"/>
                  <w:tcBorders>
                    <w:top w:val="single" w:color="auto" w:sz="8" w:space="0"/>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区内</w:t>
                  </w:r>
                </w:p>
              </w:tc>
              <w:tc>
                <w:tcPr>
                  <w:tcW w:w="6053" w:type="dxa"/>
                  <w:tcBorders>
                    <w:top w:val="single" w:color="auto" w:sz="8" w:space="0"/>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鼓楼区、台江区、仓山区、晋安区、马尾区</w:t>
                  </w:r>
                </w:p>
              </w:tc>
            </w:tr>
            <w:tr>
              <w:tblPrEx>
                <w:tblCellMar>
                  <w:top w:w="0" w:type="dxa"/>
                  <w:left w:w="108" w:type="dxa"/>
                  <w:bottom w:w="0" w:type="dxa"/>
                  <w:right w:w="108" w:type="dxa"/>
                </w:tblCellMar>
              </w:tblPrEx>
              <w:trPr>
                <w:trHeight w:val="615" w:hRule="atLeast"/>
              </w:trPr>
              <w:tc>
                <w:tcPr>
                  <w:tcW w:w="10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Cs w:val="21"/>
                      <w:highlight w:val="none"/>
                    </w:rPr>
                  </w:pPr>
                </w:p>
              </w:tc>
              <w:tc>
                <w:tcPr>
                  <w:tcW w:w="99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区外</w:t>
                  </w:r>
                </w:p>
              </w:tc>
              <w:tc>
                <w:tcPr>
                  <w:tcW w:w="605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福清市、长乐市、闽侯县、连江县、罗源县、闽清县、永泰县、平潭县等福州市非区内范围</w:t>
                  </w:r>
                </w:p>
              </w:tc>
            </w:tr>
            <w:tr>
              <w:tblPrEx>
                <w:tblCellMar>
                  <w:top w:w="0" w:type="dxa"/>
                  <w:left w:w="108" w:type="dxa"/>
                  <w:bottom w:w="0" w:type="dxa"/>
                  <w:right w:w="108" w:type="dxa"/>
                </w:tblCellMar>
              </w:tblPrEx>
              <w:trPr>
                <w:trHeight w:val="390" w:hRule="atLeast"/>
              </w:trPr>
              <w:tc>
                <w:tcPr>
                  <w:tcW w:w="1014" w:type="dxa"/>
                  <w:vMerge w:val="restart"/>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莆田市</w:t>
                  </w:r>
                </w:p>
              </w:tc>
              <w:tc>
                <w:tcPr>
                  <w:tcW w:w="99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区内</w:t>
                  </w:r>
                </w:p>
              </w:tc>
              <w:tc>
                <w:tcPr>
                  <w:tcW w:w="605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城厢区、荔城区、涵江区</w:t>
                  </w:r>
                </w:p>
              </w:tc>
            </w:tr>
            <w:tr>
              <w:tblPrEx>
                <w:tblCellMar>
                  <w:top w:w="0" w:type="dxa"/>
                  <w:left w:w="108" w:type="dxa"/>
                  <w:bottom w:w="0" w:type="dxa"/>
                  <w:right w:w="108" w:type="dxa"/>
                </w:tblCellMar>
              </w:tblPrEx>
              <w:trPr>
                <w:trHeight w:val="615" w:hRule="atLeast"/>
              </w:trPr>
              <w:tc>
                <w:tcPr>
                  <w:tcW w:w="1014" w:type="dxa"/>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Cs w:val="21"/>
                      <w:highlight w:val="none"/>
                    </w:rPr>
                  </w:pPr>
                </w:p>
              </w:tc>
              <w:tc>
                <w:tcPr>
                  <w:tcW w:w="99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区外</w:t>
                  </w:r>
                </w:p>
              </w:tc>
              <w:tc>
                <w:tcPr>
                  <w:tcW w:w="605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秀屿区、湄洲岛、仙游县、湄洲湾北岸开发区等莆田市非区内范围</w:t>
                  </w:r>
                </w:p>
              </w:tc>
            </w:tr>
            <w:tr>
              <w:tblPrEx>
                <w:tblCellMar>
                  <w:top w:w="0" w:type="dxa"/>
                  <w:left w:w="108" w:type="dxa"/>
                  <w:bottom w:w="0" w:type="dxa"/>
                  <w:right w:w="108" w:type="dxa"/>
                </w:tblCellMar>
              </w:tblPrEx>
              <w:trPr>
                <w:trHeight w:val="345" w:hRule="atLeast"/>
              </w:trPr>
              <w:tc>
                <w:tcPr>
                  <w:tcW w:w="1014" w:type="dxa"/>
                  <w:vMerge w:val="restart"/>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泉州市</w:t>
                  </w:r>
                </w:p>
              </w:tc>
              <w:tc>
                <w:tcPr>
                  <w:tcW w:w="99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区内</w:t>
                  </w:r>
                </w:p>
              </w:tc>
              <w:tc>
                <w:tcPr>
                  <w:tcW w:w="605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鲤城区、丰泽区、洛江区、泉港区</w:t>
                  </w:r>
                </w:p>
              </w:tc>
            </w:tr>
            <w:tr>
              <w:tblPrEx>
                <w:tblCellMar>
                  <w:top w:w="0" w:type="dxa"/>
                  <w:left w:w="108" w:type="dxa"/>
                  <w:bottom w:w="0" w:type="dxa"/>
                  <w:right w:w="108" w:type="dxa"/>
                </w:tblCellMar>
              </w:tblPrEx>
              <w:trPr>
                <w:trHeight w:val="615" w:hRule="atLeast"/>
              </w:trPr>
              <w:tc>
                <w:tcPr>
                  <w:tcW w:w="1014" w:type="dxa"/>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Cs w:val="21"/>
                      <w:highlight w:val="none"/>
                    </w:rPr>
                  </w:pPr>
                </w:p>
              </w:tc>
              <w:tc>
                <w:tcPr>
                  <w:tcW w:w="99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区外</w:t>
                  </w:r>
                </w:p>
              </w:tc>
              <w:tc>
                <w:tcPr>
                  <w:tcW w:w="605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晋江市、石狮市、南安市、惠安县、安溪县、永春县、德化县等泉州市非区内范围</w:t>
                  </w:r>
                </w:p>
              </w:tc>
            </w:tr>
            <w:tr>
              <w:tblPrEx>
                <w:tblCellMar>
                  <w:top w:w="0" w:type="dxa"/>
                  <w:left w:w="108" w:type="dxa"/>
                  <w:bottom w:w="0" w:type="dxa"/>
                  <w:right w:w="108" w:type="dxa"/>
                </w:tblCellMar>
              </w:tblPrEx>
              <w:trPr>
                <w:trHeight w:val="405" w:hRule="atLeast"/>
              </w:trPr>
              <w:tc>
                <w:tcPr>
                  <w:tcW w:w="1014" w:type="dxa"/>
                  <w:vMerge w:val="restart"/>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漳州市</w:t>
                  </w:r>
                </w:p>
              </w:tc>
              <w:tc>
                <w:tcPr>
                  <w:tcW w:w="99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区内</w:t>
                  </w:r>
                </w:p>
              </w:tc>
              <w:tc>
                <w:tcPr>
                  <w:tcW w:w="605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芗城区、龙文区</w:t>
                  </w:r>
                  <w:r>
                    <w:rPr>
                      <w:rFonts w:hint="eastAsia" w:asciiTheme="minorEastAsia" w:hAnsiTheme="minorEastAsia" w:eastAsiaTheme="minorEastAsia" w:cstheme="minorEastAsia"/>
                      <w:b/>
                      <w:color w:val="auto"/>
                      <w:kern w:val="0"/>
                      <w:sz w:val="21"/>
                      <w:szCs w:val="21"/>
                      <w:highlight w:val="none"/>
                      <w:lang w:eastAsia="zh-CN"/>
                    </w:rPr>
                    <w:t>、</w:t>
                  </w:r>
                  <w:r>
                    <w:rPr>
                      <w:rFonts w:hint="eastAsia" w:asciiTheme="minorEastAsia" w:hAnsiTheme="minorEastAsia" w:eastAsiaTheme="minorEastAsia" w:cstheme="minorEastAsia"/>
                      <w:b/>
                      <w:color w:val="auto"/>
                      <w:kern w:val="0"/>
                      <w:sz w:val="21"/>
                      <w:szCs w:val="21"/>
                      <w:highlight w:val="none"/>
                    </w:rPr>
                    <w:t>龙海</w:t>
                  </w:r>
                  <w:r>
                    <w:rPr>
                      <w:rFonts w:hint="eastAsia" w:asciiTheme="minorEastAsia" w:hAnsiTheme="minorEastAsia" w:eastAsiaTheme="minorEastAsia" w:cstheme="minorEastAsia"/>
                      <w:b/>
                      <w:color w:val="auto"/>
                      <w:kern w:val="0"/>
                      <w:sz w:val="21"/>
                      <w:szCs w:val="21"/>
                      <w:highlight w:val="none"/>
                    </w:rPr>
                    <w:t>区</w:t>
                  </w:r>
                  <w:r>
                    <w:rPr>
                      <w:rFonts w:hint="eastAsia" w:asciiTheme="minorEastAsia" w:hAnsiTheme="minorEastAsia" w:eastAsiaTheme="minorEastAsia" w:cstheme="minorEastAsia"/>
                      <w:b/>
                      <w:color w:val="auto"/>
                      <w:kern w:val="0"/>
                      <w:sz w:val="21"/>
                      <w:szCs w:val="21"/>
                      <w:highlight w:val="none"/>
                    </w:rPr>
                    <w:t>、长泰</w:t>
                  </w:r>
                  <w:r>
                    <w:rPr>
                      <w:rFonts w:hint="eastAsia" w:asciiTheme="minorEastAsia" w:hAnsiTheme="minorEastAsia" w:eastAsiaTheme="minorEastAsia" w:cstheme="minorEastAsia"/>
                      <w:b/>
                      <w:color w:val="auto"/>
                      <w:kern w:val="0"/>
                      <w:sz w:val="21"/>
                      <w:szCs w:val="21"/>
                      <w:highlight w:val="none"/>
                    </w:rPr>
                    <w:t>区</w:t>
                  </w:r>
                </w:p>
              </w:tc>
            </w:tr>
            <w:tr>
              <w:tblPrEx>
                <w:tblCellMar>
                  <w:top w:w="0" w:type="dxa"/>
                  <w:left w:w="108" w:type="dxa"/>
                  <w:bottom w:w="0" w:type="dxa"/>
                  <w:right w:w="108" w:type="dxa"/>
                </w:tblCellMar>
              </w:tblPrEx>
              <w:trPr>
                <w:trHeight w:val="615" w:hRule="atLeast"/>
              </w:trPr>
              <w:tc>
                <w:tcPr>
                  <w:tcW w:w="1014" w:type="dxa"/>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Cs w:val="21"/>
                      <w:highlight w:val="none"/>
                    </w:rPr>
                  </w:pPr>
                </w:p>
              </w:tc>
              <w:tc>
                <w:tcPr>
                  <w:tcW w:w="99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区外</w:t>
                  </w:r>
                </w:p>
              </w:tc>
              <w:tc>
                <w:tcPr>
                  <w:tcW w:w="605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云霄县、漳浦县、诏安县、东山县、南靖县、平和县、华安县等漳州市非区内范围</w:t>
                  </w:r>
                </w:p>
              </w:tc>
            </w:tr>
            <w:tr>
              <w:tblPrEx>
                <w:tblCellMar>
                  <w:top w:w="0" w:type="dxa"/>
                  <w:left w:w="108" w:type="dxa"/>
                  <w:bottom w:w="0" w:type="dxa"/>
                  <w:right w:w="108" w:type="dxa"/>
                </w:tblCellMar>
              </w:tblPrEx>
              <w:trPr>
                <w:trHeight w:val="285" w:hRule="atLeast"/>
              </w:trPr>
              <w:tc>
                <w:tcPr>
                  <w:tcW w:w="1014" w:type="dxa"/>
                  <w:vMerge w:val="restart"/>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龙岩市</w:t>
                  </w:r>
                </w:p>
              </w:tc>
              <w:tc>
                <w:tcPr>
                  <w:tcW w:w="99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区内</w:t>
                  </w:r>
                </w:p>
              </w:tc>
              <w:tc>
                <w:tcPr>
                  <w:tcW w:w="605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新罗区</w:t>
                  </w:r>
                </w:p>
              </w:tc>
            </w:tr>
            <w:tr>
              <w:tblPrEx>
                <w:tblCellMar>
                  <w:top w:w="0" w:type="dxa"/>
                  <w:left w:w="108" w:type="dxa"/>
                  <w:bottom w:w="0" w:type="dxa"/>
                  <w:right w:w="108" w:type="dxa"/>
                </w:tblCellMar>
              </w:tblPrEx>
              <w:trPr>
                <w:trHeight w:val="615" w:hRule="atLeast"/>
              </w:trPr>
              <w:tc>
                <w:tcPr>
                  <w:tcW w:w="1014" w:type="dxa"/>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Cs w:val="21"/>
                      <w:highlight w:val="none"/>
                    </w:rPr>
                  </w:pPr>
                </w:p>
              </w:tc>
              <w:tc>
                <w:tcPr>
                  <w:tcW w:w="99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区外</w:t>
                  </w:r>
                </w:p>
              </w:tc>
              <w:tc>
                <w:tcPr>
                  <w:tcW w:w="605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永定区、长汀县、连城县、上杭县、武平县等龙岩市非区内范围</w:t>
                  </w:r>
                </w:p>
              </w:tc>
            </w:tr>
            <w:tr>
              <w:tblPrEx>
                <w:tblCellMar>
                  <w:top w:w="0" w:type="dxa"/>
                  <w:left w:w="108" w:type="dxa"/>
                  <w:bottom w:w="0" w:type="dxa"/>
                  <w:right w:w="108" w:type="dxa"/>
                </w:tblCellMar>
              </w:tblPrEx>
              <w:trPr>
                <w:trHeight w:val="345" w:hRule="atLeast"/>
              </w:trPr>
              <w:tc>
                <w:tcPr>
                  <w:tcW w:w="1014" w:type="dxa"/>
                  <w:vMerge w:val="restart"/>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三明市</w:t>
                  </w:r>
                </w:p>
              </w:tc>
              <w:tc>
                <w:tcPr>
                  <w:tcW w:w="99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区内</w:t>
                  </w:r>
                </w:p>
              </w:tc>
              <w:tc>
                <w:tcPr>
                  <w:tcW w:w="605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梅列区、三元区</w:t>
                  </w:r>
                </w:p>
              </w:tc>
            </w:tr>
            <w:tr>
              <w:tblPrEx>
                <w:tblCellMar>
                  <w:top w:w="0" w:type="dxa"/>
                  <w:left w:w="108" w:type="dxa"/>
                  <w:bottom w:w="0" w:type="dxa"/>
                  <w:right w:w="108" w:type="dxa"/>
                </w:tblCellMar>
              </w:tblPrEx>
              <w:trPr>
                <w:trHeight w:val="615" w:hRule="atLeast"/>
              </w:trPr>
              <w:tc>
                <w:tcPr>
                  <w:tcW w:w="1014" w:type="dxa"/>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Cs w:val="21"/>
                      <w:highlight w:val="none"/>
                    </w:rPr>
                  </w:pPr>
                </w:p>
              </w:tc>
              <w:tc>
                <w:tcPr>
                  <w:tcW w:w="99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区外</w:t>
                  </w:r>
                </w:p>
              </w:tc>
              <w:tc>
                <w:tcPr>
                  <w:tcW w:w="605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永安市、沙县、尤溪县、大田县、明溪县、清流县、宁化县、将乐县、泰宁县、建宁县等三明市非区内范围</w:t>
                  </w:r>
                </w:p>
              </w:tc>
            </w:tr>
            <w:tr>
              <w:tblPrEx>
                <w:tblCellMar>
                  <w:top w:w="0" w:type="dxa"/>
                  <w:left w:w="108" w:type="dxa"/>
                  <w:bottom w:w="0" w:type="dxa"/>
                  <w:right w:w="108" w:type="dxa"/>
                </w:tblCellMar>
              </w:tblPrEx>
              <w:trPr>
                <w:trHeight w:val="345" w:hRule="atLeast"/>
              </w:trPr>
              <w:tc>
                <w:tcPr>
                  <w:tcW w:w="1014" w:type="dxa"/>
                  <w:vMerge w:val="restart"/>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南平市</w:t>
                  </w:r>
                </w:p>
              </w:tc>
              <w:tc>
                <w:tcPr>
                  <w:tcW w:w="99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区内</w:t>
                  </w:r>
                </w:p>
              </w:tc>
              <w:tc>
                <w:tcPr>
                  <w:tcW w:w="605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延平区</w:t>
                  </w:r>
                </w:p>
              </w:tc>
            </w:tr>
            <w:tr>
              <w:tblPrEx>
                <w:tblCellMar>
                  <w:top w:w="0" w:type="dxa"/>
                  <w:left w:w="108" w:type="dxa"/>
                  <w:bottom w:w="0" w:type="dxa"/>
                  <w:right w:w="108" w:type="dxa"/>
                </w:tblCellMar>
              </w:tblPrEx>
              <w:trPr>
                <w:trHeight w:val="615" w:hRule="atLeast"/>
              </w:trPr>
              <w:tc>
                <w:tcPr>
                  <w:tcW w:w="1014" w:type="dxa"/>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Cs w:val="21"/>
                      <w:highlight w:val="none"/>
                    </w:rPr>
                  </w:pPr>
                </w:p>
              </w:tc>
              <w:tc>
                <w:tcPr>
                  <w:tcW w:w="99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区外</w:t>
                  </w:r>
                </w:p>
              </w:tc>
              <w:tc>
                <w:tcPr>
                  <w:tcW w:w="605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顺昌县、建瓯市、邵武市、建阳区、政和县、松溪县、浦城县、武夷山市、光泽县等南平市非区内范围</w:t>
                  </w:r>
                </w:p>
              </w:tc>
            </w:tr>
            <w:tr>
              <w:tblPrEx>
                <w:tblCellMar>
                  <w:top w:w="0" w:type="dxa"/>
                  <w:left w:w="108" w:type="dxa"/>
                  <w:bottom w:w="0" w:type="dxa"/>
                  <w:right w:w="108" w:type="dxa"/>
                </w:tblCellMar>
              </w:tblPrEx>
              <w:trPr>
                <w:trHeight w:val="375" w:hRule="atLeast"/>
              </w:trPr>
              <w:tc>
                <w:tcPr>
                  <w:tcW w:w="1014" w:type="dxa"/>
                  <w:vMerge w:val="restart"/>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宁德市</w:t>
                  </w:r>
                </w:p>
              </w:tc>
              <w:tc>
                <w:tcPr>
                  <w:tcW w:w="99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区内</w:t>
                  </w:r>
                </w:p>
              </w:tc>
              <w:tc>
                <w:tcPr>
                  <w:tcW w:w="605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蕉城区、东侨新区</w:t>
                  </w:r>
                </w:p>
              </w:tc>
            </w:tr>
            <w:tr>
              <w:tblPrEx>
                <w:tblCellMar>
                  <w:top w:w="0" w:type="dxa"/>
                  <w:left w:w="108" w:type="dxa"/>
                  <w:bottom w:w="0" w:type="dxa"/>
                  <w:right w:w="108" w:type="dxa"/>
                </w:tblCellMar>
              </w:tblPrEx>
              <w:trPr>
                <w:trHeight w:val="615" w:hRule="atLeast"/>
              </w:trPr>
              <w:tc>
                <w:tcPr>
                  <w:tcW w:w="1014" w:type="dxa"/>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Cs w:val="21"/>
                      <w:highlight w:val="none"/>
                    </w:rPr>
                  </w:pPr>
                </w:p>
              </w:tc>
              <w:tc>
                <w:tcPr>
                  <w:tcW w:w="99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区外</w:t>
                  </w:r>
                </w:p>
              </w:tc>
              <w:tc>
                <w:tcPr>
                  <w:tcW w:w="605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福安市、福鼎市、霞浦县、古田县、屏南县、寿宁县、周宁县、柘荣县等宁德市非区内范围</w:t>
                  </w:r>
                </w:p>
              </w:tc>
            </w:tr>
          </w:tbl>
          <w:p>
            <w:pPr>
              <w:keepNext w:val="0"/>
              <w:keepLines w:val="0"/>
              <w:suppressLineNumbers w:val="0"/>
              <w:shd w:val="clear" w:color="auto" w:fill="FFFFFF"/>
              <w:spacing w:before="0" w:beforeAutospacing="0" w:after="0" w:afterAutospacing="0"/>
              <w:ind w:left="0" w:right="0"/>
              <w:rPr>
                <w:rFonts w:hint="default" w:ascii="宋体" w:hAnsi="宋体" w:eastAsia="宋体" w:cs="宋体"/>
                <w:color w:val="auto"/>
                <w:szCs w:val="21"/>
                <w:highlight w:val="none"/>
              </w:rPr>
            </w:pPr>
          </w:p>
        </w:tc>
      </w:tr>
    </w:tbl>
    <w:p>
      <w:pPr>
        <w:rPr>
          <w:rFonts w:hint="eastAsia"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  </w:t>
      </w:r>
      <w:r>
        <w:rPr>
          <w:rFonts w:hint="eastAsia" w:ascii="宋体" w:hAnsi="宋体" w:eastAsia="宋体" w:cs="宋体"/>
          <w:b/>
          <w:bCs/>
          <w:color w:val="auto"/>
          <w:kern w:val="2"/>
          <w:sz w:val="24"/>
          <w:szCs w:val="24"/>
          <w:highlight w:val="none"/>
          <w:lang w:val="en-US" w:eastAsia="zh-CN" w:bidi="ar-SA"/>
        </w:rPr>
        <w:fldChar w:fldCharType="end"/>
      </w:r>
      <w:bookmarkEnd w:id="32"/>
    </w:p>
    <w:p>
      <w:pPr>
        <w:rPr>
          <w:rFonts w:ascii="宋体" w:hAnsi="宋体" w:eastAsia="宋体"/>
          <w:color w:val="auto"/>
          <w:sz w:val="24"/>
          <w:szCs w:val="24"/>
          <w:highlight w:val="none"/>
        </w:rPr>
      </w:pPr>
    </w:p>
    <w:p>
      <w:pPr>
        <w:rPr>
          <w:rFonts w:ascii="宋体" w:hAnsi="宋体" w:eastAsia="宋体"/>
          <w:color w:val="auto"/>
          <w:highlight w:val="none"/>
        </w:rPr>
      </w:pPr>
    </w:p>
    <w:p>
      <w:pPr>
        <w:rPr>
          <w:rFonts w:ascii="宋体" w:hAnsi="宋体" w:eastAsia="宋体"/>
          <w:color w:val="auto"/>
          <w:highlight w:val="none"/>
        </w:rPr>
        <w:sectPr>
          <w:pgSz w:w="11906" w:h="16838"/>
          <w:pgMar w:top="1440" w:right="1800" w:bottom="1440" w:left="1800" w:header="851" w:footer="992" w:gutter="0"/>
          <w:cols w:space="425" w:num="1"/>
          <w:docGrid w:type="lines" w:linePitch="312" w:charSpace="0"/>
        </w:sectPr>
      </w:pPr>
    </w:p>
    <w:sdt>
      <w:sdtPr>
        <w:rPr>
          <w:rFonts w:hint="eastAsia" w:ascii="宋体" w:hAnsi="宋体" w:eastAsia="宋体" w:cstheme="minorBidi"/>
          <w:b/>
          <w:bCs/>
          <w:color w:val="auto"/>
          <w:kern w:val="2"/>
          <w:sz w:val="24"/>
          <w:szCs w:val="24"/>
          <w:highlight w:val="none"/>
          <w:lang w:val="en-US" w:eastAsia="zh-CN" w:bidi="ar-SA"/>
        </w:rPr>
        <w:id w:val="147458863"/>
        <w:placeholder>
          <w:docPart w:val="{48b2af2d-62cc-4fa1-b47c-e94bc4aa3ec8}"/>
        </w:placeholder>
      </w:sdtPr>
      <w:sdtEndPr>
        <w:rPr>
          <w:rFonts w:hint="eastAsia" w:ascii="宋体" w:hAnsi="宋体" w:eastAsia="宋体" w:cstheme="minorBidi"/>
          <w:b/>
          <w:bCs/>
          <w:color w:val="auto"/>
          <w:kern w:val="2"/>
          <w:sz w:val="24"/>
          <w:szCs w:val="24"/>
          <w:highlight w:val="none"/>
          <w:lang w:val="en-US" w:eastAsia="zh-CN" w:bidi="ar-SA"/>
        </w:rPr>
      </w:sdtEndPr>
      <w:sdtContent>
        <w:p>
          <w:pPr>
            <w:spacing w:line="360" w:lineRule="auto"/>
            <w:rPr>
              <w:rFonts w:ascii="宋体" w:hAnsi="宋体" w:eastAsia="宋体"/>
              <w:b/>
              <w:bCs/>
              <w:color w:val="auto"/>
              <w:sz w:val="24"/>
              <w:szCs w:val="24"/>
              <w:highlight w:val="none"/>
            </w:rPr>
          </w:pPr>
          <w:bookmarkStart w:id="33" w:name="_Hlk97132415"/>
          <w:r>
            <w:rPr>
              <w:rFonts w:hint="eastAsia" w:ascii="宋体" w:hAnsi="宋体" w:eastAsia="宋体"/>
              <w:b/>
              <w:bCs/>
              <w:color w:val="auto"/>
              <w:sz w:val="24"/>
              <w:szCs w:val="24"/>
              <w:highlight w:val="none"/>
            </w:rPr>
            <w:t>附件4：定货单样单</w:t>
          </w:r>
        </w:p>
      </w:sdtContent>
    </w:sdt>
    <w:sdt>
      <w:sdtPr>
        <w:rPr>
          <w:rFonts w:hint="eastAsia" w:ascii="宋体" w:hAnsi="宋体" w:eastAsiaTheme="minorEastAsia" w:cstheme="minorBidi"/>
          <w:b/>
          <w:bCs/>
          <w:color w:val="auto"/>
          <w:kern w:val="2"/>
          <w:sz w:val="32"/>
          <w:szCs w:val="32"/>
          <w:highlight w:val="none"/>
          <w:lang w:val="en-US" w:eastAsia="zh-CN" w:bidi="ar-SA"/>
        </w:rPr>
        <w:id w:val="147458797"/>
        <w:placeholder>
          <w:docPart w:val="{890409ec-11b4-4188-94d3-02e7c1eb9c92}"/>
        </w:placeholder>
      </w:sdtPr>
      <w:sdtEndPr>
        <w:rPr>
          <w:rFonts w:hint="eastAsia" w:ascii="宋体" w:hAnsi="宋体" w:cs="宋体" w:eastAsiaTheme="minorEastAsia"/>
          <w:b/>
          <w:bCs/>
          <w:color w:val="auto"/>
          <w:kern w:val="2"/>
          <w:sz w:val="24"/>
          <w:szCs w:val="22"/>
          <w:highlight w:val="none"/>
          <w:lang w:val="en-US" w:eastAsia="zh-CN" w:bidi="ar-SA"/>
        </w:rPr>
      </w:sdtEndPr>
      <w:sdtContent>
        <w:p>
          <w:pPr>
            <w:jc w:val="center"/>
            <w:rPr>
              <w:rFonts w:ascii="宋体" w:hAnsi="宋体"/>
              <w:b/>
              <w:bCs/>
              <w:color w:val="auto"/>
              <w:sz w:val="32"/>
              <w:szCs w:val="32"/>
              <w:highlight w:val="none"/>
            </w:rPr>
          </w:pPr>
          <w:r>
            <w:rPr>
              <w:rFonts w:hint="eastAsia" w:ascii="宋体" w:hAnsi="宋体"/>
              <w:b/>
              <w:bCs/>
              <w:color w:val="auto"/>
              <w:sz w:val="32"/>
              <w:szCs w:val="32"/>
              <w:highlight w:val="none"/>
            </w:rPr>
            <w:t>定货单</w:t>
          </w:r>
        </w:p>
        <w:bookmarkEnd w:id="33"/>
        <w:p>
          <w:pPr>
            <w:widowControl/>
            <w:spacing w:line="440" w:lineRule="exact"/>
            <w:ind w:firstLine="2400" w:firstLineChars="1000"/>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（定货单编号：           ）</w:t>
          </w:r>
        </w:p>
        <w:p>
          <w:pPr>
            <w:jc w:val="center"/>
            <w:rPr>
              <w:rFonts w:ascii="宋体" w:hAnsi="宋体"/>
              <w:color w:val="auto"/>
              <w:sz w:val="24"/>
              <w:highlight w:val="none"/>
            </w:rPr>
          </w:pPr>
        </w:p>
        <w:p>
          <w:pPr>
            <w:widowControl/>
            <w:spacing w:line="440" w:lineRule="exact"/>
            <w:ind w:firstLine="2400" w:firstLineChars="10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公司：</w:t>
          </w:r>
        </w:p>
        <w:p>
          <w:pPr>
            <w:widowControl/>
            <w:spacing w:line="440" w:lineRule="exact"/>
            <w:ind w:right="357" w:rightChars="170"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根据我司与贵司[]年[  ]月[  ]日签订的[              ]号《 大宗采购合同》，现我司向贵司确认本次采购产品明细如下：</w:t>
          </w:r>
        </w:p>
        <w:p>
          <w:pPr>
            <w:widowControl/>
            <w:spacing w:line="440" w:lineRule="exact"/>
            <w:ind w:right="357" w:rightChars="170" w:firstLine="482" w:firstLineChars="200"/>
            <w:rPr>
              <w:rFonts w:ascii="宋体" w:hAnsi="宋体" w:cs="宋体" w:eastAsiaTheme="minorEastAsia"/>
              <w:color w:val="auto"/>
              <w:kern w:val="2"/>
              <w:sz w:val="24"/>
              <w:szCs w:val="22"/>
              <w:highlight w:val="none"/>
              <w:lang w:val="en-US" w:eastAsia="zh-CN" w:bidi="ar-SA"/>
            </w:rPr>
          </w:pPr>
        </w:p>
      </w:sdtContent>
    </w:sdt>
    <w:p>
      <w:pPr>
        <w:widowControl/>
        <w:spacing w:line="440" w:lineRule="exact"/>
        <w:ind w:right="357" w:rightChars="170" w:firstLine="480" w:firstLineChars="200"/>
        <w:rPr>
          <w:rFonts w:hint="default" w:ascii="宋体" w:hAnsi="宋体" w:cs="宋体" w:eastAsiaTheme="minorEastAsia"/>
          <w:color w:val="auto"/>
          <w:kern w:val="2"/>
          <w:sz w:val="24"/>
          <w:szCs w:val="22"/>
          <w:highlight w:val="none"/>
          <w:lang w:val="en-US" w:eastAsia="zh-CN" w:bidi="ar-SA"/>
        </w:rPr>
      </w:pPr>
      <w:r>
        <w:rPr>
          <w:rFonts w:ascii="宋体" w:hAnsi="宋体" w:cs="宋体" w:eastAsiaTheme="minorEastAsia"/>
          <w:color w:val="auto"/>
          <w:kern w:val="2"/>
          <w:sz w:val="24"/>
          <w:szCs w:val="22"/>
          <w:highlight w:val="none"/>
          <w:lang w:val="en-US" w:eastAsia="zh-CN" w:bidi="ar-SA"/>
        </w:rPr>
        <w:fldChar w:fldCharType="begin">
          <w:ffData>
            <w:name w:val="Text6"/>
            <w:enabled/>
            <w:calcOnExit w:val="0"/>
            <w:textInput/>
          </w:ffData>
        </w:fldChar>
      </w:r>
      <w:bookmarkStart w:id="34" w:name="Text6"/>
      <w:r>
        <w:rPr>
          <w:rFonts w:ascii="宋体" w:hAnsi="宋体" w:cs="宋体" w:eastAsiaTheme="minorEastAsia"/>
          <w:color w:val="auto"/>
          <w:kern w:val="2"/>
          <w:sz w:val="24"/>
          <w:szCs w:val="22"/>
          <w:highlight w:val="none"/>
          <w:lang w:val="en-US" w:eastAsia="zh-CN" w:bidi="ar-SA"/>
        </w:rPr>
        <w:instrText xml:space="preserve">FORMTEXT</w:instrText>
      </w:r>
      <w:r>
        <w:rPr>
          <w:rFonts w:ascii="宋体" w:hAnsi="宋体" w:cs="宋体" w:eastAsiaTheme="minorEastAsia"/>
          <w:color w:val="auto"/>
          <w:kern w:val="2"/>
          <w:sz w:val="24"/>
          <w:szCs w:val="22"/>
          <w:highlight w:val="none"/>
          <w:lang w:val="en-US" w:eastAsia="zh-CN" w:bidi="ar-SA"/>
        </w:rPr>
        <w:fldChar w:fldCharType="separate"/>
      </w:r>
      <w:r>
        <w:rPr>
          <w:rFonts w:hint="default" w:ascii="宋体" w:hAnsi="宋体" w:cs="宋体" w:eastAsiaTheme="minorEastAsia"/>
          <w:color w:val="auto"/>
          <w:kern w:val="2"/>
          <w:sz w:val="24"/>
          <w:szCs w:val="22"/>
          <w:highlight w:val="none"/>
          <w:lang w:val="en-US" w:eastAsia="zh-CN" w:bidi="ar-SA"/>
        </w:rPr>
        <w:t> </w:t>
      </w:r>
    </w:p>
    <w:tbl>
      <w:tblPr>
        <w:tblStyle w:val="14"/>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666"/>
        <w:gridCol w:w="1418"/>
        <w:gridCol w:w="1701"/>
        <w:gridCol w:w="131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96" w:type="dxa"/>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产品名称</w:t>
            </w:r>
          </w:p>
        </w:tc>
        <w:tc>
          <w:tcPr>
            <w:tcW w:w="1666" w:type="dxa"/>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规格型号</w:t>
            </w:r>
          </w:p>
        </w:tc>
        <w:tc>
          <w:tcPr>
            <w:tcW w:w="1418" w:type="dxa"/>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制造商</w:t>
            </w:r>
          </w:p>
        </w:tc>
        <w:tc>
          <w:tcPr>
            <w:tcW w:w="1701" w:type="dxa"/>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单价（元）</w:t>
            </w:r>
          </w:p>
        </w:tc>
        <w:tc>
          <w:tcPr>
            <w:tcW w:w="1319" w:type="dxa"/>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w:t>
            </w:r>
          </w:p>
        </w:tc>
        <w:tc>
          <w:tcPr>
            <w:tcW w:w="1560" w:type="dxa"/>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96" w:type="dxa"/>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p>
        </w:tc>
        <w:tc>
          <w:tcPr>
            <w:tcW w:w="1666" w:type="dxa"/>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p>
        </w:tc>
        <w:tc>
          <w:tcPr>
            <w:tcW w:w="1418" w:type="dxa"/>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theme="minorEastAsia"/>
                <w:color w:val="auto"/>
                <w:kern w:val="0"/>
                <w:szCs w:val="21"/>
                <w:highlight w:val="none"/>
              </w:rPr>
            </w:pPr>
          </w:p>
        </w:tc>
        <w:tc>
          <w:tcPr>
            <w:tcW w:w="1701" w:type="dxa"/>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p>
        </w:tc>
        <w:tc>
          <w:tcPr>
            <w:tcW w:w="1319" w:type="dxa"/>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p>
        </w:tc>
        <w:tc>
          <w:tcPr>
            <w:tcW w:w="1560" w:type="dxa"/>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96" w:type="dxa"/>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p>
        </w:tc>
        <w:tc>
          <w:tcPr>
            <w:tcW w:w="1666" w:type="dxa"/>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p>
        </w:tc>
        <w:tc>
          <w:tcPr>
            <w:tcW w:w="1418" w:type="dxa"/>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1701" w:type="dxa"/>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p>
        </w:tc>
        <w:tc>
          <w:tcPr>
            <w:tcW w:w="1319" w:type="dxa"/>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p>
        </w:tc>
        <w:tc>
          <w:tcPr>
            <w:tcW w:w="1560" w:type="dxa"/>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481" w:type="dxa"/>
            <w:gridSpan w:val="4"/>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合计：</w:t>
            </w:r>
          </w:p>
        </w:tc>
        <w:tc>
          <w:tcPr>
            <w:tcW w:w="1319" w:type="dxa"/>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p>
        </w:tc>
        <w:tc>
          <w:tcPr>
            <w:tcW w:w="1560" w:type="dxa"/>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等线"/>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60" w:type="dxa"/>
            <w:gridSpan w:val="6"/>
            <w:shd w:val="clear" w:color="auto" w:fill="auto"/>
            <w:vAlign w:val="center"/>
          </w:tcPr>
          <w:p>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定货单总价： 元整</w:t>
            </w:r>
          </w:p>
          <w:p>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收货单位：</w:t>
            </w:r>
          </w:p>
          <w:p>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交货地址：</w:t>
            </w:r>
          </w:p>
          <w:p>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交货时间：</w:t>
            </w:r>
          </w:p>
          <w:p>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 w:val="24"/>
                <w:szCs w:val="24"/>
                <w:highlight w:val="none"/>
              </w:rPr>
            </w:pPr>
            <w:r>
              <w:rPr>
                <w:rFonts w:hint="eastAsia" w:ascii="宋体" w:hAnsi="宋体" w:eastAsia="宋体"/>
                <w:color w:val="auto"/>
                <w:sz w:val="24"/>
                <w:szCs w:val="24"/>
                <w:highlight w:val="none"/>
              </w:rPr>
              <w:t>安装时间：贵司应负责货物（设备）的安装，在接到我司或最终用户的安装要求后4个小时内安排安装服务人员到达指定地点进行安装调试，安装调试完成后三日内将最终用户确认的最终验收合格交付单及时反馈给我司。</w:t>
            </w:r>
          </w:p>
          <w:p>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收货联系人及联系方式：</w:t>
            </w:r>
          </w:p>
        </w:tc>
      </w:tr>
    </w:tbl>
    <w:p>
      <w:pPr>
        <w:widowControl/>
        <w:spacing w:line="440" w:lineRule="exact"/>
        <w:ind w:right="357" w:rightChars="170" w:firstLine="480" w:firstLineChars="200"/>
        <w:rPr>
          <w:rFonts w:ascii="宋体" w:hAnsi="宋体" w:cs="宋体" w:eastAsiaTheme="minorEastAsia"/>
          <w:color w:val="auto"/>
          <w:kern w:val="2"/>
          <w:sz w:val="24"/>
          <w:szCs w:val="22"/>
          <w:highlight w:val="none"/>
          <w:lang w:val="en-US" w:eastAsia="zh-CN" w:bidi="ar-SA"/>
        </w:rPr>
      </w:pPr>
      <w:r>
        <w:rPr>
          <w:rFonts w:hint="default" w:ascii="宋体" w:hAnsi="宋体" w:cs="宋体" w:eastAsiaTheme="minorEastAsia"/>
          <w:color w:val="auto"/>
          <w:kern w:val="2"/>
          <w:sz w:val="24"/>
          <w:szCs w:val="22"/>
          <w:highlight w:val="none"/>
          <w:lang w:val="en-US" w:eastAsia="zh-CN" w:bidi="ar-SA"/>
        </w:rPr>
        <w:t> </w:t>
      </w:r>
      <w:r>
        <w:rPr>
          <w:rFonts w:ascii="宋体" w:hAnsi="宋体" w:cs="宋体" w:eastAsiaTheme="minorEastAsia"/>
          <w:color w:val="auto"/>
          <w:kern w:val="2"/>
          <w:sz w:val="24"/>
          <w:szCs w:val="22"/>
          <w:highlight w:val="none"/>
          <w:lang w:val="en-US" w:eastAsia="zh-CN" w:bidi="ar-SA"/>
        </w:rPr>
        <w:fldChar w:fldCharType="end"/>
      </w:r>
      <w:bookmarkEnd w:id="34"/>
    </w:p>
    <w:sdt>
      <w:sdtPr>
        <w:rPr>
          <w:rFonts w:hint="eastAsia" w:ascii="宋体" w:hAnsi="宋体" w:eastAsiaTheme="minorEastAsia" w:cstheme="minorBidi"/>
          <w:color w:val="auto"/>
          <w:kern w:val="2"/>
          <w:sz w:val="24"/>
          <w:szCs w:val="22"/>
          <w:highlight w:val="none"/>
          <w:lang w:val="en-US" w:eastAsia="zh-CN" w:bidi="ar-SA"/>
        </w:rPr>
        <w:id w:val="147458696"/>
        <w:placeholder>
          <w:docPart w:val="{bd172039-0181-4c8b-81d8-a726e29cf169}"/>
        </w:placeholder>
      </w:sdtPr>
      <w:sdtEndPr>
        <w:rPr>
          <w:rFonts w:hint="eastAsia" w:ascii="宋体" w:hAnsi="宋体" w:eastAsia="宋体" w:cs="宋体"/>
          <w:color w:val="auto"/>
          <w:kern w:val="0"/>
          <w:sz w:val="24"/>
          <w:szCs w:val="24"/>
          <w:highlight w:val="none"/>
          <w:lang w:val="en-US" w:eastAsia="zh-CN" w:bidi="ar-SA"/>
        </w:rPr>
      </w:sdtEndPr>
      <w:sdtContent>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注：授权经办指定邮箱发送的扫描件与原件具有同等法律效力。</w:t>
          </w:r>
        </w:p>
        <w:p>
          <w:pPr>
            <w:widowControl/>
            <w:spacing w:line="440" w:lineRule="exact"/>
            <w:rPr>
              <w:rFonts w:ascii="宋体" w:hAnsi="宋体" w:cs="宋体"/>
              <w:color w:val="auto"/>
              <w:sz w:val="24"/>
              <w:highlight w:val="none"/>
            </w:rPr>
          </w:pPr>
        </w:p>
        <w:p>
          <w:pPr>
            <w:widowControl/>
            <w:spacing w:line="440" w:lineRule="exact"/>
            <w:rPr>
              <w:rFonts w:ascii="宋体" w:hAnsi="宋体" w:cs="宋体"/>
              <w:color w:val="auto"/>
              <w:sz w:val="24"/>
              <w:highlight w:val="none"/>
            </w:rPr>
          </w:pPr>
        </w:p>
        <w:p>
          <w:pPr>
            <w:spacing w:line="360" w:lineRule="auto"/>
            <w:ind w:firstLine="480" w:firstLineChars="200"/>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采购单位：</w:t>
          </w:r>
          <w:bookmarkStart w:id="35" w:name="_Hlk97045152"/>
          <w:r>
            <w:rPr>
              <w:rFonts w:hint="eastAsia" w:ascii="宋体" w:hAnsi="宋体" w:eastAsia="宋体" w:cs="宋体"/>
              <w:color w:val="auto"/>
              <w:kern w:val="0"/>
              <w:sz w:val="24"/>
              <w:szCs w:val="24"/>
              <w:highlight w:val="none"/>
            </w:rPr>
            <w:t>厦门万翔网络商务有限公司</w:t>
          </w:r>
        </w:p>
        <w:bookmarkEnd w:id="35"/>
        <w:p>
          <w:pPr>
            <w:spacing w:line="360" w:lineRule="auto"/>
            <w:ind w:firstLine="480" w:firstLineChars="200"/>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sdtContent>
    </w:sdt>
    <w:p>
      <w:pPr>
        <w:spacing w:line="360" w:lineRule="auto"/>
        <w:ind w:firstLine="480" w:firstLineChars="200"/>
        <w:rPr>
          <w:rFonts w:ascii="宋体" w:hAnsi="宋体" w:eastAsia="宋体" w:cs="宋体"/>
          <w:color w:val="auto"/>
          <w:kern w:val="0"/>
          <w:sz w:val="24"/>
          <w:szCs w:val="24"/>
          <w:highlight w:val="none"/>
        </w:rPr>
      </w:pPr>
    </w:p>
    <w:p>
      <w:pPr>
        <w:rPr>
          <w:rFonts w:ascii="宋体" w:hAnsi="宋体" w:eastAsia="宋体"/>
          <w:color w:val="auto"/>
          <w:highlight w:val="none"/>
        </w:rPr>
      </w:pPr>
    </w:p>
    <w:p>
      <w:pPr>
        <w:rPr>
          <w:rFonts w:ascii="宋体" w:hAnsi="宋体" w:eastAsia="宋体"/>
          <w:color w:val="auto"/>
          <w:highlight w:val="none"/>
        </w:rPr>
      </w:pPr>
    </w:p>
    <w:p>
      <w:pPr>
        <w:rPr>
          <w:rFonts w:ascii="宋体" w:hAnsi="宋体" w:eastAsia="宋体"/>
          <w:color w:val="auto"/>
          <w:highlight w:val="none"/>
        </w:rPr>
      </w:pPr>
    </w:p>
    <w:sdt>
      <w:sdtPr>
        <w:rPr>
          <w:rFonts w:hint="eastAsia" w:ascii="宋体" w:hAnsi="宋体" w:eastAsia="宋体" w:cstheme="minorBidi"/>
          <w:b/>
          <w:bCs/>
          <w:color w:val="auto"/>
          <w:kern w:val="2"/>
          <w:sz w:val="24"/>
          <w:szCs w:val="24"/>
          <w:highlight w:val="none"/>
          <w:lang w:val="en-US" w:eastAsia="zh-CN" w:bidi="ar-SA"/>
        </w:rPr>
        <w:id w:val="147458686"/>
        <w:placeholder>
          <w:docPart w:val="{efc7376b-3cc3-476f-948e-8c74fb52d584}"/>
        </w:placeholder>
      </w:sdtPr>
      <w:sdtEndPr>
        <w:rPr>
          <w:rFonts w:hint="eastAsia" w:ascii="宋体" w:hAnsi="宋体" w:eastAsia="宋体" w:cstheme="minorBidi"/>
          <w:b/>
          <w:bCs/>
          <w:color w:val="auto"/>
          <w:kern w:val="2"/>
          <w:sz w:val="24"/>
          <w:szCs w:val="24"/>
          <w:highlight w:val="none"/>
          <w:lang w:val="en-US" w:eastAsia="zh-CN" w:bidi="ar-SA"/>
        </w:rPr>
      </w:sdtEndPr>
      <w:sdtContent>
        <w:p>
          <w:pP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附件5：验收单样单</w:t>
          </w:r>
        </w:p>
      </w:sdtContent>
    </w:sdt>
    <w:sdt>
      <w:sdtPr>
        <w:rPr>
          <w:rFonts w:hint="eastAsia" w:ascii="宋体" w:hAnsi="宋体" w:eastAsia="宋体" w:cstheme="minorBidi"/>
          <w:b/>
          <w:bCs/>
          <w:color w:val="auto"/>
          <w:kern w:val="2"/>
          <w:sz w:val="24"/>
          <w:szCs w:val="24"/>
          <w:highlight w:val="none"/>
          <w:lang w:val="en-US" w:eastAsia="zh-CN" w:bidi="ar-SA"/>
        </w:rPr>
        <w:id w:val="147458660"/>
        <w:placeholder>
          <w:docPart w:val="{51878d6d-db15-4f54-a33a-79ffec45c143}"/>
        </w:placeholder>
      </w:sdtPr>
      <w:sdtEndPr>
        <w:rPr>
          <w:rFonts w:hint="eastAsia" w:ascii="宋体" w:hAnsi="宋体" w:eastAsia="宋体" w:cstheme="minorBidi"/>
          <w:b/>
          <w:bCs/>
          <w:color w:val="auto"/>
          <w:kern w:val="2"/>
          <w:sz w:val="24"/>
          <w:szCs w:val="24"/>
          <w:highlight w:val="none"/>
          <w:lang w:val="en-US" w:eastAsia="zh-CN" w:bidi="ar-SA"/>
        </w:rPr>
      </w:sdtEndPr>
      <w:sdtContent>
        <w:p>
          <w:pP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drawing>
              <wp:inline distT="0" distB="0" distL="114300" distR="114300">
                <wp:extent cx="5274310" cy="7529195"/>
                <wp:effectExtent l="0" t="0" r="2540" b="14605"/>
                <wp:docPr id="1" name="图片 1" descr="副本验收报告格式(最终稿）(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副本验收报告格式(最终稿）(2)"/>
                        <pic:cNvPicPr>
                          <a:picLocks noChangeAspect="1"/>
                        </pic:cNvPicPr>
                      </pic:nvPicPr>
                      <pic:blipFill>
                        <a:blip r:embed="rId12" cstate="print"/>
                        <a:stretch>
                          <a:fillRect/>
                        </a:stretch>
                      </pic:blipFill>
                      <pic:spPr>
                        <a:xfrm>
                          <a:off x="0" y="0"/>
                          <a:ext cx="5274310" cy="7529195"/>
                        </a:xfrm>
                        <a:prstGeom prst="rect">
                          <a:avLst/>
                        </a:prstGeom>
                      </pic:spPr>
                    </pic:pic>
                  </a:graphicData>
                </a:graphic>
              </wp:inline>
            </w:drawing>
          </w:r>
        </w:p>
      </w:sdtContent>
    </w:sdt>
    <w:p>
      <w:pPr>
        <w:rPr>
          <w:b/>
          <w:bCs/>
          <w:color w:val="auto"/>
          <w:highlight w:val="none"/>
        </w:rPr>
      </w:pPr>
    </w:p>
    <w:p>
      <w:pPr>
        <w:spacing w:line="360" w:lineRule="auto"/>
        <w:rPr>
          <w:rFonts w:hint="eastAsia" w:ascii="宋体" w:hAnsi="宋体" w:eastAsia="宋体" w:cs="宋体"/>
          <w:color w:val="auto"/>
          <w:sz w:val="24"/>
          <w:szCs w:val="24"/>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bookmarkEnd w:id="36"/>
    <w:sectPr>
      <w:footerReference r:id="rId10"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sz w:val="21"/>
        <w:szCs w:val="21"/>
      </w:rPr>
    </w:pPr>
    <w:r>
      <w:rPr>
        <w:rFonts w:hint="eastAsia"/>
      </w:rPr>
      <w:t xml:space="preserve">                                          </w:t>
    </w:r>
    <w:r>
      <w:rPr>
        <w:rFonts w:hint="eastAsia" w:ascii="宋体" w:hAnsi="宋体"/>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rFonts w:hint="eastAsia"/>
      </w:rPr>
      <w:t>3-1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rPr>
    </w:pPr>
    <w:r>
      <w:rPr>
        <w:rFonts w:hint="eastAsia"/>
      </w:rPr>
      <w:t xml:space="preserve">                                          </w:t>
    </w:r>
    <w:r>
      <w:rPr>
        <w:rFonts w:hint="eastAsia" w:ascii="宋体" w:hAnsi="宋体"/>
        <w:sz w:val="21"/>
        <w:szCs w:val="21"/>
      </w:rPr>
      <w:t xml:space="preserve">   </w:t>
    </w:r>
    <w:r>
      <w:rPr>
        <w:rFonts w:ascii="宋体" w:hAnsi="宋体"/>
      </w:rPr>
      <w:t xml:space="preserve"> 1-</w:t>
    </w:r>
    <w:r>
      <w:rPr>
        <w:rFonts w:ascii="宋体" w:hAnsi="宋体"/>
      </w:rPr>
      <w:fldChar w:fldCharType="begin"/>
    </w:r>
    <w:r>
      <w:rPr>
        <w:rStyle w:val="18"/>
        <w:rFonts w:ascii="宋体" w:hAnsi="宋体"/>
      </w:rPr>
      <w:instrText xml:space="preserve"> PAGE </w:instrText>
    </w:r>
    <w:r>
      <w:rPr>
        <w:rFonts w:ascii="宋体" w:hAnsi="宋体"/>
      </w:rPr>
      <w:fldChar w:fldCharType="separate"/>
    </w:r>
    <w:r>
      <w:rPr>
        <w:rStyle w:val="18"/>
        <w:rFonts w:ascii="宋体" w:hAnsi="宋体"/>
      </w:rPr>
      <w:t>1</w:t>
    </w:r>
    <w:r>
      <w:rPr>
        <w:rFonts w:ascii="宋体" w:hAnsi="宋体"/>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rPr>
    </w:pPr>
    <w:r>
      <w:rPr>
        <w:rStyle w:val="18"/>
        <w:rFonts w:ascii="宋体" w:hAnsi="宋体"/>
        <w:szCs w:val="20"/>
      </w:rPr>
      <w:t>2-1-</w:t>
    </w:r>
    <w:r>
      <w:rPr>
        <w:rFonts w:ascii="宋体" w:hAnsi="宋体"/>
        <w:szCs w:val="20"/>
      </w:rPr>
      <w:fldChar w:fldCharType="begin"/>
    </w:r>
    <w:r>
      <w:rPr>
        <w:rStyle w:val="18"/>
        <w:rFonts w:ascii="宋体" w:hAnsi="宋体"/>
        <w:szCs w:val="20"/>
      </w:rPr>
      <w:instrText xml:space="preserve"> PAGE </w:instrText>
    </w:r>
    <w:r>
      <w:rPr>
        <w:rFonts w:ascii="宋体" w:hAnsi="宋体"/>
        <w:szCs w:val="20"/>
      </w:rPr>
      <w:fldChar w:fldCharType="separate"/>
    </w:r>
    <w:r>
      <w:rPr>
        <w:rStyle w:val="18"/>
        <w:rFonts w:ascii="宋体" w:hAnsi="宋体"/>
        <w:szCs w:val="20"/>
      </w:rPr>
      <w:t>28</w:t>
    </w:r>
    <w:r>
      <w:rPr>
        <w:rFonts w:ascii="宋体" w:hAnsi="宋体"/>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460"/>
        <w:tab w:val="clear" w:pos="8306"/>
      </w:tabs>
      <w:ind w:right="-89" w:firstLine="420"/>
      <w:jc w:val="center"/>
      <w:rPr>
        <w:rFonts w:ascii="宋体" w:hAnsi="宋体"/>
      </w:rPr>
    </w:pPr>
    <w:r>
      <w:rPr>
        <w:rFonts w:ascii="宋体" w:hAnsi="宋体"/>
        <w:szCs w:val="20"/>
      </w:rPr>
      <w:t xml:space="preserve"> 3-</w:t>
    </w:r>
    <w:r>
      <w:rPr>
        <w:rFonts w:ascii="宋体" w:hAnsi="宋体"/>
        <w:szCs w:val="20"/>
      </w:rPr>
      <w:fldChar w:fldCharType="begin"/>
    </w:r>
    <w:r>
      <w:rPr>
        <w:rStyle w:val="18"/>
        <w:rFonts w:ascii="宋体" w:hAnsi="宋体"/>
        <w:szCs w:val="20"/>
      </w:rPr>
      <w:instrText xml:space="preserve"> PAGE </w:instrText>
    </w:r>
    <w:r>
      <w:rPr>
        <w:rFonts w:ascii="宋体" w:hAnsi="宋体"/>
        <w:szCs w:val="20"/>
      </w:rPr>
      <w:fldChar w:fldCharType="separate"/>
    </w:r>
    <w:r>
      <w:rPr>
        <w:rStyle w:val="18"/>
        <w:rFonts w:ascii="宋体" w:hAnsi="宋体"/>
        <w:szCs w:val="20"/>
      </w:rPr>
      <w:t>4</w:t>
    </w:r>
    <w:r>
      <w:rPr>
        <w:rFonts w:ascii="宋体" w:hAnsi="宋体"/>
        <w:szCs w:val="20"/>
      </w:rPr>
      <w:fldChar w:fldCharType="end"/>
    </w:r>
    <w:r>
      <w:rPr>
        <w:rFonts w:ascii="宋体" w:hAnsi="宋体"/>
        <w:szCs w:val="2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460"/>
        <w:tab w:val="clear" w:pos="8306"/>
      </w:tabs>
      <w:ind w:right="-89" w:firstLine="420"/>
      <w:jc w:val="center"/>
      <w:rPr>
        <w:rFonts w:ascii="宋体" w:hAnsi="宋体"/>
      </w:rPr>
    </w:pPr>
    <w:r>
      <w:rPr>
        <w:rFonts w:ascii="宋体" w:hAnsi="宋体"/>
        <w:szCs w:val="20"/>
      </w:rPr>
      <w:t xml:space="preserve"> </w:t>
    </w:r>
    <w:r>
      <w:rPr>
        <w:rFonts w:hint="eastAsia" w:ascii="宋体" w:hAnsi="宋体"/>
        <w:szCs w:val="20"/>
      </w:rPr>
      <w:t>4</w:t>
    </w:r>
    <w:r>
      <w:rPr>
        <w:rFonts w:ascii="宋体" w:hAnsi="宋体"/>
        <w:szCs w:val="20"/>
      </w:rPr>
      <w:t>-</w:t>
    </w:r>
    <w:r>
      <w:rPr>
        <w:rFonts w:ascii="宋体" w:hAnsi="宋体"/>
        <w:szCs w:val="20"/>
      </w:rPr>
      <w:fldChar w:fldCharType="begin"/>
    </w:r>
    <w:r>
      <w:rPr>
        <w:rStyle w:val="18"/>
        <w:rFonts w:ascii="宋体" w:hAnsi="宋体"/>
        <w:szCs w:val="20"/>
      </w:rPr>
      <w:instrText xml:space="preserve"> PAGE </w:instrText>
    </w:r>
    <w:r>
      <w:rPr>
        <w:rFonts w:ascii="宋体" w:hAnsi="宋体"/>
        <w:szCs w:val="20"/>
      </w:rPr>
      <w:fldChar w:fldCharType="separate"/>
    </w:r>
    <w:r>
      <w:rPr>
        <w:rStyle w:val="18"/>
        <w:rFonts w:ascii="宋体" w:hAnsi="宋体"/>
        <w:szCs w:val="20"/>
      </w:rPr>
      <w:t>5</w:t>
    </w:r>
    <w:r>
      <w:rPr>
        <w:rFonts w:ascii="宋体" w:hAnsi="宋体"/>
        <w:szCs w:val="20"/>
      </w:rPr>
      <w:fldChar w:fldCharType="end"/>
    </w:r>
    <w:r>
      <w:rPr>
        <w:rFonts w:ascii="宋体" w:hAnsi="宋体"/>
        <w:szCs w:val="2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20BBA"/>
    <w:multiLevelType w:val="singleLevel"/>
    <w:tmpl w:val="84D20BBA"/>
    <w:lvl w:ilvl="0" w:tentative="0">
      <w:start w:val="2"/>
      <w:numFmt w:val="decimal"/>
      <w:suff w:val="nothing"/>
      <w:lvlText w:val="%1、"/>
      <w:lvlJc w:val="left"/>
    </w:lvl>
  </w:abstractNum>
  <w:abstractNum w:abstractNumId="1">
    <w:nsid w:val="A178B626"/>
    <w:multiLevelType w:val="singleLevel"/>
    <w:tmpl w:val="A178B626"/>
    <w:lvl w:ilvl="0" w:tentative="0">
      <w:start w:val="1"/>
      <w:numFmt w:val="decimal"/>
      <w:suff w:val="nothing"/>
      <w:lvlText w:val="%1、"/>
      <w:lvlJc w:val="left"/>
    </w:lvl>
  </w:abstractNum>
  <w:abstractNum w:abstractNumId="2">
    <w:nsid w:val="25C22B40"/>
    <w:multiLevelType w:val="multilevel"/>
    <w:tmpl w:val="25C22B40"/>
    <w:lvl w:ilvl="0" w:tentative="0">
      <w:start w:val="1"/>
      <w:numFmt w:val="japaneseCounting"/>
      <w:lvlText w:val="%1、"/>
      <w:lvlJc w:val="left"/>
      <w:pPr>
        <w:tabs>
          <w:tab w:val="left" w:pos="480"/>
        </w:tabs>
        <w:ind w:left="48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F93ECB7"/>
    <w:multiLevelType w:val="singleLevel"/>
    <w:tmpl w:val="7F93ECB7"/>
    <w:lvl w:ilvl="0" w:tentative="0">
      <w:start w:val="1"/>
      <w:numFmt w:val="chineseCounting"/>
      <w:suff w:val="nothing"/>
      <w:lvlText w:val="%1、"/>
      <w:lvlJc w:val="left"/>
      <w:rPr>
        <w:rFonts w:hint="eastAsia"/>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ODZlZTFiZGFiY2M1YjRiMTQ0MjE3NDc3MDcwMDYifQ=="/>
  </w:docVars>
  <w:rsids>
    <w:rsidRoot w:val="00826F6A"/>
    <w:rsid w:val="00004403"/>
    <w:rsid w:val="0002183A"/>
    <w:rsid w:val="00023A88"/>
    <w:rsid w:val="00030192"/>
    <w:rsid w:val="000303E7"/>
    <w:rsid w:val="00030994"/>
    <w:rsid w:val="000732C5"/>
    <w:rsid w:val="0009259B"/>
    <w:rsid w:val="00093FB5"/>
    <w:rsid w:val="00094FC6"/>
    <w:rsid w:val="000971CF"/>
    <w:rsid w:val="000A14A6"/>
    <w:rsid w:val="000D1F49"/>
    <w:rsid w:val="000F5947"/>
    <w:rsid w:val="001010E0"/>
    <w:rsid w:val="00107D2E"/>
    <w:rsid w:val="00137353"/>
    <w:rsid w:val="00143F1E"/>
    <w:rsid w:val="001739A8"/>
    <w:rsid w:val="0018395D"/>
    <w:rsid w:val="001849F3"/>
    <w:rsid w:val="001B3193"/>
    <w:rsid w:val="001D43D4"/>
    <w:rsid w:val="001E4519"/>
    <w:rsid w:val="001E4F85"/>
    <w:rsid w:val="00203852"/>
    <w:rsid w:val="00211B41"/>
    <w:rsid w:val="00217737"/>
    <w:rsid w:val="00220F9E"/>
    <w:rsid w:val="00240709"/>
    <w:rsid w:val="0024244B"/>
    <w:rsid w:val="00253179"/>
    <w:rsid w:val="00256A9C"/>
    <w:rsid w:val="00260917"/>
    <w:rsid w:val="00267892"/>
    <w:rsid w:val="00280B62"/>
    <w:rsid w:val="00293316"/>
    <w:rsid w:val="002A618F"/>
    <w:rsid w:val="002C3ED8"/>
    <w:rsid w:val="002C799D"/>
    <w:rsid w:val="002D71F0"/>
    <w:rsid w:val="002E15EC"/>
    <w:rsid w:val="002F23EA"/>
    <w:rsid w:val="002F2695"/>
    <w:rsid w:val="003018F7"/>
    <w:rsid w:val="00305688"/>
    <w:rsid w:val="00322482"/>
    <w:rsid w:val="003243BD"/>
    <w:rsid w:val="00326BE6"/>
    <w:rsid w:val="00330CEB"/>
    <w:rsid w:val="00336DE3"/>
    <w:rsid w:val="003377F2"/>
    <w:rsid w:val="00350D15"/>
    <w:rsid w:val="003548C2"/>
    <w:rsid w:val="00355596"/>
    <w:rsid w:val="0036012B"/>
    <w:rsid w:val="003878B4"/>
    <w:rsid w:val="00397335"/>
    <w:rsid w:val="003D03FA"/>
    <w:rsid w:val="003E0548"/>
    <w:rsid w:val="003F163C"/>
    <w:rsid w:val="00411025"/>
    <w:rsid w:val="00416461"/>
    <w:rsid w:val="00434A1D"/>
    <w:rsid w:val="00435F2D"/>
    <w:rsid w:val="00442B63"/>
    <w:rsid w:val="00446768"/>
    <w:rsid w:val="00451ADF"/>
    <w:rsid w:val="004717AF"/>
    <w:rsid w:val="00471F43"/>
    <w:rsid w:val="00486D06"/>
    <w:rsid w:val="004B4025"/>
    <w:rsid w:val="004D263D"/>
    <w:rsid w:val="004E2C29"/>
    <w:rsid w:val="00504B09"/>
    <w:rsid w:val="00506CF2"/>
    <w:rsid w:val="0051212E"/>
    <w:rsid w:val="00531263"/>
    <w:rsid w:val="005322ED"/>
    <w:rsid w:val="00543E58"/>
    <w:rsid w:val="0056652E"/>
    <w:rsid w:val="005A1D87"/>
    <w:rsid w:val="005A320A"/>
    <w:rsid w:val="005E1E9F"/>
    <w:rsid w:val="00624A22"/>
    <w:rsid w:val="006341BF"/>
    <w:rsid w:val="00634ED7"/>
    <w:rsid w:val="00642C93"/>
    <w:rsid w:val="00651935"/>
    <w:rsid w:val="00657FD6"/>
    <w:rsid w:val="0067168A"/>
    <w:rsid w:val="00676FCA"/>
    <w:rsid w:val="00680ACC"/>
    <w:rsid w:val="00693720"/>
    <w:rsid w:val="006975F4"/>
    <w:rsid w:val="006C20AB"/>
    <w:rsid w:val="006C20C7"/>
    <w:rsid w:val="006E11B4"/>
    <w:rsid w:val="006E4626"/>
    <w:rsid w:val="006E6758"/>
    <w:rsid w:val="006F648F"/>
    <w:rsid w:val="00722957"/>
    <w:rsid w:val="007427C5"/>
    <w:rsid w:val="007503EF"/>
    <w:rsid w:val="00755229"/>
    <w:rsid w:val="00771FE9"/>
    <w:rsid w:val="00782648"/>
    <w:rsid w:val="007B0E13"/>
    <w:rsid w:val="007F64F1"/>
    <w:rsid w:val="00800B26"/>
    <w:rsid w:val="00800D9B"/>
    <w:rsid w:val="00802B22"/>
    <w:rsid w:val="008110FE"/>
    <w:rsid w:val="00825E95"/>
    <w:rsid w:val="00826D7A"/>
    <w:rsid w:val="00826F6A"/>
    <w:rsid w:val="00865F58"/>
    <w:rsid w:val="00874F39"/>
    <w:rsid w:val="0089318D"/>
    <w:rsid w:val="008944CE"/>
    <w:rsid w:val="008A5D33"/>
    <w:rsid w:val="008B54C1"/>
    <w:rsid w:val="008B6210"/>
    <w:rsid w:val="008C11B3"/>
    <w:rsid w:val="008D50C2"/>
    <w:rsid w:val="008E1084"/>
    <w:rsid w:val="008E54A6"/>
    <w:rsid w:val="00914D35"/>
    <w:rsid w:val="0094332A"/>
    <w:rsid w:val="009571A8"/>
    <w:rsid w:val="00965AAB"/>
    <w:rsid w:val="00965B65"/>
    <w:rsid w:val="009824C0"/>
    <w:rsid w:val="00994502"/>
    <w:rsid w:val="009973E3"/>
    <w:rsid w:val="00997AA5"/>
    <w:rsid w:val="009A48B7"/>
    <w:rsid w:val="00A04F29"/>
    <w:rsid w:val="00A43E9B"/>
    <w:rsid w:val="00A53795"/>
    <w:rsid w:val="00A62651"/>
    <w:rsid w:val="00A65BEC"/>
    <w:rsid w:val="00A774EB"/>
    <w:rsid w:val="00A838F7"/>
    <w:rsid w:val="00A939A8"/>
    <w:rsid w:val="00AA0230"/>
    <w:rsid w:val="00AA271D"/>
    <w:rsid w:val="00AB184C"/>
    <w:rsid w:val="00AB5A0E"/>
    <w:rsid w:val="00AC509F"/>
    <w:rsid w:val="00AD32AF"/>
    <w:rsid w:val="00AE1F9A"/>
    <w:rsid w:val="00AF5609"/>
    <w:rsid w:val="00AF6AE2"/>
    <w:rsid w:val="00B2178F"/>
    <w:rsid w:val="00B312E1"/>
    <w:rsid w:val="00B44304"/>
    <w:rsid w:val="00B644AC"/>
    <w:rsid w:val="00B65A20"/>
    <w:rsid w:val="00B717D9"/>
    <w:rsid w:val="00B91D29"/>
    <w:rsid w:val="00BA20E7"/>
    <w:rsid w:val="00BF1DC6"/>
    <w:rsid w:val="00BF3BC5"/>
    <w:rsid w:val="00BF431E"/>
    <w:rsid w:val="00C00BAC"/>
    <w:rsid w:val="00C4403E"/>
    <w:rsid w:val="00C470EE"/>
    <w:rsid w:val="00C5067D"/>
    <w:rsid w:val="00C52B5B"/>
    <w:rsid w:val="00C778BA"/>
    <w:rsid w:val="00C80F5F"/>
    <w:rsid w:val="00CB3F1F"/>
    <w:rsid w:val="00CB4FED"/>
    <w:rsid w:val="00CB724C"/>
    <w:rsid w:val="00CD1060"/>
    <w:rsid w:val="00CD2B8E"/>
    <w:rsid w:val="00CE61EE"/>
    <w:rsid w:val="00CF5CE4"/>
    <w:rsid w:val="00D14B11"/>
    <w:rsid w:val="00D766E0"/>
    <w:rsid w:val="00DA3642"/>
    <w:rsid w:val="00DC2203"/>
    <w:rsid w:val="00DC54DB"/>
    <w:rsid w:val="00DE0836"/>
    <w:rsid w:val="00E00057"/>
    <w:rsid w:val="00E04257"/>
    <w:rsid w:val="00E1371F"/>
    <w:rsid w:val="00E16E56"/>
    <w:rsid w:val="00E23505"/>
    <w:rsid w:val="00E33721"/>
    <w:rsid w:val="00E4442C"/>
    <w:rsid w:val="00E576F5"/>
    <w:rsid w:val="00E80B7C"/>
    <w:rsid w:val="00E9294C"/>
    <w:rsid w:val="00EA1A54"/>
    <w:rsid w:val="00EC2190"/>
    <w:rsid w:val="00ED0F4F"/>
    <w:rsid w:val="00ED38F5"/>
    <w:rsid w:val="00ED6B1F"/>
    <w:rsid w:val="00EE348A"/>
    <w:rsid w:val="00EF43CE"/>
    <w:rsid w:val="00F103D0"/>
    <w:rsid w:val="00F11077"/>
    <w:rsid w:val="00F24870"/>
    <w:rsid w:val="00F24B16"/>
    <w:rsid w:val="00F41D40"/>
    <w:rsid w:val="00F522E0"/>
    <w:rsid w:val="00F53BCD"/>
    <w:rsid w:val="00F705F5"/>
    <w:rsid w:val="00F72331"/>
    <w:rsid w:val="00FA56E5"/>
    <w:rsid w:val="00FC0838"/>
    <w:rsid w:val="00FC583F"/>
    <w:rsid w:val="00FF57CB"/>
    <w:rsid w:val="04FA445B"/>
    <w:rsid w:val="07AE506E"/>
    <w:rsid w:val="09303EE0"/>
    <w:rsid w:val="0A984E77"/>
    <w:rsid w:val="0CEA3182"/>
    <w:rsid w:val="0DFA7D40"/>
    <w:rsid w:val="0E165033"/>
    <w:rsid w:val="0EF3685E"/>
    <w:rsid w:val="11AE2F10"/>
    <w:rsid w:val="12B46C9C"/>
    <w:rsid w:val="12BF0270"/>
    <w:rsid w:val="1434152C"/>
    <w:rsid w:val="150C02D3"/>
    <w:rsid w:val="171017E4"/>
    <w:rsid w:val="1A1A1CD8"/>
    <w:rsid w:val="1B351A74"/>
    <w:rsid w:val="1D6323E5"/>
    <w:rsid w:val="1E682698"/>
    <w:rsid w:val="1F19433B"/>
    <w:rsid w:val="1F7822F5"/>
    <w:rsid w:val="1FA0DF87"/>
    <w:rsid w:val="2084243D"/>
    <w:rsid w:val="27CD6C7C"/>
    <w:rsid w:val="29676343"/>
    <w:rsid w:val="2BC60FC8"/>
    <w:rsid w:val="2F394908"/>
    <w:rsid w:val="2FF128DD"/>
    <w:rsid w:val="2FFFCB4F"/>
    <w:rsid w:val="38F8565B"/>
    <w:rsid w:val="39DD15E7"/>
    <w:rsid w:val="3B247FF9"/>
    <w:rsid w:val="3BD0035C"/>
    <w:rsid w:val="3C5B0AF4"/>
    <w:rsid w:val="3D136941"/>
    <w:rsid w:val="3FC346B4"/>
    <w:rsid w:val="40304869"/>
    <w:rsid w:val="41894F7D"/>
    <w:rsid w:val="461D4050"/>
    <w:rsid w:val="50334CD8"/>
    <w:rsid w:val="537E7068"/>
    <w:rsid w:val="55C651DD"/>
    <w:rsid w:val="56D8171C"/>
    <w:rsid w:val="570B628B"/>
    <w:rsid w:val="58621C7C"/>
    <w:rsid w:val="58D36758"/>
    <w:rsid w:val="5D3F5644"/>
    <w:rsid w:val="5DC170F4"/>
    <w:rsid w:val="5F5B1BEC"/>
    <w:rsid w:val="5FAE267F"/>
    <w:rsid w:val="5FE68DE9"/>
    <w:rsid w:val="60506330"/>
    <w:rsid w:val="607349DC"/>
    <w:rsid w:val="61C53EB8"/>
    <w:rsid w:val="63B53257"/>
    <w:rsid w:val="67906753"/>
    <w:rsid w:val="6D5FA6E2"/>
    <w:rsid w:val="6DDF80FE"/>
    <w:rsid w:val="6FFDA6EC"/>
    <w:rsid w:val="706DFADA"/>
    <w:rsid w:val="73EF6013"/>
    <w:rsid w:val="74A304A5"/>
    <w:rsid w:val="75931939"/>
    <w:rsid w:val="76FB5D04"/>
    <w:rsid w:val="779B7826"/>
    <w:rsid w:val="795F41CA"/>
    <w:rsid w:val="7A5C1183"/>
    <w:rsid w:val="7B113011"/>
    <w:rsid w:val="7B5B3BFB"/>
    <w:rsid w:val="7BFDB36D"/>
    <w:rsid w:val="7DE67D88"/>
    <w:rsid w:val="7DEA106D"/>
    <w:rsid w:val="7F59CD93"/>
    <w:rsid w:val="7FBF4957"/>
    <w:rsid w:val="7FF6F542"/>
    <w:rsid w:val="7FFEE259"/>
    <w:rsid w:val="81F3CD95"/>
    <w:rsid w:val="95AEED3E"/>
    <w:rsid w:val="ADD9F06D"/>
    <w:rsid w:val="AFFF4BEF"/>
    <w:rsid w:val="B8FBD204"/>
    <w:rsid w:val="BBFD9D9D"/>
    <w:rsid w:val="DEDEEBE1"/>
    <w:rsid w:val="DF7786C6"/>
    <w:rsid w:val="EFE7F3A6"/>
    <w:rsid w:val="F6FE0713"/>
    <w:rsid w:val="F7D71651"/>
    <w:rsid w:val="FEDF8E4D"/>
    <w:rsid w:val="FF6F1DE7"/>
    <w:rsid w:val="FFB79DDB"/>
    <w:rsid w:val="FFFBE168"/>
    <w:rsid w:val="FFFF9E9A"/>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6">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link w:val="21"/>
    <w:qFormat/>
    <w:uiPriority w:val="0"/>
    <w:pPr>
      <w:ind w:firstLine="420"/>
    </w:pPr>
    <w:rPr>
      <w:rFonts w:ascii="Times New Roman" w:hAnsi="Times New Roman"/>
      <w:szCs w:val="20"/>
    </w:rPr>
  </w:style>
  <w:style w:type="paragraph" w:styleId="3">
    <w:name w:val="Body Text"/>
    <w:basedOn w:val="1"/>
    <w:next w:val="1"/>
    <w:link w:val="22"/>
    <w:qFormat/>
    <w:uiPriority w:val="0"/>
    <w:pPr>
      <w:jc w:val="center"/>
    </w:pPr>
    <w:rPr>
      <w:rFonts w:ascii="幼圆" w:hAnsi="新宋体" w:eastAsia="幼圆"/>
      <w:b/>
      <w:bCs/>
      <w:sz w:val="84"/>
      <w:szCs w:val="20"/>
      <w14:shadow w14:blurRad="50800" w14:dist="38100" w14:dir="2700000" w14:sx="100000" w14:sy="100000" w14:kx="0" w14:ky="0" w14:algn="tl">
        <w14:srgbClr w14:val="000000">
          <w14:alpha w14:val="60000"/>
        </w14:srgbClr>
      </w14:shadow>
    </w:rPr>
  </w:style>
  <w:style w:type="paragraph" w:styleId="4">
    <w:name w:val="Body Text Indent"/>
    <w:basedOn w:val="1"/>
    <w:next w:val="1"/>
    <w:qFormat/>
    <w:uiPriority w:val="0"/>
    <w:pPr>
      <w:ind w:left="420" w:leftChars="200"/>
    </w:pPr>
  </w:style>
  <w:style w:type="paragraph" w:styleId="5">
    <w:name w:val="Plain Text"/>
    <w:basedOn w:val="1"/>
    <w:link w:val="23"/>
    <w:qFormat/>
    <w:uiPriority w:val="0"/>
    <w:rPr>
      <w:rFonts w:ascii="宋体" w:hAnsi="Courier New"/>
      <w:szCs w:val="20"/>
    </w:rPr>
  </w:style>
  <w:style w:type="paragraph" w:styleId="6">
    <w:name w:val="Body Text Indent 2"/>
    <w:basedOn w:val="1"/>
    <w:link w:val="24"/>
    <w:qFormat/>
    <w:uiPriority w:val="0"/>
    <w:pPr>
      <w:spacing w:after="120" w:line="480" w:lineRule="auto"/>
      <w:ind w:left="420"/>
    </w:pPr>
    <w:rPr>
      <w:rFonts w:ascii="Times New Roman" w:hAnsi="Times New Roman"/>
      <w:szCs w:val="20"/>
    </w:rPr>
  </w:style>
  <w:style w:type="paragraph" w:styleId="7">
    <w:name w:val="Balloon Text"/>
    <w:basedOn w:val="1"/>
    <w:link w:val="25"/>
    <w:unhideWhenUsed/>
    <w:qFormat/>
    <w:uiPriority w:val="99"/>
    <w:rPr>
      <w:rFonts w:ascii="Times New Roman" w:hAnsi="Times New Roman"/>
      <w:sz w:val="18"/>
      <w:szCs w:val="18"/>
    </w:rPr>
  </w:style>
  <w:style w:type="paragraph" w:styleId="8">
    <w:name w:val="footer"/>
    <w:basedOn w:val="1"/>
    <w:link w:val="26"/>
    <w:unhideWhenUsed/>
    <w:qFormat/>
    <w:uiPriority w:val="0"/>
    <w:pPr>
      <w:tabs>
        <w:tab w:val="center" w:pos="4153"/>
        <w:tab w:val="right" w:pos="8306"/>
      </w:tabs>
      <w:snapToGrid w:val="0"/>
      <w:jc w:val="left"/>
    </w:pPr>
    <w:rPr>
      <w:sz w:val="18"/>
      <w:szCs w:val="18"/>
    </w:rPr>
  </w:style>
  <w:style w:type="paragraph" w:styleId="9">
    <w:name w:val="header"/>
    <w:basedOn w:val="1"/>
    <w:link w:val="27"/>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2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12">
    <w:name w:val="Body Text First Indent"/>
    <w:basedOn w:val="3"/>
    <w:qFormat/>
    <w:uiPriority w:val="0"/>
    <w:pPr>
      <w:spacing w:after="120"/>
      <w:ind w:firstLine="420" w:firstLineChars="100"/>
      <w:jc w:val="both"/>
    </w:pPr>
    <w:rPr>
      <w:rFonts w:ascii="Times New Roman" w:hAnsi="Times New Roman" w:eastAsia="宋体"/>
      <w:b w:val="0"/>
      <w:bCs w:val="0"/>
      <w:kern w:val="2"/>
      <w:sz w:val="21"/>
      <w:szCs w:val="24"/>
    </w:rPr>
  </w:style>
  <w:style w:type="paragraph" w:styleId="13">
    <w:name w:val="Body Text First Indent 2"/>
    <w:basedOn w:val="4"/>
    <w:next w:val="1"/>
    <w:qFormat/>
    <w:uiPriority w:val="0"/>
    <w:pPr>
      <w:ind w:firstLine="420" w:firstLineChars="200"/>
    </w:pPr>
  </w:style>
  <w:style w:type="table" w:styleId="15">
    <w:name w:val="Table Grid"/>
    <w:basedOn w:val="14"/>
    <w:qFormat/>
    <w:uiPriority w:val="5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page number"/>
    <w:basedOn w:val="16"/>
    <w:qFormat/>
    <w:uiPriority w:val="0"/>
  </w:style>
  <w:style w:type="character" w:styleId="19">
    <w:name w:val="Emphasis"/>
    <w:basedOn w:val="16"/>
    <w:qFormat/>
    <w:uiPriority w:val="20"/>
    <w:rPr>
      <w:i/>
      <w:iCs/>
    </w:rPr>
  </w:style>
  <w:style w:type="character" w:styleId="20">
    <w:name w:val="Hyperlink"/>
    <w:basedOn w:val="16"/>
    <w:unhideWhenUsed/>
    <w:qFormat/>
    <w:uiPriority w:val="0"/>
    <w:rPr>
      <w:color w:val="0000FF"/>
      <w:u w:val="single"/>
    </w:rPr>
  </w:style>
  <w:style w:type="character" w:customStyle="1" w:styleId="21">
    <w:name w:val="正文缩进 Char"/>
    <w:basedOn w:val="16"/>
    <w:link w:val="2"/>
    <w:qFormat/>
    <w:locked/>
    <w:uiPriority w:val="0"/>
    <w:rPr>
      <w:rFonts w:ascii="Times New Roman" w:hAnsi="Times New Roman"/>
      <w:kern w:val="2"/>
      <w:sz w:val="21"/>
    </w:rPr>
  </w:style>
  <w:style w:type="character" w:customStyle="1" w:styleId="22">
    <w:name w:val="正文文本 Char"/>
    <w:basedOn w:val="16"/>
    <w:link w:val="3"/>
    <w:qFormat/>
    <w:uiPriority w:val="0"/>
    <w:rPr>
      <w:rFonts w:ascii="幼圆" w:hAnsi="新宋体" w:eastAsia="幼圆"/>
      <w:b/>
      <w:bCs/>
      <w:kern w:val="2"/>
      <w:sz w:val="84"/>
      <w14:shadow w14:blurRad="50800" w14:dist="38100" w14:dir="2700000" w14:sx="100000" w14:sy="100000" w14:kx="0" w14:ky="0" w14:algn="tl">
        <w14:srgbClr w14:val="000000">
          <w14:alpha w14:val="60000"/>
        </w14:srgbClr>
      </w14:shadow>
    </w:rPr>
  </w:style>
  <w:style w:type="character" w:customStyle="1" w:styleId="23">
    <w:name w:val="纯文本 Char1"/>
    <w:basedOn w:val="16"/>
    <w:link w:val="5"/>
    <w:qFormat/>
    <w:uiPriority w:val="0"/>
    <w:rPr>
      <w:rFonts w:ascii="宋体" w:hAnsi="Courier New"/>
      <w:kern w:val="2"/>
      <w:sz w:val="21"/>
    </w:rPr>
  </w:style>
  <w:style w:type="character" w:customStyle="1" w:styleId="24">
    <w:name w:val="正文文本缩进 2 Char"/>
    <w:basedOn w:val="16"/>
    <w:link w:val="6"/>
    <w:qFormat/>
    <w:uiPriority w:val="0"/>
    <w:rPr>
      <w:rFonts w:ascii="Times New Roman" w:hAnsi="Times New Roman"/>
      <w:kern w:val="2"/>
      <w:sz w:val="21"/>
    </w:rPr>
  </w:style>
  <w:style w:type="character" w:customStyle="1" w:styleId="25">
    <w:name w:val="批注框文本 Char"/>
    <w:basedOn w:val="16"/>
    <w:link w:val="7"/>
    <w:semiHidden/>
    <w:qFormat/>
    <w:uiPriority w:val="99"/>
    <w:rPr>
      <w:rFonts w:ascii="Times New Roman" w:hAnsi="Times New Roman"/>
      <w:kern w:val="2"/>
      <w:sz w:val="18"/>
      <w:szCs w:val="18"/>
    </w:rPr>
  </w:style>
  <w:style w:type="character" w:customStyle="1" w:styleId="26">
    <w:name w:val="页脚 Char"/>
    <w:basedOn w:val="16"/>
    <w:link w:val="8"/>
    <w:qFormat/>
    <w:uiPriority w:val="0"/>
    <w:rPr>
      <w:sz w:val="18"/>
      <w:szCs w:val="18"/>
    </w:rPr>
  </w:style>
  <w:style w:type="character" w:customStyle="1" w:styleId="27">
    <w:name w:val="页眉 Char"/>
    <w:basedOn w:val="16"/>
    <w:link w:val="9"/>
    <w:qFormat/>
    <w:uiPriority w:val="0"/>
    <w:rPr>
      <w:sz w:val="18"/>
      <w:szCs w:val="18"/>
    </w:rPr>
  </w:style>
  <w:style w:type="character" w:customStyle="1" w:styleId="28">
    <w:name w:val="HTML 预设格式 Char"/>
    <w:basedOn w:val="16"/>
    <w:link w:val="10"/>
    <w:semiHidden/>
    <w:qFormat/>
    <w:uiPriority w:val="99"/>
    <w:rPr>
      <w:rFonts w:ascii="宋体" w:hAnsi="宋体" w:cs="宋体"/>
      <w:sz w:val="24"/>
      <w:szCs w:val="24"/>
    </w:rPr>
  </w:style>
  <w:style w:type="character" w:customStyle="1" w:styleId="29">
    <w:name w:val="纯文本 Char"/>
    <w:basedOn w:val="16"/>
    <w:qFormat/>
    <w:uiPriority w:val="0"/>
    <w:rPr>
      <w:rFonts w:ascii="宋体" w:hAnsi="Courier New" w:cs="Courier New"/>
      <w:kern w:val="2"/>
      <w:sz w:val="21"/>
      <w:szCs w:val="21"/>
    </w:rPr>
  </w:style>
  <w:style w:type="character" w:customStyle="1" w:styleId="30">
    <w:name w:val="sp_dash"/>
    <w:basedOn w:val="16"/>
    <w:qFormat/>
    <w:uiPriority w:val="0"/>
  </w:style>
  <w:style w:type="character" w:customStyle="1" w:styleId="31">
    <w:name w:val="apple-converted-space"/>
    <w:basedOn w:val="16"/>
    <w:qFormat/>
    <w:uiPriority w:val="0"/>
  </w:style>
  <w:style w:type="character" w:customStyle="1" w:styleId="32">
    <w:name w:val="prc_air"/>
    <w:basedOn w:val="16"/>
    <w:qFormat/>
    <w:uiPriority w:val="0"/>
  </w:style>
  <w:style w:type="paragraph" w:customStyle="1" w:styleId="33">
    <w:name w:val="p_airpor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4">
    <w:name w:val="p_ct"/>
    <w:basedOn w:val="1"/>
    <w:qFormat/>
    <w:uiPriority w:val="0"/>
    <w:pPr>
      <w:widowControl/>
      <w:spacing w:before="100" w:beforeAutospacing="1" w:after="100" w:afterAutospacing="1"/>
      <w:jc w:val="left"/>
    </w:pPr>
    <w:rPr>
      <w:rFonts w:ascii="宋体" w:hAnsi="宋体" w:cs="宋体"/>
      <w:kern w:val="0"/>
      <w:sz w:val="24"/>
      <w:szCs w:val="24"/>
    </w:rPr>
  </w:style>
  <w:style w:type="paragraph" w:styleId="35">
    <w:name w:val="List Paragraph"/>
    <w:basedOn w:val="1"/>
    <w:qFormat/>
    <w:uiPriority w:val="34"/>
    <w:pPr>
      <w:widowControl/>
      <w:spacing w:before="100" w:beforeAutospacing="1" w:after="100" w:afterAutospacing="1"/>
      <w:jc w:val="left"/>
    </w:pPr>
    <w:rPr>
      <w:rFonts w:ascii="宋体" w:hAnsi="宋体" w:cs="宋体"/>
      <w:color w:val="000000"/>
      <w:kern w:val="0"/>
      <w:sz w:val="24"/>
      <w:szCs w:val="24"/>
    </w:rPr>
  </w:style>
  <w:style w:type="paragraph" w:customStyle="1" w:styleId="36">
    <w:name w:val="p_dat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7">
    <w:name w:val="p_rtax"/>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8">
    <w:name w:val="p_tim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0">
    <w:name w:val="_Style 35"/>
    <w:unhideWhenUsed/>
    <w:qFormat/>
    <w:uiPriority w:val="99"/>
    <w:rPr>
      <w:rFonts w:ascii="Times New Roman" w:hAnsi="Times New Roman" w:eastAsia="宋体" w:cs="Times New Roman"/>
      <w:kern w:val="2"/>
      <w:sz w:val="21"/>
      <w:szCs w:val="22"/>
      <w:lang w:val="en-US" w:eastAsia="zh-CN" w:bidi="ar-SA"/>
    </w:rPr>
  </w:style>
  <w:style w:type="paragraph" w:customStyle="1" w:styleId="41">
    <w:name w:val="p0"/>
    <w:basedOn w:val="1"/>
    <w:qFormat/>
    <w:uiPriority w:val="0"/>
    <w:pPr>
      <w:keepNext w:val="0"/>
      <w:keepLines w:val="0"/>
      <w:widowControl/>
      <w:suppressLineNumbers w:val="0"/>
      <w:spacing w:before="0" w:beforeAutospacing="0" w:after="0" w:afterAutospacing="0"/>
      <w:ind w:left="0" w:right="0"/>
      <w:jc w:val="both"/>
    </w:pPr>
    <w:rPr>
      <w:rFonts w:hint="default" w:ascii="Times New Roman" w:hAnsi="Times New Roman" w:eastAsia="宋体" w:cs="Times New Roman"/>
      <w:kern w:val="0"/>
      <w:sz w:val="21"/>
      <w:szCs w:val="21"/>
      <w:lang w:val="en-US" w:eastAsia="zh-CN" w:bidi="ar"/>
    </w:rPr>
  </w:style>
  <w:style w:type="character" w:customStyle="1" w:styleId="42">
    <w:name w:val="font41"/>
    <w:basedOn w:val="16"/>
    <w:qFormat/>
    <w:uiPriority w:val="0"/>
    <w:rPr>
      <w:rFonts w:hint="eastAsia" w:ascii="宋体" w:hAnsi="宋体" w:eastAsia="宋体" w:cs="宋体"/>
      <w:b/>
      <w:bCs/>
      <w:color w:val="FF0000"/>
      <w:sz w:val="18"/>
      <w:szCs w:val="18"/>
      <w:u w:val="none"/>
    </w:rPr>
  </w:style>
  <w:style w:type="paragraph" w:customStyle="1" w:styleId="43">
    <w:name w:val="列出段落1"/>
    <w:basedOn w:val="1"/>
    <w:qFormat/>
    <w:uiPriority w:val="0"/>
    <w:pPr>
      <w:ind w:firstLine="420" w:firstLineChars="200"/>
    </w:pPr>
  </w:style>
  <w:style w:type="character" w:customStyle="1" w:styleId="44">
    <w:name w:val="font21"/>
    <w:basedOn w:val="16"/>
    <w:qFormat/>
    <w:uiPriority w:val="0"/>
    <w:rPr>
      <w:rFonts w:hint="eastAsia" w:ascii="宋体" w:hAnsi="宋体" w:eastAsia="宋体" w:cs="宋体"/>
      <w:b/>
      <w:bCs/>
      <w:color w:val="000000"/>
      <w:sz w:val="18"/>
      <w:szCs w:val="18"/>
      <w:u w:val="none"/>
    </w:rPr>
  </w:style>
  <w:style w:type="character" w:customStyle="1" w:styleId="45">
    <w:name w:val="15"/>
    <w:basedOn w:val="16"/>
    <w:uiPriority w:val="0"/>
    <w:rPr>
      <w:rFonts w:hint="default" w:ascii="Times New Roman" w:hAnsi="Times New Roman" w:cs="Times New Roman"/>
    </w:rPr>
  </w:style>
  <w:style w:type="character" w:customStyle="1" w:styleId="46">
    <w:name w:val="10"/>
    <w:basedOn w:val="16"/>
    <w:uiPriority w:val="0"/>
    <w:rPr>
      <w:rFonts w:hint="default" w:ascii="Times New Roman" w:hAnsi="Times New Roman" w:cs="Times New Roman"/>
    </w:rPr>
  </w:style>
  <w:style w:type="character" w:customStyle="1" w:styleId="47">
    <w:name w:val="17"/>
    <w:basedOn w:val="16"/>
    <w:uiPriority w:val="0"/>
    <w:rPr>
      <w:rFonts w:hint="default" w:ascii="Times New Roman" w:hAnsi="Times New Roman" w:cs="Times New Roman"/>
    </w:rPr>
  </w:style>
  <w:style w:type="character" w:customStyle="1" w:styleId="48">
    <w:name w:val="16"/>
    <w:basedOn w:val="16"/>
    <w:uiPriority w:val="0"/>
    <w:rPr>
      <w:rFonts w:hint="eastAsia" w:ascii="宋体" w:hAnsi="宋体" w:eastAsia="宋体" w:cs="宋体"/>
      <w:b/>
      <w:bCs/>
      <w:color w:val="FF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e82e8e8-99d9-4c38-a8a0-08f55c23a074}"/>
        <w:style w:val=""/>
        <w:category>
          <w:name w:val="常规"/>
          <w:gallery w:val="placeholder"/>
        </w:category>
        <w:types>
          <w:type w:val="bbPlcHdr"/>
        </w:types>
        <w:behaviors>
          <w:behavior w:val="content"/>
        </w:behaviors>
        <w:description w:val=""/>
        <w:guid w:val="{ae82e8e8-99d9-4c38-a8a0-08f55c23a074}"/>
      </w:docPartPr>
      <w:docPartBody>
        <w:p>
          <w:r>
            <w:rPr>
              <w:color w:val="808080"/>
            </w:rPr>
            <w:t>单击此处输入文字。</w:t>
          </w:r>
        </w:p>
      </w:docPartBody>
    </w:docPart>
    <w:docPart>
      <w:docPartPr>
        <w:name w:val="{d73a39f0-b524-41d0-beb1-672994a4e98b}"/>
        <w:style w:val=""/>
        <w:category>
          <w:name w:val="常规"/>
          <w:gallery w:val="placeholder"/>
        </w:category>
        <w:types>
          <w:type w:val="bbPlcHdr"/>
        </w:types>
        <w:behaviors>
          <w:behavior w:val="content"/>
        </w:behaviors>
        <w:description w:val=""/>
        <w:guid w:val="{d73a39f0-b524-41d0-beb1-672994a4e98b}"/>
      </w:docPartPr>
      <w:docPartBody>
        <w:p>
          <w:r>
            <w:rPr>
              <w:color w:val="808080"/>
            </w:rPr>
            <w:t>单击此处输入文字。</w:t>
          </w:r>
        </w:p>
      </w:docPartBody>
    </w:docPart>
    <w:docPart>
      <w:docPartPr>
        <w:name w:val="{cd2cdf7b-ed93-4cc9-ae12-5d7f9a2e6b87}"/>
        <w:style w:val=""/>
        <w:category>
          <w:name w:val="常规"/>
          <w:gallery w:val="placeholder"/>
        </w:category>
        <w:types>
          <w:type w:val="bbPlcHdr"/>
        </w:types>
        <w:behaviors>
          <w:behavior w:val="content"/>
        </w:behaviors>
        <w:description w:val=""/>
        <w:guid w:val="{cd2cdf7b-ed93-4cc9-ae12-5d7f9a2e6b87}"/>
      </w:docPartPr>
      <w:docPartBody>
        <w:p>
          <w:r>
            <w:rPr>
              <w:color w:val="808080"/>
            </w:rPr>
            <w:t>单击此处输入文字。</w:t>
          </w:r>
        </w:p>
      </w:docPartBody>
    </w:docPart>
    <w:docPart>
      <w:docPartPr>
        <w:name w:val="{567e31da-37df-48ee-bae8-51c7c4e545bb}"/>
        <w:style w:val=""/>
        <w:category>
          <w:name w:val="常规"/>
          <w:gallery w:val="placeholder"/>
        </w:category>
        <w:types>
          <w:type w:val="bbPlcHdr"/>
        </w:types>
        <w:behaviors>
          <w:behavior w:val="content"/>
        </w:behaviors>
        <w:description w:val=""/>
        <w:guid w:val="{567e31da-37df-48ee-bae8-51c7c4e545bb}"/>
      </w:docPartPr>
      <w:docPartBody>
        <w:p>
          <w:r>
            <w:rPr>
              <w:color w:val="808080"/>
            </w:rPr>
            <w:t>单击此处输入文字。</w:t>
          </w:r>
        </w:p>
      </w:docPartBody>
    </w:docPart>
    <w:docPart>
      <w:docPartPr>
        <w:name w:val="{a7cee843-d018-40d1-bd6d-1b03ed85902a}"/>
        <w:style w:val=""/>
        <w:category>
          <w:name w:val="常规"/>
          <w:gallery w:val="placeholder"/>
        </w:category>
        <w:types>
          <w:type w:val="bbPlcHdr"/>
        </w:types>
        <w:behaviors>
          <w:behavior w:val="content"/>
        </w:behaviors>
        <w:description w:val=""/>
        <w:guid w:val="{a7cee843-d018-40d1-bd6d-1b03ed85902a}"/>
      </w:docPartPr>
      <w:docPartBody>
        <w:p>
          <w:r>
            <w:rPr>
              <w:color w:val="808080"/>
            </w:rPr>
            <w:t>单击此处输入文字。</w:t>
          </w:r>
        </w:p>
      </w:docPartBody>
    </w:docPart>
    <w:docPart>
      <w:docPartPr>
        <w:name w:val="{0bbcb715-e320-4d55-a876-dda7c4830a6e}"/>
        <w:style w:val=""/>
        <w:category>
          <w:name w:val="常规"/>
          <w:gallery w:val="placeholder"/>
        </w:category>
        <w:types>
          <w:type w:val="bbPlcHdr"/>
        </w:types>
        <w:behaviors>
          <w:behavior w:val="content"/>
        </w:behaviors>
        <w:description w:val=""/>
        <w:guid w:val="{0bbcb715-e320-4d55-a876-dda7c4830a6e}"/>
      </w:docPartPr>
      <w:docPartBody>
        <w:p>
          <w:r>
            <w:rPr>
              <w:color w:val="808080"/>
            </w:rPr>
            <w:t>单击此处输入文字。</w:t>
          </w:r>
        </w:p>
      </w:docPartBody>
    </w:docPart>
    <w:docPart>
      <w:docPartPr>
        <w:name w:val="{0b568690-40d8-44bb-abd4-b5939b601d25}"/>
        <w:style w:val=""/>
        <w:category>
          <w:name w:val="常规"/>
          <w:gallery w:val="placeholder"/>
        </w:category>
        <w:types>
          <w:type w:val="bbPlcHdr"/>
        </w:types>
        <w:behaviors>
          <w:behavior w:val="content"/>
        </w:behaviors>
        <w:description w:val=""/>
        <w:guid w:val="{0b568690-40d8-44bb-abd4-b5939b601d25}"/>
      </w:docPartPr>
      <w:docPartBody>
        <w:p>
          <w:r>
            <w:rPr>
              <w:color w:val="808080"/>
            </w:rPr>
            <w:t>单击此处输入文字。</w:t>
          </w:r>
        </w:p>
      </w:docPartBody>
    </w:docPart>
    <w:docPart>
      <w:docPartPr>
        <w:name w:val="{fe242983-c9ce-4417-b029-c0b825e4f6fb}"/>
        <w:style w:val=""/>
        <w:category>
          <w:name w:val="常规"/>
          <w:gallery w:val="placeholder"/>
        </w:category>
        <w:types>
          <w:type w:val="bbPlcHdr"/>
        </w:types>
        <w:behaviors>
          <w:behavior w:val="content"/>
        </w:behaviors>
        <w:description w:val=""/>
        <w:guid w:val="{fe242983-c9ce-4417-b029-c0b825e4f6fb}"/>
      </w:docPartPr>
      <w:docPartBody>
        <w:p>
          <w:r>
            <w:rPr>
              <w:color w:val="808080"/>
            </w:rPr>
            <w:t>单击此处输入文字。</w:t>
          </w:r>
        </w:p>
      </w:docPartBody>
    </w:docPart>
    <w:docPart>
      <w:docPartPr>
        <w:name w:val="{b8480e3a-9326-4e41-9564-27814b209160}"/>
        <w:style w:val=""/>
        <w:category>
          <w:name w:val="常规"/>
          <w:gallery w:val="placeholder"/>
        </w:category>
        <w:types>
          <w:type w:val="bbPlcHdr"/>
        </w:types>
        <w:behaviors>
          <w:behavior w:val="content"/>
        </w:behaviors>
        <w:description w:val=""/>
        <w:guid w:val="{b8480e3a-9326-4e41-9564-27814b209160}"/>
      </w:docPartPr>
      <w:docPartBody>
        <w:p>
          <w:r>
            <w:rPr>
              <w:color w:val="808080"/>
            </w:rPr>
            <w:t>单击此处输入文字。</w:t>
          </w:r>
        </w:p>
      </w:docPartBody>
    </w:docPart>
    <w:docPart>
      <w:docPartPr>
        <w:name w:val="{5b6e93fb-5368-4fca-bd2e-0e6b88263139}"/>
        <w:style w:val=""/>
        <w:category>
          <w:name w:val="常规"/>
          <w:gallery w:val="placeholder"/>
        </w:category>
        <w:types>
          <w:type w:val="bbPlcHdr"/>
        </w:types>
        <w:behaviors>
          <w:behavior w:val="content"/>
        </w:behaviors>
        <w:description w:val=""/>
        <w:guid w:val="{5b6e93fb-5368-4fca-bd2e-0e6b88263139}"/>
      </w:docPartPr>
      <w:docPartBody>
        <w:p>
          <w:r>
            <w:rPr>
              <w:color w:val="808080"/>
            </w:rPr>
            <w:t>单击此处输入文字。</w:t>
          </w:r>
        </w:p>
      </w:docPartBody>
    </w:docPart>
    <w:docPart>
      <w:docPartPr>
        <w:name w:val="{a707f3a1-03b9-4e6d-bb2d-b62c3c2da15d}"/>
        <w:style w:val=""/>
        <w:category>
          <w:name w:val="常规"/>
          <w:gallery w:val="placeholder"/>
        </w:category>
        <w:types>
          <w:type w:val="bbPlcHdr"/>
        </w:types>
        <w:behaviors>
          <w:behavior w:val="content"/>
        </w:behaviors>
        <w:description w:val=""/>
        <w:guid w:val="{a707f3a1-03b9-4e6d-bb2d-b62c3c2da15d}"/>
      </w:docPartPr>
      <w:docPartBody>
        <w:p>
          <w:r>
            <w:rPr>
              <w:color w:val="808080"/>
            </w:rPr>
            <w:t>单击此处输入文字。</w:t>
          </w:r>
        </w:p>
      </w:docPartBody>
    </w:docPart>
    <w:docPart>
      <w:docPartPr>
        <w:name w:val="{77c59cd0-5785-4962-9b56-7a01c2cc86f6}"/>
        <w:style w:val=""/>
        <w:category>
          <w:name w:val="常规"/>
          <w:gallery w:val="placeholder"/>
        </w:category>
        <w:types>
          <w:type w:val="bbPlcHdr"/>
        </w:types>
        <w:behaviors>
          <w:behavior w:val="content"/>
        </w:behaviors>
        <w:description w:val=""/>
        <w:guid w:val="{77c59cd0-5785-4962-9b56-7a01c2cc86f6}"/>
      </w:docPartPr>
      <w:docPartBody>
        <w:p>
          <w:r>
            <w:rPr>
              <w:color w:val="808080"/>
            </w:rPr>
            <w:t>单击此处输入文字。</w:t>
          </w:r>
        </w:p>
      </w:docPartBody>
    </w:docPart>
    <w:docPart>
      <w:docPartPr>
        <w:name w:val="{d17ed4cc-13ff-4d11-a9ea-446647539ef9}"/>
        <w:style w:val=""/>
        <w:category>
          <w:name w:val="常规"/>
          <w:gallery w:val="placeholder"/>
        </w:category>
        <w:types>
          <w:type w:val="bbPlcHdr"/>
        </w:types>
        <w:behaviors>
          <w:behavior w:val="content"/>
        </w:behaviors>
        <w:description w:val=""/>
        <w:guid w:val="{d17ed4cc-13ff-4d11-a9ea-446647539ef9}"/>
      </w:docPartPr>
      <w:docPartBody>
        <w:p>
          <w:r>
            <w:rPr>
              <w:color w:val="808080"/>
            </w:rPr>
            <w:t>单击此处输入文字。</w:t>
          </w:r>
        </w:p>
      </w:docPartBody>
    </w:docPart>
    <w:docPart>
      <w:docPartPr>
        <w:name w:val="{cf6f270d-c6d5-4fdf-b0cb-934e4b93336b}"/>
        <w:style w:val=""/>
        <w:category>
          <w:name w:val="常规"/>
          <w:gallery w:val="placeholder"/>
        </w:category>
        <w:types>
          <w:type w:val="bbPlcHdr"/>
        </w:types>
        <w:behaviors>
          <w:behavior w:val="content"/>
        </w:behaviors>
        <w:description w:val=""/>
        <w:guid w:val="{cf6f270d-c6d5-4fdf-b0cb-934e4b93336b}"/>
      </w:docPartPr>
      <w:docPartBody>
        <w:p>
          <w:r>
            <w:rPr>
              <w:color w:val="808080"/>
            </w:rPr>
            <w:t>单击此处输入文字。</w:t>
          </w:r>
        </w:p>
      </w:docPartBody>
    </w:docPart>
    <w:docPart>
      <w:docPartPr>
        <w:name w:val="{6925133d-5b9b-4d1a-b3a5-23d5cebeb1f0}"/>
        <w:style w:val=""/>
        <w:category>
          <w:name w:val="常规"/>
          <w:gallery w:val="placeholder"/>
        </w:category>
        <w:types>
          <w:type w:val="bbPlcHdr"/>
        </w:types>
        <w:behaviors>
          <w:behavior w:val="content"/>
        </w:behaviors>
        <w:description w:val=""/>
        <w:guid w:val="{6925133d-5b9b-4d1a-b3a5-23d5cebeb1f0}"/>
      </w:docPartPr>
      <w:docPartBody>
        <w:p>
          <w:r>
            <w:rPr>
              <w:color w:val="808080"/>
            </w:rPr>
            <w:t>单击此处输入文字。</w:t>
          </w:r>
        </w:p>
      </w:docPartBody>
    </w:docPart>
    <w:docPart>
      <w:docPartPr>
        <w:name w:val="{c225dfd5-eb31-4e61-b4f8-83f0dfbc1530}"/>
        <w:style w:val=""/>
        <w:category>
          <w:name w:val="常规"/>
          <w:gallery w:val="placeholder"/>
        </w:category>
        <w:types>
          <w:type w:val="bbPlcHdr"/>
        </w:types>
        <w:behaviors>
          <w:behavior w:val="content"/>
        </w:behaviors>
        <w:description w:val=""/>
        <w:guid w:val="{c225dfd5-eb31-4e61-b4f8-83f0dfbc1530}"/>
      </w:docPartPr>
      <w:docPartBody>
        <w:p>
          <w:r>
            <w:rPr>
              <w:color w:val="808080"/>
            </w:rPr>
            <w:t>单击此处输入文字。</w:t>
          </w:r>
        </w:p>
      </w:docPartBody>
    </w:docPart>
    <w:docPart>
      <w:docPartPr>
        <w:name w:val="{3b7990ee-d9ed-4691-9536-989444b9b6fa}"/>
        <w:style w:val=""/>
        <w:category>
          <w:name w:val="常规"/>
          <w:gallery w:val="placeholder"/>
        </w:category>
        <w:types>
          <w:type w:val="bbPlcHdr"/>
        </w:types>
        <w:behaviors>
          <w:behavior w:val="content"/>
        </w:behaviors>
        <w:description w:val=""/>
        <w:guid w:val="{3b7990ee-d9ed-4691-9536-989444b9b6fa}"/>
      </w:docPartPr>
      <w:docPartBody>
        <w:p>
          <w:r>
            <w:rPr>
              <w:color w:val="808080"/>
            </w:rPr>
            <w:t>单击此处输入文字。</w:t>
          </w:r>
        </w:p>
      </w:docPartBody>
    </w:docPart>
    <w:docPart>
      <w:docPartPr>
        <w:name w:val="{b922067c-1d0e-4a3b-9e20-7e9d522c8a4f}"/>
        <w:style w:val=""/>
        <w:category>
          <w:name w:val="常规"/>
          <w:gallery w:val="placeholder"/>
        </w:category>
        <w:types>
          <w:type w:val="bbPlcHdr"/>
        </w:types>
        <w:behaviors>
          <w:behavior w:val="content"/>
        </w:behaviors>
        <w:description w:val=""/>
        <w:guid w:val="{b922067c-1d0e-4a3b-9e20-7e9d522c8a4f}"/>
      </w:docPartPr>
      <w:docPartBody>
        <w:p>
          <w:r>
            <w:rPr>
              <w:color w:val="808080"/>
            </w:rPr>
            <w:t>单击此处输入文字。</w:t>
          </w:r>
        </w:p>
      </w:docPartBody>
    </w:docPart>
    <w:docPart>
      <w:docPartPr>
        <w:name w:val="{33e1a249-7726-4803-bac1-df3829b2917f}"/>
        <w:style w:val=""/>
        <w:category>
          <w:name w:val="常规"/>
          <w:gallery w:val="placeholder"/>
        </w:category>
        <w:types>
          <w:type w:val="bbPlcHdr"/>
        </w:types>
        <w:behaviors>
          <w:behavior w:val="content"/>
        </w:behaviors>
        <w:description w:val=""/>
        <w:guid w:val="{33e1a249-7726-4803-bac1-df3829b2917f}"/>
      </w:docPartPr>
      <w:docPartBody>
        <w:p>
          <w:r>
            <w:rPr>
              <w:color w:val="808080"/>
            </w:rPr>
            <w:t>单击此处输入文字。</w:t>
          </w:r>
        </w:p>
      </w:docPartBody>
    </w:docPart>
    <w:docPart>
      <w:docPartPr>
        <w:name w:val="{65132aec-7498-48a2-9948-732a6c7b24a8}"/>
        <w:style w:val=""/>
        <w:category>
          <w:name w:val="常规"/>
          <w:gallery w:val="placeholder"/>
        </w:category>
        <w:types>
          <w:type w:val="bbPlcHdr"/>
        </w:types>
        <w:behaviors>
          <w:behavior w:val="content"/>
        </w:behaviors>
        <w:description w:val=""/>
        <w:guid w:val="{65132aec-7498-48a2-9948-732a6c7b24a8}"/>
      </w:docPartPr>
      <w:docPartBody>
        <w:p>
          <w:r>
            <w:rPr>
              <w:color w:val="808080"/>
            </w:rPr>
            <w:t>单击此处输入文字。</w:t>
          </w:r>
        </w:p>
      </w:docPartBody>
    </w:docPart>
    <w:docPart>
      <w:docPartPr>
        <w:name w:val="{e539f9ca-dfb3-4fa3-9ffc-96009a7d9319}"/>
        <w:style w:val=""/>
        <w:category>
          <w:name w:val="常规"/>
          <w:gallery w:val="placeholder"/>
        </w:category>
        <w:types>
          <w:type w:val="bbPlcHdr"/>
        </w:types>
        <w:behaviors>
          <w:behavior w:val="content"/>
        </w:behaviors>
        <w:description w:val=""/>
        <w:guid w:val="{e539f9ca-dfb3-4fa3-9ffc-96009a7d9319}"/>
      </w:docPartPr>
      <w:docPartBody>
        <w:p>
          <w:r>
            <w:rPr>
              <w:color w:val="808080"/>
            </w:rPr>
            <w:t>单击此处输入文字。</w:t>
          </w:r>
        </w:p>
      </w:docPartBody>
    </w:docPart>
    <w:docPart>
      <w:docPartPr>
        <w:name w:val="{636e34d0-e553-45cf-adfd-7e7513331333}"/>
        <w:style w:val=""/>
        <w:category>
          <w:name w:val="常规"/>
          <w:gallery w:val="placeholder"/>
        </w:category>
        <w:types>
          <w:type w:val="bbPlcHdr"/>
        </w:types>
        <w:behaviors>
          <w:behavior w:val="content"/>
        </w:behaviors>
        <w:description w:val=""/>
        <w:guid w:val="{636e34d0-e553-45cf-adfd-7e7513331333}"/>
      </w:docPartPr>
      <w:docPartBody>
        <w:p>
          <w:r>
            <w:rPr>
              <w:color w:val="808080"/>
            </w:rPr>
            <w:t>单击此处输入文字。</w:t>
          </w:r>
        </w:p>
      </w:docPartBody>
    </w:docPart>
    <w:docPart>
      <w:docPartPr>
        <w:name w:val="{46186c6f-a93f-49a6-9460-ab5d4b1cc044}"/>
        <w:style w:val=""/>
        <w:category>
          <w:name w:val="常规"/>
          <w:gallery w:val="placeholder"/>
        </w:category>
        <w:types>
          <w:type w:val="bbPlcHdr"/>
        </w:types>
        <w:behaviors>
          <w:behavior w:val="content"/>
        </w:behaviors>
        <w:description w:val=""/>
        <w:guid w:val="{46186c6f-a93f-49a6-9460-ab5d4b1cc044}"/>
      </w:docPartPr>
      <w:docPartBody>
        <w:p>
          <w:r>
            <w:rPr>
              <w:color w:val="808080"/>
            </w:rPr>
            <w:t>单击此处输入文字。</w:t>
          </w:r>
        </w:p>
      </w:docPartBody>
    </w:docPart>
    <w:docPart>
      <w:docPartPr>
        <w:name w:val="{d0dff91b-a073-49ef-9742-072db524342d}"/>
        <w:style w:val=""/>
        <w:category>
          <w:name w:val="常规"/>
          <w:gallery w:val="placeholder"/>
        </w:category>
        <w:types>
          <w:type w:val="bbPlcHdr"/>
        </w:types>
        <w:behaviors>
          <w:behavior w:val="content"/>
        </w:behaviors>
        <w:description w:val=""/>
        <w:guid w:val="{d0dff91b-a073-49ef-9742-072db524342d}"/>
      </w:docPartPr>
      <w:docPartBody>
        <w:p>
          <w:r>
            <w:rPr>
              <w:color w:val="808080"/>
            </w:rPr>
            <w:t>单击此处输入文字。</w:t>
          </w:r>
        </w:p>
      </w:docPartBody>
    </w:docPart>
    <w:docPart>
      <w:docPartPr>
        <w:name w:val="{aaf5560e-530c-44c9-8d19-955be376179a}"/>
        <w:style w:val=""/>
        <w:category>
          <w:name w:val="常规"/>
          <w:gallery w:val="placeholder"/>
        </w:category>
        <w:types>
          <w:type w:val="bbPlcHdr"/>
        </w:types>
        <w:behaviors>
          <w:behavior w:val="content"/>
        </w:behaviors>
        <w:description w:val=""/>
        <w:guid w:val="{aaf5560e-530c-44c9-8d19-955be376179a}"/>
      </w:docPartPr>
      <w:docPartBody>
        <w:p>
          <w:r>
            <w:rPr>
              <w:color w:val="808080"/>
            </w:rPr>
            <w:t>单击此处输入文字。</w:t>
          </w:r>
        </w:p>
      </w:docPartBody>
    </w:docPart>
    <w:docPart>
      <w:docPartPr>
        <w:name w:val="{30c616d7-78e6-400c-8180-828d477a334b}"/>
        <w:style w:val=""/>
        <w:category>
          <w:name w:val="常规"/>
          <w:gallery w:val="placeholder"/>
        </w:category>
        <w:types>
          <w:type w:val="bbPlcHdr"/>
        </w:types>
        <w:behaviors>
          <w:behavior w:val="content"/>
        </w:behaviors>
        <w:description w:val=""/>
        <w:guid w:val="{30c616d7-78e6-400c-8180-828d477a334b}"/>
      </w:docPartPr>
      <w:docPartBody>
        <w:p>
          <w:r>
            <w:rPr>
              <w:color w:val="808080"/>
            </w:rPr>
            <w:t>单击此处输入文字。</w:t>
          </w:r>
        </w:p>
      </w:docPartBody>
    </w:docPart>
    <w:docPart>
      <w:docPartPr>
        <w:name w:val="{565f2eab-f860-4d6d-95a8-80bd4728c52d}"/>
        <w:style w:val=""/>
        <w:category>
          <w:name w:val="常规"/>
          <w:gallery w:val="placeholder"/>
        </w:category>
        <w:types>
          <w:type w:val="bbPlcHdr"/>
        </w:types>
        <w:behaviors>
          <w:behavior w:val="content"/>
        </w:behaviors>
        <w:description w:val=""/>
        <w:guid w:val="{565f2eab-f860-4d6d-95a8-80bd4728c52d}"/>
      </w:docPartPr>
      <w:docPartBody>
        <w:p>
          <w:r>
            <w:rPr>
              <w:color w:val="808080"/>
            </w:rPr>
            <w:t>单击此处输入文字。</w:t>
          </w:r>
        </w:p>
      </w:docPartBody>
    </w:docPart>
    <w:docPart>
      <w:docPartPr>
        <w:name w:val="{1cc645d8-5ed1-49d8-aed1-9b8f0e48d133}"/>
        <w:style w:val=""/>
        <w:category>
          <w:name w:val="常规"/>
          <w:gallery w:val="placeholder"/>
        </w:category>
        <w:types>
          <w:type w:val="bbPlcHdr"/>
        </w:types>
        <w:behaviors>
          <w:behavior w:val="content"/>
        </w:behaviors>
        <w:description w:val=""/>
        <w:guid w:val="{1cc645d8-5ed1-49d8-aed1-9b8f0e48d133}"/>
      </w:docPartPr>
      <w:docPartBody>
        <w:p>
          <w:r>
            <w:rPr>
              <w:color w:val="808080"/>
            </w:rPr>
            <w:t>单击此处输入文字。</w:t>
          </w:r>
        </w:p>
      </w:docPartBody>
    </w:docPart>
    <w:docPart>
      <w:docPartPr>
        <w:name w:val="{d6bbcb5d-e3b9-482f-be79-a6600e88198e}"/>
        <w:style w:val=""/>
        <w:category>
          <w:name w:val="常规"/>
          <w:gallery w:val="placeholder"/>
        </w:category>
        <w:types>
          <w:type w:val="bbPlcHdr"/>
        </w:types>
        <w:behaviors>
          <w:behavior w:val="content"/>
        </w:behaviors>
        <w:description w:val=""/>
        <w:guid w:val="{d6bbcb5d-e3b9-482f-be79-a6600e88198e}"/>
      </w:docPartPr>
      <w:docPartBody>
        <w:p>
          <w:r>
            <w:rPr>
              <w:color w:val="808080"/>
            </w:rPr>
            <w:t>单击此处输入文字。</w:t>
          </w:r>
        </w:p>
      </w:docPartBody>
    </w:docPart>
    <w:docPart>
      <w:docPartPr>
        <w:name w:val="{0850a346-6850-44d0-a50f-8ba3877a663f}"/>
        <w:style w:val=""/>
        <w:category>
          <w:name w:val="常规"/>
          <w:gallery w:val="placeholder"/>
        </w:category>
        <w:types>
          <w:type w:val="bbPlcHdr"/>
        </w:types>
        <w:behaviors>
          <w:behavior w:val="content"/>
        </w:behaviors>
        <w:description w:val=""/>
        <w:guid w:val="{0850a346-6850-44d0-a50f-8ba3877a663f}"/>
      </w:docPartPr>
      <w:docPartBody>
        <w:p>
          <w:r>
            <w:rPr>
              <w:color w:val="808080"/>
            </w:rPr>
            <w:t>单击此处输入文字。</w:t>
          </w:r>
        </w:p>
      </w:docPartBody>
    </w:docPart>
    <w:docPart>
      <w:docPartPr>
        <w:name w:val="{bd5f3981-559e-4451-9668-ea7c5a326fe6}"/>
        <w:style w:val=""/>
        <w:category>
          <w:name w:val="常规"/>
          <w:gallery w:val="placeholder"/>
        </w:category>
        <w:types>
          <w:type w:val="bbPlcHdr"/>
        </w:types>
        <w:behaviors>
          <w:behavior w:val="content"/>
        </w:behaviors>
        <w:description w:val=""/>
        <w:guid w:val="{bd5f3981-559e-4451-9668-ea7c5a326fe6}"/>
      </w:docPartPr>
      <w:docPartBody>
        <w:p>
          <w:r>
            <w:rPr>
              <w:color w:val="808080"/>
            </w:rPr>
            <w:t>单击此处输入文字。</w:t>
          </w:r>
        </w:p>
      </w:docPartBody>
    </w:docPart>
    <w:docPart>
      <w:docPartPr>
        <w:name w:val="{0f0de45b-6e3b-4c26-8a39-2aad490d0807}"/>
        <w:style w:val=""/>
        <w:category>
          <w:name w:val="常规"/>
          <w:gallery w:val="placeholder"/>
        </w:category>
        <w:types>
          <w:type w:val="bbPlcHdr"/>
        </w:types>
        <w:behaviors>
          <w:behavior w:val="content"/>
        </w:behaviors>
        <w:description w:val=""/>
        <w:guid w:val="{0f0de45b-6e3b-4c26-8a39-2aad490d0807}"/>
      </w:docPartPr>
      <w:docPartBody>
        <w:p>
          <w:r>
            <w:rPr>
              <w:color w:val="808080"/>
            </w:rPr>
            <w:t>单击此处输入文字。</w:t>
          </w:r>
        </w:p>
      </w:docPartBody>
    </w:docPart>
    <w:docPart>
      <w:docPartPr>
        <w:name w:val="{7d8c39fb-a158-4abf-bcac-de5e7b77e65a}"/>
        <w:style w:val=""/>
        <w:category>
          <w:name w:val="常规"/>
          <w:gallery w:val="placeholder"/>
        </w:category>
        <w:types>
          <w:type w:val="bbPlcHdr"/>
        </w:types>
        <w:behaviors>
          <w:behavior w:val="content"/>
        </w:behaviors>
        <w:description w:val=""/>
        <w:guid w:val="{7d8c39fb-a158-4abf-bcac-de5e7b77e65a}"/>
      </w:docPartPr>
      <w:docPartBody>
        <w:p>
          <w:r>
            <w:rPr>
              <w:color w:val="808080"/>
            </w:rPr>
            <w:t>单击此处输入文字。</w:t>
          </w:r>
        </w:p>
      </w:docPartBody>
    </w:docPart>
    <w:docPart>
      <w:docPartPr>
        <w:name w:val="{08628d74-ebbe-4950-8c58-7e9f8aa0bf0a}"/>
        <w:style w:val=""/>
        <w:category>
          <w:name w:val="常规"/>
          <w:gallery w:val="placeholder"/>
        </w:category>
        <w:types>
          <w:type w:val="bbPlcHdr"/>
        </w:types>
        <w:behaviors>
          <w:behavior w:val="content"/>
        </w:behaviors>
        <w:description w:val=""/>
        <w:guid w:val="{08628d74-ebbe-4950-8c58-7e9f8aa0bf0a}"/>
      </w:docPartPr>
      <w:docPartBody>
        <w:p>
          <w:r>
            <w:rPr>
              <w:color w:val="808080"/>
            </w:rPr>
            <w:t>单击此处输入文字。</w:t>
          </w:r>
        </w:p>
      </w:docPartBody>
    </w:docPart>
    <w:docPart>
      <w:docPartPr>
        <w:name w:val="{030c38ef-b6c1-4dc2-aa20-ce00d2bea9eb}"/>
        <w:style w:val=""/>
        <w:category>
          <w:name w:val="常规"/>
          <w:gallery w:val="placeholder"/>
        </w:category>
        <w:types>
          <w:type w:val="bbPlcHdr"/>
        </w:types>
        <w:behaviors>
          <w:behavior w:val="content"/>
        </w:behaviors>
        <w:description w:val=""/>
        <w:guid w:val="{030c38ef-b6c1-4dc2-aa20-ce00d2bea9eb}"/>
      </w:docPartPr>
      <w:docPartBody>
        <w:p>
          <w:r>
            <w:rPr>
              <w:color w:val="808080"/>
            </w:rPr>
            <w:t>单击此处输入文字。</w:t>
          </w:r>
        </w:p>
      </w:docPartBody>
    </w:docPart>
    <w:docPart>
      <w:docPartPr>
        <w:name w:val="{794b0de7-2f78-4e2d-9411-08063cd77168}"/>
        <w:style w:val=""/>
        <w:category>
          <w:name w:val="常规"/>
          <w:gallery w:val="placeholder"/>
        </w:category>
        <w:types>
          <w:type w:val="bbPlcHdr"/>
        </w:types>
        <w:behaviors>
          <w:behavior w:val="content"/>
        </w:behaviors>
        <w:description w:val=""/>
        <w:guid w:val="{794b0de7-2f78-4e2d-9411-08063cd77168}"/>
      </w:docPartPr>
      <w:docPartBody>
        <w:p>
          <w:r>
            <w:rPr>
              <w:color w:val="808080"/>
            </w:rPr>
            <w:t>单击此处输入文字。</w:t>
          </w:r>
        </w:p>
      </w:docPartBody>
    </w:docPart>
    <w:docPart>
      <w:docPartPr>
        <w:name w:val="{473ba964-c17d-4dfa-bc4c-5a7e380ec99c}"/>
        <w:style w:val=""/>
        <w:category>
          <w:name w:val="常规"/>
          <w:gallery w:val="placeholder"/>
        </w:category>
        <w:types>
          <w:type w:val="bbPlcHdr"/>
        </w:types>
        <w:behaviors>
          <w:behavior w:val="content"/>
        </w:behaviors>
        <w:description w:val=""/>
        <w:guid w:val="{473ba964-c17d-4dfa-bc4c-5a7e380ec99c}"/>
      </w:docPartPr>
      <w:docPartBody>
        <w:p>
          <w:r>
            <w:rPr>
              <w:color w:val="808080"/>
            </w:rPr>
            <w:t>单击此处输入文字。</w:t>
          </w:r>
        </w:p>
      </w:docPartBody>
    </w:docPart>
    <w:docPart>
      <w:docPartPr>
        <w:name w:val="{f1488ab3-5e66-4b02-8c2f-e040b33da0f6}"/>
        <w:style w:val=""/>
        <w:category>
          <w:name w:val="常规"/>
          <w:gallery w:val="placeholder"/>
        </w:category>
        <w:types>
          <w:type w:val="bbPlcHdr"/>
        </w:types>
        <w:behaviors>
          <w:behavior w:val="content"/>
        </w:behaviors>
        <w:description w:val=""/>
        <w:guid w:val="{f1488ab3-5e66-4b02-8c2f-e040b33da0f6}"/>
      </w:docPartPr>
      <w:docPartBody>
        <w:p>
          <w:r>
            <w:rPr>
              <w:color w:val="808080"/>
            </w:rPr>
            <w:t>单击此处输入文字。</w:t>
          </w:r>
        </w:p>
      </w:docPartBody>
    </w:docPart>
    <w:docPart>
      <w:docPartPr>
        <w:name w:val="{48a90ad6-c0c1-4e0d-9ea7-951b0d63bf13}"/>
        <w:style w:val=""/>
        <w:category>
          <w:name w:val="常规"/>
          <w:gallery w:val="placeholder"/>
        </w:category>
        <w:types>
          <w:type w:val="bbPlcHdr"/>
        </w:types>
        <w:behaviors>
          <w:behavior w:val="content"/>
        </w:behaviors>
        <w:description w:val=""/>
        <w:guid w:val="{48a90ad6-c0c1-4e0d-9ea7-951b0d63bf13}"/>
      </w:docPartPr>
      <w:docPartBody>
        <w:p>
          <w:r>
            <w:rPr>
              <w:color w:val="808080"/>
            </w:rPr>
            <w:t>单击此处输入文字。</w:t>
          </w:r>
        </w:p>
      </w:docPartBody>
    </w:docPart>
    <w:docPart>
      <w:docPartPr>
        <w:name w:val="{e865adf1-12e1-4544-a602-b3bea81cf1e2}"/>
        <w:style w:val=""/>
        <w:category>
          <w:name w:val="常规"/>
          <w:gallery w:val="placeholder"/>
        </w:category>
        <w:types>
          <w:type w:val="bbPlcHdr"/>
        </w:types>
        <w:behaviors>
          <w:behavior w:val="content"/>
        </w:behaviors>
        <w:description w:val=""/>
        <w:guid w:val="{e865adf1-12e1-4544-a602-b3bea81cf1e2}"/>
      </w:docPartPr>
      <w:docPartBody>
        <w:p>
          <w:r>
            <w:rPr>
              <w:color w:val="808080"/>
            </w:rPr>
            <w:t>单击此处输入文字。</w:t>
          </w:r>
        </w:p>
      </w:docPartBody>
    </w:docPart>
    <w:docPart>
      <w:docPartPr>
        <w:name w:val="{eeacbd54-5003-49a4-9e1a-fa0eac9abc2f}"/>
        <w:style w:val=""/>
        <w:category>
          <w:name w:val="常规"/>
          <w:gallery w:val="placeholder"/>
        </w:category>
        <w:types>
          <w:type w:val="bbPlcHdr"/>
        </w:types>
        <w:behaviors>
          <w:behavior w:val="content"/>
        </w:behaviors>
        <w:description w:val=""/>
        <w:guid w:val="{eeacbd54-5003-49a4-9e1a-fa0eac9abc2f}"/>
      </w:docPartPr>
      <w:docPartBody>
        <w:p>
          <w:r>
            <w:rPr>
              <w:color w:val="808080"/>
            </w:rPr>
            <w:t>单击此处输入文字。</w:t>
          </w:r>
        </w:p>
      </w:docPartBody>
    </w:docPart>
    <w:docPart>
      <w:docPartPr>
        <w:name w:val="{06c967fe-12a9-4449-818d-6bc5985cacf5}"/>
        <w:style w:val=""/>
        <w:category>
          <w:name w:val="常规"/>
          <w:gallery w:val="placeholder"/>
        </w:category>
        <w:types>
          <w:type w:val="bbPlcHdr"/>
        </w:types>
        <w:behaviors>
          <w:behavior w:val="content"/>
        </w:behaviors>
        <w:description w:val=""/>
        <w:guid w:val="{06c967fe-12a9-4449-818d-6bc5985cacf5}"/>
      </w:docPartPr>
      <w:docPartBody>
        <w:p>
          <w:r>
            <w:rPr>
              <w:color w:val="808080"/>
            </w:rPr>
            <w:t>单击此处输入文字。</w:t>
          </w:r>
        </w:p>
      </w:docPartBody>
    </w:docPart>
    <w:docPart>
      <w:docPartPr>
        <w:name w:val="{6fad428f-f8a4-4e59-a197-a36bf475c986}"/>
        <w:style w:val=""/>
        <w:category>
          <w:name w:val="常规"/>
          <w:gallery w:val="placeholder"/>
        </w:category>
        <w:types>
          <w:type w:val="bbPlcHdr"/>
        </w:types>
        <w:behaviors>
          <w:behavior w:val="content"/>
        </w:behaviors>
        <w:description w:val=""/>
        <w:guid w:val="{6fad428f-f8a4-4e59-a197-a36bf475c986}"/>
      </w:docPartPr>
      <w:docPartBody>
        <w:p>
          <w:r>
            <w:rPr>
              <w:color w:val="808080"/>
            </w:rPr>
            <w:t>单击此处输入文字。</w:t>
          </w:r>
        </w:p>
      </w:docPartBody>
    </w:docPart>
    <w:docPart>
      <w:docPartPr>
        <w:name w:val="{8b84d58b-f096-4391-9988-3aa02a35a270}"/>
        <w:style w:val=""/>
        <w:category>
          <w:name w:val="常规"/>
          <w:gallery w:val="placeholder"/>
        </w:category>
        <w:types>
          <w:type w:val="bbPlcHdr"/>
        </w:types>
        <w:behaviors>
          <w:behavior w:val="content"/>
        </w:behaviors>
        <w:description w:val=""/>
        <w:guid w:val="{8b84d58b-f096-4391-9988-3aa02a35a270}"/>
      </w:docPartPr>
      <w:docPartBody>
        <w:p>
          <w:r>
            <w:rPr>
              <w:color w:val="808080"/>
            </w:rPr>
            <w:t>单击此处输入文字。</w:t>
          </w:r>
        </w:p>
      </w:docPartBody>
    </w:docPart>
    <w:docPart>
      <w:docPartPr>
        <w:name w:val="{3b9306db-e990-47ce-88a3-f963ef449484}"/>
        <w:style w:val=""/>
        <w:category>
          <w:name w:val="常规"/>
          <w:gallery w:val="placeholder"/>
        </w:category>
        <w:types>
          <w:type w:val="bbPlcHdr"/>
        </w:types>
        <w:behaviors>
          <w:behavior w:val="content"/>
        </w:behaviors>
        <w:description w:val=""/>
        <w:guid w:val="{3b9306db-e990-47ce-88a3-f963ef449484}"/>
      </w:docPartPr>
      <w:docPartBody>
        <w:p>
          <w:r>
            <w:rPr>
              <w:color w:val="808080"/>
            </w:rPr>
            <w:t>单击此处输入文字。</w:t>
          </w:r>
        </w:p>
      </w:docPartBody>
    </w:docPart>
    <w:docPart>
      <w:docPartPr>
        <w:name w:val="{3074992e-ddd5-4e75-a1be-e7cc331ddb04}"/>
        <w:style w:val=""/>
        <w:category>
          <w:name w:val="常规"/>
          <w:gallery w:val="placeholder"/>
        </w:category>
        <w:types>
          <w:type w:val="bbPlcHdr"/>
        </w:types>
        <w:behaviors>
          <w:behavior w:val="content"/>
        </w:behaviors>
        <w:description w:val=""/>
        <w:guid w:val="{3074992e-ddd5-4e75-a1be-e7cc331ddb04}"/>
      </w:docPartPr>
      <w:docPartBody>
        <w:p>
          <w:r>
            <w:rPr>
              <w:color w:val="808080"/>
            </w:rPr>
            <w:t>单击此处输入文字。</w:t>
          </w:r>
        </w:p>
      </w:docPartBody>
    </w:docPart>
    <w:docPart>
      <w:docPartPr>
        <w:name w:val="{dd4d7628-5858-4833-8503-595b1b5c06c3}"/>
        <w:style w:val=""/>
        <w:category>
          <w:name w:val="常规"/>
          <w:gallery w:val="placeholder"/>
        </w:category>
        <w:types>
          <w:type w:val="bbPlcHdr"/>
        </w:types>
        <w:behaviors>
          <w:behavior w:val="content"/>
        </w:behaviors>
        <w:description w:val=""/>
        <w:guid w:val="{dd4d7628-5858-4833-8503-595b1b5c06c3}"/>
      </w:docPartPr>
      <w:docPartBody>
        <w:p>
          <w:r>
            <w:rPr>
              <w:color w:val="808080"/>
            </w:rPr>
            <w:t>单击此处输入文字。</w:t>
          </w:r>
        </w:p>
      </w:docPartBody>
    </w:docPart>
    <w:docPart>
      <w:docPartPr>
        <w:name w:val="{80cc6be0-c81c-4d25-ac61-76a544b95568}"/>
        <w:style w:val=""/>
        <w:category>
          <w:name w:val="常规"/>
          <w:gallery w:val="placeholder"/>
        </w:category>
        <w:types>
          <w:type w:val="bbPlcHdr"/>
        </w:types>
        <w:behaviors>
          <w:behavior w:val="content"/>
        </w:behaviors>
        <w:description w:val=""/>
        <w:guid w:val="{80cc6be0-c81c-4d25-ac61-76a544b95568}"/>
      </w:docPartPr>
      <w:docPartBody>
        <w:p>
          <w:r>
            <w:rPr>
              <w:color w:val="808080"/>
            </w:rPr>
            <w:t>单击此处输入文字。</w:t>
          </w:r>
        </w:p>
      </w:docPartBody>
    </w:docPart>
    <w:docPart>
      <w:docPartPr>
        <w:name w:val="{a0931169-0b19-407a-95db-1ac308fb9cbe}"/>
        <w:style w:val=""/>
        <w:category>
          <w:name w:val="常规"/>
          <w:gallery w:val="placeholder"/>
        </w:category>
        <w:types>
          <w:type w:val="bbPlcHdr"/>
        </w:types>
        <w:behaviors>
          <w:behavior w:val="content"/>
        </w:behaviors>
        <w:description w:val=""/>
        <w:guid w:val="{a0931169-0b19-407a-95db-1ac308fb9cbe}"/>
      </w:docPartPr>
      <w:docPartBody>
        <w:p>
          <w:r>
            <w:rPr>
              <w:color w:val="808080"/>
            </w:rPr>
            <w:t>单击此处输入文字。</w:t>
          </w:r>
        </w:p>
      </w:docPartBody>
    </w:docPart>
    <w:docPart>
      <w:docPartPr>
        <w:name w:val="{cde87bf1-69ed-4acc-83b0-c3c8e710fd4a}"/>
        <w:style w:val=""/>
        <w:category>
          <w:name w:val="常规"/>
          <w:gallery w:val="placeholder"/>
        </w:category>
        <w:types>
          <w:type w:val="bbPlcHdr"/>
        </w:types>
        <w:behaviors>
          <w:behavior w:val="content"/>
        </w:behaviors>
        <w:description w:val=""/>
        <w:guid w:val="{cde87bf1-69ed-4acc-83b0-c3c8e710fd4a}"/>
      </w:docPartPr>
      <w:docPartBody>
        <w:p>
          <w:r>
            <w:rPr>
              <w:color w:val="808080"/>
            </w:rPr>
            <w:t>单击此处输入文字。</w:t>
          </w:r>
        </w:p>
      </w:docPartBody>
    </w:docPart>
    <w:docPart>
      <w:docPartPr>
        <w:name w:val="{200aa1db-0a3a-40d0-a041-d5e90c5050fa}"/>
        <w:style w:val=""/>
        <w:category>
          <w:name w:val="常规"/>
          <w:gallery w:val="placeholder"/>
        </w:category>
        <w:types>
          <w:type w:val="bbPlcHdr"/>
        </w:types>
        <w:behaviors>
          <w:behavior w:val="content"/>
        </w:behaviors>
        <w:description w:val=""/>
        <w:guid w:val="{200aa1db-0a3a-40d0-a041-d5e90c5050fa}"/>
      </w:docPartPr>
      <w:docPartBody>
        <w:p>
          <w:r>
            <w:rPr>
              <w:color w:val="808080"/>
            </w:rPr>
            <w:t>单击此处输入文字。</w:t>
          </w:r>
        </w:p>
      </w:docPartBody>
    </w:docPart>
    <w:docPart>
      <w:docPartPr>
        <w:name w:val="{979beb80-685d-4fd9-9528-4fb3aad4dd23}"/>
        <w:style w:val=""/>
        <w:category>
          <w:name w:val="常规"/>
          <w:gallery w:val="placeholder"/>
        </w:category>
        <w:types>
          <w:type w:val="bbPlcHdr"/>
        </w:types>
        <w:behaviors>
          <w:behavior w:val="content"/>
        </w:behaviors>
        <w:description w:val=""/>
        <w:guid w:val="{979beb80-685d-4fd9-9528-4fb3aad4dd23}"/>
      </w:docPartPr>
      <w:docPartBody>
        <w:p>
          <w:r>
            <w:rPr>
              <w:color w:val="808080"/>
            </w:rPr>
            <w:t>单击此处输入文字。</w:t>
          </w:r>
        </w:p>
      </w:docPartBody>
    </w:docPart>
    <w:docPart>
      <w:docPartPr>
        <w:name w:val="{eb1f37cb-0096-4e86-87e5-43a4d666c6f3}"/>
        <w:style w:val=""/>
        <w:category>
          <w:name w:val="常规"/>
          <w:gallery w:val="placeholder"/>
        </w:category>
        <w:types>
          <w:type w:val="bbPlcHdr"/>
        </w:types>
        <w:behaviors>
          <w:behavior w:val="content"/>
        </w:behaviors>
        <w:description w:val=""/>
        <w:guid w:val="{eb1f37cb-0096-4e86-87e5-43a4d666c6f3}"/>
      </w:docPartPr>
      <w:docPartBody>
        <w:p>
          <w:r>
            <w:rPr>
              <w:color w:val="808080"/>
            </w:rPr>
            <w:t>单击此处输入文字。</w:t>
          </w:r>
        </w:p>
      </w:docPartBody>
    </w:docPart>
    <w:docPart>
      <w:docPartPr>
        <w:name w:val="{9c0b1c7d-714f-422a-afda-21c161e0c5d6}"/>
        <w:style w:val=""/>
        <w:category>
          <w:name w:val="常规"/>
          <w:gallery w:val="placeholder"/>
        </w:category>
        <w:types>
          <w:type w:val="bbPlcHdr"/>
        </w:types>
        <w:behaviors>
          <w:behavior w:val="content"/>
        </w:behaviors>
        <w:description w:val=""/>
        <w:guid w:val="{9c0b1c7d-714f-422a-afda-21c161e0c5d6}"/>
      </w:docPartPr>
      <w:docPartBody>
        <w:p>
          <w:r>
            <w:rPr>
              <w:color w:val="808080"/>
            </w:rPr>
            <w:t>单击此处输入文字。</w:t>
          </w:r>
        </w:p>
      </w:docPartBody>
    </w:docPart>
    <w:docPart>
      <w:docPartPr>
        <w:name w:val="{050b69cd-1715-47a6-a2fd-aacfb5fcde72}"/>
        <w:style w:val=""/>
        <w:category>
          <w:name w:val="常规"/>
          <w:gallery w:val="placeholder"/>
        </w:category>
        <w:types>
          <w:type w:val="bbPlcHdr"/>
        </w:types>
        <w:behaviors>
          <w:behavior w:val="content"/>
        </w:behaviors>
        <w:description w:val=""/>
        <w:guid w:val="{050b69cd-1715-47a6-a2fd-aacfb5fcde72}"/>
      </w:docPartPr>
      <w:docPartBody>
        <w:p>
          <w:r>
            <w:rPr>
              <w:color w:val="808080"/>
            </w:rPr>
            <w:t>单击此处输入文字。</w:t>
          </w:r>
        </w:p>
      </w:docPartBody>
    </w:docPart>
    <w:docPart>
      <w:docPartPr>
        <w:name w:val="{07f651b4-507e-41da-85c7-e63f476ad40f}"/>
        <w:style w:val=""/>
        <w:category>
          <w:name w:val="常规"/>
          <w:gallery w:val="placeholder"/>
        </w:category>
        <w:types>
          <w:type w:val="bbPlcHdr"/>
        </w:types>
        <w:behaviors>
          <w:behavior w:val="content"/>
        </w:behaviors>
        <w:description w:val=""/>
        <w:guid w:val="{07f651b4-507e-41da-85c7-e63f476ad40f}"/>
      </w:docPartPr>
      <w:docPartBody>
        <w:p>
          <w:r>
            <w:rPr>
              <w:color w:val="808080"/>
            </w:rPr>
            <w:t>单击此处输入文字。</w:t>
          </w:r>
        </w:p>
      </w:docPartBody>
    </w:docPart>
    <w:docPart>
      <w:docPartPr>
        <w:name w:val="{56e20e7e-39ca-4ab5-ac5a-c4056c637641}"/>
        <w:style w:val=""/>
        <w:category>
          <w:name w:val="常规"/>
          <w:gallery w:val="placeholder"/>
        </w:category>
        <w:types>
          <w:type w:val="bbPlcHdr"/>
        </w:types>
        <w:behaviors>
          <w:behavior w:val="content"/>
        </w:behaviors>
        <w:description w:val=""/>
        <w:guid w:val="{56e20e7e-39ca-4ab5-ac5a-c4056c637641}"/>
      </w:docPartPr>
      <w:docPartBody>
        <w:p>
          <w:r>
            <w:rPr>
              <w:color w:val="808080"/>
            </w:rPr>
            <w:t>单击此处输入文字。</w:t>
          </w:r>
        </w:p>
      </w:docPartBody>
    </w:docPart>
    <w:docPart>
      <w:docPartPr>
        <w:name w:val="{9bcd6e8b-66c4-476d-808f-890ec422dcb2}"/>
        <w:style w:val=""/>
        <w:category>
          <w:name w:val="常规"/>
          <w:gallery w:val="placeholder"/>
        </w:category>
        <w:types>
          <w:type w:val="bbPlcHdr"/>
        </w:types>
        <w:behaviors>
          <w:behavior w:val="content"/>
        </w:behaviors>
        <w:description w:val=""/>
        <w:guid w:val="{9bcd6e8b-66c4-476d-808f-890ec422dcb2}"/>
      </w:docPartPr>
      <w:docPartBody>
        <w:p>
          <w:r>
            <w:rPr>
              <w:color w:val="808080"/>
            </w:rPr>
            <w:t>单击此处输入文字。</w:t>
          </w:r>
        </w:p>
      </w:docPartBody>
    </w:docPart>
    <w:docPart>
      <w:docPartPr>
        <w:name w:val="{c5c40a7f-6eda-4ad3-91e9-f9153459f610}"/>
        <w:style w:val=""/>
        <w:category>
          <w:name w:val="常规"/>
          <w:gallery w:val="placeholder"/>
        </w:category>
        <w:types>
          <w:type w:val="bbPlcHdr"/>
        </w:types>
        <w:behaviors>
          <w:behavior w:val="content"/>
        </w:behaviors>
        <w:description w:val=""/>
        <w:guid w:val="{c5c40a7f-6eda-4ad3-91e9-f9153459f610}"/>
      </w:docPartPr>
      <w:docPartBody>
        <w:p>
          <w:r>
            <w:rPr>
              <w:color w:val="808080"/>
            </w:rPr>
            <w:t>单击此处输入文字。</w:t>
          </w:r>
        </w:p>
      </w:docPartBody>
    </w:docPart>
    <w:docPart>
      <w:docPartPr>
        <w:name w:val="{7b3506c7-d784-4856-b9c1-eda97dd2c43f}"/>
        <w:style w:val=""/>
        <w:category>
          <w:name w:val="常规"/>
          <w:gallery w:val="placeholder"/>
        </w:category>
        <w:types>
          <w:type w:val="bbPlcHdr"/>
        </w:types>
        <w:behaviors>
          <w:behavior w:val="content"/>
        </w:behaviors>
        <w:description w:val=""/>
        <w:guid w:val="{7b3506c7-d784-4856-b9c1-eda97dd2c43f}"/>
      </w:docPartPr>
      <w:docPartBody>
        <w:p>
          <w:r>
            <w:rPr>
              <w:color w:val="808080"/>
            </w:rPr>
            <w:t>单击此处输入文字。</w:t>
          </w:r>
        </w:p>
      </w:docPartBody>
    </w:docPart>
    <w:docPart>
      <w:docPartPr>
        <w:name w:val="{9dedaa38-3db6-4cfe-9da3-16f8269edf24}"/>
        <w:style w:val=""/>
        <w:category>
          <w:name w:val="常规"/>
          <w:gallery w:val="placeholder"/>
        </w:category>
        <w:types>
          <w:type w:val="bbPlcHdr"/>
        </w:types>
        <w:behaviors>
          <w:behavior w:val="content"/>
        </w:behaviors>
        <w:description w:val=""/>
        <w:guid w:val="{9dedaa38-3db6-4cfe-9da3-16f8269edf24}"/>
      </w:docPartPr>
      <w:docPartBody>
        <w:p>
          <w:r>
            <w:rPr>
              <w:color w:val="808080"/>
            </w:rPr>
            <w:t>单击此处输入文字。</w:t>
          </w:r>
        </w:p>
      </w:docPartBody>
    </w:docPart>
    <w:docPart>
      <w:docPartPr>
        <w:name w:val="{99283ef0-84f2-4a1c-bb2b-941d30378220}"/>
        <w:style w:val=""/>
        <w:category>
          <w:name w:val="常规"/>
          <w:gallery w:val="placeholder"/>
        </w:category>
        <w:types>
          <w:type w:val="bbPlcHdr"/>
        </w:types>
        <w:behaviors>
          <w:behavior w:val="content"/>
        </w:behaviors>
        <w:description w:val=""/>
        <w:guid w:val="{99283ef0-84f2-4a1c-bb2b-941d30378220}"/>
      </w:docPartPr>
      <w:docPartBody>
        <w:p>
          <w:r>
            <w:rPr>
              <w:color w:val="808080"/>
            </w:rPr>
            <w:t>单击此处输入文字。</w:t>
          </w:r>
        </w:p>
      </w:docPartBody>
    </w:docPart>
    <w:docPart>
      <w:docPartPr>
        <w:name w:val="{a27d27fd-d6e0-431c-9894-55a8d12836ed}"/>
        <w:style w:val=""/>
        <w:category>
          <w:name w:val="常规"/>
          <w:gallery w:val="placeholder"/>
        </w:category>
        <w:types>
          <w:type w:val="bbPlcHdr"/>
        </w:types>
        <w:behaviors>
          <w:behavior w:val="content"/>
        </w:behaviors>
        <w:description w:val=""/>
        <w:guid w:val="{a27d27fd-d6e0-431c-9894-55a8d12836ed}"/>
      </w:docPartPr>
      <w:docPartBody>
        <w:p>
          <w:r>
            <w:rPr>
              <w:color w:val="808080"/>
            </w:rPr>
            <w:t>单击此处输入文字。</w:t>
          </w:r>
        </w:p>
      </w:docPartBody>
    </w:docPart>
    <w:docPart>
      <w:docPartPr>
        <w:name w:val="{20cd20a7-1613-403c-8348-d855531ee1c9}"/>
        <w:style w:val=""/>
        <w:category>
          <w:name w:val="常规"/>
          <w:gallery w:val="placeholder"/>
        </w:category>
        <w:types>
          <w:type w:val="bbPlcHdr"/>
        </w:types>
        <w:behaviors>
          <w:behavior w:val="content"/>
        </w:behaviors>
        <w:description w:val=""/>
        <w:guid w:val="{20cd20a7-1613-403c-8348-d855531ee1c9}"/>
      </w:docPartPr>
      <w:docPartBody>
        <w:p>
          <w:r>
            <w:rPr>
              <w:color w:val="808080"/>
            </w:rPr>
            <w:t>单击此处输入文字。</w:t>
          </w:r>
        </w:p>
      </w:docPartBody>
    </w:docPart>
    <w:docPart>
      <w:docPartPr>
        <w:name w:val="{277f2d8e-4ed6-47cb-9f9d-7c861a089fc6}"/>
        <w:style w:val=""/>
        <w:category>
          <w:name w:val="常规"/>
          <w:gallery w:val="placeholder"/>
        </w:category>
        <w:types>
          <w:type w:val="bbPlcHdr"/>
        </w:types>
        <w:behaviors>
          <w:behavior w:val="content"/>
        </w:behaviors>
        <w:description w:val=""/>
        <w:guid w:val="{277f2d8e-4ed6-47cb-9f9d-7c861a089fc6}"/>
      </w:docPartPr>
      <w:docPartBody>
        <w:p>
          <w:r>
            <w:rPr>
              <w:color w:val="808080"/>
            </w:rPr>
            <w:t>单击此处输入文字。</w:t>
          </w:r>
        </w:p>
      </w:docPartBody>
    </w:docPart>
    <w:docPart>
      <w:docPartPr>
        <w:name w:val="{5dfbfb5f-6213-4be2-9af1-a40d90c96adb}"/>
        <w:style w:val=""/>
        <w:category>
          <w:name w:val="常规"/>
          <w:gallery w:val="placeholder"/>
        </w:category>
        <w:types>
          <w:type w:val="bbPlcHdr"/>
        </w:types>
        <w:behaviors>
          <w:behavior w:val="content"/>
        </w:behaviors>
        <w:description w:val=""/>
        <w:guid w:val="{5dfbfb5f-6213-4be2-9af1-a40d90c96adb}"/>
      </w:docPartPr>
      <w:docPartBody>
        <w:p>
          <w:r>
            <w:rPr>
              <w:color w:val="808080"/>
            </w:rPr>
            <w:t>单击此处输入文字。</w:t>
          </w:r>
        </w:p>
      </w:docPartBody>
    </w:docPart>
    <w:docPart>
      <w:docPartPr>
        <w:name w:val="{1b886c76-dc86-4261-98fa-50d140d39368}"/>
        <w:style w:val=""/>
        <w:category>
          <w:name w:val="常规"/>
          <w:gallery w:val="placeholder"/>
        </w:category>
        <w:types>
          <w:type w:val="bbPlcHdr"/>
        </w:types>
        <w:behaviors>
          <w:behavior w:val="content"/>
        </w:behaviors>
        <w:description w:val=""/>
        <w:guid w:val="{1b886c76-dc86-4261-98fa-50d140d39368}"/>
      </w:docPartPr>
      <w:docPartBody>
        <w:p>
          <w:r>
            <w:rPr>
              <w:color w:val="808080"/>
            </w:rPr>
            <w:t>单击此处输入文字。</w:t>
          </w:r>
        </w:p>
      </w:docPartBody>
    </w:docPart>
    <w:docPart>
      <w:docPartPr>
        <w:name w:val="{e40f7459-8f60-430a-b328-a14c51ab4c03}"/>
        <w:style w:val=""/>
        <w:category>
          <w:name w:val="常规"/>
          <w:gallery w:val="placeholder"/>
        </w:category>
        <w:types>
          <w:type w:val="bbPlcHdr"/>
        </w:types>
        <w:behaviors>
          <w:behavior w:val="content"/>
        </w:behaviors>
        <w:description w:val=""/>
        <w:guid w:val="{e40f7459-8f60-430a-b328-a14c51ab4c03}"/>
      </w:docPartPr>
      <w:docPartBody>
        <w:p>
          <w:r>
            <w:rPr>
              <w:color w:val="808080"/>
            </w:rPr>
            <w:t>单击此处输入文字。</w:t>
          </w:r>
        </w:p>
      </w:docPartBody>
    </w:docPart>
    <w:docPart>
      <w:docPartPr>
        <w:name w:val="{c98d0f19-8f95-4473-9902-59d75b193e76}"/>
        <w:style w:val=""/>
        <w:category>
          <w:name w:val="常规"/>
          <w:gallery w:val="placeholder"/>
        </w:category>
        <w:types>
          <w:type w:val="bbPlcHdr"/>
        </w:types>
        <w:behaviors>
          <w:behavior w:val="content"/>
        </w:behaviors>
        <w:description w:val=""/>
        <w:guid w:val="{c98d0f19-8f95-4473-9902-59d75b193e76}"/>
      </w:docPartPr>
      <w:docPartBody>
        <w:p>
          <w:r>
            <w:rPr>
              <w:color w:val="808080"/>
            </w:rPr>
            <w:t>单击此处输入文字。</w:t>
          </w:r>
        </w:p>
      </w:docPartBody>
    </w:docPart>
    <w:docPart>
      <w:docPartPr>
        <w:name w:val="{84d06fe7-dfd4-425c-9c4b-c6e995334813}"/>
        <w:style w:val=""/>
        <w:category>
          <w:name w:val="常规"/>
          <w:gallery w:val="placeholder"/>
        </w:category>
        <w:types>
          <w:type w:val="bbPlcHdr"/>
        </w:types>
        <w:behaviors>
          <w:behavior w:val="content"/>
        </w:behaviors>
        <w:description w:val=""/>
        <w:guid w:val="{84d06fe7-dfd4-425c-9c4b-c6e995334813}"/>
      </w:docPartPr>
      <w:docPartBody>
        <w:p>
          <w:r>
            <w:rPr>
              <w:color w:val="808080"/>
            </w:rPr>
            <w:t>单击此处输入文字。</w:t>
          </w:r>
        </w:p>
      </w:docPartBody>
    </w:docPart>
    <w:docPart>
      <w:docPartPr>
        <w:name w:val="{f4e439dd-7e59-4a99-8ada-8579d0bab491}"/>
        <w:style w:val=""/>
        <w:category>
          <w:name w:val="常规"/>
          <w:gallery w:val="placeholder"/>
        </w:category>
        <w:types>
          <w:type w:val="bbPlcHdr"/>
        </w:types>
        <w:behaviors>
          <w:behavior w:val="content"/>
        </w:behaviors>
        <w:description w:val=""/>
        <w:guid w:val="{f4e439dd-7e59-4a99-8ada-8579d0bab491}"/>
      </w:docPartPr>
      <w:docPartBody>
        <w:p>
          <w:r>
            <w:rPr>
              <w:color w:val="808080"/>
            </w:rPr>
            <w:t>单击此处输入文字。</w:t>
          </w:r>
        </w:p>
      </w:docPartBody>
    </w:docPart>
    <w:docPart>
      <w:docPartPr>
        <w:name w:val="{d3d5b16c-59bf-4bea-9b78-b0ca5e446e48}"/>
        <w:style w:val=""/>
        <w:category>
          <w:name w:val="常规"/>
          <w:gallery w:val="placeholder"/>
        </w:category>
        <w:types>
          <w:type w:val="bbPlcHdr"/>
        </w:types>
        <w:behaviors>
          <w:behavior w:val="content"/>
        </w:behaviors>
        <w:description w:val=""/>
        <w:guid w:val="{d3d5b16c-59bf-4bea-9b78-b0ca5e446e48}"/>
      </w:docPartPr>
      <w:docPartBody>
        <w:p>
          <w:r>
            <w:rPr>
              <w:color w:val="808080"/>
            </w:rPr>
            <w:t>单击此处输入文字。</w:t>
          </w:r>
        </w:p>
      </w:docPartBody>
    </w:docPart>
    <w:docPart>
      <w:docPartPr>
        <w:name w:val="{3285d88d-3250-4109-9a41-ebfc4f746d1d}"/>
        <w:style w:val=""/>
        <w:category>
          <w:name w:val="常规"/>
          <w:gallery w:val="placeholder"/>
        </w:category>
        <w:types>
          <w:type w:val="bbPlcHdr"/>
        </w:types>
        <w:behaviors>
          <w:behavior w:val="content"/>
        </w:behaviors>
        <w:description w:val=""/>
        <w:guid w:val="{3285d88d-3250-4109-9a41-ebfc4f746d1d}"/>
      </w:docPartPr>
      <w:docPartBody>
        <w:p>
          <w:r>
            <w:rPr>
              <w:color w:val="808080"/>
            </w:rPr>
            <w:t>单击此处输入文字。</w:t>
          </w:r>
        </w:p>
      </w:docPartBody>
    </w:docPart>
    <w:docPart>
      <w:docPartPr>
        <w:name w:val="{186055d7-b528-409f-af7e-9b0978ef4d97}"/>
        <w:style w:val=""/>
        <w:category>
          <w:name w:val="常规"/>
          <w:gallery w:val="placeholder"/>
        </w:category>
        <w:types>
          <w:type w:val="bbPlcHdr"/>
        </w:types>
        <w:behaviors>
          <w:behavior w:val="content"/>
        </w:behaviors>
        <w:description w:val=""/>
        <w:guid w:val="{186055d7-b528-409f-af7e-9b0978ef4d97}"/>
      </w:docPartPr>
      <w:docPartBody>
        <w:p>
          <w:r>
            <w:rPr>
              <w:color w:val="808080"/>
            </w:rPr>
            <w:t>单击此处输入文字。</w:t>
          </w:r>
        </w:p>
      </w:docPartBody>
    </w:docPart>
    <w:docPart>
      <w:docPartPr>
        <w:name w:val="{fce089f2-9f15-435b-917d-72166b317564}"/>
        <w:style w:val=""/>
        <w:category>
          <w:name w:val="常规"/>
          <w:gallery w:val="placeholder"/>
        </w:category>
        <w:types>
          <w:type w:val="bbPlcHdr"/>
        </w:types>
        <w:behaviors>
          <w:behavior w:val="content"/>
        </w:behaviors>
        <w:description w:val=""/>
        <w:guid w:val="{fce089f2-9f15-435b-917d-72166b317564}"/>
      </w:docPartPr>
      <w:docPartBody>
        <w:p>
          <w:r>
            <w:rPr>
              <w:color w:val="808080"/>
            </w:rPr>
            <w:t>单击此处输入文字。</w:t>
          </w:r>
        </w:p>
      </w:docPartBody>
    </w:docPart>
    <w:docPart>
      <w:docPartPr>
        <w:name w:val="{48b2af2d-62cc-4fa1-b47c-e94bc4aa3ec8}"/>
        <w:style w:val=""/>
        <w:category>
          <w:name w:val="常规"/>
          <w:gallery w:val="placeholder"/>
        </w:category>
        <w:types>
          <w:type w:val="bbPlcHdr"/>
        </w:types>
        <w:behaviors>
          <w:behavior w:val="content"/>
        </w:behaviors>
        <w:description w:val=""/>
        <w:guid w:val="{48b2af2d-62cc-4fa1-b47c-e94bc4aa3ec8}"/>
      </w:docPartPr>
      <w:docPartBody>
        <w:p>
          <w:r>
            <w:rPr>
              <w:color w:val="808080"/>
            </w:rPr>
            <w:t>单击此处输入文字。</w:t>
          </w:r>
        </w:p>
      </w:docPartBody>
    </w:docPart>
    <w:docPart>
      <w:docPartPr>
        <w:name w:val="{890409ec-11b4-4188-94d3-02e7c1eb9c92}"/>
        <w:style w:val=""/>
        <w:category>
          <w:name w:val="常规"/>
          <w:gallery w:val="placeholder"/>
        </w:category>
        <w:types>
          <w:type w:val="bbPlcHdr"/>
        </w:types>
        <w:behaviors>
          <w:behavior w:val="content"/>
        </w:behaviors>
        <w:description w:val=""/>
        <w:guid w:val="{890409ec-11b4-4188-94d3-02e7c1eb9c92}"/>
      </w:docPartPr>
      <w:docPartBody>
        <w:p>
          <w:r>
            <w:rPr>
              <w:color w:val="808080"/>
            </w:rPr>
            <w:t>单击此处输入文字。</w:t>
          </w:r>
        </w:p>
      </w:docPartBody>
    </w:docPart>
    <w:docPart>
      <w:docPartPr>
        <w:name w:val="{bd172039-0181-4c8b-81d8-a726e29cf169}"/>
        <w:style w:val=""/>
        <w:category>
          <w:name w:val="常规"/>
          <w:gallery w:val="placeholder"/>
        </w:category>
        <w:types>
          <w:type w:val="bbPlcHdr"/>
        </w:types>
        <w:behaviors>
          <w:behavior w:val="content"/>
        </w:behaviors>
        <w:description w:val=""/>
        <w:guid w:val="{bd172039-0181-4c8b-81d8-a726e29cf169}"/>
      </w:docPartPr>
      <w:docPartBody>
        <w:p>
          <w:r>
            <w:rPr>
              <w:color w:val="808080"/>
            </w:rPr>
            <w:t>单击此处输入文字。</w:t>
          </w:r>
        </w:p>
      </w:docPartBody>
    </w:docPart>
    <w:docPart>
      <w:docPartPr>
        <w:name w:val="{efc7376b-3cc3-476f-948e-8c74fb52d584}"/>
        <w:style w:val=""/>
        <w:category>
          <w:name w:val="常规"/>
          <w:gallery w:val="placeholder"/>
        </w:category>
        <w:types>
          <w:type w:val="bbPlcHdr"/>
        </w:types>
        <w:behaviors>
          <w:behavior w:val="content"/>
        </w:behaviors>
        <w:description w:val=""/>
        <w:guid w:val="{efc7376b-3cc3-476f-948e-8c74fb52d584}"/>
      </w:docPartPr>
      <w:docPartBody>
        <w:p>
          <w:r>
            <w:rPr>
              <w:color w:val="808080"/>
            </w:rPr>
            <w:t>单击此处输入文字。</w:t>
          </w:r>
        </w:p>
      </w:docPartBody>
    </w:docPart>
    <w:docPart>
      <w:docPartPr>
        <w:name w:val="{51878d6d-db15-4f54-a33a-79ffec45c143}"/>
        <w:style w:val=""/>
        <w:category>
          <w:name w:val="常规"/>
          <w:gallery w:val="placeholder"/>
        </w:category>
        <w:types>
          <w:type w:val="bbPlcHdr"/>
        </w:types>
        <w:behaviors>
          <w:behavior w:val="content"/>
        </w:behaviors>
        <w:description w:val=""/>
        <w:guid w:val="{51878d6d-db15-4f54-a33a-79ffec45c143}"/>
      </w:docPartPr>
      <w:docPartBody>
        <w:p>
          <w:r>
            <w:rPr>
              <w:color w:val="808080"/>
            </w:rPr>
            <w:t>单击此处输入文字。</w:t>
          </w:r>
        </w:p>
      </w:docPartBody>
    </w:docPart>
    <w:docPart>
      <w:docPartPr>
        <w:name w:val="{44a102d0-f6ac-4e2b-bc6a-1215eaf417d7}"/>
        <w:style w:val=""/>
        <w:category>
          <w:name w:val="常规"/>
          <w:gallery w:val="placeholder"/>
        </w:category>
        <w:types>
          <w:type w:val="bbPlcHdr"/>
        </w:types>
        <w:behaviors>
          <w:behavior w:val="content"/>
        </w:behaviors>
        <w:description w:val=""/>
        <w:guid w:val="{44a102d0-f6ac-4e2b-bc6a-1215eaf417d7}"/>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72</Pages>
  <Words>43657</Words>
  <Characters>46160</Characters>
  <Lines>1</Lines>
  <Paragraphs>1</Paragraphs>
  <TotalTime>0</TotalTime>
  <ScaleCrop>false</ScaleCrop>
  <LinksUpToDate>false</LinksUpToDate>
  <CharactersWithSpaces>46842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2015-01-03T20:40:00Z</dcterms:created>
  <dc:creator>黄超群</dc:creator>
  <cp:lastModifiedBy>Administrator</cp:lastModifiedBy>
  <dcterms:modified xsi:type="dcterms:W3CDTF">2024-06-28T09:27:41Z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8EFEE975E8284D67AF2ED2E3D876E723</vt:lpwstr>
  </property>
</Properties>
</file>