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auto"/>
          <w:sz w:val="72"/>
          <w:highlight w:val="none"/>
        </w:rPr>
      </w:pPr>
      <w:r>
        <w:rPr>
          <w:rFonts w:hint="eastAsia" w:ascii="宋体" w:hAnsi="宋体"/>
          <w:b/>
          <w:color w:val="auto"/>
          <w:sz w:val="72"/>
          <w:highlight w:val="none"/>
        </w:rPr>
        <w:t>厦 门 市 大 宗 货 物</w:t>
      </w:r>
      <w:r>
        <w:rPr>
          <w:rFonts w:hint="eastAsia" w:ascii="宋体" w:hAnsi="宋体"/>
          <w:b/>
          <w:color w:val="auto"/>
          <w:sz w:val="72"/>
          <w:highlight w:val="none"/>
          <w:lang w:val="en-US" w:eastAsia="zh-CN"/>
        </w:rPr>
        <w:t xml:space="preserve">   </w:t>
      </w:r>
      <w:r>
        <w:rPr>
          <w:rFonts w:hint="eastAsia" w:ascii="宋体" w:hAnsi="宋体"/>
          <w:b/>
          <w:color w:val="auto"/>
          <w:sz w:val="72"/>
          <w:highlight w:val="none"/>
        </w:rPr>
        <w:t xml:space="preserve">  </w:t>
      </w:r>
    </w:p>
    <w:p>
      <w:pPr>
        <w:jc w:val="center"/>
        <w:rPr>
          <w:rFonts w:hint="eastAsia" w:ascii="宋体" w:hAnsi="宋体"/>
          <w:b/>
          <w:color w:val="auto"/>
          <w:sz w:val="72"/>
          <w:highlight w:val="none"/>
        </w:rPr>
      </w:pPr>
      <w:r>
        <w:rPr>
          <w:rFonts w:hint="eastAsia" w:ascii="宋体" w:hAnsi="宋体"/>
          <w:b/>
          <w:color w:val="auto"/>
          <w:sz w:val="72"/>
          <w:highlight w:val="none"/>
        </w:rPr>
        <w:t xml:space="preserve">政 </w:t>
      </w:r>
      <w:bookmarkStart w:id="36" w:name="_GoBack"/>
      <w:bookmarkEnd w:id="36"/>
      <w:r>
        <w:rPr>
          <w:rFonts w:hint="eastAsia" w:ascii="宋体" w:hAnsi="宋体"/>
          <w:b/>
          <w:color w:val="auto"/>
          <w:sz w:val="72"/>
          <w:highlight w:val="none"/>
        </w:rPr>
        <w:t xml:space="preserve">府 采 购 项 目 </w:t>
      </w:r>
    </w:p>
    <w:p>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招   标   文   件</w:t>
      </w: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default" w:ascii="宋体" w:hAnsi="宋体" w:eastAsia="宋体"/>
          <w:b/>
          <w:color w:val="auto"/>
          <w:sz w:val="36"/>
          <w:highlight w:val="none"/>
          <w:u w:val="single"/>
          <w:lang w:val="en-US" w:eastAsia="zh-CN"/>
        </w:rPr>
      </w:pPr>
      <w:r>
        <w:rPr>
          <w:rFonts w:hint="eastAsia" w:ascii="宋体" w:hAnsi="宋体"/>
          <w:b/>
          <w:color w:val="auto"/>
          <w:sz w:val="36"/>
          <w:highlight w:val="none"/>
        </w:rPr>
        <w:t>招 标 编 号：</w:t>
      </w:r>
      <w:r>
        <w:rPr>
          <w:rFonts w:hint="eastAsia" w:ascii="宋体" w:hAnsi="宋体"/>
          <w:b/>
          <w:color w:val="auto"/>
          <w:sz w:val="36"/>
          <w:highlight w:val="none"/>
          <w:u w:val="single"/>
        </w:rPr>
        <w:t>XM</w:t>
      </w:r>
      <w:r>
        <w:rPr>
          <w:rFonts w:hint="eastAsia" w:ascii="宋体" w:hAnsi="宋体"/>
          <w:b/>
          <w:color w:val="auto"/>
          <w:sz w:val="36"/>
          <w:highlight w:val="none"/>
          <w:u w:val="single"/>
          <w:lang w:eastAsia="zh-CN"/>
        </w:rPr>
        <w:t>2024</w:t>
      </w:r>
      <w:r>
        <w:rPr>
          <w:rFonts w:hint="eastAsia" w:ascii="宋体" w:hAnsi="宋体"/>
          <w:b/>
          <w:color w:val="auto"/>
          <w:sz w:val="36"/>
          <w:highlight w:val="none"/>
          <w:u w:val="single"/>
        </w:rPr>
        <w:t>-DZ</w:t>
      </w:r>
      <w:r>
        <w:rPr>
          <w:rFonts w:hint="eastAsia" w:ascii="宋体" w:hAnsi="宋体"/>
          <w:b/>
          <w:color w:val="auto"/>
          <w:sz w:val="36"/>
          <w:highlight w:val="none"/>
          <w:u w:val="single"/>
          <w:lang w:val="en-US" w:eastAsia="zh-CN"/>
        </w:rPr>
        <w:t>0030</w:t>
      </w:r>
    </w:p>
    <w:p>
      <w:pPr>
        <w:spacing w:line="360" w:lineRule="auto"/>
        <w:ind w:left="3948" w:leftChars="684" w:hanging="2512" w:hangingChars="695"/>
        <w:rPr>
          <w:rFonts w:hint="eastAsia" w:ascii="宋体" w:hAnsi="宋体"/>
          <w:b/>
          <w:color w:val="auto"/>
          <w:sz w:val="36"/>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rPr>
        <w:t>：2024年大宗激光一体机</w:t>
      </w: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spacing w:line="360" w:lineRule="auto"/>
        <w:ind w:firstLine="1438" w:firstLineChars="398"/>
        <w:rPr>
          <w:rFonts w:hint="eastAsia" w:ascii="宋体" w:hAnsi="宋体"/>
          <w:b/>
          <w:color w:val="auto"/>
          <w:sz w:val="36"/>
          <w:highlight w:val="none"/>
        </w:rPr>
      </w:pPr>
    </w:p>
    <w:p>
      <w:pPr>
        <w:pStyle w:val="5"/>
        <w:spacing w:line="360" w:lineRule="auto"/>
        <w:ind w:firstLine="1438" w:firstLineChars="398"/>
        <w:jc w:val="left"/>
        <w:rPr>
          <w:rFonts w:hint="eastAsia" w:hAnsi="宋体"/>
          <w:b/>
          <w:color w:val="auto"/>
          <w:spacing w:val="20"/>
          <w:sz w:val="32"/>
          <w:highlight w:val="none"/>
        </w:rPr>
      </w:pPr>
    </w:p>
    <w:p>
      <w:pPr>
        <w:pStyle w:val="5"/>
        <w:spacing w:line="360" w:lineRule="auto"/>
        <w:ind w:firstLine="0" w:firstLineChars="0"/>
        <w:jc w:val="left"/>
        <w:rPr>
          <w:rFonts w:hint="eastAsia" w:hAnsi="宋体"/>
          <w:b/>
          <w:bCs/>
          <w:color w:val="auto"/>
          <w:sz w:val="32"/>
          <w:highlight w:val="none"/>
          <w:u w:val="single"/>
        </w:rPr>
      </w:pPr>
      <w:r>
        <w:rPr>
          <w:rFonts w:hint="eastAsia" w:hAnsi="宋体"/>
          <w:b/>
          <w:color w:val="auto"/>
          <w:spacing w:val="20"/>
          <w:sz w:val="32"/>
          <w:highlight w:val="none"/>
        </w:rPr>
        <w:t>使用单位：厦门市政府机关事业单位和福建省内其他终端用户</w:t>
      </w:r>
    </w:p>
    <w:p>
      <w:pPr>
        <w:pStyle w:val="5"/>
        <w:spacing w:line="360" w:lineRule="auto"/>
        <w:ind w:firstLine="0" w:firstLineChars="0"/>
        <w:jc w:val="left"/>
        <w:rPr>
          <w:rFonts w:hint="eastAsia" w:hAnsi="宋体"/>
          <w:b/>
          <w:bCs/>
          <w:color w:val="auto"/>
          <w:sz w:val="32"/>
          <w:highlight w:val="none"/>
        </w:rPr>
      </w:pPr>
      <w:r>
        <w:rPr>
          <w:rFonts w:hint="eastAsia" w:hAnsi="宋体"/>
          <w:b/>
          <w:color w:val="auto"/>
          <w:spacing w:val="20"/>
          <w:sz w:val="32"/>
          <w:highlight w:val="none"/>
        </w:rPr>
        <w:t>采购单位：</w:t>
      </w:r>
      <w:r>
        <w:rPr>
          <w:rFonts w:hint="eastAsia" w:hAnsi="宋体"/>
          <w:b/>
          <w:bCs/>
          <w:color w:val="auto"/>
          <w:sz w:val="32"/>
          <w:highlight w:val="none"/>
        </w:rPr>
        <w:t>厦门万翔网络商务有限公司</w:t>
      </w:r>
    </w:p>
    <w:p>
      <w:pPr>
        <w:pStyle w:val="5"/>
        <w:spacing w:line="360" w:lineRule="auto"/>
        <w:ind w:firstLine="0" w:firstLineChars="0"/>
        <w:jc w:val="left"/>
        <w:rPr>
          <w:rFonts w:hint="eastAsia" w:hAnsi="宋体"/>
          <w:b/>
          <w:color w:val="auto"/>
          <w:sz w:val="28"/>
          <w:highlight w:val="none"/>
        </w:rPr>
      </w:pPr>
      <w:r>
        <w:rPr>
          <w:rFonts w:hint="eastAsia" w:hAnsi="宋体"/>
          <w:b/>
          <w:color w:val="auto"/>
          <w:spacing w:val="20"/>
          <w:sz w:val="32"/>
          <w:highlight w:val="none"/>
        </w:rPr>
        <w:t>招标代理机构：</w:t>
      </w:r>
      <w:r>
        <w:rPr>
          <w:rFonts w:hint="eastAsia" w:hAnsi="宋体"/>
          <w:b/>
          <w:bCs/>
          <w:color w:val="auto"/>
          <w:sz w:val="32"/>
          <w:highlight w:val="none"/>
        </w:rPr>
        <w:t xml:space="preserve">厦门万翔招标有限公司 </w:t>
      </w:r>
      <w:r>
        <w:rPr>
          <w:rFonts w:hint="eastAsia" w:hAnsi="宋体"/>
          <w:b/>
          <w:color w:val="auto"/>
          <w:spacing w:val="20"/>
          <w:sz w:val="32"/>
          <w:highlight w:val="none"/>
        </w:rPr>
        <w:t xml:space="preserve"> </w:t>
      </w:r>
    </w:p>
    <w:p>
      <w:pPr>
        <w:spacing w:line="360" w:lineRule="auto"/>
        <w:ind w:firstLine="1438" w:firstLineChars="398"/>
        <w:rPr>
          <w:rFonts w:hint="eastAsia" w:ascii="宋体" w:hAnsi="宋体"/>
          <w:b/>
          <w:color w:val="auto"/>
          <w:sz w:val="36"/>
          <w:highlight w:val="none"/>
        </w:rPr>
      </w:pPr>
    </w:p>
    <w:p>
      <w:pPr>
        <w:pStyle w:val="5"/>
        <w:spacing w:line="360" w:lineRule="auto"/>
        <w:jc w:val="center"/>
        <w:outlineLvl w:val="0"/>
        <w:rPr>
          <w:rFonts w:hint="eastAsia" w:hAnsi="宋体"/>
          <w:b/>
          <w:color w:val="auto"/>
          <w:sz w:val="32"/>
          <w:highlight w:val="none"/>
        </w:rPr>
      </w:pPr>
      <w:r>
        <w:rPr>
          <w:rFonts w:hint="eastAsia" w:hAnsi="宋体"/>
          <w:b/>
          <w:color w:val="auto"/>
          <w:sz w:val="32"/>
          <w:highlight w:val="none"/>
          <w:lang w:eastAsia="zh-CN"/>
        </w:rPr>
        <w:t>2024</w:t>
      </w:r>
      <w:r>
        <w:rPr>
          <w:rFonts w:hint="eastAsia" w:hAnsi="宋体"/>
          <w:b/>
          <w:color w:val="auto"/>
          <w:sz w:val="32"/>
          <w:highlight w:val="none"/>
        </w:rPr>
        <w:t>年</w:t>
      </w:r>
    </w:p>
    <w:p>
      <w:pPr>
        <w:pStyle w:val="5"/>
        <w:spacing w:line="360" w:lineRule="auto"/>
        <w:jc w:val="both"/>
        <w:outlineLvl w:val="0"/>
        <w:rPr>
          <w:rFonts w:hint="eastAsia" w:hAnsi="宋体"/>
          <w:b/>
          <w:color w:val="auto"/>
          <w:sz w:val="32"/>
          <w:highlight w:val="none"/>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（201608版）</w:t>
      </w:r>
    </w:p>
    <w:p>
      <w:pPr>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rPr>
        <w:t xml:space="preserve">厦门银行股份有限公司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rPr>
      </w:pPr>
    </w:p>
    <w:p>
      <w:pPr>
        <w:pStyle w:val="5"/>
        <w:spacing w:line="360" w:lineRule="auto"/>
        <w:jc w:val="center"/>
        <w:outlineLvl w:val="0"/>
        <w:rPr>
          <w:rFonts w:hint="eastAsia" w:hAnsi="宋体" w:eastAsia="宋体" w:cs="宋体"/>
          <w:b/>
          <w:bCs/>
          <w:color w:val="auto"/>
          <w:sz w:val="32"/>
          <w:szCs w:val="32"/>
          <w:highlight w:val="none"/>
        </w:rPr>
      </w:pPr>
      <w:r>
        <w:rPr>
          <w:rFonts w:hint="eastAsia" w:hAnsi="宋体" w:eastAsia="宋体" w:cs="宋体"/>
          <w:b/>
          <w:bCs/>
          <w:color w:val="auto"/>
          <w:sz w:val="32"/>
          <w:szCs w:val="32"/>
          <w:highlight w:val="none"/>
        </w:rPr>
        <w:t xml:space="preserve">  目   录</w:t>
      </w:r>
    </w:p>
    <w:p>
      <w:pPr>
        <w:pStyle w:val="2"/>
        <w:snapToGrid w:val="0"/>
        <w:spacing w:line="360" w:lineRule="auto"/>
        <w:ind w:firstLine="0"/>
        <w:rPr>
          <w:rFonts w:hint="eastAsia" w:ascii="宋体" w:hAnsi="宋体" w:eastAsia="宋体" w:cs="宋体"/>
          <w:color w:val="auto"/>
          <w:sz w:val="24"/>
          <w:szCs w:val="24"/>
          <w:highlight w:val="none"/>
        </w:rPr>
      </w:pP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 …………………………………………………1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投标邀请函…………………………………………………1-1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  ………………………………………………2</w:t>
      </w:r>
    </w:p>
    <w:p>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投标人须知前附表1、2、3、4 </w:t>
      </w:r>
      <w:r>
        <w:rPr>
          <w:rFonts w:hint="eastAsia" w:ascii="宋体" w:hAnsi="宋体" w:eastAsia="宋体" w:cs="宋体"/>
          <w:color w:val="auto"/>
          <w:sz w:val="24"/>
          <w:szCs w:val="24"/>
          <w:highlight w:val="none"/>
        </w:rPr>
        <w:t>……………………………………2-1-1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 说明 ………………………………………………………2-2-1</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 招标文件 …………………………………………………2-2-</w:t>
      </w:r>
      <w:r>
        <w:rPr>
          <w:rFonts w:hint="eastAsia" w:ascii="宋体" w:hAnsi="宋体" w:eastAsia="宋体" w:cs="宋体"/>
          <w:color w:val="auto"/>
          <w:sz w:val="24"/>
          <w:szCs w:val="24"/>
          <w:highlight w:val="none"/>
          <w:lang w:val="en-US" w:eastAsia="zh-CN"/>
        </w:rPr>
        <w:t>4</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 投标文件的编写 …………………………………………2-2-</w:t>
      </w:r>
      <w:r>
        <w:rPr>
          <w:rFonts w:hint="eastAsia" w:ascii="宋体" w:hAnsi="宋体" w:eastAsia="宋体" w:cs="宋体"/>
          <w:color w:val="auto"/>
          <w:sz w:val="24"/>
          <w:szCs w:val="24"/>
          <w:highlight w:val="none"/>
          <w:lang w:val="en-US" w:eastAsia="zh-CN"/>
        </w:rPr>
        <w:t>5</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投标文件的提交 …………………………………………2-2-</w:t>
      </w:r>
      <w:r>
        <w:rPr>
          <w:rFonts w:hint="eastAsia" w:ascii="宋体" w:hAnsi="宋体" w:eastAsia="宋体" w:cs="宋体"/>
          <w:color w:val="auto"/>
          <w:sz w:val="24"/>
          <w:szCs w:val="24"/>
          <w:highlight w:val="none"/>
          <w:lang w:val="en-US" w:eastAsia="zh-CN"/>
        </w:rPr>
        <w:t>8</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 投标文件的评估和比较 …………………………………2-2-</w:t>
      </w:r>
      <w:r>
        <w:rPr>
          <w:rFonts w:hint="eastAsia" w:ascii="宋体" w:hAnsi="宋体" w:eastAsia="宋体" w:cs="宋体"/>
          <w:color w:val="auto"/>
          <w:sz w:val="24"/>
          <w:szCs w:val="24"/>
          <w:highlight w:val="none"/>
          <w:lang w:val="en-US" w:eastAsia="zh-CN"/>
        </w:rPr>
        <w:t>9</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定标与签订合同…………………………………………2-2-1</w:t>
      </w:r>
      <w:r>
        <w:rPr>
          <w:rFonts w:hint="eastAsia" w:ascii="宋体" w:hAnsi="宋体" w:eastAsia="宋体" w:cs="宋体"/>
          <w:color w:val="auto"/>
          <w:sz w:val="24"/>
          <w:szCs w:val="24"/>
          <w:highlight w:val="none"/>
          <w:lang w:val="en-US" w:eastAsia="zh-CN"/>
        </w:rPr>
        <w:t>2</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招标内容及要求  ………………………………………3-1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政府</w:t>
      </w:r>
      <w:r>
        <w:rPr>
          <w:rFonts w:hint="eastAsia" w:ascii="宋体" w:hAnsi="宋体" w:eastAsia="宋体" w:cs="宋体"/>
          <w:bCs/>
          <w:color w:val="auto"/>
          <w:sz w:val="24"/>
          <w:szCs w:val="24"/>
          <w:highlight w:val="none"/>
        </w:rPr>
        <w:t xml:space="preserve">采购合同 </w:t>
      </w:r>
      <w:r>
        <w:rPr>
          <w:rFonts w:hint="eastAsia" w:ascii="宋体" w:hAnsi="宋体" w:eastAsia="宋体" w:cs="宋体"/>
          <w:color w:val="auto"/>
          <w:sz w:val="24"/>
          <w:szCs w:val="24"/>
          <w:highlight w:val="none"/>
        </w:rPr>
        <w:t>…………………………………………4-1</w:t>
      </w:r>
    </w:p>
    <w:p>
      <w:pPr>
        <w:pStyle w:val="2"/>
        <w:snapToGrid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 …………………………………………5-1</w:t>
      </w:r>
    </w:p>
    <w:p>
      <w:pPr>
        <w:pStyle w:val="2"/>
        <w:spacing w:line="360" w:lineRule="auto"/>
        <w:ind w:firstLine="2250" w:firstLineChars="934"/>
        <w:rPr>
          <w:rFonts w:hint="eastAsia" w:ascii="宋体" w:hAnsi="宋体" w:eastAsia="宋体" w:cs="宋体"/>
          <w:b/>
          <w:color w:val="auto"/>
          <w:sz w:val="24"/>
          <w:szCs w:val="24"/>
          <w:highlight w:val="none"/>
          <w:u w:val="single"/>
        </w:rPr>
        <w:sectPr>
          <w:footerReference r:id="rId5" w:type="first"/>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39"/>
        <w:spacing w:line="360" w:lineRule="auto"/>
        <w:jc w:val="center"/>
        <w:rPr>
          <w:rFonts w:hint="eastAsia" w:hAnsi="宋体" w:eastAsia="宋体" w:cs="宋体"/>
          <w:b/>
          <w:bCs/>
          <w:color w:val="auto"/>
          <w:sz w:val="32"/>
          <w:szCs w:val="32"/>
          <w:highlight w:val="none"/>
        </w:rPr>
      </w:pPr>
      <w:r>
        <w:rPr>
          <w:rFonts w:hint="eastAsia" w:hAnsi="宋体" w:eastAsia="宋体" w:cs="宋体"/>
          <w:b/>
          <w:color w:val="auto"/>
          <w:sz w:val="32"/>
          <w:szCs w:val="32"/>
          <w:highlight w:val="none"/>
        </w:rPr>
        <w:t>第一章  投标邀请函</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w:t>
      </w:r>
      <w:r>
        <w:rPr>
          <w:rFonts w:hint="eastAsia" w:ascii="宋体" w:hAnsi="宋体" w:cs="宋体"/>
          <w:b/>
          <w:color w:val="auto"/>
          <w:sz w:val="24"/>
          <w:szCs w:val="24"/>
          <w:highlight w:val="none"/>
          <w:u w:val="single"/>
        </w:rPr>
        <w:t>厦门万翔网络商务有限公司</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rPr>
        <w:t>委托，</w:t>
      </w:r>
      <w:r>
        <w:rPr>
          <w:rFonts w:hint="eastAsia" w:ascii="宋体" w:hAnsi="宋体" w:eastAsia="宋体" w:cs="宋体"/>
          <w:b/>
          <w:color w:val="auto"/>
          <w:sz w:val="24"/>
          <w:szCs w:val="24"/>
          <w:highlight w:val="none"/>
          <w:u w:val="single"/>
        </w:rPr>
        <w:t xml:space="preserve">厦门万翔招标有限公司 </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rPr>
        <w:t>【2024年大宗激光一体机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货物（或服务）进行国内公开招标，现欢迎国内合格的投标人前来投标。</w:t>
      </w:r>
    </w:p>
    <w:p>
      <w:pPr>
        <w:spacing w:line="360" w:lineRule="auto"/>
        <w:ind w:firstLine="360" w:firstLineChars="1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1、招标编号：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-DZ</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030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 xml:space="preserve"> </w:t>
      </w:r>
    </w:p>
    <w:p>
      <w:pPr>
        <w:spacing w:line="360" w:lineRule="auto"/>
        <w:ind w:firstLine="318" w:firstLineChars="15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2、招标货物（服务）名称、数量及主要技术规格：见后</w:t>
      </w:r>
      <w:r>
        <w:rPr>
          <w:rFonts w:hint="eastAsia" w:ascii="宋体" w:hAnsi="宋体" w:eastAsia="宋体" w:cs="宋体"/>
          <w:color w:val="auto"/>
          <w:sz w:val="24"/>
          <w:szCs w:val="24"/>
          <w:highlight w:val="none"/>
        </w:rPr>
        <w:t>附招标货物（</w:t>
      </w:r>
      <w:r>
        <w:rPr>
          <w:rFonts w:hint="eastAsia" w:ascii="宋体" w:hAnsi="宋体" w:eastAsia="宋体" w:cs="宋体"/>
          <w:color w:val="auto"/>
          <w:spacing w:val="-14"/>
          <w:sz w:val="24"/>
          <w:szCs w:val="24"/>
          <w:highlight w:val="none"/>
        </w:rPr>
        <w:t>服务）</w:t>
      </w:r>
      <w:r>
        <w:rPr>
          <w:rFonts w:hint="eastAsia" w:ascii="宋体" w:hAnsi="宋体" w:eastAsia="宋体" w:cs="宋体"/>
          <w:color w:val="auto"/>
          <w:sz w:val="24"/>
          <w:szCs w:val="24"/>
          <w:highlight w:val="none"/>
        </w:rPr>
        <w:t>一览表。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 xml:space="preserve">年 </w:t>
      </w:r>
      <w:r>
        <w:rPr>
          <w:rFonts w:hint="eastAsia" w:ascii="宋体" w:hAnsi="宋体" w:eastAsia="宋体" w:cs="宋体"/>
          <w:color w:val="auto"/>
          <w:sz w:val="24"/>
          <w:szCs w:val="24"/>
          <w:highlight w:val="none"/>
        </w:rPr>
        <w:t>月 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 月 日</w:t>
      </w:r>
      <w:r>
        <w:rPr>
          <w:rFonts w:hint="eastAsia" w:ascii="宋体" w:hAnsi="宋体" w:eastAsia="宋体" w:cs="宋体"/>
          <w:color w:val="auto"/>
          <w:sz w:val="24"/>
          <w:szCs w:val="24"/>
          <w:highlight w:val="none"/>
        </w:rPr>
        <w:t>，有意向的供应商应在厦门招投标网（http:// www.xmztb.com，下同）注册账号，登录后可免费在线浏览招标文件，完成缴费并下载招标文件后方具备投标资格。缴费仅支持在线扫码支付。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A、供应商注册详见厦门招投标网－办事指南－操作手册—《供应商注册登记操作手册》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B、缴费及下载招标文件详见厦门招投标网－办事指南－操作手册—《供应商招标项目操作手册》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C、请各投标人务必在招标文件购买截止时间前，在线扫码支付完成缴费并下载招标文件，否则不具备投标资格。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D、纸质招标文件(若需要)获取方式：领取地点在厦门市湖里区机场北路476号</w:t>
      </w:r>
      <w:r>
        <w:rPr>
          <w:rFonts w:hint="eastAsia" w:ascii="宋体" w:hAnsi="宋体" w:eastAsia="宋体" w:cs="宋体"/>
          <w:color w:val="auto"/>
          <w:sz w:val="24"/>
          <w:szCs w:val="24"/>
          <w:highlight w:val="none"/>
          <w:lang w:eastAsia="zh-CN"/>
        </w:rPr>
        <w:t>万翔招标</w:t>
      </w:r>
      <w:r>
        <w:rPr>
          <w:rFonts w:hint="eastAsia" w:ascii="宋体" w:hAnsi="宋体" w:eastAsia="宋体" w:cs="宋体"/>
          <w:color w:val="auto"/>
          <w:sz w:val="24"/>
          <w:szCs w:val="24"/>
          <w:highlight w:val="none"/>
        </w:rPr>
        <w:t>4楼售标室。纸质招标文件领取事宜联系电话：0592-2219823。</w:t>
      </w:r>
    </w:p>
    <w:p>
      <w:pPr>
        <w:pStyle w:val="5"/>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4、招标文件售价：</w:t>
      </w:r>
      <w:r>
        <w:rPr>
          <w:rFonts w:hint="eastAsia" w:hAnsi="宋体" w:eastAsia="宋体" w:cs="宋体"/>
          <w:color w:val="auto"/>
          <w:sz w:val="24"/>
          <w:szCs w:val="24"/>
          <w:highlight w:val="none"/>
        </w:rPr>
        <w:t>每个合同包</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val="en-US" w:eastAsia="zh-CN"/>
        </w:rPr>
        <w:t>50</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元人民币</w:t>
      </w:r>
      <w:r>
        <w:rPr>
          <w:rFonts w:hint="eastAsia" w:hAnsi="宋体" w:eastAsia="宋体" w:cs="宋体"/>
          <w:color w:val="auto"/>
          <w:sz w:val="24"/>
          <w:szCs w:val="24"/>
          <w:highlight w:val="none"/>
        </w:rPr>
        <w:t>，售后不退</w:t>
      </w:r>
      <w:r>
        <w:rPr>
          <w:rFonts w:hint="default" w:hAnsi="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5、投标截止时间、地点：投标文件应于</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  月  日上午9：00</w:t>
      </w:r>
      <w:r>
        <w:rPr>
          <w:rFonts w:hint="eastAsia" w:ascii="宋体" w:hAnsi="宋体" w:eastAsia="宋体" w:cs="宋体"/>
          <w:color w:val="auto"/>
          <w:sz w:val="24"/>
          <w:szCs w:val="24"/>
          <w:highlight w:val="none"/>
        </w:rPr>
        <w:t>（北京时间）之前提交到</w:t>
      </w:r>
      <w:r>
        <w:rPr>
          <w:rFonts w:hint="eastAsia" w:ascii="宋体" w:hAnsi="宋体" w:eastAsia="宋体" w:cs="宋体"/>
          <w:b/>
          <w:color w:val="auto"/>
          <w:sz w:val="24"/>
          <w:szCs w:val="24"/>
          <w:highlight w:val="none"/>
          <w:u w:val="single"/>
        </w:rPr>
        <w:t>厦门市湖里区云顶北路842号厦门市政务服务中心4楼信息发布大厅东侧收标处</w:t>
      </w:r>
      <w:r>
        <w:rPr>
          <w:rFonts w:hint="eastAsia" w:ascii="宋体" w:hAnsi="宋体" w:eastAsia="宋体" w:cs="宋体"/>
          <w:b/>
          <w:color w:val="auto"/>
          <w:sz w:val="24"/>
          <w:szCs w:val="24"/>
          <w:highlight w:val="none"/>
          <w:u w:val="single"/>
        </w:rPr>
        <w:t xml:space="preserve">   号</w:t>
      </w:r>
      <w:r>
        <w:rPr>
          <w:rFonts w:hint="eastAsia" w:ascii="宋体" w:hAnsi="宋体" w:eastAsia="宋体" w:cs="宋体"/>
          <w:b/>
          <w:color w:val="auto"/>
          <w:sz w:val="24"/>
          <w:szCs w:val="24"/>
          <w:highlight w:val="none"/>
          <w:u w:val="single"/>
        </w:rPr>
        <w:t>收标窗口</w:t>
      </w:r>
      <w:r>
        <w:rPr>
          <w:rFonts w:hint="eastAsia" w:ascii="宋体" w:hAnsi="宋体" w:eastAsia="宋体" w:cs="宋体"/>
          <w:color w:val="auto"/>
          <w:sz w:val="24"/>
          <w:szCs w:val="24"/>
          <w:highlight w:val="none"/>
        </w:rPr>
        <w:t>。逾期收到的或不符合规定的投标文件将被拒绝。</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6、开标时间、地点: </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年  月  日上午9：00</w:t>
      </w:r>
      <w:r>
        <w:rPr>
          <w:rFonts w:hint="eastAsia" w:ascii="宋体" w:hAnsi="宋体" w:eastAsia="宋体" w:cs="宋体"/>
          <w:color w:val="auto"/>
          <w:sz w:val="24"/>
          <w:szCs w:val="24"/>
          <w:highlight w:val="none"/>
        </w:rPr>
        <w:t>（北京时间）于</w:t>
      </w:r>
      <w:r>
        <w:rPr>
          <w:rFonts w:hint="eastAsia" w:ascii="宋体" w:hAnsi="宋体" w:cs="宋体"/>
          <w:b/>
          <w:color w:val="auto"/>
          <w:sz w:val="24"/>
          <w:szCs w:val="24"/>
          <w:highlight w:val="none"/>
          <w:u w:val="single"/>
        </w:rPr>
        <w:t>厦门市湖里区云顶北路842号厦门市行政服务中心4楼A区开标室6（C404）</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w:t>
      </w:r>
      <w:r>
        <w:rPr>
          <w:rFonts w:hint="eastAsia" w:ascii="宋体" w:hAnsi="宋体" w:eastAsia="宋体" w:cs="宋体"/>
          <w:color w:val="auto"/>
          <w:sz w:val="24"/>
          <w:szCs w:val="24"/>
          <w:highlight w:val="none"/>
        </w:rPr>
        <w:t>（接受）</w:t>
      </w:r>
      <w:r>
        <w:rPr>
          <w:rFonts w:hint="eastAsia" w:ascii="宋体" w:hAnsi="宋体" w:eastAsia="宋体" w:cs="宋体"/>
          <w:color w:val="auto"/>
          <w:sz w:val="24"/>
          <w:szCs w:val="24"/>
          <w:highlight w:val="none"/>
        </w:rPr>
        <w:t>联合体投标。</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8、招标文件如有变更，</w:t>
      </w:r>
      <w:r>
        <w:rPr>
          <w:rFonts w:hint="eastAsia" w:ascii="宋体" w:hAnsi="宋体" w:eastAsia="宋体" w:cs="宋体"/>
          <w:b/>
          <w:color w:val="auto"/>
          <w:sz w:val="24"/>
          <w:szCs w:val="24"/>
          <w:highlight w:val="none"/>
          <w:u w:val="single"/>
        </w:rPr>
        <w:t xml:space="preserve">厦门万翔招标有限公司 </w:t>
      </w:r>
      <w:r>
        <w:rPr>
          <w:rFonts w:hint="eastAsia" w:ascii="宋体" w:hAnsi="宋体" w:eastAsia="宋体" w:cs="宋体"/>
          <w:bCs/>
          <w:color w:val="auto"/>
          <w:sz w:val="24"/>
          <w:szCs w:val="24"/>
          <w:highlight w:val="none"/>
        </w:rPr>
        <w:t>将通过中国政府采购网、厦门招投标网（</w:t>
      </w:r>
      <w:r>
        <w:rPr>
          <w:rFonts w:hint="eastAsia" w:ascii="宋体" w:hAnsi="宋体" w:eastAsia="宋体" w:cs="宋体"/>
          <w:color w:val="auto"/>
          <w:sz w:val="24"/>
          <w:szCs w:val="24"/>
          <w:highlight w:val="none"/>
        </w:rPr>
        <w:t>www.xmztb.com</w:t>
      </w:r>
      <w:r>
        <w:rPr>
          <w:rFonts w:hint="eastAsia" w:ascii="宋体" w:hAnsi="宋体" w:eastAsia="宋体" w:cs="宋体"/>
          <w:bCs/>
          <w:color w:val="auto"/>
          <w:sz w:val="24"/>
          <w:szCs w:val="24"/>
          <w:highlight w:val="none"/>
        </w:rPr>
        <w:t>）等媒体发布通知信息，请投标人关注</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9、友情提醒：本项目仅限网上购买招标文件，投标人必须按招标文件要求递交纸质投标文件。 </w:t>
      </w:r>
    </w:p>
    <w:p>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10、投标人对本次招标活动事项提出疑问的，请在投标截止时间十五日之前，与招标代理机构联系。来函请加盖单位公章，并提供联系人、联系电话及传真号码。</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11、为方便开标唱标，投标人应将开标一览表原件和投标保证金缴交凭证单独密封，并在信封上标明“开标一览表”字样，然后再装入投标文件密封袋中密封。</w:t>
      </w:r>
    </w:p>
    <w:p>
      <w:pPr>
        <w:tabs>
          <w:tab w:val="left" w:pos="1140"/>
        </w:tabs>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12、各有关联系方式</w:t>
      </w:r>
    </w:p>
    <w:tbl>
      <w:tblPr>
        <w:tblStyle w:val="14"/>
        <w:tblW w:w="9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409"/>
        <w:gridCol w:w="1239"/>
        <w:gridCol w:w="3348"/>
        <w:gridCol w:w="29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334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97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239"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小姐</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负责招标文件的咨询、答疑等工作</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w:t>
            </w:r>
            <w:r>
              <w:rPr>
                <w:rFonts w:hint="eastAsia" w:ascii="宋体" w:hAnsi="宋体" w:eastAsia="宋体" w:cs="宋体"/>
                <w:color w:val="auto"/>
                <w:sz w:val="24"/>
                <w:szCs w:val="24"/>
                <w:highlight w:val="none"/>
              </w:rPr>
              <w:t>小姐</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投标保证金收、退</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4</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欢迎投标人对项目采购过程中公告发布、招标文件购买、投标保证金缴交和退还、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收取、中标通知书发放等环节的服务进行监督。我们将竭诚为您提供最优质的服务。</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w:t>
            </w:r>
          </w:p>
        </w:tc>
        <w:tc>
          <w:tcPr>
            <w:tcW w:w="140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239"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刘经理</w:t>
            </w:r>
          </w:p>
        </w:tc>
        <w:tc>
          <w:tcPr>
            <w:tcW w:w="3348"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976"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电话0592-2218761</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邮箱lmf@iport.com.cn</w:t>
            </w:r>
            <w:r>
              <w:rPr>
                <w:rFonts w:hint="eastAsia" w:ascii="宋体" w:hAnsi="宋体" w:eastAsia="宋体" w:cs="宋体"/>
                <w:color w:val="auto"/>
                <w:sz w:val="24"/>
                <w:szCs w:val="24"/>
                <w:highlight w:val="none"/>
              </w:rPr>
              <w:fldChar w:fldCharType="end"/>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bl>
    <w:p>
      <w:pPr>
        <w:tabs>
          <w:tab w:val="left" w:pos="11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缴交账户：</w:t>
      </w:r>
    </w:p>
    <w:tbl>
      <w:tblPr>
        <w:tblStyle w:val="1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26"/>
        <w:gridCol w:w="3240"/>
        <w:gridCol w:w="46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投标保证金缴交账户</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24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w:t>
            </w:r>
          </w:p>
        </w:tc>
        <w:tc>
          <w:tcPr>
            <w:tcW w:w="4602"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42" w:type="dxa"/>
            <w:gridSpan w:val="2"/>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pPr>
        <w:tabs>
          <w:tab w:val="left" w:pos="1140"/>
        </w:tabs>
        <w:spacing w:line="360" w:lineRule="auto"/>
        <w:ind w:firstLine="560"/>
        <w:rPr>
          <w:rFonts w:hint="eastAsia" w:ascii="宋体" w:hAnsi="宋体" w:eastAsia="宋体" w:cs="宋体"/>
          <w:color w:val="auto"/>
          <w:sz w:val="24"/>
          <w:szCs w:val="24"/>
          <w:highlight w:val="none"/>
        </w:rPr>
      </w:pPr>
    </w:p>
    <w:p>
      <w:pPr>
        <w:spacing w:line="360" w:lineRule="auto"/>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注：投标人须将相关的费用缴交至上表对应的账号，缴错账号而产生的一切后果由投标人自行承担。</w:t>
      </w:r>
    </w:p>
    <w:p>
      <w:pPr>
        <w:spacing w:line="360" w:lineRule="auto"/>
        <w:ind w:firstLine="360"/>
        <w:rPr>
          <w:rFonts w:hint="eastAsia" w:ascii="宋体" w:hAnsi="宋体" w:eastAsia="宋体" w:cs="宋体"/>
          <w:b/>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招标代理机构：厦门万翔招标有限公司</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址：厦门市湖里区机场北路476号四楼 </w:t>
      </w:r>
    </w:p>
    <w:p>
      <w:pPr>
        <w:tabs>
          <w:tab w:val="left" w:pos="2775"/>
        </w:tabs>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 361006</w:t>
      </w:r>
    </w:p>
    <w:p>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合同款项事宜联系人：</w:t>
      </w:r>
      <w:r>
        <w:rPr>
          <w:rFonts w:hint="eastAsia" w:ascii="宋体" w:hAnsi="宋体" w:cs="宋体"/>
          <w:color w:val="auto"/>
          <w:kern w:val="0"/>
          <w:sz w:val="24"/>
          <w:szCs w:val="24"/>
          <w:highlight w:val="none"/>
          <w:lang w:eastAsia="zh-CN"/>
        </w:rPr>
        <w:t>郑小姐</w:t>
      </w:r>
      <w:r>
        <w:rPr>
          <w:rFonts w:hint="eastAsia" w:ascii="宋体" w:hAnsi="宋体" w:cs="宋体"/>
          <w:color w:val="auto"/>
          <w:kern w:val="0"/>
          <w:sz w:val="24"/>
          <w:szCs w:val="24"/>
          <w:highlight w:val="none"/>
          <w:lang w:val="en-US" w:eastAsia="zh-CN"/>
        </w:rPr>
        <w:t>0592-5700272</w:t>
      </w:r>
    </w:p>
    <w:p>
      <w:pPr>
        <w:pStyle w:val="12"/>
        <w:rPr>
          <w:rFonts w:hint="eastAsia"/>
          <w:color w:val="auto"/>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tabs>
          <w:tab w:val="left" w:pos="2775"/>
        </w:tabs>
        <w:spacing w:line="360" w:lineRule="auto"/>
        <w:ind w:firstLine="465"/>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附：招标货物(服务)一览表</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招标货物（服务）一览表</w:t>
      </w:r>
    </w:p>
    <w:tbl>
      <w:tblPr>
        <w:tblStyle w:val="14"/>
        <w:tblW w:w="10345"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952"/>
        <w:gridCol w:w="1716"/>
        <w:gridCol w:w="900"/>
        <w:gridCol w:w="1620"/>
        <w:gridCol w:w="1080"/>
        <w:gridCol w:w="1440"/>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合同包</w:t>
            </w:r>
          </w:p>
        </w:tc>
        <w:tc>
          <w:tcPr>
            <w:tcW w:w="95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品目号</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货物名称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主要技术规格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*交付使用期</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XM</w:t>
            </w:r>
            <w:r>
              <w:rPr>
                <w:rFonts w:hint="eastAsia" w:ascii="宋体" w:hAnsi="宋体" w:eastAsia="宋体" w:cs="宋体"/>
                <w:b w:val="0"/>
                <w:bCs w:val="0"/>
                <w:color w:val="auto"/>
                <w:sz w:val="24"/>
                <w:szCs w:val="24"/>
                <w:highlight w:val="none"/>
                <w:lang w:eastAsia="zh-CN"/>
              </w:rPr>
              <w:t>202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-DZ</w:t>
            </w:r>
            <w:r>
              <w:rPr>
                <w:rFonts w:hint="eastAsia" w:ascii="宋体" w:hAnsi="宋体" w:eastAsia="宋体" w:cs="宋体"/>
                <w:b w:val="0"/>
                <w:bCs w:val="0"/>
                <w:color w:val="auto"/>
                <w:sz w:val="24"/>
                <w:szCs w:val="24"/>
                <w:highlight w:val="none"/>
                <w:lang w:val="en-US" w:eastAsia="zh-CN"/>
              </w:rPr>
              <w:t>0030</w:t>
            </w:r>
          </w:p>
        </w:tc>
        <w:tc>
          <w:tcPr>
            <w:tcW w:w="95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widowControl/>
              <w:suppressLineNumbers w:val="0"/>
              <w:ind w:left="0" w:leftChars="0" w:right="0" w:rightChars="0"/>
              <w:rPr>
                <w:rFonts w:hint="default" w:ascii="宋体" w:hAnsi="宋体" w:eastAsia="宋体" w:cs="宋体"/>
                <w:b w:val="0"/>
                <w:bCs w:val="0"/>
                <w:color w:val="auto"/>
                <w:kern w:val="2"/>
                <w:sz w:val="24"/>
                <w:szCs w:val="2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auto"/>
                <w:kern w:val="2"/>
                <w:sz w:val="24"/>
                <w:szCs w:val="24"/>
                <w:highlight w:val="none"/>
                <w:u w:val="none"/>
                <w:lang w:val="en-US" w:eastAsia="zh-CN" w:bidi="ar-SA"/>
                <w14:shadow w14:blurRad="50800" w14:dist="38100" w14:dir="2700000" w14:sx="100000" w14:sy="100000" w14:kx="0" w14:ky="0" w14:algn="tl">
                  <w14:srgbClr w14:val="000000">
                    <w14:alpha w14:val="60000"/>
                  </w14:srgbClr>
                </w14:shadow>
              </w:rPr>
              <w:t>A4幅面黑白三合一双面网络激光一体机（打印/复印/扫描）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1,000</w:t>
            </w:r>
          </w:p>
        </w:tc>
        <w:tc>
          <w:tcPr>
            <w:tcW w:w="1620"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详见招标内容及要求</w:t>
            </w:r>
          </w:p>
        </w:tc>
        <w:tc>
          <w:tcPr>
            <w:tcW w:w="1080"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使用单位指定地点</w:t>
            </w:r>
          </w:p>
        </w:tc>
        <w:tc>
          <w:tcPr>
            <w:tcW w:w="1440"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详见招标内容及要求</w:t>
            </w:r>
          </w:p>
        </w:tc>
        <w:tc>
          <w:tcPr>
            <w:tcW w:w="1419" w:type="dxa"/>
            <w:vMerge w:val="restart"/>
            <w:tcBorders>
              <w:top w:val="single" w:color="auto" w:sz="4" w:space="0"/>
              <w:left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厦门市政府机关事业单位和福建省内其他终端用户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18"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952"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716"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widowControl/>
              <w:suppressLineNumbers w:val="0"/>
              <w:ind w:left="0" w:leftChars="0" w:right="0" w:rightChars="0"/>
              <w:rPr>
                <w:rFonts w:hint="default" w:ascii="宋体" w:hAnsi="宋体" w:eastAsia="宋体" w:cs="宋体"/>
                <w:b w:val="0"/>
                <w:bCs w:val="0"/>
                <w:color w:val="auto"/>
                <w:kern w:val="2"/>
                <w:sz w:val="24"/>
                <w:szCs w:val="2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auto"/>
                <w:kern w:val="2"/>
                <w:sz w:val="24"/>
                <w:szCs w:val="24"/>
                <w:highlight w:val="none"/>
                <w:u w:val="none"/>
                <w:lang w:val="en-US" w:eastAsia="zh-CN" w:bidi="ar-SA"/>
                <w14:shadow w14:blurRad="50800" w14:dist="38100" w14:dir="2700000" w14:sx="100000" w14:sy="100000" w14:kx="0" w14:ky="0" w14:algn="tl">
                  <w14:srgbClr w14:val="000000">
                    <w14:alpha w14:val="60000"/>
                  </w14:srgbClr>
                </w14:shadow>
              </w:rPr>
              <w:t>A4幅面黑白四合一双面网络激光一体机（打印/复印/扫描/传真）</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bidi="ar"/>
              </w:rPr>
              <w:t>1,600</w:t>
            </w:r>
          </w:p>
        </w:tc>
        <w:tc>
          <w:tcPr>
            <w:tcW w:w="1620"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40"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419" w:type="dxa"/>
            <w:vMerge w:val="continue"/>
            <w:tcBorders>
              <w:left w:val="single" w:color="auto" w:sz="4" w:space="0"/>
              <w:bottom w:val="single" w:color="auto" w:sz="4" w:space="0"/>
              <w:right w:val="single" w:color="auto" w:sz="4" w:space="0"/>
            </w:tcBorders>
            <w:noWrap w:val="0"/>
            <w:vAlign w:val="center"/>
          </w:tcPr>
          <w:p>
            <w:pPr>
              <w:pStyle w:val="3"/>
              <w:keepNext w:val="0"/>
              <w:keepLines w:val="0"/>
              <w:suppressLineNumbers w:val="0"/>
              <w:tabs>
                <w:tab w:val="left" w:pos="836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r>
    </w:tbl>
    <w:p>
      <w:pPr>
        <w:pStyle w:val="5"/>
        <w:tabs>
          <w:tab w:val="left" w:pos="8360"/>
        </w:tabs>
        <w:spacing w:line="360" w:lineRule="auto"/>
        <w:jc w:val="left"/>
        <w:rPr>
          <w:rFonts w:hint="eastAsia" w:hAnsi="宋体" w:eastAsia="宋体" w:cs="宋体"/>
          <w:color w:val="auto"/>
          <w:sz w:val="24"/>
          <w:szCs w:val="24"/>
          <w:highlight w:val="none"/>
        </w:rPr>
      </w:pPr>
    </w:p>
    <w:p>
      <w:pPr>
        <w:pStyle w:val="5"/>
        <w:tabs>
          <w:tab w:val="left" w:pos="8360"/>
        </w:tabs>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注：投标人可按合同包投标，对同一合同包内所有品目号内容投标时必须完整。评标与授标以合同包为单位。</w:t>
      </w:r>
    </w:p>
    <w:p>
      <w:pPr>
        <w:pStyle w:val="5"/>
        <w:tabs>
          <w:tab w:val="left" w:pos="8360"/>
        </w:tabs>
        <w:spacing w:line="360" w:lineRule="auto"/>
        <w:jc w:val="left"/>
        <w:rPr>
          <w:rFonts w:hint="eastAsia" w:hAnsi="宋体" w:eastAsia="宋体" w:cs="宋体"/>
          <w:color w:val="auto"/>
          <w:sz w:val="24"/>
          <w:szCs w:val="24"/>
          <w:highlight w:val="none"/>
        </w:rPr>
      </w:pPr>
    </w:p>
    <w:p>
      <w:pPr>
        <w:pStyle w:val="2"/>
        <w:spacing w:line="360" w:lineRule="auto"/>
        <w:ind w:firstLine="0"/>
        <w:rPr>
          <w:rFonts w:hint="eastAsia" w:ascii="宋体" w:hAnsi="宋体" w:eastAsia="宋体" w:cs="宋体"/>
          <w:b/>
          <w:color w:val="auto"/>
          <w:sz w:val="24"/>
          <w:szCs w:val="24"/>
          <w:highlight w:val="none"/>
        </w:rPr>
        <w:sectPr>
          <w:footerReference r:id="rId6" w:type="default"/>
          <w:pgSz w:w="11906" w:h="16838"/>
          <w:pgMar w:top="1440" w:right="1106" w:bottom="1290" w:left="1800" w:header="851" w:footer="992" w:gutter="0"/>
          <w:pgNumType w:start="1"/>
          <w:cols w:space="720" w:num="1"/>
          <w:docGrid w:type="lines" w:linePitch="312" w:charSpace="0"/>
        </w:sectPr>
      </w:pPr>
    </w:p>
    <w:p>
      <w:pPr>
        <w:pStyle w:val="39"/>
        <w:spacing w:line="360" w:lineRule="auto"/>
        <w:jc w:val="center"/>
        <w:rPr>
          <w:rFonts w:hint="eastAsia" w:hAnsi="宋体" w:eastAsia="宋体" w:cs="宋体"/>
          <w:b/>
          <w:color w:val="auto"/>
          <w:sz w:val="32"/>
          <w:szCs w:val="32"/>
          <w:highlight w:val="none"/>
        </w:rPr>
      </w:pPr>
      <w:r>
        <w:rPr>
          <w:rFonts w:hint="eastAsia" w:hAnsi="宋体" w:eastAsia="宋体" w:cs="宋体"/>
          <w:b/>
          <w:color w:val="auto"/>
          <w:sz w:val="32"/>
          <w:szCs w:val="32"/>
          <w:highlight w:val="none"/>
        </w:rPr>
        <w:t>第二章  投标人须知</w:t>
      </w:r>
    </w:p>
    <w:p>
      <w:pPr>
        <w:pStyle w:val="39"/>
        <w:spacing w:line="360" w:lineRule="auto"/>
        <w:jc w:val="center"/>
        <w:rPr>
          <w:rFonts w:hint="eastAsia" w:hAnsi="宋体" w:eastAsia="宋体" w:cs="宋体"/>
          <w:color w:val="auto"/>
          <w:sz w:val="32"/>
          <w:szCs w:val="32"/>
          <w:highlight w:val="none"/>
        </w:rPr>
      </w:pPr>
      <w:r>
        <w:rPr>
          <w:rFonts w:hint="eastAsia" w:hAnsi="宋体" w:eastAsia="宋体" w:cs="宋体"/>
          <w:b/>
          <w:color w:val="auto"/>
          <w:sz w:val="32"/>
          <w:szCs w:val="32"/>
          <w:highlight w:val="none"/>
        </w:rPr>
        <w:t>投标人须知前附表1</w:t>
      </w:r>
    </w:p>
    <w:p>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本须知前附表1的条款号是与</w:t>
      </w:r>
      <w:r>
        <w:rPr>
          <w:rFonts w:hint="default" w:ascii="宋体" w:hAnsi="宋体" w:cs="宋体"/>
          <w:color w:val="auto"/>
          <w:sz w:val="24"/>
          <w:szCs w:val="24"/>
          <w:highlight w:val="none"/>
        </w:rPr>
        <w:t>固定部分第二章</w:t>
      </w:r>
      <w:r>
        <w:rPr>
          <w:rFonts w:hint="eastAsia" w:ascii="宋体" w:hAnsi="宋体" w:eastAsia="宋体" w:cs="宋体"/>
          <w:color w:val="auto"/>
          <w:sz w:val="24"/>
          <w:szCs w:val="24"/>
          <w:highlight w:val="none"/>
        </w:rPr>
        <w:t xml:space="preserve">《投标人须知》中条款的项号相对应的。如有矛盾，应以本须知前附表为准。 </w:t>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0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08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38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项目名称：2024年大宗激光一体机</w:t>
            </w:r>
          </w:p>
          <w:p>
            <w:pPr>
              <w:keepNext w:val="0"/>
              <w:keepLines w:val="0"/>
              <w:suppressLineNumbers w:val="0"/>
              <w:spacing w:before="0" w:beforeAutospacing="0" w:after="0" w:afterAutospacing="0" w:line="360" w:lineRule="auto"/>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采购单位名称：</w:t>
            </w:r>
            <w:r>
              <w:rPr>
                <w:rFonts w:hint="eastAsia" w:ascii="宋体" w:hAnsi="宋体" w:cs="宋体"/>
                <w:color w:val="auto"/>
                <w:sz w:val="24"/>
                <w:szCs w:val="24"/>
                <w:highlight w:val="none"/>
              </w:rPr>
              <w:t>厦门万翔网络商务有限公司</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采购单位地址：</w:t>
            </w:r>
            <w:r>
              <w:rPr>
                <w:rFonts w:hint="eastAsia" w:ascii="宋体" w:hAnsi="宋体" w:cs="宋体"/>
                <w:color w:val="auto"/>
                <w:sz w:val="24"/>
                <w:szCs w:val="24"/>
                <w:highlight w:val="none"/>
              </w:rPr>
              <w:t>厦门市湖里区机场北路476号五楼</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项目内容：2024年大宗激光一体机</w:t>
            </w:r>
          </w:p>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XM</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u w:val="single"/>
              </w:rPr>
              <w:t>-DZ</w:t>
            </w:r>
            <w:r>
              <w:rPr>
                <w:rFonts w:hint="eastAsia" w:ascii="宋体" w:hAnsi="宋体" w:eastAsia="宋体" w:cs="宋体"/>
                <w:color w:val="auto"/>
                <w:sz w:val="24"/>
                <w:szCs w:val="24"/>
                <w:highlight w:val="none"/>
                <w:u w:val="single"/>
                <w:lang w:val="en-US" w:eastAsia="zh-CN"/>
              </w:rPr>
              <w:t>0</w:t>
            </w:r>
            <w:r>
              <w:rPr>
                <w:rFonts w:hint="eastAsia" w:ascii="宋体" w:hAnsi="宋体" w:cs="宋体"/>
                <w:color w:val="auto"/>
                <w:sz w:val="24"/>
                <w:szCs w:val="24"/>
                <w:highlight w:val="none"/>
                <w:u w:val="single"/>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详见第二章《投标人须知》第3条，以及第三章《招标内容及要求》有关内容。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投标有效期：投标截止之日起</w:t>
            </w:r>
            <w:r>
              <w:rPr>
                <w:rFonts w:hint="default" w:ascii="宋体" w:hAnsi="宋体" w:cs="宋体"/>
                <w:color w:val="auto"/>
                <w:sz w:val="24"/>
                <w:szCs w:val="24"/>
                <w:highlight w:val="none"/>
              </w:rPr>
              <w:t>180</w:t>
            </w:r>
            <w:r>
              <w:rPr>
                <w:rFonts w:hint="eastAsia" w:ascii="宋体" w:hAnsi="宋体" w:eastAsia="宋体" w:cs="宋体"/>
                <w:color w:val="auto"/>
                <w:sz w:val="24"/>
                <w:szCs w:val="24"/>
                <w:highlight w:val="none"/>
              </w:rPr>
              <w:t>个日历日。</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380" w:type="dxa"/>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kern w:val="0"/>
                <w:sz w:val="24"/>
                <w:szCs w:val="24"/>
                <w:highlight w:val="none"/>
              </w:rPr>
              <w:t>投标文件递交地址：</w:t>
            </w:r>
            <w:r>
              <w:rPr>
                <w:rFonts w:hint="eastAsia" w:ascii="宋体" w:hAnsi="宋体" w:cs="宋体"/>
                <w:b/>
                <w:color w:val="auto"/>
                <w:sz w:val="24"/>
                <w:szCs w:val="24"/>
                <w:highlight w:val="none"/>
                <w:u w:val="single"/>
              </w:rPr>
              <w:t>厦门市湖里区云顶北路842号厦门市政务服务中心4楼信息发布大厅东侧收标处</w:t>
            </w:r>
            <w:r>
              <w:rPr>
                <w:rFonts w:hint="eastAsia" w:ascii="宋体" w:hAnsi="宋体" w:cs="宋体"/>
                <w:b/>
                <w:color w:val="auto"/>
                <w:sz w:val="24"/>
                <w:szCs w:val="24"/>
                <w:highlight w:val="none"/>
                <w:u w:val="single"/>
              </w:rPr>
              <w:t xml:space="preserve">   号</w:t>
            </w:r>
            <w:r>
              <w:rPr>
                <w:rFonts w:hint="eastAsia" w:ascii="宋体" w:hAnsi="宋体" w:cs="宋体"/>
                <w:b/>
                <w:color w:val="auto"/>
                <w:sz w:val="24"/>
                <w:szCs w:val="24"/>
                <w:highlight w:val="none"/>
                <w:u w:val="single"/>
              </w:rPr>
              <w:t>收标窗口</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r>
              <w:rPr>
                <w:rFonts w:hint="eastAsia" w:ascii="宋体" w:hAnsi="宋体" w:eastAsia="宋体" w:cs="宋体"/>
                <w:color w:val="auto"/>
                <w:sz w:val="24"/>
                <w:szCs w:val="24"/>
                <w:highlight w:val="none"/>
                <w:u w:val="single"/>
              </w:rPr>
              <w:t xml:space="preserve">   0元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①投标保证金以转账、电汇两种形式提交（不收取现金、现金支票，不能用个人卡在银联支付系统转账，否则作未提交投标保证金处理）。</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②若项目存在分合同包采购的，则投标保证金应按不同的合同包号分别提交。</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③投标人为中小企业的，其投标保证金减半交纳。减半交纳投标保证金的投标人应按照招标文件格式要求在投标文件中提供《中小企业声明函》。</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④</w:t>
            </w:r>
            <w:r>
              <w:rPr>
                <w:rFonts w:hint="eastAsia" w:ascii="宋体" w:hAnsi="宋体" w:eastAsia="宋体" w:cs="宋体"/>
                <w:color w:val="auto"/>
                <w:kern w:val="0"/>
                <w:sz w:val="24"/>
                <w:szCs w:val="24"/>
                <w:highlight w:val="none"/>
              </w:rPr>
              <w:t>投标保证金应在投标截止时间前到账。</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未按前述规定缴交投标保证金的，投标无效。</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⑤投标保证金按投标人缴交账号原路退回，遇投标人账号变更、非投标保证金款项误转进投标保证金专户等特殊情况确实无法原路退回的，需经同级政府采购监管部门核实后方可退回。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投标文件份数：正本一份、副本四份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8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评标方法、标准及定标原则(含推荐中标候选供应商数量)：</w:t>
            </w:r>
          </w:p>
          <w:p>
            <w:pPr>
              <w:pStyle w:val="5"/>
              <w:keepNext w:val="0"/>
              <w:keepLines w:val="0"/>
              <w:suppressLineNumbers w:val="0"/>
              <w:spacing w:before="0" w:beforeAutospacing="0" w:after="0" w:afterAutospacing="0" w:line="360" w:lineRule="auto"/>
              <w:ind w:left="0" w:right="0"/>
              <w:rPr>
                <w:rFonts w:hint="eastAsia" w:hAnsi="宋体" w:eastAsia="宋体" w:cs="宋体"/>
                <w:color w:val="auto"/>
                <w:sz w:val="24"/>
                <w:szCs w:val="24"/>
                <w:highlight w:val="none"/>
              </w:rPr>
            </w:pPr>
            <w:r>
              <w:rPr>
                <w:rFonts w:hint="eastAsia" w:hAnsi="宋体" w:eastAsia="宋体" w:cs="宋体"/>
                <w:color w:val="auto"/>
                <w:sz w:val="24"/>
                <w:szCs w:val="24"/>
                <w:highlight w:val="none"/>
              </w:rPr>
              <w:t>详见《投标人须知前附表3》。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080" w:type="dxa"/>
            <w:noWrap w:val="0"/>
            <w:vAlign w:val="center"/>
          </w:tcPr>
          <w:p>
            <w:pPr>
              <w:keepNext w:val="0"/>
              <w:keepLines w:val="0"/>
              <w:suppressLineNumbers w:val="0"/>
              <w:spacing w:before="0" w:beforeAutospacing="0" w:after="0" w:afterAutospacing="0" w:line="360" w:lineRule="auto"/>
              <w:ind w:left="0" w:right="-63" w:rightChars="-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7380"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收费标准：</w:t>
            </w:r>
          </w:p>
          <w:tbl>
            <w:tblPr>
              <w:tblStyle w:val="1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中标金额(万元)</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（100－500]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（500-1000]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（1000-5000]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（5000-10000]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（10000-50000]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val="0"/>
                  <w:vAlign w:val="top"/>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（50000-100000]</w:t>
                  </w:r>
                </w:p>
              </w:tc>
              <w:tc>
                <w:tcPr>
                  <w:tcW w:w="2700" w:type="dxa"/>
                  <w:noWrap w:val="0"/>
                  <w:vAlign w:val="top"/>
                </w:tcPr>
                <w:p>
                  <w:pPr>
                    <w:keepNext w:val="0"/>
                    <w:keepLines w:val="0"/>
                    <w:suppressLineNumbers w:val="0"/>
                    <w:adjustRightInd w:val="0"/>
                    <w:snapToGrid w:val="0"/>
                    <w:spacing w:before="0" w:beforeAutospacing="0" w:after="0" w:afterAutospacing="0" w:line="360" w:lineRule="auto"/>
                    <w:ind w:left="0" w:right="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0.035%</w:t>
                  </w:r>
                </w:p>
              </w:tc>
            </w:tr>
          </w:tbl>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收取按每批次《定货单》金额的收费标准收取，中标供应商最迟在采购单位发出《定货单》之日起10个工作日内向招标代理机构缴交中标服务费。中标服务费的收取按差额定率累进法计算,由中标供应商支付，中标服务费按每个《定货单》金额分别收取，《定货单》金额不予累加。</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2、中标供应商以转账或汇款方式提交。</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w:t>
            </w:r>
            <w:r>
              <w:rPr>
                <w:rFonts w:hint="eastAsia" w:ascii="宋体" w:hAnsi="宋体" w:eastAsia="宋体" w:cs="宋体"/>
                <w:color w:val="auto"/>
                <w:sz w:val="24"/>
                <w:szCs w:val="24"/>
                <w:highlight w:val="none"/>
              </w:rPr>
              <w:t>厦门市财政局</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73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tc>
      </w:tr>
    </w:tbl>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u w:val="single"/>
        </w:rPr>
        <w:t>投标人须知前附表2:资格性、符合性检查表</w:t>
      </w:r>
    </w:p>
    <w:p>
      <w:pPr>
        <w:spacing w:line="360" w:lineRule="auto"/>
        <w:ind w:firstLine="52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本须知前附表2集中列示了符合性检查的所有条款，其内容是评标委员会在评审过程中判断投标人的投标是否有效的重要依据。本须知前附表</w:t>
      </w:r>
      <w:r>
        <w:rPr>
          <w:rFonts w:hint="default" w:ascii="宋体" w:hAnsi="宋体" w:cs="宋体"/>
          <w:color w:val="auto"/>
          <w:sz w:val="24"/>
          <w:szCs w:val="24"/>
          <w:highlight w:val="none"/>
        </w:rPr>
        <w:t>2</w:t>
      </w:r>
      <w:r>
        <w:rPr>
          <w:rFonts w:hint="eastAsia" w:ascii="宋体" w:hAnsi="宋体" w:eastAsia="宋体" w:cs="宋体"/>
          <w:color w:val="auto"/>
          <w:sz w:val="24"/>
          <w:szCs w:val="24"/>
          <w:highlight w:val="none"/>
        </w:rPr>
        <w:t>的条款号是与</w:t>
      </w:r>
      <w:r>
        <w:rPr>
          <w:rFonts w:hint="default" w:ascii="宋体" w:hAnsi="宋体" w:cs="宋体"/>
          <w:color w:val="auto"/>
          <w:sz w:val="24"/>
          <w:szCs w:val="24"/>
          <w:highlight w:val="none"/>
        </w:rPr>
        <w:t>固定部分第二章</w:t>
      </w:r>
      <w:r>
        <w:rPr>
          <w:rFonts w:hint="eastAsia" w:ascii="宋体" w:hAnsi="宋体" w:eastAsia="宋体" w:cs="宋体"/>
          <w:color w:val="auto"/>
          <w:sz w:val="24"/>
          <w:szCs w:val="24"/>
          <w:highlight w:val="none"/>
        </w:rPr>
        <w:t xml:space="preserve">《投标人须知》中条款的项号相对应的。如有矛盾，应以本须知前附表为准。 </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683"/>
        <w:gridCol w:w="1400"/>
        <w:gridCol w:w="5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000" w:type="pct"/>
            <w:gridSpan w:val="4"/>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号</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3408" w:type="pct"/>
            <w:tcBorders>
              <w:bottom w:val="single" w:color="auto" w:sz="4" w:space="0"/>
            </w:tcBorders>
            <w:noWrap w:val="0"/>
            <w:vAlign w:val="center"/>
          </w:tcPr>
          <w:p>
            <w:pPr>
              <w:keepNext w:val="0"/>
              <w:keepLines w:val="0"/>
              <w:suppressLineNumbers w:val="0"/>
              <w:tabs>
                <w:tab w:val="left" w:pos="2848"/>
              </w:tabs>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合格的投标人</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具体内容详见第二章第3条“合格的投标人”。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3.1凡有能力提供本招标文件所述货物及服务的，具备《中华人民共和国政府采购法》第二十二条第一款规定的条件且符合本招标文件规定资格要求的境内供货商或制造商均可能成为合格的投标人。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投标人应具备《中华人民共和国政府采购法》第二十二条第一款规定的条件，并提供以下材料：</w:t>
            </w:r>
          </w:p>
          <w:p>
            <w:pPr>
              <w:keepNext w:val="0"/>
              <w:keepLines w:val="0"/>
              <w:suppressLineNumbers w:val="0"/>
              <w:spacing w:before="0" w:beforeAutospacing="0" w:after="0" w:afterAutospacing="0" w:line="360" w:lineRule="auto"/>
              <w:ind w:left="0" w:right="0" w:firstLine="319" w:firstLineChars="1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投标人是法人或者其他组织的应提供营业执照等证明文件，投标人是自然人的应提供有效的自然人身份证明。</w:t>
            </w:r>
          </w:p>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投标人上一年度的财务报告尚未完成编制且投标截止时间在每年1月1日至4月30日的，可提供上上年度经审计的年度财务报告。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 明其依法免税或不需要缴纳社会保障资金。根据《财政部关于印发&lt;小企业会计准则&gt;的通知》（财会〔2011〕17号）的规定，小企业的财务报表包括资产负债表、利润表、现金流量表及其附注，可以不含所有者权益变动表。</w:t>
            </w:r>
          </w:p>
          <w:p>
            <w:pPr>
              <w:keepNext w:val="0"/>
              <w:keepLines w:val="0"/>
              <w:suppressLineNumbers w:val="0"/>
              <w:spacing w:before="0" w:beforeAutospacing="0" w:after="0" w:afterAutospacing="0" w:line="360" w:lineRule="auto"/>
              <w:ind w:left="0" w:right="0"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pPr>
              <w:keepNext w:val="0"/>
              <w:keepLines w:val="0"/>
              <w:suppressLineNumbers w:val="0"/>
              <w:spacing w:before="0" w:beforeAutospacing="0" w:after="0" w:afterAutospacing="0" w:line="360" w:lineRule="auto"/>
              <w:ind w:left="0" w:right="0"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（4）参加政府采购活动前3年内在经营活动中没有重大违法记录的书面声明；投标人自行对其有无行贿犯罪情形进行书面说明或书面承诺。</w:t>
            </w:r>
          </w:p>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pPr>
              <w:keepNext w:val="0"/>
              <w:keepLines w:val="0"/>
              <w:suppressLineNumbers w:val="0"/>
              <w:spacing w:before="0" w:beforeAutospacing="0" w:after="0" w:afterAutospacing="0" w:line="360" w:lineRule="auto"/>
              <w:ind w:left="0" w:right="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3.5如本项目接受联合体投标，则两个或者两个以上投标人可以组成一个投标联合体，以一个投标人的身份投标。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（1）以联合体形式参加投标的，联合体各方均应当符合合格的投标人相关规定。</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根据采购项目的特殊要求规定投标人特定条件的，联合体各方中至少应当有一方符合</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规定的特定条件，如联合体各方中没有一方符合特定条件的，该联合体投标无效。</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（3）项目如涉及资质要求，该部分内容应由联合体中具有该资质要求的投标人承担。联合体协议及签订的采购合同应包含此项内容。</w:t>
            </w:r>
          </w:p>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（4）联合体中有同类资质的投标人按照联合体分工承担相同工作的，应当按照资质等级较低的投标人确定资质等级。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3.6属于联合体投标的，除招标文件其他章节或本须知其他条款另有规定或要求外，投标文件中仅加盖联合体一方公章的相关文件，对联合体各方均具有约束力。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3.7投标代理人在同一个项目中只能接受一个投标人的委托参加投标。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630"/>
              </w:tabs>
              <w:spacing w:before="0" w:beforeAutospacing="0" w:after="0" w:afterAutospacing="0" w:line="360" w:lineRule="auto"/>
              <w:ind w:left="0" w:right="0"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*1、投标人应提供工商营业执照（副本）（加盖公章）的复印件，提供税务登记证及组织机构代码证复印件。投标人已提供加载有统一社会信用代码营业执照的，视为已提供税务登记证和组织机构代码证。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6"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宋体"/>
                <w:b/>
                <w:bCs w:val="0"/>
                <w:color w:val="auto"/>
                <w:kern w:val="2"/>
                <w:sz w:val="24"/>
                <w:szCs w:val="24"/>
                <w:highlight w:val="none"/>
                <w:lang w:val="en-US" w:eastAsia="zh-CN" w:bidi="ar"/>
              </w:rPr>
              <w:t>投标</w:t>
            </w:r>
            <w:r>
              <w:rPr>
                <w:rFonts w:hint="eastAsia" w:ascii="宋体" w:hAnsi="宋体" w:eastAsia="宋体" w:cs="宋体"/>
                <w:b/>
                <w:bCs/>
                <w:color w:val="auto"/>
                <w:kern w:val="2"/>
                <w:sz w:val="24"/>
                <w:szCs w:val="24"/>
                <w:highlight w:val="none"/>
                <w:lang w:val="en-US" w:eastAsia="zh-CN" w:bidi="ar"/>
              </w:rPr>
              <w:t>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3373" w:firstLineChars="1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投标人的投标文件未按规定的投标截止时间之前提交的，其投标将被拒绝。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3.2投标人应遵守并符合中国的有关法律、法规和规章的规定，同时其投标货物或服务也应符合中国的有关法律、法规和规章的规定。认可本须知中的规定。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3.3一个投标人只能提交一个投标文件。如果投标人之间存在下列互为关联关系的情形之一的，不得同时参加本项目同一合同包投标：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(1)法定代表人、单位负责人为同一人或夫妻关系的不同投标人；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(2)存在直接控股、管理关系的不同投标人；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3.8投标人存在下列情形之一的，将被认定为串通投标行为并作无效投标处理：</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（1）投标人之间协商投标报价等投标文件的实质性内容；</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（2）投标人之间约定中标供应商；</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（3）投标人之间约定部分投标人放弃投标或者中标；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（4）属于同一集团、协会、商会等组织成员的投标人按照该组织要求协同投标；</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（5）投标人之间为谋取中标或者排斥特定投标人而采取的其他联合行动；</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（6）不同投标人的投标文件由同一单位或者个人编制；</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（7）不同投标人委托同一单位或者个人办理投标事宜；</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（8）不同投标人的投标文件载明的项目管理成员或者联系人员为同一人；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（9）不同投标人的投标文件异常一致或者投标报价呈规律性差异；</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（10）不同投标人的投标文件相互混装；</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（11）不同投标人的投标保证金从同一单位或者个人的账户转出。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（12）不同投标人的投标文件错、漏之处一致或雷同，且不能合理解释的；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（13）不同的投标人的法定代表人、委托代理人等由同一个单位缴纳社会保险的；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w:t>
            </w:r>
            <w:r>
              <w:rPr>
                <w:rFonts w:hint="eastAsia" w:ascii="宋体" w:hAnsi="宋体" w:eastAsia="宋体" w:cs="宋体"/>
                <w:color w:val="auto"/>
                <w:sz w:val="24"/>
                <w:szCs w:val="24"/>
                <w:highlight w:val="none"/>
              </w:rPr>
              <w:t>利害关系的人</w:t>
            </w:r>
            <w:r>
              <w:rPr>
                <w:rFonts w:hint="eastAsia" w:ascii="宋体" w:hAnsi="宋体" w:eastAsia="宋体" w:cs="宋体"/>
                <w:color w:val="auto"/>
                <w:sz w:val="24"/>
                <w:szCs w:val="24"/>
                <w:highlight w:val="none"/>
              </w:rPr>
              <w:t>携带两个以上（含两个）投标人的企业资料参与资格审查、领取招标资料，或代表两个以上（含两个）投标人参加招标答疑会、交纳或退还投标保证金、开标的；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（15）有关法律、法规或规章规定的其他串通投标行为。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8.1投标人应仔细阅读招标文件的所有内容，按照招标文件的要求提交投标文件。投标文件应对招标文件的要求作出实质性响应，并保证所提供的全部资料的真实性，否则其投标将被拒绝。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8.2除非有另外的规定，投标人可对招标货物（服务）一览表所列的全部合同包或部分合同包进行投标。招标采购单位不接受有任何可选择性的报价，每一种货物（服务）只能有一个报价，否则其投标将被拒绝。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11.1投标文件从投标截止之日开始生效，在</w:t>
            </w:r>
            <w:r>
              <w:rPr>
                <w:rFonts w:hint="eastAsia" w:ascii="宋体" w:hAnsi="宋体" w:eastAsia="宋体" w:cs="宋体"/>
                <w:b/>
                <w:bCs/>
                <w:color w:val="auto"/>
                <w:sz w:val="24"/>
                <w:szCs w:val="24"/>
                <w:highlight w:val="none"/>
              </w:rPr>
              <w:t>投标人须知前附表1</w:t>
            </w:r>
            <w:r>
              <w:rPr>
                <w:rFonts w:hint="eastAsia" w:ascii="宋体" w:hAnsi="宋体" w:eastAsia="宋体" w:cs="宋体"/>
                <w:b/>
                <w:color w:val="auto"/>
                <w:sz w:val="24"/>
                <w:szCs w:val="24"/>
                <w:highlight w:val="none"/>
              </w:rPr>
              <w:t>第3项所规定的期限内保持有效。有效期不足将导致其投标文件被拒绝。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12.5未按要求缴交投标保证金的投标，将被视为无效投标。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13.7</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13.7未按本须知规定的格式填写投标文件、投标文件字迹模糊不清的，其投标将被拒绝。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13.9</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投标人应将上述文件按顺序装订成册、打印页码，并编列投标文件目录、资料清单，由于装订不规范或编排顺序混乱而导致投标文件被误读或漏读，该投标可能被视为无效投标或承担不利的评标结果。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b/>
                <w:color w:val="auto"/>
                <w:sz w:val="24"/>
                <w:szCs w:val="24"/>
                <w:highlight w:val="none"/>
              </w:rPr>
              <w:t>投标文件未密封将导致其投标被拒绝。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14.5</w:t>
            </w:r>
          </w:p>
        </w:tc>
        <w:tc>
          <w:tcPr>
            <w:tcW w:w="340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14.5投标文件应在投标邀请中规定的截止时间前送达，迟到的投标文件为无效投标文件, 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14.7</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14.7投标人在投标截止时间后不得修改、撤回投标文件。投标人在投标截止时间后修改投标文件的，其投标将被拒绝。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17.投标人任何试图影响评委会对投标文件的评估、比较或者推荐候选人的行为，都将导致其投标按照无效投标处理，并被没收投标保证金。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b/>
                <w:color w:val="auto"/>
                <w:sz w:val="24"/>
                <w:szCs w:val="24"/>
                <w:highlight w:val="none"/>
              </w:rPr>
              <w:t>如果投标人不接受按上述方法对投标文件中的算术错误进行更正，其投标将按照无效投标处理并被没收投标保证金。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17.3.2</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17.3.2依据招标文件的规定，评标委员会还将从投标文件的有效性、完整性和对招标文件的响应程度等方面进行审查，以确定其是否符合对招标文件的实质性要求作出响应。（</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可根据具体项目的情况对实质性要求作特别的规定。）实质性偏离是指：（1）实质性影响合同的范围、质量和履行；（2）实质性违背招标文件，限制了</w:t>
            </w:r>
            <w:r>
              <w:rPr>
                <w:rFonts w:hint="eastAsia" w:ascii="宋体" w:hAnsi="宋体" w:cs="宋体"/>
                <w:color w:val="auto"/>
                <w:sz w:val="24"/>
                <w:szCs w:val="24"/>
                <w:highlight w:val="none"/>
              </w:rPr>
              <w:t>采购单位（或使用单位）</w:t>
            </w:r>
            <w:r>
              <w:rPr>
                <w:rFonts w:hint="eastAsia" w:ascii="宋体" w:hAnsi="宋体" w:eastAsia="宋体" w:cs="宋体"/>
                <w:color w:val="auto"/>
                <w:sz w:val="24"/>
                <w:szCs w:val="24"/>
                <w:highlight w:val="none"/>
              </w:rPr>
              <w:t>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未按规定提交投标保证金的；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(2)投标有效期不满足招标文件要求的；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(3)投标内容与招标内容及要求有重大偏离或保留的；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(4)投标人提交的是可选择的报价；</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(5)投标人未按招标文件要求对投标进行分项报价；</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(6)投标文件中提供虚假或失实资料的；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(7)不符合招标文件中规定的其它实质性条款。 </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评标委员会决定投标的响应性只根据投标文件本身的内容，而不寻求其他的外部证据。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39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w:t>
            </w:r>
          </w:p>
        </w:tc>
        <w:tc>
          <w:tcPr>
            <w:tcW w:w="3408" w:type="pct"/>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17.3.3投标产品必须满足中华人民共和国相关法律法规及行业的强制性要求，否则该投标人的投标将按照无效投标处理。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40" w:hRule="atLeast"/>
        </w:trPr>
        <w:tc>
          <w:tcPr>
            <w:tcW w:w="383"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96"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17.3.4</w:t>
            </w:r>
          </w:p>
        </w:tc>
        <w:tc>
          <w:tcPr>
            <w:tcW w:w="3408" w:type="pct"/>
            <w:tcBorders>
              <w:top w:val="single" w:color="auto" w:sz="4" w:space="0"/>
            </w:tcBorders>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17.3.4</w:t>
            </w:r>
            <w:r>
              <w:rPr>
                <w:rFonts w:hint="eastAsia" w:ascii="宋体" w:hAnsi="宋体" w:cs="宋体"/>
                <w:b/>
                <w:color w:val="auto"/>
                <w:sz w:val="24"/>
                <w:szCs w:val="24"/>
                <w:highlight w:val="none"/>
              </w:rPr>
              <w:t>采购单位（或使用单位）</w:t>
            </w:r>
            <w:r>
              <w:rPr>
                <w:rFonts w:hint="eastAsia" w:ascii="宋体" w:hAnsi="宋体" w:eastAsia="宋体" w:cs="宋体"/>
                <w:b/>
                <w:color w:val="auto"/>
                <w:sz w:val="24"/>
                <w:szCs w:val="24"/>
                <w:highlight w:val="none"/>
              </w:rPr>
              <w:t>、招标代理机构有下列情形之一的，将被认定为</w:t>
            </w:r>
            <w:r>
              <w:rPr>
                <w:rFonts w:hint="eastAsia" w:ascii="宋体" w:hAnsi="宋体" w:cs="宋体"/>
                <w:b/>
                <w:color w:val="auto"/>
                <w:sz w:val="24"/>
                <w:szCs w:val="24"/>
                <w:highlight w:val="none"/>
              </w:rPr>
              <w:t>采购单位（或使用单位）</w:t>
            </w:r>
            <w:r>
              <w:rPr>
                <w:rFonts w:hint="eastAsia" w:ascii="宋体" w:hAnsi="宋体" w:eastAsia="宋体" w:cs="宋体"/>
                <w:b/>
                <w:color w:val="auto"/>
                <w:sz w:val="24"/>
                <w:szCs w:val="24"/>
                <w:highlight w:val="none"/>
              </w:rPr>
              <w:t>、招标代理机构与投标人有串通投标行为，该投标人投标作无效投标处理：</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（1）在开标前开启投标文件并将有关信息泄露给其他投标人;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（2）评审结果公告前，直接或者间接向投标人泄露评标委员会成员等信息；</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（3）明示或者暗示投标人压低或者抬高投标报价；</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（4）授意投标人撤换、修改投标文件（按18条进行的澄清除外）；</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（5）明示或者暗示投标人为特定投标人中标提供方便；</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（6）为谋求特定投标人中标而采取的其他串通行为。</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17.3.5</w:t>
            </w:r>
          </w:p>
        </w:tc>
        <w:tc>
          <w:tcPr>
            <w:tcW w:w="3408" w:type="pct"/>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17.3.5出现17.3.4情形之一的，作无效投标处理的</w:t>
            </w:r>
            <w:r>
              <w:rPr>
                <w:rFonts w:hint="eastAsia" w:ascii="宋体" w:hAnsi="宋体" w:eastAsia="宋体" w:cs="宋体"/>
                <w:b/>
                <w:color w:val="auto"/>
                <w:sz w:val="24"/>
                <w:szCs w:val="24"/>
                <w:highlight w:val="none"/>
              </w:rPr>
              <w:t>投标人的投标保证金将予以没收，招标代理机构有权上报财政部门取消其采购供应商资格、并按有关规定予以处罚。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19.3</w:t>
            </w:r>
          </w:p>
        </w:tc>
        <w:tc>
          <w:tcPr>
            <w:tcW w:w="3408" w:type="pct"/>
            <w:noWrap w:val="0"/>
            <w:vAlign w:val="center"/>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22</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二</w:t>
            </w: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22</w:t>
            </w:r>
          </w:p>
        </w:tc>
        <w:tc>
          <w:tcPr>
            <w:tcW w:w="3408" w:type="pct"/>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t>投标人一旦中标，应在规定时间内凭中标通知书原件按第四章合同文本要求签订合同，并且凭中标供应商开具的本单位一般纳税人增值税专用发票（13%税点）向厦门万翔网络商务有限公司申请支付相应货款。</w:t>
            </w:r>
            <w:r>
              <w:rPr>
                <w:rFonts w:hint="eastAsia" w:ascii="宋体" w:hAnsi="宋体" w:cs="宋体"/>
                <w:color w:val="auto"/>
                <w:sz w:val="24"/>
                <w:szCs w:val="24"/>
                <w:highlight w:val="none"/>
              </w:rPr>
              <w:t>中标供应商为中小企业的，如需支付履约保证金的，支付比例为中标金额的5%。</w:t>
            </w:r>
            <w:r>
              <w:rPr>
                <w:rFonts w:hint="eastAsia" w:ascii="宋体" w:hAnsi="宋体" w:cs="宋体"/>
                <w:bCs/>
                <w:color w:val="auto"/>
                <w:sz w:val="24"/>
                <w:szCs w:val="24"/>
                <w:highlight w:val="none"/>
              </w:rPr>
              <w:t>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23</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投标人如果为联合体投标，则必须同时满足下列要求，否则</w:t>
            </w:r>
            <w:r>
              <w:rPr>
                <w:rFonts w:hint="eastAsia" w:ascii="宋体" w:hAnsi="宋体" w:eastAsia="宋体" w:cs="宋体"/>
                <w:color w:val="auto"/>
                <w:sz w:val="24"/>
                <w:szCs w:val="24"/>
                <w:highlight w:val="none"/>
              </w:rPr>
              <w:t>该投标人的投标将按照无效投标处理</w:t>
            </w:r>
            <w:r>
              <w:rPr>
                <w:rFonts w:hint="eastAsia" w:ascii="宋体" w:hAnsi="宋体" w:eastAsia="宋体" w:cs="宋体"/>
                <w:bCs/>
                <w:color w:val="auto"/>
                <w:sz w:val="24"/>
                <w:szCs w:val="24"/>
                <w:highlight w:val="none"/>
              </w:rPr>
              <w:t>：</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①在开标一览表中注明是否联合体投标、联合体组成单位；</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②在投标文件中提供各方盖章签署的共同投标协议原件。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投标文件中不得附有</w:t>
            </w:r>
            <w:r>
              <w:rPr>
                <w:rFonts w:hint="eastAsia" w:ascii="宋体" w:hAnsi="宋体" w:cs="宋体"/>
                <w:bCs/>
                <w:color w:val="auto"/>
                <w:sz w:val="24"/>
                <w:szCs w:val="24"/>
                <w:highlight w:val="none"/>
              </w:rPr>
              <w:t>采购单位</w:t>
            </w:r>
            <w:r>
              <w:rPr>
                <w:rFonts w:hint="eastAsia" w:ascii="宋体" w:hAnsi="宋体" w:cs="宋体"/>
                <w:color w:val="auto"/>
                <w:sz w:val="24"/>
                <w:szCs w:val="24"/>
                <w:highlight w:val="none"/>
              </w:rPr>
              <w:t>（或使用单位）</w:t>
            </w:r>
            <w:r>
              <w:rPr>
                <w:rFonts w:hint="eastAsia" w:ascii="宋体" w:hAnsi="宋体" w:eastAsia="宋体" w:cs="宋体"/>
                <w:bCs/>
                <w:color w:val="auto"/>
                <w:sz w:val="24"/>
                <w:szCs w:val="24"/>
                <w:highlight w:val="none"/>
              </w:rPr>
              <w:t>不能接受的条款，</w:t>
            </w:r>
            <w:r>
              <w:rPr>
                <w:rFonts w:hint="eastAsia" w:ascii="宋体" w:hAnsi="宋体" w:eastAsia="宋体" w:cs="宋体"/>
                <w:color w:val="auto"/>
                <w:sz w:val="24"/>
                <w:szCs w:val="24"/>
                <w:highlight w:val="none"/>
              </w:rPr>
              <w:t>否则该投标人的投标将按照无效投标处理。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396"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color w:val="auto"/>
                <w:sz w:val="24"/>
                <w:szCs w:val="24"/>
                <w:highlight w:val="none"/>
              </w:rPr>
            </w:pPr>
          </w:p>
        </w:tc>
        <w:tc>
          <w:tcPr>
            <w:tcW w:w="812"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08" w:type="pct"/>
            <w:noWrap w:val="0"/>
            <w:vAlign w:val="center"/>
          </w:tcPr>
          <w:p>
            <w:pPr>
              <w:pStyle w:val="2"/>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本项目以合同包为单位，对于每个合同包，投标人必须完整地提供合同包要求的所有货物和服务，否则</w:t>
            </w:r>
            <w:r>
              <w:rPr>
                <w:rFonts w:hint="eastAsia" w:ascii="宋体" w:hAnsi="宋体" w:eastAsia="宋体" w:cs="宋体"/>
                <w:color w:val="auto"/>
                <w:sz w:val="24"/>
                <w:szCs w:val="24"/>
                <w:highlight w:val="none"/>
              </w:rPr>
              <w:t>该投标人针对该合同包的投标将按照无效投标处理</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26</w:t>
            </w:r>
          </w:p>
        </w:tc>
        <w:tc>
          <w:tcPr>
            <w:tcW w:w="396"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投标人应对其在投标文件中声明的关于中小企业事项的真实性负责，存在以下情形之一的，经评标委员会查实，应认定存在虚假的：</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（1）投标人（包括联合体任一方）不符合“工信部联企业[2011]300号”规定的中小企业标准的；</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（2）投标货物全部或部分为使用大型企业注册商标的货物的；</w:t>
            </w:r>
          </w:p>
          <w:p>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（3）投标文件中标明的小型或微型企业产品的制造商不符合“工信部联企业[2011]300号”规定的小型和微型企业标准的。</w:t>
            </w:r>
          </w:p>
          <w:p>
            <w:pPr>
              <w:pStyle w:val="2"/>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在评审过程中发现上述虚假情形的，该投标人的投标作无效投标处理。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27</w:t>
            </w:r>
          </w:p>
        </w:tc>
        <w:tc>
          <w:tcPr>
            <w:tcW w:w="396"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08" w:type="pct"/>
            <w:noWrap w:val="0"/>
            <w:vAlign w:val="center"/>
          </w:tcPr>
          <w:p>
            <w:pPr>
              <w:pStyle w:val="2"/>
              <w:keepNext w:val="0"/>
              <w:keepLines w:val="0"/>
              <w:suppressLineNumbers w:val="0"/>
              <w:snapToGrid w:val="0"/>
              <w:spacing w:before="0" w:beforeAutospacing="0" w:after="0" w:afterAutospacing="0" w:line="360" w:lineRule="auto"/>
              <w:ind w:left="0" w:right="0" w:firstLine="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减半交纳投标保证金的投标人未按照招标文件格式要求在投标文件中提供《中小企业声明函》的，其投标作无效投标处理。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28</w:t>
            </w:r>
          </w:p>
        </w:tc>
        <w:tc>
          <w:tcPr>
            <w:tcW w:w="396"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08"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投标人应按照招标文件格式要求在投标文件中提供《廉洁承诺书》原件（投标人为联合体的，联合体各方均应提供《廉洁承诺书》原件），否则作无效投标处理。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29</w:t>
            </w:r>
          </w:p>
        </w:tc>
        <w:tc>
          <w:tcPr>
            <w:tcW w:w="396"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812" w:type="pct"/>
            <w:tcBorders>
              <w:bottom w:val="single" w:color="auto" w:sz="4" w:space="0"/>
            </w:tcBorders>
            <w:noWrap w:val="0"/>
            <w:vAlign w:val="center"/>
          </w:tcPr>
          <w:p>
            <w:pPr>
              <w:pStyle w:val="2"/>
              <w:keepNext w:val="0"/>
              <w:keepLines w:val="0"/>
              <w:suppressLineNumbers w:val="0"/>
              <w:snapToGrid w:val="0"/>
              <w:spacing w:before="0" w:beforeAutospacing="0" w:after="0" w:afterAutospacing="0" w:line="360" w:lineRule="auto"/>
              <w:ind w:left="0" w:right="0" w:firstLine="0"/>
              <w:jc w:val="center"/>
              <w:rPr>
                <w:rFonts w:hint="eastAsia" w:ascii="宋体" w:hAnsi="宋体" w:eastAsia="宋体" w:cs="宋体"/>
                <w:b/>
                <w:color w:val="auto"/>
                <w:sz w:val="24"/>
                <w:szCs w:val="24"/>
                <w:highlight w:val="none"/>
              </w:rPr>
            </w:pPr>
          </w:p>
        </w:tc>
        <w:tc>
          <w:tcPr>
            <w:tcW w:w="3408"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其他不满足招标文件要求经评标委员会认定须作无效投标处理的。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tcBorders>
              <w:bottom w:val="single" w:color="auto" w:sz="4" w:space="0"/>
            </w:tcBorders>
            <w:noWrap w:val="0"/>
            <w:vAlign w:val="center"/>
          </w:tcPr>
          <w:p>
            <w:pPr>
              <w:pStyle w:val="39"/>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textAlignment w:val="auto"/>
              <w:rPr>
                <w:rFonts w:hint="eastAsia" w:hAnsi="宋体" w:eastAsia="宋体" w:cs="宋体"/>
                <w:color w:val="auto"/>
                <w:highlight w:val="none"/>
                <w:lang w:val="en-US" w:eastAsia="zh-CN"/>
              </w:rPr>
            </w:pPr>
            <w:r>
              <w:rPr>
                <w:rFonts w:hint="eastAsia" w:hAnsi="宋体" w:eastAsia="宋体" w:cs="宋体"/>
                <w:color w:val="auto"/>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123号）规定的包装要求，其他包装需求详见招标文件具体规定。采购单位、中标供应商双方签订合同及验收环节，应包含上述包装要求的条款。</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31</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一</w:t>
            </w:r>
          </w:p>
        </w:tc>
        <w:tc>
          <w:tcPr>
            <w:tcW w:w="3408" w:type="pct"/>
            <w:tcBorders>
              <w:bottom w:val="single" w:color="auto" w:sz="4" w:space="0"/>
            </w:tcBorders>
            <w:noWrap w:val="0"/>
            <w:vAlign w:val="center"/>
          </w:tcPr>
          <w:p>
            <w:pPr>
              <w:keepNext w:val="0"/>
              <w:keepLines w:val="0"/>
              <w:widowControl w:val="0"/>
              <w:suppressLineNumbers w:val="0"/>
              <w:autoSpaceDE/>
              <w:autoSpaceDN/>
              <w:spacing w:before="0" w:beforeAutospacing="0" w:after="0" w:afterAutospacing="0" w:line="360" w:lineRule="auto"/>
              <w:ind w:left="0" w:right="0"/>
              <w:jc w:val="both"/>
              <w:textAlignment w:val="auto"/>
              <w:rPr>
                <w:rFonts w:hint="eastAsia" w:ascii="宋体" w:hAnsi="宋体" w:eastAsia="宋体" w:cs="宋体"/>
                <w:b/>
                <w:bCs w:val="0"/>
                <w:i w:val="0"/>
                <w:iCs w:val="0"/>
                <w:color w:val="auto"/>
                <w:kern w:val="2"/>
                <w:sz w:val="22"/>
                <w:szCs w:val="22"/>
                <w:highlight w:val="none"/>
                <w:lang w:eastAsia="zh-CN" w:bidi="ar"/>
              </w:rPr>
            </w:pPr>
            <w:r>
              <w:rPr>
                <w:rFonts w:hint="eastAsia" w:ascii="宋体" w:hAnsi="宋体" w:eastAsia="宋体" w:cs="宋体"/>
                <w:b/>
                <w:bCs w:val="0"/>
                <w:i w:val="0"/>
                <w:iCs w:val="0"/>
                <w:color w:val="auto"/>
                <w:kern w:val="2"/>
                <w:sz w:val="22"/>
                <w:szCs w:val="22"/>
                <w:highlight w:val="none"/>
                <w:lang w:eastAsia="zh-CN" w:bidi="ar"/>
              </w:rPr>
              <w:t xml:space="preserve">1-1 </w:t>
            </w:r>
            <w:r>
              <w:rPr>
                <w:rFonts w:hint="eastAsia" w:ascii="宋体" w:hAnsi="宋体" w:eastAsia="宋体" w:cs="宋体"/>
                <w:b/>
                <w:bCs w:val="0"/>
                <w:i w:val="0"/>
                <w:iCs w:val="0"/>
                <w:color w:val="auto"/>
                <w:kern w:val="2"/>
                <w:sz w:val="22"/>
                <w:szCs w:val="22"/>
                <w:highlight w:val="none"/>
                <w:lang w:val="en-US" w:eastAsia="zh-CN" w:bidi="ar"/>
              </w:rPr>
              <w:t>A4黑白三合一双面网络功能激光一体机</w:t>
            </w:r>
            <w:r>
              <w:rPr>
                <w:rFonts w:hint="eastAsia" w:ascii="宋体" w:hAnsi="宋体" w:eastAsia="宋体" w:cs="宋体"/>
                <w:b/>
                <w:bCs w:val="0"/>
                <w:i w:val="0"/>
                <w:iCs w:val="0"/>
                <w:color w:val="auto"/>
                <w:kern w:val="2"/>
                <w:sz w:val="22"/>
                <w:szCs w:val="22"/>
                <w:highlight w:val="none"/>
                <w:lang w:eastAsia="zh-CN" w:bidi="ar"/>
              </w:rPr>
              <w:t>：</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*1、产品类型：A4黑白三合一双面网络功能激光一体机</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功能：打印/复印/扫描</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具备有线网络打印功能</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具备自动双面打印功能</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标配自动输稿器</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打印速度≥25页/分钟（A4幅面）</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复印速度≥25页/分钟（A4幅面）</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扫描类型：馈纸式+平板式</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color w:val="auto"/>
                <w:sz w:val="22"/>
                <w:szCs w:val="22"/>
                <w:highlight w:val="none"/>
                <w:lang w:bidi="ar"/>
              </w:rPr>
            </w:pPr>
            <w:r>
              <w:rPr>
                <w:rStyle w:val="16"/>
                <w:rFonts w:hint="eastAsia" w:ascii="宋体" w:hAnsi="宋体" w:eastAsia="宋体" w:cs="宋体"/>
                <w:b/>
                <w:bCs w:val="0"/>
                <w:color w:val="auto"/>
                <w:kern w:val="2"/>
                <w:sz w:val="22"/>
                <w:szCs w:val="22"/>
                <w:highlight w:val="none"/>
                <w:lang w:val="en-US" w:eastAsia="zh-CN" w:bidi="ar"/>
              </w:rPr>
              <w:t>适配符合安全可靠测评要求的计算机平台及符合安全可靠测评要求的操作系统</w:t>
            </w:r>
          </w:p>
          <w:p>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标配USB2.0接口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32</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tcBorders>
              <w:bottom w:val="single" w:color="auto" w:sz="4" w:space="0"/>
            </w:tcBorders>
            <w:noWrap w:val="0"/>
            <w:vAlign w:val="center"/>
          </w:tcPr>
          <w:p>
            <w:pPr>
              <w:keepNext w:val="0"/>
              <w:keepLines w:val="0"/>
              <w:widowControl w:val="0"/>
              <w:suppressLineNumbers w:val="0"/>
              <w:autoSpaceDE/>
              <w:autoSpaceDN/>
              <w:spacing w:before="0" w:beforeAutospacing="0" w:after="0" w:afterAutospacing="0" w:line="360" w:lineRule="auto"/>
              <w:ind w:left="0" w:right="0"/>
              <w:jc w:val="both"/>
              <w:textAlignment w:val="auto"/>
              <w:rPr>
                <w:rFonts w:hint="eastAsia" w:ascii="宋体" w:hAnsi="宋体" w:eastAsia="宋体" w:cs="宋体"/>
                <w:b/>
                <w:bCs w:val="0"/>
                <w:i w:val="0"/>
                <w:iCs w:val="0"/>
                <w:color w:val="auto"/>
                <w:kern w:val="2"/>
                <w:sz w:val="22"/>
                <w:szCs w:val="22"/>
                <w:highlight w:val="none"/>
                <w:lang w:eastAsia="zh-CN" w:bidi="ar"/>
              </w:rPr>
            </w:pPr>
            <w:r>
              <w:rPr>
                <w:rFonts w:hint="eastAsia" w:ascii="宋体" w:hAnsi="宋体" w:eastAsia="宋体" w:cs="宋体"/>
                <w:b/>
                <w:bCs w:val="0"/>
                <w:i w:val="0"/>
                <w:iCs w:val="0"/>
                <w:color w:val="auto"/>
                <w:kern w:val="2"/>
                <w:sz w:val="22"/>
                <w:szCs w:val="22"/>
                <w:highlight w:val="none"/>
                <w:lang w:eastAsia="zh-CN" w:bidi="ar"/>
              </w:rPr>
              <w:t xml:space="preserve">1-2 </w:t>
            </w:r>
            <w:r>
              <w:rPr>
                <w:rFonts w:hint="eastAsia" w:ascii="宋体" w:hAnsi="宋体" w:eastAsia="宋体" w:cs="宋体"/>
                <w:b/>
                <w:bCs w:val="0"/>
                <w:i w:val="0"/>
                <w:iCs w:val="0"/>
                <w:color w:val="auto"/>
                <w:kern w:val="2"/>
                <w:sz w:val="22"/>
                <w:szCs w:val="22"/>
                <w:highlight w:val="none"/>
                <w:lang w:val="en-US" w:eastAsia="zh-CN" w:bidi="ar"/>
              </w:rPr>
              <w:t>A4黑白四合一双面网络功能激光一体机</w:t>
            </w:r>
            <w:r>
              <w:rPr>
                <w:rFonts w:hint="eastAsia" w:ascii="宋体" w:hAnsi="宋体" w:eastAsia="宋体" w:cs="宋体"/>
                <w:b/>
                <w:bCs w:val="0"/>
                <w:i w:val="0"/>
                <w:iCs w:val="0"/>
                <w:color w:val="auto"/>
                <w:kern w:val="2"/>
                <w:sz w:val="22"/>
                <w:szCs w:val="22"/>
                <w:highlight w:val="none"/>
                <w:lang w:eastAsia="zh-CN" w:bidi="ar"/>
              </w:rPr>
              <w:t>：</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*1、产品类型：A4黑白四合一双面网络功能激光一体机</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功能：打印/复印/扫描/传真</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具备有线网络打印功能</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具备自动双面打印功能</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标配自动输稿器</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打印速度≥25页/分钟（A4幅面）</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复印速度≥25页/分钟（A4幅面）</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扫描类型：馈纸式+平板式</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i w:val="0"/>
                <w:iCs w:val="0"/>
                <w:color w:val="auto"/>
                <w:kern w:val="2"/>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传真调制解调速度≥33.6kbps</w:t>
            </w:r>
          </w:p>
          <w:p>
            <w:pPr>
              <w:keepNext w:val="0"/>
              <w:keepLines w:val="0"/>
              <w:widowControl w:val="0"/>
              <w:suppressLineNumbers w:val="0"/>
              <w:autoSpaceDE/>
              <w:autoSpaceDN/>
              <w:spacing w:before="0" w:beforeAutospacing="0" w:after="0" w:afterAutospacing="0" w:line="360" w:lineRule="auto"/>
              <w:ind w:left="0" w:right="0"/>
              <w:jc w:val="both"/>
              <w:textAlignment w:val="auto"/>
              <w:rPr>
                <w:rFonts w:hint="default" w:ascii="宋体" w:hAnsi="宋体" w:eastAsia="宋体" w:cs="宋体"/>
                <w:b/>
                <w:bCs w:val="0"/>
                <w:color w:val="auto"/>
                <w:sz w:val="22"/>
                <w:szCs w:val="22"/>
                <w:highlight w:val="none"/>
                <w:lang w:bidi="ar"/>
              </w:rPr>
            </w:pPr>
            <w:r>
              <w:rPr>
                <w:rFonts w:hint="eastAsia" w:ascii="宋体" w:hAnsi="宋体" w:eastAsia="宋体" w:cs="宋体"/>
                <w:b/>
                <w:bCs w:val="0"/>
                <w:color w:val="auto"/>
                <w:kern w:val="2"/>
                <w:sz w:val="22"/>
                <w:szCs w:val="22"/>
                <w:highlight w:val="none"/>
                <w:lang w:val="en-US" w:eastAsia="zh-CN" w:bidi="ar"/>
              </w:rPr>
              <w:t>适配符合安全可靠测评要求的计算机平台及符合安全可靠测评要求的操作系统</w:t>
            </w:r>
          </w:p>
          <w:p>
            <w:pPr>
              <w:keepNext w:val="0"/>
              <w:keepLines w:val="0"/>
              <w:suppressLineNumbers w:val="0"/>
              <w:spacing w:before="0" w:beforeAutospacing="0" w:after="0" w:afterAutospacing="0" w:line="360" w:lineRule="auto"/>
              <w:ind w:left="0" w:right="0"/>
              <w:rPr>
                <w:rFonts w:hint="default" w:ascii="宋体" w:hAnsi="宋体" w:eastAsia="宋体" w:cs="宋体"/>
                <w:b/>
                <w:color w:val="auto"/>
                <w:sz w:val="22"/>
                <w:szCs w:val="22"/>
                <w:highlight w:val="none"/>
                <w:lang w:bidi="ar"/>
              </w:rPr>
            </w:pPr>
            <w:r>
              <w:rPr>
                <w:rFonts w:hint="eastAsia" w:ascii="宋体" w:hAnsi="宋体" w:eastAsia="宋体" w:cs="宋体"/>
                <w:b/>
                <w:bCs w:val="0"/>
                <w:i w:val="0"/>
                <w:iCs w:val="0"/>
                <w:color w:val="auto"/>
                <w:kern w:val="2"/>
                <w:sz w:val="22"/>
                <w:szCs w:val="22"/>
                <w:highlight w:val="none"/>
                <w:lang w:val="en-US" w:eastAsia="zh-CN" w:bidi="ar"/>
              </w:rPr>
              <w:t>标配USB2.0接口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33</w:t>
            </w:r>
          </w:p>
        </w:tc>
        <w:tc>
          <w:tcPr>
            <w:tcW w:w="396"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tcBorders>
              <w:bottom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tcBorders>
              <w:bottom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*1、投标人投标的激光一体机产品必须为同一品牌产品，否则将导致废标。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二</w:t>
            </w: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*1、投标人承诺设备自最终验收合格之日起至少一年免费上门保修。期间中标供应商应提供一切免费维修服务和免费更换零配件。同时投标人保证保修年限不低于合同货物中品牌型号的官网标准。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35</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*2、投标人应在投标文件中提供具体的售后服务承诺条款。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36</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3、设备故障若在约定时间内无法修复的，中标供应商应先提供备用机供最终用户使用，直至设备修复；如中标供应商所提供的备用机与故障机的型号不同，则需免费提供耗材。如果中标供应商未在承诺的时间内将设备修复或者提供备用机的则中标供应商应按人民币：200.00元/台/天向采购单位支付逾期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37</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三</w:t>
            </w: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投标人须以人民币报价，总报价为投标设备经最终验收合格并交付使用所有可能发生的费用，包括设备费、运送至采购单位指定地点的运输费、运输费保险费、专用工具费、税费、采购保管费、安装费、检验验收、安装调试费以及售后服务等一切费用（投标人可在分项报价表中详细列出报价，如果所列分项报价不含以上内容，则视为已含在总报价中），报价方式为总包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38</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*2、投标人必须列出采购货物一览表中品目号设备的单价及总价。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39</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*3、本项目的采购预算为人民币564万元，各品目号也设置采购预算（品目号</w:t>
            </w:r>
            <w:r>
              <w:rPr>
                <w:rFonts w:hint="eastAsia" w:ascii="宋体" w:hAnsi="宋体" w:eastAsia="宋体" w:cs="宋体"/>
                <w:b/>
                <w:bCs w:val="0"/>
                <w:i w:val="0"/>
                <w:iCs w:val="0"/>
                <w:color w:val="auto"/>
                <w:kern w:val="2"/>
                <w:sz w:val="24"/>
                <w:szCs w:val="24"/>
                <w:highlight w:val="none"/>
                <w:lang w:val="en-US" w:eastAsia="zh-CN" w:bidi="ar"/>
              </w:rPr>
              <w:t>1-1为人民币1,800元/台；</w:t>
            </w:r>
            <w:r>
              <w:rPr>
                <w:rFonts w:hint="eastAsia" w:ascii="宋体" w:hAnsi="宋体" w:eastAsia="宋体" w:cs="宋体"/>
                <w:b/>
                <w:bCs w:val="0"/>
                <w:color w:val="auto"/>
                <w:kern w:val="2"/>
                <w:sz w:val="24"/>
                <w:szCs w:val="24"/>
                <w:highlight w:val="none"/>
                <w:lang w:val="en-US" w:eastAsia="zh-CN" w:bidi="ar"/>
              </w:rPr>
              <w:t>品目号</w:t>
            </w:r>
            <w:r>
              <w:rPr>
                <w:rFonts w:hint="eastAsia" w:ascii="宋体" w:hAnsi="宋体" w:eastAsia="宋体" w:cs="宋体"/>
                <w:b/>
                <w:bCs w:val="0"/>
                <w:i w:val="0"/>
                <w:iCs w:val="0"/>
                <w:color w:val="auto"/>
                <w:kern w:val="2"/>
                <w:sz w:val="24"/>
                <w:szCs w:val="24"/>
                <w:highlight w:val="none"/>
                <w:lang w:val="en-US" w:eastAsia="zh-CN" w:bidi="ar"/>
              </w:rPr>
              <w:t>1-2为人民币2,400元/台）</w:t>
            </w:r>
            <w:r>
              <w:rPr>
                <w:rFonts w:hint="eastAsia" w:ascii="宋体" w:hAnsi="宋体" w:eastAsia="宋体" w:cs="宋体"/>
                <w:b/>
                <w:bCs w:val="0"/>
                <w:color w:val="auto"/>
                <w:kern w:val="2"/>
                <w:sz w:val="24"/>
                <w:szCs w:val="24"/>
                <w:highlight w:val="none"/>
                <w:lang w:val="en-US" w:eastAsia="zh-CN" w:bidi="ar"/>
              </w:rPr>
              <w:t>，投标人的总报价和各品目号的报价均不得超过采购预算，否则作废标处理。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4、投标人承诺同意本项目采购的产品按照销售对象及销售区域的不同而分别与采购单位签订合同，即签订一份适用于厦门市政府机关事业单位、一份适用于福建省内其他终端用户采购合同。两份合同的总数量和总金额为本次采购的总数量和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四</w:t>
            </w: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*1、投标人须在投标文件中明确作出书面承诺：投标人承诺接受《采购合同》中《服务考核细则》对其的考核并同意按考核情况处理。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42</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*2、采购单位付款时，中标供应商应提供一般纳税人的增值税专用发票；否则，采购单位有权拒绝支付相应款项。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43</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*3、投标人承诺，如获中标将配合采购单位及产品检验检测机构进行投标产品的检验检测，产品检验检测产生的一切相关费用由中标供应商承担。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4、投标人承诺同意分别免费提供3台品目号1-1，4台品目号1-2的投标产品给采购单位作为备用机，且于中标后第一次供货时一并提供。备用机归采购单位所有，由采购单位自行调配，合同期满后亦不予返还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45</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*5、分批供货，以采购单位的供货通知为准。</w:t>
            </w:r>
          </w:p>
          <w:p>
            <w:pPr>
              <w:keepNext w:val="0"/>
              <w:keepLines w:val="0"/>
              <w:widowControl/>
              <w:suppressLineNumbers w:val="0"/>
              <w:adjustRightInd/>
              <w:snapToGrid/>
              <w:spacing w:before="0" w:beforeAutospacing="0" w:after="0" w:afterAutospacing="0" w:line="360" w:lineRule="auto"/>
              <w:ind w:left="0" w:right="0" w:firstLine="0" w:firstLineChars="0"/>
              <w:jc w:val="left"/>
              <w:rPr>
                <w:rFonts w:hint="default" w:ascii="宋体" w:hAnsi="宋体" w:eastAsia="宋体" w:cs="宋体"/>
                <w:b/>
                <w:bCs w:val="0"/>
                <w:color w:val="auto"/>
                <w:kern w:val="2"/>
                <w:sz w:val="24"/>
                <w:szCs w:val="24"/>
                <w:highlight w:val="none"/>
                <w:lang w:bidi="ar"/>
              </w:rPr>
            </w:pPr>
            <w:r>
              <w:rPr>
                <w:rFonts w:hint="eastAsia" w:ascii="宋体" w:hAnsi="宋体" w:eastAsia="宋体" w:cs="宋体"/>
                <w:b/>
                <w:bCs w:val="0"/>
                <w:color w:val="auto"/>
                <w:kern w:val="2"/>
                <w:sz w:val="24"/>
                <w:szCs w:val="24"/>
                <w:highlight w:val="none"/>
                <w:lang w:val="en-US" w:eastAsia="zh-CN" w:bidi="ar"/>
              </w:rPr>
              <w:t>货物送采购单位仓库后再配送至最终用户的，中标供应商应在采购单位发出《定货单》之日起15个日历日之内（《定货单》的交货期与本条约定不一致的，以《定货单》为准）将货交采购单位仓库， 货物到达采购单位仓库后，中标供应商应在接到采购单位通知后24小时内（仅指货物配送时限要求）将货物从采购单位仓库二次配送至最终用户（地址为厦门市岛内行政区域），并按约定完成安装调试后提请验收交付。中标供应商除承担运送至采购单位仓库的费用、货物存至采购单位仓库的仓储操作费（仓储操作费10元/台），还应同时承担从采购单位仓库运送至最终用户的二次配送费用。中标供应商从采购单位仓库中提货之时起至货物经最终用户签收之时止，货物毁损、灭失的风险由中标供应商承担。</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若中标供应商未按约定的时间完成二次配送的，采购单位将代为进行二次配送，中标供应商应按如下费用标准最迟在采购单位发出《定货单》之日起10个工作日内向采购单位或采购单位指定的第三方物流商支付相应仓储操作费及二次配送费用：仓储操作费10元/台，二次配送费15元/台。若中标供应商未向采购单位或采购单位指定的第三方物流商支付该仓储操作费及二次配送费用的，采购单位有权从中标供应商货款或约定的履约保证金总额中扣除相应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46</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 xml:space="preserve"> *6、</w:t>
            </w:r>
            <w:r>
              <w:rPr>
                <w:rFonts w:hint="eastAsia" w:ascii="宋体" w:hAnsi="宋体" w:eastAsia="宋体" w:cs="宋体"/>
                <w:b/>
                <w:bCs w:val="0"/>
                <w:color w:val="auto"/>
                <w:kern w:val="2"/>
                <w:sz w:val="24"/>
                <w:szCs w:val="24"/>
                <w:highlight w:val="none"/>
                <w:lang w:val="en-US" w:eastAsia="zh-CN" w:bidi="ar"/>
              </w:rPr>
              <w:t>合同期内每三个月，采购单位可根据市场行情变化，与中标供应商就产品单价进行重新谈判，价格不得高于中标价格。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47</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*7、投标人须在投标文件中书面承诺：提供产品的安装费用和上门售后服务费用不高于以下收费标准执行。</w:t>
            </w:r>
            <w:r>
              <w:rPr>
                <w:rFonts w:hint="default" w:ascii="宋体" w:hAnsi="宋体" w:eastAsia="宋体" w:cs="宋体"/>
                <w:b/>
                <w:bCs w:val="0"/>
                <w:color w:val="auto"/>
                <w:kern w:val="0"/>
                <w:sz w:val="24"/>
                <w:szCs w:val="24"/>
                <w:highlight w:val="none"/>
                <w:lang w:eastAsia="zh-CN" w:bidi="ar"/>
              </w:rPr>
              <w:t>详见“第三章招标内容及要求”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48</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8、投标人承诺若中标将无条件参与采购单位举办的壹年两次的政府大宗产品推介会，并且免费提供相应的中标机型作为样机展示，否则视为违约，投标人应按中标机型的中标单价向采购单位支付违约金，若投标人未向采购单位支付，则采购单位有权直接从履约保证金款项中直接给予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49</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9、报价人承诺若中标，验收时（包括初验和最终验收），报价人必须派代表参加并确认验收结果，否则视为报价人对验收意见无异议。如该批次产品在最终验收时，出现开箱破损或者故障，无法进行最终验收的，报价人无条件给予更换新机并保证最终验收的顺畅进行。若报价人不同意更换新机或者配合，采购单位有权直接于中标供应商的履约保证金中扣除该批次产品及安装的等额费用，该条款可能造成的成本费用包含在报价人的总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50</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*10、报价人若中标，因报价人产品给采购单位造成的客诉，若报价人在接到采购单位通知后3个日历日内无法解决客诉，采购单位有权自行解决客诉，并直接于报价人的履约保证金中扣除解决客诉所产生的费用。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51</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11、投标人须在投标文件中书面承诺：中标供应商不按采购合同履行的，采购单位有权与排位在中标供应商之后第一位的中标候选供应商签订采购合同，以此类推。并且，作为中标供应商之后第一位的中标候选供应商同意与采购单位在中标结果公示期结束后直接按其报价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52</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12、投标人对合同条款的任何负偏离将导致废标。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53</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w:t>
            </w:r>
            <w:r>
              <w:rPr>
                <w:rFonts w:hint="eastAsia" w:ascii="宋体" w:hAnsi="宋体" w:eastAsia="宋体" w:cs="宋体"/>
                <w:b/>
                <w:bCs w:val="0"/>
                <w:color w:val="auto"/>
                <w:kern w:val="2"/>
                <w:sz w:val="24"/>
                <w:szCs w:val="24"/>
                <w:highlight w:val="none"/>
                <w:lang w:val="en-US" w:eastAsia="zh-CN" w:bidi="ar"/>
              </w:rPr>
              <w:t>3、对“一、招标要求”中带星号（“*”）的条款，投标人必须在投标文件中提供产品宣传单页或产品说明书或厂家官网产品页截图（加盖投标人公章，若投标人为联合体投标的，联合体中的其中一方盖章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54</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*14、凡属制造商的关联企业，其关联关系应符合《企业会计准则第36号——关联方披露（2006）》（财会[2006]3号）中“关联方关系”的要求，报价人应在报价文件中按后附格式提供《关联企业证明》。</w:t>
            </w:r>
            <w:r>
              <w:rPr>
                <w:rFonts w:hint="default" w:ascii="宋体" w:hAnsi="宋体" w:eastAsia="宋体" w:cs="宋体"/>
                <w:b/>
                <w:bCs w:val="0"/>
                <w:color w:val="auto"/>
                <w:kern w:val="2"/>
                <w:sz w:val="24"/>
                <w:szCs w:val="24"/>
                <w:highlight w:val="none"/>
                <w:lang w:eastAsia="zh-CN" w:bidi="ar"/>
              </w:rPr>
              <w:t>详见“第三章招标内容及要求”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55</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五</w:t>
            </w:r>
          </w:p>
        </w:tc>
        <w:tc>
          <w:tcPr>
            <w:tcW w:w="3408" w:type="pc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Times New Roman"/>
                <w:b/>
                <w:bCs w:val="0"/>
                <w:color w:val="auto"/>
                <w:kern w:val="2"/>
                <w:sz w:val="24"/>
                <w:szCs w:val="24"/>
                <w:highlight w:val="none"/>
                <w:lang w:val="en-US" w:eastAsia="zh-CN" w:bidi="ar"/>
              </w:rPr>
              <w:t>*1</w:t>
            </w:r>
            <w:r>
              <w:rPr>
                <w:rFonts w:hint="eastAsia" w:ascii="宋体" w:hAnsi="宋体" w:eastAsia="宋体" w:cs="宋体"/>
                <w:b/>
                <w:bCs w:val="0"/>
                <w:color w:val="auto"/>
                <w:kern w:val="2"/>
                <w:sz w:val="24"/>
                <w:szCs w:val="24"/>
                <w:highlight w:val="none"/>
                <w:lang w:val="en-US" w:eastAsia="zh-CN" w:bidi="ar"/>
              </w:rPr>
              <w:t>5、投标人所投标设备应符合国家强制性产品认证标准的要求，获得</w:t>
            </w:r>
            <w:r>
              <w:rPr>
                <w:rFonts w:hint="eastAsia" w:ascii="宋体" w:hAnsi="宋体" w:eastAsia="宋体" w:cs="Times New Roman"/>
                <w:b/>
                <w:bCs w:val="0"/>
                <w:color w:val="auto"/>
                <w:kern w:val="2"/>
                <w:sz w:val="24"/>
                <w:szCs w:val="24"/>
                <w:highlight w:val="none"/>
                <w:lang w:val="en-US" w:eastAsia="zh-CN" w:bidi="ar"/>
              </w:rPr>
              <w:t>CCC认证证书，并在投标文件中提供CCC认证证书的复印件。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383" w:type="pc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56</w:t>
            </w:r>
          </w:p>
        </w:tc>
        <w:tc>
          <w:tcPr>
            <w:tcW w:w="39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812"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40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投标人须对以下条款承诺：</w:t>
            </w:r>
          </w:p>
          <w:p>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*1、</w:t>
            </w:r>
            <w:r>
              <w:rPr>
                <w:rFonts w:hint="eastAsia" w:ascii="宋体" w:hAnsi="宋体" w:eastAsia="宋体" w:cs="宋体"/>
                <w:b/>
                <w:bCs w:val="0"/>
                <w:color w:val="auto"/>
                <w:kern w:val="2"/>
                <w:sz w:val="24"/>
                <w:szCs w:val="24"/>
                <w:highlight w:val="none"/>
                <w:lang w:val="en-US" w:eastAsia="zh-CN" w:bidi="ar"/>
              </w:rPr>
              <w:t>中标供应商应在合同签订之日起7个日历日内向采购单位缴交合同总金额2%的供货履约保证金及合同总金额3%的服务履约保证金。供货履约保证金，采购单位于本合同有效期满且最后一批次货物供货完成后2</w:t>
            </w:r>
            <w:r>
              <w:rPr>
                <w:rFonts w:hint="eastAsia" w:ascii="宋体" w:hAnsi="宋体" w:eastAsia="宋体" w:cs="Times New Roman"/>
                <w:b/>
                <w:bCs w:val="0"/>
                <w:color w:val="auto"/>
                <w:kern w:val="2"/>
                <w:sz w:val="24"/>
                <w:szCs w:val="24"/>
                <w:highlight w:val="none"/>
                <w:lang w:val="en-US" w:eastAsia="zh-CN" w:bidi="ar"/>
              </w:rPr>
              <w:t>0</w:t>
            </w:r>
            <w:r>
              <w:rPr>
                <w:rFonts w:hint="eastAsia" w:ascii="宋体" w:hAnsi="宋体" w:eastAsia="宋体" w:cs="宋体"/>
                <w:b/>
                <w:bCs w:val="0"/>
                <w:color w:val="auto"/>
                <w:kern w:val="2"/>
                <w:sz w:val="24"/>
                <w:szCs w:val="24"/>
                <w:highlight w:val="none"/>
                <w:lang w:val="en-US" w:eastAsia="zh-CN" w:bidi="ar"/>
              </w:rPr>
              <w:t>个工作日内一次性无息支付给中标供应商（扣除相应的违约金、赔偿金）。服务履约保证金，采购单位于本合同有效期内最后一批次货物保修期届满后2</w:t>
            </w:r>
            <w:r>
              <w:rPr>
                <w:rFonts w:hint="eastAsia" w:ascii="宋体" w:hAnsi="宋体" w:eastAsia="宋体" w:cs="Times New Roman"/>
                <w:b/>
                <w:bCs w:val="0"/>
                <w:color w:val="auto"/>
                <w:kern w:val="2"/>
                <w:sz w:val="24"/>
                <w:szCs w:val="24"/>
                <w:highlight w:val="none"/>
                <w:lang w:val="en-US" w:eastAsia="zh-CN" w:bidi="ar"/>
              </w:rPr>
              <w:t>0</w:t>
            </w:r>
            <w:r>
              <w:rPr>
                <w:rFonts w:hint="eastAsia" w:ascii="宋体" w:hAnsi="宋体" w:eastAsia="宋体" w:cs="宋体"/>
                <w:b/>
                <w:bCs w:val="0"/>
                <w:color w:val="auto"/>
                <w:kern w:val="2"/>
                <w:sz w:val="24"/>
                <w:szCs w:val="24"/>
                <w:highlight w:val="none"/>
                <w:lang w:val="en-US" w:eastAsia="zh-CN" w:bidi="ar"/>
              </w:rPr>
              <w:t>个工作日内一次性无息支付给中标供应商（扣除相应的违约金、赔偿金）</w:t>
            </w:r>
          </w:p>
          <w:p>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中标供应商因违约行为导致履约保证金被采购单位扣除的，中标供应商应于被扣除之日起7个日历日内补足，使履约保证金金额满足上述约定的要求。</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2、货交采购单位仓库的，经采购单位初验合格后，采购单位凭如下单证和文件在</w:t>
            </w:r>
            <w:r>
              <w:rPr>
                <w:rFonts w:hint="eastAsia" w:ascii="宋体" w:hAnsi="宋体" w:eastAsia="宋体" w:cs="Times New Roman"/>
                <w:b/>
                <w:bCs w:val="0"/>
                <w:color w:val="auto"/>
                <w:kern w:val="2"/>
                <w:sz w:val="24"/>
                <w:szCs w:val="24"/>
                <w:highlight w:val="none"/>
                <w:lang w:val="en-US" w:eastAsia="zh-CN" w:bidi="ar"/>
              </w:rPr>
              <w:t xml:space="preserve"> 45 </w:t>
            </w:r>
            <w:r>
              <w:rPr>
                <w:rFonts w:hint="eastAsia" w:ascii="宋体" w:hAnsi="宋体" w:eastAsia="宋体" w:cs="宋体"/>
                <w:b/>
                <w:bCs w:val="0"/>
                <w:color w:val="auto"/>
                <w:kern w:val="2"/>
                <w:sz w:val="24"/>
                <w:szCs w:val="24"/>
                <w:highlight w:val="none"/>
                <w:lang w:val="en-US" w:eastAsia="zh-CN" w:bidi="ar"/>
              </w:rPr>
              <w:t>个日历日内向中标供应商一次性支付至该批次货款的</w:t>
            </w:r>
            <w:r>
              <w:rPr>
                <w:rFonts w:hint="eastAsia" w:ascii="宋体" w:hAnsi="宋体" w:eastAsia="宋体" w:cs="Times New Roman"/>
                <w:b/>
                <w:bCs w:val="0"/>
                <w:color w:val="auto"/>
                <w:kern w:val="2"/>
                <w:sz w:val="24"/>
                <w:szCs w:val="24"/>
                <w:highlight w:val="none"/>
                <w:lang w:val="en-US" w:eastAsia="zh-CN" w:bidi="ar"/>
              </w:rPr>
              <w:t xml:space="preserve"> 100 %。</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中标供应商要求付款应提交下列单证和文件：</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a.金额为100%的该批次货款的一般纳税人增值税专用发票；</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b.中标供应商已缴纳该批货物的中标/成交服务费和二次配送费用、仓储操作费的证明材料；</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c.采购单位已收讫的该批次货物的《签收单》。</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货物直送最终用户的，该批次货物经安装调试完毕并经最终验收合格后，采购单位凭如下单证和文件在45个日历日内向中标供应商一次性付清该批次货款的全款。</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a.金额为100%的该批次货款的一般纳税人增值税专用发票；</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b.中标供应商已缴纳该批货物的成交服务费的证明材料；</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c.该批次货物的《验收报告》(经最终用户签署)。</w:t>
            </w:r>
          </w:p>
          <w:p>
            <w:pPr>
              <w:keepNext w:val="0"/>
              <w:keepLines w:val="0"/>
              <w:widowControl w:val="0"/>
              <w:suppressLineNumbers w:val="0"/>
              <w:spacing w:before="0" w:beforeAutospacing="0" w:after="0" w:afterAutospacing="0" w:line="240" w:lineRule="auto"/>
              <w:ind w:left="0" w:right="0" w:rightChars="0" w:firstLine="0" w:firstLineChars="0"/>
              <w:jc w:val="both"/>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b/>
                <w:bCs w:val="0"/>
                <w:color w:val="auto"/>
                <w:kern w:val="2"/>
                <w:sz w:val="24"/>
                <w:szCs w:val="24"/>
                <w:highlight w:val="none"/>
                <w:lang w:val="en-US" w:eastAsia="zh-CN" w:bidi="ar"/>
              </w:rPr>
              <w:t>备注：中标供应商可提出比以上内容更有利于采购单位的付款方式。</w:t>
            </w:r>
          </w:p>
        </w:tc>
      </w:tr>
    </w:tbl>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备注：由于编排顺序混乱而导致投标文件被误读或漏读，该投标人的投标可能被视为无效投标或承担不利的评标结果。</w:t>
      </w: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color w:val="auto"/>
          <w:sz w:val="32"/>
          <w:szCs w:val="32"/>
          <w:highlight w:val="none"/>
        </w:rPr>
      </w:pPr>
    </w:p>
    <w:p>
      <w:pPr>
        <w:spacing w:line="360" w:lineRule="auto"/>
        <w:jc w:val="both"/>
        <w:rPr>
          <w:rFonts w:hint="eastAsia" w:ascii="宋体" w:hAnsi="宋体" w:eastAsia="宋体" w:cs="宋体"/>
          <w:color w:val="auto"/>
          <w:sz w:val="32"/>
          <w:szCs w:val="32"/>
          <w:highlight w:val="none"/>
        </w:rPr>
      </w:pPr>
    </w:p>
    <w:p>
      <w:pPr>
        <w:spacing w:line="360" w:lineRule="auto"/>
        <w:jc w:val="center"/>
        <w:rPr>
          <w:rFonts w:hint="eastAsia" w:ascii="宋体" w:hAnsi="宋体" w:eastAsia="宋体" w:cs="宋体"/>
          <w:b/>
          <w:color w:val="auto"/>
          <w:sz w:val="32"/>
          <w:szCs w:val="32"/>
          <w:highlight w:val="none"/>
          <w:u w:val="single"/>
        </w:rPr>
      </w:pPr>
      <w:r>
        <w:rPr>
          <w:rFonts w:hint="eastAsia" w:ascii="宋体" w:hAnsi="宋体" w:eastAsia="宋体" w:cs="宋体"/>
          <w:color w:val="auto"/>
          <w:sz w:val="32"/>
          <w:szCs w:val="32"/>
          <w:highlight w:val="none"/>
        </w:rPr>
        <w:t>投标人须知前附表3：评标方法、评标标准、定标原则</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numPr>
                <w:ilvl w:val="0"/>
                <w:numId w:val="1"/>
              </w:numPr>
              <w:suppressLineNumbers w:val="0"/>
              <w:snapToGrid w:val="0"/>
              <w:spacing w:before="0" w:beforeAutospacing="0" w:after="0" w:afterAutospacing="0" w:line="360" w:lineRule="auto"/>
              <w:ind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p>
            <w:pPr>
              <w:pStyle w:val="2"/>
              <w:keepNext w:val="0"/>
              <w:keepLines w:val="0"/>
              <w:suppressLineNumbers w:val="0"/>
              <w:snapToGrid w:val="0"/>
              <w:spacing w:before="0" w:beforeAutospacing="0" w:after="0" w:afterAutospacing="0" w:line="360" w:lineRule="auto"/>
              <w:ind w:left="480" w:right="0" w:firstLine="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 xml:space="preserve">综合评分法  □ 最低评标价法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二、评标标准：</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（一）具体的评标标准、权重。</w:t>
            </w:r>
          </w:p>
          <w:p>
            <w:pPr>
              <w:pStyle w:val="2"/>
              <w:keepNext w:val="0"/>
              <w:keepLines w:val="0"/>
              <w:suppressLineNumbers w:val="0"/>
              <w:snapToGrid w:val="0"/>
              <w:spacing w:before="0" w:beforeAutospacing="0" w:after="0" w:afterAutospacing="0" w:line="360" w:lineRule="auto"/>
              <w:ind w:left="0" w:right="0"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（二）推荐中标候选供应商名单。</w:t>
            </w:r>
          </w:p>
          <w:p>
            <w:pPr>
              <w:pStyle w:val="2"/>
              <w:keepNext w:val="0"/>
              <w:keepLines w:val="0"/>
              <w:suppressLineNumbers w:val="0"/>
              <w:snapToGrid w:val="0"/>
              <w:spacing w:before="0" w:beforeAutospacing="0" w:after="0" w:afterAutospacing="0" w:line="360" w:lineRule="auto"/>
              <w:ind w:left="0" w:right="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1、中标候选供应商数量：</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个。</w:t>
            </w:r>
          </w:p>
          <w:p>
            <w:pPr>
              <w:pStyle w:val="2"/>
              <w:keepNext w:val="0"/>
              <w:keepLines w:val="0"/>
              <w:suppressLineNumbers w:val="0"/>
              <w:snapToGrid w:val="0"/>
              <w:spacing w:before="0" w:beforeAutospacing="0" w:after="0" w:afterAutospacing="0" w:line="360" w:lineRule="auto"/>
              <w:ind w:left="0" w:right="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2、中标候选供应商排列顺序。经投标文件初审、澄清有关问题、比较与评价评标程序后，按以下办法推荐中标候选供应商名单的排列顺序（请按采购项目的评标方法从以下两项中选择一项打“√”）：</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□采用最低评标价法的，按投标报价由低到高顺序排列。投标报价相同的，按技术指标优劣顺序排列。</w:t>
            </w:r>
          </w:p>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采用综合评分法的，按评审后得分由高到低顺序排列。得分相同的，按投标报价由低到高顺序排列。得分且投标报价相同的，按技术指标优劣顺序排列。</w:t>
            </w:r>
          </w:p>
          <w:p>
            <w:pPr>
              <w:pStyle w:val="2"/>
              <w:keepNext w:val="0"/>
              <w:keepLines w:val="0"/>
              <w:suppressLineNumbers w:val="0"/>
              <w:snapToGrid w:val="0"/>
              <w:spacing w:before="0" w:beforeAutospacing="0" w:after="0" w:afterAutospacing="0" w:line="360" w:lineRule="auto"/>
              <w:ind w:left="0" w:right="0"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3、综合评分法特别无效投标认定</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对技术部分评分，无论是采用负偏离扣分、或不满足不得分、或按指标优劣程度评分的评分标准，投标人技术部分的实际得分少于招标文件设定的技术部分总分50%的认定为无效投标。</w:t>
            </w:r>
          </w:p>
          <w:p>
            <w:pPr>
              <w:pStyle w:val="6"/>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4、关于同一品牌产品投标的相关规定</w:t>
            </w:r>
          </w:p>
          <w:p>
            <w:pPr>
              <w:pStyle w:val="6"/>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如果有多家投标人以同一品牌的产品参加投标，只能视为一家。</w:t>
            </w:r>
          </w:p>
          <w:p>
            <w:pPr>
              <w:keepNext w:val="0"/>
              <w:keepLines w:val="0"/>
              <w:suppressLineNumbers w:val="0"/>
              <w:spacing w:before="0" w:beforeAutospacing="0" w:after="0" w:afterAutospacing="0" w:line="360" w:lineRule="auto"/>
              <w:ind w:left="0" w:right="0"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"http://lilun.caigou2003.com/recijiedu/2365668.html" \t "_blank"</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的采购项目，提供相同品牌产品的不同投标人参加同一合同项下投标的，以其中通过资格审查、符合性审查且报价最低的参加评标；报价相同的，由</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"http://lilun.caigou2003.com/recijiedu/2539165.html" \t "_blank"</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按照招标文件规定的方式确定一个参加评标的投标人，招标文件未规定的采取随机抽取方式确定，其他投标无效。</w:t>
            </w:r>
          </w:p>
          <w:p>
            <w:pPr>
              <w:keepNext w:val="0"/>
              <w:keepLines w:val="0"/>
              <w:suppressLineNumbers w:val="0"/>
              <w:spacing w:before="0" w:beforeAutospacing="0" w:after="0" w:afterAutospacing="0" w:line="360" w:lineRule="auto"/>
              <w:ind w:left="0" w:right="0" w:firstLine="3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"http://lilun.caigou2003.com/recijiedu/2365667.html" \t "_blank"</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的采购项目，提供相同品牌产品且通过资格审查、符合性审查的不同投标人参加同一合同项下投标的，按一家投标人计算，评审后得分最高的同品牌投标人获得中标供应商推荐资格；评审得分相同的，由</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委托评标委员会按照招标文件规定的方式确定一个投标人获得中标供应商推荐资格，招标文件未规定的采取随机抽取方式确定，其他同品牌投标人不作为中标候选人。</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非单一产品采购项目，</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应当根据采购项目技术构成、产品价格比重等合理确定核心产品，并在招标文件中载明。多家投标人提供的核心产品品牌相同的，按前两款规定处理。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suppressLineNumbers w:val="0"/>
              <w:snapToGrid w:val="0"/>
              <w:spacing w:before="0" w:beforeAutospacing="0" w:after="0" w:afterAutospacing="0" w:line="360" w:lineRule="auto"/>
              <w:ind w:left="0" w:righ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三、定标原则（确定中标供应商数量：</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委托招标代理机构招标，在收到评标报告后五个工作日内，按照评标报告中推荐的中标候选供应商顺序确定中标供应商。</w:t>
            </w:r>
          </w:p>
          <w:p>
            <w:pPr>
              <w:pStyle w:val="2"/>
              <w:keepNext w:val="0"/>
              <w:keepLines w:val="0"/>
              <w:suppressLineNumbers w:val="0"/>
              <w:snapToGrid w:val="0"/>
              <w:spacing w:before="0" w:beforeAutospacing="0" w:after="0" w:afterAutospacing="0" w:line="360" w:lineRule="auto"/>
              <w:ind w:left="0" w:right="0"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委托招标代理机构招标，授权评标委员会直接确定中标供应商。</w:t>
            </w:r>
          </w:p>
          <w:p>
            <w:pPr>
              <w:pStyle w:val="2"/>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采购单位</w:t>
            </w:r>
            <w:r>
              <w:rPr>
                <w:rFonts w:hint="eastAsia" w:ascii="宋体" w:hAnsi="宋体" w:eastAsia="宋体" w:cs="宋体"/>
                <w:color w:val="auto"/>
                <w:sz w:val="24"/>
                <w:szCs w:val="24"/>
                <w:highlight w:val="none"/>
              </w:rPr>
              <w:t>自行组织招标，在评标结束后五个工作日内确定中标供应商。</w:t>
            </w:r>
          </w:p>
        </w:tc>
      </w:tr>
    </w:tbl>
    <w:p>
      <w:pPr>
        <w:pStyle w:val="2"/>
        <w:snapToGrid w:val="0"/>
        <w:spacing w:line="360" w:lineRule="auto"/>
        <w:ind w:firstLine="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注：以联合体形式投标的，只能以联合体其中一方具备的条件作为评标依据。投标人应在投标文件中明确以联合体的确定一方的条件参与商务评分，投标人未明确的，则该投标人的该项商务评分按最低分处理。</w:t>
      </w:r>
    </w:p>
    <w:p>
      <w:pPr>
        <w:tabs>
          <w:tab w:val="left" w:pos="-1080"/>
          <w:tab w:val="left" w:pos="180"/>
          <w:tab w:val="left" w:pos="1080"/>
        </w:tabs>
        <w:spacing w:line="360" w:lineRule="auto"/>
        <w:rPr>
          <w:rFonts w:hint="eastAsia" w:ascii="宋体" w:hAnsi="宋体" w:eastAsia="宋体" w:cs="宋体"/>
          <w:b/>
          <w:color w:val="auto"/>
          <w:sz w:val="24"/>
          <w:szCs w:val="24"/>
          <w:highlight w:val="none"/>
        </w:rPr>
      </w:pPr>
    </w:p>
    <w:p>
      <w:pPr>
        <w:tabs>
          <w:tab w:val="left" w:pos="-1080"/>
          <w:tab w:val="left" w:pos="180"/>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附件：评标标准、权重</w:t>
      </w:r>
    </w:p>
    <w:p>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（一）技术评分(F1)：按</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分评分法，技术评分考虑下列因素：</w:t>
      </w:r>
    </w:p>
    <w:tbl>
      <w:tblPr>
        <w:tblStyle w:val="14"/>
        <w:tblW w:w="0" w:type="auto"/>
        <w:tblInd w:w="0" w:type="dxa"/>
        <w:tblLayout w:type="fixed"/>
        <w:tblCellMar>
          <w:top w:w="0" w:type="dxa"/>
          <w:left w:w="108" w:type="dxa"/>
          <w:bottom w:w="0" w:type="dxa"/>
          <w:right w:w="108" w:type="dxa"/>
        </w:tblCellMar>
      </w:tblPr>
      <w:tblGrid>
        <w:gridCol w:w="883"/>
        <w:gridCol w:w="6838"/>
        <w:gridCol w:w="898"/>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细则内容</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根据投标设备中品目号1-1的打印速度（A4幅面）进行评价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打印速度＞28页/分钟得3分，打印速度≤28页/分钟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根据投标设备中品目号1-2的打印速度（A4幅面）进行评价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打印速度＞30页/分钟得3分，打印速度≤30页/分钟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根据投标设备中品目号1-1的典型能耗（kW•h）进行评价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典型能耗（kW•h）≤1.2得3分，1.2＜典型能耗（kW•h）≤1.5得1.5分，典型能耗（kW•h）&gt;1.5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根据投标设备中品目号1-2的典型能耗（kW•h）进行评价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典型能耗（kW•h）≤1.2得3分，1.2＜典型能耗（kW•h）≤1.5得1.5分，典型能耗（kW•h）&gt;1.5得0分。（投标人需提供加盖投标人公章（若投标人为联合体投标的，联合体中的其中一方盖章即可）的体现该投标型号及对应的“典型能耗（kW•h)”的能效标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根据投标设备中品目号1-1的自动输稿器容量进行评价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自动输稿器容量≥35页得3分，输入纸盒容量＜35页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根据投标设备中品目号1-2的自动输稿器容量进行评价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自动输稿器容量≥35页得3分，输入纸盒容量＜35页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根据投标设备中品目号1-1的首页打印时间进行评价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首页打印时间≤8.5秒得3分，首页打印时间&gt;8.5秒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根据投标设备中品目号1-2的首页打印时间进行评价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首页打印时间≤8.5秒得3分，首页打印时间&gt;8.5秒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根据投标设备中品目号1-1的输入纸盒容量进行评价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输入纸盒容量≥150页得3分，输入纸盒容量＜150页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根据投标设备中品目号1-2的输入纸盒容量进行评价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输入纸盒容量≥150页得3分，输入纸盒容量＜150页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根据投标设备中品目号1-1的纸张输出容量进行评价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纸张输出容量≥100页得3分，纸张输出容量＜100页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根据投标设备中品目号1-2的纸张输出容量进行评价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纸张输出容量≥100页得3分，纸张输出容量＜100页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根据投标设备中品目号1-1一键身份证复印功能进行评价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具有一键身份证复印功能得3分，否则不得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根据投标设备中品目号1-2一键身份证复印功能进行评价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具有一键身份证复印功能得3分，否则不得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 N合1复印功能进行评价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具有N合1复印功能得3分，否则不得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 N合1复印功能进行评价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具有N合1复印功能得3分，否则不得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根据投标设备中品目号1-2的传真电话听筒进行评价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标配具有传真电话听筒（不接受外置电话机）得2分，否则不得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2</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根据投标设备中品目号1-1的内存进行评价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内存≥32MB得2.5分，内存＜32MB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2.5</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8"/>
                <w:szCs w:val="28"/>
                <w:highlight w:val="none"/>
              </w:rPr>
            </w:pPr>
            <w:r>
              <w:rPr>
                <w:rFonts w:hint="eastAsia" w:ascii="宋体" w:hAnsi="宋体" w:eastAsia="宋体" w:cs="宋体"/>
                <w:i w:val="0"/>
                <w:iCs w:val="0"/>
                <w:color w:val="auto"/>
                <w:kern w:val="0"/>
                <w:sz w:val="21"/>
                <w:szCs w:val="21"/>
                <w:highlight w:val="none"/>
                <w:u w:val="none"/>
                <w:lang w:val="en-US" w:eastAsia="zh-CN" w:bidi="ar"/>
              </w:rPr>
              <w:t>根据投标设备中品目号1-2的内存进行评价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内存≥64MB得2.5分，内存＜64MB得0分。（投标人需提供加盖投标人公章（若投标人为联合体投标的，联合体中的其中一方盖章即可）的产品彩页及所投标品牌的国内或国外官方网站体现该投标型号对应的规格参数的网页截图。投标人应保证彩页所注明的相关规格参数与投标人投标品牌制造商国内或国外官方网站的相关信息一致。）</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 w:val="left" w:pos="237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2.5</w:t>
            </w:r>
          </w:p>
        </w:tc>
      </w:tr>
    </w:tbl>
    <w:p>
      <w:pPr>
        <w:tabs>
          <w:tab w:val="left" w:pos="-1080"/>
          <w:tab w:val="left" w:pos="180"/>
          <w:tab w:val="left" w:pos="1080"/>
        </w:tabs>
        <w:spacing w:line="360" w:lineRule="auto"/>
        <w:rPr>
          <w:rFonts w:hint="eastAsia" w:ascii="宋体" w:hAnsi="宋体" w:eastAsia="宋体" w:cs="宋体"/>
          <w:color w:val="auto"/>
          <w:sz w:val="24"/>
          <w:szCs w:val="24"/>
          <w:highlight w:val="none"/>
        </w:rPr>
      </w:pPr>
    </w:p>
    <w:p>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（二）商务评分(F2)：按</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分评分法，商务评分考虑下列因素：</w:t>
      </w:r>
    </w:p>
    <w:tbl>
      <w:tblPr>
        <w:tblStyle w:val="14"/>
        <w:tblW w:w="0" w:type="auto"/>
        <w:tblInd w:w="0" w:type="dxa"/>
        <w:tblLayout w:type="fixed"/>
        <w:tblCellMar>
          <w:top w:w="0" w:type="dxa"/>
          <w:left w:w="108" w:type="dxa"/>
          <w:bottom w:w="0" w:type="dxa"/>
          <w:right w:w="108" w:type="dxa"/>
        </w:tblCellMar>
      </w:tblPr>
      <w:tblGrid>
        <w:gridCol w:w="883"/>
        <w:gridCol w:w="6838"/>
        <w:gridCol w:w="898"/>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细则内容</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是否为投标产品的制造商、制造商的关联企业、联合体或代理商进行评分。投标人为投标产品（品目号1-1至1-2全部产品）的制造商或制造商的关联企业的得3分，联合体投标得2分，其余情况得0分。备注：联合体投标的，联合体一方必须是投标产品（品目号1-1至1-2全部产品）的制造商或制造商的关联企业，凡属制造商的关联企业，其关联关系应符合《企业会计准则第36号—关联方披露（2006）》（财会[2006]3号）中“关联方关系”的要求，投标人应在投标文件中按后附格式提供《关联企业证明》。</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投标人提供自2023年1月1日至开标当天获得同类项目采购人盖章的服务满意度调查资料（以满意度调查资料盖章落款时间为准），且满意度调查结果为满意的，每提供1份得1分，最高得3分，须提供客户满意度调查复印件，否则不得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根据投标人对设备故障修复响应速度并能够有效解决采购人使用需求的进行评分：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能够在15分钟（含）内响应、1小时（含）内到达现场、8小时（含）内修复，未能在8小时（含）修复的，予以更换或提供代用设备的得3分；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能够在15分钟-30分钟（含）内响应、1小时-2小时（含）内到达现场、8小时-10小时（含）内修复，未能在10小时（含）修复的，予以更换或提供代用设备的得2分；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能够在30分钟-1小时（含）内响应、2小时-3小时（含）内到达现场、10小时-12小时（含）内修复，未能在12小时（含）修复的，予以更换或提供代用设备的得1分；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投标人需提供书面承诺函并加盖投标人公章，否则得0分。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根据投标人对最终用户投诉处理时效进行评分：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能够在15分钟（含）内响应、1小时（含）内开始处理、2个工作日（含）内处理完的得3分；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能够在15分钟-30分钟（含）内响应、1小时-2小时（含）内开始处理、2个工作日-3个工作日（含）内处理完的得2分；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能够在30分钟-1小时（含）内响应、2小时-3小时（含）内开始处理、3个工作日-4个工作日（含）内处理完的得1分；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投标人需提供书面承诺函并加盖投标人公章，否则得0分。若投标人为联合体投标的，联合体中的其中一方盖章即可。</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1080"/>
                <w:tab w:val="left" w:pos="180"/>
                <w:tab w:val="left" w:pos="1080"/>
              </w:tabs>
              <w:spacing w:before="0" w:beforeAutospacing="0" w:after="0" w:afterAutospacing="0" w:line="360" w:lineRule="auto"/>
              <w:ind w:left="0" w:right="0"/>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68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default" w:ascii="宋体" w:hAnsi="宋体" w:eastAsia="宋体" w:cs="宋体"/>
                <w:bCs/>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根据投标人对投标的品目号1-1至1-2的保修期进行评价</w:t>
            </w:r>
            <w:r>
              <w:rPr>
                <w:rFonts w:hint="default" w:ascii="宋体" w:hAnsi="宋体" w:cs="宋体"/>
                <w:i w:val="0"/>
                <w:iCs w:val="0"/>
                <w:color w:val="auto"/>
                <w:kern w:val="0"/>
                <w:sz w:val="21"/>
                <w:szCs w:val="21"/>
                <w:highlight w:val="none"/>
                <w:u w:val="none"/>
                <w:lang w:eastAsia="zh-CN" w:bidi="ar"/>
              </w:rPr>
              <w:t>。</w:t>
            </w:r>
            <w:r>
              <w:rPr>
                <w:rFonts w:hint="eastAsia" w:ascii="宋体" w:hAnsi="宋体" w:eastAsia="宋体" w:cs="宋体"/>
                <w:i w:val="0"/>
                <w:iCs w:val="0"/>
                <w:color w:val="auto"/>
                <w:kern w:val="0"/>
                <w:sz w:val="21"/>
                <w:szCs w:val="21"/>
                <w:highlight w:val="none"/>
                <w:u w:val="none"/>
                <w:lang w:val="en-US" w:eastAsia="zh-CN" w:bidi="ar"/>
              </w:rPr>
              <w:t>满足招标文件要求（一年）的基础上，每个品目号增加两年保修加1.5分，满分3分，投标人需提供书面承诺函并加盖投标人公章，否则不得分。</w:t>
            </w:r>
          </w:p>
        </w:tc>
        <w:tc>
          <w:tcPr>
            <w:tcW w:w="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720"/>
              </w:tabs>
              <w:spacing w:before="0" w:beforeAutospacing="0" w:after="0" w:afterAutospacing="0" w:line="360" w:lineRule="auto"/>
              <w:ind w:left="0" w:right="18"/>
              <w:jc w:val="center"/>
              <w:rPr>
                <w:rFonts w:hint="default" w:ascii="宋体" w:hAnsi="宋体" w:eastAsia="宋体" w:cs="宋体"/>
                <w:bCs/>
                <w:color w:val="auto"/>
                <w:sz w:val="24"/>
                <w:szCs w:val="24"/>
                <w:highlight w:val="none"/>
              </w:rPr>
            </w:pPr>
            <w:r>
              <w:rPr>
                <w:rFonts w:hint="default" w:ascii="宋体" w:hAnsi="宋体" w:cs="宋体"/>
                <w:bCs/>
                <w:color w:val="auto"/>
                <w:sz w:val="24"/>
                <w:szCs w:val="24"/>
                <w:highlight w:val="none"/>
              </w:rPr>
              <w:t>3</w:t>
            </w:r>
          </w:p>
        </w:tc>
      </w:tr>
    </w:tbl>
    <w:p>
      <w:pPr>
        <w:tabs>
          <w:tab w:val="left" w:pos="-1080"/>
          <w:tab w:val="left" w:pos="180"/>
          <w:tab w:val="left" w:pos="108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（三）价格评分(F3)：按</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分评分法，评标委员会对各有效标投标报价进行审核确定评标价，并将最低有效标的评标价设为基准价，定其价格得分为</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分。按公式：价格得分＝</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sym w:font="Symbol" w:char="00B4"/>
      </w:r>
      <w:r>
        <w:rPr>
          <w:rFonts w:hint="eastAsia" w:ascii="宋体" w:hAnsi="宋体" w:eastAsia="宋体" w:cs="宋体"/>
          <w:color w:val="auto"/>
          <w:sz w:val="24"/>
          <w:szCs w:val="24"/>
          <w:highlight w:val="none"/>
        </w:rPr>
        <w:t xml:space="preserve"> （基准价/各个通过审核的有效投标人的评标价）计算，由</w:t>
      </w:r>
      <w:r>
        <w:rPr>
          <w:rFonts w:hint="eastAsia" w:ascii="宋体" w:hAnsi="宋体" w:eastAsia="宋体" w:cs="宋体"/>
          <w:color w:val="auto"/>
          <w:sz w:val="24"/>
          <w:szCs w:val="24"/>
          <w:highlight w:val="none"/>
        </w:rPr>
        <w:t>此算出各个通过审核的有效投标人的价格得分。</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“小型和微型企业产品”的评分政策：投标人提供的货物既有中型企业制造，也有小微企业制造的，不享受办法规定的小微企业扶持政策。</w:t>
      </w:r>
    </w:p>
    <w:p>
      <w:pPr>
        <w:pStyle w:val="5"/>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对其提供的小型或微型企业产品的投标报价给予</w:t>
      </w:r>
      <w:r>
        <w:rPr>
          <w:rFonts w:hint="default" w:hAnsi="宋体" w:cs="宋体"/>
          <w:color w:val="auto"/>
          <w:sz w:val="24"/>
          <w:szCs w:val="24"/>
          <w:highlight w:val="none"/>
        </w:rPr>
        <w:t>15</w:t>
      </w:r>
      <w:r>
        <w:rPr>
          <w:rFonts w:hint="eastAsia" w:hAnsi="宋体" w:eastAsia="宋体" w:cs="宋体"/>
          <w:color w:val="auto"/>
          <w:sz w:val="24"/>
          <w:szCs w:val="24"/>
          <w:highlight w:val="none"/>
        </w:rPr>
        <w:t>%的扣除</w:t>
      </w:r>
      <w:r>
        <w:rPr>
          <w:rFonts w:hint="eastAsia" w:hAnsi="宋体" w:eastAsia="宋体" w:cs="宋体"/>
          <w:color w:val="auto"/>
          <w:sz w:val="24"/>
          <w:szCs w:val="24"/>
          <w:highlight w:val="none"/>
        </w:rPr>
        <w:t>，扣除后的价格作为该投标人的评标价参与价格评分。</w:t>
      </w:r>
    </w:p>
    <w:p>
      <w:pPr>
        <w:pStyle w:val="5"/>
        <w:spacing w:line="360" w:lineRule="auto"/>
        <w:ind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hAnsi="宋体" w:cs="宋体"/>
          <w:color w:val="auto"/>
          <w:sz w:val="24"/>
          <w:szCs w:val="24"/>
          <w:highlight w:val="none"/>
          <w:lang w:eastAsia="zh-CN"/>
        </w:rPr>
        <w:t>采购单位</w:t>
      </w:r>
      <w:r>
        <w:rPr>
          <w:rFonts w:hint="eastAsia" w:hAnsi="宋体" w:eastAsia="宋体" w:cs="宋体"/>
          <w:color w:val="auto"/>
          <w:sz w:val="24"/>
          <w:szCs w:val="24"/>
          <w:highlight w:val="none"/>
        </w:rPr>
        <w:t>、采购代理机构应当对联合体或者大中型企业的报价给予</w:t>
      </w:r>
      <w:r>
        <w:rPr>
          <w:rFonts w:hint="eastAsia" w:hAnsi="宋体" w:eastAsia="宋体" w:cs="宋体"/>
          <w:color w:val="auto"/>
          <w:sz w:val="24"/>
          <w:szCs w:val="24"/>
          <w:highlight w:val="none"/>
        </w:rPr>
        <w:t>6%的扣除</w:t>
      </w:r>
      <w:r>
        <w:rPr>
          <w:rFonts w:hint="eastAsia" w:hAnsi="宋体" w:eastAsia="宋体" w:cs="宋体"/>
          <w:color w:val="auto"/>
          <w:sz w:val="24"/>
          <w:szCs w:val="24"/>
          <w:highlight w:val="none"/>
        </w:rPr>
        <w:t>，用扣除后的价格参加评审。</w:t>
      </w:r>
    </w:p>
    <w:p>
      <w:pPr>
        <w:pStyle w:val="13"/>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eastAsia="zh-CN"/>
        </w:rPr>
        <w:t>节能、环境标志产品价格扣除：</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w:t>
      </w:r>
      <w:r>
        <w:rPr>
          <w:rFonts w:hint="eastAsia" w:ascii="宋体" w:hAnsi="宋体" w:eastAsia="宋体" w:cs="宋体"/>
          <w:color w:val="auto"/>
          <w:sz w:val="24"/>
          <w:szCs w:val="24"/>
          <w:highlight w:val="none"/>
          <w:lang w:val="en-US" w:eastAsia="zh-CN"/>
        </w:rPr>
        <w:t>10%的扣除</w:t>
      </w:r>
      <w:r>
        <w:rPr>
          <w:rFonts w:hint="eastAsia" w:ascii="宋体" w:hAnsi="宋体" w:eastAsia="宋体" w:cs="宋体"/>
          <w:color w:val="auto"/>
          <w:sz w:val="24"/>
          <w:szCs w:val="24"/>
          <w:highlight w:val="none"/>
          <w:lang w:val="en-US" w:eastAsia="zh-CN"/>
        </w:rPr>
        <w:t>，用扣除后的价格参加评审。采购标的同时包含其它非优先采购产品的，投标人须对优先采购产品和非优先采购产品进行分项报价，非优先采购产品的报价不得享受给予节能产品、环境标志产品的价格扣除优惠。</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投标人应分别明确节能或环境标志产品的名称、数量、分项报价、总报价，并提供认证证书复印件，否则不予</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r>
        <w:rPr>
          <w:rFonts w:hint="eastAsia" w:ascii="宋体" w:hAnsi="宋体" w:eastAsia="宋体" w:cs="宋体"/>
          <w:color w:val="auto"/>
          <w:sz w:val="24"/>
          <w:szCs w:val="24"/>
          <w:highlight w:val="none"/>
        </w:rPr>
        <w:t>此外，若投标人对节能或环境标志产品的报价明显高于其他同类产品的报价，投标人应按评标委员会要求作出说明并提供相关证明材料，不能合理说明或不能提供相关证明材料的，不予</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w:t>
      </w:r>
    </w:p>
    <w:p>
      <w:pPr>
        <w:widowControl/>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若节能、环境标志产品仅是构成投标产品的部件、组件或零件，则该投标产品不享受鼓励优惠政策。属于政府强制采购的节能产品不享受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若投标产品既属于节能产品又属于环境标志产品，分别计算价格扣除优惠。</w:t>
      </w:r>
    </w:p>
    <w:p>
      <w:p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）综合得分= F1+ F2 + F3 。</w:t>
      </w:r>
    </w:p>
    <w:p>
      <w:pPr>
        <w:pStyle w:val="5"/>
        <w:spacing w:line="360" w:lineRule="auto"/>
        <w:ind w:firstLine="840"/>
        <w:rPr>
          <w:rFonts w:hint="eastAsia" w:hAnsi="宋体" w:eastAsia="宋体" w:cs="宋体"/>
          <w:bCs/>
          <w:color w:val="auto"/>
          <w:sz w:val="24"/>
          <w:szCs w:val="24"/>
          <w:highlight w:val="none"/>
        </w:rPr>
      </w:pPr>
      <w:r>
        <w:rPr>
          <w:rFonts w:hint="eastAsia" w:hAnsi="宋体" w:eastAsia="宋体" w:cs="宋体"/>
          <w:bCs/>
          <w:color w:val="auto"/>
          <w:sz w:val="24"/>
          <w:szCs w:val="24"/>
          <w:highlight w:val="none"/>
        </w:rPr>
        <w:t>备注：1、技术商务评分中涉及排名情况的评分由评标委员会根据各投标人投标文件的响应情况进行综合评议得出排名。</w:t>
      </w:r>
    </w:p>
    <w:p>
      <w:pPr>
        <w:pStyle w:val="5"/>
        <w:numPr>
          <w:ilvl w:val="0"/>
          <w:numId w:val="2"/>
        </w:numPr>
        <w:spacing w:line="360" w:lineRule="auto"/>
        <w:ind w:firstLine="720" w:firstLineChars="300"/>
        <w:rPr>
          <w:rFonts w:hint="eastAsia" w:hAnsi="宋体" w:eastAsia="宋体" w:cs="宋体"/>
          <w:color w:val="auto"/>
          <w:sz w:val="24"/>
          <w:szCs w:val="24"/>
          <w:highlight w:val="none"/>
        </w:rPr>
      </w:pPr>
      <w:r>
        <w:rPr>
          <w:rFonts w:hint="eastAsia" w:hAnsi="宋体" w:eastAsia="宋体" w:cs="宋体"/>
          <w:color w:val="auto"/>
          <w:sz w:val="24"/>
          <w:szCs w:val="24"/>
          <w:highlight w:val="none"/>
        </w:rPr>
        <w:t>业绩作为评分条件的，投标人须提供该业绩项目的中标（成交）公告（提供相关网站中标（成交）公告的下载网页的复印件及其网址）、中标（成交）通知书复印件、采购合同文本复印件，以及能够证明该业绩项目已经</w:t>
      </w:r>
      <w:r>
        <w:rPr>
          <w:rFonts w:hint="eastAsia" w:hAnsi="宋体" w:cs="宋体"/>
          <w:color w:val="auto"/>
          <w:sz w:val="24"/>
          <w:szCs w:val="24"/>
          <w:highlight w:val="none"/>
          <w:lang w:eastAsia="zh-CN"/>
        </w:rPr>
        <w:t>采购单位</w:t>
      </w:r>
      <w:r>
        <w:rPr>
          <w:rFonts w:hint="eastAsia" w:hAnsi="宋体" w:eastAsia="宋体" w:cs="宋体"/>
          <w:color w:val="auto"/>
          <w:sz w:val="24"/>
          <w:szCs w:val="24"/>
          <w:highlight w:val="none"/>
        </w:rPr>
        <w:t>验收合格的相关证明文件复印件，原件备查；如未按招标文件要求提供该项业绩完整资料的，评标委员会对该项业绩将不予采信。</w:t>
      </w:r>
    </w:p>
    <w:p>
      <w:pPr>
        <w:pStyle w:val="5"/>
        <w:numPr>
          <w:ilvl w:val="0"/>
          <w:numId w:val="0"/>
        </w:numPr>
        <w:spacing w:line="360" w:lineRule="auto"/>
        <w:ind w:firstLine="720" w:firstLineChars="300"/>
        <w:rPr>
          <w:rFonts w:hint="eastAsia" w:hAnsi="宋体" w:eastAsia="宋体" w:cs="宋体"/>
          <w:color w:val="auto"/>
          <w:sz w:val="24"/>
          <w:szCs w:val="24"/>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p>
    <w:p>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投标人须知前附表4：中小企业优惠办法</w:t>
      </w:r>
    </w:p>
    <w:tbl>
      <w:tblPr>
        <w:tblStyle w:val="1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7"/>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063"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6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063"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eq \o\ac(</w:instrText>
            </w:r>
            <w:r>
              <w:rPr>
                <w:rFonts w:hint="eastAsia" w:ascii="宋体" w:hAnsi="宋体" w:eastAsia="宋体" w:cs="宋体"/>
                <w:b/>
                <w:color w:val="auto"/>
                <w:position w:val="-4"/>
                <w:sz w:val="36"/>
                <w:szCs w:val="24"/>
                <w:highlight w:val="none"/>
              </w:rPr>
              <w:instrText xml:space="preserve">□</w:instrText>
            </w:r>
            <w:r>
              <w:rPr>
                <w:rFonts w:hint="eastAsia" w:ascii="宋体" w:hAnsi="宋体" w:eastAsia="宋体" w:cs="宋体"/>
                <w:b/>
                <w:color w:val="auto"/>
                <w:sz w:val="24"/>
                <w:szCs w:val="24"/>
                <w:highlight w:val="none"/>
              </w:rPr>
              <w:instrText xml:space="preserve">,√)</w:instrText>
            </w:r>
            <w:r>
              <w:rPr>
                <w:rFonts w:hint="eastAsia" w:ascii="宋体" w:hAnsi="宋体" w:eastAsia="宋体" w:cs="宋体"/>
                <w:b/>
                <w:color w:val="auto"/>
                <w:sz w:val="24"/>
                <w:szCs w:val="24"/>
                <w:highlight w:val="none"/>
              </w:rPr>
              <w:fldChar w:fldCharType="end"/>
            </w: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67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063" w:type="dxa"/>
            <w:noWrap w:val="0"/>
            <w:vAlign w:val="top"/>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900"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677"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063" w:type="dxa"/>
            <w:tcBorders>
              <w:bottom w:val="single" w:color="auto" w:sz="4" w:space="0"/>
            </w:tcBorders>
            <w:noWrap w:val="0"/>
            <w:vAlign w:val="top"/>
          </w:tcPr>
          <w:p>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投标人为中小企业（含中型、小型、微型企业，下同）：</w:t>
            </w:r>
          </w:p>
          <w:p>
            <w:pPr>
              <w:keepNext w:val="0"/>
              <w:keepLines w:val="0"/>
              <w:suppressLineNumbers w:val="0"/>
              <w:spacing w:before="0" w:beforeAutospacing="0" w:after="0" w:afterAutospacing="0" w:line="360" w:lineRule="auto"/>
              <w:ind w:left="411" w:right="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w:t>
            </w:r>
            <w:r>
              <w:rPr>
                <w:rFonts w:hint="eastAsia" w:ascii="宋体" w:hAnsi="宋体" w:eastAsia="宋体" w:cs="宋体"/>
                <w:color w:val="auto"/>
                <w:spacing w:val="-4"/>
                <w:sz w:val="24"/>
                <w:szCs w:val="24"/>
                <w:highlight w:val="none"/>
              </w:rPr>
              <w:t>投</w:t>
            </w:r>
            <w:r>
              <w:rPr>
                <w:rFonts w:hint="eastAsia" w:ascii="宋体" w:hAnsi="宋体" w:eastAsia="宋体" w:cs="宋体"/>
                <w:color w:val="auto"/>
                <w:spacing w:val="-4"/>
                <w:sz w:val="24"/>
                <w:szCs w:val="24"/>
                <w:highlight w:val="none"/>
              </w:rPr>
              <w:t>标保证金：按招标文件约定数额的50%交纳</w:t>
            </w:r>
          </w:p>
          <w:p>
            <w:pPr>
              <w:keepNext w:val="0"/>
              <w:keepLines w:val="0"/>
              <w:suppressLineNumbers w:val="0"/>
              <w:spacing w:before="0" w:beforeAutospacing="0" w:after="0" w:afterAutospacing="0" w:line="360" w:lineRule="auto"/>
              <w:ind w:left="-65" w:leftChars="-31" w:right="0" w:firstLine="475" w:firstLineChars="205"/>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pPr>
              <w:keepNext w:val="0"/>
              <w:keepLines w:val="0"/>
              <w:suppressLineNumbers w:val="0"/>
              <w:spacing w:before="0" w:beforeAutospacing="0" w:after="0" w:afterAutospacing="0" w:line="360" w:lineRule="auto"/>
              <w:ind w:left="-65" w:leftChars="-31" w:right="0" w:firstLine="475" w:firstLineChars="205"/>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Style w:val="17"/>
                <w:rFonts w:hint="eastAsia" w:ascii="宋体" w:hAnsi="宋体" w:eastAsia="宋体" w:cs="宋体"/>
                <w:b w:val="0"/>
                <w:color w:val="auto"/>
                <w:kern w:val="0"/>
                <w:sz w:val="24"/>
                <w:szCs w:val="24"/>
                <w:highlight w:val="none"/>
              </w:rPr>
              <w:t>代理服务费</w:t>
            </w:r>
            <w:r>
              <w:rPr>
                <w:rFonts w:hint="eastAsia" w:ascii="宋体" w:hAnsi="宋体" w:eastAsia="宋体" w:cs="宋体"/>
                <w:color w:val="auto"/>
                <w:spacing w:val="-4"/>
                <w:sz w:val="24"/>
                <w:szCs w:val="24"/>
                <w:highlight w:val="none"/>
              </w:rPr>
              <w:t>：按招标文件规定的收费标准下调</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0%</w:t>
            </w:r>
          </w:p>
          <w:p>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auto"/>
                <w:spacing w:val="-4"/>
                <w:sz w:val="24"/>
                <w:szCs w:val="24"/>
                <w:highlight w:val="none"/>
              </w:rPr>
            </w:pPr>
          </w:p>
          <w:p>
            <w:pPr>
              <w:keepNext w:val="0"/>
              <w:keepLines w:val="0"/>
              <w:suppressLineNumbers w:val="0"/>
              <w:spacing w:before="0" w:beforeAutospacing="0" w:after="0" w:afterAutospacing="0" w:line="360" w:lineRule="auto"/>
              <w:ind w:left="-65" w:leftChars="-31" w:right="0" w:firstLine="12" w:firstLineChars="5"/>
              <w:rPr>
                <w:rFonts w:hint="eastAsia" w:ascii="宋体" w:hAnsi="宋体" w:eastAsia="宋体" w:cs="宋体"/>
                <w:b/>
                <w:color w:val="auto"/>
                <w:spacing w:val="-4"/>
                <w:sz w:val="24"/>
                <w:szCs w:val="24"/>
                <w:highlight w:val="none"/>
              </w:rPr>
            </w:pPr>
            <w:r>
              <w:rPr>
                <w:rFonts w:hint="eastAsia" w:ascii="宋体" w:hAnsi="宋体" w:eastAsia="宋体" w:cs="宋体"/>
                <w:b/>
                <w:color w:val="auto"/>
                <w:spacing w:val="-4"/>
                <w:sz w:val="24"/>
                <w:szCs w:val="24"/>
                <w:highlight w:val="none"/>
              </w:rPr>
              <w:t>投标产品为</w:t>
            </w:r>
            <w:r>
              <w:rPr>
                <w:rFonts w:hint="eastAsia" w:ascii="宋体" w:hAnsi="宋体" w:eastAsia="宋体" w:cs="宋体"/>
                <w:b/>
                <w:color w:val="auto"/>
                <w:sz w:val="24"/>
                <w:szCs w:val="24"/>
                <w:highlight w:val="none"/>
              </w:rPr>
              <w:t>小型企业或微型企业生产</w:t>
            </w:r>
            <w:r>
              <w:rPr>
                <w:rFonts w:hint="eastAsia" w:ascii="宋体" w:hAnsi="宋体" w:eastAsia="宋体" w:cs="宋体"/>
                <w:b/>
                <w:color w:val="auto"/>
                <w:spacing w:val="-4"/>
                <w:sz w:val="24"/>
                <w:szCs w:val="24"/>
                <w:highlight w:val="none"/>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投标人提供的货物既有中型企业制造，也有小微企业制造的，不享受办法规定的小微企业扶持政策。</w:t>
            </w:r>
          </w:p>
          <w:p>
            <w:pPr>
              <w:pStyle w:val="5"/>
              <w:keepNext w:val="0"/>
              <w:keepLines w:val="0"/>
              <w:suppressLineNumbers w:val="0"/>
              <w:spacing w:before="0" w:beforeAutospacing="0" w:after="0" w:afterAutospacing="0" w:line="360" w:lineRule="auto"/>
              <w:ind w:left="0" w:right="0"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对其提供的小型或微型企业产品的投标报价给予</w:t>
            </w:r>
            <w:r>
              <w:rPr>
                <w:rFonts w:hint="default" w:hAnsi="宋体" w:cs="宋体"/>
                <w:color w:val="auto"/>
                <w:sz w:val="24"/>
                <w:szCs w:val="24"/>
                <w:highlight w:val="none"/>
              </w:rPr>
              <w:t>15</w:t>
            </w:r>
            <w:r>
              <w:rPr>
                <w:rFonts w:hint="eastAsia" w:hAnsi="宋体" w:eastAsia="宋体" w:cs="宋体"/>
                <w:color w:val="auto"/>
                <w:sz w:val="24"/>
                <w:szCs w:val="24"/>
                <w:highlight w:val="none"/>
              </w:rPr>
              <w:t>%的扣除</w:t>
            </w:r>
            <w:r>
              <w:rPr>
                <w:rFonts w:hint="eastAsia" w:hAnsi="宋体" w:eastAsia="宋体" w:cs="宋体"/>
                <w:color w:val="auto"/>
                <w:sz w:val="24"/>
                <w:szCs w:val="24"/>
                <w:highlight w:val="none"/>
              </w:rPr>
              <w:t>，扣除后的价格作为该投标人的评标价参与价格评分。</w:t>
            </w:r>
          </w:p>
          <w:p>
            <w:pPr>
              <w:pStyle w:val="5"/>
              <w:keepNext w:val="0"/>
              <w:keepLines w:val="0"/>
              <w:suppressLineNumbers w:val="0"/>
              <w:spacing w:before="0" w:beforeAutospacing="0" w:after="0" w:afterAutospacing="0" w:line="360" w:lineRule="auto"/>
              <w:ind w:left="0" w:right="0" w:firstLine="480" w:firstLineChars="200"/>
              <w:rPr>
                <w:rFonts w:hint="eastAsia" w:hAnsi="宋体" w:eastAsia="宋体" w:cs="宋体"/>
                <w:color w:val="auto"/>
                <w:sz w:val="24"/>
                <w:szCs w:val="24"/>
                <w:highlight w:val="none"/>
              </w:rPr>
            </w:pPr>
            <w:r>
              <w:rPr>
                <w:rFonts w:hint="eastAsia" w:hAnsi="宋体" w:eastAsia="宋体" w:cs="宋体"/>
                <w:color w:val="auto"/>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w:t>
            </w:r>
            <w:r>
              <w:rPr>
                <w:rFonts w:hint="eastAsia" w:hAnsi="宋体" w:cs="宋体"/>
                <w:color w:val="auto"/>
                <w:sz w:val="24"/>
                <w:szCs w:val="24"/>
                <w:highlight w:val="none"/>
                <w:lang w:eastAsia="zh-CN"/>
              </w:rPr>
              <w:t>采购单位</w:t>
            </w:r>
            <w:r>
              <w:rPr>
                <w:rFonts w:hint="eastAsia" w:hAnsi="宋体" w:eastAsia="宋体" w:cs="宋体"/>
                <w:color w:val="auto"/>
                <w:sz w:val="24"/>
                <w:szCs w:val="24"/>
                <w:highlight w:val="none"/>
              </w:rPr>
              <w:t>、采购代理机构应当对联合体或者大中型企业的报价给予</w:t>
            </w:r>
            <w:r>
              <w:rPr>
                <w:rFonts w:hint="eastAsia" w:hAnsi="宋体" w:eastAsia="宋体" w:cs="宋体"/>
                <w:color w:val="auto"/>
                <w:sz w:val="24"/>
                <w:szCs w:val="24"/>
                <w:highlight w:val="none"/>
              </w:rPr>
              <w:t>6%的扣除</w:t>
            </w:r>
            <w:r>
              <w:rPr>
                <w:rFonts w:hint="eastAsia" w:hAnsi="宋体" w:eastAsia="宋体" w:cs="宋体"/>
                <w:color w:val="auto"/>
                <w:sz w:val="24"/>
                <w:szCs w:val="24"/>
                <w:highlight w:val="none"/>
              </w:rPr>
              <w:t>，用扣除后的价格参加评审。</w:t>
            </w:r>
          </w:p>
          <w:p>
            <w:pPr>
              <w:pStyle w:val="13"/>
              <w:keepNext w:val="0"/>
              <w:keepLines w:val="0"/>
              <w:numPr>
                <w:ilvl w:val="-1"/>
                <w:numId w:val="0"/>
              </w:numPr>
              <w:suppressLineNumbers w:val="0"/>
              <w:spacing w:before="0" w:beforeAutospacing="0" w:after="0" w:afterAutospacing="0" w:line="360" w:lineRule="auto"/>
              <w:ind w:left="0" w:leftChars="0" w:right="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pPr>
              <w:pStyle w:val="5"/>
              <w:keepNext w:val="0"/>
              <w:keepLines w:val="0"/>
              <w:suppressLineNumbers w:val="0"/>
              <w:spacing w:before="0" w:beforeAutospacing="0" w:after="0" w:afterAutospacing="0" w:line="360" w:lineRule="auto"/>
              <w:ind w:left="0" w:right="0" w:firstLine="480" w:firstLineChars="200"/>
              <w:rPr>
                <w:rFonts w:hint="eastAsia" w:hAnsi="宋体" w:eastAsia="宋体" w:cs="宋体"/>
                <w:color w:val="auto"/>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dstrike/>
                <w:color w:val="auto"/>
                <w:sz w:val="24"/>
                <w:szCs w:val="24"/>
                <w:highlight w:val="none"/>
              </w:rPr>
            </w:pPr>
            <w:r>
              <w:rPr>
                <w:rFonts w:hint="eastAsia" w:ascii="宋体" w:hAnsi="宋体" w:eastAsia="宋体" w:cs="宋体"/>
                <w:b/>
                <w:color w:val="auto"/>
                <w:sz w:val="24"/>
                <w:szCs w:val="24"/>
                <w:highlight w:val="none"/>
              </w:rPr>
              <w:t>4</w:t>
            </w:r>
          </w:p>
        </w:tc>
        <w:tc>
          <w:tcPr>
            <w:tcW w:w="1677" w:type="dxa"/>
            <w:noWrap w:val="0"/>
            <w:vAlign w:val="center"/>
          </w:tcPr>
          <w:p>
            <w:pPr>
              <w:pStyle w:val="11"/>
              <w:keepNext w:val="0"/>
              <w:keepLines w:val="0"/>
              <w:suppressLineNumbers w:val="0"/>
              <w:spacing w:before="0" w:beforeAutospacing="0" w:after="0" w:afterAutospacing="0" w:line="360" w:lineRule="auto"/>
              <w:ind w:left="0" w:right="0"/>
              <w:rPr>
                <w:rFonts w:hint="eastAsia" w:eastAsia="宋体"/>
                <w:color w:val="auto"/>
                <w:sz w:val="24"/>
                <w:szCs w:val="24"/>
                <w:highlight w:val="none"/>
              </w:rPr>
            </w:pPr>
            <w:r>
              <w:rPr>
                <w:rFonts w:hint="eastAsia" w:eastAsia="宋体"/>
                <w:color w:val="auto"/>
                <w:sz w:val="24"/>
                <w:szCs w:val="24"/>
                <w:highlight w:val="none"/>
              </w:rPr>
              <w:t>本项目对应的中小企业划分标准</w:t>
            </w:r>
            <w:r>
              <w:rPr>
                <w:rFonts w:hint="eastAsia" w:eastAsia="宋体"/>
                <w:color w:val="auto"/>
                <w:sz w:val="24"/>
                <w:szCs w:val="24"/>
                <w:highlight w:val="none"/>
              </w:rPr>
              <w:t>所属</w:t>
            </w:r>
            <w:r>
              <w:rPr>
                <w:rFonts w:hint="eastAsia"/>
                <w:color w:val="auto"/>
                <w:sz w:val="24"/>
                <w:szCs w:val="24"/>
                <w:highlight w:val="none"/>
                <w:u w:val="single"/>
                <w:lang w:eastAsia="zh-CN"/>
              </w:rPr>
              <w:t>工业</w:t>
            </w:r>
            <w:r>
              <w:rPr>
                <w:rFonts w:hint="eastAsia" w:eastAsia="宋体"/>
                <w:color w:val="auto"/>
                <w:sz w:val="24"/>
                <w:szCs w:val="24"/>
                <w:highlight w:val="none"/>
                <w:u w:val="single"/>
              </w:rPr>
              <w:t>行业。</w:t>
            </w:r>
          </w:p>
        </w:tc>
        <w:tc>
          <w:tcPr>
            <w:tcW w:w="6063"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dstrike/>
                <w:color w:val="auto"/>
                <w:sz w:val="24"/>
                <w:szCs w:val="24"/>
                <w:highlight w:val="none"/>
                <w:u w:val="singl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677" w:type="dxa"/>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063" w:type="dxa"/>
            <w:tcBorders>
              <w:bottom w:val="single" w:color="auto" w:sz="4" w:space="0"/>
            </w:tcBorders>
            <w:noWrap w:val="0"/>
            <w:vAlign w:val="top"/>
          </w:tcPr>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一、经评标委员会评审，存在下列任一情况的，投标人将不被视为中小企业：</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1.投标人不符合“工信部联企业[2011]300号”规定的中小企业标准的；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2.投标货物全部或部分为使用大型企业注册商标的货物的；</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3.投标文件中标明的中小企业产品的制造商不符合“工信部联企业[2011]300号”规定的中小企业标准的；</w:t>
            </w:r>
          </w:p>
          <w:p>
            <w:pPr>
              <w:keepNext w:val="0"/>
              <w:keepLines w:val="0"/>
              <w:suppressLineNumbers w:val="0"/>
              <w:spacing w:before="0" w:beforeAutospacing="0" w:after="0" w:afterAutospacing="0" w:line="360" w:lineRule="auto"/>
              <w:ind w:left="0" w:right="0"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二、提供虚假声明后果：</w:t>
            </w:r>
          </w:p>
          <w:p>
            <w:pPr>
              <w:keepNext w:val="0"/>
              <w:keepLines w:val="0"/>
              <w:widowControl/>
              <w:suppressLineNumbers w:val="0"/>
              <w:spacing w:before="0" w:beforeAutospacing="0" w:after="0" w:afterAutospacing="0" w:line="360" w:lineRule="auto"/>
              <w:ind w:left="0" w:right="0"/>
              <w:rPr>
                <w:rFonts w:hint="eastAsia" w:ascii="宋体" w:hAnsi="宋体" w:eastAsia="宋体" w:cs="宋体"/>
                <w:b/>
                <w:i/>
                <w:color w:val="auto"/>
                <w:kern w:val="0"/>
                <w:sz w:val="24"/>
                <w:szCs w:val="24"/>
                <w:highlight w:val="none"/>
                <w:u w:val="single"/>
              </w:rPr>
            </w:pPr>
            <w:r>
              <w:rPr>
                <w:rFonts w:hint="eastAsia" w:ascii="宋体" w:hAnsi="宋体" w:eastAsia="宋体" w:cs="宋体"/>
                <w:color w:val="auto"/>
                <w:kern w:val="0"/>
                <w:sz w:val="24"/>
                <w:szCs w:val="24"/>
                <w:highlight w:val="none"/>
              </w:rPr>
              <w:t>投标人为取得中小企业身份而提供虚假声明，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w:t>
            </w:r>
            <w:r>
              <w:rPr>
                <w:rFonts w:hint="eastAsia" w:ascii="宋体" w:hAnsi="宋体" w:cs="宋体"/>
                <w:color w:val="auto"/>
                <w:kern w:val="0"/>
                <w:sz w:val="24"/>
                <w:szCs w:val="24"/>
                <w:highlight w:val="none"/>
                <w:lang w:eastAsia="zh-CN"/>
              </w:rPr>
              <w:t>采购单位</w:t>
            </w:r>
            <w:r>
              <w:rPr>
                <w:rFonts w:hint="eastAsia" w:ascii="宋体" w:hAnsi="宋体" w:eastAsia="宋体" w:cs="宋体"/>
                <w:color w:val="auto"/>
                <w:kern w:val="0"/>
                <w:sz w:val="24"/>
                <w:szCs w:val="24"/>
                <w:highlight w:val="none"/>
              </w:rPr>
              <w:t>、招标代理机构将有关情况上报政府采购监管部门，由监管部门按有关规定对其进行相应处罚。</w:t>
            </w:r>
            <w:r>
              <w:rPr>
                <w:rFonts w:hint="eastAsia" w:ascii="宋体" w:hAnsi="宋体" w:cs="宋体"/>
                <w:color w:val="auto"/>
                <w:kern w:val="0"/>
                <w:sz w:val="24"/>
                <w:szCs w:val="24"/>
                <w:highlight w:val="none"/>
                <w:lang w:eastAsia="zh-CN"/>
              </w:rPr>
              <w:t>采购单位</w:t>
            </w:r>
            <w:r>
              <w:rPr>
                <w:rFonts w:hint="eastAsia" w:ascii="宋体" w:hAnsi="宋体" w:eastAsia="宋体" w:cs="宋体"/>
                <w:color w:val="auto"/>
                <w:kern w:val="0"/>
                <w:sz w:val="24"/>
                <w:szCs w:val="24"/>
                <w:highlight w:val="none"/>
              </w:rPr>
              <w:t>、招标代理机构</w:t>
            </w:r>
            <w:r>
              <w:rPr>
                <w:rFonts w:hint="eastAsia" w:ascii="宋体" w:hAnsi="宋体" w:eastAsia="宋体" w:cs="宋体"/>
                <w:color w:val="auto"/>
                <w:sz w:val="24"/>
                <w:szCs w:val="24"/>
                <w:highlight w:val="none"/>
              </w:rPr>
              <w:t>有权上报财政部门，建议财政部门将该投标人列入不良行为记录名单，在一至三年内禁止该投标人参加政府采购活动并予以通报。</w:t>
            </w:r>
            <w:r>
              <w:rPr>
                <w:rFonts w:hint="eastAsia" w:ascii="宋体" w:hAnsi="宋体" w:eastAsia="宋体" w:cs="宋体"/>
                <w:b/>
                <w:i/>
                <w:color w:val="auto"/>
                <w:kern w:val="0"/>
                <w:sz w:val="24"/>
                <w:szCs w:val="24"/>
                <w:highlight w:val="none"/>
                <w:u w:val="single"/>
              </w:rPr>
              <w:t>（提醒：如果投不满足中小企业的认定标准，则不需要提供《中小企业声明函》，否则因此导致虚假应标的后果由投标人自行承担。）</w:t>
            </w:r>
          </w:p>
        </w:tc>
      </w:tr>
    </w:tbl>
    <w:p>
      <w:pPr>
        <w:spacing w:line="360" w:lineRule="auto"/>
        <w:rPr>
          <w:rFonts w:hint="eastAsia" w:ascii="宋体" w:hAnsi="宋体" w:eastAsia="宋体" w:cs="宋体"/>
          <w:b/>
          <w:bCs/>
          <w:color w:val="auto"/>
          <w:sz w:val="24"/>
          <w:szCs w:val="24"/>
          <w:highlight w:val="none"/>
        </w:rPr>
        <w:sectPr>
          <w:footerReference r:id="rId7" w:type="default"/>
          <w:pgSz w:w="11907" w:h="16840"/>
          <w:pgMar w:top="1440" w:right="1752" w:bottom="1290" w:left="1752" w:header="851" w:footer="992" w:gutter="0"/>
          <w:pgNumType w:start="1"/>
          <w:cols w:space="720" w:num="1"/>
          <w:docGrid w:linePitch="323" w:charSpace="-2"/>
        </w:sectPr>
      </w:pPr>
    </w:p>
    <w:p>
      <w:pPr>
        <w:pStyle w:val="2"/>
        <w:snapToGrid w:val="0"/>
        <w:spacing w:line="360" w:lineRule="auto"/>
        <w:ind w:firstLine="0"/>
        <w:jc w:val="cente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 xml:space="preserve">第三章  </w:t>
      </w:r>
      <w:r>
        <w:rPr>
          <w:rFonts w:hint="eastAsia" w:ascii="宋体" w:hAnsi="宋体" w:eastAsia="宋体" w:cs="宋体"/>
          <w:b/>
          <w:bCs/>
          <w:color w:val="auto"/>
          <w:sz w:val="32"/>
          <w:szCs w:val="32"/>
          <w:highlight w:val="none"/>
        </w:rPr>
        <w:t>招标内容及要求</w:t>
      </w:r>
    </w:p>
    <w:p>
      <w:pPr>
        <w:pStyle w:val="6"/>
        <w:spacing w:after="0" w:line="360" w:lineRule="auto"/>
        <w:ind w:left="181" w:leftChars="86" w:right="-334" w:rightChars="-15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提示说明：</w:t>
      </w:r>
    </w:p>
    <w:p>
      <w:pPr>
        <w:pStyle w:val="6"/>
        <w:spacing w:after="0" w:line="360" w:lineRule="auto"/>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（1）全文中带有“*”的条款为关键性条款，对这些关键性条款的任何负偏离或不满足将导致该投标作无效投标处理。</w:t>
      </w:r>
      <w:r>
        <w:rPr>
          <w:rFonts w:hint="eastAsia" w:ascii="宋体" w:hAnsi="宋体" w:eastAsia="宋体" w:cs="宋体"/>
          <w:b/>
          <w:color w:val="auto"/>
          <w:sz w:val="24"/>
          <w:szCs w:val="24"/>
          <w:highlight w:val="none"/>
        </w:rPr>
        <w:t>投标人应对招标文件中的“*”号条款进行逐条响应，否则评标委员会对其投标做出不利评审，投标人必须自行承担责任。</w:t>
      </w:r>
    </w:p>
    <w:p>
      <w:pPr>
        <w:pStyle w:val="6"/>
        <w:spacing w:after="0" w:line="360" w:lineRule="auto"/>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（2）本项目以合同包为单位，对于每个合同包，投标人必须完整地提供合同包要求的所有货物和服务，否则该投标人针对该合同包的投标将按照无效投标处理。</w:t>
      </w:r>
    </w:p>
    <w:p>
      <w:pPr>
        <w:pStyle w:val="6"/>
        <w:spacing w:after="0" w:line="360" w:lineRule="auto"/>
        <w:ind w:left="0" w:right="-334" w:rightChars="-15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（3）若招标文件第三章所述内容与其它部分的条款发生理解冲突，则以第三章所述内容为准；如招标文件发生变更，则相关条款的解释以更改通知为准。</w:t>
      </w:r>
    </w:p>
    <w:p>
      <w:pPr>
        <w:pStyle w:val="6"/>
        <w:spacing w:after="0" w:line="360" w:lineRule="auto"/>
        <w:ind w:lef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（4）经评标委员会认定要求澄清的证明文件必须在规定的时间内提供，否则其将不具有中标供应商的资格。</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（5）资格性证明文件请单独成册。</w:t>
      </w:r>
    </w:p>
    <w:p>
      <w:pPr>
        <w:pStyle w:val="6"/>
        <w:spacing w:after="0" w:line="360" w:lineRule="auto"/>
        <w:ind w:left="0"/>
        <w:rPr>
          <w:rFonts w:hint="eastAsia" w:ascii="宋体" w:hAnsi="宋体" w:eastAsia="宋体" w:cs="宋体"/>
          <w:b/>
          <w:bCs/>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tabs>
          <w:tab w:val="left" w:pos="5130"/>
        </w:tabs>
        <w:spacing w:line="360" w:lineRule="auto"/>
        <w:rPr>
          <w:rFonts w:hint="eastAsia" w:ascii="宋体" w:hAnsi="宋体" w:eastAsia="宋体" w:cs="宋体"/>
          <w:color w:val="auto"/>
          <w:sz w:val="24"/>
          <w:szCs w:val="24"/>
          <w:highlight w:val="none"/>
        </w:rPr>
      </w:pPr>
    </w:p>
    <w:p>
      <w:pPr>
        <w:pStyle w:val="43"/>
        <w:spacing w:line="360" w:lineRule="auto"/>
        <w:ind w:firstLine="0" w:firstLineChars="0"/>
        <w:jc w:val="left"/>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一、</w:t>
      </w:r>
      <w:r>
        <w:rPr>
          <w:rFonts w:hint="eastAsia" w:asciiTheme="minorEastAsia" w:hAnsiTheme="minorEastAsia" w:eastAsiaTheme="minorEastAsia" w:cstheme="minorEastAsia"/>
          <w:b/>
          <w:bCs/>
          <w:color w:val="auto"/>
          <w:sz w:val="28"/>
          <w:szCs w:val="28"/>
          <w:highlight w:val="none"/>
          <w:lang w:eastAsia="zh-CN"/>
        </w:rPr>
        <w:t>招标要求</w:t>
      </w:r>
    </w:p>
    <w:tbl>
      <w:tblPr>
        <w:tblStyle w:val="14"/>
        <w:tblW w:w="82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1"/>
        <w:gridCol w:w="1254"/>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品目号</w:t>
            </w:r>
          </w:p>
        </w:tc>
        <w:tc>
          <w:tcPr>
            <w:tcW w:w="12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货物名称</w:t>
            </w:r>
          </w:p>
        </w:tc>
        <w:tc>
          <w:tcPr>
            <w:tcW w:w="6075"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1-1</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A4黑白三合一双面网络功能激光一体机</w:t>
            </w: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*1、产品类型：A4黑白三合一双面网络功能激光一体机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功能：打印/复印/扫描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具备有线网络打印功能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具备自动双面打印功能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标配自动输稿器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打印速度≥25页/分钟（A4幅面）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复印速度≥25页/分钟（A4幅面）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扫描类型：馈纸式+平板式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Style w:val="42"/>
                <w:rFonts w:hint="eastAsia" w:asciiTheme="minorEastAsia" w:hAnsiTheme="minorEastAsia" w:eastAsiaTheme="minorEastAsia" w:cstheme="minorEastAsia"/>
                <w:b/>
                <w:bCs/>
                <w:color w:val="auto"/>
                <w:sz w:val="21"/>
                <w:szCs w:val="21"/>
                <w:highlight w:val="none"/>
                <w:lang w:val="en-US" w:eastAsia="zh-CN" w:bidi="ar"/>
              </w:rPr>
            </w:pPr>
            <w:r>
              <w:rPr>
                <w:rStyle w:val="42"/>
                <w:rFonts w:hint="eastAsia" w:asciiTheme="minorEastAsia" w:hAnsiTheme="minorEastAsia" w:eastAsiaTheme="minorEastAsia" w:cstheme="minorEastAsia"/>
                <w:b/>
                <w:bCs/>
                <w:color w:val="auto"/>
                <w:sz w:val="21"/>
                <w:szCs w:val="21"/>
                <w:highlight w:val="none"/>
                <w:lang w:val="en-US" w:eastAsia="zh-CN" w:bidi="ar"/>
              </w:rPr>
              <w:t>适配符合安全可靠测评要求的计算机平台及符合安全可靠测评要求的操作系统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标配USB2.0接口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2、内存≥16MB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3、自动输稿器容量≥30张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4、输入纸盒容量≥100张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5、首页打印时间≤10秒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6、打印分辨率≥600*600dpi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7、复印分辨率≥600*600dpi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8、扫描分辨率≥600*600dpi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9、配备USB2.0数据线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5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1-2</w:t>
            </w:r>
          </w:p>
        </w:tc>
        <w:tc>
          <w:tcPr>
            <w:tcW w:w="1254"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A4黑白四合一双面网络功能激光一体机</w:t>
            </w:r>
          </w:p>
        </w:tc>
        <w:tc>
          <w:tcPr>
            <w:tcW w:w="607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*1、产品类型：A4黑白四合一双面网络功能激光一体机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功能：打印/复印/扫描/传真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具备有线网络打印功能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具备自动双面打印功能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标配自动输稿器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打印速度≥25页/分钟（A4幅面）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复印速度≥25页/分钟（A4幅面）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扫描类型：馈纸式+平板式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传真调制解调速度≥33.6kbps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Style w:val="42"/>
                <w:rFonts w:hint="eastAsia" w:asciiTheme="minorEastAsia" w:hAnsiTheme="minorEastAsia" w:eastAsiaTheme="minorEastAsia" w:cstheme="minorEastAsia"/>
                <w:b/>
                <w:bCs/>
                <w:color w:val="auto"/>
                <w:sz w:val="21"/>
                <w:szCs w:val="21"/>
                <w:highlight w:val="none"/>
                <w:lang w:val="en-US" w:eastAsia="zh-CN" w:bidi="ar"/>
              </w:rPr>
            </w:pPr>
            <w:r>
              <w:rPr>
                <w:rStyle w:val="42"/>
                <w:rFonts w:hint="eastAsia" w:asciiTheme="minorEastAsia" w:hAnsiTheme="minorEastAsia" w:eastAsiaTheme="minorEastAsia" w:cstheme="minorEastAsia"/>
                <w:b/>
                <w:bCs/>
                <w:color w:val="auto"/>
                <w:sz w:val="21"/>
                <w:szCs w:val="21"/>
                <w:highlight w:val="none"/>
                <w:lang w:val="en-US" w:eastAsia="zh-CN" w:bidi="ar"/>
              </w:rPr>
              <w:t>适配符合安全可靠测评要求的计算机平台及符合安全可靠测评要求的操作系统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标配USB2.0接口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rPr>
                <w:rFonts w:hint="eastAsia" w:asciiTheme="minorEastAsia" w:hAnsiTheme="minorEastAsia" w:eastAsiaTheme="minorEastAsia" w:cstheme="minorEastAsia"/>
                <w:b w:val="0"/>
                <w:bCs w:val="0"/>
                <w:i w:val="0"/>
                <w:iCs w:val="0"/>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2、内存≥32MB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3、自动输稿器容量≥30张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4、输入纸盒容量≥100张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5、首页打印时间≤10秒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6、打印分辨率≥600*600dpi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7、复印分辨率≥600*600dpi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8、扫描分辨率≥600*600dpi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951"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1254" w:type="dxa"/>
            <w:vMerge w:val="continue"/>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Theme="minorEastAsia" w:hAnsiTheme="minorEastAsia" w:eastAsiaTheme="minorEastAsia" w:cstheme="minorEastAsia"/>
                <w:b w:val="0"/>
                <w:bCs w:val="0"/>
                <w:i w:val="0"/>
                <w:iCs w:val="0"/>
                <w:color w:val="auto"/>
                <w:sz w:val="21"/>
                <w:szCs w:val="21"/>
                <w:highlight w:val="none"/>
                <w:u w:val="none"/>
              </w:rPr>
            </w:pPr>
          </w:p>
        </w:tc>
        <w:tc>
          <w:tcPr>
            <w:tcW w:w="607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Theme="minorEastAsia" w:hAnsiTheme="minorEastAsia" w:eastAsiaTheme="minorEastAsia" w:cstheme="minorEastAsia"/>
                <w:b w:val="0"/>
                <w:bCs w:val="0"/>
                <w:i w:val="0"/>
                <w:iCs w:val="0"/>
                <w:color w:val="auto"/>
                <w:sz w:val="21"/>
                <w:szCs w:val="21"/>
                <w:highlight w:val="none"/>
                <w:u w:val="none"/>
              </w:rPr>
            </w:pPr>
            <w:r>
              <w:rPr>
                <w:rFonts w:hint="eastAsia" w:asciiTheme="minorEastAsia" w:hAnsiTheme="minorEastAsia" w:eastAsiaTheme="minorEastAsia" w:cstheme="minorEastAsia"/>
                <w:b w:val="0"/>
                <w:bCs w:val="0"/>
                <w:i w:val="0"/>
                <w:iCs w:val="0"/>
                <w:color w:val="auto"/>
                <w:kern w:val="0"/>
                <w:sz w:val="21"/>
                <w:szCs w:val="21"/>
                <w:highlight w:val="none"/>
                <w:u w:val="none"/>
                <w:lang w:val="en-US" w:eastAsia="zh-CN" w:bidi="ar"/>
              </w:rPr>
              <w:t>9、配备USB2.0数据线</w:t>
            </w:r>
          </w:p>
        </w:tc>
      </w:tr>
    </w:tbl>
    <w:p>
      <w:pPr>
        <w:spacing w:line="360" w:lineRule="auto"/>
        <w:jc w:val="left"/>
        <w:rPr>
          <w:rFonts w:ascii="宋体" w:hAnsi="宋体"/>
          <w:b w:val="0"/>
          <w:bCs/>
          <w:color w:val="auto"/>
          <w:sz w:val="28"/>
          <w:szCs w:val="28"/>
          <w:highlight w:val="none"/>
        </w:rPr>
      </w:pPr>
      <w:r>
        <w:rPr>
          <w:rFonts w:hint="eastAsia" w:ascii="宋体" w:hAnsi="宋体" w:cs="Times New Roman"/>
          <w:b w:val="0"/>
          <w:bCs/>
          <w:color w:val="auto"/>
          <w:sz w:val="28"/>
          <w:szCs w:val="28"/>
          <w:highlight w:val="none"/>
        </w:rPr>
        <w:t>备注：</w:t>
      </w:r>
    </w:p>
    <w:p>
      <w:pPr>
        <w:spacing w:line="360" w:lineRule="auto"/>
        <w:ind w:firstLine="482" w:firstLineChars="200"/>
        <w:jc w:val="left"/>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*1、投标人投标的激光</w:t>
      </w:r>
      <w:r>
        <w:rPr>
          <w:rFonts w:hint="eastAsia" w:asciiTheme="minorEastAsia" w:hAnsiTheme="minorEastAsia" w:eastAsiaTheme="minorEastAsia" w:cstheme="minorEastAsia"/>
          <w:b/>
          <w:bCs w:val="0"/>
          <w:color w:val="auto"/>
          <w:sz w:val="24"/>
          <w:szCs w:val="24"/>
          <w:highlight w:val="none"/>
          <w:lang w:eastAsia="zh-CN"/>
        </w:rPr>
        <w:t>一体</w:t>
      </w:r>
      <w:r>
        <w:rPr>
          <w:rFonts w:hint="eastAsia" w:asciiTheme="minorEastAsia" w:hAnsiTheme="minorEastAsia" w:eastAsiaTheme="minorEastAsia" w:cstheme="minorEastAsia"/>
          <w:b/>
          <w:bCs w:val="0"/>
          <w:color w:val="auto"/>
          <w:sz w:val="24"/>
          <w:szCs w:val="24"/>
          <w:highlight w:val="none"/>
        </w:rPr>
        <w:t>机产品必须为同一品牌产品，否则将导致废标。</w:t>
      </w:r>
    </w:p>
    <w:p>
      <w:pPr>
        <w:spacing w:line="360" w:lineRule="auto"/>
        <w:ind w:firstLine="480"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人须在投标文件中作出书面承诺：采购单位可调整各规格产品的实际供货数量；采购单位有权向厦门市政府机关事业单位和福建省内其他终端用户进行供货，投标人须提供相应的安装及售后服务保障，所需费用（不含福建省其他地市二次配送费用）已包含在总报价中。投标人承诺合同期内采购单位可增加各型号的采购数量，仍可按不高于中标价格执行。</w:t>
      </w:r>
    </w:p>
    <w:p>
      <w:pPr>
        <w:pStyle w:val="43"/>
        <w:spacing w:line="360" w:lineRule="auto"/>
        <w:ind w:firstLine="0" w:firstLineChars="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二、</w:t>
      </w:r>
      <w:r>
        <w:rPr>
          <w:rFonts w:hint="eastAsia" w:asciiTheme="minorEastAsia" w:hAnsiTheme="minorEastAsia" w:eastAsiaTheme="minorEastAsia" w:cstheme="minorEastAsia"/>
          <w:b/>
          <w:bCs/>
          <w:color w:val="auto"/>
          <w:sz w:val="28"/>
          <w:szCs w:val="28"/>
          <w:highlight w:val="none"/>
        </w:rPr>
        <w:t>售后服务要求</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*1、投标人承诺设备自最终验收合格之日起至少一年免费上门保修。期间中标供应商应提供一切免费维修服务和免费更换零配件。同时投标人保证保修年限不低于合同货物中品牌型号的官网标准。</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*2、投标人应在投标文件中提供具体的售后服务承诺条款。</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设备故障若在约定时间内无法修复的，中标供应商应先提供备用机供最终用户使用，直至设备修复；如中标供应商所提供的备用机与故障机的型号不同，则需免费提供耗材。如果中标供应商未在承诺的时间内将设备修复或者提供备用机的则中标供应商应按人民币：200.00元/台/天向采购单位支付逾期违约金。</w:t>
      </w:r>
    </w:p>
    <w:p>
      <w:pPr>
        <w:pStyle w:val="43"/>
        <w:spacing w:line="360" w:lineRule="auto"/>
        <w:ind w:firstLine="0" w:firstLineChars="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三、投标要求</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投标人须以人民币报价，总报价为投标设备经最终验收合格并交付使用所有可能发生的费用，包括设备费、运送至采购单位指定地点的运输费、运输费保险费、专用工具费、税费、采购保管费、安装费、检验验收、安装调试费以及售后服务等一切费用（投标人可在分项报价表中详细列出报价，如果所列分项报价不含以上内容，则视为已含在总报价中），报价方式为总包价。</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*2、投标人必须列出采购货物一览表中品目号设备的单价及总价。</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*3、本项目的采购预算为人民币</w:t>
      </w:r>
      <w:r>
        <w:rPr>
          <w:rFonts w:hint="eastAsia" w:asciiTheme="minorEastAsia" w:hAnsiTheme="minorEastAsia" w:eastAsiaTheme="minorEastAsia" w:cstheme="minorEastAsia"/>
          <w:b/>
          <w:bCs w:val="0"/>
          <w:color w:val="auto"/>
          <w:sz w:val="24"/>
          <w:szCs w:val="24"/>
          <w:highlight w:val="none"/>
          <w:lang w:val="en-US" w:eastAsia="zh-CN"/>
        </w:rPr>
        <w:t>564</w:t>
      </w:r>
      <w:r>
        <w:rPr>
          <w:rFonts w:hint="eastAsia" w:asciiTheme="minorEastAsia" w:hAnsiTheme="minorEastAsia" w:eastAsiaTheme="minorEastAsia" w:cstheme="minorEastAsia"/>
          <w:b/>
          <w:bCs w:val="0"/>
          <w:color w:val="auto"/>
          <w:sz w:val="24"/>
          <w:szCs w:val="24"/>
          <w:highlight w:val="none"/>
        </w:rPr>
        <w:t>万元，各品目号也设置采购预算</w:t>
      </w:r>
      <w:r>
        <w:rPr>
          <w:rFonts w:hint="eastAsia" w:asciiTheme="minorEastAsia" w:hAnsiTheme="minorEastAsia" w:eastAsiaTheme="minorEastAsia" w:cstheme="minorEastAsia"/>
          <w:b/>
          <w:bCs w:val="0"/>
          <w:color w:val="auto"/>
          <w:sz w:val="24"/>
          <w:szCs w:val="24"/>
          <w:highlight w:val="none"/>
          <w:lang w:eastAsia="zh-CN"/>
        </w:rPr>
        <w:t>（品目号</w:t>
      </w:r>
      <w:r>
        <w:rPr>
          <w:rFonts w:hint="eastAsia" w:asciiTheme="minorEastAsia" w:hAnsiTheme="minorEastAsia" w:eastAsiaTheme="minorEastAsia" w:cstheme="minorEastAsia"/>
          <w:b/>
          <w:i w:val="0"/>
          <w:iCs w:val="0"/>
          <w:color w:val="auto"/>
          <w:kern w:val="2"/>
          <w:sz w:val="24"/>
          <w:szCs w:val="24"/>
          <w:highlight w:val="none"/>
          <w:u w:val="none"/>
          <w:lang w:val="en-US" w:eastAsia="zh-CN" w:bidi="ar"/>
        </w:rPr>
        <w:t>1-1为人民币1,800元/台；</w:t>
      </w:r>
      <w:r>
        <w:rPr>
          <w:rFonts w:hint="eastAsia" w:asciiTheme="minorEastAsia" w:hAnsiTheme="minorEastAsia" w:eastAsiaTheme="minorEastAsia" w:cstheme="minorEastAsia"/>
          <w:b/>
          <w:bCs w:val="0"/>
          <w:color w:val="auto"/>
          <w:sz w:val="24"/>
          <w:szCs w:val="24"/>
          <w:highlight w:val="none"/>
          <w:lang w:eastAsia="zh-CN"/>
        </w:rPr>
        <w:t>品目号</w:t>
      </w:r>
      <w:r>
        <w:rPr>
          <w:rFonts w:hint="eastAsia" w:asciiTheme="minorEastAsia" w:hAnsiTheme="minorEastAsia" w:eastAsiaTheme="minorEastAsia" w:cstheme="minorEastAsia"/>
          <w:b/>
          <w:i w:val="0"/>
          <w:iCs w:val="0"/>
          <w:color w:val="auto"/>
          <w:kern w:val="2"/>
          <w:sz w:val="24"/>
          <w:szCs w:val="24"/>
          <w:highlight w:val="none"/>
          <w:u w:val="none"/>
          <w:lang w:val="en-US" w:eastAsia="zh-CN" w:bidi="ar"/>
        </w:rPr>
        <w:t>1-2为人民币2,400元/台）</w:t>
      </w:r>
      <w:r>
        <w:rPr>
          <w:rFonts w:hint="eastAsia" w:asciiTheme="minorEastAsia" w:hAnsiTheme="minorEastAsia" w:eastAsiaTheme="minorEastAsia" w:cstheme="minorEastAsia"/>
          <w:b/>
          <w:bCs w:val="0"/>
          <w:color w:val="auto"/>
          <w:sz w:val="24"/>
          <w:szCs w:val="24"/>
          <w:highlight w:val="none"/>
        </w:rPr>
        <w:t>，投标人的总报价和各品目号的报价均不得超过采购预算，否则作废标处理。</w:t>
      </w:r>
    </w:p>
    <w:p>
      <w:pPr>
        <w:spacing w:line="360" w:lineRule="auto"/>
        <w:ind w:firstLine="482" w:firstLineChars="200"/>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w:t>
      </w:r>
      <w:r>
        <w:rPr>
          <w:rFonts w:hint="eastAsia" w:asciiTheme="minorEastAsia" w:hAnsiTheme="minorEastAsia" w:eastAsiaTheme="minorEastAsia" w:cstheme="minorEastAsia"/>
          <w:b/>
          <w:bCs w:val="0"/>
          <w:color w:val="auto"/>
          <w:sz w:val="24"/>
          <w:szCs w:val="24"/>
          <w:highlight w:val="none"/>
          <w:lang w:val="en-US" w:eastAsia="zh-CN"/>
        </w:rPr>
        <w:t>4</w:t>
      </w:r>
      <w:r>
        <w:rPr>
          <w:rFonts w:hint="eastAsia" w:asciiTheme="minorEastAsia" w:hAnsiTheme="minorEastAsia" w:eastAsiaTheme="minorEastAsia" w:cstheme="minorEastAsia"/>
          <w:b/>
          <w:bCs w:val="0"/>
          <w:color w:val="auto"/>
          <w:sz w:val="24"/>
          <w:szCs w:val="24"/>
          <w:highlight w:val="none"/>
        </w:rPr>
        <w:t>、投标人承诺同意本项目采购的产品按照销售对象及销售区域的不同而分别与采购单位签订合同，即签订一份适用于厦门市政府机关事业单位、一份适用于福建省内其他终端用户采购合同。两份合同的总数量和总金额为本次采购的总数量和总金额。</w:t>
      </w:r>
    </w:p>
    <w:p>
      <w:pPr>
        <w:pStyle w:val="43"/>
        <w:spacing w:line="360" w:lineRule="auto"/>
        <w:ind w:firstLine="0" w:firstLineChars="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四、其他要求及说明</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*1、投标人须在投标文件中明确作出书面承诺：</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投标人承诺接受《采购合同》中《服务考核细则》对其的考核并同意按考核情况处理。</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*2、采购单位付款时，中标供应商应提供一般纳税人的增值税专用发票；否则，采购单位有权拒绝支付相应款项。</w:t>
      </w:r>
    </w:p>
    <w:p>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*3、投标人承诺，如获中标将配合采购单位及产品检验检测机构进行投标产品的检验检测，产品检验检测产生的一切相关费用由中标供应商承担。</w:t>
      </w:r>
    </w:p>
    <w:p>
      <w:pPr>
        <w:pStyle w:val="43"/>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*4、投标人承诺同意分别免费提供</w:t>
      </w:r>
      <w:r>
        <w:rPr>
          <w:rFonts w:hint="eastAsia" w:asciiTheme="minorEastAsia" w:hAnsiTheme="minorEastAsia" w:eastAsiaTheme="minorEastAsia" w:cstheme="minorEastAsia"/>
          <w:b/>
          <w:color w:val="auto"/>
          <w:sz w:val="24"/>
          <w:szCs w:val="24"/>
          <w:highlight w:val="none"/>
          <w:lang w:val="en-US" w:eastAsia="zh-CN"/>
        </w:rPr>
        <w:t>3台品目号1-1，4台品目号1-2</w:t>
      </w:r>
      <w:r>
        <w:rPr>
          <w:rFonts w:hint="eastAsia" w:asciiTheme="minorEastAsia" w:hAnsiTheme="minorEastAsia" w:eastAsiaTheme="minorEastAsia" w:cstheme="minorEastAsia"/>
          <w:b/>
          <w:color w:val="auto"/>
          <w:sz w:val="24"/>
          <w:szCs w:val="24"/>
          <w:highlight w:val="none"/>
        </w:rPr>
        <w:t>的投标产品给采购单位作为备用机，且于中标后第一次供货时一并提供。备用机归采购单位所有，由采购单位自行调配，合同期满后亦不予返还中标供应商。</w:t>
      </w:r>
    </w:p>
    <w:p>
      <w:pPr>
        <w:shd w:val="clea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分批供货，以采购单位的供货通知为准。</w:t>
      </w:r>
    </w:p>
    <w:p>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货物送</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仓库后再配送至最终用户的，中标供应商应在</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发出《定货单》之日起</w:t>
      </w:r>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个日历日之内（《定货单》的交货期与本条约定不一致的，以《定货单》为准）将货交</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w:t>
      </w:r>
      <w:r>
        <w:rPr>
          <w:rFonts w:hint="eastAsia" w:asciiTheme="minorEastAsia" w:hAnsiTheme="minorEastAsia" w:eastAsiaTheme="minorEastAsia" w:cstheme="minorEastAsia"/>
          <w:b/>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rPr>
        <w:t>货物到达</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仓库后，中标供应商应在接到</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通知后24小时内（仅指货物配送时限要求）将货物从</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仓库二次配送至最终用户（地址为厦门市岛内行政区域），并按约定完成安装调试后提请验收交付。中标供应商除承担运送至</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仓库的费用、货物存至</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仓库的仓储操作</w:t>
      </w:r>
      <w:r>
        <w:rPr>
          <w:rFonts w:hint="eastAsia" w:asciiTheme="minorEastAsia" w:hAnsiTheme="minorEastAsia" w:eastAsiaTheme="minorEastAsia" w:cstheme="minorEastAsia"/>
          <w:b/>
          <w:color w:val="auto"/>
          <w:sz w:val="24"/>
          <w:szCs w:val="24"/>
          <w:highlight w:val="none"/>
          <w:lang w:eastAsia="zh-CN"/>
        </w:rPr>
        <w:t>费（</w:t>
      </w:r>
      <w:r>
        <w:rPr>
          <w:rFonts w:hint="eastAsia" w:asciiTheme="minorEastAsia" w:hAnsiTheme="minorEastAsia" w:eastAsiaTheme="minorEastAsia" w:cstheme="minorEastAsia"/>
          <w:b/>
          <w:color w:val="auto"/>
          <w:sz w:val="24"/>
          <w:szCs w:val="24"/>
          <w:highlight w:val="none"/>
          <w:lang w:val="en-US" w:eastAsia="zh-CN"/>
        </w:rPr>
        <w:t>仓储操作费10元/台</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rPr>
        <w:t>，还应同时承担从</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仓库运送至最终用户的二次配送费用。中标供应商从</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仓库中提货之时起至货物经最终用户签收之时止，货物毁损、灭失的风险由中标供应商承担。</w:t>
      </w:r>
    </w:p>
    <w:p>
      <w:pPr>
        <w:adjustRightInd w:val="0"/>
        <w:snapToGrid w:val="0"/>
        <w:spacing w:line="360" w:lineRule="auto"/>
        <w:ind w:firstLine="482" w:firstLineChars="200"/>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若中标供应商未按约定的时间完成二次配送的，</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将代为进行二次配送，中标供应商应按如下费用标准最迟在</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发出《定货单》之日起</w:t>
      </w:r>
      <w:sdt>
        <w:sdtPr>
          <w:rPr>
            <w:rFonts w:hint="eastAsia" w:asciiTheme="minorEastAsia" w:hAnsiTheme="minorEastAsia" w:eastAsiaTheme="minorEastAsia" w:cstheme="minorEastAsia"/>
            <w:b/>
            <w:color w:val="auto"/>
            <w:sz w:val="24"/>
            <w:szCs w:val="24"/>
            <w:highlight w:val="none"/>
            <w:lang w:val="en-US" w:eastAsia="zh-CN"/>
          </w:rPr>
          <w:id w:val="147470622"/>
          <w:placeholder>
            <w:docPart w:val="{5db6a8fb-045b-41bf-a00e-d0423bef4753}"/>
          </w:placeholder>
        </w:sdtPr>
        <w:sdtEndPr>
          <w:rPr>
            <w:rFonts w:hint="eastAsia" w:asciiTheme="minorEastAsia" w:hAnsiTheme="minorEastAsia" w:eastAsiaTheme="minorEastAsia" w:cstheme="minorEastAsia"/>
            <w:b/>
            <w:color w:val="auto"/>
            <w:sz w:val="24"/>
            <w:szCs w:val="24"/>
            <w:highlight w:val="none"/>
            <w:lang w:val="en-US" w:eastAsia="zh-CN"/>
          </w:rPr>
        </w:sdtEndPr>
        <w:sdtContent>
          <w:r>
            <w:rPr>
              <w:rFonts w:hint="eastAsia" w:asciiTheme="minorEastAsia" w:hAnsiTheme="minorEastAsia" w:eastAsiaTheme="minorEastAsia" w:cstheme="minorEastAsia"/>
              <w:b/>
              <w:color w:val="auto"/>
              <w:sz w:val="24"/>
              <w:szCs w:val="24"/>
              <w:highlight w:val="none"/>
              <w:lang w:val="en-US" w:eastAsia="zh-CN"/>
            </w:rPr>
            <w:t>10</w:t>
          </w:r>
        </w:sdtContent>
      </w:sdt>
      <w:r>
        <w:rPr>
          <w:rFonts w:hint="eastAsia" w:asciiTheme="minorEastAsia" w:hAnsiTheme="minorEastAsia" w:eastAsiaTheme="minorEastAsia" w:cstheme="minorEastAsia"/>
          <w:b/>
          <w:color w:val="auto"/>
          <w:sz w:val="24"/>
          <w:szCs w:val="24"/>
          <w:highlight w:val="none"/>
        </w:rPr>
        <w:t>个</w:t>
      </w:r>
      <w:r>
        <w:rPr>
          <w:rFonts w:hint="eastAsia" w:asciiTheme="minorEastAsia" w:hAnsiTheme="minorEastAsia" w:eastAsiaTheme="minorEastAsia" w:cstheme="minorEastAsia"/>
          <w:b/>
          <w:color w:val="auto"/>
          <w:sz w:val="24"/>
          <w:szCs w:val="24"/>
          <w:highlight w:val="none"/>
          <w:lang w:eastAsia="zh-CN"/>
        </w:rPr>
        <w:t>工作</w:t>
      </w:r>
      <w:r>
        <w:rPr>
          <w:rFonts w:hint="eastAsia" w:asciiTheme="minorEastAsia" w:hAnsiTheme="minorEastAsia" w:eastAsiaTheme="minorEastAsia" w:cstheme="minorEastAsia"/>
          <w:b/>
          <w:color w:val="auto"/>
          <w:sz w:val="24"/>
          <w:szCs w:val="24"/>
          <w:highlight w:val="none"/>
        </w:rPr>
        <w:t>日内向</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或</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指定的第三方物流商支付相应</w:t>
      </w:r>
      <w:sdt>
        <w:sdtPr>
          <w:rPr>
            <w:rFonts w:hint="eastAsia" w:asciiTheme="minorEastAsia" w:hAnsiTheme="minorEastAsia" w:eastAsiaTheme="minorEastAsia" w:cstheme="minorEastAsia"/>
            <w:b/>
            <w:color w:val="auto"/>
            <w:sz w:val="24"/>
            <w:szCs w:val="24"/>
            <w:highlight w:val="none"/>
            <w:lang w:val="en-US" w:eastAsia="zh-CN"/>
          </w:rPr>
          <w:id w:val="147463159"/>
          <w:placeholder>
            <w:docPart w:val="{5317ecee-1359-460f-879e-708b95e2741f}"/>
          </w:placeholder>
        </w:sdtPr>
        <w:sdtEndPr>
          <w:rPr>
            <w:rFonts w:hint="eastAsia" w:asciiTheme="minorEastAsia" w:hAnsiTheme="minorEastAsia" w:eastAsiaTheme="minorEastAsia" w:cstheme="minorEastAsia"/>
            <w:b/>
            <w:color w:val="auto"/>
            <w:sz w:val="24"/>
            <w:szCs w:val="24"/>
            <w:highlight w:val="none"/>
            <w:lang w:val="en-US" w:eastAsia="zh-CN"/>
          </w:rPr>
        </w:sdtEndPr>
        <w:sdtContent>
          <w:r>
            <w:rPr>
              <w:rFonts w:hint="eastAsia" w:asciiTheme="minorEastAsia" w:hAnsiTheme="minorEastAsia" w:eastAsiaTheme="minorEastAsia" w:cstheme="minorEastAsia"/>
              <w:b/>
              <w:color w:val="auto"/>
              <w:sz w:val="24"/>
              <w:szCs w:val="24"/>
              <w:highlight w:val="none"/>
            </w:rPr>
            <w:t>仓储操作费及二次配送费用：仓储操作费10元/台，二次配送费15元/台。</w:t>
          </w:r>
        </w:sdtContent>
      </w:sdt>
      <w:r>
        <w:rPr>
          <w:rFonts w:hint="eastAsia" w:asciiTheme="minorEastAsia" w:hAnsiTheme="minorEastAsia" w:eastAsiaTheme="minorEastAsia" w:cstheme="minorEastAsia"/>
          <w:b/>
          <w:color w:val="auto"/>
          <w:sz w:val="24"/>
          <w:szCs w:val="24"/>
          <w:highlight w:val="none"/>
        </w:rPr>
        <w:t>若中标供应商未向</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或</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指定的第三方物流商支付该仓储操作费及二次配送费用的，</w:t>
      </w:r>
      <w:r>
        <w:rPr>
          <w:rFonts w:hint="eastAsia" w:asciiTheme="minorEastAsia" w:hAnsiTheme="minorEastAsia" w:eastAsiaTheme="minorEastAsia" w:cstheme="minorEastAsia"/>
          <w:b/>
          <w:color w:val="auto"/>
          <w:sz w:val="24"/>
          <w:szCs w:val="24"/>
          <w:highlight w:val="none"/>
          <w:lang w:eastAsia="zh-CN"/>
        </w:rPr>
        <w:t>采购单位</w:t>
      </w:r>
      <w:r>
        <w:rPr>
          <w:rFonts w:hint="eastAsia" w:asciiTheme="minorEastAsia" w:hAnsiTheme="minorEastAsia" w:eastAsiaTheme="minorEastAsia" w:cstheme="minorEastAsia"/>
          <w:b/>
          <w:color w:val="auto"/>
          <w:sz w:val="24"/>
          <w:szCs w:val="24"/>
          <w:highlight w:val="none"/>
        </w:rPr>
        <w:t>有权从中标供应商货款或约定的履约保证金总额中扣除相应费用。</w:t>
      </w:r>
    </w:p>
    <w:p>
      <w:pPr>
        <w:adjustRightInd w:val="0"/>
        <w:snapToGrid w:val="0"/>
        <w:spacing w:line="360" w:lineRule="auto"/>
        <w:ind w:firstLine="472" w:firstLineChars="196"/>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 xml:space="preserve"> *</w:t>
      </w:r>
      <w:r>
        <w:rPr>
          <w:rFonts w:hint="eastAsia" w:asciiTheme="minorEastAsia" w:hAnsiTheme="minorEastAsia" w:eastAsiaTheme="minorEastAsia" w:cstheme="minorEastAsia"/>
          <w:b/>
          <w:color w:val="auto"/>
          <w:kern w:val="0"/>
          <w:sz w:val="24"/>
          <w:szCs w:val="24"/>
          <w:highlight w:val="none"/>
          <w:lang w:val="en-US" w:eastAsia="zh-CN"/>
        </w:rPr>
        <w:t>6</w:t>
      </w: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sz w:val="24"/>
          <w:szCs w:val="24"/>
          <w:highlight w:val="none"/>
        </w:rPr>
        <w:t>合同期内每三个月，采购单位可根据市场行情变化，与中标供应商就产品单价进行重新谈判，价格不得高于中标价格。</w:t>
      </w:r>
    </w:p>
    <w:p>
      <w:pPr>
        <w:adjustRightInd w:val="0"/>
        <w:snapToGrid w:val="0"/>
        <w:spacing w:line="360" w:lineRule="auto"/>
        <w:ind w:firstLine="472" w:firstLineChars="196"/>
        <w:jc w:val="left"/>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r>
        <w:rPr>
          <w:rFonts w:hint="eastAsia" w:asciiTheme="minorEastAsia" w:hAnsiTheme="minorEastAsia" w:eastAsiaTheme="minorEastAsia" w:cstheme="minorEastAsia"/>
          <w:b/>
          <w:color w:val="auto"/>
          <w:kern w:val="0"/>
          <w:sz w:val="24"/>
          <w:szCs w:val="24"/>
          <w:highlight w:val="none"/>
          <w:lang w:val="en-US" w:eastAsia="zh-CN"/>
        </w:rPr>
        <w:t>7</w:t>
      </w:r>
      <w:r>
        <w:rPr>
          <w:rFonts w:hint="eastAsia" w:asciiTheme="minorEastAsia" w:hAnsiTheme="minorEastAsia" w:eastAsiaTheme="minorEastAsia" w:cstheme="minorEastAsia"/>
          <w:b/>
          <w:color w:val="auto"/>
          <w:kern w:val="0"/>
          <w:sz w:val="24"/>
          <w:szCs w:val="24"/>
          <w:highlight w:val="none"/>
        </w:rPr>
        <w:t>、投标人须在投标文件中书面承诺：提供产品的安装费用和上门售后服务费用</w:t>
      </w:r>
      <w:r>
        <w:rPr>
          <w:rFonts w:hint="eastAsia" w:asciiTheme="minorEastAsia" w:hAnsiTheme="minorEastAsia" w:eastAsiaTheme="minorEastAsia" w:cstheme="minorEastAsia"/>
          <w:b/>
          <w:color w:val="auto"/>
          <w:kern w:val="0"/>
          <w:sz w:val="24"/>
          <w:szCs w:val="24"/>
          <w:highlight w:val="none"/>
          <w:lang w:eastAsia="zh-CN"/>
        </w:rPr>
        <w:t>不高于</w:t>
      </w:r>
      <w:r>
        <w:rPr>
          <w:rFonts w:hint="eastAsia" w:asciiTheme="minorEastAsia" w:hAnsiTheme="minorEastAsia" w:eastAsiaTheme="minorEastAsia" w:cstheme="minorEastAsia"/>
          <w:b/>
          <w:color w:val="auto"/>
          <w:kern w:val="0"/>
          <w:sz w:val="24"/>
          <w:szCs w:val="24"/>
          <w:highlight w:val="none"/>
        </w:rPr>
        <w:t>以下收费标准执行。</w:t>
      </w:r>
    </w:p>
    <w:tbl>
      <w:tblPr>
        <w:tblStyle w:val="14"/>
        <w:tblW w:w="0" w:type="auto"/>
        <w:jc w:val="center"/>
        <w:tblLayout w:type="fixed"/>
        <w:tblCellMar>
          <w:top w:w="0" w:type="dxa"/>
          <w:left w:w="108" w:type="dxa"/>
          <w:bottom w:w="0" w:type="dxa"/>
          <w:right w:w="108" w:type="dxa"/>
        </w:tblCellMar>
      </w:tblPr>
      <w:tblGrid>
        <w:gridCol w:w="2125"/>
        <w:gridCol w:w="4977"/>
        <w:gridCol w:w="1194"/>
      </w:tblGrid>
      <w:tr>
        <w:tblPrEx>
          <w:tblCellMar>
            <w:top w:w="0" w:type="dxa"/>
            <w:left w:w="108" w:type="dxa"/>
            <w:bottom w:w="0" w:type="dxa"/>
            <w:right w:w="108" w:type="dxa"/>
          </w:tblCellMar>
        </w:tblPrEx>
        <w:trPr>
          <w:trHeight w:val="555" w:hRule="atLeast"/>
          <w:jc w:val="center"/>
        </w:trPr>
        <w:tc>
          <w:tcPr>
            <w:tcW w:w="21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费用名称</w:t>
            </w:r>
          </w:p>
        </w:tc>
        <w:tc>
          <w:tcPr>
            <w:tcW w:w="4977"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区域范围</w:t>
            </w:r>
          </w:p>
        </w:tc>
        <w:tc>
          <w:tcPr>
            <w:tcW w:w="1194" w:type="dxa"/>
            <w:tcBorders>
              <w:top w:val="single" w:color="auto" w:sz="4" w:space="0"/>
              <w:left w:val="nil"/>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收费标准</w:t>
            </w:r>
          </w:p>
        </w:tc>
      </w:tr>
      <w:tr>
        <w:tblPrEx>
          <w:tblCellMar>
            <w:top w:w="0" w:type="dxa"/>
            <w:left w:w="108" w:type="dxa"/>
            <w:bottom w:w="0" w:type="dxa"/>
            <w:right w:w="108" w:type="dxa"/>
          </w:tblCellMar>
        </w:tblPrEx>
        <w:trPr>
          <w:trHeight w:val="332" w:hRule="atLeast"/>
          <w:jc w:val="center"/>
        </w:trPr>
        <w:tc>
          <w:tcPr>
            <w:tcW w:w="212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激光</w:t>
            </w:r>
            <w:r>
              <w:rPr>
                <w:rFonts w:hint="eastAsia" w:asciiTheme="minorEastAsia" w:hAnsiTheme="minorEastAsia" w:eastAsiaTheme="minorEastAsia" w:cstheme="minorEastAsia"/>
                <w:b/>
                <w:bCs/>
                <w:color w:val="auto"/>
                <w:sz w:val="21"/>
                <w:szCs w:val="21"/>
                <w:highlight w:val="none"/>
                <w:lang w:eastAsia="zh-CN"/>
              </w:rPr>
              <w:t>一体</w:t>
            </w:r>
            <w:r>
              <w:rPr>
                <w:rFonts w:hint="eastAsia" w:asciiTheme="minorEastAsia" w:hAnsiTheme="minorEastAsia" w:eastAsiaTheme="minorEastAsia" w:cstheme="minorEastAsia"/>
                <w:b/>
                <w:bCs/>
                <w:color w:val="auto"/>
                <w:sz w:val="21"/>
                <w:szCs w:val="21"/>
                <w:highlight w:val="none"/>
              </w:rPr>
              <w:t>机安装费用</w:t>
            </w:r>
          </w:p>
        </w:tc>
        <w:tc>
          <w:tcPr>
            <w:tcW w:w="4977" w:type="dxa"/>
            <w:tcBorders>
              <w:top w:val="nil"/>
              <w:left w:val="nil"/>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厦门市全区、福州市区内、莆田市区内、泉州市区内、漳州市区内、龙岩市区内、三明市区内、南平市区内和宁德市区内（福建省各地市区外划分详见该表格备注栏）</w:t>
            </w:r>
          </w:p>
        </w:tc>
        <w:tc>
          <w:tcPr>
            <w:tcW w:w="1194" w:type="dxa"/>
            <w:tcBorders>
              <w:top w:val="nil"/>
              <w:left w:val="nil"/>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免费</w:t>
            </w:r>
          </w:p>
        </w:tc>
      </w:tr>
      <w:tr>
        <w:tblPrEx>
          <w:tblCellMar>
            <w:top w:w="0" w:type="dxa"/>
            <w:left w:w="108" w:type="dxa"/>
            <w:bottom w:w="0" w:type="dxa"/>
            <w:right w:w="108" w:type="dxa"/>
          </w:tblCellMar>
        </w:tblPrEx>
        <w:trPr>
          <w:trHeight w:val="332" w:hRule="atLeast"/>
          <w:jc w:val="center"/>
        </w:trPr>
        <w:tc>
          <w:tcPr>
            <w:tcW w:w="212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bCs/>
                <w:color w:val="auto"/>
                <w:sz w:val="21"/>
                <w:szCs w:val="21"/>
                <w:highlight w:val="none"/>
              </w:rPr>
            </w:pPr>
          </w:p>
        </w:tc>
        <w:tc>
          <w:tcPr>
            <w:tcW w:w="4977" w:type="dxa"/>
            <w:tcBorders>
              <w:top w:val="nil"/>
              <w:left w:val="nil"/>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福州市区外、莆田市区外、泉州市区外、漳州市区外、龙岩市区外、三明市区外、南平市区外和宁德市区外（福建省各地市区外划分详见该表格备注栏）</w:t>
            </w:r>
          </w:p>
        </w:tc>
        <w:tc>
          <w:tcPr>
            <w:tcW w:w="1194" w:type="dxa"/>
            <w:tcBorders>
              <w:top w:val="nil"/>
              <w:left w:val="nil"/>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79元/台</w:t>
            </w:r>
          </w:p>
        </w:tc>
      </w:tr>
      <w:tr>
        <w:tblPrEx>
          <w:tblCellMar>
            <w:top w:w="0" w:type="dxa"/>
            <w:left w:w="108" w:type="dxa"/>
            <w:bottom w:w="0" w:type="dxa"/>
            <w:right w:w="108" w:type="dxa"/>
          </w:tblCellMar>
        </w:tblPrEx>
        <w:trPr>
          <w:trHeight w:val="1140" w:hRule="atLeast"/>
          <w:jc w:val="center"/>
        </w:trPr>
        <w:tc>
          <w:tcPr>
            <w:tcW w:w="82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备注：福建省各地市的区内/区外划分</w:t>
            </w:r>
          </w:p>
          <w:tbl>
            <w:tblPr>
              <w:tblStyle w:val="14"/>
              <w:tblW w:w="0" w:type="auto"/>
              <w:tblInd w:w="0" w:type="dxa"/>
              <w:tblLayout w:type="fixed"/>
              <w:tblCellMar>
                <w:top w:w="0" w:type="dxa"/>
                <w:left w:w="108" w:type="dxa"/>
                <w:bottom w:w="0" w:type="dxa"/>
                <w:right w:w="108" w:type="dxa"/>
              </w:tblCellMar>
            </w:tblPr>
            <w:tblGrid>
              <w:gridCol w:w="1014"/>
              <w:gridCol w:w="993"/>
              <w:gridCol w:w="6053"/>
            </w:tblGrid>
            <w:tr>
              <w:tblPrEx>
                <w:tblCellMar>
                  <w:top w:w="0" w:type="dxa"/>
                  <w:left w:w="108" w:type="dxa"/>
                  <w:bottom w:w="0" w:type="dxa"/>
                  <w:right w:w="108" w:type="dxa"/>
                </w:tblCellMar>
              </w:tblPrEx>
              <w:trPr>
                <w:trHeight w:val="375"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厦门</w:t>
                  </w:r>
                </w:p>
              </w:tc>
              <w:tc>
                <w:tcPr>
                  <w:tcW w:w="99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岛内</w:t>
                  </w:r>
                </w:p>
              </w:tc>
              <w:tc>
                <w:tcPr>
                  <w:tcW w:w="605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思明区、湖里区</w:t>
                  </w:r>
                </w:p>
              </w:tc>
            </w:tr>
            <w:tr>
              <w:tblPrEx>
                <w:tblCellMar>
                  <w:top w:w="0" w:type="dxa"/>
                  <w:left w:w="108" w:type="dxa"/>
                  <w:bottom w:w="0" w:type="dxa"/>
                  <w:right w:w="108" w:type="dxa"/>
                </w:tblCellMar>
              </w:tblPrEx>
              <w:trPr>
                <w:trHeight w:val="40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kern w:val="0"/>
                      <w:sz w:val="21"/>
                      <w:szCs w:val="21"/>
                      <w:highlight w:val="none"/>
                    </w:rPr>
                  </w:pPr>
                </w:p>
              </w:tc>
              <w:tc>
                <w:tcPr>
                  <w:tcW w:w="99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岛外</w:t>
                  </w:r>
                </w:p>
              </w:tc>
              <w:tc>
                <w:tcPr>
                  <w:tcW w:w="605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海沧区、集美区、同安区、翔安区等厦门市非岛内范围</w:t>
                  </w:r>
                </w:p>
              </w:tc>
            </w:tr>
            <w:tr>
              <w:tblPrEx>
                <w:tblCellMar>
                  <w:top w:w="0" w:type="dxa"/>
                  <w:left w:w="108" w:type="dxa"/>
                  <w:bottom w:w="0" w:type="dxa"/>
                  <w:right w:w="108" w:type="dxa"/>
                </w:tblCellMar>
              </w:tblPrEx>
              <w:trPr>
                <w:trHeight w:val="310"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福州市</w:t>
                  </w:r>
                </w:p>
              </w:tc>
              <w:tc>
                <w:tcPr>
                  <w:tcW w:w="99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single" w:color="auto" w:sz="8" w:space="0"/>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鼓楼区、台江区、仓山区、晋安区、马尾区</w:t>
                  </w:r>
                </w:p>
              </w:tc>
            </w:tr>
            <w:tr>
              <w:tblPrEx>
                <w:tblCellMar>
                  <w:top w:w="0" w:type="dxa"/>
                  <w:left w:w="108" w:type="dxa"/>
                  <w:bottom w:w="0" w:type="dxa"/>
                  <w:right w:w="108" w:type="dxa"/>
                </w:tblCellMar>
              </w:tblPrEx>
              <w:trPr>
                <w:trHeight w:val="61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福清市、长乐市、闽侯县、连江县、罗源县、闽清县、永泰县、平潭县等福州市非区内范围</w:t>
                  </w:r>
                </w:p>
              </w:tc>
            </w:tr>
            <w:tr>
              <w:tblPrEx>
                <w:tblCellMar>
                  <w:top w:w="0" w:type="dxa"/>
                  <w:left w:w="108" w:type="dxa"/>
                  <w:bottom w:w="0" w:type="dxa"/>
                  <w:right w:w="108" w:type="dxa"/>
                </w:tblCellMar>
              </w:tblPrEx>
              <w:trPr>
                <w:trHeight w:val="390"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莆田市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城厢区、荔城区、涵江区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秀屿区、湄洲岛、仙游县、湄洲湾北岸开发区等莆田市非区内范围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泉州市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鲤城区、丰泽区、洛江区、泉港区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晋江市、石狮市、南安市、惠安县、安溪县、永春县、德化县等泉州市非区内范围</w:t>
                  </w:r>
                </w:p>
              </w:tc>
            </w:tr>
            <w:tr>
              <w:tblPrEx>
                <w:tblCellMar>
                  <w:top w:w="0" w:type="dxa"/>
                  <w:left w:w="108" w:type="dxa"/>
                  <w:bottom w:w="0" w:type="dxa"/>
                  <w:right w:w="108" w:type="dxa"/>
                </w:tblCellMar>
              </w:tblPrEx>
              <w:trPr>
                <w:trHeight w:val="40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漳州市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芗城区、龙文区</w:t>
                  </w:r>
                  <w:r>
                    <w:rPr>
                      <w:rFonts w:hint="eastAsia" w:asciiTheme="minorEastAsia" w:hAnsiTheme="minorEastAsia" w:eastAsiaTheme="minorEastAsia" w:cstheme="minorEastAsia"/>
                      <w:b/>
                      <w:color w:val="auto"/>
                      <w:kern w:val="0"/>
                      <w:sz w:val="21"/>
                      <w:szCs w:val="21"/>
                      <w:highlight w:val="none"/>
                      <w:lang w:eastAsia="zh-CN"/>
                    </w:rPr>
                    <w:t>、</w:t>
                  </w:r>
                  <w:r>
                    <w:rPr>
                      <w:rFonts w:hint="eastAsia" w:asciiTheme="minorEastAsia" w:hAnsiTheme="minorEastAsia" w:eastAsiaTheme="minorEastAsia" w:cstheme="minorEastAsia"/>
                      <w:b/>
                      <w:color w:val="auto"/>
                      <w:kern w:val="0"/>
                      <w:sz w:val="21"/>
                      <w:szCs w:val="21"/>
                      <w:highlight w:val="none"/>
                    </w:rPr>
                    <w:t>龙海</w:t>
                  </w:r>
                  <w:r>
                    <w:rPr>
                      <w:rFonts w:hint="eastAsia" w:asciiTheme="minorEastAsia" w:hAnsiTheme="minorEastAsia" w:eastAsiaTheme="minorEastAsia" w:cstheme="minorEastAsia"/>
                      <w:b/>
                      <w:color w:val="auto"/>
                      <w:kern w:val="0"/>
                      <w:sz w:val="21"/>
                      <w:szCs w:val="21"/>
                      <w:highlight w:val="none"/>
                    </w:rPr>
                    <w:t>区</w:t>
                  </w:r>
                  <w:r>
                    <w:rPr>
                      <w:rFonts w:hint="eastAsia" w:asciiTheme="minorEastAsia" w:hAnsiTheme="minorEastAsia" w:eastAsiaTheme="minorEastAsia" w:cstheme="minorEastAsia"/>
                      <w:b/>
                      <w:color w:val="auto"/>
                      <w:kern w:val="0"/>
                      <w:sz w:val="21"/>
                      <w:szCs w:val="21"/>
                      <w:highlight w:val="none"/>
                    </w:rPr>
                    <w:t>、长泰</w:t>
                  </w:r>
                  <w:r>
                    <w:rPr>
                      <w:rFonts w:hint="eastAsia" w:asciiTheme="minorEastAsia" w:hAnsiTheme="minorEastAsia" w:eastAsiaTheme="minorEastAsia" w:cstheme="minorEastAsia"/>
                      <w:b/>
                      <w:color w:val="auto"/>
                      <w:kern w:val="0"/>
                      <w:sz w:val="21"/>
                      <w:szCs w:val="21"/>
                      <w:highlight w:val="none"/>
                    </w:rPr>
                    <w:t>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云霄县、漳浦县、诏安县、东山县、南靖县、平和县、华安县等漳州市非区内范围</w:t>
                  </w:r>
                </w:p>
              </w:tc>
            </w:tr>
            <w:tr>
              <w:tblPrEx>
                <w:tblCellMar>
                  <w:top w:w="0" w:type="dxa"/>
                  <w:left w:w="108" w:type="dxa"/>
                  <w:bottom w:w="0" w:type="dxa"/>
                  <w:right w:w="108" w:type="dxa"/>
                </w:tblCellMar>
              </w:tblPrEx>
              <w:trPr>
                <w:trHeight w:val="28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龙岩市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新罗区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永定区、长汀县、连城县、上杭县、武平县等龙岩市非区内范围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三明市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梅列区、三元区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永安市、沙县、尤溪县、大田县、明溪县、清流县、宁化县、将乐县、泰宁县、建宁县等三明市非区内范围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南平市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延平区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顺昌县、建瓯市、邵武市、建阳区、政和县、松溪县、浦城县、武夷山市、光泽县等南平市非区内范围</w:t>
                  </w:r>
                </w:p>
              </w:tc>
            </w:tr>
            <w:tr>
              <w:tblPrEx>
                <w:tblCellMar>
                  <w:top w:w="0" w:type="dxa"/>
                  <w:left w:w="108" w:type="dxa"/>
                  <w:bottom w:w="0" w:type="dxa"/>
                  <w:right w:w="108" w:type="dxa"/>
                </w:tblCellMar>
              </w:tblPrEx>
              <w:trPr>
                <w:trHeight w:val="37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宁德市</w:t>
                  </w: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蕉城区、东侨新区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color w:val="auto"/>
                      <w:sz w:val="21"/>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福安市、福鼎市、霞浦县、古田县、屏南县、寿宁县、周宁县、柘荣县等宁德市非区内范围</w:t>
                  </w:r>
                </w:p>
              </w:tc>
            </w:tr>
          </w:tbl>
          <w:p>
            <w:pPr>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heme="minorEastAsia" w:hAnsiTheme="minorEastAsia" w:eastAsiaTheme="minorEastAsia" w:cstheme="minorEastAsia"/>
                <w:b/>
                <w:bCs/>
                <w:color w:val="auto"/>
                <w:sz w:val="21"/>
                <w:szCs w:val="21"/>
                <w:highlight w:val="none"/>
              </w:rPr>
            </w:pPr>
          </w:p>
        </w:tc>
      </w:tr>
    </w:tbl>
    <w:p>
      <w:pPr>
        <w:adjustRightInd w:val="0"/>
        <w:snapToGrid w:val="0"/>
        <w:spacing w:line="360" w:lineRule="auto"/>
        <w:ind w:firstLine="551" w:firstLineChars="196"/>
        <w:jc w:val="left"/>
        <w:rPr>
          <w:rFonts w:ascii="宋体" w:hAnsi="宋体"/>
          <w:b/>
          <w:color w:val="auto"/>
          <w:sz w:val="28"/>
          <w:szCs w:val="28"/>
          <w:highlight w:val="none"/>
        </w:rPr>
      </w:pPr>
    </w:p>
    <w:p>
      <w:pPr>
        <w:adjustRightInd w:val="0"/>
        <w:snapToGrid w:val="0"/>
        <w:spacing w:line="360" w:lineRule="auto"/>
        <w:ind w:firstLine="472" w:firstLineChars="196"/>
        <w:jc w:val="left"/>
        <w:rPr>
          <w:rFonts w:hint="eastAsia" w:ascii="宋体" w:hAnsi="宋体" w:cs="Times New Roman"/>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8</w:t>
      </w:r>
      <w:r>
        <w:rPr>
          <w:rFonts w:ascii="宋体" w:hAnsi="宋体" w:cs="Times New Roman"/>
          <w:b/>
          <w:color w:val="auto"/>
          <w:sz w:val="24"/>
          <w:szCs w:val="24"/>
          <w:highlight w:val="none"/>
        </w:rPr>
        <w:t>、投标人承诺若中标将无条件参与采购单位举办的壹年两次的政府大宗产品推介会，并且免费提供相应的中标机型作为样机展示，否则视为违约，投标人应按中标机型的中标单价向采购单位支付违约金，若投标人未向采购单位支付，则采购单位有权直接从履约保证金款项中直</w:t>
      </w:r>
      <w:r>
        <w:rPr>
          <w:rFonts w:hint="eastAsia" w:ascii="宋体" w:hAnsi="宋体" w:cs="Times New Roman"/>
          <w:b/>
          <w:color w:val="auto"/>
          <w:sz w:val="24"/>
          <w:szCs w:val="24"/>
          <w:highlight w:val="none"/>
        </w:rPr>
        <w:t>接给予扣除。</w:t>
      </w:r>
    </w:p>
    <w:p>
      <w:pPr>
        <w:adjustRightInd w:val="0"/>
        <w:snapToGrid w:val="0"/>
        <w:spacing w:line="360" w:lineRule="auto"/>
        <w:ind w:firstLine="472" w:firstLineChars="196"/>
        <w:jc w:val="left"/>
        <w:rPr>
          <w:rFonts w:ascii="宋体" w:hAnsi="宋体" w:cs="Times New Roman"/>
          <w:b/>
          <w:color w:val="auto"/>
          <w:sz w:val="24"/>
          <w:szCs w:val="24"/>
          <w:highlight w:val="none"/>
        </w:rPr>
      </w:pPr>
      <w:r>
        <w:rPr>
          <w:rFonts w:hint="eastAsia" w:ascii="宋体" w:hAnsi="宋体" w:cs="Times New Roman"/>
          <w:b/>
          <w:color w:val="auto"/>
          <w:sz w:val="24"/>
          <w:szCs w:val="24"/>
          <w:highlight w:val="none"/>
        </w:rPr>
        <w:t>*9、</w:t>
      </w:r>
      <w:r>
        <w:rPr>
          <w:rFonts w:hint="eastAsia" w:ascii="宋体" w:hAnsi="宋体" w:cs="Times New Roman"/>
          <w:b/>
          <w:color w:val="auto"/>
          <w:sz w:val="24"/>
          <w:szCs w:val="24"/>
          <w:highlight w:val="none"/>
          <w:lang w:eastAsia="zh-CN"/>
        </w:rPr>
        <w:t>报价人</w:t>
      </w:r>
      <w:r>
        <w:rPr>
          <w:rFonts w:ascii="宋体" w:hAnsi="宋体" w:cs="Times New Roman"/>
          <w:b/>
          <w:color w:val="auto"/>
          <w:sz w:val="24"/>
          <w:szCs w:val="24"/>
          <w:highlight w:val="none"/>
        </w:rPr>
        <w:t>承诺若中标</w:t>
      </w:r>
      <w:r>
        <w:rPr>
          <w:rFonts w:hint="eastAsia" w:ascii="宋体" w:hAnsi="宋体" w:cs="Times New Roman"/>
          <w:b/>
          <w:color w:val="auto"/>
          <w:sz w:val="24"/>
          <w:szCs w:val="24"/>
          <w:highlight w:val="none"/>
        </w:rPr>
        <w:t>，验收时（包括初验和最终验收），</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必须派代表参加并确认验收结果，否则视为</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对验收意见无异议。如该批次产品在最终验收时，出现开箱破损或者故障，无法进行最终验收的，</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无条件给予更换新机并保证最终验收的顺畅进行。若</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不同意更换新机或者配合，采购单位有权直接于中标供应商的履约保证金中扣除该批次产品及安装的等额费用，该条款可能造成的成本费用包含在</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的总报价中。</w:t>
      </w:r>
    </w:p>
    <w:p>
      <w:pPr>
        <w:adjustRightInd w:val="0"/>
        <w:snapToGrid w:val="0"/>
        <w:spacing w:line="360" w:lineRule="auto"/>
        <w:ind w:firstLine="472" w:firstLineChars="196"/>
        <w:jc w:val="left"/>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10</w:t>
      </w:r>
      <w:r>
        <w:rPr>
          <w:rFonts w:hint="eastAsia" w:ascii="宋体" w:hAnsi="宋体" w:cs="Times New Roman"/>
          <w:b/>
          <w:color w:val="auto"/>
          <w:sz w:val="24"/>
          <w:szCs w:val="24"/>
          <w:highlight w:val="none"/>
        </w:rPr>
        <w:t>、</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若中标，因</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产品给采购单位造成的客诉，若</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在接到采购单位通知后3个日历日内无法解决客诉，采购单位有权自行解决客诉，并直接于</w:t>
      </w:r>
      <w:r>
        <w:rPr>
          <w:rFonts w:hint="eastAsia" w:ascii="宋体" w:hAnsi="宋体" w:cs="Times New Roman"/>
          <w:b/>
          <w:color w:val="auto"/>
          <w:sz w:val="24"/>
          <w:szCs w:val="24"/>
          <w:highlight w:val="none"/>
          <w:lang w:eastAsia="zh-CN"/>
        </w:rPr>
        <w:t>报价人</w:t>
      </w:r>
      <w:r>
        <w:rPr>
          <w:rFonts w:hint="eastAsia" w:ascii="宋体" w:hAnsi="宋体" w:cs="Times New Roman"/>
          <w:b/>
          <w:color w:val="auto"/>
          <w:sz w:val="24"/>
          <w:szCs w:val="24"/>
          <w:highlight w:val="none"/>
        </w:rPr>
        <w:t>的履约保证金中扣除解决客诉所产生的费用。</w:t>
      </w:r>
    </w:p>
    <w:p>
      <w:pPr>
        <w:adjustRightInd w:val="0"/>
        <w:snapToGrid w:val="0"/>
        <w:spacing w:line="360" w:lineRule="auto"/>
        <w:ind w:firstLine="472" w:firstLineChars="196"/>
        <w:jc w:val="left"/>
        <w:rPr>
          <w:rFonts w:hint="eastAsia" w:ascii="宋体" w:hAnsi="宋体" w:cs="Times New Roman"/>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11、</w:t>
      </w:r>
      <w:r>
        <w:rPr>
          <w:rFonts w:hint="eastAsia" w:ascii="宋体" w:hAnsi="宋体" w:cs="Times New Roman"/>
          <w:b/>
          <w:color w:val="auto"/>
          <w:sz w:val="24"/>
          <w:szCs w:val="24"/>
          <w:highlight w:val="none"/>
        </w:rPr>
        <w:t>投标人须在投标文件中书面承诺：中标供应商不按采购合同履行的，采购单位有权与排位在中标供应商之后第一位的中标候选供应商签订采购合同，以此类推。并且，作为中标供应商之后第一位的中标候选供应商同意与采购单位在中标结果公示期结束后直接按其报价签订采购合同。</w:t>
      </w:r>
    </w:p>
    <w:p>
      <w:pPr>
        <w:adjustRightInd w:val="0"/>
        <w:snapToGrid w:val="0"/>
        <w:spacing w:line="360" w:lineRule="auto"/>
        <w:ind w:firstLine="472" w:firstLineChars="196"/>
        <w:jc w:val="left"/>
        <w:rPr>
          <w:rFonts w:ascii="宋体" w:hAnsi="宋体"/>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12、</w:t>
      </w:r>
      <w:r>
        <w:rPr>
          <w:rFonts w:ascii="宋体" w:hAnsi="宋体" w:cs="Times New Roman"/>
          <w:b/>
          <w:color w:val="auto"/>
          <w:sz w:val="24"/>
          <w:szCs w:val="24"/>
          <w:highlight w:val="none"/>
        </w:rPr>
        <w:t>投标人对合同条款的任何负偏离将导致废标。</w:t>
      </w:r>
    </w:p>
    <w:p>
      <w:pPr>
        <w:adjustRightInd w:val="0"/>
        <w:snapToGrid w:val="0"/>
        <w:spacing w:line="360" w:lineRule="auto"/>
        <w:ind w:firstLine="472" w:firstLineChars="196"/>
        <w:jc w:val="left"/>
        <w:rPr>
          <w:rFonts w:ascii="宋体" w:hAnsi="宋体"/>
          <w:b/>
          <w:color w:val="auto"/>
          <w:sz w:val="24"/>
          <w:szCs w:val="24"/>
          <w:highlight w:val="none"/>
        </w:rPr>
      </w:pPr>
      <w:r>
        <w:rPr>
          <w:rFonts w:ascii="宋体" w:hAnsi="宋体" w:cs="Times New Roman"/>
          <w:b/>
          <w:color w:val="auto"/>
          <w:sz w:val="24"/>
          <w:szCs w:val="24"/>
          <w:highlight w:val="none"/>
        </w:rPr>
        <w:t>*1</w:t>
      </w:r>
      <w:r>
        <w:rPr>
          <w:rFonts w:hint="eastAsia" w:ascii="宋体" w:hAnsi="宋体" w:cs="Times New Roman"/>
          <w:b/>
          <w:color w:val="auto"/>
          <w:sz w:val="24"/>
          <w:szCs w:val="24"/>
          <w:highlight w:val="none"/>
          <w:lang w:val="en-US" w:eastAsia="zh-CN"/>
        </w:rPr>
        <w:t>3</w:t>
      </w:r>
      <w:r>
        <w:rPr>
          <w:rFonts w:ascii="宋体" w:hAnsi="宋体" w:cs="Times New Roman"/>
          <w:b/>
          <w:color w:val="auto"/>
          <w:sz w:val="24"/>
          <w:szCs w:val="24"/>
          <w:highlight w:val="none"/>
        </w:rPr>
        <w:t>、对“一、</w:t>
      </w:r>
      <w:r>
        <w:rPr>
          <w:rFonts w:hint="eastAsia" w:ascii="宋体" w:hAnsi="宋体" w:cs="Times New Roman"/>
          <w:b/>
          <w:color w:val="auto"/>
          <w:sz w:val="24"/>
          <w:szCs w:val="24"/>
          <w:highlight w:val="none"/>
          <w:lang w:eastAsia="zh-CN"/>
        </w:rPr>
        <w:t>招标要求</w:t>
      </w:r>
      <w:r>
        <w:rPr>
          <w:rFonts w:ascii="宋体" w:hAnsi="宋体" w:cs="Times New Roman"/>
          <w:b/>
          <w:color w:val="auto"/>
          <w:sz w:val="24"/>
          <w:szCs w:val="24"/>
          <w:highlight w:val="none"/>
        </w:rPr>
        <w:t>”中带星号（“*”）的条款，投标人必须</w:t>
      </w:r>
      <w:r>
        <w:rPr>
          <w:rFonts w:hint="eastAsia" w:ascii="宋体" w:hAnsi="宋体" w:cs="宋体"/>
          <w:b/>
          <w:color w:val="auto"/>
          <w:sz w:val="24"/>
          <w:szCs w:val="24"/>
          <w:highlight w:val="none"/>
        </w:rPr>
        <w:t>在投标文件中提供产品宣传单页或产品说明书或厂家官网产品页截图（加盖投标人公章，若投标人为联合体投标的，联合体中的其中一方盖章即可。）。</w:t>
      </w:r>
    </w:p>
    <w:p>
      <w:pPr>
        <w:adjustRightInd w:val="0"/>
        <w:snapToGrid w:val="0"/>
        <w:spacing w:line="360" w:lineRule="auto"/>
        <w:ind w:firstLine="472" w:firstLineChars="196"/>
        <w:jc w:val="left"/>
        <w:rPr>
          <w:rFonts w:ascii="宋体" w:hAnsi="宋体" w:cs="宋体"/>
          <w:b/>
          <w:color w:val="auto"/>
          <w:sz w:val="24"/>
          <w:szCs w:val="24"/>
          <w:highlight w:val="none"/>
        </w:rPr>
      </w:pPr>
      <w:r>
        <w:rPr>
          <w:rFonts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ascii="宋体" w:hAnsi="宋体" w:cs="宋体"/>
          <w:b/>
          <w:color w:val="auto"/>
          <w:sz w:val="24"/>
          <w:szCs w:val="24"/>
          <w:highlight w:val="none"/>
        </w:rPr>
        <w:t>、凡属制造商的关联企业，其关联关系应符合《企业会计准则第36号——关联方披露（2006）》（财会[2006]3号）中“关联方关系”的要求，报价人应在报价文件中按后附格式提供《关联企业</w:t>
      </w:r>
      <w:r>
        <w:rPr>
          <w:rFonts w:hint="eastAsia" w:ascii="宋体" w:hAnsi="宋体" w:cs="宋体"/>
          <w:b/>
          <w:color w:val="auto"/>
          <w:sz w:val="24"/>
          <w:szCs w:val="24"/>
          <w:highlight w:val="none"/>
        </w:rPr>
        <w:t>证明》。</w:t>
      </w:r>
    </w:p>
    <w:p>
      <w:pPr>
        <w:spacing w:line="360" w:lineRule="auto"/>
        <w:rPr>
          <w:b/>
          <w:color w:val="auto"/>
          <w:sz w:val="24"/>
          <w:szCs w:val="24"/>
          <w:highlight w:val="none"/>
        </w:rPr>
      </w:pPr>
      <w:r>
        <w:rPr>
          <w:rFonts w:hint="eastAsia" w:ascii="Times New Roman" w:hAnsi="Times New Roman" w:cs="Times New Roman"/>
          <w:b/>
          <w:color w:val="auto"/>
          <w:sz w:val="24"/>
          <w:szCs w:val="24"/>
          <w:highlight w:val="none"/>
        </w:rPr>
        <w:t>附件：关联关系证明</w:t>
      </w:r>
    </w:p>
    <w:p>
      <w:pPr>
        <w:spacing w:line="360" w:lineRule="auto"/>
        <w:jc w:val="center"/>
        <w:rPr>
          <w:b/>
          <w:color w:val="auto"/>
          <w:sz w:val="24"/>
          <w:szCs w:val="24"/>
          <w:highlight w:val="none"/>
        </w:rPr>
      </w:pPr>
      <w:r>
        <w:rPr>
          <w:rFonts w:hint="eastAsia" w:ascii="Times New Roman" w:hAnsi="Times New Roman" w:cs="Times New Roman"/>
          <w:b/>
          <w:color w:val="auto"/>
          <w:sz w:val="24"/>
          <w:szCs w:val="24"/>
          <w:highlight w:val="none"/>
        </w:rPr>
        <w:t>关联企业证明</w:t>
      </w:r>
    </w:p>
    <w:p>
      <w:pPr>
        <w:spacing w:line="360" w:lineRule="auto"/>
        <w:rPr>
          <w:b/>
          <w:color w:val="auto"/>
          <w:sz w:val="24"/>
          <w:szCs w:val="24"/>
          <w:highlight w:val="none"/>
        </w:rPr>
      </w:pPr>
      <w:r>
        <w:rPr>
          <w:rFonts w:hint="eastAsia" w:ascii="Times New Roman" w:hAnsi="Times New Roman" w:cs="Times New Roman"/>
          <w:b/>
          <w:color w:val="auto"/>
          <w:sz w:val="24"/>
          <w:szCs w:val="24"/>
          <w:highlight w:val="none"/>
        </w:rPr>
        <w:t>致：</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（采购代理机构）</w:t>
      </w:r>
      <w:r>
        <w:rPr>
          <w:rFonts w:ascii="Times New Roman" w:hAnsi="Times New Roman" w:cs="Times New Roman"/>
          <w:b/>
          <w:color w:val="auto"/>
          <w:sz w:val="24"/>
          <w:szCs w:val="24"/>
          <w:highlight w:val="none"/>
          <w:u w:val="single"/>
        </w:rPr>
        <w:t xml:space="preserve">  </w:t>
      </w:r>
    </w:p>
    <w:p>
      <w:pPr>
        <w:spacing w:line="360" w:lineRule="auto"/>
        <w:ind w:firstLine="482" w:firstLineChars="200"/>
        <w:rPr>
          <w:b/>
          <w:color w:val="auto"/>
          <w:sz w:val="24"/>
          <w:szCs w:val="24"/>
          <w:highlight w:val="none"/>
        </w:rPr>
      </w:pP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（制造商或制造商关联企业名称）</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rPr>
        <w:t>现在此声明，根据本项目招标文件的要求</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（制造商关联企业名称）</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是</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u w:val="single"/>
        </w:rPr>
        <w:t>（制造商名称）</w:t>
      </w:r>
      <w:r>
        <w:rPr>
          <w:rFonts w:ascii="Times New Roman" w:hAnsi="Times New Roman" w:cs="Times New Roman"/>
          <w:b/>
          <w:color w:val="auto"/>
          <w:sz w:val="24"/>
          <w:szCs w:val="24"/>
          <w:highlight w:val="none"/>
          <w:u w:val="single"/>
        </w:rPr>
        <w:t xml:space="preserve"> </w:t>
      </w:r>
      <w:r>
        <w:rPr>
          <w:rFonts w:hint="eastAsia" w:ascii="Times New Roman" w:hAnsi="Times New Roman" w:cs="Times New Roman"/>
          <w:b/>
          <w:color w:val="auto"/>
          <w:sz w:val="24"/>
          <w:szCs w:val="24"/>
          <w:highlight w:val="none"/>
        </w:rPr>
        <w:t>的关联企业，</w:t>
      </w:r>
    </w:p>
    <w:p>
      <w:pPr>
        <w:spacing w:line="360" w:lineRule="auto"/>
        <w:ind w:firstLine="482" w:firstLineChars="200"/>
        <w:rPr>
          <w:b/>
          <w:color w:val="auto"/>
          <w:sz w:val="24"/>
          <w:szCs w:val="24"/>
          <w:highlight w:val="none"/>
        </w:rPr>
      </w:pPr>
      <w:r>
        <w:rPr>
          <w:rFonts w:hint="eastAsia" w:ascii="Times New Roman" w:hAnsi="Times New Roman" w:cs="Times New Roman"/>
          <w:b/>
          <w:color w:val="auto"/>
          <w:sz w:val="24"/>
          <w:szCs w:val="24"/>
          <w:highlight w:val="none"/>
        </w:rPr>
        <w:t>特此证明。</w:t>
      </w:r>
    </w:p>
    <w:p>
      <w:pPr>
        <w:spacing w:line="360" w:lineRule="auto"/>
        <w:ind w:firstLine="482" w:firstLineChars="200"/>
        <w:rPr>
          <w:b/>
          <w:color w:val="auto"/>
          <w:sz w:val="24"/>
          <w:szCs w:val="24"/>
          <w:highlight w:val="none"/>
        </w:rPr>
      </w:pPr>
    </w:p>
    <w:p>
      <w:pPr>
        <w:spacing w:line="360" w:lineRule="auto"/>
        <w:ind w:firstLine="482" w:firstLineChars="200"/>
        <w:rPr>
          <w:b/>
          <w:color w:val="auto"/>
          <w:sz w:val="24"/>
          <w:szCs w:val="24"/>
          <w:highlight w:val="none"/>
          <w:u w:val="single"/>
        </w:rPr>
      </w:pPr>
      <w:r>
        <w:rPr>
          <w:rFonts w:hint="eastAsia" w:ascii="Times New Roman" w:hAnsi="Times New Roman" w:cs="Times New Roman"/>
          <w:b/>
          <w:color w:val="auto"/>
          <w:sz w:val="24"/>
          <w:szCs w:val="24"/>
          <w:highlight w:val="none"/>
        </w:rPr>
        <w:t>制造商或制造商关联企业名称</w:t>
      </w:r>
      <w:r>
        <w:rPr>
          <w:rFonts w:hint="eastAsia" w:ascii="Times New Roman" w:hAnsi="Times New Roman" w:cs="Times New Roman"/>
          <w:b/>
          <w:color w:val="auto"/>
          <w:sz w:val="24"/>
          <w:szCs w:val="24"/>
          <w:highlight w:val="none"/>
          <w:u w:val="single"/>
        </w:rPr>
        <w:t>：</w:t>
      </w:r>
      <w:r>
        <w:rPr>
          <w:rFonts w:ascii="Times New Roman" w:hAnsi="Times New Roman" w:cs="Times New Roman"/>
          <w:b/>
          <w:color w:val="auto"/>
          <w:sz w:val="24"/>
          <w:szCs w:val="24"/>
          <w:highlight w:val="none"/>
          <w:u w:val="single"/>
        </w:rPr>
        <w:t xml:space="preserve">                            </w:t>
      </w:r>
    </w:p>
    <w:p>
      <w:pPr>
        <w:spacing w:line="360" w:lineRule="auto"/>
        <w:ind w:firstLine="482" w:firstLineChars="200"/>
        <w:rPr>
          <w:b/>
          <w:color w:val="auto"/>
          <w:sz w:val="24"/>
          <w:szCs w:val="24"/>
          <w:highlight w:val="none"/>
        </w:rPr>
      </w:pPr>
      <w:r>
        <w:rPr>
          <w:rFonts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rPr>
        <w:t>（盖章）</w:t>
      </w:r>
      <w:r>
        <w:rPr>
          <w:rFonts w:ascii="Times New Roman" w:hAnsi="Times New Roman" w:cs="Times New Roman"/>
          <w:b/>
          <w:color w:val="auto"/>
          <w:sz w:val="24"/>
          <w:szCs w:val="24"/>
          <w:highlight w:val="none"/>
        </w:rPr>
        <w:t xml:space="preserve">                       </w:t>
      </w:r>
      <w:r>
        <w:rPr>
          <w:rFonts w:hint="eastAsia" w:ascii="Times New Roman" w:hAnsi="Times New Roman" w:cs="Times New Roman"/>
          <w:b/>
          <w:color w:val="auto"/>
          <w:sz w:val="24"/>
          <w:szCs w:val="24"/>
          <w:highlight w:val="none"/>
        </w:rPr>
        <w:t>日期：</w:t>
      </w:r>
    </w:p>
    <w:p>
      <w:pPr>
        <w:spacing w:line="360" w:lineRule="auto"/>
        <w:ind w:firstLine="482" w:firstLineChars="200"/>
        <w:rPr>
          <w:rFonts w:ascii="宋体" w:hAnsi="宋体"/>
          <w:b/>
          <w:color w:val="auto"/>
          <w:sz w:val="24"/>
          <w:szCs w:val="24"/>
          <w:highlight w:val="none"/>
        </w:rPr>
      </w:pPr>
    </w:p>
    <w:p>
      <w:pPr>
        <w:spacing w:line="360" w:lineRule="auto"/>
        <w:ind w:firstLine="482" w:firstLineChars="200"/>
        <w:rPr>
          <w:rFonts w:ascii="宋体" w:hAnsi="宋体"/>
          <w:b/>
          <w:color w:val="auto"/>
          <w:sz w:val="24"/>
          <w:szCs w:val="24"/>
          <w:highlight w:val="none"/>
        </w:rPr>
      </w:pPr>
      <w:r>
        <w:rPr>
          <w:rFonts w:ascii="宋体" w:hAnsi="宋体" w:cs="Times New Roman"/>
          <w:b/>
          <w:color w:val="auto"/>
          <w:sz w:val="24"/>
          <w:szCs w:val="24"/>
          <w:highlight w:val="none"/>
        </w:rPr>
        <w:t>*1</w:t>
      </w:r>
      <w:r>
        <w:rPr>
          <w:rFonts w:hint="eastAsia" w:ascii="宋体" w:hAnsi="宋体" w:cs="Times New Roman"/>
          <w:b/>
          <w:color w:val="auto"/>
          <w:sz w:val="24"/>
          <w:szCs w:val="24"/>
          <w:highlight w:val="none"/>
          <w:lang w:val="en-US" w:eastAsia="zh-CN"/>
        </w:rPr>
        <w:t>5</w:t>
      </w:r>
      <w:r>
        <w:rPr>
          <w:rFonts w:ascii="宋体" w:hAnsi="宋体" w:cs="Times New Roman"/>
          <w:b/>
          <w:color w:val="auto"/>
          <w:sz w:val="24"/>
          <w:szCs w:val="24"/>
          <w:highlight w:val="none"/>
        </w:rPr>
        <w:t>、投标人所投标设备应符合国家强制性产品认证标准的要求，获得CCC认证证书，并在投标文件中提供CCC认证证书的复印件。</w:t>
      </w:r>
    </w:p>
    <w:p>
      <w:pPr>
        <w:numPr>
          <w:ilvl w:val="0"/>
          <w:numId w:val="3"/>
        </w:numPr>
        <w:spacing w:line="360" w:lineRule="auto"/>
        <w:ind w:firstLine="480" w:firstLineChars="200"/>
        <w:rPr>
          <w:rFonts w:hint="eastAsia" w:ascii="宋体" w:hAnsi="宋体"/>
          <w:b w:val="0"/>
          <w:bCs/>
          <w:color w:val="auto"/>
          <w:sz w:val="24"/>
          <w:szCs w:val="24"/>
          <w:highlight w:val="none"/>
        </w:rPr>
      </w:pPr>
      <w:r>
        <w:rPr>
          <w:rFonts w:hint="eastAsia" w:ascii="宋体" w:hAnsi="宋体"/>
          <w:b w:val="0"/>
          <w:bCs/>
          <w:color w:val="auto"/>
          <w:sz w:val="24"/>
          <w:szCs w:val="24"/>
          <w:highlight w:val="none"/>
        </w:rPr>
        <w:t>投标人应当遵循诚实信用原则，不得作虚假承诺，投标人承诺不实的，属于提供虚假材料谋取中标、成交，应依法承担相应的法律责任。投标人提供虚假</w:t>
      </w:r>
      <w:r>
        <w:rPr>
          <w:rFonts w:hint="eastAsia" w:ascii="宋体" w:hAnsi="宋体"/>
          <w:b w:val="0"/>
          <w:bCs/>
          <w:color w:val="auto"/>
          <w:sz w:val="24"/>
          <w:szCs w:val="24"/>
          <w:highlight w:val="none"/>
          <w:lang w:eastAsia="zh-CN"/>
        </w:rPr>
        <w:t>材料</w:t>
      </w:r>
      <w:r>
        <w:rPr>
          <w:rFonts w:hint="eastAsia" w:ascii="宋体" w:hAnsi="宋体"/>
          <w:b w:val="0"/>
          <w:bCs/>
          <w:color w:val="auto"/>
          <w:sz w:val="24"/>
          <w:szCs w:val="24"/>
          <w:highlight w:val="none"/>
        </w:rPr>
        <w:t>，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有权上报财政部门，建议财政部门将该投标人列入不良行为记录名单，在一至三年内禁止该投标人参加政府采购活动并予以通报。</w:t>
      </w:r>
    </w:p>
    <w:p>
      <w:pPr>
        <w:pStyle w:val="43"/>
        <w:spacing w:line="360" w:lineRule="auto"/>
        <w:ind w:firstLine="0" w:firstLineChars="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五、付款方式</w:t>
      </w:r>
    </w:p>
    <w:p>
      <w:pPr>
        <w:spacing w:line="360" w:lineRule="auto"/>
        <w:ind w:firstLine="482" w:firstLineChars="200"/>
        <w:rPr>
          <w:rFonts w:ascii="宋体" w:hAnsi="宋体"/>
          <w:b/>
          <w:color w:val="auto"/>
          <w:sz w:val="24"/>
          <w:szCs w:val="24"/>
          <w:highlight w:val="none"/>
        </w:rPr>
      </w:pPr>
      <w:r>
        <w:rPr>
          <w:rFonts w:hint="eastAsia" w:ascii="宋体" w:hAnsi="宋体" w:cs="宋体"/>
          <w:b/>
          <w:color w:val="auto"/>
          <w:sz w:val="24"/>
          <w:szCs w:val="24"/>
          <w:highlight w:val="none"/>
        </w:rPr>
        <w:t>投标人</w:t>
      </w:r>
      <w:r>
        <w:rPr>
          <w:rFonts w:hint="eastAsia" w:ascii="宋体" w:hAnsi="宋体" w:cs="Times New Roman"/>
          <w:b/>
          <w:color w:val="auto"/>
          <w:sz w:val="24"/>
          <w:szCs w:val="24"/>
          <w:highlight w:val="none"/>
        </w:rPr>
        <w:t>须对以下条款承诺：</w:t>
      </w:r>
    </w:p>
    <w:p>
      <w:pPr>
        <w:spacing w:line="360" w:lineRule="auto"/>
        <w:ind w:firstLine="482" w:firstLineChars="200"/>
        <w:rPr>
          <w:rFonts w:hint="eastAsia" w:ascii="宋体" w:hAnsi="宋体" w:cs="Times New Roman"/>
          <w:b/>
          <w:color w:val="auto"/>
          <w:sz w:val="24"/>
          <w:szCs w:val="24"/>
          <w:highlight w:val="none"/>
        </w:rPr>
      </w:pPr>
      <w:r>
        <w:rPr>
          <w:rFonts w:ascii="宋体" w:hAnsi="宋体" w:cs="Times New Roman"/>
          <w:b/>
          <w:color w:val="auto"/>
          <w:sz w:val="24"/>
          <w:szCs w:val="24"/>
          <w:highlight w:val="none"/>
        </w:rPr>
        <w:t>*1、</w:t>
      </w:r>
      <w:r>
        <w:rPr>
          <w:rFonts w:hint="eastAsia" w:ascii="宋体" w:hAnsi="宋体" w:eastAsia="宋体" w:cs="宋体"/>
          <w:b/>
          <w:color w:val="auto"/>
          <w:sz w:val="24"/>
          <w:szCs w:val="24"/>
          <w:highlight w:val="none"/>
        </w:rPr>
        <w:t>中标供应商</w:t>
      </w:r>
      <w:r>
        <w:rPr>
          <w:rFonts w:ascii="宋体" w:hAnsi="宋体" w:cs="Times New Roman"/>
          <w:b/>
          <w:color w:val="auto"/>
          <w:sz w:val="24"/>
          <w:szCs w:val="24"/>
          <w:highlight w:val="none"/>
        </w:rPr>
        <w:t>应</w:t>
      </w:r>
      <w:r>
        <w:rPr>
          <w:rFonts w:hint="eastAsia" w:ascii="宋体" w:hAnsi="宋体" w:cs="Times New Roman"/>
          <w:b/>
          <w:color w:val="auto"/>
          <w:sz w:val="24"/>
          <w:szCs w:val="24"/>
          <w:highlight w:val="none"/>
        </w:rPr>
        <w:t>在合同签订之日起7个日历日内向采购单位缴交合同总金额</w:t>
      </w:r>
      <w:r>
        <w:rPr>
          <w:rFonts w:hint="eastAsia" w:ascii="宋体" w:hAnsi="宋体" w:cs="Times New Roman"/>
          <w:b/>
          <w:color w:val="auto"/>
          <w:sz w:val="24"/>
          <w:szCs w:val="24"/>
          <w:highlight w:val="none"/>
          <w:lang w:val="en-US" w:eastAsia="zh-CN"/>
        </w:rPr>
        <w:t>2</w:t>
      </w:r>
      <w:r>
        <w:rPr>
          <w:rFonts w:hint="eastAsia" w:ascii="宋体" w:hAnsi="宋体" w:cs="Times New Roman"/>
          <w:b/>
          <w:color w:val="auto"/>
          <w:sz w:val="24"/>
          <w:szCs w:val="24"/>
          <w:highlight w:val="none"/>
        </w:rPr>
        <w:t>%的供货履约保证金及合同总金额</w:t>
      </w:r>
      <w:r>
        <w:rPr>
          <w:rFonts w:hint="eastAsia" w:ascii="宋体" w:hAnsi="宋体" w:cs="Times New Roman"/>
          <w:b/>
          <w:color w:val="auto"/>
          <w:sz w:val="24"/>
          <w:szCs w:val="24"/>
          <w:highlight w:val="none"/>
          <w:lang w:val="en-US" w:eastAsia="zh-CN"/>
        </w:rPr>
        <w:t>3</w:t>
      </w:r>
      <w:r>
        <w:rPr>
          <w:rFonts w:hint="eastAsia" w:ascii="宋体" w:hAnsi="宋体" w:cs="Times New Roman"/>
          <w:b/>
          <w:color w:val="auto"/>
          <w:sz w:val="24"/>
          <w:szCs w:val="24"/>
          <w:highlight w:val="none"/>
        </w:rPr>
        <w:t>%的服务履约保证金。供货履约保证金，采购单位于本合同有效期满且最后一批次货物供货完成后</w:t>
      </w:r>
      <w:r>
        <w:rPr>
          <w:rFonts w:hint="eastAsia" w:ascii="宋体" w:hAnsi="宋体" w:cs="Times New Roman"/>
          <w:b/>
          <w:color w:val="auto"/>
          <w:sz w:val="24"/>
          <w:szCs w:val="24"/>
          <w:highlight w:val="none"/>
          <w:lang w:val="en-US" w:eastAsia="zh-CN"/>
        </w:rPr>
        <w:t>2</w:t>
      </w:r>
      <w:r>
        <w:rPr>
          <w:rFonts w:ascii="宋体" w:hAnsi="宋体" w:cs="Times New Roman"/>
          <w:b/>
          <w:color w:val="auto"/>
          <w:sz w:val="24"/>
          <w:szCs w:val="24"/>
          <w:highlight w:val="none"/>
        </w:rPr>
        <w:t>0</w:t>
      </w:r>
      <w:r>
        <w:rPr>
          <w:rFonts w:hint="eastAsia" w:ascii="宋体" w:hAnsi="宋体" w:cs="Times New Roman"/>
          <w:b/>
          <w:color w:val="auto"/>
          <w:sz w:val="24"/>
          <w:szCs w:val="24"/>
          <w:highlight w:val="none"/>
        </w:rPr>
        <w:t>个工作日内一次性无息支付给</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（扣除相应的违约金、赔偿金）。服务履约保证金，采购单位于本合同有效期内最后一批次货物保修期届满后</w:t>
      </w:r>
      <w:r>
        <w:rPr>
          <w:rFonts w:hint="eastAsia" w:ascii="宋体" w:hAnsi="宋体" w:cs="Times New Roman"/>
          <w:b/>
          <w:color w:val="auto"/>
          <w:sz w:val="24"/>
          <w:szCs w:val="24"/>
          <w:highlight w:val="none"/>
          <w:lang w:val="en-US" w:eastAsia="zh-CN"/>
        </w:rPr>
        <w:t>2</w:t>
      </w:r>
      <w:r>
        <w:rPr>
          <w:rFonts w:ascii="宋体" w:hAnsi="宋体" w:cs="Times New Roman"/>
          <w:b/>
          <w:color w:val="auto"/>
          <w:sz w:val="24"/>
          <w:szCs w:val="24"/>
          <w:highlight w:val="none"/>
        </w:rPr>
        <w:t>0</w:t>
      </w:r>
      <w:r>
        <w:rPr>
          <w:rFonts w:hint="eastAsia" w:ascii="宋体" w:hAnsi="宋体" w:cs="Times New Roman"/>
          <w:b/>
          <w:color w:val="auto"/>
          <w:sz w:val="24"/>
          <w:szCs w:val="24"/>
          <w:highlight w:val="none"/>
        </w:rPr>
        <w:t>个工作日内一次性无息支付给</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（扣除相应的违约金、赔偿金）</w:t>
      </w:r>
    </w:p>
    <w:p>
      <w:pPr>
        <w:spacing w:line="360" w:lineRule="auto"/>
        <w:ind w:firstLine="482" w:firstLineChars="200"/>
        <w:rPr>
          <w:rFonts w:hint="eastAsia" w:ascii="宋体" w:hAnsi="宋体" w:cs="Times New Roman"/>
          <w:b/>
          <w:color w:val="auto"/>
          <w:sz w:val="24"/>
          <w:szCs w:val="24"/>
          <w:highlight w:val="none"/>
        </w:rPr>
      </w:pP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因违约行为导致履约保证金被</w:t>
      </w:r>
      <w:r>
        <w:rPr>
          <w:rFonts w:ascii="宋体" w:hAnsi="宋体" w:cs="Times New Roman"/>
          <w:b/>
          <w:color w:val="auto"/>
          <w:sz w:val="24"/>
          <w:szCs w:val="24"/>
          <w:highlight w:val="none"/>
        </w:rPr>
        <w:t>采购单位</w:t>
      </w:r>
      <w:r>
        <w:rPr>
          <w:rFonts w:hint="eastAsia" w:ascii="宋体" w:hAnsi="宋体" w:cs="Times New Roman"/>
          <w:b/>
          <w:color w:val="auto"/>
          <w:sz w:val="24"/>
          <w:szCs w:val="24"/>
          <w:highlight w:val="none"/>
        </w:rPr>
        <w:t>扣除的，</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应于被扣除之日起7个日历日内补足，使履约保证金金额满足</w:t>
      </w:r>
      <w:r>
        <w:rPr>
          <w:rFonts w:hint="eastAsia" w:ascii="宋体" w:hAnsi="宋体" w:cs="Times New Roman"/>
          <w:b/>
          <w:color w:val="auto"/>
          <w:sz w:val="24"/>
          <w:szCs w:val="24"/>
          <w:highlight w:val="none"/>
          <w:lang w:eastAsia="zh-CN"/>
        </w:rPr>
        <w:t>上述</w:t>
      </w:r>
      <w:r>
        <w:rPr>
          <w:rFonts w:hint="eastAsia" w:ascii="宋体" w:hAnsi="宋体" w:cs="Times New Roman"/>
          <w:b/>
          <w:color w:val="auto"/>
          <w:sz w:val="24"/>
          <w:szCs w:val="24"/>
          <w:highlight w:val="none"/>
        </w:rPr>
        <w:t>约定的要求。</w:t>
      </w:r>
    </w:p>
    <w:p>
      <w:pPr>
        <w:spacing w:line="360" w:lineRule="auto"/>
        <w:ind w:right="-99" w:rightChars="-47" w:firstLine="482" w:firstLineChars="200"/>
        <w:rPr>
          <w:rFonts w:ascii="宋体" w:hAnsi="宋体"/>
          <w:b/>
          <w:color w:val="auto"/>
          <w:sz w:val="24"/>
          <w:szCs w:val="24"/>
          <w:highlight w:val="none"/>
        </w:rPr>
      </w:pPr>
      <w:r>
        <w:rPr>
          <w:rFonts w:ascii="宋体" w:hAnsi="宋体" w:cs="Times New Roman"/>
          <w:b/>
          <w:color w:val="auto"/>
          <w:sz w:val="24"/>
          <w:szCs w:val="24"/>
          <w:highlight w:val="none"/>
        </w:rPr>
        <w:t>*</w:t>
      </w:r>
      <w:r>
        <w:rPr>
          <w:rFonts w:hint="eastAsia" w:ascii="宋体" w:hAnsi="宋体" w:cs="Times New Roman"/>
          <w:b/>
          <w:color w:val="auto"/>
          <w:sz w:val="24"/>
          <w:szCs w:val="24"/>
          <w:highlight w:val="none"/>
          <w:lang w:val="en-US" w:eastAsia="zh-CN"/>
        </w:rPr>
        <w:t>2</w:t>
      </w:r>
      <w:r>
        <w:rPr>
          <w:rFonts w:ascii="宋体" w:hAnsi="宋体" w:cs="Times New Roman"/>
          <w:b/>
          <w:color w:val="auto"/>
          <w:sz w:val="24"/>
          <w:szCs w:val="24"/>
          <w:highlight w:val="none"/>
        </w:rPr>
        <w:t>、货交采购单位仓库的，经采购单位初验合格后，采购单位凭</w:t>
      </w:r>
      <w:r>
        <w:rPr>
          <w:rFonts w:hint="eastAsia" w:ascii="宋体" w:hAnsi="宋体" w:cs="Times New Roman"/>
          <w:b/>
          <w:color w:val="auto"/>
          <w:sz w:val="24"/>
          <w:szCs w:val="24"/>
          <w:highlight w:val="none"/>
        </w:rPr>
        <w:t>如下单证和文件</w:t>
      </w:r>
      <w:r>
        <w:rPr>
          <w:rFonts w:ascii="宋体" w:hAnsi="宋体" w:cs="Times New Roman"/>
          <w:b/>
          <w:color w:val="auto"/>
          <w:sz w:val="24"/>
          <w:szCs w:val="24"/>
          <w:highlight w:val="none"/>
        </w:rPr>
        <w:t xml:space="preserve">在 45 </w:t>
      </w:r>
      <w:r>
        <w:rPr>
          <w:rFonts w:hint="eastAsia" w:ascii="宋体" w:hAnsi="宋体" w:cs="Times New Roman"/>
          <w:b/>
          <w:color w:val="auto"/>
          <w:sz w:val="24"/>
          <w:szCs w:val="24"/>
          <w:highlight w:val="none"/>
        </w:rPr>
        <w:t>个日历日内向</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一次性支付至该批次货款的</w:t>
      </w:r>
      <w:r>
        <w:rPr>
          <w:rFonts w:ascii="宋体" w:hAnsi="宋体" w:cs="Times New Roman"/>
          <w:b/>
          <w:color w:val="auto"/>
          <w:sz w:val="24"/>
          <w:szCs w:val="24"/>
          <w:highlight w:val="none"/>
        </w:rPr>
        <w:t xml:space="preserve"> 100 %。</w:t>
      </w:r>
    </w:p>
    <w:p>
      <w:pPr>
        <w:spacing w:line="360" w:lineRule="auto"/>
        <w:ind w:right="-99" w:rightChars="-47" w:firstLine="482" w:firstLineChars="200"/>
        <w:rPr>
          <w:rFonts w:ascii="宋体" w:hAnsi="宋体"/>
          <w:b/>
          <w:color w:val="auto"/>
          <w:sz w:val="24"/>
          <w:szCs w:val="24"/>
          <w:highlight w:val="none"/>
        </w:rPr>
      </w:pP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要求付款应提交下列单证和文件：</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a.金额为</w:t>
      </w:r>
      <w:sdt>
        <w:sdtPr>
          <w:rPr>
            <w:rFonts w:hint="eastAsia" w:ascii="宋体" w:hAnsi="宋体" w:cs="Times New Roman"/>
            <w:b/>
            <w:color w:val="auto"/>
            <w:sz w:val="24"/>
            <w:szCs w:val="24"/>
            <w:highlight w:val="none"/>
            <w:lang w:val="en-US" w:eastAsia="zh-CN"/>
          </w:rPr>
          <w:id w:val="147459560"/>
          <w:placeholder>
            <w:docPart w:val="{5872cf8f-5343-4555-ae77-85d68804ec66}"/>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100%</w:t>
          </w:r>
        </w:sdtContent>
      </w:sdt>
      <w:r>
        <w:rPr>
          <w:rFonts w:hint="eastAsia" w:ascii="宋体" w:hAnsi="宋体" w:cs="Times New Roman"/>
          <w:b/>
          <w:color w:val="auto"/>
          <w:sz w:val="24"/>
          <w:szCs w:val="24"/>
          <w:highlight w:val="none"/>
        </w:rPr>
        <w:t>的该批次货款的一般纳税人增值税专用发票；</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b.</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已缴纳该批货物的中标/成交服务费和2.2.3的二次配送费用、仓储操作费的证明材料；</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c.</w:t>
      </w:r>
      <w:r>
        <w:rPr>
          <w:rFonts w:ascii="宋体" w:hAnsi="宋体" w:cs="Times New Roman"/>
          <w:b/>
          <w:color w:val="auto"/>
          <w:sz w:val="24"/>
          <w:szCs w:val="24"/>
          <w:highlight w:val="none"/>
        </w:rPr>
        <w:t>采购单位</w:t>
      </w:r>
      <w:r>
        <w:rPr>
          <w:rFonts w:hint="eastAsia" w:ascii="宋体" w:hAnsi="宋体" w:cs="Times New Roman"/>
          <w:b/>
          <w:color w:val="auto"/>
          <w:sz w:val="24"/>
          <w:szCs w:val="24"/>
          <w:highlight w:val="none"/>
        </w:rPr>
        <w:t>已收讫的该批次货物的《签收单》。</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货物直送最终用户的，该批次货物经安装调试完毕并经最终验收合格后，</w:t>
      </w:r>
      <w:r>
        <w:rPr>
          <w:rFonts w:hint="eastAsia" w:ascii="宋体" w:hAnsi="宋体" w:cs="Times New Roman"/>
          <w:b/>
          <w:color w:val="auto"/>
          <w:sz w:val="24"/>
          <w:szCs w:val="24"/>
          <w:highlight w:val="none"/>
          <w:lang w:eastAsia="zh-CN"/>
        </w:rPr>
        <w:t>采购单位</w:t>
      </w:r>
      <w:r>
        <w:rPr>
          <w:rFonts w:hint="eastAsia" w:ascii="宋体" w:hAnsi="宋体" w:cs="Times New Roman"/>
          <w:b/>
          <w:color w:val="auto"/>
          <w:sz w:val="24"/>
          <w:szCs w:val="24"/>
          <w:highlight w:val="none"/>
        </w:rPr>
        <w:t>凭如下单证和文件在</w:t>
      </w:r>
      <w:sdt>
        <w:sdtPr>
          <w:rPr>
            <w:rFonts w:hint="eastAsia" w:ascii="宋体" w:hAnsi="宋体" w:cs="Times New Roman"/>
            <w:b/>
            <w:color w:val="auto"/>
            <w:sz w:val="24"/>
            <w:szCs w:val="24"/>
            <w:highlight w:val="none"/>
            <w:lang w:val="en-US" w:eastAsia="zh-CN"/>
          </w:rPr>
          <w:id w:val="147459410"/>
          <w:placeholder>
            <w:docPart w:val="{cba9c134-8d83-48b7-bced-f82f75a30b94}"/>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45</w:t>
          </w:r>
        </w:sdtContent>
      </w:sdt>
      <w:r>
        <w:rPr>
          <w:rFonts w:hint="eastAsia" w:ascii="宋体" w:hAnsi="宋体" w:cs="Times New Roman"/>
          <w:b/>
          <w:color w:val="auto"/>
          <w:sz w:val="24"/>
          <w:szCs w:val="24"/>
          <w:highlight w:val="none"/>
        </w:rPr>
        <w:t>个日历日内向</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一次性付清该批次货款的</w:t>
      </w:r>
      <w:sdt>
        <w:sdtPr>
          <w:rPr>
            <w:rFonts w:hint="eastAsia" w:ascii="宋体" w:hAnsi="宋体" w:cs="Times New Roman"/>
            <w:b/>
            <w:color w:val="auto"/>
            <w:sz w:val="24"/>
            <w:szCs w:val="24"/>
            <w:highlight w:val="none"/>
            <w:lang w:val="en-US" w:eastAsia="zh-CN"/>
          </w:rPr>
          <w:id w:val="147459387"/>
          <w:placeholder>
            <w:docPart w:val="{a6c5292d-94cc-4fc1-bb69-4ba91cc91bf0}"/>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全款</w:t>
          </w:r>
        </w:sdtContent>
      </w:sdt>
      <w:r>
        <w:rPr>
          <w:rFonts w:hint="eastAsia" w:ascii="宋体" w:hAnsi="宋体" w:cs="Times New Roman"/>
          <w:b/>
          <w:color w:val="auto"/>
          <w:sz w:val="24"/>
          <w:szCs w:val="24"/>
          <w:highlight w:val="none"/>
        </w:rPr>
        <w:t>。</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a.金额为</w:t>
      </w:r>
      <w:sdt>
        <w:sdtPr>
          <w:rPr>
            <w:rFonts w:hint="eastAsia" w:ascii="宋体" w:hAnsi="宋体" w:cs="Times New Roman"/>
            <w:b/>
            <w:color w:val="auto"/>
            <w:sz w:val="24"/>
            <w:szCs w:val="24"/>
            <w:highlight w:val="none"/>
            <w:lang w:val="en-US" w:eastAsia="zh-CN"/>
          </w:rPr>
          <w:id w:val="147459358"/>
          <w:placeholder>
            <w:docPart w:val="{772ab166-3365-4084-91c6-a7a9f76e3708}"/>
          </w:placeholder>
        </w:sdtPr>
        <w:sdtEndPr>
          <w:rPr>
            <w:rFonts w:hint="eastAsia" w:ascii="宋体" w:hAnsi="宋体" w:cs="Times New Roman"/>
            <w:b/>
            <w:color w:val="auto"/>
            <w:sz w:val="24"/>
            <w:szCs w:val="24"/>
            <w:highlight w:val="none"/>
            <w:lang w:val="en-US" w:eastAsia="zh-CN"/>
          </w:rPr>
        </w:sdtEndPr>
        <w:sdtContent>
          <w:r>
            <w:rPr>
              <w:rFonts w:hint="eastAsia" w:ascii="宋体" w:hAnsi="宋体" w:cs="Times New Roman"/>
              <w:b/>
              <w:color w:val="auto"/>
              <w:sz w:val="24"/>
              <w:szCs w:val="24"/>
              <w:highlight w:val="none"/>
            </w:rPr>
            <w:t>100%</w:t>
          </w:r>
        </w:sdtContent>
      </w:sdt>
      <w:r>
        <w:rPr>
          <w:rFonts w:hint="eastAsia" w:ascii="宋体" w:hAnsi="宋体" w:cs="Times New Roman"/>
          <w:b/>
          <w:color w:val="auto"/>
          <w:sz w:val="24"/>
          <w:szCs w:val="24"/>
          <w:highlight w:val="none"/>
        </w:rPr>
        <w:t>的该批次货款的一般纳税人增值税专用发票；</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b.</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已缴纳该批货物的成交服务费的证明材料；</w:t>
      </w:r>
    </w:p>
    <w:p>
      <w:pPr>
        <w:spacing w:line="360" w:lineRule="auto"/>
        <w:ind w:right="-99" w:rightChars="-47" w:firstLine="482" w:firstLineChars="200"/>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rPr>
        <w:t>c.该批次货物的《验收报告》(经最终用户签署)。</w:t>
      </w:r>
    </w:p>
    <w:p>
      <w:pPr>
        <w:spacing w:line="360" w:lineRule="auto"/>
        <w:ind w:right="-99" w:rightChars="-47" w:firstLine="482" w:firstLineChars="200"/>
        <w:rPr>
          <w:rFonts w:ascii="宋体" w:hAnsi="宋体"/>
          <w:b/>
          <w:color w:val="auto"/>
          <w:sz w:val="24"/>
          <w:szCs w:val="24"/>
          <w:highlight w:val="none"/>
        </w:rPr>
      </w:pPr>
    </w:p>
    <w:p>
      <w:pPr>
        <w:tabs>
          <w:tab w:val="left" w:pos="5130"/>
        </w:tabs>
        <w:spacing w:line="360" w:lineRule="auto"/>
        <w:ind w:firstLine="482" w:firstLineChars="200"/>
        <w:rPr>
          <w:rFonts w:ascii="宋体" w:hAnsi="宋体" w:cs="宋体"/>
          <w:color w:val="auto"/>
          <w:sz w:val="24"/>
          <w:szCs w:val="24"/>
          <w:highlight w:val="none"/>
        </w:rPr>
      </w:pPr>
      <w:r>
        <w:rPr>
          <w:rFonts w:hint="eastAsia" w:ascii="宋体" w:hAnsi="宋体" w:cs="Times New Roman"/>
          <w:b/>
          <w:color w:val="auto"/>
          <w:sz w:val="24"/>
          <w:szCs w:val="24"/>
          <w:highlight w:val="none"/>
        </w:rPr>
        <w:t>备注：</w:t>
      </w:r>
      <w:r>
        <w:rPr>
          <w:rFonts w:hint="eastAsia" w:ascii="宋体" w:hAnsi="宋体" w:eastAsia="宋体" w:cs="宋体"/>
          <w:b/>
          <w:color w:val="auto"/>
          <w:sz w:val="24"/>
          <w:szCs w:val="24"/>
          <w:highlight w:val="none"/>
        </w:rPr>
        <w:t>中标供应商</w:t>
      </w:r>
      <w:r>
        <w:rPr>
          <w:rFonts w:hint="eastAsia" w:ascii="宋体" w:hAnsi="宋体" w:cs="Times New Roman"/>
          <w:b/>
          <w:color w:val="auto"/>
          <w:sz w:val="24"/>
          <w:szCs w:val="24"/>
          <w:highlight w:val="none"/>
        </w:rPr>
        <w:t>可提出比以上内容更有利于采购单位的付款方式。</w:t>
      </w:r>
    </w:p>
    <w:p>
      <w:pPr>
        <w:spacing w:line="360" w:lineRule="auto"/>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eastAsia="zh-CN"/>
        </w:rPr>
        <w:t>六</w:t>
      </w:r>
      <w:r>
        <w:rPr>
          <w:rFonts w:hint="eastAsia" w:ascii="宋体" w:hAnsi="宋体" w:cs="宋体"/>
          <w:b/>
          <w:color w:val="auto"/>
          <w:kern w:val="0"/>
          <w:sz w:val="28"/>
          <w:szCs w:val="28"/>
          <w:highlight w:val="none"/>
        </w:rPr>
        <w:t>、资格证明文件</w:t>
      </w:r>
    </w:p>
    <w:p>
      <w:pPr>
        <w:snapToGrid w:val="0"/>
        <w:spacing w:line="360" w:lineRule="auto"/>
        <w:ind w:firstLine="472" w:firstLineChars="196"/>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eastAsia="zh-CN"/>
        </w:rPr>
        <w:t>投标</w:t>
      </w:r>
      <w:r>
        <w:rPr>
          <w:rFonts w:hint="eastAsia" w:ascii="宋体" w:hAnsi="宋体" w:cs="宋体"/>
          <w:b/>
          <w:color w:val="auto"/>
          <w:sz w:val="24"/>
          <w:szCs w:val="24"/>
          <w:highlight w:val="none"/>
        </w:rPr>
        <w:t>人应提供工商营业执照（副本）（加盖公章）的复印件，提供税务登记证及组织机构代码证复印件。</w:t>
      </w:r>
      <w:r>
        <w:rPr>
          <w:rFonts w:hint="eastAsia" w:ascii="宋体" w:hAnsi="宋体" w:cs="宋体"/>
          <w:b/>
          <w:color w:val="auto"/>
          <w:sz w:val="24"/>
          <w:szCs w:val="24"/>
          <w:highlight w:val="none"/>
          <w:lang w:eastAsia="zh-CN"/>
        </w:rPr>
        <w:t>投标</w:t>
      </w:r>
      <w:r>
        <w:rPr>
          <w:rFonts w:hint="eastAsia" w:ascii="宋体" w:hAnsi="宋体" w:cs="宋体"/>
          <w:b/>
          <w:color w:val="auto"/>
          <w:sz w:val="24"/>
          <w:szCs w:val="24"/>
          <w:highlight w:val="none"/>
        </w:rPr>
        <w:t>人已提供加载有统一社会信用代码营业执照的，视为已提供税务登记证和组织机构代码证。</w:t>
      </w:r>
    </w:p>
    <w:p>
      <w:pPr>
        <w:spacing w:line="360" w:lineRule="auto"/>
        <w:ind w:firstLine="482" w:firstLineChars="200"/>
        <w:rPr>
          <w:rFonts w:ascii="宋体" w:hAnsi="宋体" w:cs="Arial"/>
          <w:b/>
          <w:bCs/>
          <w:color w:val="auto"/>
          <w:sz w:val="24"/>
          <w:szCs w:val="24"/>
          <w:highlight w:val="none"/>
        </w:rPr>
      </w:pPr>
      <w:r>
        <w:rPr>
          <w:rFonts w:hint="eastAsia" w:ascii="宋体" w:hAnsi="宋体" w:cs="Arial"/>
          <w:b/>
          <w:bCs/>
          <w:color w:val="auto"/>
          <w:sz w:val="24"/>
          <w:szCs w:val="24"/>
          <w:highlight w:val="none"/>
        </w:rPr>
        <w:t>*2、</w:t>
      </w:r>
      <w:r>
        <w:rPr>
          <w:rFonts w:hint="eastAsia" w:ascii="宋体" w:hAnsi="宋体" w:cs="宋体"/>
          <w:b/>
          <w:color w:val="auto"/>
          <w:sz w:val="24"/>
          <w:szCs w:val="24"/>
          <w:highlight w:val="none"/>
          <w:lang w:eastAsia="zh-CN"/>
        </w:rPr>
        <w:t>投标</w:t>
      </w:r>
      <w:r>
        <w:rPr>
          <w:rFonts w:hint="eastAsia" w:ascii="宋体" w:hAnsi="宋体" w:cs="Arial"/>
          <w:b/>
          <w:bCs/>
          <w:color w:val="auto"/>
          <w:sz w:val="24"/>
          <w:szCs w:val="24"/>
          <w:highlight w:val="none"/>
        </w:rPr>
        <w:t>人全权代表若不是单位负责人，应提供单位授权书原件，并提供被授权代表身份证复印件。</w:t>
      </w: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附表：</w:t>
      </w:r>
    </w:p>
    <w:p>
      <w:pPr>
        <w:spacing w:line="360" w:lineRule="auto"/>
        <w:ind w:firstLine="630" w:firstLineChars="196"/>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技术规格及商务响应表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（投标人应针对下表中体现的招标要求及“投标人须知前附表2:资格性、符合性检查表”内容逐条说明投标响应情况，并附上相应资料，投标响应对应的页码以及偏离说明）</w:t>
      </w:r>
    </w:p>
    <w:p>
      <w:pPr>
        <w:spacing w:line="360" w:lineRule="auto"/>
        <w:rPr>
          <w:rFonts w:hint="eastAsia" w:ascii="宋体" w:hAnsi="宋体" w:eastAsia="宋体" w:cs="宋体"/>
          <w:b/>
          <w:color w:val="auto"/>
          <w:sz w:val="24"/>
          <w:szCs w:val="24"/>
          <w:highlight w:val="none"/>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830"/>
        <w:gridCol w:w="976"/>
        <w:gridCol w:w="5118"/>
        <w:gridCol w:w="878"/>
        <w:gridCol w:w="968"/>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64"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招标要求</w:t>
            </w:r>
          </w:p>
        </w:tc>
        <w:tc>
          <w:tcPr>
            <w:tcW w:w="113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4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5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w:t>
            </w:r>
          </w:p>
        </w:tc>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投标响应情况</w:t>
            </w:r>
          </w:p>
        </w:tc>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投标响应对应的页码</w:t>
            </w:r>
          </w:p>
        </w:tc>
        <w:tc>
          <w:tcPr>
            <w:tcW w:w="2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XM2024-DZ0030</w:t>
            </w:r>
          </w:p>
        </w:tc>
        <w:tc>
          <w:tcPr>
            <w:tcW w:w="40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2024年大宗激光一体机</w:t>
            </w:r>
          </w:p>
        </w:tc>
        <w:tc>
          <w:tcPr>
            <w:tcW w:w="481"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一</w:t>
            </w:r>
          </w:p>
        </w:tc>
        <w:tc>
          <w:tcPr>
            <w:tcW w:w="25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numPr>
                <w:ilvl w:val="-1"/>
                <w:numId w:val="0"/>
              </w:numPr>
              <w:suppressLineNumbers w:val="0"/>
              <w:spacing w:before="0" w:beforeAutospacing="0" w:after="0" w:afterAutospacing="0" w:line="360" w:lineRule="auto"/>
              <w:ind w:left="0" w:right="0"/>
              <w:jc w:val="left"/>
              <w:rPr>
                <w:rFonts w:hint="default" w:ascii="宋体" w:hAnsi="宋体" w:cs="宋体"/>
                <w:color w:val="auto"/>
                <w:sz w:val="24"/>
                <w:szCs w:val="24"/>
                <w:highlight w:val="none"/>
              </w:rPr>
            </w:pPr>
            <w:r>
              <w:rPr>
                <w:rFonts w:hint="default" w:ascii="宋体" w:hAnsi="宋体" w:cs="宋体"/>
                <w:color w:val="auto"/>
                <w:sz w:val="24"/>
                <w:szCs w:val="24"/>
                <w:highlight w:val="none"/>
              </w:rPr>
              <w:t>一、招标要求</w:t>
            </w:r>
          </w:p>
          <w:p>
            <w:pPr>
              <w:keepNext w:val="0"/>
              <w:keepLines w:val="0"/>
              <w:numPr>
                <w:ilvl w:val="-1"/>
                <w:numId w:val="0"/>
              </w:numPr>
              <w:suppressLineNumbers w:val="0"/>
              <w:spacing w:before="0" w:beforeAutospacing="0" w:after="0" w:afterAutospacing="0" w:line="360" w:lineRule="auto"/>
              <w:ind w:left="0" w:right="0"/>
              <w:jc w:val="left"/>
              <w:rPr>
                <w:rFonts w:hint="default" w:ascii="宋体" w:hAnsi="宋体" w:cs="宋体"/>
                <w:color w:val="auto"/>
                <w:sz w:val="24"/>
                <w:szCs w:val="24"/>
                <w:highlight w:val="none"/>
              </w:rPr>
            </w:pPr>
            <w:r>
              <w:rPr>
                <w:rFonts w:hint="default" w:ascii="宋体" w:hAnsi="宋体" w:cs="宋体"/>
                <w:color w:val="auto"/>
                <w:sz w:val="24"/>
                <w:szCs w:val="24"/>
                <w:highlight w:val="none"/>
              </w:rPr>
              <w:t>详见“第三章招标内容及要求”</w:t>
            </w:r>
          </w:p>
        </w:tc>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409"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81"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5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备注：</w:t>
            </w:r>
            <w:r>
              <w:rPr>
                <w:rFonts w:hint="eastAsia" w:ascii="宋体" w:hAnsi="宋体" w:eastAsia="宋体" w:cs="宋体"/>
                <w:b w:val="0"/>
                <w:bCs/>
                <w:color w:val="auto"/>
                <w:kern w:val="2"/>
                <w:sz w:val="24"/>
                <w:szCs w:val="24"/>
                <w:highlight w:val="none"/>
                <w:lang w:val="en-US" w:eastAsia="zh-CN" w:bidi="ar"/>
              </w:rPr>
              <w:t>2、投标人须在投标文件中作出书面承诺：采购单位可调整各规格产品的实际供货数量；采购单位有权向厦门市政府机关事业单位和福建省内其他终端用户进行供货，投标人须提供相应的安装及售后服务保障，所需费用（不含福建省其他地市二次配送费用）已包含在总报价中。投标人承诺合同期内采购单位可增加各型号的采购数量，仍可按不高于中标价格执行。</w:t>
            </w:r>
          </w:p>
        </w:tc>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409"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81"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四</w:t>
            </w:r>
          </w:p>
        </w:tc>
        <w:tc>
          <w:tcPr>
            <w:tcW w:w="2524" w:type="pct"/>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default" w:ascii="宋体" w:hAnsi="宋体" w:eastAsia="宋体" w:cs="宋体"/>
                <w:b w:val="0"/>
                <w:bCs/>
                <w:color w:val="auto"/>
                <w:kern w:val="2"/>
                <w:sz w:val="24"/>
                <w:szCs w:val="24"/>
                <w:highlight w:val="none"/>
                <w:lang w:eastAsia="zh-CN" w:bidi="ar"/>
              </w:rPr>
              <w:t>16、</w:t>
            </w:r>
            <w:r>
              <w:rPr>
                <w:rFonts w:hint="eastAsia" w:ascii="宋体" w:hAnsi="宋体" w:eastAsia="宋体" w:cs="宋体"/>
                <w:b w:val="0"/>
                <w:bCs/>
                <w:color w:val="auto"/>
                <w:kern w:val="2"/>
                <w:sz w:val="24"/>
                <w:szCs w:val="24"/>
                <w:highlight w:val="none"/>
                <w:lang w:val="en-US" w:eastAsia="zh-CN" w:bidi="ar"/>
              </w:rPr>
              <w:t>投标人应当遵循诚实信用原则，不得作虚假承诺，投标人承诺不实的，属于提供虚假材料谋取中标、成交，应依法承担相应的法律责任。投标人提供虚假材料，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有权上报财政部门，建议财政部门将该投标人列入不良行为记录名单，在一至三年内禁止该投标人参加政府采购活动并予以通报。</w:t>
            </w:r>
          </w:p>
        </w:tc>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20" w:hRule="atLeast"/>
        </w:trPr>
        <w:tc>
          <w:tcPr>
            <w:tcW w:w="448"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c>
          <w:tcPr>
            <w:tcW w:w="409" w:type="pct"/>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300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szCs w:val="24"/>
                <w:highlight w:val="none"/>
              </w:rPr>
            </w:pPr>
            <w:r>
              <w:rPr>
                <w:rFonts w:hint="default" w:ascii="宋体" w:hAnsi="宋体" w:cs="宋体"/>
                <w:color w:val="auto"/>
                <w:sz w:val="24"/>
                <w:szCs w:val="24"/>
                <w:highlight w:val="none"/>
              </w:rPr>
              <w:t>其他所有带*条款。</w:t>
            </w:r>
          </w:p>
        </w:tc>
        <w:tc>
          <w:tcPr>
            <w:tcW w:w="4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2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pPr>
        <w:tabs>
          <w:tab w:val="left" w:pos="5130"/>
        </w:tabs>
        <w:spacing w:line="360" w:lineRule="auto"/>
        <w:ind w:firstLine="480" w:firstLineChars="200"/>
        <w:rPr>
          <w:rFonts w:hint="eastAsia" w:ascii="宋体" w:hAnsi="宋体" w:eastAsia="宋体" w:cs="宋体"/>
          <w:color w:val="auto"/>
          <w:sz w:val="24"/>
          <w:szCs w:val="24"/>
          <w:highlight w:val="none"/>
        </w:rPr>
      </w:pPr>
    </w:p>
    <w:p>
      <w:pPr>
        <w:tabs>
          <w:tab w:val="left" w:pos="5130"/>
        </w:tabs>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sectPr>
          <w:headerReference r:id="rId8" w:type="default"/>
          <w:footerReference r:id="rId9" w:type="default"/>
          <w:pgSz w:w="11906" w:h="16838"/>
          <w:pgMar w:top="851" w:right="851" w:bottom="851" w:left="1134" w:header="567" w:footer="567" w:gutter="0"/>
          <w:pgNumType w:start="1"/>
          <w:cols w:space="720" w:num="1"/>
          <w:docGrid w:linePitch="312" w:charSpace="0"/>
        </w:sect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第四章</w:t>
      </w:r>
      <w:r>
        <w:rPr>
          <w:rFonts w:hint="eastAsia" w:ascii="宋体" w:hAnsi="宋体" w:eastAsia="宋体" w:cs="宋体"/>
          <w:b/>
          <w:color w:val="auto"/>
          <w:sz w:val="32"/>
          <w:szCs w:val="32"/>
          <w:highlight w:val="none"/>
        </w:rPr>
        <w:t xml:space="preserve">  </w:t>
      </w:r>
      <w:r>
        <w:rPr>
          <w:rFonts w:hint="default" w:ascii="宋体" w:hAnsi="宋体" w:cs="宋体"/>
          <w:b/>
          <w:color w:val="auto"/>
          <w:sz w:val="32"/>
          <w:szCs w:val="32"/>
          <w:highlight w:val="none"/>
        </w:rPr>
        <w:t>大宗</w:t>
      </w:r>
      <w:r>
        <w:rPr>
          <w:rFonts w:hint="eastAsia" w:ascii="宋体" w:hAnsi="宋体" w:eastAsia="宋体" w:cs="宋体"/>
          <w:b/>
          <w:color w:val="auto"/>
          <w:sz w:val="32"/>
          <w:szCs w:val="32"/>
          <w:highlight w:val="none"/>
        </w:rPr>
        <w:t>采购合同</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099"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但不得与招标文件、投标文件的实质性内容相背离。</w:t>
            </w:r>
          </w:p>
        </w:tc>
      </w:tr>
    </w:tbl>
    <w:p>
      <w:pPr>
        <w:spacing w:line="360" w:lineRule="auto"/>
        <w:jc w:val="center"/>
        <w:rPr>
          <w:rFonts w:ascii="宋体" w:hAnsi="宋体" w:eastAsia="宋体"/>
          <w:b/>
          <w:bCs/>
          <w:color w:val="auto"/>
          <w:sz w:val="32"/>
          <w:szCs w:val="32"/>
          <w:highlight w:val="none"/>
        </w:rPr>
      </w:pPr>
      <w:bookmarkStart w:id="0" w:name="htmc"/>
      <w:bookmarkEnd w:id="0"/>
      <w:r>
        <w:rPr>
          <w:rFonts w:hint="eastAsia" w:ascii="宋体" w:hAnsi="宋体"/>
          <w:b/>
          <w:bCs/>
          <w:color w:val="auto"/>
          <w:sz w:val="32"/>
          <w:szCs w:val="32"/>
          <w:highlight w:val="none"/>
          <w:u w:val="none"/>
        </w:rPr>
        <w:t>大宗激光</w:t>
      </w:r>
      <w:r>
        <w:rPr>
          <w:rFonts w:hint="eastAsia" w:ascii="宋体" w:hAnsi="宋体"/>
          <w:b/>
          <w:bCs/>
          <w:color w:val="auto"/>
          <w:sz w:val="32"/>
          <w:szCs w:val="32"/>
          <w:highlight w:val="none"/>
          <w:u w:val="none"/>
          <w:lang w:eastAsia="zh-CN"/>
        </w:rPr>
        <w:t>一体</w:t>
      </w:r>
      <w:r>
        <w:rPr>
          <w:rFonts w:hint="eastAsia" w:ascii="宋体" w:hAnsi="宋体"/>
          <w:b/>
          <w:bCs/>
          <w:color w:val="auto"/>
          <w:sz w:val="32"/>
          <w:szCs w:val="32"/>
          <w:highlight w:val="none"/>
          <w:u w:val="none"/>
        </w:rPr>
        <w:t>机</w:t>
      </w:r>
      <w:r>
        <w:rPr>
          <w:rFonts w:hint="eastAsia" w:ascii="宋体" w:hAnsi="宋体"/>
          <w:b/>
          <w:bCs/>
          <w:color w:val="auto"/>
          <w:sz w:val="32"/>
          <w:szCs w:val="32"/>
          <w:highlight w:val="none"/>
        </w:rPr>
        <w:t>采购合同</w:t>
      </w:r>
    </w:p>
    <w:p>
      <w:pPr>
        <w:spacing w:line="360" w:lineRule="auto"/>
        <w:ind w:left="-284"/>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合同编号：</w:t>
      </w:r>
      <w:bookmarkStart w:id="1" w:name="jfhtbh"/>
      <w:bookmarkEnd w:id="1"/>
    </w:p>
    <w:p>
      <w:pPr>
        <w:adjustRightInd w:val="0"/>
        <w:snapToGrid w:val="0"/>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买方：</w:t>
      </w:r>
      <w:bookmarkStart w:id="2" w:name="jf"/>
      <w:bookmarkEnd w:id="2"/>
      <w:r>
        <w:rPr>
          <w:rFonts w:hint="eastAsia" w:ascii="宋体" w:hAnsi="宋体" w:eastAsia="宋体"/>
          <w:color w:val="auto"/>
          <w:sz w:val="24"/>
          <w:szCs w:val="24"/>
          <w:highlight w:val="none"/>
        </w:rPr>
        <w:t xml:space="preserve">                </w:t>
      </w:r>
    </w:p>
    <w:p>
      <w:pPr>
        <w:adjustRightInd w:val="0"/>
        <w:snapToGrid w:val="0"/>
        <w:spacing w:line="360" w:lineRule="auto"/>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卖方：</w:t>
      </w:r>
      <w:bookmarkStart w:id="3" w:name="yf"/>
    </w:p>
    <w:bookmarkEnd w:id="3"/>
    <w:p>
      <w:pPr>
        <w:adjustRightInd w:val="0"/>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根据买方对进行采购（招标/项目编号：</w:t>
      </w:r>
      <w:bookmarkStart w:id="4" w:name="zbxmbh"/>
      <w:bookmarkEnd w:id="4"/>
      <w:r>
        <w:rPr>
          <w:rFonts w:hint="eastAsia" w:ascii="宋体" w:hAnsi="宋体" w:eastAsia="宋体"/>
          <w:color w:val="auto"/>
          <w:sz w:val="24"/>
          <w:szCs w:val="24"/>
          <w:highlight w:val="none"/>
        </w:rPr>
        <w:t>）的采购结果，现依照招标/采购文件、投标/报价文件及有关法律、法规、规章规定的内容，双方达成如下协议：</w:t>
      </w:r>
    </w:p>
    <w:p>
      <w:pPr>
        <w:numPr>
          <w:ilvl w:val="0"/>
          <w:numId w:val="4"/>
        </w:numPr>
        <w:adjustRightInd w:val="0"/>
        <w:snapToGrid w:val="0"/>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合同标的物和合同价格</w:t>
      </w:r>
    </w:p>
    <w:p>
      <w:pPr>
        <w:numPr>
          <w:ilvl w:val="0"/>
          <w:numId w:val="0"/>
        </w:numPr>
        <w:adjustRightInd w:val="0"/>
        <w:snapToGrid w:val="0"/>
        <w:spacing w:line="360" w:lineRule="auto"/>
        <w:rPr>
          <w:rFonts w:hint="default" w:ascii="宋体" w:hAnsi="宋体" w:eastAsia="宋体"/>
          <w:b/>
          <w:color w:val="auto"/>
          <w:sz w:val="24"/>
          <w:szCs w:val="24"/>
          <w:highlight w:val="none"/>
          <w:lang w:val="en-US"/>
        </w:rPr>
      </w:pPr>
      <w:r>
        <w:rPr>
          <w:rFonts w:hint="eastAsia" w:ascii="宋体" w:hAnsi="宋体" w:eastAsia="宋体"/>
          <w:b/>
          <w:color w:val="auto"/>
          <w:sz w:val="24"/>
          <w:szCs w:val="24"/>
          <w:highlight w:val="none"/>
        </w:rPr>
        <w:fldChar w:fldCharType="begin">
          <w:ffData>
            <w:name w:val="Text1"/>
            <w:enabled/>
            <w:calcOnExit w:val="0"/>
            <w:textInput/>
          </w:ffData>
        </w:fldChar>
      </w:r>
      <w:bookmarkStart w:id="5" w:name="Text1"/>
      <w:r>
        <w:rPr>
          <w:rFonts w:hint="eastAsia" w:ascii="宋体" w:hAnsi="宋体" w:eastAsia="宋体"/>
          <w:b/>
          <w:color w:val="auto"/>
          <w:sz w:val="24"/>
          <w:szCs w:val="24"/>
          <w:highlight w:val="none"/>
        </w:rPr>
        <w:instrText xml:space="preserve">FORMTEXT</w:instrText>
      </w:r>
      <w:r>
        <w:rPr>
          <w:rFonts w:hint="eastAsia" w:ascii="宋体" w:hAnsi="宋体" w:eastAsia="宋体"/>
          <w:b/>
          <w:color w:val="auto"/>
          <w:sz w:val="24"/>
          <w:szCs w:val="24"/>
          <w:highlight w:val="none"/>
        </w:rPr>
        <w:fldChar w:fldCharType="separate"/>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802"/>
        <w:gridCol w:w="1418"/>
        <w:gridCol w:w="1701"/>
        <w:gridCol w:w="13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180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1418"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制造商</w:t>
            </w:r>
          </w:p>
        </w:tc>
        <w:tc>
          <w:tcPr>
            <w:tcW w:w="170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单价（元/台）</w:t>
            </w: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数量（台）</w:t>
            </w:r>
          </w:p>
        </w:tc>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80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418"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theme="minorEastAsia"/>
                <w:color w:val="auto"/>
                <w:kern w:val="0"/>
                <w:szCs w:val="21"/>
                <w:highlight w:val="none"/>
              </w:rPr>
            </w:pPr>
          </w:p>
        </w:tc>
        <w:tc>
          <w:tcPr>
            <w:tcW w:w="170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802"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418"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701"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81" w:type="dxa"/>
            <w:gridSpan w:val="4"/>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19" w:type="dxa"/>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vAlign w:val="bottom"/>
          </w:tcPr>
          <w:p>
            <w:pPr>
              <w:keepNext w:val="0"/>
              <w:keepLines w:val="0"/>
              <w:widowControl/>
              <w:suppressLineNumbers w:val="0"/>
              <w:adjustRightInd w:val="0"/>
              <w:snapToGrid w:val="0"/>
              <w:spacing w:before="0" w:beforeAutospacing="0" w:after="0" w:afterAutospacing="0" w:line="360" w:lineRule="auto"/>
              <w:ind w:left="0" w:right="0"/>
              <w:jc w:val="center"/>
              <w:textAlignment w:val="bottom"/>
              <w:rPr>
                <w:rFonts w:hint="default" w:ascii="宋体" w:hAnsi="宋体" w:eastAsia="宋体" w:cs="等线"/>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60" w:type="dxa"/>
            <w:gridSpan w:val="6"/>
            <w:vAlign w:val="center"/>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合同总价： 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60" w:type="dxa"/>
            <w:gridSpan w:val="6"/>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备注：</w:t>
            </w:r>
          </w:p>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合同单价为综合单价，为经最终验收合格并交付使用所有可能发生的费用，包括设备费、运送至买方指定地点的运输费（含二次配送费用、仓储操作费）、装卸费、保险费、采购保管、安装调试、产品检验检测、税收以及售后服务等一切费用。上表数量为暂定数量，买方可根据实际需求情况对各规格型号的产品数量进行调整，买方将按实际最终验收合格的数量和综合单价进行结算。</w:t>
            </w:r>
          </w:p>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2、买方有权向</w:t>
            </w:r>
            <w:r>
              <w:rPr>
                <w:rFonts w:hint="eastAsia" w:ascii="宋体" w:hAnsi="宋体" w:eastAsia="宋体" w:cs="宋体"/>
                <w:color w:val="auto"/>
                <w:kern w:val="0"/>
                <w:sz w:val="24"/>
                <w:szCs w:val="24"/>
                <w:highlight w:val="none"/>
                <w:u w:val="single"/>
              </w:rPr>
              <w:t>厦门市机关事业单位</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u w:val="single"/>
              </w:rPr>
              <w:t>福建省内其他终端用户</w:t>
            </w:r>
            <w:r>
              <w:rPr>
                <w:rFonts w:hint="eastAsia" w:ascii="宋体" w:hAnsi="宋体" w:eastAsia="宋体" w:cs="宋体"/>
                <w:color w:val="auto"/>
                <w:kern w:val="0"/>
                <w:sz w:val="24"/>
                <w:szCs w:val="24"/>
                <w:highlight w:val="none"/>
              </w:rPr>
              <w:t>（以上统称最终用户）进行供货，卖方须提供相应的安装及售后服务保障。</w:t>
            </w:r>
          </w:p>
          <w:p>
            <w:pPr>
              <w:pStyle w:val="43"/>
              <w:keepNext w:val="0"/>
              <w:keepLines w:val="0"/>
              <w:suppressLineNumbers w:val="0"/>
              <w:spacing w:before="0" w:beforeAutospacing="0" w:after="0" w:afterAutospacing="0" w:line="360" w:lineRule="auto"/>
              <w:ind w:left="0" w:right="0"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3、具体技术参数详见附件1。卖方应免费向买方提供</w:t>
            </w:r>
            <w:r>
              <w:rPr>
                <w:rFonts w:hint="eastAsia" w:ascii="宋体" w:hAnsi="宋体" w:eastAsia="宋体" w:cs="宋体"/>
                <w:color w:val="auto"/>
                <w:sz w:val="24"/>
                <w:szCs w:val="24"/>
                <w:highlight w:val="none"/>
                <w:lang w:val="en-US" w:eastAsia="zh-CN"/>
              </w:rPr>
              <w:t>3台品目号1-1，4台品目号1-2作为备用机</w:t>
            </w:r>
            <w:r>
              <w:rPr>
                <w:rFonts w:hint="eastAsia" w:ascii="宋体" w:hAnsi="宋体" w:eastAsia="宋体" w:cs="宋体"/>
                <w:color w:val="auto"/>
                <w:kern w:val="0"/>
                <w:sz w:val="24"/>
                <w:szCs w:val="24"/>
                <w:highlight w:val="none"/>
              </w:rPr>
              <w:t>，备用机应与首批《定货单》确定的货物一同交付，卖方逾期交付备用机的，买方有权直接扣除卖方相应金额的履约保证金，针对合同标的物的各条款同样适用于备用机。保修期满后，备用机归买方所有。</w:t>
            </w:r>
          </w:p>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rPr>
              <w:t>、合同期内，每三个月，买方可根据市场行情变化，与卖方就产品单价进行重新谈判，价格不得高于本合同约定的单价。</w:t>
            </w:r>
          </w:p>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color w:val="auto"/>
                <w:sz w:val="24"/>
                <w:highlight w:val="none"/>
              </w:rPr>
            </w:pPr>
            <w:r>
              <w:rPr>
                <w:rFonts w:hint="default"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合同期内，遇卖方下调合同相关型号货物价格，卖方应在2个工作日内将新的价格以书面形式告知买方，经买方确认后按最新价格进行供货并结算。一旦买方发现合同结算单价高于其它同类销售渠道或主流网站（京东、苏宁易购、国美、天猫）等的常规销售价格，买方有权要求卖方按照主流网站的最低价格再下浮</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作为合同货物的结算价格，如卖方拒绝调整或双方就价格调整无法协商一致的，卖方应按逾期天数，每日承担相当于4.1条约定的履约保证金总金额0.5%的违约金，同时买方有权终止本合同，不视为买方违约。</w:t>
            </w:r>
          </w:p>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、本合同有效期：</w:t>
            </w:r>
            <w:r>
              <w:rPr>
                <w:rFonts w:hint="eastAsia" w:ascii="宋体" w:hAnsi="宋体" w:eastAsia="宋体" w:cs="宋体"/>
                <w:color w:val="auto"/>
                <w:kern w:val="0"/>
                <w:sz w:val="24"/>
                <w:szCs w:val="24"/>
                <w:highlight w:val="none"/>
                <w:lang w:eastAsia="zh-CN"/>
              </w:rPr>
              <w:t>两</w:t>
            </w:r>
            <w:r>
              <w:rPr>
                <w:rFonts w:hint="eastAsia" w:ascii="宋体" w:hAnsi="宋体" w:eastAsia="宋体" w:cs="宋体"/>
                <w:color w:val="auto"/>
                <w:kern w:val="0"/>
                <w:sz w:val="24"/>
                <w:szCs w:val="24"/>
                <w:highlight w:val="none"/>
              </w:rPr>
              <w:t>年，自年月日至年月日。</w:t>
            </w:r>
            <w:r>
              <w:rPr>
                <w:rFonts w:hint="eastAsia" w:ascii="宋体" w:hAnsi="宋体" w:eastAsia="宋体"/>
                <w:color w:val="auto"/>
                <w:kern w:val="0"/>
                <w:sz w:val="24"/>
                <w:szCs w:val="24"/>
                <w:highlight w:val="none"/>
              </w:rPr>
              <w:t>若合同到期之日下一期采购合同尚未生效，本合同自动顺延至下一期新的合同生效之日止。</w:t>
            </w:r>
          </w:p>
        </w:tc>
      </w:tr>
    </w:tbl>
    <w:p>
      <w:pPr>
        <w:numPr>
          <w:ilvl w:val="0"/>
          <w:numId w:val="0"/>
        </w:numPr>
        <w:adjustRightInd w:val="0"/>
        <w:snapToGrid w:val="0"/>
        <w:spacing w:line="360" w:lineRule="auto"/>
        <w:rPr>
          <w:rFonts w:hint="eastAsia" w:ascii="宋体" w:hAnsi="宋体" w:eastAsia="宋体"/>
          <w:b/>
          <w:color w:val="auto"/>
          <w:sz w:val="24"/>
          <w:szCs w:val="24"/>
          <w:highlight w:val="none"/>
        </w:rPr>
      </w:pPr>
      <w:r>
        <w:rPr>
          <w:rFonts w:hint="default" w:ascii="宋体" w:hAnsi="宋体" w:eastAsia="宋体"/>
          <w:b/>
          <w:color w:val="auto"/>
          <w:sz w:val="24"/>
          <w:szCs w:val="24"/>
          <w:highlight w:val="none"/>
          <w:lang w:val="en-US"/>
        </w:rPr>
        <w:t> </w:t>
      </w:r>
      <w:r>
        <w:rPr>
          <w:rFonts w:hint="eastAsia" w:ascii="宋体" w:hAnsi="宋体" w:eastAsia="宋体"/>
          <w:b/>
          <w:color w:val="auto"/>
          <w:sz w:val="24"/>
          <w:szCs w:val="24"/>
          <w:highlight w:val="none"/>
        </w:rPr>
        <w:fldChar w:fldCharType="end"/>
      </w:r>
      <w:bookmarkEnd w:id="5"/>
    </w:p>
    <w:p>
      <w:pPr>
        <w:adjustRightInd w:val="0"/>
        <w:snapToGrid w:val="0"/>
        <w:spacing w:beforeLines="50"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2、交货方式</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2.1卖方按买方要求分批次供货。卖方送货至买方指定地点。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2.1.1买方向卖方提交《定货单》的方式包括：合同书《定货单》形式、电子数据《定货单》形式等。以上所有《定货单》均适用于本合同。</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2.1.2合同书《定货单》形式，指买方向卖方提交加盖买方有效印章的《定货单》。</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2.1.3电子数据《定货单》形式：指买方通过指定的邮箱、微信等方式向卖方提交加盖买方有效印章的《定货单》扫描件。</w:t>
      </w:r>
      <w:sdt>
        <w:sdtPr>
          <w:rPr>
            <w:rFonts w:ascii="宋体" w:hAnsi="宋体" w:eastAsia="宋体" w:cstheme="minorBidi"/>
            <w:color w:val="auto"/>
            <w:kern w:val="2"/>
            <w:sz w:val="24"/>
            <w:szCs w:val="24"/>
            <w:highlight w:val="none"/>
            <w:lang w:val="en-US" w:eastAsia="zh-CN" w:bidi="ar-SA"/>
          </w:rPr>
          <w:id w:val="147473091"/>
          <w:placeholder>
            <w:docPart w:val="{40fd3666-b0da-4eb3-a7b1-9f8c178d9bb8}"/>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480" w:firstLineChars="200"/>
        <w:rPr>
          <w:rFonts w:hint="default" w:ascii="宋体" w:hAnsi="宋体" w:eastAsia="宋体"/>
          <w:color w:val="auto"/>
          <w:sz w:val="24"/>
          <w:szCs w:val="24"/>
          <w:highlight w:val="none"/>
          <w:lang w:val="en-US"/>
        </w:rPr>
      </w:pPr>
      <w:r>
        <w:rPr>
          <w:rFonts w:ascii="宋体" w:hAnsi="宋体" w:eastAsia="宋体"/>
          <w:color w:val="auto"/>
          <w:sz w:val="24"/>
          <w:szCs w:val="24"/>
          <w:highlight w:val="none"/>
        </w:rPr>
        <w:fldChar w:fldCharType="begin">
          <w:ffData>
            <w:name w:val="Text2"/>
            <w:enabled/>
            <w:calcOnExit w:val="0"/>
            <w:textInput/>
          </w:ffData>
        </w:fldChar>
      </w:r>
      <w:bookmarkStart w:id="6" w:name="Text2"/>
      <w:r>
        <w:rPr>
          <w:rFonts w:ascii="宋体" w:hAnsi="宋体" w:eastAsia="宋体"/>
          <w:color w:val="auto"/>
          <w:sz w:val="24"/>
          <w:szCs w:val="24"/>
          <w:highlight w:val="none"/>
        </w:rPr>
        <w:instrText xml:space="preserve">FORMTEXT</w:instrText>
      </w:r>
      <w:r>
        <w:rPr>
          <w:rFonts w:ascii="宋体" w:hAnsi="宋体" w:eastAsia="宋体"/>
          <w:color w:val="auto"/>
          <w:sz w:val="24"/>
          <w:szCs w:val="24"/>
          <w:highlight w:val="none"/>
        </w:rPr>
        <w:fldChar w:fldCharType="separate"/>
      </w:r>
      <w:r>
        <w:rPr>
          <w:rFonts w:hint="default" w:ascii="宋体" w:hAnsi="宋体" w:eastAsia="宋体"/>
          <w:color w:val="auto"/>
          <w:sz w:val="24"/>
          <w:szCs w:val="24"/>
          <w:highlight w:val="none"/>
          <w:lang w:val="en-US"/>
        </w:rPr>
        <w:t> </w:t>
      </w:r>
    </w:p>
    <w:tbl>
      <w:tblPr>
        <w:tblStyle w:val="14"/>
        <w:tblW w:w="8344" w:type="dxa"/>
        <w:tblInd w:w="299" w:type="dxa"/>
        <w:tblLayout w:type="autofit"/>
        <w:tblCellMar>
          <w:top w:w="0" w:type="dxa"/>
          <w:left w:w="0" w:type="dxa"/>
          <w:bottom w:w="0" w:type="dxa"/>
          <w:right w:w="0" w:type="dxa"/>
        </w:tblCellMar>
      </w:tblPr>
      <w:tblGrid>
        <w:gridCol w:w="2782"/>
        <w:gridCol w:w="3012"/>
        <w:gridCol w:w="2550"/>
      </w:tblGrid>
      <w:tr>
        <w:tblPrEx>
          <w:tblCellMar>
            <w:top w:w="0" w:type="dxa"/>
            <w:left w:w="0" w:type="dxa"/>
            <w:bottom w:w="0" w:type="dxa"/>
            <w:right w:w="0" w:type="dxa"/>
          </w:tblCellMar>
        </w:tblPrEx>
        <w:trPr>
          <w:trHeight w:val="325" w:hRule="atLeast"/>
        </w:trPr>
        <w:tc>
          <w:tcPr>
            <w:tcW w:w="2782"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类型</w:t>
            </w:r>
          </w:p>
        </w:tc>
        <w:tc>
          <w:tcPr>
            <w:tcW w:w="3012" w:type="dxa"/>
            <w:tcBorders>
              <w:top w:val="single" w:color="auto" w:sz="8" w:space="0"/>
              <w:left w:val="nil"/>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卖方</w:t>
            </w:r>
          </w:p>
        </w:tc>
        <w:tc>
          <w:tcPr>
            <w:tcW w:w="2550" w:type="dxa"/>
            <w:tcBorders>
              <w:top w:val="single" w:color="auto" w:sz="8" w:space="0"/>
              <w:left w:val="nil"/>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买方</w:t>
            </w: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联系人</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电话（同微信）</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座机</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rPr>
            </w:pPr>
          </w:p>
        </w:tc>
      </w:tr>
      <w:tr>
        <w:tblPrEx>
          <w:tblCellMar>
            <w:top w:w="0" w:type="dxa"/>
            <w:left w:w="0" w:type="dxa"/>
            <w:bottom w:w="0" w:type="dxa"/>
            <w:right w:w="0" w:type="dxa"/>
          </w:tblCellMar>
        </w:tblPrEx>
        <w:trPr>
          <w:trHeight w:val="325" w:hRule="atLeast"/>
        </w:trPr>
        <w:tc>
          <w:tcPr>
            <w:tcW w:w="2782" w:type="dxa"/>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 w:val="24"/>
                <w:highlight w:val="none"/>
              </w:rPr>
            </w:pPr>
            <w:r>
              <w:rPr>
                <w:rFonts w:hint="eastAsia" w:ascii="宋体" w:hAnsi="宋体" w:eastAsia="宋体" w:cs="宋体"/>
                <w:bCs/>
                <w:color w:val="auto"/>
                <w:sz w:val="24"/>
                <w:highlight w:val="none"/>
              </w:rPr>
              <w:t>联系邮箱</w:t>
            </w:r>
          </w:p>
        </w:tc>
        <w:tc>
          <w:tcPr>
            <w:tcW w:w="3012"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u w:val="single"/>
              </w:rPr>
            </w:pPr>
          </w:p>
        </w:tc>
        <w:tc>
          <w:tcPr>
            <w:tcW w:w="2550" w:type="dxa"/>
            <w:tcBorders>
              <w:top w:val="nil"/>
              <w:left w:val="nil"/>
              <w:bottom w:val="single" w:color="auto" w:sz="8" w:space="0"/>
              <w:right w:val="single" w:color="auto" w:sz="8" w:space="0"/>
            </w:tcBorders>
            <w:tcMar>
              <w:top w:w="15" w:type="dxa"/>
              <w:left w:w="15" w:type="dxa"/>
              <w:bottom w:w="0" w:type="dxa"/>
              <w:right w:w="15" w:type="dxa"/>
            </w:tcMar>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ascii="宋体" w:hAnsi="宋体" w:eastAsia="宋体" w:cs="宋体"/>
                <w:color w:val="auto"/>
                <w:sz w:val="24"/>
                <w:highlight w:val="none"/>
                <w:u w:val="single"/>
              </w:rPr>
            </w:pPr>
          </w:p>
        </w:tc>
      </w:tr>
      <w:tr>
        <w:tblPrEx>
          <w:tblCellMar>
            <w:top w:w="0" w:type="dxa"/>
            <w:left w:w="0" w:type="dxa"/>
            <w:bottom w:w="0" w:type="dxa"/>
            <w:right w:w="0" w:type="dxa"/>
          </w:tblCellMar>
        </w:tblPrEx>
        <w:trPr>
          <w:trHeight w:val="813" w:hRule="atLeast"/>
        </w:trPr>
        <w:tc>
          <w:tcPr>
            <w:tcW w:w="8344" w:type="dxa"/>
            <w:gridSpan w:val="3"/>
            <w:tcBorders>
              <w:top w:val="nil"/>
              <w:left w:val="single" w:color="auto" w:sz="8" w:space="0"/>
              <w:bottom w:val="single" w:color="auto" w:sz="8" w:space="0"/>
              <w:right w:val="single" w:color="auto" w:sz="8" w:space="0"/>
            </w:tcBorders>
            <w:tcMar>
              <w:top w:w="15" w:type="dxa"/>
              <w:left w:w="15" w:type="dxa"/>
              <w:bottom w:w="0" w:type="dxa"/>
              <w:right w:w="15" w:type="dxa"/>
            </w:tcMar>
          </w:tcPr>
          <w:p>
            <w:pPr>
              <w:keepNext w:val="0"/>
              <w:keepLines w:val="0"/>
              <w:widowControl/>
              <w:suppressLineNumbers w:val="0"/>
              <w:adjustRightInd w:val="0"/>
              <w:snapToGrid w:val="0"/>
              <w:spacing w:before="0" w:beforeAutospacing="0" w:after="0" w:afterAutospacing="0" w:line="360" w:lineRule="auto"/>
              <w:ind w:left="0" w:right="0"/>
              <w:jc w:val="left"/>
              <w:rPr>
                <w:rFonts w:hint="default" w:ascii="宋体" w:hAnsi="宋体" w:eastAsia="宋体" w:cs="宋体"/>
                <w:color w:val="auto"/>
                <w:sz w:val="24"/>
                <w:highlight w:val="none"/>
              </w:rPr>
            </w:pPr>
            <w:r>
              <w:rPr>
                <w:rFonts w:hint="eastAsia" w:ascii="宋体" w:hAnsi="宋体" w:eastAsia="宋体" w:cs="宋体"/>
                <w:color w:val="auto"/>
                <w:kern w:val="0"/>
                <w:sz w:val="24"/>
                <w:highlight w:val="none"/>
              </w:rPr>
              <w:t>备注：上述信息发生变更，应提前3个工作日通知对方，否则由此产生的责任、损失由违约方承担。</w:t>
            </w:r>
          </w:p>
        </w:tc>
      </w:tr>
    </w:tbl>
    <w:p>
      <w:pPr>
        <w:adjustRightInd w:val="0"/>
        <w:snapToGrid w:val="0"/>
        <w:spacing w:line="360" w:lineRule="auto"/>
        <w:ind w:firstLine="480" w:firstLineChars="200"/>
        <w:rPr>
          <w:rFonts w:ascii="宋体" w:hAnsi="宋体" w:eastAsia="宋体"/>
          <w:color w:val="auto"/>
          <w:sz w:val="24"/>
          <w:szCs w:val="24"/>
          <w:highlight w:val="none"/>
        </w:rPr>
      </w:pPr>
      <w:r>
        <w:rPr>
          <w:rFonts w:hint="default" w:ascii="宋体" w:hAnsi="宋体" w:eastAsia="宋体"/>
          <w:color w:val="auto"/>
          <w:sz w:val="24"/>
          <w:szCs w:val="24"/>
          <w:highlight w:val="none"/>
          <w:lang w:val="en-US"/>
        </w:rPr>
        <w:t> </w:t>
      </w:r>
      <w:r>
        <w:rPr>
          <w:rFonts w:ascii="宋体" w:hAnsi="宋体" w:eastAsia="宋体"/>
          <w:color w:val="auto"/>
          <w:sz w:val="24"/>
          <w:szCs w:val="24"/>
          <w:highlight w:val="none"/>
        </w:rPr>
        <w:fldChar w:fldCharType="end"/>
      </w:r>
      <w:bookmarkEnd w:id="6"/>
      <w:sdt>
        <w:sdtPr>
          <w:rPr>
            <w:rFonts w:ascii="宋体" w:hAnsi="宋体" w:eastAsia="宋体" w:cstheme="minorBidi"/>
            <w:color w:val="auto"/>
            <w:kern w:val="2"/>
            <w:sz w:val="24"/>
            <w:szCs w:val="24"/>
            <w:highlight w:val="none"/>
            <w:lang w:val="en-US" w:eastAsia="zh-CN" w:bidi="ar-SA"/>
          </w:rPr>
          <w:id w:val="147464593"/>
          <w:placeholder>
            <w:docPart w:val="{30952e82-c7ee-42dc-b1fb-90547c7b4dbe}"/>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ascii="宋体" w:hAnsi="宋体"/>
          <w:color w:val="auto"/>
          <w:sz w:val="24"/>
          <w:szCs w:val="24"/>
          <w:highlight w:val="none"/>
        </w:rPr>
        <w:t xml:space="preserve">    </w:t>
      </w:r>
      <w:r>
        <w:rPr>
          <w:rFonts w:ascii="宋体" w:hAnsi="宋体" w:eastAsia="宋体"/>
          <w:color w:val="auto"/>
          <w:sz w:val="24"/>
          <w:szCs w:val="24"/>
          <w:highlight w:val="none"/>
        </w:rPr>
        <w:t>2.2交货地点</w:t>
      </w:r>
      <w:r>
        <w:rPr>
          <w:rFonts w:hint="eastAsia" w:ascii="宋体" w:hAnsi="宋体" w:eastAsia="宋体"/>
          <w:color w:val="auto"/>
          <w:sz w:val="24"/>
          <w:szCs w:val="24"/>
          <w:highlight w:val="none"/>
        </w:rPr>
        <w:t>、期限和二次配送</w:t>
      </w:r>
      <w:r>
        <w:rPr>
          <w:rFonts w:ascii="宋体" w:hAnsi="宋体" w:eastAsia="宋体"/>
          <w:color w:val="auto"/>
          <w:sz w:val="24"/>
          <w:szCs w:val="24"/>
          <w:highlight w:val="none"/>
        </w:rPr>
        <w:t>：</w:t>
      </w:r>
      <w:r>
        <w:rPr>
          <w:rFonts w:hint="eastAsia" w:ascii="宋体" w:hAnsi="宋体" w:eastAsia="宋体"/>
          <w:color w:val="auto"/>
          <w:sz w:val="24"/>
          <w:szCs w:val="24"/>
          <w:highlight w:val="none"/>
        </w:rPr>
        <w:t>货交</w:t>
      </w:r>
      <w:r>
        <w:rPr>
          <w:rFonts w:ascii="宋体" w:hAnsi="宋体" w:eastAsia="宋体"/>
          <w:color w:val="auto"/>
          <w:sz w:val="24"/>
          <w:szCs w:val="24"/>
          <w:highlight w:val="none"/>
        </w:rPr>
        <w:t>买方指定地点。</w:t>
      </w:r>
      <w:sdt>
        <w:sdtPr>
          <w:rPr>
            <w:rFonts w:ascii="宋体" w:hAnsi="宋体" w:eastAsia="宋体" w:cstheme="minorBidi"/>
            <w:color w:val="auto"/>
            <w:kern w:val="2"/>
            <w:sz w:val="24"/>
            <w:szCs w:val="24"/>
            <w:highlight w:val="none"/>
            <w:lang w:val="en-US" w:eastAsia="zh-CN" w:bidi="ar-SA"/>
          </w:rPr>
          <w:id w:val="147468493"/>
          <w:placeholder>
            <w:docPart w:val="{85381bf7-6c14-4227-92ca-bb1abcdacaf1}"/>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一般情况下，卖方应将货物送至买方仓库（福建省内指定地点）集中仓储，再根据买方指令从仓库提货后进行二次配送至最终用户。特殊情况下，卖方应将货物直接送至最终用户。具体按照《定货单》要求执行。</w:t>
          </w:r>
        </w:sdtContent>
      </w:sdt>
    </w:p>
    <w:sdt>
      <w:sdtPr>
        <w:rPr>
          <w:rFonts w:ascii="宋体" w:hAnsi="宋体" w:eastAsia="宋体" w:cstheme="minorBidi"/>
          <w:color w:val="auto"/>
          <w:kern w:val="2"/>
          <w:sz w:val="24"/>
          <w:szCs w:val="24"/>
          <w:highlight w:val="none"/>
          <w:lang w:val="en-US" w:eastAsia="zh-CN" w:bidi="ar-SA"/>
        </w:rPr>
        <w:id w:val="147463688"/>
        <w:placeholder>
          <w:docPart w:val="{b0edb2af-21b1-4061-a74d-59e324f838be}"/>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2.2.</w:t>
          </w:r>
          <w:r>
            <w:rPr>
              <w:rFonts w:hint="eastAsia" w:ascii="宋体" w:hAnsi="宋体" w:eastAsia="宋体"/>
              <w:color w:val="auto"/>
              <w:sz w:val="24"/>
              <w:szCs w:val="24"/>
              <w:highlight w:val="none"/>
            </w:rPr>
            <w:t>1货物</w:t>
          </w:r>
          <w:r>
            <w:rPr>
              <w:rFonts w:ascii="宋体" w:hAnsi="宋体" w:eastAsia="宋体"/>
              <w:color w:val="auto"/>
              <w:sz w:val="24"/>
              <w:szCs w:val="24"/>
              <w:highlight w:val="none"/>
            </w:rPr>
            <w:t>送</w:t>
          </w:r>
          <w:r>
            <w:rPr>
              <w:rFonts w:hint="eastAsia" w:ascii="宋体" w:hAnsi="宋体" w:eastAsia="宋体"/>
              <w:color w:val="auto"/>
              <w:sz w:val="24"/>
              <w:szCs w:val="24"/>
              <w:highlight w:val="none"/>
            </w:rPr>
            <w:t>买方</w:t>
          </w:r>
          <w:r>
            <w:rPr>
              <w:rFonts w:ascii="宋体" w:hAnsi="宋体" w:eastAsia="宋体"/>
              <w:color w:val="auto"/>
              <w:sz w:val="24"/>
              <w:szCs w:val="24"/>
              <w:highlight w:val="none"/>
            </w:rPr>
            <w:t>仓库后再</w:t>
          </w:r>
          <w:r>
            <w:rPr>
              <w:rFonts w:hint="eastAsia" w:ascii="宋体" w:hAnsi="宋体" w:eastAsia="宋体"/>
              <w:color w:val="auto"/>
              <w:sz w:val="24"/>
              <w:szCs w:val="24"/>
              <w:highlight w:val="none"/>
            </w:rPr>
            <w:t>配</w:t>
          </w:r>
          <w:r>
            <w:rPr>
              <w:rFonts w:ascii="宋体" w:hAnsi="宋体" w:eastAsia="宋体"/>
              <w:color w:val="auto"/>
              <w:sz w:val="24"/>
              <w:szCs w:val="24"/>
              <w:highlight w:val="none"/>
            </w:rPr>
            <w:t>送至最终用户的，</w:t>
          </w:r>
          <w:r>
            <w:rPr>
              <w:rFonts w:hint="eastAsia" w:ascii="宋体" w:hAnsi="宋体" w:eastAsia="宋体"/>
              <w:color w:val="auto"/>
              <w:sz w:val="24"/>
              <w:szCs w:val="24"/>
              <w:highlight w:val="none"/>
            </w:rPr>
            <w:t>卖方应在买方发出《定货单》之日</w:t>
          </w:r>
          <w:r>
            <w:rPr>
              <w:rFonts w:hint="eastAsia" w:ascii="宋体" w:hAnsi="宋体" w:eastAsia="宋体"/>
              <w:color w:val="auto"/>
              <w:sz w:val="24"/>
              <w:szCs w:val="24"/>
              <w:highlight w:val="none"/>
            </w:rPr>
            <w:t>起</w:t>
          </w:r>
          <w:r>
            <w:rPr>
              <w:rFonts w:hint="eastAsia" w:ascii="宋体" w:hAnsi="宋体" w:eastAsia="宋体"/>
              <w:color w:val="auto"/>
              <w:sz w:val="24"/>
              <w:szCs w:val="24"/>
              <w:highlight w:val="none"/>
              <w:u w:val="single"/>
              <w:lang w:val="en-US" w:eastAsia="zh-CN"/>
            </w:rPr>
            <w:t>15</w:t>
          </w:r>
          <w:r>
            <w:rPr>
              <w:rFonts w:ascii="宋体" w:hAnsi="宋体" w:eastAsia="宋体"/>
              <w:color w:val="auto"/>
              <w:sz w:val="24"/>
              <w:szCs w:val="24"/>
              <w:highlight w:val="none"/>
              <w:u w:val="single"/>
            </w:rPr>
            <w:t xml:space="preserve"> </w:t>
          </w:r>
          <w:r>
            <w:rPr>
              <w:rFonts w:ascii="宋体" w:hAnsi="宋体" w:eastAsia="宋体"/>
              <w:color w:val="auto"/>
              <w:sz w:val="24"/>
              <w:szCs w:val="24"/>
              <w:highlight w:val="none"/>
            </w:rPr>
            <w:t>个日历日之内</w:t>
          </w:r>
          <w:r>
            <w:rPr>
              <w:rFonts w:hint="eastAsia" w:ascii="宋体" w:hAnsi="宋体" w:eastAsia="宋体"/>
              <w:color w:val="auto"/>
              <w:sz w:val="24"/>
              <w:szCs w:val="24"/>
              <w:highlight w:val="none"/>
            </w:rPr>
            <w:t>（《定货单》的交货期与本条约定不一致的，以《定货单》为准）将</w:t>
          </w:r>
          <w:r>
            <w:rPr>
              <w:rFonts w:ascii="宋体" w:hAnsi="宋体" w:eastAsia="宋体"/>
              <w:color w:val="auto"/>
              <w:sz w:val="24"/>
              <w:szCs w:val="24"/>
              <w:highlight w:val="none"/>
            </w:rPr>
            <w:t>货交</w:t>
          </w:r>
          <w:r>
            <w:rPr>
              <w:rFonts w:hint="eastAsia" w:ascii="宋体" w:hAnsi="宋体" w:eastAsia="宋体"/>
              <w:color w:val="auto"/>
              <w:sz w:val="24"/>
              <w:szCs w:val="24"/>
              <w:highlight w:val="none"/>
            </w:rPr>
            <w:t>买方仓库，</w:t>
          </w:r>
          <w:r>
            <w:rPr>
              <w:rFonts w:hint="eastAsia" w:ascii="宋体" w:hAnsi="宋体" w:eastAsia="宋体" w:cstheme="minorBidi"/>
              <w:color w:val="auto"/>
              <w:kern w:val="2"/>
              <w:sz w:val="24"/>
              <w:szCs w:val="24"/>
              <w:highlight w:val="none"/>
              <w:lang w:val="en-US" w:eastAsia="zh-CN" w:bidi="ar-SA"/>
            </w:rPr>
            <w:t xml:space="preserve"> </w:t>
          </w:r>
          <w:r>
            <w:rPr>
              <w:rFonts w:hint="eastAsia" w:ascii="宋体" w:hAnsi="宋体" w:eastAsia="宋体"/>
              <w:color w:val="auto"/>
              <w:sz w:val="24"/>
              <w:szCs w:val="24"/>
              <w:highlight w:val="none"/>
            </w:rPr>
            <w:t>货物到达买方仓库后，卖方应在接到买方通知后24小时内（仅指货物配送时限要求，安装调试至通过验收的时限以6</w:t>
          </w:r>
          <w:r>
            <w:rPr>
              <w:rFonts w:ascii="宋体" w:hAnsi="宋体" w:eastAsia="宋体"/>
              <w:color w:val="auto"/>
              <w:sz w:val="24"/>
              <w:szCs w:val="24"/>
              <w:highlight w:val="none"/>
            </w:rPr>
            <w:t>.1</w:t>
          </w:r>
          <w:r>
            <w:rPr>
              <w:rFonts w:hint="eastAsia" w:ascii="宋体" w:hAnsi="宋体" w:eastAsia="宋体"/>
              <w:color w:val="auto"/>
              <w:sz w:val="24"/>
              <w:szCs w:val="24"/>
              <w:highlight w:val="none"/>
            </w:rPr>
            <w:t>为准）将货物从买方仓库二次配送至最</w:t>
          </w:r>
          <w:r>
            <w:rPr>
              <w:rFonts w:hint="eastAsia" w:ascii="宋体" w:hAnsi="宋体" w:eastAsia="宋体"/>
              <w:color w:val="auto"/>
              <w:sz w:val="24"/>
              <w:szCs w:val="24"/>
              <w:highlight w:val="none"/>
            </w:rPr>
            <w:t>终用户（地址为厦门市岛内行政区域），并按第6条的约定完成安装调试后提请验收交付。</w:t>
          </w:r>
          <w:r>
            <w:rPr>
              <w:rFonts w:ascii="宋体" w:hAnsi="宋体" w:eastAsia="宋体"/>
              <w:color w:val="auto"/>
              <w:sz w:val="24"/>
              <w:szCs w:val="24"/>
              <w:highlight w:val="none"/>
            </w:rPr>
            <w:t>卖方除承担运送至买方仓库的费用</w:t>
          </w:r>
          <w:r>
            <w:rPr>
              <w:rFonts w:hint="eastAsia" w:ascii="宋体" w:hAnsi="宋体" w:eastAsia="宋体"/>
              <w:color w:val="auto"/>
              <w:sz w:val="24"/>
              <w:szCs w:val="24"/>
              <w:highlight w:val="none"/>
            </w:rPr>
            <w:t>、货物存至买方仓库的仓储操作费</w:t>
          </w:r>
          <w:r>
            <w:rPr>
              <w:rFonts w:hint="eastAsia" w:ascii="宋体" w:hAnsi="宋体" w:eastAsia="宋体"/>
              <w:color w:val="auto"/>
              <w:sz w:val="24"/>
              <w:szCs w:val="24"/>
              <w:highlight w:val="none"/>
              <w:lang w:eastAsia="zh-CN"/>
            </w:rPr>
            <w:t>（</w:t>
          </w:r>
          <w:r>
            <w:rPr>
              <w:rFonts w:hint="eastAsia" w:ascii="宋体" w:hAnsi="宋体"/>
              <w:color w:val="auto"/>
              <w:sz w:val="24"/>
              <w:szCs w:val="24"/>
              <w:highlight w:val="none"/>
            </w:rPr>
            <w:t>仓储操作费10元/台</w:t>
          </w:r>
          <w:r>
            <w:rPr>
              <w:rFonts w:hint="eastAsia" w:ascii="宋体" w:hAnsi="宋体" w:eastAsia="宋体"/>
              <w:color w:val="auto"/>
              <w:sz w:val="24"/>
              <w:szCs w:val="24"/>
              <w:highlight w:val="none"/>
              <w:lang w:eastAsia="zh-CN"/>
            </w:rPr>
            <w:t>）</w:t>
          </w:r>
          <w:r>
            <w:rPr>
              <w:rFonts w:ascii="宋体" w:hAnsi="宋体" w:eastAsia="宋体"/>
              <w:color w:val="auto"/>
              <w:sz w:val="24"/>
              <w:szCs w:val="24"/>
              <w:highlight w:val="none"/>
            </w:rPr>
            <w:t>，还应同时承担从买方仓库运送至最终用户的二次配送费用</w:t>
          </w:r>
          <w:r>
            <w:rPr>
              <w:rFonts w:hint="eastAsia" w:ascii="宋体" w:hAnsi="宋体" w:eastAsia="宋体"/>
              <w:color w:val="auto"/>
              <w:sz w:val="24"/>
              <w:szCs w:val="24"/>
              <w:highlight w:val="none"/>
            </w:rPr>
            <w:t>。卖方从买方仓库中提货之时起至货物经最终用户签收之时止，货物毁损、灭失的风险由卖方承担。</w:t>
          </w:r>
        </w:p>
      </w:sdtContent>
    </w:sdt>
    <w:sdt>
      <w:sdtPr>
        <w:rPr>
          <w:rFonts w:hint="eastAsia" w:ascii="宋体" w:hAnsi="宋体" w:eastAsia="宋体" w:cstheme="minorBidi"/>
          <w:color w:val="auto"/>
          <w:kern w:val="2"/>
          <w:sz w:val="24"/>
          <w:szCs w:val="24"/>
          <w:highlight w:val="none"/>
          <w:lang w:val="en-US" w:eastAsia="zh-CN" w:bidi="ar-SA"/>
        </w:rPr>
        <w:id w:val="147463825"/>
        <w:placeholder>
          <w:docPart w:val="{d1d1ce09-3154-429c-bc19-e1f3ef46a536}"/>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2.2.2货物直送最终用户的</w:t>
          </w:r>
          <w:r>
            <w:rPr>
              <w:rFonts w:hint="eastAsia" w:ascii="宋体" w:hAnsi="宋体" w:eastAsia="宋体"/>
              <w:color w:val="auto"/>
              <w:sz w:val="24"/>
              <w:szCs w:val="24"/>
              <w:highlight w:val="none"/>
            </w:rPr>
            <w:t>，卖方应在买方发出《定货单》之日起24小时之内（《定货单》的交货期与本条约定不一致的，以《定货单》为准）将货交最终用户，并按第6条的约定完成安装调试后提请验收交付。</w:t>
          </w:r>
        </w:p>
      </w:sdtContent>
    </w:sd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2.2.3若卖方未按</w:t>
      </w:r>
      <w:r>
        <w:rPr>
          <w:rFonts w:ascii="宋体" w:hAnsi="宋体" w:eastAsia="宋体"/>
          <w:color w:val="auto"/>
          <w:sz w:val="24"/>
          <w:szCs w:val="24"/>
          <w:highlight w:val="none"/>
        </w:rPr>
        <w:t>2.2.1</w:t>
      </w:r>
      <w:r>
        <w:rPr>
          <w:rFonts w:hint="eastAsia" w:ascii="宋体" w:hAnsi="宋体" w:eastAsia="宋体"/>
          <w:color w:val="auto"/>
          <w:sz w:val="24"/>
          <w:szCs w:val="24"/>
          <w:highlight w:val="none"/>
        </w:rPr>
        <w:t>约定的时间完成二次配送的，买方将代为进行二次配送，卖方应按如下费用标准最迟在买方发出《定货单》之日起</w:t>
      </w:r>
      <w:sdt>
        <w:sdtPr>
          <w:rPr>
            <w:rFonts w:hint="eastAsia" w:ascii="宋体" w:hAnsi="宋体" w:eastAsia="宋体" w:cstheme="minorBidi"/>
            <w:color w:val="auto"/>
            <w:kern w:val="2"/>
            <w:sz w:val="24"/>
            <w:szCs w:val="24"/>
            <w:highlight w:val="none"/>
            <w:lang w:val="en-US" w:eastAsia="zh-CN" w:bidi="ar-SA"/>
          </w:rPr>
          <w:id w:val="900507092"/>
          <w:placeholder>
            <w:docPart w:val="{e88b6602-416b-4bc8-8473-9ed5b2a7ab9d}"/>
          </w:placeholder>
        </w:sdtPr>
        <w:sdtEndPr>
          <w:rPr>
            <w:rFonts w:hint="eastAsia" w:ascii="宋体" w:hAnsi="宋体" w:eastAsia="宋体" w:cstheme="minorBidi"/>
            <w:color w:val="auto"/>
            <w:kern w:val="2"/>
            <w:sz w:val="24"/>
            <w:szCs w:val="24"/>
            <w:highlight w:val="none"/>
            <w:u w:val="single"/>
            <w:lang w:val="en-US" w:eastAsia="zh-CN" w:bidi="ar-SA"/>
          </w:rPr>
        </w:sdtEndPr>
        <w:sdtContent>
          <w:r>
            <w:rPr>
              <w:rFonts w:hint="eastAsia" w:ascii="宋体" w:hAnsi="宋体" w:eastAsia="宋体"/>
              <w:color w:val="auto"/>
              <w:sz w:val="24"/>
              <w:szCs w:val="24"/>
              <w:highlight w:val="none"/>
              <w:u w:val="single"/>
              <w:lang w:val="en-US" w:eastAsia="zh-CN"/>
            </w:rPr>
            <w:t>10</w:t>
          </w:r>
        </w:sdtContent>
      </w:sdt>
      <w:r>
        <w:rPr>
          <w:rFonts w:hint="eastAsia" w:ascii="宋体" w:hAnsi="宋体" w:eastAsia="宋体"/>
          <w:color w:val="auto"/>
          <w:sz w:val="24"/>
          <w:szCs w:val="24"/>
          <w:highlight w:val="none"/>
        </w:rPr>
        <w:t>个</w:t>
      </w:r>
      <w:r>
        <w:rPr>
          <w:rFonts w:hint="eastAsia" w:ascii="宋体" w:hAnsi="宋体" w:eastAsia="宋体"/>
          <w:color w:val="auto"/>
          <w:sz w:val="24"/>
          <w:szCs w:val="24"/>
          <w:highlight w:val="none"/>
          <w:lang w:eastAsia="zh-CN"/>
        </w:rPr>
        <w:t>工作</w:t>
      </w:r>
      <w:r>
        <w:rPr>
          <w:rFonts w:hint="eastAsia" w:ascii="宋体" w:hAnsi="宋体" w:eastAsia="宋体"/>
          <w:color w:val="auto"/>
          <w:sz w:val="24"/>
          <w:szCs w:val="24"/>
          <w:highlight w:val="none"/>
        </w:rPr>
        <w:t>日内向买方或买方指定的第三方物流商支付相应</w:t>
      </w:r>
      <w:sdt>
        <w:sdtPr>
          <w:rPr>
            <w:rFonts w:hint="eastAsia" w:ascii="宋体" w:hAnsi="宋体" w:eastAsia="宋体" w:cstheme="minorBidi"/>
            <w:color w:val="auto"/>
            <w:kern w:val="2"/>
            <w:sz w:val="24"/>
            <w:szCs w:val="24"/>
            <w:highlight w:val="none"/>
            <w:lang w:val="en-US" w:eastAsia="zh-CN" w:bidi="ar-SA"/>
          </w:rPr>
          <w:id w:val="576802191"/>
          <w:placeholder>
            <w:docPart w:val="{848ebe74-6431-44ea-a364-ce3b42b370cc}"/>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仓储操作费及二次配送费用：</w:t>
          </w:r>
          <w:r>
            <w:rPr>
              <w:rFonts w:hint="eastAsia" w:ascii="宋体" w:hAnsi="宋体"/>
              <w:color w:val="auto"/>
              <w:sz w:val="24"/>
              <w:szCs w:val="24"/>
              <w:highlight w:val="none"/>
            </w:rPr>
            <w:t>仓储操作费10元/台，二次配送费15元/。</w:t>
          </w:r>
        </w:sdtContent>
      </w:sdt>
      <w:r>
        <w:rPr>
          <w:rFonts w:hint="eastAsia" w:ascii="宋体" w:hAnsi="宋体" w:eastAsia="宋体"/>
          <w:color w:val="auto"/>
          <w:sz w:val="24"/>
          <w:szCs w:val="24"/>
          <w:highlight w:val="none"/>
        </w:rPr>
        <w:t>若卖方未向买方或买方指定的第三方物流商支付该仓储操作费及二次配送费用的，买方有权从卖方货款或4.1条约定的履约保证金总额中扣除相应费用。</w:t>
      </w:r>
      <w:r>
        <w:rPr>
          <w:rFonts w:hint="default" w:ascii="宋体" w:hAnsi="宋体" w:cstheme="minorBidi"/>
          <w:color w:val="auto"/>
          <w:kern w:val="2"/>
          <w:sz w:val="24"/>
          <w:szCs w:val="24"/>
          <w:highlight w:val="none"/>
          <w:lang w:eastAsia="zh-CN" w:bidi="ar-SA"/>
        </w:rPr>
        <w:t xml:space="preserve"> </w:t>
      </w:r>
      <w:sdt>
        <w:sdtPr>
          <w:rPr>
            <w:rFonts w:hint="eastAsia" w:ascii="宋体" w:hAnsi="宋体" w:eastAsia="宋体" w:cstheme="minorBidi"/>
            <w:color w:val="auto"/>
            <w:kern w:val="2"/>
            <w:sz w:val="24"/>
            <w:szCs w:val="24"/>
            <w:highlight w:val="none"/>
            <w:lang w:val="en-US" w:eastAsia="zh-CN" w:bidi="ar-SA"/>
          </w:rPr>
          <w:id w:val="147463068"/>
          <w:placeholder>
            <w:docPart w:val="{c297fae7-8287-418a-8c36-b371963a0291}"/>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2.3交货时间的特别约定</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.3.1</w:t>
      </w:r>
      <w:r>
        <w:rPr>
          <w:rFonts w:hint="eastAsia" w:ascii="宋体" w:hAnsi="宋体" w:eastAsia="宋体"/>
          <w:color w:val="auto"/>
          <w:sz w:val="24"/>
          <w:szCs w:val="24"/>
          <w:highlight w:val="none"/>
        </w:rPr>
        <w:t>供货过程中，</w:t>
      </w:r>
      <w:r>
        <w:rPr>
          <w:rFonts w:hint="eastAsia" w:ascii="宋体" w:hAnsi="宋体" w:eastAsia="宋体"/>
          <w:color w:val="auto"/>
          <w:sz w:val="24"/>
          <w:szCs w:val="24"/>
          <w:highlight w:val="none"/>
        </w:rPr>
        <w:t>若出现暂时的配件型号变更或短缺等情况的，卖方须在买方发出《定货单》之日起</w:t>
      </w:r>
      <w:sdt>
        <w:sdtPr>
          <w:rPr>
            <w:rFonts w:hint="eastAsia" w:ascii="宋体" w:hAnsi="宋体" w:eastAsia="宋体" w:cstheme="minorBidi"/>
            <w:color w:val="auto"/>
            <w:kern w:val="2"/>
            <w:sz w:val="24"/>
            <w:szCs w:val="24"/>
            <w:highlight w:val="none"/>
            <w:lang w:val="en-US" w:eastAsia="zh-CN" w:bidi="ar-SA"/>
          </w:rPr>
          <w:id w:val="147470159"/>
          <w:placeholder>
            <w:docPart w:val="{5e4c2947-7f53-4221-ba39-dfa535d29a69}"/>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5</w:t>
          </w:r>
        </w:sdtContent>
      </w:sdt>
      <w:r>
        <w:rPr>
          <w:rFonts w:hint="eastAsia" w:ascii="宋体" w:hAnsi="宋体" w:eastAsia="宋体"/>
          <w:color w:val="auto"/>
          <w:sz w:val="24"/>
          <w:szCs w:val="24"/>
          <w:highlight w:val="none"/>
        </w:rPr>
        <w:t>个工作日</w:t>
      </w:r>
      <w:r>
        <w:rPr>
          <w:rFonts w:hint="eastAsia" w:ascii="宋体" w:hAnsi="宋体" w:eastAsia="宋体"/>
          <w:color w:val="auto"/>
          <w:sz w:val="24"/>
          <w:szCs w:val="24"/>
          <w:highlight w:val="none"/>
        </w:rPr>
        <w:t>内向买方和最终用户提供相应证明文件，并提供解决方案（但其价格不得高于成交价且配置配件的参数指标不得低于原来的要求）和买方、最终用户进行协商。经买方和最终用户认可后，卖方按最终确定的方案供货，货款按最终协商一致的价格结算，交货时间满足最终用户的要求。否则，按逾期交货处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ascii="宋体" w:hAnsi="宋体" w:eastAsia="宋体"/>
          <w:color w:val="auto"/>
          <w:sz w:val="24"/>
          <w:szCs w:val="24"/>
          <w:highlight w:val="none"/>
        </w:rPr>
        <w:t>3.2</w:t>
      </w:r>
      <w:r>
        <w:rPr>
          <w:rFonts w:ascii="宋体" w:hAnsi="宋体" w:eastAsia="宋体" w:cs="宋体"/>
          <w:color w:val="auto"/>
          <w:sz w:val="24"/>
          <w:szCs w:val="24"/>
          <w:highlight w:val="none"/>
        </w:rPr>
        <w:t>若在合同期内有任何产品型号或配件升级变更，卖方应至少提前一个月书面通知买方相关信息（包括其升级产品型号、部件及详细配置方案）</w:t>
      </w:r>
      <w:sdt>
        <w:sdtPr>
          <w:rPr>
            <w:rFonts w:ascii="宋体" w:hAnsi="宋体" w:eastAsia="宋体" w:cs="宋体"/>
            <w:color w:val="auto"/>
            <w:kern w:val="2"/>
            <w:sz w:val="24"/>
            <w:szCs w:val="24"/>
            <w:highlight w:val="none"/>
            <w:lang w:val="en-US" w:eastAsia="zh-CN" w:bidi="ar-SA"/>
          </w:rPr>
          <w:id w:val="147461490"/>
          <w:placeholder>
            <w:docPart w:val="{fd062205-66c8-4f5d-a57e-8c49003ac3cb}"/>
          </w:placeholder>
        </w:sdtPr>
        <w:sdtEndPr>
          <w:rPr>
            <w:rFonts w:ascii="宋体" w:hAnsi="宋体" w:eastAsia="宋体" w:cs="宋体"/>
            <w:color w:val="auto"/>
            <w:kern w:val="2"/>
            <w:sz w:val="24"/>
            <w:szCs w:val="24"/>
            <w:highlight w:val="none"/>
            <w:lang w:val="en-US" w:eastAsia="zh-CN" w:bidi="ar-SA"/>
          </w:rPr>
        </w:sdtEndPr>
        <w:sdtContent>
          <w:r>
            <w:rPr>
              <w:rFonts w:ascii="宋体" w:hAnsi="宋体" w:cs="宋体"/>
              <w:color w:val="auto"/>
              <w:kern w:val="2"/>
              <w:sz w:val="24"/>
              <w:szCs w:val="24"/>
              <w:highlight w:val="none"/>
              <w:lang w:eastAsia="zh-CN" w:bidi="ar-SA"/>
            </w:rPr>
            <w:t>，</w:t>
          </w:r>
        </w:sdtContent>
      </w:sdt>
      <w:r>
        <w:rPr>
          <w:rFonts w:ascii="宋体" w:hAnsi="宋体" w:eastAsia="宋体" w:cs="宋体"/>
          <w:color w:val="auto"/>
          <w:sz w:val="24"/>
          <w:szCs w:val="24"/>
          <w:highlight w:val="none"/>
        </w:rPr>
        <w:t>经买方书面同意后方可按升级后的产品（或配件）供货，价格按合同单价执行，交货时间按采购合同条款执行。同时，在买方同意之前，卖方仍应按原《定货单》的要求供货。否则，按逾期交货处理。</w:t>
      </w:r>
      <w:sdt>
        <w:sdtPr>
          <w:rPr>
            <w:rFonts w:ascii="宋体" w:hAnsi="宋体" w:eastAsia="宋体" w:cs="宋体"/>
            <w:color w:val="auto"/>
            <w:kern w:val="2"/>
            <w:sz w:val="24"/>
            <w:szCs w:val="24"/>
            <w:highlight w:val="none"/>
            <w:lang w:val="en-US" w:eastAsia="zh-CN" w:bidi="ar-SA"/>
          </w:rPr>
          <w:id w:val="147461712"/>
          <w:placeholder>
            <w:docPart w:val="{589e7d71-1877-491e-acf0-a7b9cb950785}"/>
          </w:placeholder>
        </w:sdtPr>
        <w:sdtEndPr>
          <w:rPr>
            <w:rFonts w:hint="eastAsia" w:ascii="宋体" w:hAnsi="宋体" w:eastAsia="宋体" w:cs="宋体"/>
            <w:color w:val="auto"/>
            <w:kern w:val="2"/>
            <w:sz w:val="24"/>
            <w:szCs w:val="24"/>
            <w:highlight w:val="none"/>
            <w:lang w:val="en-US" w:eastAsia="zh-CN" w:bidi="ar-SA"/>
          </w:rPr>
        </w:sdtEndPr>
        <w:sdtContent>
          <w:r>
            <w:rPr>
              <w:rFonts w:ascii="宋体" w:hAnsi="宋体" w:eastAsia="宋体" w:cs="宋体"/>
              <w:color w:val="auto"/>
              <w:sz w:val="24"/>
              <w:szCs w:val="24"/>
              <w:highlight w:val="none"/>
            </w:rPr>
            <w:t>经最终用户认可后，卖方可按升级后的产品（或配件）供货。若在合同期内卖方有任何产品型号或配件停产且无法提供符合买方要求的升级型号或配件则视为严重违约，卖方应按每</w:t>
          </w:r>
          <w:r>
            <w:rPr>
              <w:rFonts w:ascii="宋体" w:hAnsi="宋体" w:eastAsia="宋体" w:cs="宋体"/>
              <w:color w:val="auto"/>
              <w:sz w:val="24"/>
              <w:szCs w:val="24"/>
              <w:highlight w:val="none"/>
            </w:rPr>
            <w:t>款机型</w:t>
          </w:r>
          <w:r>
            <w:rPr>
              <w:rFonts w:ascii="宋体" w:hAnsi="宋体" w:eastAsia="宋体" w:cs="宋体"/>
              <w:color w:val="auto"/>
              <w:sz w:val="24"/>
              <w:szCs w:val="24"/>
              <w:highlight w:val="none"/>
              <w:u w:val="single"/>
            </w:rPr>
            <w:t>20000</w:t>
          </w:r>
          <w:r>
            <w:rPr>
              <w:rFonts w:ascii="宋体" w:hAnsi="宋体" w:eastAsia="宋体" w:cs="宋体"/>
              <w:color w:val="auto"/>
              <w:sz w:val="24"/>
              <w:szCs w:val="24"/>
              <w:highlight w:val="none"/>
            </w:rPr>
            <w:t>元向买方缴纳违约金，买方有权单方面解除中标合同</w:t>
          </w:r>
          <w:r>
            <w:rPr>
              <w:rFonts w:hint="eastAsia" w:ascii="宋体" w:hAnsi="宋体" w:eastAsia="宋体" w:cs="宋体"/>
              <w:color w:val="auto"/>
              <w:sz w:val="24"/>
              <w:szCs w:val="24"/>
              <w:highlight w:val="none"/>
            </w:rPr>
            <w:t>并</w:t>
          </w:r>
          <w:r>
            <w:rPr>
              <w:rFonts w:ascii="宋体" w:hAnsi="宋体" w:eastAsia="宋体" w:cs="宋体"/>
              <w:color w:val="auto"/>
              <w:sz w:val="24"/>
              <w:szCs w:val="24"/>
              <w:highlight w:val="none"/>
            </w:rPr>
            <w:t>没收</w:t>
          </w:r>
          <w:r>
            <w:rPr>
              <w:rFonts w:hint="eastAsia" w:ascii="宋体" w:hAnsi="宋体" w:eastAsia="宋体" w:cs="宋体"/>
              <w:color w:val="auto"/>
              <w:sz w:val="24"/>
              <w:szCs w:val="24"/>
              <w:highlight w:val="none"/>
            </w:rPr>
            <w:t>4.1条约定的全部</w:t>
          </w:r>
          <w:r>
            <w:rPr>
              <w:rFonts w:ascii="宋体" w:hAnsi="宋体" w:eastAsia="宋体" w:cs="宋体"/>
              <w:color w:val="auto"/>
              <w:sz w:val="24"/>
              <w:szCs w:val="24"/>
              <w:highlight w:val="none"/>
            </w:rPr>
            <w:t>履约保证金</w:t>
          </w:r>
          <w:r>
            <w:rPr>
              <w:rFonts w:ascii="宋体" w:hAnsi="宋体" w:cs="宋体"/>
              <w:color w:val="auto"/>
              <w:sz w:val="24"/>
              <w:szCs w:val="24"/>
              <w:highlight w:val="none"/>
            </w:rPr>
            <w:t>。</w:t>
          </w:r>
        </w:sdtContent>
      </w:sdt>
      <w:r>
        <w:rPr>
          <w:rFonts w:hint="default" w:ascii="宋体" w:hAnsi="宋体" w:cs="宋体"/>
          <w:color w:val="auto"/>
          <w:kern w:val="2"/>
          <w:sz w:val="24"/>
          <w:szCs w:val="24"/>
          <w:highlight w:val="none"/>
          <w:lang w:eastAsia="zh-CN" w:bidi="ar-SA"/>
        </w:rPr>
        <w:t xml:space="preserve">    </w:t>
      </w:r>
      <w:r>
        <w:rPr>
          <w:rFonts w:hint="eastAsia" w:ascii="宋体" w:hAnsi="宋体" w:eastAsia="宋体"/>
          <w:color w:val="auto"/>
          <w:sz w:val="24"/>
          <w:szCs w:val="24"/>
          <w:highlight w:val="none"/>
        </w:rPr>
        <w:t>2.3.</w:t>
      </w:r>
      <w:r>
        <w:rPr>
          <w:rFonts w:ascii="宋体" w:hAnsi="宋体" w:eastAsia="宋体"/>
          <w:color w:val="auto"/>
          <w:sz w:val="24"/>
          <w:szCs w:val="24"/>
          <w:highlight w:val="none"/>
        </w:rPr>
        <w:t>3</w:t>
      </w:r>
      <w:r>
        <w:rPr>
          <w:rFonts w:hint="eastAsia" w:ascii="宋体" w:hAnsi="宋体" w:eastAsia="宋体"/>
          <w:color w:val="auto"/>
          <w:sz w:val="24"/>
          <w:szCs w:val="24"/>
          <w:highlight w:val="none"/>
        </w:rPr>
        <w:t>但凡要求卖方更换整机的，重新交货时间按2.</w:t>
      </w:r>
      <w:r>
        <w:rPr>
          <w:rFonts w:ascii="宋体" w:hAnsi="宋体" w:eastAsia="宋体"/>
          <w:color w:val="auto"/>
          <w:sz w:val="24"/>
          <w:szCs w:val="24"/>
          <w:highlight w:val="none"/>
        </w:rPr>
        <w:t>2</w:t>
      </w:r>
      <w:r>
        <w:rPr>
          <w:rFonts w:hint="eastAsia" w:ascii="宋体" w:hAnsi="宋体" w:eastAsia="宋体"/>
          <w:color w:val="auto"/>
          <w:sz w:val="24"/>
          <w:szCs w:val="24"/>
          <w:highlight w:val="none"/>
        </w:rPr>
        <w:t>.1、</w:t>
      </w:r>
      <w:r>
        <w:rPr>
          <w:rFonts w:ascii="宋体" w:hAnsi="宋体" w:eastAsia="宋体"/>
          <w:color w:val="auto"/>
          <w:sz w:val="24"/>
          <w:szCs w:val="24"/>
          <w:highlight w:val="none"/>
        </w:rPr>
        <w:t>2</w:t>
      </w:r>
      <w:r>
        <w:rPr>
          <w:rFonts w:hint="eastAsia" w:ascii="宋体" w:hAnsi="宋体" w:eastAsia="宋体"/>
          <w:color w:val="auto"/>
          <w:sz w:val="24"/>
          <w:szCs w:val="24"/>
          <w:highlight w:val="none"/>
        </w:rPr>
        <w:t>.</w:t>
      </w:r>
      <w:r>
        <w:rPr>
          <w:rFonts w:ascii="宋体" w:hAnsi="宋体" w:eastAsia="宋体"/>
          <w:color w:val="auto"/>
          <w:sz w:val="24"/>
          <w:szCs w:val="24"/>
          <w:highlight w:val="none"/>
        </w:rPr>
        <w:t>2.2</w:t>
      </w:r>
      <w:r>
        <w:rPr>
          <w:rFonts w:hint="eastAsia" w:ascii="宋体" w:hAnsi="宋体" w:eastAsia="宋体"/>
          <w:color w:val="auto"/>
          <w:sz w:val="24"/>
          <w:szCs w:val="24"/>
          <w:highlight w:val="none"/>
        </w:rPr>
        <w:t>条执行。</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2.3.</w:t>
      </w:r>
      <w:r>
        <w:rPr>
          <w:rFonts w:ascii="宋体" w:hAnsi="宋体" w:eastAsia="宋体"/>
          <w:color w:val="auto"/>
          <w:sz w:val="24"/>
          <w:szCs w:val="24"/>
          <w:highlight w:val="none"/>
        </w:rPr>
        <w:t>4</w:t>
      </w:r>
      <w:r>
        <w:rPr>
          <w:rFonts w:hint="eastAsia" w:ascii="宋体" w:hAnsi="宋体" w:eastAsia="宋体"/>
          <w:color w:val="auto"/>
          <w:sz w:val="24"/>
          <w:szCs w:val="24"/>
          <w:highlight w:val="none"/>
        </w:rPr>
        <w:t>卖方在收到《定货单》后应按买方要求加盖公章并以扫描件及时回复确认，但最迟不超过</w:t>
      </w:r>
      <w:sdt>
        <w:sdtPr>
          <w:rPr>
            <w:rFonts w:hint="default" w:ascii="宋体" w:hAnsi="宋体" w:eastAsia="宋体" w:cstheme="minorBidi"/>
            <w:color w:val="auto"/>
            <w:kern w:val="2"/>
            <w:sz w:val="24"/>
            <w:szCs w:val="24"/>
            <w:highlight w:val="none"/>
            <w:lang w:val="en-US" w:eastAsia="zh-CN" w:bidi="ar-SA"/>
          </w:rPr>
          <w:id w:val="147469995"/>
          <w:placeholder>
            <w:docPart w:val="{95fd1959-c862-4023-9654-5ac095f9c4f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stheme="minorBidi"/>
              <w:color w:val="auto"/>
              <w:kern w:val="2"/>
              <w:sz w:val="24"/>
              <w:szCs w:val="24"/>
              <w:highlight w:val="none"/>
              <w:lang w:val="en-US" w:eastAsia="zh-CN" w:bidi="ar-SA"/>
            </w:rPr>
            <w:t>3</w:t>
          </w:r>
        </w:sdtContent>
      </w:sdt>
      <w:r>
        <w:rPr>
          <w:rFonts w:hint="eastAsia" w:ascii="宋体" w:hAnsi="宋体" w:eastAsia="宋体"/>
          <w:color w:val="auto"/>
          <w:sz w:val="24"/>
          <w:szCs w:val="24"/>
          <w:highlight w:val="none"/>
        </w:rPr>
        <w:t>个日历日。若《定货单》发出之日起</w:t>
      </w:r>
      <w:sdt>
        <w:sdtPr>
          <w:rPr>
            <w:rFonts w:hint="eastAsia" w:ascii="宋体" w:hAnsi="宋体" w:eastAsia="宋体" w:cstheme="minorBidi"/>
            <w:color w:val="auto"/>
            <w:kern w:val="2"/>
            <w:sz w:val="24"/>
            <w:szCs w:val="24"/>
            <w:highlight w:val="none"/>
            <w:lang w:val="en-US" w:eastAsia="zh-CN" w:bidi="ar-SA"/>
          </w:rPr>
          <w:id w:val="147469973"/>
          <w:placeholder>
            <w:docPart w:val="{a37f111e-6eb5-4fcb-87bd-d315a4afaa5e}"/>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lang w:val="en-US" w:eastAsia="zh-CN"/>
            </w:rPr>
            <w:t>3</w:t>
          </w:r>
        </w:sdtContent>
      </w:sdt>
      <w:r>
        <w:rPr>
          <w:rFonts w:hint="eastAsia" w:ascii="宋体" w:hAnsi="宋体" w:eastAsia="宋体"/>
          <w:color w:val="auto"/>
          <w:sz w:val="24"/>
          <w:szCs w:val="24"/>
          <w:highlight w:val="none"/>
        </w:rPr>
        <w:t>个日历日内卖方未按买方要求予以确认的，则卖方同意自第</w:t>
      </w:r>
      <w:sdt>
        <w:sdtPr>
          <w:rPr>
            <w:rFonts w:hint="eastAsia" w:ascii="宋体" w:hAnsi="宋体" w:eastAsia="宋体" w:cstheme="minorBidi"/>
            <w:color w:val="auto"/>
            <w:kern w:val="2"/>
            <w:sz w:val="24"/>
            <w:szCs w:val="24"/>
            <w:highlight w:val="none"/>
            <w:lang w:val="en-US" w:eastAsia="zh-CN" w:bidi="ar-SA"/>
          </w:rPr>
          <w:id w:val="147460814"/>
          <w:placeholder>
            <w:docPart w:val="{5abae6f8-da17-4580-8bb8-eb13a6a0f0a4}"/>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3</w:t>
          </w:r>
        </w:sdtContent>
      </w:sdt>
      <w:r>
        <w:rPr>
          <w:rFonts w:hint="eastAsia" w:ascii="宋体" w:hAnsi="宋体" w:eastAsia="宋体"/>
          <w:color w:val="auto"/>
          <w:sz w:val="24"/>
          <w:szCs w:val="24"/>
          <w:highlight w:val="none"/>
        </w:rPr>
        <w:t>个日历日起计算交货期。</w:t>
      </w:r>
      <w:sdt>
        <w:sdtPr>
          <w:rPr>
            <w:rFonts w:hint="eastAsia" w:ascii="宋体" w:hAnsi="宋体" w:eastAsia="宋体" w:cstheme="minorBidi"/>
            <w:color w:val="auto"/>
            <w:kern w:val="2"/>
            <w:sz w:val="24"/>
            <w:szCs w:val="24"/>
            <w:highlight w:val="none"/>
            <w:lang w:val="en-US" w:eastAsia="zh-CN" w:bidi="ar-SA"/>
          </w:rPr>
          <w:id w:val="147460726"/>
          <w:placeholder>
            <w:docPart w:val="{0ccfb804-5551-4dc2-88c7-f41350ca04b2}"/>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r>
        <w:rPr>
          <w:rFonts w:hint="default" w:ascii="宋体" w:hAnsi="宋体" w:cstheme="minorBidi"/>
          <w:color w:val="auto"/>
          <w:kern w:val="2"/>
          <w:sz w:val="24"/>
          <w:szCs w:val="24"/>
          <w:highlight w:val="none"/>
          <w:lang w:eastAsia="zh-CN" w:bidi="ar-SA"/>
        </w:rPr>
        <w:t xml:space="preserve"> </w:t>
      </w:r>
      <w:sdt>
        <w:sdtPr>
          <w:rPr>
            <w:rFonts w:hint="eastAsia" w:ascii="宋体" w:hAnsi="宋体" w:eastAsia="宋体" w:cstheme="minorBidi"/>
            <w:color w:val="auto"/>
            <w:kern w:val="2"/>
            <w:sz w:val="24"/>
            <w:szCs w:val="24"/>
            <w:highlight w:val="none"/>
            <w:lang w:val="en-US" w:eastAsia="zh-CN" w:bidi="ar-SA"/>
          </w:rPr>
          <w:id w:val="147469946"/>
          <w:placeholder>
            <w:docPart w:val="{fb4d039f-1251-4f4e-92db-8b03db804377}"/>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3、供货清单</w:t>
      </w:r>
    </w:p>
    <w:sdt>
      <w:sdtPr>
        <w:rPr>
          <w:rFonts w:hint="eastAsia" w:ascii="宋体" w:hAnsi="宋体" w:eastAsia="宋体" w:cstheme="minorBidi"/>
          <w:color w:val="auto"/>
          <w:kern w:val="2"/>
          <w:sz w:val="24"/>
          <w:szCs w:val="24"/>
          <w:highlight w:val="none"/>
          <w:lang w:val="en-US" w:eastAsia="zh-CN" w:bidi="ar-SA"/>
        </w:rPr>
        <w:id w:val="147460400"/>
        <w:placeholder>
          <w:docPart w:val="{2d129718-2da7-47d1-8ec9-0b96044c635f}"/>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3.1供货清单：包括产品主机、随机备品备件、专用工具的名称及数量。</w:t>
          </w:r>
        </w:p>
      </w:sdtContent>
    </w:sdt>
    <w:p>
      <w:pPr>
        <w:adjustRightInd w:val="0"/>
        <w:snapToGrid w:val="0"/>
        <w:spacing w:line="360" w:lineRule="auto"/>
        <w:rPr>
          <w:rFonts w:ascii="宋体" w:hAnsi="宋体" w:eastAsia="宋体"/>
          <w:b/>
          <w:color w:val="auto"/>
          <w:sz w:val="24"/>
          <w:szCs w:val="24"/>
          <w:highlight w:val="none"/>
        </w:rPr>
      </w:pPr>
      <w:r>
        <w:rPr>
          <w:rFonts w:hint="eastAsia" w:ascii="宋体" w:hAnsi="宋体" w:eastAsia="宋体"/>
          <w:b/>
          <w:color w:val="auto"/>
          <w:sz w:val="24"/>
          <w:szCs w:val="24"/>
          <w:highlight w:val="none"/>
        </w:rPr>
        <w:t>4、付款方式与条件</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4.1履约保证金</w:t>
      </w:r>
    </w:p>
    <w:sdt>
      <w:sdtPr>
        <w:rPr>
          <w:rFonts w:hint="eastAsia" w:ascii="宋体" w:hAnsi="宋体" w:eastAsia="宋体" w:cstheme="minorBidi"/>
          <w:color w:val="auto"/>
          <w:kern w:val="2"/>
          <w:sz w:val="24"/>
          <w:szCs w:val="24"/>
          <w:highlight w:val="none"/>
          <w:lang w:val="en-US" w:eastAsia="zh-CN" w:bidi="ar-SA"/>
        </w:rPr>
        <w:id w:val="147459903"/>
        <w:placeholder>
          <w:docPart w:val="{2e2703b2-a937-453f-9625-d81349e22529}"/>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4.1.1卖方应在合同签订之日起7个日历日内向买方缴交合同总金额</w:t>
          </w:r>
          <w:r>
            <w:rPr>
              <w:rFonts w:hint="eastAsia" w:ascii="宋体" w:hAnsi="宋体" w:eastAsia="宋体"/>
              <w:color w:val="auto"/>
              <w:sz w:val="24"/>
              <w:szCs w:val="24"/>
              <w:highlight w:val="none"/>
              <w:u w:val="single"/>
              <w:lang w:val="en-US" w:eastAsia="zh-CN"/>
            </w:rPr>
            <w:t>2</w:t>
          </w:r>
          <w:r>
            <w:rPr>
              <w:rFonts w:hint="eastAsia" w:ascii="宋体" w:hAnsi="宋体" w:eastAsia="宋体"/>
              <w:color w:val="auto"/>
              <w:sz w:val="24"/>
              <w:szCs w:val="24"/>
              <w:highlight w:val="none"/>
              <w:u w:val="single"/>
            </w:rPr>
            <w:t>%</w:t>
          </w:r>
          <w:r>
            <w:rPr>
              <w:rFonts w:hint="eastAsia" w:ascii="宋体" w:hAnsi="宋体" w:eastAsia="宋体"/>
              <w:color w:val="auto"/>
              <w:sz w:val="24"/>
              <w:szCs w:val="24"/>
              <w:highlight w:val="none"/>
            </w:rPr>
            <w:t>的供货履约保证金及合同总金额</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%的服务履约保证金。</w:t>
          </w:r>
          <w:r>
            <w:rPr>
              <w:rFonts w:hint="eastAsia" w:ascii="宋体" w:hAnsi="宋体" w:eastAsia="宋体"/>
              <w:color w:val="auto"/>
              <w:sz w:val="24"/>
              <w:szCs w:val="24"/>
              <w:highlight w:val="none"/>
            </w:rPr>
            <w:t>供货履约保证金，买方于本合同有效期满且最后一批次货物供货完成后</w:t>
          </w:r>
          <w:r>
            <w:rPr>
              <w:rFonts w:hint="eastAsia" w:ascii="宋体" w:hAnsi="宋体" w:eastAsia="宋体"/>
              <w:color w:val="auto"/>
              <w:sz w:val="24"/>
              <w:szCs w:val="24"/>
              <w:highlight w:val="none"/>
              <w:u w:val="single"/>
              <w:lang w:val="en-US" w:eastAsia="zh-CN"/>
            </w:rPr>
            <w:t>2</w:t>
          </w:r>
          <w:r>
            <w:rPr>
              <w:rFonts w:ascii="宋体" w:hAnsi="宋体" w:eastAsia="宋体"/>
              <w:color w:val="auto"/>
              <w:sz w:val="24"/>
              <w:szCs w:val="24"/>
              <w:highlight w:val="none"/>
              <w:u w:val="single"/>
            </w:rPr>
            <w:t>0</w:t>
          </w:r>
          <w:r>
            <w:rPr>
              <w:rFonts w:hint="eastAsia" w:ascii="宋体" w:hAnsi="宋体" w:eastAsia="宋体"/>
              <w:color w:val="auto"/>
              <w:sz w:val="24"/>
              <w:szCs w:val="24"/>
              <w:highlight w:val="none"/>
            </w:rPr>
            <w:t>个工作日内一次性无息支付给卖方（扣除相应的违约金、赔偿金）。服务履约保证金，买方于本合同有效期内最后一批次货物保修期届满后</w:t>
          </w:r>
          <w:r>
            <w:rPr>
              <w:rFonts w:hint="eastAsia" w:ascii="宋体" w:hAnsi="宋体" w:eastAsia="宋体"/>
              <w:color w:val="auto"/>
              <w:sz w:val="24"/>
              <w:szCs w:val="24"/>
              <w:highlight w:val="none"/>
              <w:u w:val="single"/>
              <w:lang w:val="en-US" w:eastAsia="zh-CN"/>
            </w:rPr>
            <w:t>2</w:t>
          </w:r>
          <w:r>
            <w:rPr>
              <w:rFonts w:ascii="宋体" w:hAnsi="宋体" w:eastAsia="宋体"/>
              <w:color w:val="auto"/>
              <w:sz w:val="24"/>
              <w:szCs w:val="24"/>
              <w:highlight w:val="none"/>
              <w:u w:val="single"/>
            </w:rPr>
            <w:t>0</w:t>
          </w:r>
          <w:r>
            <w:rPr>
              <w:rFonts w:hint="eastAsia" w:ascii="宋体" w:hAnsi="宋体" w:eastAsia="宋体"/>
              <w:color w:val="auto"/>
              <w:sz w:val="24"/>
              <w:szCs w:val="24"/>
              <w:highlight w:val="none"/>
            </w:rPr>
            <w:t>个工作日内一次性无息支付给卖方（扣除相应的违约金、赔偿金）。</w:t>
          </w:r>
        </w:p>
      </w:sdtContent>
    </w:sdt>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sdt>
        <w:sdtPr>
          <w:rPr>
            <w:rFonts w:hint="eastAsia" w:ascii="宋体" w:hAnsi="宋体" w:eastAsia="宋体" w:cstheme="minorBidi"/>
            <w:color w:val="auto"/>
            <w:kern w:val="2"/>
            <w:sz w:val="24"/>
            <w:szCs w:val="24"/>
            <w:highlight w:val="none"/>
            <w:lang w:val="en-US" w:eastAsia="zh-CN" w:bidi="ar-SA"/>
          </w:rPr>
          <w:id w:val="147459887"/>
          <w:placeholder>
            <w:docPart w:val="{331e1026-0dc9-4ad6-b866-f17a4c2ca94c}"/>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4.1.2卖方因违约行为导致履约保证金被买方扣除的，卖方应于被扣除之日起7个日历日内补足，使履约保证金金额满足4.1.1约定的要求。</w:t>
          </w:r>
        </w:sdtContent>
      </w:sdt>
      <w:sdt>
        <w:sdtPr>
          <w:rPr>
            <w:rFonts w:hint="eastAsia" w:ascii="宋体" w:hAnsi="宋体" w:eastAsia="宋体" w:cstheme="minorBidi"/>
            <w:color w:val="auto"/>
            <w:kern w:val="2"/>
            <w:sz w:val="24"/>
            <w:szCs w:val="24"/>
            <w:highlight w:val="none"/>
            <w:lang w:val="en-US" w:eastAsia="zh-CN" w:bidi="ar-SA"/>
          </w:rPr>
          <w:id w:val="147459864"/>
          <w:placeholder>
            <w:docPart w:val="{2313ae07-b201-4171-8cb5-a9cfa2076bbc}"/>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4.2买方按批次支付货款。</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4.2.1货物送仓库后再送最终用户的，货交买方仓库经买方初验合格后，买方凭如下单证和文件在</w:t>
      </w:r>
      <w:sdt>
        <w:sdtPr>
          <w:rPr>
            <w:rFonts w:hint="eastAsia" w:ascii="宋体" w:hAnsi="宋体" w:eastAsia="宋体" w:cstheme="minorBidi"/>
            <w:color w:val="auto"/>
            <w:kern w:val="2"/>
            <w:sz w:val="24"/>
            <w:szCs w:val="24"/>
            <w:highlight w:val="none"/>
            <w:lang w:val="en-US" w:eastAsia="zh-CN" w:bidi="ar-SA"/>
          </w:rPr>
          <w:id w:val="147459622"/>
          <w:placeholder>
            <w:docPart w:val="{1080fdc7-807f-4a58-b135-e1d63f06700b}"/>
          </w:placeholder>
        </w:sdtPr>
        <w:sdtEndPr>
          <w:rPr>
            <w:rFonts w:hint="eastAsia" w:ascii="宋体" w:hAnsi="宋体" w:eastAsia="宋体" w:cstheme="minorBidi"/>
            <w:color w:val="auto"/>
            <w:kern w:val="2"/>
            <w:sz w:val="24"/>
            <w:szCs w:val="24"/>
            <w:highlight w:val="none"/>
            <w:u w:val="single"/>
            <w:lang w:val="en-US" w:eastAsia="zh-CN" w:bidi="ar-SA"/>
          </w:rPr>
        </w:sdtEndPr>
        <w:sdtContent>
          <w:r>
            <w:rPr>
              <w:rFonts w:hint="eastAsia" w:ascii="宋体" w:hAnsi="宋体" w:eastAsia="宋体"/>
              <w:color w:val="auto"/>
              <w:sz w:val="24"/>
              <w:szCs w:val="24"/>
              <w:highlight w:val="none"/>
              <w:u w:val="single"/>
            </w:rPr>
            <w:t>45</w:t>
          </w:r>
        </w:sdtContent>
      </w:sdt>
      <w:r>
        <w:rPr>
          <w:rFonts w:hint="eastAsia" w:ascii="宋体" w:hAnsi="宋体" w:eastAsia="宋体"/>
          <w:color w:val="auto"/>
          <w:sz w:val="24"/>
          <w:szCs w:val="24"/>
          <w:highlight w:val="none"/>
        </w:rPr>
        <w:t>个日历日内向卖方一次性支付至该批次货款的</w:t>
      </w:r>
      <w:sdt>
        <w:sdtPr>
          <w:rPr>
            <w:rFonts w:hint="eastAsia" w:ascii="宋体" w:hAnsi="宋体" w:eastAsia="宋体" w:cstheme="minorBidi"/>
            <w:color w:val="auto"/>
            <w:kern w:val="2"/>
            <w:sz w:val="24"/>
            <w:szCs w:val="24"/>
            <w:highlight w:val="none"/>
            <w:lang w:val="en-US" w:eastAsia="zh-CN" w:bidi="ar-SA"/>
          </w:rPr>
          <w:id w:val="147459596"/>
          <w:placeholder>
            <w:docPart w:val="{8c758174-eb5c-4a55-a253-9184fdb94c2b}"/>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100 %</w:t>
          </w:r>
        </w:sdtContent>
      </w:sdt>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a.金额为</w:t>
      </w:r>
      <w:sdt>
        <w:sdtPr>
          <w:rPr>
            <w:rFonts w:hint="eastAsia" w:ascii="宋体" w:hAnsi="宋体" w:eastAsia="宋体" w:cstheme="minorBidi"/>
            <w:color w:val="auto"/>
            <w:kern w:val="2"/>
            <w:sz w:val="24"/>
            <w:szCs w:val="24"/>
            <w:highlight w:val="none"/>
            <w:lang w:val="en-US" w:eastAsia="zh-CN" w:bidi="ar-SA"/>
          </w:rPr>
          <w:id w:val="904014730"/>
          <w:placeholder>
            <w:docPart w:val="{64163aee-b14b-4a93-919a-8ea2497b23d8}"/>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100%</w:t>
          </w:r>
        </w:sdtContent>
      </w:sdt>
      <w:r>
        <w:rPr>
          <w:rFonts w:hint="eastAsia" w:ascii="宋体" w:hAnsi="宋体" w:eastAsia="宋体"/>
          <w:color w:val="auto"/>
          <w:sz w:val="24"/>
          <w:szCs w:val="24"/>
          <w:highlight w:val="none"/>
        </w:rPr>
        <w:t>的该批次货款的一般纳税人增值税专用发票；</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b.卖方已缴纳该批货物的中标/成交服务费和</w:t>
      </w:r>
      <w:bookmarkStart w:id="7" w:name="_Hlk107934010"/>
      <w:r>
        <w:rPr>
          <w:rFonts w:hint="eastAsia" w:ascii="宋体" w:hAnsi="宋体" w:eastAsia="宋体"/>
          <w:color w:val="auto"/>
          <w:sz w:val="24"/>
          <w:szCs w:val="24"/>
          <w:highlight w:val="none"/>
        </w:rPr>
        <w:t>2.2.3的</w:t>
      </w:r>
      <w:bookmarkEnd w:id="7"/>
      <w:r>
        <w:rPr>
          <w:rFonts w:hint="eastAsia" w:ascii="宋体" w:hAnsi="宋体" w:eastAsia="宋体"/>
          <w:color w:val="auto"/>
          <w:sz w:val="24"/>
          <w:szCs w:val="24"/>
          <w:highlight w:val="none"/>
        </w:rPr>
        <w:t>二次配送费用、仓储操作费的证明材料；</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c.买方已收讫的该批次货物的《签收单》。</w:t>
      </w:r>
      <w:sdt>
        <w:sdtPr>
          <w:rPr>
            <w:rFonts w:hint="eastAsia" w:ascii="宋体" w:hAnsi="宋体" w:eastAsia="宋体" w:cstheme="minorBidi"/>
            <w:color w:val="auto"/>
            <w:kern w:val="2"/>
            <w:sz w:val="24"/>
            <w:szCs w:val="24"/>
            <w:highlight w:val="none"/>
            <w:lang w:val="en-US" w:eastAsia="zh-CN" w:bidi="ar-SA"/>
          </w:rPr>
          <w:id w:val="147459521"/>
          <w:placeholder>
            <w:docPart w:val="{7e481dce-b068-4156-aa15-71184276daa1}"/>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0" w:firstLineChars="0"/>
        <w:rPr>
          <w:rFonts w:ascii="宋体" w:hAnsi="宋体" w:eastAsia="宋体"/>
          <w:color w:val="auto"/>
          <w:sz w:val="24"/>
          <w:szCs w:val="24"/>
          <w:highlight w:val="none"/>
        </w:rPr>
      </w:pPr>
      <w:r>
        <w:rPr>
          <w:rFonts w:hint="default" w:ascii="宋体" w:hAnsi="宋体"/>
          <w:color w:val="auto"/>
          <w:sz w:val="24"/>
          <w:szCs w:val="24"/>
          <w:highlight w:val="none"/>
        </w:rPr>
        <w:t xml:space="preserve">    </w:t>
      </w:r>
      <w:r>
        <w:rPr>
          <w:rFonts w:hint="eastAsia" w:ascii="宋体" w:hAnsi="宋体" w:eastAsia="宋体"/>
          <w:color w:val="auto"/>
          <w:sz w:val="24"/>
          <w:szCs w:val="24"/>
          <w:highlight w:val="none"/>
        </w:rPr>
        <w:t>但是，买方向卖方支付货款并不表示送入仓库的货物通过最终验收。</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4.2.2货物直送最终用户的，该批次货物经安装调试完毕并经最终验收合格后，买方凭如下单证和文件在</w:t>
      </w:r>
      <w:sdt>
        <w:sdtPr>
          <w:rPr>
            <w:rFonts w:hint="eastAsia" w:ascii="宋体" w:hAnsi="宋体" w:eastAsia="宋体" w:cstheme="minorBidi"/>
            <w:color w:val="auto"/>
            <w:kern w:val="2"/>
            <w:sz w:val="24"/>
            <w:szCs w:val="24"/>
            <w:highlight w:val="none"/>
            <w:lang w:val="en-US" w:eastAsia="zh-CN" w:bidi="ar-SA"/>
          </w:rPr>
          <w:id w:val="22648344"/>
          <w:placeholder>
            <w:docPart w:val="{7c44ba3c-e5f7-486b-88ed-e3f7f0e02be8}"/>
          </w:placeholder>
        </w:sdtPr>
        <w:sdtEndPr>
          <w:rPr>
            <w:rFonts w:hint="eastAsia" w:ascii="宋体" w:hAnsi="宋体" w:eastAsia="宋体" w:cstheme="minorBidi"/>
            <w:color w:val="auto"/>
            <w:kern w:val="2"/>
            <w:sz w:val="24"/>
            <w:szCs w:val="24"/>
            <w:highlight w:val="none"/>
            <w:u w:val="single"/>
            <w:lang w:val="en-US" w:eastAsia="zh-CN" w:bidi="ar-SA"/>
          </w:rPr>
        </w:sdtEndPr>
        <w:sdtContent>
          <w:r>
            <w:rPr>
              <w:rFonts w:hint="eastAsia" w:ascii="宋体" w:hAnsi="宋体" w:eastAsia="宋体"/>
              <w:color w:val="auto"/>
              <w:sz w:val="24"/>
              <w:szCs w:val="24"/>
              <w:highlight w:val="none"/>
              <w:u w:val="single"/>
            </w:rPr>
            <w:t>45</w:t>
          </w:r>
        </w:sdtContent>
      </w:sdt>
      <w:r>
        <w:rPr>
          <w:rFonts w:hint="eastAsia" w:ascii="宋体" w:hAnsi="宋体" w:eastAsia="宋体"/>
          <w:color w:val="auto"/>
          <w:sz w:val="24"/>
          <w:szCs w:val="24"/>
          <w:highlight w:val="none"/>
        </w:rPr>
        <w:t>个日历日内向卖方一次性付清该批次货款的</w:t>
      </w:r>
      <w:sdt>
        <w:sdtPr>
          <w:rPr>
            <w:rFonts w:hint="eastAsia" w:ascii="宋体" w:hAnsi="宋体" w:eastAsia="宋体" w:cstheme="minorBidi"/>
            <w:color w:val="auto"/>
            <w:kern w:val="2"/>
            <w:sz w:val="24"/>
            <w:szCs w:val="24"/>
            <w:highlight w:val="none"/>
            <w:lang w:val="en-US" w:eastAsia="zh-CN" w:bidi="ar-SA"/>
          </w:rPr>
          <w:id w:val="748084340"/>
          <w:placeholder>
            <w:docPart w:val="{6e00fc84-445f-4d26-940b-e590d7e7d0d7}"/>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全款</w:t>
          </w:r>
        </w:sdtContent>
      </w:sdt>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a.金额为</w:t>
      </w:r>
      <w:sdt>
        <w:sdtPr>
          <w:rPr>
            <w:rFonts w:hint="eastAsia" w:ascii="宋体" w:hAnsi="宋体" w:eastAsia="宋体" w:cstheme="minorBidi"/>
            <w:color w:val="auto"/>
            <w:kern w:val="2"/>
            <w:sz w:val="24"/>
            <w:szCs w:val="24"/>
            <w:highlight w:val="none"/>
            <w:lang w:val="en-US" w:eastAsia="zh-CN" w:bidi="ar-SA"/>
          </w:rPr>
          <w:id w:val="872408847"/>
          <w:placeholder>
            <w:docPart w:val="{b607642b-83f3-403e-94fa-6e5e484b0587}"/>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100%</w:t>
          </w:r>
        </w:sdtContent>
      </w:sdt>
      <w:r>
        <w:rPr>
          <w:rFonts w:hint="eastAsia" w:ascii="宋体" w:hAnsi="宋体" w:eastAsia="宋体"/>
          <w:color w:val="auto"/>
          <w:sz w:val="24"/>
          <w:szCs w:val="24"/>
          <w:highlight w:val="none"/>
        </w:rPr>
        <w:t>的该批次货款的一般纳税人增值税专用发票；</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b.卖方已缴纳该批货物的成交服务费的证明材料；</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c.该批次货物的《验收报告》(经最终用户签署)。</w:t>
      </w:r>
    </w:p>
    <w:p>
      <w:pPr>
        <w:adjustRightInd w:val="0"/>
        <w:snapToGrid w:val="0"/>
        <w:spacing w:line="360" w:lineRule="auto"/>
        <w:ind w:firstLine="0" w:firstLineChars="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5、质量要求和技术标准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5.1卖方保证提供的所有产品的技术参数指标与合同附件1（技术参数）中对应产品的技术参数指标相一致。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5.2卖方保证提供的所有产品（包括所有配件、备件等）均是符合国家标准的、全新的、原产制造并经检验合格的、未使用过的、正宗品牌产品，否则买方有权退货。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5.3卖方承诺不拆换、不调换、不截留产品零部件；不以少充多、不以旧充新，不以劣充优，不以假充真；不提供降低产品等级标准的产品。否则买方有权退货。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5.4包装要求：卖方保证提供的所有合同产品均是厂家出厂的原包装；且必须采用相应标准及保护措施进行包装，这种包装应适应于相应的运输方式，并有良好的防潮、防震、防锈和防野蛮装卸等保护措施，以便保证货物安全运抵现场。货物在运输途中所发生锈、损坏和丢失的损失由卖方承担责任和费用。每件包装应附有详细装箱清单和质量合格证书。最终用户对包装破损的货物有权拒收，卖方承诺予以更换。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5.5卖方保证厂家出厂随机所安装的相关软件为正版软件。 </w:t>
      </w:r>
      <w:sdt>
        <w:sdtPr>
          <w:rPr>
            <w:rFonts w:hint="eastAsia" w:ascii="宋体" w:hAnsi="宋体" w:eastAsia="宋体" w:cstheme="minorBidi"/>
            <w:color w:val="auto"/>
            <w:kern w:val="2"/>
            <w:sz w:val="24"/>
            <w:szCs w:val="24"/>
            <w:highlight w:val="none"/>
            <w:lang w:val="en-US" w:eastAsia="zh-CN" w:bidi="ar-SA"/>
          </w:rPr>
          <w:id w:val="147458336"/>
          <w:placeholder>
            <w:docPart w:val="{b8e3ccf6-620c-4a4f-a1cc-70cc3aa5a13a}"/>
          </w:placeholder>
        </w:sdtPr>
        <w:sdtEndPr>
          <w:rPr>
            <w:rFonts w:hint="eastAsia" w:ascii="宋体" w:hAnsi="宋体" w:eastAsia="宋体" w:cstheme="minorBidi"/>
            <w:color w:val="auto"/>
            <w:kern w:val="2"/>
            <w:sz w:val="24"/>
            <w:szCs w:val="24"/>
            <w:highlight w:val="none"/>
            <w:lang w:val="en-US" w:eastAsia="zh-CN" w:bidi="ar-SA"/>
          </w:rPr>
        </w:sdtEndPr>
        <w:sdtContent>
          <w:r>
            <w:rPr>
              <w:rFonts w:hint="default" w:ascii="宋体" w:hAnsi="宋体" w:cstheme="minorBidi"/>
              <w:color w:val="auto"/>
              <w:kern w:val="2"/>
              <w:sz w:val="24"/>
              <w:szCs w:val="24"/>
              <w:highlight w:val="none"/>
              <w:lang w:eastAsia="zh-CN" w:bidi="ar-SA"/>
            </w:rPr>
            <w:t xml:space="preserve"> </w:t>
          </w:r>
        </w:sdtContent>
      </w:sdt>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5.6卖方保证提供的产品的技术性能、综合质量的稳定性和可靠性；保证提供的产品符合国家质量、技术、环保、安全、节能、保密等相关法律、法规和政策要求及商检标准和电工标准。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5.7卖方承诺提供货物制造厂商的合格证书。</w:t>
      </w:r>
    </w:p>
    <w:sdt>
      <w:sdtPr>
        <w:rPr>
          <w:rFonts w:hint="eastAsia" w:ascii="宋体" w:hAnsi="宋体" w:eastAsia="宋体" w:cstheme="minorBidi"/>
          <w:color w:val="auto"/>
          <w:kern w:val="2"/>
          <w:sz w:val="24"/>
          <w:szCs w:val="24"/>
          <w:highlight w:val="none"/>
          <w:lang w:val="en-US" w:eastAsia="zh-CN" w:bidi="ar-SA"/>
        </w:rPr>
        <w:id w:val="147469600"/>
        <w:placeholder>
          <w:docPart w:val="{58fc6c50-4288-420b-8f7c-cdc68710e36e}"/>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5.8卖方保证配合买方及产品检验检测机构进行合同产品的检验检测，产品检验检测的一切相关费用由卖方承担。</w:t>
          </w:r>
        </w:p>
      </w:sdtContent>
    </w:sdt>
    <w:p>
      <w:pPr>
        <w:adjustRightInd w:val="0"/>
        <w:snapToGrid w:val="0"/>
        <w:spacing w:line="360" w:lineRule="auto"/>
        <w:ind w:firstLine="0" w:firstLineChars="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6、安装要求</w:t>
      </w:r>
    </w:p>
    <w:sdt>
      <w:sdtPr>
        <w:rPr>
          <w:rFonts w:ascii="宋体" w:hAnsi="宋体" w:eastAsia="宋体" w:cstheme="minorBidi"/>
          <w:color w:val="auto"/>
          <w:kern w:val="2"/>
          <w:sz w:val="24"/>
          <w:szCs w:val="24"/>
          <w:highlight w:val="none"/>
          <w:lang w:val="en-US" w:eastAsia="zh-CN" w:bidi="ar-SA"/>
        </w:rPr>
        <w:id w:val="147469316"/>
        <w:placeholder>
          <w:docPart w:val="{5990f6d3-0873-40bd-8b0b-f773b549b278}"/>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w:t>
          </w:r>
          <w:r>
            <w:rPr>
              <w:rFonts w:hint="eastAsia" w:ascii="宋体" w:hAnsi="宋体" w:eastAsia="宋体"/>
              <w:color w:val="auto"/>
              <w:sz w:val="24"/>
              <w:szCs w:val="24"/>
              <w:highlight w:val="none"/>
            </w:rPr>
            <w:t>.</w:t>
          </w:r>
          <w:r>
            <w:rPr>
              <w:rFonts w:ascii="宋体" w:hAnsi="宋体" w:eastAsia="宋体"/>
              <w:color w:val="auto"/>
              <w:sz w:val="24"/>
              <w:szCs w:val="24"/>
              <w:highlight w:val="none"/>
            </w:rPr>
            <w:t>1</w:t>
          </w:r>
          <w:r>
            <w:rPr>
              <w:rFonts w:hint="eastAsia" w:ascii="宋体" w:hAnsi="宋体" w:eastAsia="宋体"/>
              <w:color w:val="auto"/>
              <w:sz w:val="24"/>
              <w:szCs w:val="24"/>
              <w:highlight w:val="none"/>
            </w:rPr>
            <w:t>卖方负责货物（设备）的安装，在接到买方或最终用户的安装要求后4个小时内安排安装服务人员到达指定地点进行安装调试，安装调试完成后三日内将最终用户确认的最终验收合格交付单及时反馈给买方：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6.2</w:t>
          </w:r>
          <w:r>
            <w:rPr>
              <w:rFonts w:hint="eastAsia" w:ascii="宋体" w:hAnsi="宋体" w:eastAsia="宋体"/>
              <w:color w:val="auto"/>
              <w:sz w:val="24"/>
              <w:szCs w:val="24"/>
              <w:highlight w:val="none"/>
            </w:rPr>
            <w:t>安装前应做到：</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1)安装前应与最终用户核对机器型号和台数，确认无误后再安装；</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2)上门服务人员应着售后服务供应商工作牌；</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3)安装前应检查最终用户的电源电压是否安全稳定，如有问题，应及时告知最终用户，协商整改。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6.3</w:t>
          </w:r>
          <w:r>
            <w:rPr>
              <w:rFonts w:hint="eastAsia" w:ascii="宋体" w:hAnsi="宋体" w:eastAsia="宋体"/>
              <w:color w:val="auto"/>
              <w:sz w:val="24"/>
              <w:szCs w:val="24"/>
              <w:highlight w:val="none"/>
            </w:rPr>
            <w:t>安装过程中应做到：</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 开箱验机，检查设备外观完好；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 检查每台机器的服务编号；</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3) 如果设备在运输过程中出现损伤，卖方应负责免费给最终用户更换同型号新设备；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4) 设备安装到最终用户所指定的位置上，如位置无法正常安装，应与最终用户协商，提出解决方案；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5) 给新机器连接线缆； </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 安装完成之后开机测试，并根据最终用户的需求进行设置。</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6.4</w:t>
          </w:r>
          <w:r>
            <w:rPr>
              <w:rFonts w:hint="eastAsia" w:ascii="宋体" w:hAnsi="宋体" w:eastAsia="宋体"/>
              <w:color w:val="auto"/>
              <w:sz w:val="24"/>
              <w:szCs w:val="24"/>
              <w:highlight w:val="none"/>
            </w:rPr>
            <w:t>安装完成后应做到：</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1)安装完毕，确认产品的正常运行；</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2)安装完毕，应为每台机器注册信息, 并向最终用户详细讲解保修条例；如没有注册信息而导致机器在保修期内无法免费保修的情况，卖方应负责相关维修费用；</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3)安装完毕，应向最终用户详细讲解使用操作方法和日常维护保养措施，耐心解答最终用户提出的问题，留下服务电话；并在设备合适的地方填(贴)上机器信息（包括报修电话、机器序列号及服务号），方便最终用户报修；</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4）安装完毕，应把工作现场打扫干净，将工具等物品复位；</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5）安装完毕，应按照买方要求填写验收报告，三个工作日内报送给买方。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6.5</w:t>
          </w:r>
          <w:r>
            <w:rPr>
              <w:rFonts w:hint="eastAsia" w:ascii="宋体" w:hAnsi="宋体" w:eastAsia="宋体"/>
              <w:color w:val="auto"/>
              <w:sz w:val="24"/>
              <w:szCs w:val="24"/>
              <w:highlight w:val="none"/>
            </w:rPr>
            <w:t>卖方应按买方要求，每日制作报表反馈安装及验收报告签收情况。其他报表需求也应按买方要求提供。</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b/>
          <w:bCs/>
          <w:color w:val="auto"/>
          <w:sz w:val="24"/>
          <w:szCs w:val="24"/>
          <w:highlight w:val="none"/>
        </w:rPr>
        <w:t>7</w:t>
      </w:r>
      <w:r>
        <w:rPr>
          <w:rFonts w:hint="eastAsia" w:ascii="宋体" w:hAnsi="宋体" w:eastAsia="宋体"/>
          <w:b/>
          <w:bCs/>
          <w:color w:val="auto"/>
          <w:sz w:val="24"/>
          <w:szCs w:val="24"/>
          <w:highlight w:val="none"/>
        </w:rPr>
        <w:t>、验收标准及办法</w:t>
      </w:r>
    </w:p>
    <w:sdt>
      <w:sdtPr>
        <w:rPr>
          <w:rFonts w:ascii="宋体" w:hAnsi="宋体" w:eastAsia="宋体" w:cs="Times New Roman"/>
          <w:color w:val="auto"/>
          <w:kern w:val="2"/>
          <w:sz w:val="24"/>
          <w:szCs w:val="24"/>
          <w:highlight w:val="none"/>
          <w:lang w:val="en-US" w:eastAsia="zh-CN" w:bidi="ar-SA"/>
        </w:rPr>
        <w:id w:val="147469280"/>
        <w:placeholder>
          <w:docPart w:val="{d6be0d0f-fb80-4904-9bdc-8346d2a295b5}"/>
        </w:placeholder>
      </w:sdtPr>
      <w:sdtEndPr>
        <w:rPr>
          <w:rFonts w:hint="eastAsia" w:ascii="宋体" w:hAnsi="宋体" w:eastAsia="宋体" w:cs="Times New Roman"/>
          <w:color w:val="auto"/>
          <w:kern w:val="2"/>
          <w:sz w:val="24"/>
          <w:szCs w:val="24"/>
          <w:highlight w:val="none"/>
          <w:lang w:val="en-US" w:eastAsia="zh-CN" w:bidi="ar-SA"/>
        </w:rPr>
      </w:sdtEndPr>
      <w:sdtContent>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.1初步验收：货物运抵买方指定地点后由买方或最终用户对照《定货单》对货物的外观、包装及数量进行验收。卖方应按买方要求填写《签收单》等单据。</w:t>
          </w:r>
        </w:p>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.2最终验收：卖方根据合同要求进行设备安装、调试后，应按买方要求填写《验收报告》等单据并经最终用户签署确认后，三个工作日内报送给买方。</w:t>
          </w:r>
        </w:p>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.3验收时（包括初验和最终验收），卖方必须派代表参加并确认验收结果。</w:t>
          </w:r>
        </w:p>
        <w:p>
          <w:pPr>
            <w:pStyle w:val="41"/>
            <w:adjustRightInd w:val="0"/>
            <w:snapToGrid w:val="0"/>
            <w:spacing w:line="360" w:lineRule="auto"/>
            <w:ind w:firstLine="480"/>
            <w:jc w:val="left"/>
            <w:rPr>
              <w:rFonts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.4移交使用：最终验收合格后，卖方应在最终用户要求的时间内将合同设备移交最终用户使用。合同货物毁损、灭失的风险自移交使用之日起转移。</w:t>
          </w:r>
        </w:p>
        <w:p>
          <w:pPr>
            <w:pStyle w:val="41"/>
            <w:adjustRightInd w:val="0"/>
            <w:snapToGrid w:val="0"/>
            <w:spacing w:line="360" w:lineRule="auto"/>
            <w:ind w:firstLine="480"/>
            <w:jc w:val="left"/>
            <w:rPr>
              <w:rFonts w:hint="eastAsia" w:ascii="宋体" w:hAnsi="宋体"/>
              <w:color w:val="auto"/>
              <w:kern w:val="2"/>
              <w:sz w:val="24"/>
              <w:szCs w:val="24"/>
              <w:highlight w:val="none"/>
            </w:rPr>
          </w:pPr>
          <w:r>
            <w:rPr>
              <w:rFonts w:ascii="宋体" w:hAnsi="宋体"/>
              <w:color w:val="auto"/>
              <w:kern w:val="2"/>
              <w:sz w:val="24"/>
              <w:szCs w:val="24"/>
              <w:highlight w:val="none"/>
            </w:rPr>
            <w:t>7</w:t>
          </w:r>
          <w:r>
            <w:rPr>
              <w:rFonts w:hint="eastAsia" w:ascii="宋体" w:hAnsi="宋体"/>
              <w:color w:val="auto"/>
              <w:kern w:val="2"/>
              <w:sz w:val="24"/>
              <w:szCs w:val="24"/>
              <w:highlight w:val="none"/>
            </w:rPr>
            <w:t>.5买方有权自行委托我国相关具有检验资质的部门、单位、机构针对卖方产品的精度、性能进行检验。其检验结果将作为验收标准的组成部分之一。</w:t>
          </w:r>
        </w:p>
        <w:p>
          <w:pPr>
            <w:pStyle w:val="41"/>
            <w:keepNext w:val="0"/>
            <w:keepLines w:val="0"/>
            <w:pageBreakBefore w:val="0"/>
            <w:widowControl/>
            <w:wordWrap/>
            <w:topLinePunct w:val="0"/>
            <w:autoSpaceDE/>
            <w:autoSpaceDN/>
            <w:bidi w:val="0"/>
            <w:adjustRightInd/>
            <w:snapToGrid/>
            <w:spacing w:line="360" w:lineRule="auto"/>
            <w:ind w:left="0" w:firstLine="420"/>
            <w:rPr>
              <w:rFonts w:ascii="宋体" w:hAnsi="宋体"/>
              <w:color w:val="auto"/>
              <w:kern w:val="2"/>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lang w:eastAsia="zh-CN"/>
            </w:rPr>
            <w:t>验收时（包括初验和最终验收），卖方必须派代表参加并确认验收结果，否则视为卖方对验收意见无异议。如该批次产品在最终验收时，出现开箱破损或者故障，无法进行最终验收的，卖方无条件给予更换新机并保证最终验收的顺畅进行。若卖方不同意更换新机或者配合，买方有权直接于卖方的履约保证金中扣除该批次产品及安装的等额费用。</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b/>
          <w:bCs/>
          <w:color w:val="auto"/>
          <w:sz w:val="24"/>
          <w:szCs w:val="24"/>
          <w:highlight w:val="none"/>
        </w:rPr>
        <w:t>8</w:t>
      </w:r>
      <w:r>
        <w:rPr>
          <w:rFonts w:hint="eastAsia" w:ascii="宋体" w:hAnsi="宋体" w:eastAsia="宋体"/>
          <w:b/>
          <w:bCs/>
          <w:color w:val="auto"/>
          <w:sz w:val="24"/>
          <w:szCs w:val="24"/>
          <w:highlight w:val="none"/>
        </w:rPr>
        <w:t>、售后服务</w:t>
      </w:r>
      <w:sdt>
        <w:sdtPr>
          <w:rPr>
            <w:rFonts w:hint="eastAsia" w:ascii="宋体" w:hAnsi="宋体" w:eastAsia="宋体" w:cstheme="minorBidi"/>
            <w:b/>
            <w:bCs/>
            <w:color w:val="auto"/>
            <w:kern w:val="2"/>
            <w:sz w:val="24"/>
            <w:szCs w:val="24"/>
            <w:highlight w:val="none"/>
            <w:lang w:val="en-US" w:eastAsia="zh-CN" w:bidi="ar-SA"/>
          </w:rPr>
          <w:id w:val="147468633"/>
          <w:placeholder>
            <w:docPart w:val="{93e25e5a-3765-446b-8349-e93891bcbaf1}"/>
          </w:placeholder>
        </w:sdtPr>
        <w:sdtEndPr>
          <w:rPr>
            <w:rFonts w:hint="eastAsia" w:ascii="宋体" w:hAnsi="宋体" w:eastAsia="宋体" w:cstheme="minorBidi"/>
            <w:b/>
            <w:bCs/>
            <w:color w:val="auto"/>
            <w:kern w:val="2"/>
            <w:sz w:val="24"/>
            <w:szCs w:val="24"/>
            <w:highlight w:val="none"/>
            <w:lang w:val="en-US" w:eastAsia="zh-CN" w:bidi="ar-SA"/>
          </w:rPr>
        </w:sdtEndPr>
        <w:sdtContent>
          <w:r>
            <w:rPr>
              <w:rFonts w:hint="default" w:ascii="宋体" w:hAnsi="宋体" w:cstheme="minorBidi"/>
              <w:b/>
              <w:bCs/>
              <w:color w:val="auto"/>
              <w:kern w:val="2"/>
              <w:sz w:val="24"/>
              <w:szCs w:val="24"/>
              <w:highlight w:val="none"/>
              <w:lang w:eastAsia="zh-CN" w:bidi="ar-SA"/>
            </w:rPr>
            <w:t xml:space="preserve"> </w:t>
          </w:r>
        </w:sdtContent>
      </w:sdt>
    </w:p>
    <w:sdt>
      <w:sdtPr>
        <w:rPr>
          <w:rFonts w:ascii="宋体" w:hAnsi="宋体" w:eastAsia="宋体" w:cstheme="minorBidi"/>
          <w:color w:val="auto"/>
          <w:kern w:val="2"/>
          <w:sz w:val="24"/>
          <w:szCs w:val="24"/>
          <w:highlight w:val="none"/>
          <w:lang w:val="en-US" w:eastAsia="zh-CN" w:bidi="ar-SA"/>
        </w:rPr>
        <w:id w:val="147468183"/>
        <w:placeholder>
          <w:docPart w:val="{63cce162-9157-42d9-bdbe-c30d85adccb7}"/>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.1合同设备的保修期为自最终验收合格之日起计算    年,</w:t>
          </w:r>
          <w:r>
            <w:rPr>
              <w:rFonts w:hint="eastAsia" w:ascii="宋体" w:hAnsi="宋体" w:eastAsia="宋体"/>
              <w:color w:val="auto"/>
              <w:sz w:val="24"/>
              <w:szCs w:val="24"/>
              <w:highlight w:val="none"/>
              <w:lang w:eastAsia="zh-CN"/>
            </w:rPr>
            <w:t>保修期内</w:t>
          </w:r>
          <w:r>
            <w:rPr>
              <w:rFonts w:hint="eastAsia" w:ascii="宋体" w:hAnsi="宋体" w:eastAsia="宋体"/>
              <w:color w:val="auto"/>
              <w:sz w:val="24"/>
              <w:szCs w:val="24"/>
              <w:highlight w:val="none"/>
            </w:rPr>
            <w:t>免费上门提供售后服务</w:t>
          </w:r>
          <w:r>
            <w:rPr>
              <w:rFonts w:hint="eastAsia" w:ascii="宋体" w:hAnsi="宋体" w:eastAsia="宋体"/>
              <w:color w:val="auto"/>
              <w:sz w:val="24"/>
              <w:szCs w:val="24"/>
              <w:highlight w:val="none"/>
              <w:lang w:eastAsia="zh-CN"/>
            </w:rPr>
            <w:t>和免费更换零配</w:t>
          </w:r>
          <w:r>
            <w:rPr>
              <w:rFonts w:hint="eastAsia" w:ascii="宋体" w:hAnsi="宋体" w:eastAsia="宋体"/>
              <w:color w:val="auto"/>
              <w:sz w:val="24"/>
              <w:szCs w:val="24"/>
              <w:highlight w:val="none"/>
            </w:rPr>
            <w:t>。同时保证保修年限不低于合同货物中品牌型号的官网标准。</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.2卖方应按</w:t>
          </w:r>
          <w:r>
            <w:rPr>
              <w:rFonts w:hint="eastAsia" w:ascii="宋体" w:hAnsi="宋体" w:eastAsia="宋体"/>
              <w:color w:val="auto"/>
              <w:sz w:val="24"/>
              <w:szCs w:val="24"/>
              <w:highlight w:val="none"/>
            </w:rPr>
            <w:t>《部分商品修理更换退货责任规定》</w:t>
          </w:r>
          <w:r>
            <w:rPr>
              <w:rFonts w:hint="eastAsia" w:ascii="宋体" w:hAnsi="宋体" w:eastAsia="宋体"/>
              <w:color w:val="auto"/>
              <w:sz w:val="24"/>
              <w:szCs w:val="24"/>
              <w:highlight w:val="none"/>
            </w:rPr>
            <w:t>规定执行售后服务，产品出现性能故障的，应严格按照《部分商品修理更换退货责任规定》处理。上述规定要求与本合同其他条款有不一致的，按对最终用户较有利的条款执行。</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.3卖方应自合同设备经最终验收合格之日起对合同设备在保修期内提供</w:t>
          </w:r>
          <w:r>
            <w:rPr>
              <w:rFonts w:hint="eastAsia" w:ascii="宋体" w:hAnsi="宋体" w:eastAsia="宋体"/>
              <w:color w:val="auto"/>
              <w:sz w:val="24"/>
              <w:szCs w:val="24"/>
              <w:highlight w:val="none"/>
            </w:rPr>
            <w:t>免费维护</w:t>
          </w:r>
          <w:r>
            <w:rPr>
              <w:rFonts w:hint="eastAsia" w:ascii="宋体" w:hAnsi="宋体" w:eastAsia="宋体"/>
              <w:color w:val="auto"/>
              <w:sz w:val="24"/>
              <w:szCs w:val="24"/>
              <w:highlight w:val="none"/>
            </w:rPr>
            <w:t>的服务，保修期外提供有偿的维护服务。</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.4卖方应开通厦门本地的售后服务专线电话，供所有合同设备服务专用。售后服务专线电话应</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小时实时响应；卖方接到买方或最终用户的报修电话，应在</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分钟内电话响应，</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个工作小时内到达，到达后</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个工作小时内修复；若在</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个工作小时内无法修复的，卖方应先提供备用机供最终用户使用，直至设备修复；</w:t>
          </w:r>
          <w:r>
            <w:rPr>
              <w:rFonts w:hint="eastAsia" w:ascii="宋体" w:hAnsi="宋体" w:eastAsia="宋体"/>
              <w:color w:val="auto"/>
              <w:sz w:val="24"/>
              <w:szCs w:val="24"/>
              <w:highlight w:val="none"/>
            </w:rPr>
            <w:t>如卖方所提供的备用机与故障机的型号不同，则需免费提供耗材</w:t>
          </w:r>
          <w:r>
            <w:rPr>
              <w:rFonts w:hint="eastAsia" w:ascii="宋体" w:hAnsi="宋体" w:eastAsia="宋体"/>
              <w:color w:val="auto"/>
              <w:sz w:val="24"/>
              <w:szCs w:val="24"/>
              <w:highlight w:val="none"/>
            </w:rPr>
            <w:t>。如果卖方未在承诺的时间内将设备修复或者提供备用机的，则卖方应按200.00元/台/天向买方支付逾期违约金,但是违约金上限不超过合同设备总金额的1%。(注：上门服务时间主要根据最终用户需求而定，假如最终用户需要第二天上门处理的，应根据最终用户要求的时间上门；如果最终用户需要节假日或晚上19：30后上门，卖方也应根据最终用户的要求上门服务。如无特殊情况，须按照上述标准来服务。)</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.5超出保修期的维修，卖方应向最终用户说明产品已过保，告知最终用户备件费、上门费及服务费，并向最终用户说明备件保修时间及保修方式，征得最终用户同意后再维修, 维修中收取的备件费、上门费及服务费等其它费用不得高于合同产品品牌官方标准（包含品牌官网标准、官方热线标准等），维修收费应</w:t>
          </w:r>
          <w:bookmarkStart w:id="8" w:name="_Hlk107908053"/>
          <w:r>
            <w:rPr>
              <w:rFonts w:hint="eastAsia" w:ascii="宋体" w:hAnsi="宋体" w:eastAsia="宋体"/>
              <w:color w:val="auto"/>
              <w:sz w:val="24"/>
              <w:szCs w:val="24"/>
              <w:highlight w:val="none"/>
            </w:rPr>
            <w:t>根据买方或最终用户的要求</w:t>
          </w:r>
          <w:bookmarkEnd w:id="8"/>
          <w:r>
            <w:rPr>
              <w:rFonts w:hint="eastAsia" w:ascii="宋体" w:hAnsi="宋体" w:eastAsia="宋体"/>
              <w:color w:val="auto"/>
              <w:sz w:val="24"/>
              <w:szCs w:val="24"/>
              <w:highlight w:val="none"/>
            </w:rPr>
            <w:t>提供发票。</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.6 合同设备</w:t>
          </w:r>
          <w:bookmarkStart w:id="9" w:name="_Hlk107906917"/>
          <w:r>
            <w:rPr>
              <w:rFonts w:hint="eastAsia" w:ascii="宋体" w:hAnsi="宋体" w:eastAsia="宋体"/>
              <w:color w:val="auto"/>
              <w:sz w:val="24"/>
              <w:szCs w:val="24"/>
              <w:highlight w:val="none"/>
            </w:rPr>
            <w:t>通过最终验收并交付后</w:t>
          </w:r>
          <w:bookmarkEnd w:id="9"/>
          <w:r>
            <w:rPr>
              <w:rFonts w:hint="eastAsia" w:ascii="宋体" w:hAnsi="宋体" w:eastAsia="宋体"/>
              <w:color w:val="auto"/>
              <w:sz w:val="24"/>
              <w:szCs w:val="24"/>
              <w:highlight w:val="none"/>
            </w:rPr>
            <w:t>15天内出现故障，卖方应免费为最终用户更换同型号新整机；保修期内，发生产品性能故障维修2次及以上仍不能正常使用的，卖方应负责为最终用户免费更换同型号的新机。若合同设备的型号机器停产，卖方应与最终用户协商，更换其他型号的新机，更换的新机型性能不得低于故障机。换机后的新机，保修期限从换机之日起开始重新计算。因产品故障造成退、换机情况的，由卖方直接与最终用户办理退换机流程，并在5个工作日内送达最终用户处更换，不再经过买方仓库，卖方应将退换机涉及的相关单据、凭证等材料在退还后【</w:t>
          </w: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】日内交付给买方。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.7卖方应为合同设备提供免费的上门安装调试服务，安装后产品故障保修由厦门当地维修站提供。</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.8在设备的质保期内买方在合同设备的使用过程中，如发现并经双方确认证实产品存在质量隐患或者有严重的质量问题，买方有权要求卖方退换受影响的产品，由此产生的运输费等直接费用由卖方承担。</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.9卖方应按最终用户的要求，每季度、每半年或每年一次，对合同设备进行保养服务，并将上门服务结果及时反馈给买方。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10卖方在上门服务时，如果最终用户其它品牌设备出现故障需要卖方的工程师帮助解决，卖方的工程师不得拒绝最终用户的要求，在条件许可的前提下为最终用户服务；如果无法修复，应协助最终用户报修相应的技术售后服务网点或给出可行的解决方案供最终用户参考。</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.11卖方在</w:t>
          </w:r>
          <w:r>
            <w:rPr>
              <w:rFonts w:hint="eastAsia" w:ascii="宋体" w:hAnsi="宋体" w:eastAsia="宋体"/>
              <w:color w:val="auto"/>
              <w:sz w:val="24"/>
              <w:szCs w:val="24"/>
              <w:highlight w:val="none"/>
              <w:u w:val="single"/>
            </w:rPr>
            <w:t>厦门</w:t>
          </w:r>
          <w:r>
            <w:rPr>
              <w:rFonts w:hint="eastAsia" w:ascii="宋体" w:hAnsi="宋体" w:eastAsia="宋体"/>
              <w:color w:val="auto"/>
              <w:sz w:val="24"/>
              <w:szCs w:val="24"/>
              <w:highlight w:val="none"/>
            </w:rPr>
            <w:t>地区拥有充足的备品备件，可以保证合同设备在正常损坏情况下，及时给最终用户提供保修或更换；超出保修期的合同设备，卖方应保证在二年内能及时提供产品维修所需的备件。</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.12卖方应为合同设备建立完整的客户档案，保修期内，当合同设备发生维修，而最终用户无法提供发票或保修卡时，卖方应根据自身留存的档案，为最终用户提供应有的保修服务。</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.13卖方应对合同设备进行100%的电话回访，每月初向买方提供上月的回访汇总报表及服务明细；当卖方在接到最终用户投诉时，要在</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分钟之内应响，</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个工作小时内开始处理，</w:t>
          </w: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rPr>
            <w:t>个工作日之内处理完；处理完最终用户的投诉，应及时将处理结果反馈给买方。</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.14卖方应根据最终用户的需求开办合同设备的免费培训课程。</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8</w:t>
          </w:r>
          <w:r>
            <w:rPr>
              <w:rFonts w:hint="eastAsia" w:ascii="宋体" w:hAnsi="宋体" w:eastAsia="宋体"/>
              <w:color w:val="auto"/>
              <w:sz w:val="24"/>
              <w:szCs w:val="24"/>
              <w:highlight w:val="none"/>
            </w:rPr>
            <w:t>.15卖方不得以任何方式对买方隐瞒和欺骗服务情况，买方需要卖方提供的报表不得有虚假，上门服务工程师不得以任何方式引导最终用户对买方回访的回答。</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color w:val="auto"/>
          <w:sz w:val="24"/>
          <w:szCs w:val="24"/>
          <w:highlight w:val="none"/>
        </w:rPr>
        <w:t>9</w:t>
      </w:r>
      <w:r>
        <w:rPr>
          <w:rFonts w:hint="eastAsia" w:ascii="宋体" w:hAnsi="宋体" w:eastAsia="宋体"/>
          <w:b/>
          <w:bCs/>
          <w:color w:val="auto"/>
          <w:sz w:val="24"/>
          <w:szCs w:val="24"/>
          <w:highlight w:val="none"/>
        </w:rPr>
        <w:t>、知识产权</w:t>
      </w:r>
    </w:p>
    <w:sdt>
      <w:sdtPr>
        <w:rPr>
          <w:rFonts w:hint="eastAsia" w:ascii="宋体" w:hAnsi="宋体" w:eastAsia="宋体" w:cstheme="minorBidi"/>
          <w:color w:val="auto"/>
          <w:kern w:val="2"/>
          <w:sz w:val="24"/>
          <w:szCs w:val="24"/>
          <w:highlight w:val="none"/>
          <w:lang w:val="en-US" w:eastAsia="zh-CN" w:bidi="ar-SA"/>
        </w:rPr>
        <w:id w:val="147467846"/>
        <w:placeholder>
          <w:docPart w:val="{da3d9511-d260-4a48-8a69-b12b7fd120f0}"/>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卖方保证买方或最终用户在使用该品牌产品时不受到第三方关于侵犯知识产权的指控和索赔。如果任何第三方提出侵权指控或索赔，买方或最终用户有权将该等指控或索赔转告卖方。买方或最终用户对于该等索赔不承担责任，卖方应妥善处理该等纠纷，并承担处理该等侵权索赔的抗辩费用、经卖方谈判的和解费用及法院判决的赔偿等相关。</w:t>
          </w:r>
        </w:p>
        <w:p>
          <w:pPr>
            <w:adjustRightInd w:val="0"/>
            <w:snapToGrid w:val="0"/>
            <w:spacing w:line="360" w:lineRule="auto"/>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同时，买方有权自费参与针对该等侵权索赔的应诉抗辩或和解，买方因此支出的费用和损失均由卖方承担，且买方有权在本合同的卖方保证金和买方应付货款中扣除前述费用。</w:t>
          </w:r>
        </w:p>
      </w:sdtContent>
    </w:sdt>
    <w:p>
      <w:pPr>
        <w:adjustRightInd w:val="0"/>
        <w:snapToGrid w:val="0"/>
        <w:spacing w:line="360" w:lineRule="auto"/>
        <w:rPr>
          <w:rFonts w:ascii="宋体" w:hAnsi="宋体" w:eastAsia="宋体"/>
          <w:b/>
          <w:bCs/>
          <w:color w:val="auto"/>
          <w:sz w:val="24"/>
          <w:szCs w:val="24"/>
          <w:highlight w:val="none"/>
        </w:rPr>
      </w:pPr>
      <w:r>
        <w:rPr>
          <w:rFonts w:ascii="宋体" w:hAnsi="宋体" w:eastAsia="宋体"/>
          <w:b/>
          <w:bCs/>
          <w:color w:val="auto"/>
          <w:sz w:val="24"/>
          <w:szCs w:val="24"/>
          <w:highlight w:val="none"/>
        </w:rPr>
        <w:t>10</w:t>
      </w:r>
      <w:r>
        <w:rPr>
          <w:rFonts w:hint="eastAsia" w:ascii="宋体" w:hAnsi="宋体" w:eastAsia="宋体"/>
          <w:b/>
          <w:bCs/>
          <w:color w:val="auto"/>
          <w:sz w:val="24"/>
          <w:szCs w:val="24"/>
          <w:highlight w:val="none"/>
        </w:rPr>
        <w:t>、违约责任</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.1卖方若未能按时将保质足量产品送到买方仓库或最终用户指定地点的、或未能按时完成安装调试的，卖方应向买方每日支付当批货款</w:t>
      </w:r>
      <w:sdt>
        <w:sdtPr>
          <w:rPr>
            <w:rFonts w:hint="eastAsia" w:ascii="宋体" w:hAnsi="宋体" w:eastAsia="宋体" w:cstheme="minorBidi"/>
            <w:color w:val="auto"/>
            <w:kern w:val="2"/>
            <w:sz w:val="24"/>
            <w:szCs w:val="24"/>
            <w:highlight w:val="none"/>
            <w:lang w:val="en-US" w:eastAsia="zh-CN" w:bidi="ar-SA"/>
          </w:rPr>
          <w:id w:val="147467784"/>
          <w:placeholder>
            <w:docPart w:val="{f6c6e9f3-19e2-4ec7-b307-548e545f706b}"/>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0.5%</w:t>
          </w:r>
        </w:sdtContent>
      </w:sdt>
      <w:r>
        <w:rPr>
          <w:rFonts w:hint="eastAsia" w:ascii="宋体" w:hAnsi="宋体" w:eastAsia="宋体"/>
          <w:color w:val="auto"/>
          <w:sz w:val="24"/>
          <w:szCs w:val="24"/>
          <w:highlight w:val="none"/>
        </w:rPr>
        <w:t>的逾期违约金。单批次（单个</w:t>
      </w:r>
      <w:r>
        <w:rPr>
          <w:rFonts w:ascii="宋体" w:hAnsi="宋体" w:eastAsia="宋体" w:cs="宋体"/>
          <w:color w:val="auto"/>
          <w:sz w:val="24"/>
          <w:szCs w:val="24"/>
          <w:highlight w:val="none"/>
        </w:rPr>
        <w:t>《定货单》</w:t>
      </w:r>
      <w:r>
        <w:rPr>
          <w:rFonts w:hint="eastAsia" w:ascii="宋体" w:hAnsi="宋体" w:eastAsia="宋体"/>
          <w:color w:val="auto"/>
          <w:sz w:val="24"/>
          <w:szCs w:val="24"/>
          <w:highlight w:val="none"/>
        </w:rPr>
        <w:t>）供货中</w:t>
      </w:r>
      <w:r>
        <w:rPr>
          <w:rFonts w:hint="eastAsia" w:ascii="宋体" w:hAnsi="宋体" w:eastAsia="宋体"/>
          <w:color w:val="auto"/>
          <w:sz w:val="24"/>
          <w:szCs w:val="24"/>
          <w:highlight w:val="none"/>
        </w:rPr>
        <w:t>逾期超过</w:t>
      </w:r>
      <w:sdt>
        <w:sdtPr>
          <w:rPr>
            <w:rFonts w:hint="eastAsia" w:ascii="宋体" w:hAnsi="宋体" w:eastAsia="宋体" w:cstheme="minorBidi"/>
            <w:color w:val="auto"/>
            <w:kern w:val="2"/>
            <w:sz w:val="24"/>
            <w:szCs w:val="24"/>
            <w:highlight w:val="none"/>
            <w:lang w:val="en-US" w:eastAsia="zh-CN" w:bidi="ar-SA"/>
          </w:rPr>
          <w:id w:val="147467745"/>
          <w:placeholder>
            <w:docPart w:val="{03b64f5c-0a26-4447-81df-dc2c40015f2e}"/>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5</w:t>
          </w:r>
        </w:sdtContent>
      </w:sdt>
      <w:r>
        <w:rPr>
          <w:rFonts w:hint="eastAsia" w:ascii="宋体" w:hAnsi="宋体" w:eastAsia="宋体"/>
          <w:color w:val="auto"/>
          <w:sz w:val="24"/>
          <w:szCs w:val="24"/>
          <w:highlight w:val="none"/>
        </w:rPr>
        <w:t>个日历日交货或者安装不及时率（即：（逾期超过</w:t>
      </w:r>
      <w:sdt>
        <w:sdtPr>
          <w:rPr>
            <w:rFonts w:hint="eastAsia" w:ascii="宋体" w:hAnsi="宋体" w:eastAsia="宋体" w:cstheme="minorBidi"/>
            <w:color w:val="auto"/>
            <w:kern w:val="2"/>
            <w:sz w:val="24"/>
            <w:szCs w:val="24"/>
            <w:highlight w:val="none"/>
            <w:lang w:val="en-US" w:eastAsia="zh-CN" w:bidi="ar-SA"/>
          </w:rPr>
          <w:id w:val="147467722"/>
          <w:placeholder>
            <w:docPart w:val="{b016ef60-9a52-45f5-8a24-85e5b472c46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5</w:t>
          </w:r>
        </w:sdtContent>
      </w:sdt>
      <w:r>
        <w:rPr>
          <w:rFonts w:hint="eastAsia" w:ascii="宋体" w:hAnsi="宋体" w:eastAsia="宋体"/>
          <w:color w:val="auto"/>
          <w:sz w:val="24"/>
          <w:szCs w:val="24"/>
          <w:highlight w:val="none"/>
        </w:rPr>
        <w:t>日的货物数量+逾期安装的货物数量）/该批次货物总数量）超过</w:t>
      </w:r>
      <w:sdt>
        <w:sdtPr>
          <w:rPr>
            <w:rFonts w:hint="eastAsia" w:ascii="宋体" w:hAnsi="宋体" w:eastAsia="宋体" w:cstheme="minorBidi"/>
            <w:color w:val="auto"/>
            <w:kern w:val="2"/>
            <w:sz w:val="24"/>
            <w:szCs w:val="24"/>
            <w:highlight w:val="none"/>
            <w:lang w:val="en-US" w:eastAsia="zh-CN" w:bidi="ar-SA"/>
          </w:rPr>
          <w:id w:val="147467709"/>
          <w:placeholder>
            <w:docPart w:val="{d597d2cd-0ba9-4077-8df8-3d1f8320d745}"/>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stheme="minorBidi"/>
              <w:color w:val="auto"/>
              <w:kern w:val="2"/>
              <w:sz w:val="24"/>
              <w:szCs w:val="24"/>
              <w:highlight w:val="none"/>
              <w:lang w:val="en-US" w:eastAsia="zh-CN" w:bidi="ar-SA"/>
            </w:rPr>
            <w:t>7</w:t>
          </w:r>
          <w:r>
            <w:rPr>
              <w:rFonts w:ascii="宋体" w:hAnsi="宋体" w:eastAsia="宋体"/>
              <w:color w:val="auto"/>
              <w:sz w:val="24"/>
              <w:szCs w:val="24"/>
              <w:highlight w:val="none"/>
            </w:rPr>
            <w:t>%</w:t>
          </w:r>
        </w:sdtContent>
      </w:sdt>
      <w:r>
        <w:rPr>
          <w:rFonts w:hint="eastAsia" w:ascii="宋体" w:hAnsi="宋体" w:eastAsia="宋体"/>
          <w:color w:val="auto"/>
          <w:sz w:val="24"/>
          <w:szCs w:val="24"/>
          <w:highlight w:val="none"/>
        </w:rPr>
        <w:t>的，买方有权单方面解除合同</w:t>
      </w:r>
      <w:bookmarkStart w:id="10" w:name="_Hlk107908538"/>
      <w:sdt>
        <w:sdtPr>
          <w:rPr>
            <w:rFonts w:hint="eastAsia" w:ascii="宋体" w:hAnsi="宋体" w:eastAsia="宋体" w:cstheme="minorBidi"/>
            <w:color w:val="auto"/>
            <w:kern w:val="2"/>
            <w:sz w:val="24"/>
            <w:szCs w:val="24"/>
            <w:highlight w:val="none"/>
            <w:lang w:val="en-US" w:eastAsia="zh-CN" w:bidi="ar-SA"/>
          </w:rPr>
          <w:id w:val="147467265"/>
          <w:placeholder>
            <w:docPart w:val="{c5f24f86-df4c-407b-b1c1-0eb7090602d3}"/>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并没收履约保证金</w:t>
          </w:r>
          <w:bookmarkEnd w:id="10"/>
          <w:r>
            <w:rPr>
              <w:rFonts w:hint="eastAsia" w:ascii="宋体" w:hAnsi="宋体" w:eastAsia="宋体"/>
              <w:color w:val="auto"/>
              <w:sz w:val="24"/>
              <w:szCs w:val="24"/>
              <w:highlight w:val="none"/>
            </w:rPr>
            <w:t>，</w:t>
          </w:r>
        </w:sdtContent>
      </w:sdt>
      <w:sdt>
        <w:sdtPr>
          <w:rPr>
            <w:rFonts w:hint="eastAsia" w:ascii="宋体" w:hAnsi="宋体" w:eastAsia="宋体" w:cstheme="minorBidi"/>
            <w:color w:val="auto"/>
            <w:kern w:val="2"/>
            <w:sz w:val="24"/>
            <w:szCs w:val="24"/>
            <w:highlight w:val="none"/>
            <w:lang w:val="en-US" w:eastAsia="zh-CN" w:bidi="ar-SA"/>
          </w:rPr>
          <w:id w:val="147467252"/>
          <w:placeholder>
            <w:docPart w:val="{ab669449-bc94-4e34-b7b3-85a5c70c1e0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卖方除应退还买方已支付的该批次货款外，还应另行支付相当于4.1条约定的履约保证金总金额的违约金，且买方有权</w:t>
          </w:r>
          <w:r>
            <w:rPr>
              <w:rFonts w:ascii="宋体" w:hAnsi="宋体" w:eastAsia="宋体"/>
              <w:color w:val="auto"/>
              <w:sz w:val="24"/>
              <w:szCs w:val="24"/>
              <w:highlight w:val="none"/>
            </w:rPr>
            <w:t>在三年内拒绝</w:t>
          </w:r>
          <w:r>
            <w:rPr>
              <w:rFonts w:hint="eastAsia" w:ascii="宋体" w:hAnsi="宋体" w:eastAsia="宋体"/>
              <w:color w:val="auto"/>
              <w:sz w:val="24"/>
              <w:szCs w:val="24"/>
              <w:highlight w:val="none"/>
            </w:rPr>
            <w:t>卖方</w:t>
          </w:r>
          <w:r>
            <w:rPr>
              <w:rFonts w:ascii="宋体" w:hAnsi="宋体" w:eastAsia="宋体"/>
              <w:color w:val="auto"/>
              <w:sz w:val="24"/>
              <w:szCs w:val="24"/>
              <w:highlight w:val="none"/>
            </w:rPr>
            <w:t>参与大宗政府招标采购项目</w:t>
          </w:r>
          <w:r>
            <w:rPr>
              <w:rFonts w:hint="eastAsia" w:ascii="宋体" w:hAnsi="宋体" w:eastAsia="宋体"/>
              <w:color w:val="auto"/>
              <w:sz w:val="24"/>
              <w:szCs w:val="24"/>
              <w:highlight w:val="none"/>
            </w:rPr>
            <w:t>的投标报价</w:t>
          </w:r>
        </w:sdtContent>
      </w:sdt>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.2任一批次的产品若验收不合格（包括初验和最终验收），买方有权换货或单方解除合同。</w:t>
      </w:r>
      <w:sdt>
        <w:sdtPr>
          <w:rPr>
            <w:rFonts w:hint="eastAsia" w:ascii="宋体" w:hAnsi="宋体" w:eastAsia="宋体" w:cstheme="minorBidi"/>
            <w:color w:val="auto"/>
            <w:kern w:val="2"/>
            <w:sz w:val="24"/>
            <w:szCs w:val="24"/>
            <w:highlight w:val="none"/>
            <w:lang w:val="en-US" w:eastAsia="zh-CN" w:bidi="ar-SA"/>
          </w:rPr>
          <w:id w:val="147466925"/>
          <w:placeholder>
            <w:docPart w:val="{5be02def-c0a7-4ffd-8322-4022117a6bab}"/>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若买方选择换货的，卖方重新供货导致的供货延迟，按</w:t>
          </w:r>
          <w:r>
            <w:rPr>
              <w:rFonts w:ascii="宋体" w:hAnsi="宋体" w:eastAsia="宋体"/>
              <w:color w:val="auto"/>
              <w:sz w:val="24"/>
              <w:szCs w:val="24"/>
              <w:highlight w:val="none"/>
            </w:rPr>
            <w:t>10</w:t>
          </w:r>
          <w:r>
            <w:rPr>
              <w:rFonts w:hint="eastAsia" w:ascii="宋体" w:hAnsi="宋体" w:eastAsia="宋体"/>
              <w:color w:val="auto"/>
              <w:sz w:val="24"/>
              <w:szCs w:val="24"/>
              <w:highlight w:val="none"/>
            </w:rPr>
            <w:t>.1条违约责任处理；若买方选择单方解除合同的，</w:t>
          </w:r>
          <w:bookmarkStart w:id="11" w:name="_Hlk107909671"/>
          <w:r>
            <w:rPr>
              <w:rFonts w:hint="eastAsia" w:ascii="宋体" w:hAnsi="宋体" w:eastAsia="宋体"/>
              <w:color w:val="auto"/>
              <w:sz w:val="24"/>
              <w:szCs w:val="24"/>
              <w:highlight w:val="none"/>
            </w:rPr>
            <w:t>买方有权没收履约保证金，</w:t>
          </w:r>
          <w:bookmarkEnd w:id="11"/>
          <w:r>
            <w:rPr>
              <w:rFonts w:hint="eastAsia" w:ascii="宋体" w:hAnsi="宋体" w:eastAsia="宋体"/>
              <w:color w:val="auto"/>
              <w:sz w:val="24"/>
              <w:szCs w:val="24"/>
              <w:highlight w:val="none"/>
            </w:rPr>
            <w:t>卖方除应退还买方已支付该批次货款外，还应另行支付相当于4.1条约定的履约保证金总金额的违约金，且买方有权</w:t>
          </w:r>
          <w:r>
            <w:rPr>
              <w:rFonts w:ascii="宋体" w:hAnsi="宋体" w:eastAsia="宋体"/>
              <w:color w:val="auto"/>
              <w:sz w:val="24"/>
              <w:szCs w:val="24"/>
              <w:highlight w:val="none"/>
            </w:rPr>
            <w:t>在三年内拒绝</w:t>
          </w:r>
          <w:r>
            <w:rPr>
              <w:rFonts w:hint="eastAsia" w:ascii="宋体" w:hAnsi="宋体" w:eastAsia="宋体"/>
              <w:color w:val="auto"/>
              <w:sz w:val="24"/>
              <w:szCs w:val="24"/>
              <w:highlight w:val="none"/>
            </w:rPr>
            <w:t>卖方</w:t>
          </w:r>
          <w:r>
            <w:rPr>
              <w:rFonts w:ascii="宋体" w:hAnsi="宋体" w:eastAsia="宋体"/>
              <w:color w:val="auto"/>
              <w:sz w:val="24"/>
              <w:szCs w:val="24"/>
              <w:highlight w:val="none"/>
            </w:rPr>
            <w:t>参与大宗政府招标采购项目</w:t>
          </w:r>
          <w:r>
            <w:rPr>
              <w:rFonts w:hint="eastAsia" w:ascii="宋体" w:hAnsi="宋体" w:eastAsia="宋体"/>
              <w:color w:val="auto"/>
              <w:sz w:val="24"/>
              <w:szCs w:val="24"/>
              <w:highlight w:val="none"/>
            </w:rPr>
            <w:t>的投标报价。</w:t>
          </w:r>
        </w:sdtContent>
      </w:sdt>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.3卖方保证所供成交产品质量与投标时的承诺一致，若有拆装、以次充好、偷换等行为,一经发现，</w:t>
      </w:r>
      <w:sdt>
        <w:sdtPr>
          <w:rPr>
            <w:rFonts w:hint="eastAsia" w:ascii="宋体" w:hAnsi="宋体" w:eastAsia="宋体" w:cstheme="minorBidi"/>
            <w:color w:val="auto"/>
            <w:kern w:val="2"/>
            <w:sz w:val="24"/>
            <w:szCs w:val="24"/>
            <w:highlight w:val="none"/>
            <w:lang w:val="en-US" w:eastAsia="zh-CN" w:bidi="ar-SA"/>
          </w:rPr>
          <w:id w:val="147466661"/>
          <w:placeholder>
            <w:docPart w:val="{8dd9afcd-eae2-409b-bc72-bf426e1ba24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买方将拒绝卖方作为厦门市政府采购供应商，拒绝其三年内参加相同项目的投标报价并有权单方解除合同</w:t>
          </w:r>
          <w:bookmarkStart w:id="12" w:name="_Hlk107909688"/>
          <w:r>
            <w:rPr>
              <w:rFonts w:hint="eastAsia" w:ascii="宋体" w:hAnsi="宋体" w:eastAsia="宋体"/>
              <w:color w:val="auto"/>
              <w:sz w:val="24"/>
              <w:szCs w:val="24"/>
              <w:highlight w:val="none"/>
            </w:rPr>
            <w:t>并没收履约保证金</w:t>
          </w:r>
          <w:bookmarkEnd w:id="12"/>
          <w:r>
            <w:rPr>
              <w:rFonts w:hint="eastAsia" w:ascii="宋体" w:hAnsi="宋体" w:eastAsia="宋体"/>
              <w:color w:val="auto"/>
              <w:sz w:val="24"/>
              <w:szCs w:val="24"/>
              <w:highlight w:val="none"/>
            </w:rPr>
            <w:t>，卖方除应退还买方已支付该批次货款外，还应另行支付相当于4.1条约定的履约保证金总金额的违约金。</w:t>
          </w:r>
        </w:sdtContent>
      </w:sdt>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.4买方根据本合同约定提出换货、退货或解除合同的，卖方应在收到买方或最终用户通知后</w:t>
      </w:r>
      <w:sdt>
        <w:sdtPr>
          <w:rPr>
            <w:rFonts w:hint="eastAsia" w:ascii="宋体" w:hAnsi="宋体" w:eastAsia="宋体" w:cstheme="minorBidi"/>
            <w:color w:val="auto"/>
            <w:kern w:val="2"/>
            <w:sz w:val="24"/>
            <w:szCs w:val="24"/>
            <w:highlight w:val="none"/>
            <w:lang w:val="en-US" w:eastAsia="zh-CN" w:bidi="ar-SA"/>
          </w:rPr>
          <w:id w:val="147466569"/>
          <w:placeholder>
            <w:docPart w:val="{82eacda4-b6d9-4f15-97d0-c22bdaceffa1}"/>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3</w:t>
          </w:r>
        </w:sdtContent>
      </w:sdt>
      <w:r>
        <w:rPr>
          <w:rFonts w:hint="eastAsia" w:ascii="宋体" w:hAnsi="宋体" w:eastAsia="宋体"/>
          <w:color w:val="auto"/>
          <w:sz w:val="24"/>
          <w:szCs w:val="24"/>
          <w:highlight w:val="none"/>
        </w:rPr>
        <w:t>个工作日内自行收回不符合合同约定的货物，并承担相应费用。因卖方原因导致退换货的，卖方应承担退换货所需的一切费用。如卖方未在规定时间内收回不合格货物，买方不对上述货物的灭失或损坏承担任何责任。如卖方逾期超过</w:t>
      </w:r>
      <w:sdt>
        <w:sdtPr>
          <w:rPr>
            <w:rFonts w:hint="eastAsia" w:ascii="宋体" w:hAnsi="宋体" w:eastAsia="宋体" w:cstheme="minorBidi"/>
            <w:color w:val="auto"/>
            <w:kern w:val="2"/>
            <w:sz w:val="24"/>
            <w:szCs w:val="24"/>
            <w:highlight w:val="none"/>
            <w:lang w:val="en-US" w:eastAsia="zh-CN" w:bidi="ar-SA"/>
          </w:rPr>
          <w:id w:val="147466393"/>
          <w:placeholder>
            <w:docPart w:val="{26db5745-d8c0-4678-ab73-a67cfa1d5dee}"/>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10</w:t>
          </w:r>
        </w:sdtContent>
      </w:sdt>
      <w:r>
        <w:rPr>
          <w:rFonts w:hint="eastAsia" w:ascii="宋体" w:hAnsi="宋体" w:eastAsia="宋体"/>
          <w:color w:val="auto"/>
          <w:sz w:val="24"/>
          <w:szCs w:val="24"/>
          <w:highlight w:val="none"/>
        </w:rPr>
        <w:t>个日历日仍未收回的，买方有权自行处理上述货物</w:t>
      </w:r>
      <w:sdt>
        <w:sdtPr>
          <w:rPr>
            <w:rFonts w:hint="eastAsia" w:ascii="宋体" w:hAnsi="宋体" w:eastAsia="宋体" w:cstheme="minorBidi"/>
            <w:color w:val="auto"/>
            <w:kern w:val="2"/>
            <w:sz w:val="24"/>
            <w:szCs w:val="24"/>
            <w:highlight w:val="none"/>
            <w:lang w:val="en-US" w:eastAsia="zh-CN" w:bidi="ar-SA"/>
          </w:rPr>
          <w:id w:val="147466351"/>
          <w:placeholder>
            <w:docPart w:val="{49454504-16e7-4fe2-8a92-8fc3dad2f07a}"/>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，同时卖方应支付相当于4.1条约定的履约保证金总金额的违约金，且买方有权</w:t>
          </w:r>
          <w:r>
            <w:rPr>
              <w:rFonts w:ascii="宋体" w:hAnsi="宋体" w:eastAsia="宋体"/>
              <w:color w:val="auto"/>
              <w:sz w:val="24"/>
              <w:szCs w:val="24"/>
              <w:highlight w:val="none"/>
            </w:rPr>
            <w:t>在三年内拒绝卖方参与大宗政府招标采购项目</w:t>
          </w:r>
          <w:r>
            <w:rPr>
              <w:rFonts w:hint="eastAsia" w:ascii="宋体" w:hAnsi="宋体" w:eastAsia="宋体"/>
              <w:color w:val="auto"/>
              <w:sz w:val="24"/>
              <w:szCs w:val="24"/>
              <w:highlight w:val="none"/>
            </w:rPr>
            <w:t>的投标报价</w:t>
          </w:r>
        </w:sdtContent>
      </w:sdt>
      <w:r>
        <w:rPr>
          <w:rFonts w:hint="eastAsia" w:ascii="宋体" w:hAnsi="宋体" w:eastAsia="宋体"/>
          <w:color w:val="auto"/>
          <w:sz w:val="24"/>
          <w:szCs w:val="24"/>
          <w:highlight w:val="none"/>
        </w:rPr>
        <w:t>。</w:t>
      </w:r>
    </w:p>
    <w:sdt>
      <w:sdtPr>
        <w:rPr>
          <w:rFonts w:ascii="宋体" w:hAnsi="宋体" w:eastAsia="宋体" w:cstheme="minorBidi"/>
          <w:color w:val="auto"/>
          <w:kern w:val="2"/>
          <w:sz w:val="24"/>
          <w:szCs w:val="24"/>
          <w:highlight w:val="none"/>
          <w:lang w:val="en-US" w:eastAsia="zh-CN" w:bidi="ar-SA"/>
        </w:rPr>
        <w:id w:val="147465955"/>
        <w:placeholder>
          <w:docPart w:val="{f251695b-22fc-459f-9a7d-d9c3c5db15f6}"/>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10</w:t>
          </w:r>
          <w:r>
            <w:rPr>
              <w:rFonts w:hint="eastAsia" w:ascii="宋体" w:hAnsi="宋体" w:eastAsia="宋体"/>
              <w:color w:val="auto"/>
              <w:sz w:val="24"/>
              <w:szCs w:val="24"/>
              <w:highlight w:val="none"/>
            </w:rPr>
            <w:t>.5买方应按商定的付款周期及时支付卖方货款。若故意拖延支付货款，买方向卖方每日支付延迟付款部分0.1%的违约金，支付金额最高不超过受影响货物总额的5%。若协商不成，可根据规定向厦门市财政局政府采购监管处投诉并要求解决。</w:t>
          </w:r>
        </w:p>
      </w:sdtContent>
    </w:sdt>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60"/>
          <w:placeholder>
            <w:docPart w:val="{db3feb7e-4bd5-4f5f-9c2a-294886043d38}"/>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.6</w:t>
          </w:r>
        </w:sdtContent>
      </w:sdt>
      <w:r>
        <w:rPr>
          <w:rFonts w:hint="eastAsia" w:ascii="宋体" w:hAnsi="宋体" w:eastAsia="宋体"/>
          <w:color w:val="auto"/>
          <w:sz w:val="24"/>
          <w:szCs w:val="24"/>
          <w:highlight w:val="none"/>
        </w:rPr>
        <w:t>除本合同另有约定</w:t>
      </w:r>
      <w:sdt>
        <w:sdtPr>
          <w:rPr>
            <w:rFonts w:hint="eastAsia" w:ascii="宋体" w:hAnsi="宋体" w:eastAsia="宋体" w:cstheme="minorBidi"/>
            <w:color w:val="auto"/>
            <w:kern w:val="2"/>
            <w:sz w:val="24"/>
            <w:szCs w:val="24"/>
            <w:highlight w:val="none"/>
            <w:lang w:val="en-US" w:eastAsia="zh-CN" w:bidi="ar-SA"/>
          </w:rPr>
          <w:id w:val="147465273"/>
          <w:placeholder>
            <w:docPart w:val="{4d269bfa-3499-4c8f-96e4-140378e14328}"/>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w:t>
          </w:r>
          <w:r>
            <w:rPr>
              <w:rFonts w:ascii="宋体" w:hAnsi="宋体" w:eastAsia="宋体"/>
              <w:color w:val="auto"/>
              <w:sz w:val="24"/>
              <w:szCs w:val="24"/>
              <w:highlight w:val="none"/>
            </w:rPr>
            <w:t>10</w:t>
          </w:r>
          <w:r>
            <w:rPr>
              <w:rFonts w:hint="eastAsia" w:ascii="宋体" w:hAnsi="宋体" w:eastAsia="宋体"/>
              <w:color w:val="auto"/>
              <w:sz w:val="24"/>
              <w:szCs w:val="24"/>
              <w:highlight w:val="none"/>
            </w:rPr>
            <w:t>.1、</w:t>
          </w:r>
          <w:r>
            <w:rPr>
              <w:rFonts w:ascii="宋体" w:hAnsi="宋体" w:eastAsia="宋体"/>
              <w:color w:val="auto"/>
              <w:sz w:val="24"/>
              <w:szCs w:val="24"/>
              <w:highlight w:val="none"/>
            </w:rPr>
            <w:t>10</w:t>
          </w:r>
          <w:r>
            <w:rPr>
              <w:rFonts w:hint="eastAsia" w:ascii="宋体" w:hAnsi="宋体" w:eastAsia="宋体"/>
              <w:color w:val="auto"/>
              <w:sz w:val="24"/>
              <w:szCs w:val="24"/>
              <w:highlight w:val="none"/>
            </w:rPr>
            <w:t>.2、</w:t>
          </w:r>
          <w:r>
            <w:rPr>
              <w:rFonts w:ascii="宋体" w:hAnsi="宋体" w:eastAsia="宋体"/>
              <w:color w:val="auto"/>
              <w:sz w:val="24"/>
              <w:szCs w:val="24"/>
              <w:highlight w:val="none"/>
            </w:rPr>
            <w:t>10</w:t>
          </w:r>
          <w:r>
            <w:rPr>
              <w:rFonts w:hint="eastAsia" w:ascii="宋体" w:hAnsi="宋体" w:eastAsia="宋体"/>
              <w:color w:val="auto"/>
              <w:sz w:val="24"/>
              <w:szCs w:val="24"/>
              <w:highlight w:val="none"/>
            </w:rPr>
            <w:t>.3、</w:t>
          </w:r>
          <w:r>
            <w:rPr>
              <w:rFonts w:ascii="宋体" w:hAnsi="宋体" w:eastAsia="宋体"/>
              <w:color w:val="auto"/>
              <w:sz w:val="24"/>
              <w:szCs w:val="24"/>
              <w:highlight w:val="none"/>
            </w:rPr>
            <w:t>10</w:t>
          </w:r>
          <w:r>
            <w:rPr>
              <w:rFonts w:hint="eastAsia" w:ascii="宋体" w:hAnsi="宋体" w:eastAsia="宋体"/>
              <w:color w:val="auto"/>
              <w:sz w:val="24"/>
              <w:szCs w:val="24"/>
              <w:highlight w:val="none"/>
            </w:rPr>
            <w:t>.4、</w:t>
          </w:r>
          <w:r>
            <w:rPr>
              <w:rFonts w:ascii="宋体" w:hAnsi="宋体" w:eastAsia="宋体"/>
              <w:color w:val="auto"/>
              <w:sz w:val="24"/>
              <w:szCs w:val="24"/>
              <w:highlight w:val="none"/>
            </w:rPr>
            <w:t>10</w:t>
          </w:r>
          <w:r>
            <w:rPr>
              <w:rFonts w:hint="eastAsia" w:ascii="宋体" w:hAnsi="宋体" w:eastAsia="宋体"/>
              <w:color w:val="auto"/>
              <w:sz w:val="24"/>
              <w:szCs w:val="24"/>
              <w:highlight w:val="none"/>
            </w:rPr>
            <w:t>.8）</w:t>
          </w:r>
        </w:sdtContent>
      </w:sdt>
      <w:r>
        <w:rPr>
          <w:rFonts w:hint="eastAsia" w:ascii="宋体" w:hAnsi="宋体" w:eastAsia="宋体"/>
          <w:color w:val="auto"/>
          <w:sz w:val="24"/>
          <w:szCs w:val="24"/>
          <w:highlight w:val="none"/>
        </w:rPr>
        <w:t>，在买方发出的违约通知后</w:t>
      </w:r>
      <w:sdt>
        <w:sdtPr>
          <w:rPr>
            <w:rFonts w:hint="eastAsia" w:ascii="宋体" w:hAnsi="宋体" w:eastAsia="宋体" w:cstheme="minorBidi"/>
            <w:color w:val="auto"/>
            <w:kern w:val="2"/>
            <w:sz w:val="24"/>
            <w:szCs w:val="24"/>
            <w:highlight w:val="none"/>
            <w:lang w:val="en-US" w:eastAsia="zh-CN" w:bidi="ar-SA"/>
          </w:rPr>
          <w:id w:val="147465178"/>
          <w:placeholder>
            <w:docPart w:val="{b3a1454d-fc5d-4dfb-964b-fa03e27612a8}"/>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30</w:t>
          </w:r>
        </w:sdtContent>
      </w:sdt>
      <w:r>
        <w:rPr>
          <w:rFonts w:hint="eastAsia" w:ascii="宋体" w:hAnsi="宋体" w:eastAsia="宋体"/>
          <w:color w:val="auto"/>
          <w:sz w:val="24"/>
          <w:szCs w:val="24"/>
          <w:highlight w:val="none"/>
        </w:rPr>
        <w:t>天内卖方仍未纠正其任何一种违约行为的，买方有权单方解除合同</w:t>
      </w:r>
      <w:r>
        <w:rPr>
          <w:rFonts w:ascii="宋体" w:hAnsi="宋体" w:eastAsia="宋体"/>
          <w:color w:val="auto"/>
          <w:sz w:val="24"/>
          <w:szCs w:val="24"/>
          <w:highlight w:val="none"/>
        </w:rPr>
        <w:t>并</w:t>
      </w:r>
      <w:r>
        <w:rPr>
          <w:rFonts w:hint="eastAsia" w:ascii="宋体" w:hAnsi="宋体" w:eastAsia="宋体"/>
          <w:color w:val="auto"/>
          <w:sz w:val="24"/>
          <w:szCs w:val="24"/>
          <w:highlight w:val="none"/>
        </w:rPr>
        <w:t>没收</w:t>
      </w:r>
      <w:r>
        <w:rPr>
          <w:rFonts w:ascii="宋体" w:hAnsi="宋体" w:eastAsia="宋体"/>
          <w:color w:val="auto"/>
          <w:sz w:val="24"/>
          <w:szCs w:val="24"/>
          <w:highlight w:val="none"/>
        </w:rPr>
        <w:t>卖方</w:t>
      </w:r>
      <w:r>
        <w:rPr>
          <w:rFonts w:hint="eastAsia" w:ascii="宋体" w:hAnsi="宋体" w:eastAsia="宋体"/>
          <w:color w:val="auto"/>
          <w:sz w:val="24"/>
          <w:szCs w:val="24"/>
          <w:highlight w:val="none"/>
        </w:rPr>
        <w:t>全部</w:t>
      </w:r>
      <w:r>
        <w:rPr>
          <w:rFonts w:ascii="宋体" w:hAnsi="宋体" w:eastAsia="宋体"/>
          <w:color w:val="auto"/>
          <w:sz w:val="24"/>
          <w:szCs w:val="24"/>
          <w:highlight w:val="none"/>
        </w:rPr>
        <w:t>履约保证金</w:t>
      </w:r>
      <w:r>
        <w:rPr>
          <w:rFonts w:hint="eastAsia" w:ascii="宋体" w:hAnsi="宋体" w:eastAsia="宋体"/>
          <w:color w:val="auto"/>
          <w:sz w:val="24"/>
          <w:szCs w:val="24"/>
          <w:highlight w:val="none"/>
        </w:rPr>
        <w:t>。</w:t>
      </w:r>
    </w:p>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50"/>
          <w:placeholder>
            <w:docPart w:val="{11c76c51-3bdc-48c0-9446-3b119166f07c}"/>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.7</w:t>
          </w:r>
        </w:sdtContent>
      </w:sdt>
      <w:r>
        <w:rPr>
          <w:rFonts w:hint="eastAsia" w:ascii="宋体" w:hAnsi="宋体" w:eastAsia="宋体"/>
          <w:color w:val="auto"/>
          <w:sz w:val="24"/>
          <w:szCs w:val="24"/>
          <w:highlight w:val="none"/>
        </w:rPr>
        <w:t>买方有权扣划卖方缴交的履约保证金作为违约金，履约保证金不足以抵扣违约金的，买方有权从应付货款中扣除相应费用。</w:t>
      </w:r>
      <w:sdt>
        <w:sdtPr>
          <w:rPr>
            <w:rFonts w:hint="eastAsia" w:ascii="宋体" w:hAnsi="宋体" w:eastAsia="宋体" w:cstheme="minorBidi"/>
            <w:color w:val="auto"/>
            <w:kern w:val="2"/>
            <w:sz w:val="24"/>
            <w:szCs w:val="24"/>
            <w:highlight w:val="none"/>
            <w:lang w:val="en-US" w:eastAsia="zh-CN" w:bidi="ar-SA"/>
          </w:rPr>
          <w:id w:val="147464055"/>
          <w:placeholder>
            <w:docPart w:val="{3f45d533-c3db-4fee-9a89-37ea238de9db}"/>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买方应在扣划履约保证金前书面通知卖方违约事由，如卖方在书面通知所列明的合理期限（不超过</w:t>
          </w:r>
          <w:r>
            <w:rPr>
              <w:rFonts w:ascii="宋体" w:hAnsi="宋体" w:eastAsia="宋体"/>
              <w:color w:val="auto"/>
              <w:sz w:val="24"/>
              <w:szCs w:val="24"/>
              <w:highlight w:val="none"/>
            </w:rPr>
            <w:t>10</w:t>
          </w:r>
          <w:r>
            <w:rPr>
              <w:rFonts w:hint="eastAsia" w:ascii="宋体" w:hAnsi="宋体" w:eastAsia="宋体"/>
              <w:color w:val="auto"/>
              <w:sz w:val="24"/>
              <w:szCs w:val="24"/>
              <w:highlight w:val="none"/>
            </w:rPr>
            <w:t>天）内未予纠正，则履约保证金扣划才可实施</w:t>
          </w:r>
          <w:bookmarkStart w:id="13" w:name="_Hlk107908883"/>
          <w:r>
            <w:rPr>
              <w:rFonts w:hint="eastAsia" w:ascii="宋体" w:hAnsi="宋体" w:eastAsia="宋体"/>
              <w:color w:val="auto"/>
              <w:sz w:val="24"/>
              <w:szCs w:val="24"/>
              <w:highlight w:val="none"/>
            </w:rPr>
            <w:t>（因卖方违约买方单方解除合同而没收履约保证金的不受此限制）</w:t>
          </w:r>
          <w:bookmarkEnd w:id="13"/>
          <w:r>
            <w:rPr>
              <w:rFonts w:hint="eastAsia" w:ascii="宋体" w:hAnsi="宋体" w:eastAsia="宋体"/>
              <w:color w:val="auto"/>
              <w:sz w:val="24"/>
              <w:szCs w:val="24"/>
              <w:highlight w:val="none"/>
            </w:rPr>
            <w:t>。</w:t>
          </w:r>
        </w:sdtContent>
      </w:sdt>
    </w:p>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31"/>
          <w:placeholder>
            <w:docPart w:val="{95eb8938-9004-4d90-8cac-e17bb9d1613d}"/>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10.8</w:t>
          </w:r>
        </w:sdtContent>
      </w:sdt>
      <w:r>
        <w:rPr>
          <w:rFonts w:hint="eastAsia" w:ascii="宋体" w:hAnsi="宋体" w:eastAsia="宋体"/>
          <w:color w:val="auto"/>
          <w:sz w:val="24"/>
          <w:szCs w:val="24"/>
          <w:highlight w:val="none"/>
        </w:rPr>
        <w:t>卖方存在以下情形的，</w:t>
      </w:r>
      <w:r>
        <w:rPr>
          <w:rFonts w:ascii="宋体" w:hAnsi="宋体" w:eastAsia="宋体"/>
          <w:color w:val="auto"/>
          <w:sz w:val="24"/>
          <w:szCs w:val="24"/>
          <w:highlight w:val="none"/>
        </w:rPr>
        <w:t>买方有权</w:t>
      </w:r>
      <w:r>
        <w:rPr>
          <w:rFonts w:hint="eastAsia" w:ascii="宋体" w:hAnsi="宋体" w:eastAsia="宋体"/>
          <w:color w:val="auto"/>
          <w:sz w:val="24"/>
          <w:szCs w:val="24"/>
          <w:highlight w:val="none"/>
        </w:rPr>
        <w:t>立即单方通知卖方解除合同</w:t>
      </w:r>
      <w:r>
        <w:rPr>
          <w:rFonts w:ascii="宋体" w:hAnsi="宋体" w:eastAsia="宋体"/>
          <w:color w:val="auto"/>
          <w:sz w:val="24"/>
          <w:szCs w:val="24"/>
          <w:highlight w:val="none"/>
        </w:rPr>
        <w:t>并</w:t>
      </w:r>
      <w:r>
        <w:rPr>
          <w:rFonts w:hint="eastAsia" w:ascii="宋体" w:hAnsi="宋体" w:eastAsia="宋体"/>
          <w:color w:val="auto"/>
          <w:sz w:val="24"/>
          <w:szCs w:val="24"/>
          <w:highlight w:val="none"/>
        </w:rPr>
        <w:t>没收</w:t>
      </w:r>
      <w:r>
        <w:rPr>
          <w:rFonts w:ascii="宋体" w:hAnsi="宋体" w:eastAsia="宋体"/>
          <w:color w:val="auto"/>
          <w:sz w:val="24"/>
          <w:szCs w:val="24"/>
          <w:highlight w:val="none"/>
        </w:rPr>
        <w:t>卖方</w:t>
      </w:r>
      <w:r>
        <w:rPr>
          <w:rFonts w:hint="eastAsia" w:ascii="宋体" w:hAnsi="宋体" w:eastAsia="宋体"/>
          <w:color w:val="auto"/>
          <w:sz w:val="24"/>
          <w:szCs w:val="24"/>
          <w:highlight w:val="none"/>
        </w:rPr>
        <w:t>全部</w:t>
      </w:r>
      <w:r>
        <w:rPr>
          <w:rFonts w:ascii="宋体" w:hAnsi="宋体" w:eastAsia="宋体"/>
          <w:color w:val="auto"/>
          <w:sz w:val="24"/>
          <w:szCs w:val="24"/>
          <w:highlight w:val="none"/>
        </w:rPr>
        <w:t>履约保证金</w:t>
      </w:r>
      <w:r>
        <w:rPr>
          <w:rFonts w:hint="eastAsia" w:ascii="宋体" w:hAnsi="宋体" w:eastAsia="宋体"/>
          <w:color w:val="auto"/>
          <w:sz w:val="24"/>
          <w:szCs w:val="24"/>
          <w:highlight w:val="none"/>
        </w:rPr>
        <w:t>，</w:t>
      </w:r>
      <w:r>
        <w:rPr>
          <w:rFonts w:ascii="宋体" w:hAnsi="宋体" w:eastAsia="宋体"/>
          <w:color w:val="auto"/>
          <w:sz w:val="24"/>
          <w:szCs w:val="24"/>
          <w:highlight w:val="none"/>
        </w:rPr>
        <w:t>并在三年内拒绝卖方参与大宗政府招标采购项目</w:t>
      </w:r>
      <w:r>
        <w:rPr>
          <w:rFonts w:hint="eastAsia" w:ascii="宋体" w:hAnsi="宋体" w:eastAsia="宋体"/>
          <w:color w:val="auto"/>
          <w:sz w:val="24"/>
          <w:szCs w:val="24"/>
          <w:highlight w:val="none"/>
        </w:rPr>
        <w:t>的投标报价：</w:t>
      </w:r>
    </w:p>
    <w:p>
      <w:pPr>
        <w:adjustRightInd w:val="0"/>
        <w:snapToGrid w:val="0"/>
        <w:spacing w:line="360" w:lineRule="auto"/>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①违反法律法规、行业规范要求被有关部门查处的；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②提供假冒伪劣产品的；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③通过给回扣或变相给回扣的方式招揽业务的；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④因产品质量或服务问题被有效投诉达</w:t>
      </w:r>
      <w:sdt>
        <w:sdtPr>
          <w:rPr>
            <w:rFonts w:hint="eastAsia" w:ascii="宋体" w:hAnsi="宋体" w:eastAsia="宋体" w:cstheme="minorBidi"/>
            <w:color w:val="auto"/>
            <w:kern w:val="2"/>
            <w:sz w:val="24"/>
            <w:szCs w:val="24"/>
            <w:highlight w:val="none"/>
            <w:lang w:val="en-US" w:eastAsia="zh-CN" w:bidi="ar-SA"/>
          </w:rPr>
          <w:id w:val="147463666"/>
          <w:placeholder>
            <w:docPart w:val="{0dcf0447-c930-4b28-9349-fb997390fd9c}"/>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三</w:t>
          </w:r>
        </w:sdtContent>
      </w:sdt>
      <w:r>
        <w:rPr>
          <w:rFonts w:hint="eastAsia" w:ascii="宋体" w:hAnsi="宋体" w:eastAsia="宋体"/>
          <w:color w:val="auto"/>
          <w:sz w:val="24"/>
          <w:szCs w:val="24"/>
          <w:highlight w:val="none"/>
        </w:rPr>
        <w:t>次以上的；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⑤向有关部门、买方、最终使用方提供虚假信息或资料等情况的；</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⑥出现重大客户投诉事件（如政府采购管理部门督办事件、新闻媒体公开报道、采购业主书面发函投诉以及其他对买方产生严重负面影响的事件）；</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⑦报修率超过</w:t>
      </w:r>
      <w:sdt>
        <w:sdtPr>
          <w:rPr>
            <w:rFonts w:hint="eastAsia" w:ascii="宋体" w:hAnsi="宋体" w:eastAsia="宋体" w:cstheme="minorBidi"/>
            <w:color w:val="auto"/>
            <w:kern w:val="2"/>
            <w:sz w:val="24"/>
            <w:szCs w:val="24"/>
            <w:highlight w:val="none"/>
            <w:lang w:val="en-US" w:eastAsia="zh-CN" w:bidi="ar-SA"/>
          </w:rPr>
          <w:id w:val="147463771"/>
          <w:placeholder>
            <w:docPart w:val="{a26b095d-c77f-49fa-8197-9a1622b519d4}"/>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3%</w:t>
          </w:r>
        </w:sdtContent>
      </w:sdt>
      <w:r>
        <w:rPr>
          <w:rFonts w:ascii="宋体" w:hAnsi="宋体" w:eastAsia="宋体"/>
          <w:color w:val="auto"/>
          <w:sz w:val="24"/>
          <w:szCs w:val="24"/>
          <w:highlight w:val="none"/>
        </w:rPr>
        <w:t>（按品类分别统计）。报修率=保修期内硬件故障报修有效台次/已销售台数*100%（已销售台数超过</w:t>
      </w:r>
      <w:sdt>
        <w:sdtPr>
          <w:rPr>
            <w:rFonts w:ascii="宋体" w:hAnsi="宋体" w:eastAsia="宋体" w:cstheme="minorBidi"/>
            <w:color w:val="auto"/>
            <w:kern w:val="2"/>
            <w:sz w:val="24"/>
            <w:szCs w:val="24"/>
            <w:highlight w:val="none"/>
            <w:lang w:val="en-US" w:eastAsia="zh-CN" w:bidi="ar-SA"/>
          </w:rPr>
          <w:id w:val="147463624"/>
          <w:placeholder>
            <w:docPart w:val="{7140d23b-f29f-4ebe-ba8e-8c4ded62f799}"/>
          </w:placeholder>
        </w:sdtPr>
        <w:sdtEndPr>
          <w:rPr>
            <w:rFonts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50</w:t>
          </w:r>
          <w:r>
            <w:rPr>
              <w:rFonts w:ascii="宋体" w:hAnsi="宋体" w:eastAsia="宋体"/>
              <w:color w:val="auto"/>
              <w:sz w:val="24"/>
              <w:szCs w:val="24"/>
              <w:highlight w:val="none"/>
            </w:rPr>
            <w:t>台</w:t>
          </w:r>
        </w:sdtContent>
      </w:sdt>
      <w:r>
        <w:rPr>
          <w:rFonts w:ascii="宋体" w:hAnsi="宋体" w:eastAsia="宋体"/>
          <w:color w:val="auto"/>
          <w:sz w:val="24"/>
          <w:szCs w:val="24"/>
          <w:highlight w:val="none"/>
        </w:rPr>
        <w:t>之后开始计算报修率）。</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⑧逾期供货时间超过</w:t>
      </w:r>
      <w:sdt>
        <w:sdtPr>
          <w:rPr>
            <w:rFonts w:hint="eastAsia" w:ascii="宋体" w:hAnsi="宋体" w:eastAsia="宋体" w:cstheme="minorBidi"/>
            <w:color w:val="auto"/>
            <w:kern w:val="2"/>
            <w:sz w:val="24"/>
            <w:szCs w:val="24"/>
            <w:highlight w:val="none"/>
            <w:lang w:val="en-US" w:eastAsia="zh-CN" w:bidi="ar-SA"/>
          </w:rPr>
          <w:id w:val="147463748"/>
          <w:placeholder>
            <w:docPart w:val="{74ebafa9-ff2c-4d76-98a5-68a38f5f1073}"/>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30</w:t>
          </w:r>
        </w:sdtContent>
      </w:sdt>
      <w:r>
        <w:rPr>
          <w:rFonts w:ascii="宋体" w:hAnsi="宋体" w:eastAsia="宋体"/>
          <w:color w:val="auto"/>
          <w:sz w:val="24"/>
          <w:szCs w:val="24"/>
          <w:highlight w:val="none"/>
        </w:rPr>
        <w:t>天</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rPr>
        <w:t>包括产品送到买方仓库或最终用户指定地点的逾期和完成产品安装调试的逾期）</w:t>
      </w:r>
      <w:r>
        <w:rPr>
          <w:rFonts w:ascii="宋体" w:hAnsi="宋体" w:eastAsia="宋体"/>
          <w:color w:val="auto"/>
          <w:sz w:val="24"/>
          <w:szCs w:val="24"/>
          <w:highlight w:val="none"/>
        </w:rPr>
        <w:t>。</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⑨产品入库检测、检验时发现大面积（同批次全部产品或不同批次同型号产品</w:t>
      </w:r>
      <w:sdt>
        <w:sdtPr>
          <w:rPr>
            <w:rFonts w:hint="eastAsia" w:ascii="宋体" w:hAnsi="宋体" w:eastAsia="宋体" w:cstheme="minorBidi"/>
            <w:color w:val="auto"/>
            <w:kern w:val="2"/>
            <w:sz w:val="24"/>
            <w:szCs w:val="24"/>
            <w:highlight w:val="none"/>
            <w:lang w:val="en-US" w:eastAsia="zh-CN" w:bidi="ar-SA"/>
          </w:rPr>
          <w:id w:val="147463585"/>
          <w:placeholder>
            <w:docPart w:val="{685ebf4d-99a1-4c7e-83e7-4625a66c3350}"/>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u w:val="single"/>
            </w:rPr>
            <w:t>3</w:t>
          </w:r>
          <w:r>
            <w:rPr>
              <w:rFonts w:hint="eastAsia" w:ascii="宋体" w:hAnsi="宋体" w:eastAsia="宋体"/>
              <w:color w:val="auto"/>
              <w:sz w:val="24"/>
              <w:szCs w:val="24"/>
              <w:highlight w:val="none"/>
            </w:rPr>
            <w:t>%</w:t>
          </w:r>
        </w:sdtContent>
      </w:sdt>
      <w:r>
        <w:rPr>
          <w:rFonts w:hint="eastAsia" w:ascii="宋体" w:hAnsi="宋体" w:eastAsia="宋体"/>
          <w:color w:val="auto"/>
          <w:sz w:val="24"/>
          <w:szCs w:val="24"/>
          <w:highlight w:val="none"/>
        </w:rPr>
        <w:t>及以上）产品质量问题。</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⑩</w:t>
      </w:r>
      <w:r>
        <w:rPr>
          <w:rFonts w:hint="eastAsia" w:ascii="宋体" w:hAnsi="宋体" w:eastAsia="宋体"/>
          <w:color w:val="auto"/>
          <w:sz w:val="24"/>
          <w:szCs w:val="24"/>
          <w:highlight w:val="none"/>
        </w:rPr>
        <w:t>提供虚假材料谋取中标、成交</w:t>
      </w:r>
      <w:r>
        <w:rPr>
          <w:rFonts w:hint="eastAsia" w:ascii="宋体" w:hAnsi="宋体" w:eastAsia="宋体"/>
          <w:color w:val="auto"/>
          <w:sz w:val="24"/>
          <w:szCs w:val="24"/>
          <w:highlight w:val="none"/>
          <w:lang w:eastAsia="zh-CN"/>
        </w:rPr>
        <w:t>的。</w:t>
      </w:r>
    </w:p>
    <w:p>
      <w:pPr>
        <w:adjustRightInd w:val="0"/>
        <w:snapToGrid w:val="0"/>
        <w:spacing w:line="360" w:lineRule="auto"/>
        <w:ind w:firstLine="480" w:firstLineChars="200"/>
        <w:rPr>
          <w:rFonts w:ascii="宋体" w:hAnsi="宋体" w:eastAsia="宋体"/>
          <w:color w:val="auto"/>
          <w:sz w:val="24"/>
          <w:szCs w:val="24"/>
          <w:highlight w:val="none"/>
        </w:rPr>
      </w:pPr>
      <w:sdt>
        <w:sdtPr>
          <w:rPr>
            <w:rFonts w:ascii="宋体" w:hAnsi="宋体" w:eastAsia="宋体" w:cstheme="minorBidi"/>
            <w:color w:val="auto"/>
            <w:kern w:val="2"/>
            <w:sz w:val="24"/>
            <w:szCs w:val="24"/>
            <w:highlight w:val="none"/>
            <w:lang w:val="en-US" w:eastAsia="zh-CN" w:bidi="ar-SA"/>
          </w:rPr>
          <w:id w:val="147465214"/>
          <w:placeholder>
            <w:docPart w:val="{0fef7263-5997-4500-9bf2-3ca1e5bbbc3e}"/>
          </w:placeholder>
        </w:sdtPr>
        <w:sdtEndPr>
          <w:rPr>
            <w:rFonts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w:t>
          </w:r>
          <w:r>
            <w:rPr>
              <w:rFonts w:ascii="宋体" w:hAnsi="宋体" w:eastAsia="宋体"/>
              <w:color w:val="auto"/>
              <w:sz w:val="24"/>
              <w:szCs w:val="24"/>
              <w:highlight w:val="none"/>
            </w:rPr>
            <w:t>9</w:t>
          </w:r>
        </w:sdtContent>
      </w:sdt>
      <w:r>
        <w:rPr>
          <w:rFonts w:hint="eastAsia" w:ascii="宋体" w:hAnsi="宋体" w:eastAsia="宋体"/>
          <w:color w:val="auto"/>
          <w:sz w:val="24"/>
          <w:szCs w:val="24"/>
          <w:highlight w:val="none"/>
        </w:rPr>
        <w:t>卖方承诺配合参与买方举办的壹年两次的政府大宗产品推介会，并且免费提供相应的合同机型作为样机展示，否则视为违约，卖方应按对应合同机型的单价向买方支付违约金，若卖方未向买方支付，则买方有权直接从履约保证金款项中直接给予扣除。</w:t>
      </w:r>
    </w:p>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sdt>
        <w:sdtPr>
          <w:rPr>
            <w:rFonts w:ascii="宋体" w:hAnsi="宋体" w:eastAsia="宋体" w:cstheme="minorBidi"/>
            <w:color w:val="auto"/>
            <w:kern w:val="2"/>
            <w:sz w:val="24"/>
            <w:szCs w:val="24"/>
            <w:highlight w:val="none"/>
            <w:lang w:val="en-US" w:eastAsia="zh-CN" w:bidi="ar-SA"/>
          </w:rPr>
          <w:id w:val="147463327"/>
          <w:placeholder>
            <w:docPart w:val="{5b67ccc1-12e8-4b44-9523-e9e4863132e6}"/>
          </w:placeholder>
        </w:sdtPr>
        <w:sdtEndPr>
          <w:rPr>
            <w:rFonts w:hint="eastAsia" w:ascii="宋体" w:hAnsi="宋体" w:eastAsia="宋体" w:cstheme="minorBidi"/>
            <w:color w:val="auto"/>
            <w:kern w:val="2"/>
            <w:sz w:val="24"/>
            <w:szCs w:val="24"/>
            <w:highlight w:val="none"/>
            <w:lang w:val="en-US" w:eastAsia="zh-CN" w:bidi="ar-SA"/>
          </w:rPr>
        </w:sdtEndPr>
        <w:sdtContent>
          <w:r>
            <w:rPr>
              <w:rFonts w:ascii="宋体" w:hAnsi="宋体" w:eastAsia="宋体"/>
              <w:color w:val="auto"/>
              <w:sz w:val="24"/>
              <w:szCs w:val="24"/>
              <w:highlight w:val="none"/>
            </w:rPr>
            <w:t>10</w:t>
          </w:r>
          <w:r>
            <w:rPr>
              <w:rFonts w:hint="eastAsia" w:ascii="宋体" w:hAnsi="宋体" w:eastAsia="宋体"/>
              <w:color w:val="auto"/>
              <w:sz w:val="24"/>
              <w:szCs w:val="24"/>
              <w:highlight w:val="none"/>
            </w:rPr>
            <w:t>.</w:t>
          </w:r>
          <w:r>
            <w:rPr>
              <w:rFonts w:ascii="宋体" w:hAnsi="宋体" w:eastAsia="宋体"/>
              <w:color w:val="auto"/>
              <w:sz w:val="24"/>
              <w:szCs w:val="24"/>
              <w:highlight w:val="none"/>
            </w:rPr>
            <w:t>10</w:t>
          </w:r>
          <w:bookmarkStart w:id="14" w:name="_Hlk107909184"/>
          <w:bookmarkStart w:id="15" w:name="_Hlk107909774"/>
          <w:r>
            <w:rPr>
              <w:rFonts w:hint="eastAsia" w:ascii="宋体" w:hAnsi="宋体" w:eastAsia="宋体"/>
              <w:color w:val="auto"/>
              <w:sz w:val="24"/>
              <w:szCs w:val="24"/>
              <w:highlight w:val="none"/>
            </w:rPr>
            <w:t>若有两家或以上的多家公司共同为本合同的卖方</w:t>
          </w:r>
          <w:bookmarkEnd w:id="14"/>
          <w:r>
            <w:rPr>
              <w:rFonts w:hint="eastAsia" w:ascii="宋体" w:hAnsi="宋体" w:eastAsia="宋体"/>
              <w:color w:val="auto"/>
              <w:sz w:val="24"/>
              <w:szCs w:val="24"/>
              <w:highlight w:val="none"/>
            </w:rPr>
            <w:t>，</w:t>
          </w:r>
          <w:bookmarkEnd w:id="15"/>
          <w:r>
            <w:rPr>
              <w:rFonts w:hint="eastAsia" w:ascii="宋体" w:hAnsi="宋体" w:eastAsia="宋体"/>
              <w:color w:val="auto"/>
              <w:sz w:val="24"/>
              <w:szCs w:val="24"/>
              <w:highlight w:val="none"/>
            </w:rPr>
            <w:t>买方有权向卖方中的任何一家或</w:t>
          </w:r>
          <w:bookmarkStart w:id="16" w:name="_Hlk107909793"/>
          <w:bookmarkStart w:id="17" w:name="_Hlk107909261"/>
          <w:r>
            <w:rPr>
              <w:rFonts w:hint="eastAsia" w:ascii="宋体" w:hAnsi="宋体" w:eastAsia="宋体"/>
              <w:color w:val="auto"/>
              <w:sz w:val="24"/>
              <w:szCs w:val="24"/>
              <w:highlight w:val="none"/>
            </w:rPr>
            <w:t>同时向</w:t>
          </w:r>
          <w:bookmarkEnd w:id="16"/>
          <w:r>
            <w:rPr>
              <w:rFonts w:hint="eastAsia" w:ascii="宋体" w:hAnsi="宋体" w:eastAsia="宋体"/>
              <w:color w:val="auto"/>
              <w:sz w:val="24"/>
              <w:szCs w:val="24"/>
              <w:highlight w:val="none"/>
            </w:rPr>
            <w:t>多家</w:t>
          </w:r>
          <w:bookmarkEnd w:id="17"/>
          <w:r>
            <w:rPr>
              <w:rFonts w:hint="eastAsia" w:ascii="宋体" w:hAnsi="宋体" w:eastAsia="宋体"/>
              <w:color w:val="auto"/>
              <w:sz w:val="24"/>
              <w:szCs w:val="24"/>
              <w:highlight w:val="none"/>
            </w:rPr>
            <w:t>就合同的履行提出索赔或要求其履行义务、责任、债务等，所有卖方共同承担合同的义务，且所有卖方就合同的履行承担连带责任。</w:t>
          </w:r>
        </w:sdtContent>
      </w:sdt>
      <w:sdt>
        <w:sdtPr>
          <w:rPr>
            <w:rFonts w:hint="eastAsia" w:ascii="宋体" w:hAnsi="宋体" w:eastAsia="宋体" w:cstheme="minorBidi"/>
            <w:color w:val="auto"/>
            <w:kern w:val="2"/>
            <w:sz w:val="24"/>
            <w:szCs w:val="24"/>
            <w:highlight w:val="none"/>
            <w:lang w:val="en-US" w:eastAsia="zh-CN" w:bidi="ar-SA"/>
          </w:rPr>
          <w:id w:val="147464666"/>
          <w:placeholder>
            <w:docPart w:val="{7795c971-aebe-466e-b4de-5d3272f428ec}"/>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stheme="minorBidi"/>
              <w:color w:val="auto"/>
              <w:kern w:val="2"/>
              <w:sz w:val="24"/>
              <w:szCs w:val="24"/>
              <w:highlight w:val="none"/>
              <w:lang w:val="en-US" w:eastAsia="zh-CN" w:bidi="ar-SA"/>
            </w:rPr>
            <w:t xml:space="preserve">              </w:t>
          </w:r>
        </w:sdtContent>
      </w:sdt>
    </w:p>
    <w:sdt>
      <w:sdtPr>
        <w:rPr>
          <w:rFonts w:hint="eastAsia" w:ascii="宋体" w:hAnsi="宋体" w:eastAsia="宋体" w:cstheme="minorBidi"/>
          <w:color w:val="auto"/>
          <w:kern w:val="2"/>
          <w:sz w:val="24"/>
          <w:szCs w:val="24"/>
          <w:highlight w:val="none"/>
          <w:lang w:val="en-US" w:eastAsia="zh-CN" w:bidi="ar-SA"/>
        </w:rPr>
        <w:id w:val="147464659"/>
        <w:placeholder>
          <w:docPart w:val="{4e615821-58ff-41b8-950e-5f35f3357bb1}"/>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10.11因卖方产品给买方造成的客诉，卖方在接到买方通知后3个日历日内无法解决客诉，买方有权自行解决客诉，并直接于卖方的履约保证金中扣除解决客诉所产生的费用。</w:t>
          </w:r>
        </w:p>
        <w:p>
          <w:pPr>
            <w:adjustRightInd w:val="0"/>
            <w:snapToGrid w:val="0"/>
            <w:spacing w:line="360" w:lineRule="auto"/>
            <w:ind w:firstLine="480" w:firstLineChars="200"/>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
            </w:rPr>
            <w:t>10.12卖方不按采购合同履行的，买方单位有权与排位在卖方之后第一位的中标候选供应商签订采购合同，以此类推。</w:t>
          </w:r>
        </w:p>
      </w:sdtContent>
    </w:sdt>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1</w:t>
      </w:r>
      <w:r>
        <w:rPr>
          <w:rFonts w:hint="eastAsia" w:ascii="宋体" w:hAnsi="宋体" w:eastAsia="宋体"/>
          <w:b/>
          <w:bCs/>
          <w:color w:val="auto"/>
          <w:sz w:val="24"/>
          <w:szCs w:val="24"/>
          <w:highlight w:val="none"/>
        </w:rPr>
        <w:t>、不可抗力</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.2本合同中的不可抗力指不能预见、不能避免并不能克服的客观情况。包括但不限于：自然灾害如地震、台风、洪水、火灾；政府行为、法律规定或其适用的变化或者其他任何无法预见、避免或者控制的事件。</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.3当事人一方因不可抗力的原因不能履行合同的，应及时通知对方，以减轻可能给对方造成的损失，并应当在合理期限内提供证明。</w:t>
      </w:r>
    </w:p>
    <w:sdt>
      <w:sdtPr>
        <w:rPr>
          <w:rFonts w:hint="eastAsia" w:ascii="宋体" w:hAnsi="宋体" w:eastAsia="宋体" w:cstheme="minorBidi"/>
          <w:color w:val="auto"/>
          <w:kern w:val="2"/>
          <w:sz w:val="24"/>
          <w:szCs w:val="24"/>
          <w:highlight w:val="none"/>
          <w:lang w:val="en-US" w:eastAsia="zh-CN" w:bidi="ar-SA"/>
        </w:rPr>
        <w:id w:val="147460348"/>
        <w:placeholder>
          <w:docPart w:val="{28fa3167-6709-4691-b2df-c26420b68e02}"/>
        </w:placeholder>
        <w:showingPlcHd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color w:val="auto"/>
              <w:highlight w:val="none"/>
            </w:rPr>
            <w:t>单击此处输入文字。</w:t>
          </w:r>
        </w:p>
      </w:sdtContent>
    </w:sdt>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2</w:t>
      </w:r>
      <w:r>
        <w:rPr>
          <w:rFonts w:hint="eastAsia" w:ascii="宋体" w:hAnsi="宋体" w:eastAsia="宋体"/>
          <w:b/>
          <w:bCs/>
          <w:color w:val="auto"/>
          <w:sz w:val="24"/>
          <w:szCs w:val="24"/>
          <w:highlight w:val="none"/>
        </w:rPr>
        <w:t>、通知</w:t>
      </w:r>
    </w:p>
    <w:p>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双方同意凡与本合同有关的通知及文件资料的送达，可以采用直接送达、或以EMS快递或电子邮件发送至本合同签字页载明的联系地址或电子信箱，双方指定联系人及联系方式与2</w:t>
      </w:r>
      <w:r>
        <w:rPr>
          <w:rFonts w:ascii="宋体" w:hAnsi="宋体" w:eastAsia="宋体"/>
          <w:color w:val="auto"/>
          <w:sz w:val="24"/>
          <w:szCs w:val="24"/>
          <w:highlight w:val="none"/>
        </w:rPr>
        <w:t>.1.3</w:t>
      </w:r>
      <w:r>
        <w:rPr>
          <w:rFonts w:hint="eastAsia" w:ascii="宋体" w:hAnsi="宋体" w:eastAsia="宋体"/>
          <w:color w:val="auto"/>
          <w:sz w:val="24"/>
          <w:szCs w:val="24"/>
          <w:highlight w:val="none"/>
        </w:rPr>
        <w:t>条所列一致。直接送达的以签收之日为送达日，以EMS快递通知的，以发往本合同签字页载明的联系地址之日视为送达，不论是否签收；以电子邮件通知的，以发生时间为送达时间。如同时采取多种方式发送通知的，以通知最先到达之日为送达日。电子邮箱、通讯地址、联系人等信息发生变更的，变更方应在变更前三天以书面形式告知对方；未告知的，视为未变更，由此导致通知及文件资料等不能送达或不能及时送达的后果由变更方自行承担。</w:t>
      </w:r>
    </w:p>
    <w:p>
      <w:pPr>
        <w:adjustRightInd w:val="0"/>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双方指定的送达地址适用于合同履行、非诉方式争议解决、诉讼（含一审、二审、再审）及执行等程序。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上述送达具备《中华人民共和国民事诉讼法》规定送达效力，各方放弃提出异议、抗辩未依法送达的权利，产生的后果由各方自行承担。</w:t>
      </w:r>
    </w:p>
    <w:p>
      <w:pPr>
        <w:adjustRightInd w:val="0"/>
        <w:snapToGrid w:val="0"/>
        <w:spacing w:line="360" w:lineRule="auto"/>
        <w:rPr>
          <w:rFonts w:ascii="宋体" w:hAnsi="宋体" w:eastAsia="宋体"/>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3</w:t>
      </w:r>
      <w:r>
        <w:rPr>
          <w:rFonts w:hint="eastAsia" w:ascii="宋体" w:hAnsi="宋体" w:eastAsia="宋体"/>
          <w:b/>
          <w:bCs/>
          <w:color w:val="auto"/>
          <w:sz w:val="24"/>
          <w:szCs w:val="24"/>
          <w:highlight w:val="none"/>
        </w:rPr>
        <w:t>、合同纠纷处理方式</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因本合同或与本合同有关的一切事项发生争议，由双方友好协商解决。协商不成的，任何一方均可向买方所在地人民法院提起诉讼。</w:t>
      </w:r>
    </w:p>
    <w:p>
      <w:pPr>
        <w:adjustRightInd w:val="0"/>
        <w:snapToGrid w:val="0"/>
        <w:spacing w:line="360" w:lineRule="auto"/>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1</w:t>
      </w:r>
      <w:r>
        <w:rPr>
          <w:rFonts w:hint="eastAsia" w:ascii="宋体" w:hAnsi="宋体" w:eastAsia="宋体"/>
          <w:b/>
          <w:bCs/>
          <w:color w:val="auto"/>
          <w:sz w:val="24"/>
          <w:szCs w:val="24"/>
          <w:highlight w:val="none"/>
          <w:lang w:val="en-US" w:eastAsia="zh-CN"/>
        </w:rPr>
        <w:t>4</w:t>
      </w:r>
      <w:r>
        <w:rPr>
          <w:rFonts w:hint="eastAsia" w:ascii="宋体" w:hAnsi="宋体" w:eastAsia="宋体"/>
          <w:b/>
          <w:bCs/>
          <w:color w:val="auto"/>
          <w:sz w:val="24"/>
          <w:szCs w:val="24"/>
          <w:highlight w:val="none"/>
        </w:rPr>
        <w:t>、其他约定</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.1本采购项目的</w:t>
      </w:r>
      <w:sdt>
        <w:sdtPr>
          <w:rPr>
            <w:rFonts w:hint="eastAsia" w:ascii="宋体" w:hAnsi="宋体" w:eastAsia="宋体" w:cstheme="minorBidi"/>
            <w:color w:val="auto"/>
            <w:kern w:val="2"/>
            <w:sz w:val="24"/>
            <w:szCs w:val="24"/>
            <w:highlight w:val="none"/>
            <w:lang w:val="en-US" w:eastAsia="zh-CN" w:bidi="ar-SA"/>
          </w:rPr>
          <w:id w:val="147462549"/>
          <w:placeholder>
            <w:docPart w:val="{e29a7cba-37c4-496e-8c32-55ec52376136}"/>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谈判文件、卖方的投标文件、相关的澄清确认函（如果有的话）以及附件1《技术参数》、附件2《服务考核细则》、附件3《</w:t>
          </w:r>
          <w:r>
            <w:rPr>
              <w:rFonts w:hint="eastAsia" w:ascii="宋体" w:hAnsi="宋体" w:eastAsia="宋体" w:cs="宋体"/>
              <w:color w:val="auto"/>
              <w:sz w:val="24"/>
              <w:szCs w:val="24"/>
              <w:highlight w:val="none"/>
            </w:rPr>
            <w:t>安装费用收费标准</w:t>
          </w:r>
          <w:r>
            <w:rPr>
              <w:rFonts w:hint="eastAsia" w:ascii="宋体" w:hAnsi="宋体" w:eastAsia="宋体"/>
              <w:color w:val="auto"/>
              <w:sz w:val="24"/>
              <w:szCs w:val="24"/>
              <w:highlight w:val="none"/>
            </w:rPr>
            <w:t>》</w:t>
          </w:r>
        </w:sdtContent>
      </w:sdt>
      <w:r>
        <w:rPr>
          <w:rFonts w:hint="eastAsia" w:ascii="宋体" w:hAnsi="宋体" w:eastAsia="宋体"/>
          <w:color w:val="auto"/>
          <w:sz w:val="24"/>
          <w:szCs w:val="24"/>
          <w:highlight w:val="none"/>
        </w:rPr>
        <w:t>及其他附件均为本合同不可分割的一部分，该等文件与本合同正文约定不一致的，以对买方更有利的约定为准。</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.2本合同未尽事宜，双方另行补充。</w:t>
      </w:r>
    </w:p>
    <w:p>
      <w:pPr>
        <w:adjustRightInd w:val="0"/>
        <w:snapToGrid w:val="0"/>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.3本合同一式</w:t>
      </w:r>
      <w:sdt>
        <w:sdtPr>
          <w:rPr>
            <w:rFonts w:hint="eastAsia" w:ascii="宋体" w:hAnsi="宋体" w:eastAsia="宋体" w:cstheme="minorBidi"/>
            <w:color w:val="auto"/>
            <w:kern w:val="2"/>
            <w:sz w:val="24"/>
            <w:szCs w:val="24"/>
            <w:highlight w:val="none"/>
            <w:lang w:val="en-US" w:eastAsia="zh-CN" w:bidi="ar-SA"/>
          </w:rPr>
          <w:id w:val="147462468"/>
          <w:placeholder>
            <w:docPart w:val="{c901796c-43ca-45a1-af23-6aeac2b4486b}"/>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伍</w:t>
          </w:r>
        </w:sdtContent>
      </w:sdt>
      <w:r>
        <w:rPr>
          <w:rFonts w:hint="eastAsia" w:ascii="宋体" w:hAnsi="宋体" w:eastAsia="宋体"/>
          <w:color w:val="auto"/>
          <w:sz w:val="24"/>
          <w:szCs w:val="24"/>
          <w:highlight w:val="none"/>
        </w:rPr>
        <w:t>份，经双方签订之日起生效。买方、卖方各执</w:t>
      </w:r>
      <w:sdt>
        <w:sdtPr>
          <w:rPr>
            <w:rFonts w:hint="eastAsia" w:ascii="宋体" w:hAnsi="宋体" w:eastAsia="宋体" w:cstheme="minorBidi"/>
            <w:color w:val="auto"/>
            <w:kern w:val="2"/>
            <w:sz w:val="24"/>
            <w:szCs w:val="24"/>
            <w:highlight w:val="none"/>
            <w:lang w:val="en-US" w:eastAsia="zh-CN" w:bidi="ar-SA"/>
          </w:rPr>
          <w:id w:val="147460394"/>
          <w:placeholder>
            <w:docPart w:val="{05993388-c9f7-478b-ba54-fc4bcc9e5bbd}"/>
          </w:placeholder>
        </w:sdtPr>
        <w:sdtEndPr>
          <w:rPr>
            <w:rFonts w:hint="eastAsia" w:ascii="宋体" w:hAnsi="宋体" w:eastAsia="宋体" w:cstheme="minorBidi"/>
            <w:color w:val="auto"/>
            <w:kern w:val="2"/>
            <w:sz w:val="24"/>
            <w:szCs w:val="24"/>
            <w:highlight w:val="none"/>
            <w:lang w:val="en-US" w:eastAsia="zh-CN" w:bidi="ar-SA"/>
          </w:rPr>
        </w:sdtEndPr>
        <w:sdtContent>
          <w:r>
            <w:rPr>
              <w:rFonts w:hint="eastAsia" w:ascii="宋体" w:hAnsi="宋体" w:eastAsia="宋体"/>
              <w:color w:val="auto"/>
              <w:sz w:val="24"/>
              <w:szCs w:val="24"/>
              <w:highlight w:val="none"/>
            </w:rPr>
            <w:t>贰</w:t>
          </w:r>
        </w:sdtContent>
      </w:sdt>
      <w:r>
        <w:rPr>
          <w:rFonts w:hint="eastAsia" w:ascii="宋体" w:hAnsi="宋体" w:eastAsia="宋体"/>
          <w:color w:val="auto"/>
          <w:sz w:val="24"/>
          <w:szCs w:val="24"/>
          <w:highlight w:val="none"/>
        </w:rPr>
        <w:t>份，送厦门市财政局政府采购监管处备案一份，具有同等效力。</w:t>
      </w:r>
    </w:p>
    <w:p>
      <w:pPr>
        <w:adjustRightInd w:val="0"/>
        <w:snapToGrid w:val="0"/>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.4本合同期满后，本合同中有关质量保证、售后服务、知识产权及违约责任等条款继续保持有效。</w:t>
      </w:r>
    </w:p>
    <w:sdt>
      <w:sdtPr>
        <w:rPr>
          <w:rFonts w:hint="eastAsia" w:ascii="宋体" w:hAnsi="宋体" w:eastAsia="宋体" w:cstheme="minorBidi"/>
          <w:color w:val="auto"/>
          <w:kern w:val="2"/>
          <w:sz w:val="24"/>
          <w:szCs w:val="24"/>
          <w:highlight w:val="none"/>
          <w:lang w:val="en-US" w:eastAsia="zh-CN" w:bidi="ar-SA"/>
        </w:rPr>
        <w:id w:val="147460316"/>
        <w:placeholder>
          <w:docPart w:val="{136cfb02-f444-4423-a925-806106adc9a0}"/>
        </w:placeholder>
      </w:sdtPr>
      <w:sdtEndPr>
        <w:rPr>
          <w:rFonts w:hint="eastAsia" w:ascii="宋体" w:hAnsi="宋体" w:eastAsia="宋体" w:cstheme="minorBidi"/>
          <w:color w:val="auto"/>
          <w:kern w:val="2"/>
          <w:sz w:val="24"/>
          <w:szCs w:val="24"/>
          <w:highlight w:val="none"/>
          <w:lang w:val="en-US" w:eastAsia="zh-CN" w:bidi="ar-SA"/>
        </w:rPr>
      </w:sdtEndPr>
      <w:sdtContent>
        <w:p>
          <w:pPr>
            <w:adjustRightInd w:val="0"/>
            <w:snapToGrid w:val="0"/>
            <w:spacing w:line="360" w:lineRule="auto"/>
            <w:ind w:firstLine="480" w:firstLineChars="200"/>
            <w:rPr>
              <w:rFonts w:hint="eastAsia" w:ascii="宋体" w:hAnsi="宋体" w:eastAsia="宋体"/>
              <w:color w:val="auto"/>
              <w:sz w:val="24"/>
              <w:szCs w:val="24"/>
              <w:highlight w:val="none"/>
            </w:rPr>
          </w:pPr>
          <w:r>
            <w:rPr>
              <w:rFonts w:hint="default" w:ascii="宋体" w:hAnsi="宋体" w:cstheme="minorBidi"/>
              <w:color w:val="auto"/>
              <w:kern w:val="2"/>
              <w:sz w:val="24"/>
              <w:szCs w:val="24"/>
              <w:highlight w:val="none"/>
              <w:lang w:eastAsia="zh-CN" w:bidi="ar-SA"/>
            </w:rPr>
            <w:t xml:space="preserve"> </w:t>
          </w:r>
        </w:p>
      </w:sdtContent>
    </w:sdt>
    <w:p>
      <w:pPr>
        <w:spacing w:line="360" w:lineRule="auto"/>
        <w:ind w:firstLine="480" w:firstLineChars="200"/>
        <w:rPr>
          <w:rFonts w:ascii="宋体" w:hAnsi="宋体" w:eastAsia="宋体"/>
          <w:color w:val="auto"/>
          <w:sz w:val="24"/>
          <w:szCs w:val="24"/>
          <w:highlight w:val="none"/>
        </w:rPr>
      </w:pPr>
    </w:p>
    <w:tbl>
      <w:tblPr>
        <w:tblStyle w:val="14"/>
        <w:tblW w:w="9348" w:type="dxa"/>
        <w:jc w:val="center"/>
        <w:tblLayout w:type="fixed"/>
        <w:tblCellMar>
          <w:top w:w="0" w:type="dxa"/>
          <w:left w:w="108" w:type="dxa"/>
          <w:bottom w:w="0" w:type="dxa"/>
          <w:right w:w="108" w:type="dxa"/>
        </w:tblCellMar>
      </w:tblPr>
      <w:tblGrid>
        <w:gridCol w:w="1442"/>
        <w:gridCol w:w="3121"/>
        <w:gridCol w:w="1486"/>
        <w:gridCol w:w="3299"/>
      </w:tblGrid>
      <w:tr>
        <w:tblPrEx>
          <w:tblCellMar>
            <w:top w:w="0" w:type="dxa"/>
            <w:left w:w="108" w:type="dxa"/>
            <w:bottom w:w="0" w:type="dxa"/>
            <w:right w:w="108" w:type="dxa"/>
          </w:tblCellMar>
        </w:tblPrEx>
        <w:trPr>
          <w:trHeight w:val="438"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买   方</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18" w:name="jf1"/>
            <w:bookmarkEnd w:id="18"/>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卖   方</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19" w:name="yf2"/>
            <w:bookmarkEnd w:id="19"/>
          </w:p>
        </w:tc>
      </w:tr>
      <w:tr>
        <w:tblPrEx>
          <w:tblCellMar>
            <w:top w:w="0" w:type="dxa"/>
            <w:left w:w="108" w:type="dxa"/>
            <w:bottom w:w="0" w:type="dxa"/>
            <w:right w:w="108" w:type="dxa"/>
          </w:tblCellMar>
        </w:tblPrEx>
        <w:trPr>
          <w:trHeight w:val="585"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单位地址</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0" w:name="jfzcdz"/>
            <w:bookmarkEnd w:id="20"/>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单位地址</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1" w:name="yfzcdz"/>
            <w:bookmarkEnd w:id="21"/>
          </w:p>
        </w:tc>
      </w:tr>
      <w:tr>
        <w:tblPrEx>
          <w:tblCellMar>
            <w:top w:w="0" w:type="dxa"/>
            <w:left w:w="108" w:type="dxa"/>
            <w:bottom w:w="0" w:type="dxa"/>
            <w:right w:w="108" w:type="dxa"/>
          </w:tblCellMar>
        </w:tblPrEx>
        <w:trPr>
          <w:trHeight w:val="499"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2" w:name="jffddbr"/>
            <w:bookmarkEnd w:id="22"/>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3" w:name="yffddbr"/>
            <w:bookmarkEnd w:id="23"/>
          </w:p>
        </w:tc>
      </w:tr>
      <w:tr>
        <w:tblPrEx>
          <w:tblCellMar>
            <w:top w:w="0" w:type="dxa"/>
            <w:left w:w="108" w:type="dxa"/>
            <w:bottom w:w="0" w:type="dxa"/>
            <w:right w:w="108" w:type="dxa"/>
          </w:tblCellMar>
        </w:tblPrEx>
        <w:trPr>
          <w:trHeight w:val="542"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签字代表</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签字代表</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p>
        </w:tc>
      </w:tr>
      <w:tr>
        <w:tblPrEx>
          <w:tblCellMar>
            <w:top w:w="0" w:type="dxa"/>
            <w:left w:w="108" w:type="dxa"/>
            <w:bottom w:w="0" w:type="dxa"/>
            <w:right w:w="108" w:type="dxa"/>
          </w:tblCellMar>
        </w:tblPrEx>
        <w:trPr>
          <w:trHeight w:val="327"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电    话</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4" w:name="jflxdh"/>
            <w:bookmarkEnd w:id="24"/>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电   话</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5" w:name="yflxdh"/>
            <w:bookmarkEnd w:id="25"/>
          </w:p>
        </w:tc>
      </w:tr>
      <w:tr>
        <w:tblPrEx>
          <w:tblCellMar>
            <w:top w:w="0" w:type="dxa"/>
            <w:left w:w="108" w:type="dxa"/>
            <w:bottom w:w="0" w:type="dxa"/>
            <w:right w:w="108" w:type="dxa"/>
          </w:tblCellMar>
        </w:tblPrEx>
        <w:trPr>
          <w:trHeight w:val="746"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开户行</w:t>
            </w:r>
          </w:p>
        </w:tc>
        <w:tc>
          <w:tcPr>
            <w:tcW w:w="3121" w:type="dxa"/>
            <w:tcBorders>
              <w:top w:val="single" w:color="auto" w:sz="4" w:space="0"/>
              <w:left w:val="nil"/>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6" w:name="jfkhh"/>
            <w:bookmarkEnd w:id="26"/>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开户行</w:t>
            </w:r>
          </w:p>
        </w:tc>
        <w:tc>
          <w:tcPr>
            <w:tcW w:w="329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spacing w:before="0" w:beforeAutospacing="0" w:after="0" w:afterAutospacing="0" w:line="240" w:lineRule="atLeast"/>
              <w:ind w:left="0" w:right="0"/>
              <w:jc w:val="left"/>
              <w:rPr>
                <w:rFonts w:hint="default" w:ascii="宋体" w:hAnsi="宋体" w:eastAsia="宋体"/>
                <w:color w:val="auto"/>
                <w:kern w:val="0"/>
                <w:sz w:val="24"/>
                <w:szCs w:val="18"/>
                <w:highlight w:val="none"/>
              </w:rPr>
            </w:pPr>
            <w:bookmarkStart w:id="27" w:name="yfkhh"/>
            <w:bookmarkEnd w:id="27"/>
          </w:p>
        </w:tc>
      </w:tr>
      <w:tr>
        <w:tblPrEx>
          <w:tblCellMar>
            <w:top w:w="0" w:type="dxa"/>
            <w:left w:w="108" w:type="dxa"/>
            <w:bottom w:w="0" w:type="dxa"/>
            <w:right w:w="108" w:type="dxa"/>
          </w:tblCellMar>
        </w:tblPrEx>
        <w:trPr>
          <w:trHeight w:val="336"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pacing w:val="20"/>
                <w:kern w:val="0"/>
                <w:sz w:val="24"/>
                <w:szCs w:val="24"/>
                <w:highlight w:val="none"/>
              </w:rPr>
              <w:t>账  号</w:t>
            </w:r>
          </w:p>
        </w:tc>
        <w:tc>
          <w:tcPr>
            <w:tcW w:w="3121"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spacing w:before="0" w:beforeAutospacing="0" w:after="0" w:afterAutospacing="0"/>
              <w:ind w:left="0" w:right="0"/>
              <w:rPr>
                <w:rFonts w:hint="default" w:ascii="宋体" w:hAnsi="宋体" w:eastAsia="宋体"/>
                <w:color w:val="auto"/>
                <w:kern w:val="0"/>
                <w:sz w:val="24"/>
                <w:highlight w:val="none"/>
              </w:rPr>
            </w:pPr>
            <w:bookmarkStart w:id="28" w:name="jfzh"/>
            <w:bookmarkEnd w:id="28"/>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pacing w:val="20"/>
                <w:kern w:val="0"/>
                <w:sz w:val="24"/>
                <w:szCs w:val="24"/>
                <w:highlight w:val="none"/>
              </w:rPr>
              <w:t>账  号</w:t>
            </w:r>
          </w:p>
        </w:tc>
        <w:tc>
          <w:tcPr>
            <w:tcW w:w="329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spacing w:before="0" w:beforeAutospacing="0" w:after="0" w:afterAutospacing="0" w:line="360" w:lineRule="auto"/>
              <w:ind w:left="0" w:right="0"/>
              <w:jc w:val="left"/>
              <w:rPr>
                <w:rFonts w:hint="default" w:ascii="宋体" w:hAnsi="宋体" w:eastAsia="宋体"/>
                <w:color w:val="auto"/>
                <w:kern w:val="0"/>
                <w:sz w:val="24"/>
                <w:szCs w:val="18"/>
                <w:highlight w:val="none"/>
              </w:rPr>
            </w:pPr>
            <w:bookmarkStart w:id="29" w:name="yfzh"/>
            <w:bookmarkEnd w:id="29"/>
          </w:p>
        </w:tc>
      </w:tr>
      <w:tr>
        <w:tblPrEx>
          <w:tblCellMar>
            <w:top w:w="0" w:type="dxa"/>
            <w:left w:w="108" w:type="dxa"/>
            <w:bottom w:w="0" w:type="dxa"/>
            <w:right w:w="108" w:type="dxa"/>
          </w:tblCellMar>
        </w:tblPrEx>
        <w:trPr>
          <w:trHeight w:val="465"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签订日期</w:t>
            </w:r>
          </w:p>
        </w:tc>
        <w:tc>
          <w:tcPr>
            <w:tcW w:w="3121"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c>
          <w:tcPr>
            <w:tcW w:w="1486"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签订日期</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415" w:hRule="atLeast"/>
          <w:jc w:val="center"/>
        </w:trPr>
        <w:tc>
          <w:tcPr>
            <w:tcW w:w="4563" w:type="dxa"/>
            <w:gridSpan w:val="2"/>
            <w:vMerge w:val="restart"/>
            <w:tcBorders>
              <w:top w:val="single" w:color="auto" w:sz="4" w:space="0"/>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卖   方</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52"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单位地址</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240" w:lineRule="atLeast"/>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法定代表人</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240" w:lineRule="atLeast"/>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签字代表</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电   话</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z w:val="24"/>
                <w:szCs w:val="24"/>
                <w:highlight w:val="none"/>
              </w:rPr>
              <w:t>开户行</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595"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b/>
                <w:bCs/>
                <w:color w:val="auto"/>
                <w:sz w:val="24"/>
                <w:szCs w:val="24"/>
                <w:highlight w:val="none"/>
              </w:rPr>
            </w:pPr>
            <w:r>
              <w:rPr>
                <w:rFonts w:hint="eastAsia" w:ascii="宋体" w:hAnsi="宋体" w:eastAsia="宋体"/>
                <w:b/>
                <w:bCs/>
                <w:color w:val="auto"/>
                <w:spacing w:val="20"/>
                <w:kern w:val="0"/>
                <w:sz w:val="24"/>
                <w:szCs w:val="24"/>
                <w:highlight w:val="none"/>
              </w:rPr>
              <w:t>账  号</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r>
        <w:tblPrEx>
          <w:tblCellMar>
            <w:top w:w="0" w:type="dxa"/>
            <w:left w:w="108" w:type="dxa"/>
            <w:bottom w:w="0" w:type="dxa"/>
            <w:right w:w="108" w:type="dxa"/>
          </w:tblCellMar>
        </w:tblPrEx>
        <w:trPr>
          <w:trHeight w:val="70" w:hRule="atLeast"/>
          <w:jc w:val="center"/>
        </w:trPr>
        <w:tc>
          <w:tcPr>
            <w:tcW w:w="4563" w:type="dxa"/>
            <w:gridSpan w:val="2"/>
            <w:vMerge w:val="continue"/>
            <w:tcBorders>
              <w:top w:val="nil"/>
              <w:left w:val="nil"/>
              <w:bottom w:val="nil"/>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jc w:val="center"/>
              <w:rPr>
                <w:rFonts w:hint="default" w:ascii="宋体" w:hAnsi="宋体" w:eastAsia="宋体"/>
                <w:color w:val="auto"/>
                <w:sz w:val="24"/>
                <w:szCs w:val="24"/>
                <w:highlight w:val="none"/>
              </w:rPr>
            </w:pPr>
            <w:r>
              <w:rPr>
                <w:rFonts w:hint="eastAsia" w:ascii="宋体" w:hAnsi="宋体" w:eastAsia="宋体"/>
                <w:b/>
                <w:bCs/>
                <w:color w:val="auto"/>
                <w:sz w:val="24"/>
                <w:szCs w:val="24"/>
                <w:highlight w:val="none"/>
              </w:rPr>
              <w:t>签订日期</w:t>
            </w:r>
          </w:p>
        </w:tc>
        <w:tc>
          <w:tcPr>
            <w:tcW w:w="3299" w:type="dxa"/>
            <w:tcBorders>
              <w:top w:val="single" w:color="auto" w:sz="4" w:space="0"/>
              <w:left w:val="nil"/>
              <w:bottom w:val="single" w:color="auto" w:sz="4" w:space="0"/>
              <w:right w:val="single" w:color="auto" w:sz="4" w:space="0"/>
            </w:tcBorders>
            <w:vAlign w:val="center"/>
          </w:tcPr>
          <w:p>
            <w:pPr>
              <w:pStyle w:val="8"/>
              <w:keepNext w:val="0"/>
              <w:keepLines w:val="0"/>
              <w:suppressLineNumbers w:val="0"/>
              <w:autoSpaceDE w:val="0"/>
              <w:spacing w:before="0" w:beforeAutospacing="0" w:after="0" w:afterAutospacing="0" w:line="360" w:lineRule="auto"/>
              <w:ind w:left="0" w:right="0"/>
              <w:rPr>
                <w:rFonts w:hint="default" w:ascii="宋体" w:hAnsi="宋体" w:eastAsia="宋体"/>
                <w:color w:val="auto"/>
                <w:sz w:val="24"/>
                <w:szCs w:val="24"/>
                <w:highlight w:val="none"/>
              </w:rPr>
            </w:pPr>
          </w:p>
        </w:tc>
      </w:tr>
    </w:tbl>
    <w:p>
      <w:pPr>
        <w:spacing w:line="360" w:lineRule="auto"/>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pPr>
    </w:p>
    <w:p>
      <w:pPr>
        <w:spacing w:line="360" w:lineRule="auto"/>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theme="minorBidi"/>
          <w:b/>
          <w:bCs/>
          <w:color w:val="auto"/>
          <w:kern w:val="2"/>
          <w:sz w:val="24"/>
          <w:szCs w:val="24"/>
          <w:highlight w:val="none"/>
          <w:lang w:val="en-US" w:eastAsia="zh-CN" w:bidi="ar-SA"/>
        </w:rPr>
        <w:id w:val="147459264"/>
        <w:placeholder>
          <w:docPart w:val="{8a04ea9e-57fa-45e2-912a-e43f50d72bd9}"/>
        </w:placeholder>
      </w:sdtPr>
      <w:sdtEndPr>
        <w:rPr>
          <w:rFonts w:hint="eastAsia" w:ascii="宋体" w:hAnsi="宋体" w:eastAsia="宋体" w:cstheme="minorBidi"/>
          <w:b/>
          <w:bCs/>
          <w:color w:val="auto"/>
          <w:kern w:val="2"/>
          <w:sz w:val="24"/>
          <w:szCs w:val="24"/>
          <w:highlight w:val="none"/>
          <w:lang w:val="en-US" w:eastAsia="zh-CN" w:bidi="ar-SA"/>
        </w:rPr>
      </w:sdtEndPr>
      <w:sdtContent>
        <w:p>
          <w:pPr>
            <w:spacing w:line="360" w:lineRule="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b/>
              <w:bCs/>
              <w:color w:val="auto"/>
              <w:sz w:val="24"/>
              <w:szCs w:val="24"/>
              <w:highlight w:val="none"/>
            </w:rPr>
            <w:t>附件</w:t>
          </w:r>
          <w:r>
            <w:rPr>
              <w:rFonts w:ascii="宋体" w:hAnsi="宋体" w:eastAsia="宋体"/>
              <w:b/>
              <w:bCs/>
              <w:color w:val="auto"/>
              <w:sz w:val="24"/>
              <w:szCs w:val="24"/>
              <w:highlight w:val="none"/>
            </w:rPr>
            <w:t>1</w:t>
          </w:r>
          <w:r>
            <w:rPr>
              <w:rFonts w:hint="eastAsia" w:ascii="宋体" w:hAnsi="宋体" w:eastAsia="宋体"/>
              <w:b/>
              <w:bCs/>
              <w:color w:val="auto"/>
              <w:sz w:val="24"/>
              <w:szCs w:val="24"/>
              <w:highlight w:val="none"/>
            </w:rPr>
            <w:t>：技术参数</w:t>
          </w:r>
        </w:p>
      </w:sdtContent>
    </w:sdt>
    <w:p>
      <w:pPr>
        <w:spacing w:line="360" w:lineRule="auto"/>
        <w:rPr>
          <w:rFonts w:hint="default"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fldChar w:fldCharType="begin">
          <w:ffData>
            <w:name w:val="Text3"/>
            <w:enabled/>
            <w:calcOnExit w:val="0"/>
            <w:textInput/>
          </w:ffData>
        </w:fldChar>
      </w:r>
      <w:bookmarkStart w:id="30" w:name="Text3"/>
      <w:r>
        <w:rPr>
          <w:rFonts w:hint="eastAsia" w:ascii="宋体" w:hAnsi="宋体" w:eastAsia="宋体" w:cstheme="minorBidi"/>
          <w:b/>
          <w:bCs/>
          <w:color w:val="auto"/>
          <w:kern w:val="2"/>
          <w:sz w:val="24"/>
          <w:szCs w:val="24"/>
          <w:highlight w:val="none"/>
          <w:lang w:val="en-US" w:eastAsia="zh-CN" w:bidi="ar-SA"/>
        </w:rPr>
        <w:instrText xml:space="preserve">FORMTEXT</w:instrText>
      </w:r>
      <w:r>
        <w:rPr>
          <w:rFonts w:hint="eastAsia" w:ascii="宋体" w:hAnsi="宋体" w:eastAsia="宋体" w:cstheme="minorBidi"/>
          <w:b/>
          <w:bCs/>
          <w:color w:val="auto"/>
          <w:kern w:val="2"/>
          <w:sz w:val="24"/>
          <w:szCs w:val="24"/>
          <w:highlight w:val="none"/>
          <w:lang w:val="en-US" w:eastAsia="zh-CN" w:bidi="ar-SA"/>
        </w:rPr>
        <w:fldChar w:fldCharType="separate"/>
      </w:r>
      <w:r>
        <w:rPr>
          <w:rFonts w:hint="default" w:ascii="宋体" w:hAnsi="宋体" w:eastAsia="宋体" w:cstheme="minorBidi"/>
          <w:b/>
          <w:bCs/>
          <w:color w:val="auto"/>
          <w:kern w:val="2"/>
          <w:sz w:val="24"/>
          <w:szCs w:val="24"/>
          <w:highlight w:val="none"/>
          <w:lang w:val="en-US" w:eastAsia="zh-CN" w:bidi="ar-SA"/>
        </w:rPr>
        <w:t> </w:t>
      </w:r>
    </w:p>
    <w:tbl>
      <w:tblPr>
        <w:tblStyle w:val="14"/>
        <w:tblW w:w="48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33"/>
        <w:gridCol w:w="1836"/>
        <w:gridCol w:w="915"/>
        <w:gridCol w:w="1403"/>
        <w:gridCol w:w="1005"/>
        <w:gridCol w:w="163"/>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1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105" w:right="0" w:hanging="105" w:hanging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11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firstLine="105" w:firstLine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85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c>
          <w:tcPr>
            <w:tcW w:w="609"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型号规格</w:t>
            </w:r>
          </w:p>
        </w:tc>
        <w:tc>
          <w:tcPr>
            <w:tcW w:w="834"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参数详情：</w:t>
            </w:r>
          </w:p>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rPr>
                <w:rFonts w:hint="default"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41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105" w:right="0" w:hanging="105" w:hanging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2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111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firstLine="105" w:firstLineChars="5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制造商</w:t>
            </w:r>
          </w:p>
        </w:tc>
        <w:tc>
          <w:tcPr>
            <w:tcW w:w="85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c>
          <w:tcPr>
            <w:tcW w:w="708"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型号规格</w:t>
            </w:r>
          </w:p>
        </w:tc>
        <w:tc>
          <w:tcPr>
            <w:tcW w:w="735"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default"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参数详情：</w:t>
            </w:r>
          </w:p>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p>
            <w:pPr>
              <w:keepNext w:val="0"/>
              <w:keepLines w:val="0"/>
              <w:widowControl/>
              <w:suppressLineNumbers w:val="0"/>
              <w:spacing w:before="0" w:beforeAutospacing="0" w:after="0" w:afterAutospacing="0" w:line="240" w:lineRule="atLeast"/>
              <w:ind w:left="0" w:right="0"/>
              <w:jc w:val="left"/>
              <w:rPr>
                <w:rFonts w:hint="default" w:ascii="宋体" w:hAnsi="宋体" w:eastAsia="宋体" w:cs="宋体"/>
                <w:color w:val="auto"/>
                <w:szCs w:val="21"/>
                <w:highlight w:val="none"/>
              </w:rPr>
            </w:pPr>
          </w:p>
        </w:tc>
      </w:tr>
    </w:tbl>
    <w:p>
      <w:pPr>
        <w:spacing w:line="360" w:lineRule="auto"/>
        <w:rPr>
          <w:rFonts w:hint="eastAsia" w:ascii="宋体" w:hAnsi="宋体" w:eastAsia="宋体" w:cstheme="minorBidi"/>
          <w:b/>
          <w:bCs/>
          <w:color w:val="auto"/>
          <w:kern w:val="2"/>
          <w:sz w:val="24"/>
          <w:szCs w:val="24"/>
          <w:highlight w:val="none"/>
          <w:lang w:val="en-US" w:eastAsia="zh-CN" w:bidi="ar-SA"/>
        </w:rPr>
      </w:pPr>
      <w:r>
        <w:rPr>
          <w:rFonts w:hint="default" w:ascii="宋体" w:hAnsi="宋体" w:eastAsia="宋体" w:cstheme="minorBidi"/>
          <w:b/>
          <w:bCs/>
          <w:color w:val="auto"/>
          <w:kern w:val="2"/>
          <w:sz w:val="24"/>
          <w:szCs w:val="24"/>
          <w:highlight w:val="none"/>
          <w:lang w:val="en-US" w:eastAsia="zh-CN" w:bidi="ar-SA"/>
        </w:rPr>
        <w:t> </w:t>
      </w:r>
      <w:r>
        <w:rPr>
          <w:rFonts w:hint="eastAsia" w:ascii="宋体" w:hAnsi="宋体" w:eastAsia="宋体" w:cstheme="minorBidi"/>
          <w:b/>
          <w:bCs/>
          <w:color w:val="auto"/>
          <w:kern w:val="2"/>
          <w:sz w:val="24"/>
          <w:szCs w:val="24"/>
          <w:highlight w:val="none"/>
          <w:lang w:val="en-US" w:eastAsia="zh-CN" w:bidi="ar-SA"/>
        </w:rPr>
        <w:fldChar w:fldCharType="end"/>
      </w:r>
      <w:bookmarkEnd w:id="30"/>
    </w:p>
    <w:p>
      <w:pPr>
        <w:spacing w:line="360" w:lineRule="auto"/>
        <w:rPr>
          <w:rFonts w:ascii="宋体" w:hAnsi="宋体" w:eastAsia="宋体"/>
          <w:color w:val="auto"/>
          <w:sz w:val="24"/>
          <w:szCs w:val="24"/>
          <w:highlight w:val="none"/>
        </w:rPr>
      </w:pPr>
    </w:p>
    <w:p>
      <w:pPr>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p>
      <w:pP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附件</w:t>
      </w:r>
      <w:r>
        <w:rPr>
          <w:rFonts w:ascii="宋体" w:hAnsi="宋体" w:eastAsia="宋体"/>
          <w:b/>
          <w:bCs/>
          <w:color w:val="auto"/>
          <w:sz w:val="24"/>
          <w:szCs w:val="24"/>
          <w:highlight w:val="none"/>
        </w:rPr>
        <w:t>2</w:t>
      </w:r>
      <w:r>
        <w:rPr>
          <w:rFonts w:hint="eastAsia" w:ascii="宋体" w:hAnsi="宋体" w:eastAsia="宋体"/>
          <w:b/>
          <w:bCs/>
          <w:color w:val="auto"/>
          <w:sz w:val="24"/>
          <w:szCs w:val="24"/>
          <w:highlight w:val="none"/>
        </w:rPr>
        <w:t>：服务考核细则</w:t>
      </w:r>
    </w:p>
    <w:p>
      <w:pPr>
        <w:rPr>
          <w:rFonts w:ascii="宋体" w:hAnsi="宋体" w:eastAsia="宋体"/>
          <w:color w:val="auto"/>
          <w:sz w:val="24"/>
          <w:szCs w:val="24"/>
          <w:highlight w:val="none"/>
        </w:rPr>
      </w:pP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保修期间，买方将定期对最终用户进行回访，跟踪了解设备的使用情况及卖方的售后服务质量，依照以上的服务承诺，制定以下考核细则。</w:t>
      </w: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1、合同期内每月考核一次；</w:t>
      </w: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2、每月10日前，买方将上月考核结果及涉及扣费的数据发给卖方核对，卖方在不影响到客户体验的情况下可以对考核结果提出异议，并要求在每月15日前书面反馈，逾期视为对买方的考核结果无异议。</w:t>
      </w:r>
    </w:p>
    <w:p>
      <w:pPr>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3、买方有权从应付但未付给卖方的任一笔款项中，扣除考核结果中列明的违约金。</w:t>
      </w:r>
    </w:p>
    <w:p>
      <w:pPr>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4、具体违约金标准如下：</w:t>
      </w:r>
    </w:p>
    <w:p>
      <w:pPr>
        <w:ind w:firstLine="480" w:firstLineChars="200"/>
        <w:rPr>
          <w:rFonts w:hint="default" w:ascii="宋体" w:hAnsi="宋体" w:eastAsia="宋体"/>
          <w:color w:val="auto"/>
          <w:sz w:val="24"/>
          <w:szCs w:val="24"/>
          <w:highlight w:val="none"/>
          <w:lang w:val="en-US"/>
        </w:rPr>
      </w:pPr>
      <w:r>
        <w:rPr>
          <w:rFonts w:hint="eastAsia" w:ascii="宋体" w:hAnsi="宋体" w:eastAsia="宋体"/>
          <w:color w:val="auto"/>
          <w:sz w:val="24"/>
          <w:szCs w:val="24"/>
          <w:highlight w:val="none"/>
        </w:rPr>
        <w:fldChar w:fldCharType="begin">
          <w:ffData>
            <w:name w:val="Text4"/>
            <w:enabled/>
            <w:calcOnExit w:val="0"/>
            <w:textInput/>
          </w:ffData>
        </w:fldChar>
      </w:r>
      <w:bookmarkStart w:id="31" w:name="Text4"/>
      <w:r>
        <w:rPr>
          <w:rFonts w:hint="eastAsia" w:ascii="宋体" w:hAnsi="宋体" w:eastAsia="宋体"/>
          <w:color w:val="auto"/>
          <w:sz w:val="24"/>
          <w:szCs w:val="24"/>
          <w:highlight w:val="none"/>
        </w:rPr>
        <w:instrText xml:space="preserve">FORMTEXT</w:instrText>
      </w:r>
      <w:r>
        <w:rPr>
          <w:rFonts w:hint="eastAsia" w:ascii="宋体" w:hAnsi="宋体" w:eastAsia="宋体"/>
          <w:color w:val="auto"/>
          <w:sz w:val="24"/>
          <w:szCs w:val="24"/>
          <w:highlight w:val="none"/>
        </w:rPr>
        <w:fldChar w:fldCharType="separate"/>
      </w:r>
      <w:r>
        <w:rPr>
          <w:rFonts w:hint="default" w:ascii="宋体" w:hAnsi="宋体" w:eastAsia="宋体"/>
          <w:color w:val="auto"/>
          <w:sz w:val="24"/>
          <w:szCs w:val="24"/>
          <w:highlight w:val="none"/>
          <w:lang w:val="en-US"/>
        </w:rPr>
        <w:t> </w:t>
      </w:r>
    </w:p>
    <w:tbl>
      <w:tblPr>
        <w:tblStyle w:val="15"/>
        <w:tblW w:w="1073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5"/>
        <w:gridCol w:w="719"/>
        <w:gridCol w:w="1314"/>
        <w:gridCol w:w="1038"/>
        <w:gridCol w:w="3257"/>
        <w:gridCol w:w="1787"/>
        <w:gridCol w:w="21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719"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考核项目</w:t>
            </w:r>
          </w:p>
        </w:tc>
        <w:tc>
          <w:tcPr>
            <w:tcW w:w="1314"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考核说明</w:t>
            </w:r>
          </w:p>
        </w:tc>
        <w:tc>
          <w:tcPr>
            <w:tcW w:w="1038"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涉及服务环节</w:t>
            </w:r>
          </w:p>
        </w:tc>
        <w:tc>
          <w:tcPr>
            <w:tcW w:w="3257" w:type="dxa"/>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供应商服务要求</w:t>
            </w:r>
          </w:p>
        </w:tc>
        <w:tc>
          <w:tcPr>
            <w:tcW w:w="1787"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考核标准</w:t>
            </w:r>
          </w:p>
        </w:tc>
        <w:tc>
          <w:tcPr>
            <w:tcW w:w="2139"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考核金额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719" w:type="dxa"/>
            <w:vMerge w:val="restart"/>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服务效率</w:t>
            </w:r>
          </w:p>
        </w:tc>
        <w:tc>
          <w:tcPr>
            <w:tcW w:w="1314" w:type="dxa"/>
            <w:vMerge w:val="restart"/>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1、服务响应不及时或服务时间超出约定时间，且未提前与最终用户做好沟通，或未经最终用户同意。</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2、未在规定时间内解决最终用户的正当需求，最终用户要求但未提供备用机；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3、设备维修时超出约定时间仍未修复的；</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4、需要提供服务的设备超出一台且满足上述任一条件的，按200元/台/次考核</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电话响应时效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收到万翔客服专员通知后，在1个工作小时内联系客户约定上门时间；并及时将约定时间反馈给万翔客服专员。</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万翔客服专员报单后1个工作小时内</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上门服务时效</w:t>
            </w:r>
          </w:p>
        </w:tc>
        <w:tc>
          <w:tcPr>
            <w:tcW w:w="3257" w:type="dxa"/>
            <w:vMerge w:val="restart"/>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按与客户约定时间上门服务；</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如特殊情况不能按约定时间上门，必须提前联系最终用户且征得最终用户的同意，同时重新预约上门服务时间，并务必保证按此约定时间上门。</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万翔客服专员报单后4个工作小时内</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3257"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因</w:t>
            </w:r>
            <w:r>
              <w:rPr>
                <w:rFonts w:hint="eastAsia" w:ascii="宋体" w:hAnsi="宋体" w:eastAsia="宋体" w:cs="宋体"/>
                <w:b/>
                <w:bCs/>
                <w:color w:val="auto"/>
                <w:kern w:val="0"/>
                <w:sz w:val="18"/>
                <w:szCs w:val="18"/>
                <w:highlight w:val="none"/>
              </w:rPr>
              <w:t>客户原因</w:t>
            </w:r>
            <w:r>
              <w:rPr>
                <w:rFonts w:hint="eastAsia" w:ascii="宋体" w:hAnsi="宋体" w:eastAsia="宋体" w:cs="宋体"/>
                <w:color w:val="auto"/>
                <w:kern w:val="0"/>
                <w:sz w:val="18"/>
                <w:szCs w:val="18"/>
                <w:highlight w:val="none"/>
              </w:rPr>
              <w:t>需延后上门时间并另外约定上门时间，需在承诺的时间内达到</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维修时效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上门检测后需现场向最终用户说明故障情况并告知解决方案、如需调拨维修配件，需要告知最终用户配件更换时效并征得客户同意</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在承诺的时间内完成服务</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如调拨配件时间长（超过2个工作日）、更换完配件仍无法使用、需要整机取走维修等问题导致客户无法使用，必须直接向客户说明情况并询问是否需要备用机，告知客户服务时效并在承诺的时间内完成相应的服务内容；服务商必须根据要求直接确定是否进入提供备用机或者退换机服务流程</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向客户说明情况，告知客户提供备用机和退换机的解决方案，同时告知客户服务时效，并在承诺的时间内完成相应的服务内容。</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备用机提供时效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服务商自行提供备用机，按与客户约定时间完成服务</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客户确认使用备用机后在1个工作日内提供备机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5"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换机服务时效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确认换机后，在5个工作日内完成换机，如果超出5个工作日必须征得最终用户的同意，并在承诺的时间内完成服务</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在承诺的时间内完成换机。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400元/次+（N-1）*200元/台/次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核实产品主要部件在1年内同样故障报修工单达到三次或三次以上的供应商必须按照客户需求给予更换新机，配置参数需大于等于原机型，换机流程不再经过万翔，换机流程中须提供备用机（备用机服务标准同上）</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同意并给予客户换机。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500元/台/次；同时在质保金中扣除换新机所需货款，由万翔直接给客户换机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验收报告/辅材发票提供时效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收到万翔客服专员通知后，2个工作日内提供验收报告/辅材发票给最终用户。</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万翔客服专员报单后2个工作日内</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400元/单/次，每逾期1个工作日按100元/单/工作日的标准加收违约金；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6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719" w:type="dxa"/>
            <w:vMerge w:val="restart"/>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服务规范</w:t>
            </w:r>
          </w:p>
        </w:tc>
        <w:tc>
          <w:tcPr>
            <w:tcW w:w="1314"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态度或服务不规范，如：服务人员着装不规范，言语生硬、敷衍、态度不好；未能妥善处理客户的不满情绪；用户要求附加一些明显力所能及范围之内的服务而拒不提供服务；损坏客户物品未赔偿等违反服务规范的行为。</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服务前的服务规范</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1）上门服务人员应着品牌工装；</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 2）安装/维修前应与最终用户核对机器型号、配置和台数；如维修需要向客户核实故障现象。</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3）安装前检查确认外包装完好再拆箱安装；如有异常须及时向最终用户反馈并报备给万翔客服专员后，再进行开箱验机；</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4）安装/维修前应检查最终用户的电源电压是否安全稳定，如有问题，应及时告知最终用户，协商整改；</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5）由于服务单位自身原因造成多人或多次联系客户、或上门服务时发现由于自身原因不能提供服务（如上门服务发现未带物料、上门安装空调发现未取孔）；</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6）上门安装/维修时发现由于环境复杂或安装/维修有难度，拒绝为客户提供服务。</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任一条，发现未按规范</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服务中的服务规范</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1）安装过程中发现外包装完好，开箱出现货物内损则第一时间给最终用户换机处理，并报备给万翔客服专员；</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2）检查每台机器的服务编号；</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 xml:space="preserve">3) 安装时如果发现设备异常，及时与客户进行沟通，待情况核实清楚后，再行安装； </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4）免费提供所有设备的安装调试（包括计算机操作系统及补丁等应用软件安装等服务），安装完成后要开机测试以确保设备能够正常使用；</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5）协助最终用户安装外设等常用设备。并根据最终用户需求进行设置。</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6）安装位置必须保证设备的正常使用，如安装位置与客户要求不符，需要提前与客户沟通并找到适合的解决方案；</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7）安装务必保障美观，不能出现设备安装歪斜、影响美观或影响设备正常使用等情况；</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8）如果安装/维修数量较多，不能一天内完成，服务单位应连续为客户提供服务，并将情况及时向最终用户做汇报沟通；如有异常情况不能连续安装或暂时先离开现场，必须提前征得最终用户的同意。</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任一条，发现未按规范</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服务后的服务规范</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1)安装完毕，应和最终用户一起确认产品的正常运行。</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br w:type="page"/>
            </w:r>
            <w:r>
              <w:rPr>
                <w:rFonts w:hint="eastAsia" w:ascii="宋体" w:hAnsi="宋体" w:eastAsia="宋体" w:cs="宋体"/>
                <w:color w:val="auto"/>
                <w:kern w:val="0"/>
                <w:sz w:val="18"/>
                <w:szCs w:val="18"/>
                <w:highlight w:val="none"/>
              </w:rPr>
              <w:t>2)安装完毕，并为每台机器注册信息, 应向最终用户详细讲解保修条例；如没有注册信息而导致机器在保修期内无法保修的情况，服务商要负责此维修费用。</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br w:type="page"/>
            </w:r>
            <w:r>
              <w:rPr>
                <w:rFonts w:hint="eastAsia" w:ascii="宋体" w:hAnsi="宋体" w:eastAsia="宋体" w:cs="宋体"/>
                <w:color w:val="auto"/>
                <w:kern w:val="0"/>
                <w:sz w:val="18"/>
                <w:szCs w:val="18"/>
                <w:highlight w:val="none"/>
              </w:rPr>
              <w:t>3)安装完毕，应向最终用户详细讲解使用操作方法和日常维护保养措施，耐心解答最终用户提出的问题，并留下服务电话；在设备合适的地方填(贴)上机器信息（包括报修电话、机器序列号及服务号），以方便最终用户报修。</w:t>
            </w:r>
            <w:r>
              <w:rPr>
                <w:rFonts w:hint="eastAsia" w:ascii="宋体" w:hAnsi="宋体" w:eastAsia="宋体" w:cs="宋体"/>
                <w:color w:val="auto"/>
                <w:kern w:val="0"/>
                <w:sz w:val="18"/>
                <w:szCs w:val="18"/>
                <w:highlight w:val="none"/>
              </w:rPr>
              <w:br w:type="page"/>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4）安装/维修等服务结束后，应把工作现场打扫干净，将工具等物品复位，并将安装/维修过程中产生的垃圾带离现场。</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br w:type="page"/>
            </w:r>
            <w:r>
              <w:rPr>
                <w:rFonts w:hint="eastAsia" w:ascii="宋体" w:hAnsi="宋体" w:eastAsia="宋体" w:cs="宋体"/>
                <w:color w:val="auto"/>
                <w:kern w:val="0"/>
                <w:sz w:val="18"/>
                <w:szCs w:val="18"/>
                <w:highlight w:val="none"/>
              </w:rPr>
              <w:t>5）安装完毕，应将《厦门市大宗货物政府采购供货验收单》按万翔网商要求打印并交给客户盖章、签字。</w:t>
            </w:r>
            <w:r>
              <w:rPr>
                <w:rFonts w:hint="eastAsia" w:ascii="宋体" w:hAnsi="宋体" w:eastAsia="宋体" w:cs="宋体"/>
                <w:color w:val="auto"/>
                <w:kern w:val="0"/>
                <w:sz w:val="18"/>
                <w:szCs w:val="18"/>
                <w:highlight w:val="none"/>
              </w:rPr>
              <w:br w:type="page"/>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任一条，发现未按规范</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服务仪表、态度</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服务人员着装应规范，言语不生硬、不敷衍、态度好；妥善处理客户的不满情绪；</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额外情况规范</w:t>
            </w:r>
          </w:p>
        </w:tc>
        <w:tc>
          <w:tcPr>
            <w:tcW w:w="3257" w:type="dxa"/>
          </w:tcPr>
          <w:p>
            <w:pPr>
              <w:keepNext w:val="0"/>
              <w:keepLines w:val="0"/>
              <w:widowControl/>
              <w:suppressLineNumbers w:val="0"/>
              <w:spacing w:before="0" w:beforeAutospacing="0" w:after="24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1）电话联系客户时间及上门服务时间必须在最终用户的正常工作时间内，已提前沟通且客户同意的情况下除外。</w:t>
            </w:r>
          </w:p>
          <w:p>
            <w:pPr>
              <w:keepNext w:val="0"/>
              <w:keepLines w:val="0"/>
              <w:widowControl/>
              <w:suppressLineNumbers w:val="0"/>
              <w:spacing w:before="0" w:beforeAutospacing="0" w:after="24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用户要求附加一些明显力所能及范围之内的服务应配合处理；或者其它品牌产品出现故障需要卖方工程师帮助解决。卖方工程师不得拒绝最终用户，在条件许可的前提下为最终用户解决。如果无法修复应协助最终用户报修相应的服务商或者给出解决方案。</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2"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意外情况规范</w:t>
            </w:r>
          </w:p>
        </w:tc>
        <w:tc>
          <w:tcPr>
            <w:tcW w:w="3257"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1）服务过程中如有损坏客户物品，应及时与客户沟通赔偿方案，并在约定时间内进行赔偿。</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2）安装的设备务必保证使用安全，不能出现在使用过程中掉落等意外情况；</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3"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备用机使用</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反馈客服专员确认使用备用机，如无同型号备用机使用，需提供符合客户需求的其他型号设备使用，备用机必须无偿进行安装调试，并签订《产品备用机使用单》，报修机解除故障归还客户后，还需现场调试，并在《产品备用机使用单》上签署明确可正常使用，才可退还备用机</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未提供备用机的安装调试等；或者客户机子还未修复好，就要求客户归还备用机</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719" w:type="dxa"/>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服务质量</w:t>
            </w:r>
          </w:p>
        </w:tc>
        <w:tc>
          <w:tcPr>
            <w:tcW w:w="1314"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服务人员不具备服务能力；</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维修后一个月内又出现同样故障、或同一故障频繁重复再现；</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客户报修频率</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1）一个月内再次出现同样故障。或者故障反复出现。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2）明确由于服务引发的产品其他故障。</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3）服务人员上门后表示不会安装或维修，或安装/维修操作不熟练。</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9"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719" w:type="dxa"/>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收费</w:t>
            </w: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未按合同规定操作，未提前与最终用户沟通收费标准，多收费或乱收费</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收费项目</w:t>
            </w:r>
          </w:p>
        </w:tc>
        <w:tc>
          <w:tcPr>
            <w:tcW w:w="3257"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1）有偿服务的范围，应按合同约定的收费标准或公司定价向客户说明并提前报价给客户，合同中明确免费的不得向客户收费，合同中明确免费的不能以隐瞒或欺骗的方式向客户提供收费的替代物料。</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2）报价时应向客户提供清单明细，包括规格型号、单价、数量、总价、保修时间（如有）、保修方式（如有）；</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3）提供服务前必须征得最终用户的同意；不能出现服务完成后才告知客户需要收费。</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客户反馈属实。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719" w:type="dxa"/>
            <w:vMerge w:val="restart"/>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验收报告回收时效</w:t>
            </w:r>
          </w:p>
        </w:tc>
        <w:tc>
          <w:tcPr>
            <w:tcW w:w="1314"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未按合同规定，安装调试完成后应及时反馈给买方，并按照买方要求由最终用户填写《验收报告》，三个工作日内报送给买方。超过5个工作日仍未回收的，按每逾期一天10元/单的标准加收违约金。</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提供给最终用户验收报告的时效</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1）安装完成后及时提供“验收报告”给最终用户，其中“客户联”留给客户，将其他联在2个工作日内（安装调试完毕后，次日算第一天）回收；</w:t>
            </w:r>
          </w:p>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2）如验收报告超出约定时间提供，必须提前与最终用户做好沟通并征得最终用户的同意。</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安装后超过2个工作日客户催验收报告。</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200元/次+（N-1）*10元/台/次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提供客户签盖的验收报告给万翔</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安装验收后5个工作日内将“验收报告”按要求返回给万翔网商，如超出时间未返回，必须提前向万翔客服说明情况；如万翔网商未收到反馈且在安装后5个工作日内未收到返回的“验收报告”则视为延误。</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安装后超过5个工作日万翔网商未收到验收报告</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200元/次+（N-1）*10元/台/次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719" w:type="dxa"/>
            <w:vMerge w:val="restart"/>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信息反馈</w:t>
            </w:r>
          </w:p>
        </w:tc>
        <w:tc>
          <w:tcPr>
            <w:tcW w:w="1314"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未按买方要求反馈所需报表，或所提供报表信息存在虚假的问题。</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服务商操作平台进度回复</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在收到买方派单后且在服务完成后一个工作日内进行回复</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回复不及时、虚假信息等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日常售后回复信息</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在收到买方派单后应按照合同要求及时进行回复</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催安装、报修、退换货等售后需求，处理情况虚假等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其他万翔要求提供的信息</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在收到买方派单后应按照合同要求及时进行回复</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信息虚假等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719" w:type="dxa"/>
            <w:vMerge w:val="restart"/>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投诉（根据卖方产品质量、服务造成用户投诉的层级进计收违约金，当投诉涉及多个层级以最高层级计收违约金标准为准）</w:t>
            </w: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1、投诉至买方售后服务部门并得以证实                                        </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投诉到万翔售后</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应妥善处理客户不满或者需求，不应让客户向万翔投诉</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服务商无法证明情况不属实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2、投诉至厦门翔业集团内部监管部门并得以证实          </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投诉到翔业集团内部监管部门</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应妥善处理客户不满或者需求，不应让客户向翔业集团监管部门投诉</w:t>
            </w:r>
          </w:p>
        </w:tc>
        <w:tc>
          <w:tcPr>
            <w:tcW w:w="1787" w:type="dxa"/>
            <w:noWra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服务商无法证明情况不属实</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6" w:hRule="atLeast"/>
          <w:jc w:val="center"/>
        </w:trPr>
        <w:tc>
          <w:tcPr>
            <w:tcW w:w="485" w:type="dxa"/>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719" w:type="dxa"/>
            <w:vMerge w:val="continue"/>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3、投诉至社会监管部门（如工商局等）并得到证实</w:t>
            </w:r>
          </w:p>
        </w:tc>
        <w:tc>
          <w:tcPr>
            <w:tcW w:w="1038"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投诉到社会监管部门</w:t>
            </w:r>
          </w:p>
        </w:tc>
        <w:tc>
          <w:tcPr>
            <w:tcW w:w="325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应妥善处理客户不满或者需求，不应让客户社会监管部门投诉</w:t>
            </w:r>
          </w:p>
        </w:tc>
        <w:tc>
          <w:tcPr>
            <w:tcW w:w="1787"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服务商无法取得社会监管部门撤诉</w:t>
            </w:r>
          </w:p>
        </w:tc>
        <w:tc>
          <w:tcPr>
            <w:tcW w:w="2139" w:type="dxa"/>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54" w:hRule="atLeast"/>
          <w:jc w:val="center"/>
        </w:trPr>
        <w:tc>
          <w:tcPr>
            <w:tcW w:w="485" w:type="dxa"/>
            <w:tcBorders>
              <w:bottom w:val="single" w:color="000000" w:themeColor="text1" w:sz="4" w:space="0"/>
            </w:tcBorders>
            <w:noWrap/>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719" w:type="dxa"/>
            <w:vMerge w:val="continue"/>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p>
        </w:tc>
        <w:tc>
          <w:tcPr>
            <w:tcW w:w="1314"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4、投诉至社会媒体并被曝光（如报纸、杂志、电视广播、主流官网等）                                       </w:t>
            </w:r>
          </w:p>
        </w:tc>
        <w:tc>
          <w:tcPr>
            <w:tcW w:w="1038"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投诉至社会媒体并被曝光（如报纸、杂志、电视广播、主流官网等）                                       </w:t>
            </w:r>
          </w:p>
        </w:tc>
        <w:tc>
          <w:tcPr>
            <w:tcW w:w="3257"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应妥善处理客户不满或者需求，不应让客户投诉到社会媒体</w:t>
            </w:r>
          </w:p>
        </w:tc>
        <w:tc>
          <w:tcPr>
            <w:tcW w:w="1787"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报纸、杂志、电视广播、主流官网等曝光了事情</w:t>
            </w:r>
          </w:p>
        </w:tc>
        <w:tc>
          <w:tcPr>
            <w:tcW w:w="2139" w:type="dxa"/>
            <w:tcBorders>
              <w:bottom w:val="single" w:color="000000" w:themeColor="text1" w:sz="4" w:space="0"/>
            </w:tcBorders>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200000元/次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9" w:hRule="atLeast"/>
          <w:jc w:val="center"/>
        </w:trPr>
        <w:tc>
          <w:tcPr>
            <w:tcW w:w="485"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28</w:t>
            </w:r>
          </w:p>
        </w:tc>
        <w:tc>
          <w:tcPr>
            <w:tcW w:w="71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考核违约金缴交或履约保证金扣划</w:t>
            </w:r>
          </w:p>
        </w:tc>
        <w:tc>
          <w:tcPr>
            <w:tcW w:w="1314" w:type="dxa"/>
            <w:shd w:val="clear" w:color="auto" w:fill="auto"/>
          </w:tcPr>
          <w:p>
            <w:pPr>
              <w:keepNext w:val="0"/>
              <w:keepLines w:val="0"/>
              <w:suppressLineNumbers w:val="0"/>
              <w:spacing w:before="0" w:beforeAutospacing="0" w:after="0" w:afterAutospacing="0"/>
              <w:ind w:left="0" w:right="-107" w:rightChars="-51"/>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收到考核表后30</w:t>
            </w:r>
            <w:r>
              <w:rPr>
                <w:rFonts w:hint="eastAsia" w:ascii="宋体" w:hAnsi="宋体" w:eastAsia="宋体" w:cs="Times New Roman"/>
                <w:color w:val="auto"/>
                <w:kern w:val="0"/>
                <w:sz w:val="18"/>
                <w:szCs w:val="18"/>
                <w:highlight w:val="none"/>
              </w:rPr>
              <w:t>个日历</w:t>
            </w:r>
            <w:r>
              <w:rPr>
                <w:rFonts w:hint="eastAsia" w:ascii="宋体" w:hAnsi="宋体" w:eastAsia="宋体" w:cs="Times New Roman"/>
                <w:color w:val="auto"/>
                <w:kern w:val="0"/>
                <w:sz w:val="18"/>
                <w:szCs w:val="18"/>
                <w:highlight w:val="none"/>
              </w:rPr>
              <w:t>日内交清考核款项</w:t>
            </w:r>
          </w:p>
        </w:tc>
        <w:tc>
          <w:tcPr>
            <w:tcW w:w="1038"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违约金缴交</w:t>
            </w:r>
          </w:p>
        </w:tc>
        <w:tc>
          <w:tcPr>
            <w:tcW w:w="325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服务商应在收到万翔网商发出考核表后的30</w:t>
            </w:r>
            <w:r>
              <w:rPr>
                <w:rFonts w:hint="eastAsia" w:ascii="宋体" w:hAnsi="宋体" w:eastAsia="宋体" w:cs="Times New Roman"/>
                <w:color w:val="auto"/>
                <w:kern w:val="0"/>
                <w:sz w:val="18"/>
                <w:szCs w:val="18"/>
                <w:highlight w:val="none"/>
              </w:rPr>
              <w:t>个日历</w:t>
            </w:r>
            <w:r>
              <w:rPr>
                <w:rFonts w:hint="eastAsia" w:ascii="宋体" w:hAnsi="宋体" w:eastAsia="宋体" w:cs="Times New Roman"/>
                <w:color w:val="auto"/>
                <w:kern w:val="0"/>
                <w:sz w:val="18"/>
                <w:szCs w:val="18"/>
                <w:highlight w:val="none"/>
              </w:rPr>
              <w:t>日内交清违约金，交完后将付款情况告知万翔网商对应的采购专员。</w:t>
            </w:r>
          </w:p>
        </w:tc>
        <w:tc>
          <w:tcPr>
            <w:tcW w:w="1787"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未按要求时效和金额缴交违约金</w:t>
            </w:r>
          </w:p>
        </w:tc>
        <w:tc>
          <w:tcPr>
            <w:tcW w:w="2139"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rPr>
              <w:t>超过30</w:t>
            </w:r>
            <w:r>
              <w:rPr>
                <w:rFonts w:hint="eastAsia" w:ascii="宋体" w:hAnsi="宋体" w:eastAsia="宋体" w:cs="Times New Roman"/>
                <w:color w:val="auto"/>
                <w:kern w:val="0"/>
                <w:sz w:val="18"/>
                <w:szCs w:val="18"/>
                <w:highlight w:val="none"/>
              </w:rPr>
              <w:t>个日历</w:t>
            </w:r>
            <w:r>
              <w:rPr>
                <w:rFonts w:hint="eastAsia" w:ascii="宋体" w:hAnsi="宋体" w:eastAsia="宋体" w:cs="Times New Roman"/>
                <w:color w:val="auto"/>
                <w:kern w:val="0"/>
                <w:sz w:val="18"/>
                <w:szCs w:val="18"/>
                <w:highlight w:val="none"/>
              </w:rPr>
              <w:t>日按双倍计收违约金</w:t>
            </w:r>
          </w:p>
        </w:tc>
      </w:tr>
    </w:tbl>
    <w:p>
      <w:pPr>
        <w:ind w:firstLine="480" w:firstLineChars="200"/>
        <w:rPr>
          <w:rFonts w:hint="eastAsia" w:ascii="宋体" w:hAnsi="宋体" w:eastAsia="宋体"/>
          <w:color w:val="auto"/>
          <w:sz w:val="24"/>
          <w:szCs w:val="24"/>
          <w:highlight w:val="none"/>
        </w:rPr>
      </w:pPr>
      <w:r>
        <w:rPr>
          <w:rFonts w:hint="default" w:ascii="宋体" w:hAnsi="宋体" w:eastAsia="宋体"/>
          <w:color w:val="auto"/>
          <w:sz w:val="24"/>
          <w:szCs w:val="24"/>
          <w:highlight w:val="none"/>
          <w:lang w:val="en-US"/>
        </w:rPr>
        <w:t> </w:t>
      </w:r>
      <w:r>
        <w:rPr>
          <w:rFonts w:hint="eastAsia" w:ascii="宋体" w:hAnsi="宋体" w:eastAsia="宋体"/>
          <w:color w:val="auto"/>
          <w:sz w:val="24"/>
          <w:szCs w:val="24"/>
          <w:highlight w:val="none"/>
        </w:rPr>
        <w:fldChar w:fldCharType="end"/>
      </w:r>
      <w:bookmarkEnd w:id="31"/>
    </w:p>
    <w:p>
      <w:pPr>
        <w:rPr>
          <w:rFonts w:ascii="宋体" w:hAnsi="宋体" w:eastAsia="宋体"/>
          <w:color w:val="auto"/>
          <w:sz w:val="24"/>
          <w:szCs w:val="24"/>
          <w:highlight w:val="none"/>
        </w:rPr>
      </w:pPr>
    </w:p>
    <w:p>
      <w:pPr>
        <w:rPr>
          <w:rFonts w:ascii="宋体" w:hAnsi="宋体" w:eastAsia="宋体"/>
          <w:color w:val="auto"/>
          <w:sz w:val="24"/>
          <w:szCs w:val="24"/>
          <w:highlight w:val="none"/>
        </w:rPr>
      </w:pPr>
    </w:p>
    <w:p>
      <w:pPr>
        <w:rPr>
          <w:rFonts w:ascii="宋体" w:hAnsi="宋体" w:eastAsia="宋体"/>
          <w:color w:val="auto"/>
          <w:sz w:val="24"/>
          <w:szCs w:val="24"/>
          <w:highlight w:val="none"/>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theme="minorBidi"/>
          <w:b/>
          <w:bCs/>
          <w:color w:val="auto"/>
          <w:kern w:val="2"/>
          <w:sz w:val="24"/>
          <w:szCs w:val="24"/>
          <w:highlight w:val="none"/>
          <w:lang w:val="en-US" w:eastAsia="zh-CN" w:bidi="ar-SA"/>
        </w:rPr>
        <w:id w:val="147458957"/>
        <w:placeholder>
          <w:docPart w:val="{cf932b05-8627-4efe-8424-ef88df9bbf68}"/>
        </w:placeholder>
      </w:sdtPr>
      <w:sdtEndPr>
        <w:rPr>
          <w:rFonts w:hint="eastAsia" w:ascii="宋体" w:hAnsi="宋体" w:eastAsia="宋体" w:cs="宋体"/>
          <w:b/>
          <w:bCs/>
          <w:color w:val="auto"/>
          <w:kern w:val="2"/>
          <w:sz w:val="24"/>
          <w:szCs w:val="24"/>
          <w:highlight w:val="none"/>
          <w:lang w:val="en-US" w:eastAsia="zh-CN" w:bidi="ar-SA"/>
        </w:rPr>
      </w:sdtEndPr>
      <w:sdtContent>
        <w:p>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b/>
              <w:bCs/>
              <w:color w:val="auto"/>
              <w:sz w:val="24"/>
              <w:szCs w:val="24"/>
              <w:highlight w:val="none"/>
            </w:rPr>
            <w:t>附件3：</w:t>
          </w:r>
          <w:r>
            <w:rPr>
              <w:rFonts w:hint="eastAsia" w:ascii="宋体" w:hAnsi="宋体" w:eastAsia="宋体" w:cs="宋体"/>
              <w:b/>
              <w:bCs/>
              <w:color w:val="auto"/>
              <w:sz w:val="24"/>
              <w:szCs w:val="24"/>
              <w:highlight w:val="none"/>
            </w:rPr>
            <w:t>安装费用收费标准</w:t>
          </w:r>
        </w:p>
      </w:sdtContent>
    </w:sdt>
    <w:p>
      <w:pPr>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fldChar w:fldCharType="begin">
          <w:ffData>
            <w:name w:val="Text5"/>
            <w:enabled/>
            <w:calcOnExit w:val="0"/>
            <w:textInput/>
          </w:ffData>
        </w:fldChar>
      </w:r>
      <w:bookmarkStart w:id="32" w:name="Text5"/>
      <w:r>
        <w:rPr>
          <w:rFonts w:hint="eastAsia" w:ascii="宋体" w:hAnsi="宋体" w:eastAsia="宋体" w:cs="宋体"/>
          <w:b/>
          <w:bCs/>
          <w:color w:val="auto"/>
          <w:kern w:val="2"/>
          <w:sz w:val="24"/>
          <w:szCs w:val="24"/>
          <w:highlight w:val="none"/>
          <w:lang w:val="en-US" w:eastAsia="zh-CN" w:bidi="ar-SA"/>
        </w:rPr>
        <w:instrText xml:space="preserve">FORMTEXT</w:instrText>
      </w:r>
      <w:r>
        <w:rPr>
          <w:rFonts w:hint="eastAsia" w:ascii="宋体" w:hAnsi="宋体" w:eastAsia="宋体" w:cs="宋体"/>
          <w:b/>
          <w:bCs/>
          <w:color w:val="auto"/>
          <w:kern w:val="2"/>
          <w:sz w:val="24"/>
          <w:szCs w:val="24"/>
          <w:highlight w:val="none"/>
          <w:lang w:val="en-US" w:eastAsia="zh-CN" w:bidi="ar-SA"/>
        </w:rPr>
        <w:fldChar w:fldCharType="separate"/>
      </w:r>
      <w:r>
        <w:rPr>
          <w:rFonts w:hint="default" w:ascii="宋体" w:hAnsi="宋体" w:eastAsia="宋体" w:cs="宋体"/>
          <w:b/>
          <w:bCs/>
          <w:color w:val="auto"/>
          <w:kern w:val="2"/>
          <w:sz w:val="24"/>
          <w:szCs w:val="24"/>
          <w:highlight w:val="none"/>
          <w:lang w:val="en-US" w:eastAsia="zh-CN" w:bidi="ar-SA"/>
        </w:rPr>
        <w:t>   </w:t>
      </w:r>
    </w:p>
    <w:tbl>
      <w:tblPr>
        <w:tblStyle w:val="14"/>
        <w:tblW w:w="0" w:type="auto"/>
        <w:tblInd w:w="0" w:type="dxa"/>
        <w:tblLayout w:type="fixed"/>
        <w:tblCellMar>
          <w:top w:w="0" w:type="dxa"/>
          <w:left w:w="108" w:type="dxa"/>
          <w:bottom w:w="0" w:type="dxa"/>
          <w:right w:w="108" w:type="dxa"/>
        </w:tblCellMar>
      </w:tblPr>
      <w:tblGrid>
        <w:gridCol w:w="2125"/>
        <w:gridCol w:w="4977"/>
        <w:gridCol w:w="1194"/>
      </w:tblGrid>
      <w:tr>
        <w:tblPrEx>
          <w:tblCellMar>
            <w:top w:w="0" w:type="dxa"/>
            <w:left w:w="108" w:type="dxa"/>
            <w:bottom w:w="0" w:type="dxa"/>
            <w:right w:w="108" w:type="dxa"/>
          </w:tblCellMar>
        </w:tblPrEx>
        <w:trPr>
          <w:trHeight w:val="555" w:hRule="atLeast"/>
        </w:trPr>
        <w:tc>
          <w:tcPr>
            <w:tcW w:w="21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费用名称</w:t>
            </w:r>
          </w:p>
        </w:tc>
        <w:tc>
          <w:tcPr>
            <w:tcW w:w="4977"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区域范围</w:t>
            </w:r>
          </w:p>
        </w:tc>
        <w:tc>
          <w:tcPr>
            <w:tcW w:w="1194" w:type="dxa"/>
            <w:tcBorders>
              <w:top w:val="single" w:color="auto" w:sz="4" w:space="0"/>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tblPrEx>
          <w:tblCellMar>
            <w:top w:w="0" w:type="dxa"/>
            <w:left w:w="108" w:type="dxa"/>
            <w:bottom w:w="0" w:type="dxa"/>
            <w:right w:w="108" w:type="dxa"/>
          </w:tblCellMar>
        </w:tblPrEx>
        <w:trPr>
          <w:trHeight w:val="332" w:hRule="atLeast"/>
        </w:trPr>
        <w:tc>
          <w:tcPr>
            <w:tcW w:w="2125"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安装费用</w:t>
            </w:r>
          </w:p>
        </w:tc>
        <w:tc>
          <w:tcPr>
            <w:tcW w:w="4977"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厦门市全区、福州市区内、莆田市区内、泉州市区内、漳州市区内、龙岩市区内、三明市区内、南平市区内和宁德市区内（福建省各地市区外划分详见该表格备注栏）</w:t>
            </w:r>
          </w:p>
        </w:tc>
        <w:tc>
          <w:tcPr>
            <w:tcW w:w="1194"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免费</w:t>
            </w:r>
          </w:p>
        </w:tc>
      </w:tr>
      <w:tr>
        <w:tblPrEx>
          <w:tblCellMar>
            <w:top w:w="0" w:type="dxa"/>
            <w:left w:w="108" w:type="dxa"/>
            <w:bottom w:w="0" w:type="dxa"/>
            <w:right w:w="108" w:type="dxa"/>
          </w:tblCellMar>
        </w:tblPrEx>
        <w:trPr>
          <w:trHeight w:val="332" w:hRule="atLeast"/>
        </w:trPr>
        <w:tc>
          <w:tcPr>
            <w:tcW w:w="2125"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4977"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福州市区外、莆田市区外、泉州市区外、漳州市区外、龙岩市区外、三明市区外、南平市区外和宁德市区外（福建省各地市区外划分详见该表格备注栏）</w:t>
            </w:r>
          </w:p>
        </w:tc>
        <w:tc>
          <w:tcPr>
            <w:tcW w:w="1194" w:type="dxa"/>
            <w:tcBorders>
              <w:top w:val="nil"/>
              <w:left w:val="nil"/>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79</w:t>
            </w:r>
            <w:r>
              <w:rPr>
                <w:rFonts w:hint="eastAsia" w:ascii="宋体" w:hAnsi="宋体" w:eastAsia="宋体" w:cs="宋体"/>
                <w:color w:val="auto"/>
                <w:szCs w:val="21"/>
                <w:highlight w:val="none"/>
              </w:rPr>
              <w:t>元/台</w:t>
            </w:r>
          </w:p>
        </w:tc>
      </w:tr>
      <w:tr>
        <w:tblPrEx>
          <w:tblCellMar>
            <w:top w:w="0" w:type="dxa"/>
            <w:left w:w="108" w:type="dxa"/>
            <w:bottom w:w="0" w:type="dxa"/>
            <w:right w:w="108" w:type="dxa"/>
          </w:tblCellMar>
        </w:tblPrEx>
        <w:trPr>
          <w:trHeight w:val="1140" w:hRule="atLeast"/>
        </w:trPr>
        <w:tc>
          <w:tcPr>
            <w:tcW w:w="829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备注：福建省各地市的区内/区外划分</w:t>
            </w:r>
          </w:p>
          <w:tbl>
            <w:tblPr>
              <w:tblStyle w:val="14"/>
              <w:tblW w:w="0" w:type="auto"/>
              <w:tblInd w:w="0" w:type="dxa"/>
              <w:tblLayout w:type="fixed"/>
              <w:tblCellMar>
                <w:top w:w="0" w:type="dxa"/>
                <w:left w:w="108" w:type="dxa"/>
                <w:bottom w:w="0" w:type="dxa"/>
                <w:right w:w="108" w:type="dxa"/>
              </w:tblCellMar>
            </w:tblPr>
            <w:tblGrid>
              <w:gridCol w:w="1014"/>
              <w:gridCol w:w="993"/>
              <w:gridCol w:w="6053"/>
            </w:tblGrid>
            <w:tr>
              <w:tblPrEx>
                <w:tblCellMar>
                  <w:top w:w="0" w:type="dxa"/>
                  <w:left w:w="108" w:type="dxa"/>
                  <w:bottom w:w="0" w:type="dxa"/>
                  <w:right w:w="108" w:type="dxa"/>
                </w:tblCellMar>
              </w:tblPrEx>
              <w:trPr>
                <w:trHeight w:val="375"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厦门</w:t>
                  </w:r>
                </w:p>
              </w:tc>
              <w:tc>
                <w:tcPr>
                  <w:tcW w:w="99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岛内</w:t>
                  </w:r>
                </w:p>
              </w:tc>
              <w:tc>
                <w:tcPr>
                  <w:tcW w:w="605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思明区、湖里区</w:t>
                  </w:r>
                </w:p>
              </w:tc>
            </w:tr>
            <w:tr>
              <w:tblPrEx>
                <w:tblCellMar>
                  <w:top w:w="0" w:type="dxa"/>
                  <w:left w:w="108" w:type="dxa"/>
                  <w:bottom w:w="0" w:type="dxa"/>
                  <w:right w:w="108" w:type="dxa"/>
                </w:tblCellMar>
              </w:tblPrEx>
              <w:trPr>
                <w:trHeight w:val="40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Cs w:val="21"/>
                      <w:highlight w:val="none"/>
                    </w:rPr>
                  </w:pPr>
                </w:p>
              </w:tc>
              <w:tc>
                <w:tcPr>
                  <w:tcW w:w="99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岛外</w:t>
                  </w:r>
                </w:p>
              </w:tc>
              <w:tc>
                <w:tcPr>
                  <w:tcW w:w="605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海沧区、集美区、同安区、翔安区等厦门市非岛内范围</w:t>
                  </w:r>
                </w:p>
              </w:tc>
            </w:tr>
            <w:tr>
              <w:tblPrEx>
                <w:tblCellMar>
                  <w:top w:w="0" w:type="dxa"/>
                  <w:left w:w="108" w:type="dxa"/>
                  <w:bottom w:w="0" w:type="dxa"/>
                  <w:right w:w="108" w:type="dxa"/>
                </w:tblCellMar>
              </w:tblPrEx>
              <w:trPr>
                <w:trHeight w:val="310" w:hRule="atLeast"/>
              </w:trPr>
              <w:tc>
                <w:tcPr>
                  <w:tcW w:w="1014"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福州市</w:t>
                  </w:r>
                </w:p>
              </w:tc>
              <w:tc>
                <w:tcPr>
                  <w:tcW w:w="99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鼓楼区、台江区、仓山区、晋安区、马尾区</w:t>
                  </w:r>
                </w:p>
              </w:tc>
            </w:tr>
            <w:tr>
              <w:tblPrEx>
                <w:tblCellMar>
                  <w:top w:w="0" w:type="dxa"/>
                  <w:left w:w="108" w:type="dxa"/>
                  <w:bottom w:w="0" w:type="dxa"/>
                  <w:right w:w="108" w:type="dxa"/>
                </w:tblCellMar>
              </w:tblPrEx>
              <w:trPr>
                <w:trHeight w:val="615" w:hRule="atLeast"/>
              </w:trPr>
              <w:tc>
                <w:tcPr>
                  <w:tcW w:w="1014"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福清市、长乐市、闽侯县、连江县、罗源县、闽清县、永泰县、平潭县等福州市非区内范围</w:t>
                  </w:r>
                </w:p>
              </w:tc>
            </w:tr>
            <w:tr>
              <w:tblPrEx>
                <w:tblCellMar>
                  <w:top w:w="0" w:type="dxa"/>
                  <w:left w:w="108" w:type="dxa"/>
                  <w:bottom w:w="0" w:type="dxa"/>
                  <w:right w:w="108" w:type="dxa"/>
                </w:tblCellMar>
              </w:tblPrEx>
              <w:trPr>
                <w:trHeight w:val="390"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莆田市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城厢区、荔城区、涵江区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秀屿区、湄洲岛、仙游县、湄洲湾北岸开发区等莆田市非区内范围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泉州市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鲤城区、丰泽区、洛江区、泉港区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晋江市、石狮市、南安市、惠安县、安溪县、永春县、德化县等泉州市非区内范围</w:t>
                  </w:r>
                </w:p>
              </w:tc>
            </w:tr>
            <w:tr>
              <w:tblPrEx>
                <w:tblCellMar>
                  <w:top w:w="0" w:type="dxa"/>
                  <w:left w:w="108" w:type="dxa"/>
                  <w:bottom w:w="0" w:type="dxa"/>
                  <w:right w:w="108" w:type="dxa"/>
                </w:tblCellMar>
              </w:tblPrEx>
              <w:trPr>
                <w:trHeight w:val="40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漳州市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芗城区、龙文区</w:t>
                  </w:r>
                  <w:r>
                    <w:rPr>
                      <w:rFonts w:hint="default" w:ascii="宋体" w:hAnsi="宋体" w:cs="宋体"/>
                      <w:color w:val="auto"/>
                      <w:kern w:val="0"/>
                      <w:szCs w:val="21"/>
                      <w:highlight w:val="none"/>
                    </w:rPr>
                    <w:t>、龙海区、长泰区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云霄县、漳浦县、诏安县、东山县、南靖县、平和县、华安县等漳州市非区内范围</w:t>
                  </w:r>
                </w:p>
              </w:tc>
            </w:tr>
            <w:tr>
              <w:tblPrEx>
                <w:tblCellMar>
                  <w:top w:w="0" w:type="dxa"/>
                  <w:left w:w="108" w:type="dxa"/>
                  <w:bottom w:w="0" w:type="dxa"/>
                  <w:right w:w="108" w:type="dxa"/>
                </w:tblCellMar>
              </w:tblPrEx>
              <w:trPr>
                <w:trHeight w:val="28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龙岩市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新罗区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永定区、长汀县、连城县、上杭县、武平县等龙岩市非区内范围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三明市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梅列区、三元区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永安市、沙县、尤溪县、大田县、明溪县、清流县、宁化县、将乐县、泰宁县、建宁县等三明市非区内范围</w:t>
                  </w:r>
                </w:p>
              </w:tc>
            </w:tr>
            <w:tr>
              <w:tblPrEx>
                <w:tblCellMar>
                  <w:top w:w="0" w:type="dxa"/>
                  <w:left w:w="108" w:type="dxa"/>
                  <w:bottom w:w="0" w:type="dxa"/>
                  <w:right w:w="108" w:type="dxa"/>
                </w:tblCellMar>
              </w:tblPrEx>
              <w:trPr>
                <w:trHeight w:val="34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南平市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延平区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顺昌县、建瓯市、邵武市、建阳区、政和县、松溪县、浦城县、武夷山市、光泽县等南平市非区内范围</w:t>
                  </w:r>
                </w:p>
              </w:tc>
            </w:tr>
            <w:tr>
              <w:tblPrEx>
                <w:tblCellMar>
                  <w:top w:w="0" w:type="dxa"/>
                  <w:left w:w="108" w:type="dxa"/>
                  <w:bottom w:w="0" w:type="dxa"/>
                  <w:right w:w="108" w:type="dxa"/>
                </w:tblCellMar>
              </w:tblPrEx>
              <w:trPr>
                <w:trHeight w:val="375" w:hRule="atLeast"/>
              </w:trPr>
              <w:tc>
                <w:tcPr>
                  <w:tcW w:w="1014"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宁德市</w:t>
                  </w: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区内</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蕉城区、东侨新区</w:t>
                  </w:r>
                </w:p>
              </w:tc>
            </w:tr>
            <w:tr>
              <w:tblPrEx>
                <w:tblCellMar>
                  <w:top w:w="0" w:type="dxa"/>
                  <w:left w:w="108" w:type="dxa"/>
                  <w:bottom w:w="0" w:type="dxa"/>
                  <w:right w:w="108" w:type="dxa"/>
                </w:tblCellMar>
              </w:tblPrEx>
              <w:trPr>
                <w:trHeight w:val="615" w:hRule="atLeast"/>
              </w:trPr>
              <w:tc>
                <w:tcPr>
                  <w:tcW w:w="1014"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rPr>
                  </w:pPr>
                </w:p>
              </w:tc>
              <w:tc>
                <w:tcPr>
                  <w:tcW w:w="99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区外</w:t>
                  </w:r>
                </w:p>
              </w:tc>
              <w:tc>
                <w:tcPr>
                  <w:tcW w:w="6053"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rPr>
                    <w:t>福安市、福鼎市、霞浦县、古田县、屏南县、寿宁县、周宁县、柘荣县等宁德市非区内范围</w:t>
                  </w:r>
                </w:p>
              </w:tc>
            </w:tr>
          </w:tbl>
          <w:p>
            <w:pPr>
              <w:keepNext w:val="0"/>
              <w:keepLines w:val="0"/>
              <w:suppressLineNumbers w:val="0"/>
              <w:shd w:val="clear" w:color="auto" w:fill="FFFFFF"/>
              <w:spacing w:before="0" w:beforeAutospacing="0" w:after="0" w:afterAutospacing="0"/>
              <w:ind w:left="0" w:right="0"/>
              <w:rPr>
                <w:rFonts w:hint="default" w:ascii="宋体" w:hAnsi="宋体" w:eastAsia="宋体" w:cs="宋体"/>
                <w:color w:val="auto"/>
                <w:szCs w:val="21"/>
                <w:highlight w:val="none"/>
              </w:rPr>
            </w:pPr>
          </w:p>
        </w:tc>
      </w:tr>
    </w:tbl>
    <w:p>
      <w:pPr>
        <w:rPr>
          <w:rFonts w:hint="eastAsia"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  </w:t>
      </w:r>
      <w:r>
        <w:rPr>
          <w:rFonts w:hint="eastAsia" w:ascii="宋体" w:hAnsi="宋体" w:eastAsia="宋体" w:cs="宋体"/>
          <w:b/>
          <w:bCs/>
          <w:color w:val="auto"/>
          <w:kern w:val="2"/>
          <w:sz w:val="24"/>
          <w:szCs w:val="24"/>
          <w:highlight w:val="none"/>
          <w:lang w:val="en-US" w:eastAsia="zh-CN" w:bidi="ar-SA"/>
        </w:rPr>
        <w:fldChar w:fldCharType="end"/>
      </w:r>
      <w:bookmarkEnd w:id="32"/>
    </w:p>
    <w:p>
      <w:pPr>
        <w:rPr>
          <w:rFonts w:ascii="宋体" w:hAnsi="宋体" w:eastAsia="宋体"/>
          <w:color w:val="auto"/>
          <w:sz w:val="24"/>
          <w:szCs w:val="24"/>
          <w:highlight w:val="none"/>
        </w:rPr>
      </w:pPr>
    </w:p>
    <w:p>
      <w:pPr>
        <w:rPr>
          <w:rFonts w:ascii="宋体" w:hAnsi="宋体" w:eastAsia="宋体"/>
          <w:color w:val="auto"/>
          <w:highlight w:val="none"/>
        </w:rPr>
      </w:pPr>
    </w:p>
    <w:p>
      <w:pPr>
        <w:rPr>
          <w:rFonts w:ascii="宋体" w:hAnsi="宋体" w:eastAsia="宋体"/>
          <w:color w:val="auto"/>
          <w:highlight w:val="none"/>
        </w:rPr>
        <w:sectPr>
          <w:pgSz w:w="11906" w:h="16838"/>
          <w:pgMar w:top="1440" w:right="1800" w:bottom="1440" w:left="1800" w:header="851" w:footer="992" w:gutter="0"/>
          <w:cols w:space="425" w:num="1"/>
          <w:docGrid w:type="lines" w:linePitch="312" w:charSpace="0"/>
        </w:sectPr>
      </w:pPr>
    </w:p>
    <w:sdt>
      <w:sdtPr>
        <w:rPr>
          <w:rFonts w:hint="eastAsia" w:ascii="宋体" w:hAnsi="宋体" w:eastAsia="宋体" w:cstheme="minorBidi"/>
          <w:b/>
          <w:bCs/>
          <w:color w:val="auto"/>
          <w:kern w:val="2"/>
          <w:sz w:val="24"/>
          <w:szCs w:val="24"/>
          <w:highlight w:val="none"/>
          <w:lang w:val="en-US" w:eastAsia="zh-CN" w:bidi="ar-SA"/>
        </w:rPr>
        <w:id w:val="147458863"/>
        <w:placeholder>
          <w:docPart w:val="{6d974732-8c21-465c-b197-d5831fea468d}"/>
        </w:placeholder>
      </w:sdtPr>
      <w:sdtEndPr>
        <w:rPr>
          <w:rFonts w:hint="eastAsia" w:ascii="宋体" w:hAnsi="宋体" w:eastAsia="宋体" w:cstheme="minorBidi"/>
          <w:b/>
          <w:bCs/>
          <w:color w:val="auto"/>
          <w:kern w:val="2"/>
          <w:sz w:val="24"/>
          <w:szCs w:val="24"/>
          <w:highlight w:val="none"/>
          <w:lang w:val="en-US" w:eastAsia="zh-CN" w:bidi="ar-SA"/>
        </w:rPr>
      </w:sdtEndPr>
      <w:sdtContent>
        <w:p>
          <w:pPr>
            <w:spacing w:line="360" w:lineRule="auto"/>
            <w:rPr>
              <w:rFonts w:ascii="宋体" w:hAnsi="宋体" w:eastAsia="宋体"/>
              <w:b/>
              <w:bCs/>
              <w:color w:val="auto"/>
              <w:sz w:val="24"/>
              <w:szCs w:val="24"/>
              <w:highlight w:val="none"/>
            </w:rPr>
          </w:pPr>
          <w:bookmarkStart w:id="33" w:name="_Hlk97132415"/>
          <w:r>
            <w:rPr>
              <w:rFonts w:hint="eastAsia" w:ascii="宋体" w:hAnsi="宋体" w:eastAsia="宋体"/>
              <w:b/>
              <w:bCs/>
              <w:color w:val="auto"/>
              <w:sz w:val="24"/>
              <w:szCs w:val="24"/>
              <w:highlight w:val="none"/>
            </w:rPr>
            <w:t>附件4：定货单样单</w:t>
          </w:r>
        </w:p>
      </w:sdtContent>
    </w:sdt>
    <w:sdt>
      <w:sdtPr>
        <w:rPr>
          <w:rFonts w:hint="eastAsia" w:ascii="宋体" w:hAnsi="宋体" w:eastAsiaTheme="minorEastAsia" w:cstheme="minorBidi"/>
          <w:b/>
          <w:bCs/>
          <w:color w:val="auto"/>
          <w:kern w:val="2"/>
          <w:sz w:val="32"/>
          <w:szCs w:val="32"/>
          <w:highlight w:val="none"/>
          <w:lang w:val="en-US" w:eastAsia="zh-CN" w:bidi="ar-SA"/>
        </w:rPr>
        <w:id w:val="147458797"/>
        <w:placeholder>
          <w:docPart w:val="{a850a35a-d92b-4ad1-b442-6fe8bb4d2a9f}"/>
        </w:placeholder>
      </w:sdtPr>
      <w:sdtEndPr>
        <w:rPr>
          <w:rFonts w:hint="eastAsia" w:ascii="宋体" w:hAnsi="宋体" w:cs="宋体" w:eastAsiaTheme="minorEastAsia"/>
          <w:b/>
          <w:bCs/>
          <w:color w:val="auto"/>
          <w:kern w:val="2"/>
          <w:sz w:val="24"/>
          <w:szCs w:val="22"/>
          <w:highlight w:val="none"/>
          <w:lang w:val="en-US" w:eastAsia="zh-CN" w:bidi="ar-SA"/>
        </w:rPr>
      </w:sdtEndPr>
      <w:sdtContent>
        <w:p>
          <w:pPr>
            <w:jc w:val="center"/>
            <w:rPr>
              <w:rFonts w:ascii="宋体" w:hAnsi="宋体"/>
              <w:b/>
              <w:bCs/>
              <w:color w:val="auto"/>
              <w:sz w:val="32"/>
              <w:szCs w:val="32"/>
              <w:highlight w:val="none"/>
            </w:rPr>
          </w:pPr>
          <w:r>
            <w:rPr>
              <w:rFonts w:hint="eastAsia" w:ascii="宋体" w:hAnsi="宋体"/>
              <w:b/>
              <w:bCs/>
              <w:color w:val="auto"/>
              <w:sz w:val="32"/>
              <w:szCs w:val="32"/>
              <w:highlight w:val="none"/>
            </w:rPr>
            <w:t>定货单</w:t>
          </w:r>
        </w:p>
        <w:bookmarkEnd w:id="33"/>
        <w:p>
          <w:pPr>
            <w:widowControl/>
            <w:spacing w:line="440" w:lineRule="exact"/>
            <w:ind w:firstLine="2400" w:firstLineChars="10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（定货单编号：           ）</w:t>
          </w:r>
        </w:p>
        <w:p>
          <w:pPr>
            <w:jc w:val="center"/>
            <w:rPr>
              <w:rFonts w:ascii="宋体" w:hAnsi="宋体"/>
              <w:color w:val="auto"/>
              <w:sz w:val="24"/>
              <w:highlight w:val="none"/>
            </w:rPr>
          </w:pPr>
        </w:p>
        <w:p>
          <w:pPr>
            <w:widowControl/>
            <w:spacing w:line="440" w:lineRule="exact"/>
            <w:ind w:firstLine="2400" w:firstLineChars="10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w:t>
          </w:r>
        </w:p>
        <w:p>
          <w:pPr>
            <w:widowControl/>
            <w:spacing w:line="440" w:lineRule="exact"/>
            <w:ind w:right="357" w:rightChars="170"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根据我司与贵司[]年[  ]月[  ]日签订的[              ]号《 大宗采购合同》，现我司向贵司确认本次采购产品明细如下：</w:t>
          </w:r>
        </w:p>
        <w:p>
          <w:pPr>
            <w:widowControl/>
            <w:spacing w:line="440" w:lineRule="exact"/>
            <w:ind w:right="357" w:rightChars="170" w:firstLine="482" w:firstLineChars="200"/>
            <w:rPr>
              <w:rFonts w:ascii="宋体" w:hAnsi="宋体" w:cs="宋体" w:eastAsiaTheme="minorEastAsia"/>
              <w:color w:val="auto"/>
              <w:kern w:val="2"/>
              <w:sz w:val="24"/>
              <w:szCs w:val="22"/>
              <w:highlight w:val="none"/>
              <w:lang w:val="en-US" w:eastAsia="zh-CN" w:bidi="ar-SA"/>
            </w:rPr>
          </w:pPr>
        </w:p>
      </w:sdtContent>
    </w:sdt>
    <w:p>
      <w:pPr>
        <w:widowControl/>
        <w:spacing w:line="440" w:lineRule="exact"/>
        <w:ind w:right="357" w:rightChars="170" w:firstLine="480" w:firstLineChars="200"/>
        <w:rPr>
          <w:rFonts w:hint="default" w:ascii="宋体" w:hAnsi="宋体" w:cs="宋体" w:eastAsiaTheme="minorEastAsia"/>
          <w:color w:val="auto"/>
          <w:kern w:val="2"/>
          <w:sz w:val="24"/>
          <w:szCs w:val="22"/>
          <w:highlight w:val="none"/>
          <w:lang w:val="en-US" w:eastAsia="zh-CN" w:bidi="ar-SA"/>
        </w:rPr>
      </w:pPr>
      <w:r>
        <w:rPr>
          <w:rFonts w:ascii="宋体" w:hAnsi="宋体" w:cs="宋体" w:eastAsiaTheme="minorEastAsia"/>
          <w:color w:val="auto"/>
          <w:kern w:val="2"/>
          <w:sz w:val="24"/>
          <w:szCs w:val="22"/>
          <w:highlight w:val="none"/>
          <w:lang w:val="en-US" w:eastAsia="zh-CN" w:bidi="ar-SA"/>
        </w:rPr>
        <w:fldChar w:fldCharType="begin">
          <w:ffData>
            <w:name w:val="Text6"/>
            <w:enabled/>
            <w:calcOnExit w:val="0"/>
            <w:textInput/>
          </w:ffData>
        </w:fldChar>
      </w:r>
      <w:bookmarkStart w:id="34" w:name="Text6"/>
      <w:r>
        <w:rPr>
          <w:rFonts w:ascii="宋体" w:hAnsi="宋体" w:cs="宋体" w:eastAsiaTheme="minorEastAsia"/>
          <w:color w:val="auto"/>
          <w:kern w:val="2"/>
          <w:sz w:val="24"/>
          <w:szCs w:val="22"/>
          <w:highlight w:val="none"/>
          <w:lang w:val="en-US" w:eastAsia="zh-CN" w:bidi="ar-SA"/>
        </w:rPr>
        <w:instrText xml:space="preserve">FORMTEXT</w:instrText>
      </w:r>
      <w:r>
        <w:rPr>
          <w:rFonts w:ascii="宋体" w:hAnsi="宋体" w:cs="宋体" w:eastAsiaTheme="minorEastAsia"/>
          <w:color w:val="auto"/>
          <w:kern w:val="2"/>
          <w:sz w:val="24"/>
          <w:szCs w:val="22"/>
          <w:highlight w:val="none"/>
          <w:lang w:val="en-US" w:eastAsia="zh-CN" w:bidi="ar-SA"/>
        </w:rPr>
        <w:fldChar w:fldCharType="separate"/>
      </w:r>
      <w:r>
        <w:rPr>
          <w:rFonts w:hint="default" w:ascii="宋体" w:hAnsi="宋体" w:cs="宋体" w:eastAsiaTheme="minorEastAsia"/>
          <w:color w:val="auto"/>
          <w:kern w:val="2"/>
          <w:sz w:val="24"/>
          <w:szCs w:val="22"/>
          <w:highlight w:val="none"/>
          <w:lang w:val="en-US" w:eastAsia="zh-CN" w:bidi="ar-SA"/>
        </w:rPr>
        <w:t>   </w:t>
      </w:r>
    </w:p>
    <w:tbl>
      <w:tblPr>
        <w:tblStyle w:val="1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666"/>
        <w:gridCol w:w="1418"/>
        <w:gridCol w:w="1701"/>
        <w:gridCol w:w="131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产品名称</w:t>
            </w:r>
          </w:p>
        </w:tc>
        <w:tc>
          <w:tcPr>
            <w:tcW w:w="166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规格型号</w:t>
            </w:r>
          </w:p>
        </w:tc>
        <w:tc>
          <w:tcPr>
            <w:tcW w:w="141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制造商</w:t>
            </w:r>
          </w:p>
        </w:tc>
        <w:tc>
          <w:tcPr>
            <w:tcW w:w="170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单价（元）</w:t>
            </w:r>
          </w:p>
        </w:tc>
        <w:tc>
          <w:tcPr>
            <w:tcW w:w="131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总金（元）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66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41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theme="minorEastAsia"/>
                <w:color w:val="auto"/>
                <w:kern w:val="0"/>
                <w:szCs w:val="21"/>
                <w:highlight w:val="none"/>
              </w:rPr>
            </w:pPr>
          </w:p>
        </w:tc>
        <w:tc>
          <w:tcPr>
            <w:tcW w:w="170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31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69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66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418"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olor w:val="auto"/>
                <w:sz w:val="24"/>
                <w:szCs w:val="24"/>
                <w:highlight w:val="none"/>
              </w:rPr>
            </w:pPr>
          </w:p>
        </w:tc>
        <w:tc>
          <w:tcPr>
            <w:tcW w:w="170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31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81" w:type="dxa"/>
            <w:gridSpan w:val="4"/>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19"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auto"/>
                <w:kern w:val="0"/>
                <w:sz w:val="24"/>
                <w:szCs w:val="24"/>
                <w:highlight w:val="none"/>
              </w:rPr>
            </w:pPr>
          </w:p>
        </w:tc>
        <w:tc>
          <w:tcPr>
            <w:tcW w:w="1560" w:type="dxa"/>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等线"/>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60" w:type="dxa"/>
            <w:gridSpan w:val="6"/>
            <w:vAlign w:val="center"/>
          </w:tcPr>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定货单总价： 元整</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收货单位：</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交货地址：</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交货时间：</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olor w:val="auto"/>
                <w:sz w:val="24"/>
                <w:szCs w:val="24"/>
                <w:highlight w:val="none"/>
              </w:rPr>
              <w:t>安装时间：贵司应负责货物（设备）的安装，在接到我司或最终用户的安装要求后4个小时内安排安装服务人员到达指定地点进行安装调试，安装调试完成后三日内将最终用户确认的最终验收合格交付单及时反馈给我司。</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收货联系人及联系方式：</w:t>
            </w:r>
          </w:p>
        </w:tc>
      </w:tr>
    </w:tbl>
    <w:p>
      <w:pPr>
        <w:widowControl/>
        <w:spacing w:line="440" w:lineRule="exact"/>
        <w:ind w:right="357" w:rightChars="170" w:firstLine="480" w:firstLineChars="200"/>
        <w:rPr>
          <w:rFonts w:ascii="宋体" w:hAnsi="宋体" w:cs="宋体" w:eastAsiaTheme="minorEastAsia"/>
          <w:color w:val="auto"/>
          <w:kern w:val="2"/>
          <w:sz w:val="24"/>
          <w:szCs w:val="22"/>
          <w:highlight w:val="none"/>
          <w:lang w:val="en-US" w:eastAsia="zh-CN" w:bidi="ar-SA"/>
        </w:rPr>
      </w:pPr>
      <w:r>
        <w:rPr>
          <w:rFonts w:hint="default" w:ascii="宋体" w:hAnsi="宋体" w:cs="宋体" w:eastAsiaTheme="minorEastAsia"/>
          <w:color w:val="auto"/>
          <w:kern w:val="2"/>
          <w:sz w:val="24"/>
          <w:szCs w:val="22"/>
          <w:highlight w:val="none"/>
          <w:lang w:val="en-US" w:eastAsia="zh-CN" w:bidi="ar-SA"/>
        </w:rPr>
        <w:t>  </w:t>
      </w:r>
      <w:r>
        <w:rPr>
          <w:rFonts w:ascii="宋体" w:hAnsi="宋体" w:cs="宋体" w:eastAsiaTheme="minorEastAsia"/>
          <w:color w:val="auto"/>
          <w:kern w:val="2"/>
          <w:sz w:val="24"/>
          <w:szCs w:val="22"/>
          <w:highlight w:val="none"/>
          <w:lang w:val="en-US" w:eastAsia="zh-CN" w:bidi="ar-SA"/>
        </w:rPr>
        <w:fldChar w:fldCharType="end"/>
      </w:r>
      <w:bookmarkEnd w:id="34"/>
    </w:p>
    <w:sdt>
      <w:sdtPr>
        <w:rPr>
          <w:rFonts w:hint="eastAsia" w:ascii="宋体" w:hAnsi="宋体" w:eastAsiaTheme="minorEastAsia" w:cstheme="minorBidi"/>
          <w:color w:val="auto"/>
          <w:kern w:val="2"/>
          <w:sz w:val="24"/>
          <w:szCs w:val="22"/>
          <w:highlight w:val="none"/>
          <w:lang w:val="en-US" w:eastAsia="zh-CN" w:bidi="ar-SA"/>
        </w:rPr>
        <w:id w:val="147458696"/>
        <w:placeholder>
          <w:docPart w:val="{6b729929-0953-4c99-932b-e551836f4a7a}"/>
        </w:placeholder>
      </w:sdtPr>
      <w:sdtEndPr>
        <w:rPr>
          <w:rFonts w:hint="eastAsia" w:ascii="宋体" w:hAnsi="宋体" w:eastAsia="宋体" w:cs="宋体"/>
          <w:color w:val="auto"/>
          <w:kern w:val="0"/>
          <w:sz w:val="24"/>
          <w:szCs w:val="24"/>
          <w:highlight w:val="none"/>
          <w:lang w:val="en-US" w:eastAsia="zh-CN" w:bidi="ar-SA"/>
        </w:rPr>
      </w:sdtEndPr>
      <w:sdtContent>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注：授权经办指定邮箱发送的扫描件与原件具有同等法律效力。</w:t>
          </w:r>
        </w:p>
        <w:p>
          <w:pPr>
            <w:widowControl/>
            <w:spacing w:line="440" w:lineRule="exact"/>
            <w:rPr>
              <w:rFonts w:ascii="宋体" w:hAnsi="宋体" w:cs="宋体"/>
              <w:color w:val="auto"/>
              <w:sz w:val="24"/>
              <w:highlight w:val="none"/>
            </w:rPr>
          </w:pPr>
        </w:p>
        <w:p>
          <w:pPr>
            <w:widowControl/>
            <w:spacing w:line="440" w:lineRule="exact"/>
            <w:rPr>
              <w:rFonts w:ascii="宋体" w:hAnsi="宋体" w:cs="宋体"/>
              <w:color w:val="auto"/>
              <w:sz w:val="24"/>
              <w:highlight w:val="none"/>
            </w:rPr>
          </w:pPr>
        </w:p>
        <w:p>
          <w:pPr>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采购单位：</w:t>
          </w:r>
          <w:bookmarkStart w:id="35" w:name="_Hlk97045152"/>
          <w:r>
            <w:rPr>
              <w:rFonts w:hint="eastAsia" w:ascii="宋体" w:hAnsi="宋体" w:eastAsia="宋体" w:cs="宋体"/>
              <w:color w:val="auto"/>
              <w:kern w:val="0"/>
              <w:sz w:val="24"/>
              <w:szCs w:val="24"/>
              <w:highlight w:val="none"/>
            </w:rPr>
            <w:t>厦门万翔网络商务有限公司</w:t>
          </w:r>
        </w:p>
        <w:bookmarkEnd w:id="35"/>
        <w:p>
          <w:pPr>
            <w:spacing w:line="360" w:lineRule="auto"/>
            <w:ind w:firstLine="480" w:firstLineChars="200"/>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sdtContent>
    </w:sdt>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sdt>
      <w:sdtPr>
        <w:rPr>
          <w:rFonts w:hint="eastAsia" w:ascii="宋体" w:hAnsi="宋体" w:eastAsia="宋体" w:cstheme="minorBidi"/>
          <w:b/>
          <w:bCs/>
          <w:color w:val="auto"/>
          <w:kern w:val="2"/>
          <w:sz w:val="24"/>
          <w:szCs w:val="24"/>
          <w:highlight w:val="none"/>
          <w:lang w:val="en-US" w:eastAsia="zh-CN" w:bidi="ar-SA"/>
        </w:rPr>
        <w:id w:val="147458686"/>
        <w:placeholder>
          <w:docPart w:val="{f5ae2a83-8447-497b-8fd3-0627ee6af78f}"/>
        </w:placeholder>
      </w:sdtPr>
      <w:sdtEndPr>
        <w:rPr>
          <w:rFonts w:hint="eastAsia" w:ascii="宋体" w:hAnsi="宋体" w:eastAsia="宋体" w:cstheme="minorBidi"/>
          <w:b/>
          <w:bCs/>
          <w:color w:val="auto"/>
          <w:kern w:val="2"/>
          <w:sz w:val="24"/>
          <w:szCs w:val="24"/>
          <w:highlight w:val="none"/>
          <w:lang w:val="en-US" w:eastAsia="zh-CN" w:bidi="ar-SA"/>
        </w:rPr>
      </w:sdtEndPr>
      <w:sdtContent>
        <w:p>
          <w:pP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附件5：验收单样单</w:t>
          </w:r>
        </w:p>
      </w:sdtContent>
    </w:sdt>
    <w:sdt>
      <w:sdtPr>
        <w:rPr>
          <w:rFonts w:hint="eastAsia" w:ascii="宋体" w:hAnsi="宋体" w:eastAsia="宋体" w:cstheme="minorBidi"/>
          <w:b/>
          <w:bCs/>
          <w:color w:val="auto"/>
          <w:kern w:val="2"/>
          <w:sz w:val="24"/>
          <w:szCs w:val="24"/>
          <w:highlight w:val="none"/>
          <w:lang w:val="en-US" w:eastAsia="zh-CN" w:bidi="ar-SA"/>
        </w:rPr>
        <w:id w:val="147458660"/>
        <w:placeholder>
          <w:docPart w:val="{37662cdd-15a3-4967-995c-2a67825da196}"/>
        </w:placeholder>
      </w:sdtPr>
      <w:sdtEndPr>
        <w:rPr>
          <w:rFonts w:hint="eastAsia" w:ascii="宋体" w:hAnsi="宋体" w:eastAsia="宋体" w:cstheme="minorBidi"/>
          <w:b/>
          <w:bCs/>
          <w:color w:val="auto"/>
          <w:kern w:val="2"/>
          <w:sz w:val="24"/>
          <w:szCs w:val="24"/>
          <w:highlight w:val="none"/>
          <w:lang w:val="en-US" w:eastAsia="zh-CN" w:bidi="ar-SA"/>
        </w:rPr>
      </w:sdtEndPr>
      <w:sdtContent>
        <w:p>
          <w:pPr>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drawing>
              <wp:inline distT="0" distB="0" distL="114300" distR="114300">
                <wp:extent cx="5274310" cy="7529195"/>
                <wp:effectExtent l="0" t="0" r="2540" b="14605"/>
                <wp:docPr id="1" name="图片 1" descr="副本验收报告格式(最终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副本验收报告格式(最终稿）(2)"/>
                        <pic:cNvPicPr>
                          <a:picLocks noChangeAspect="1"/>
                        </pic:cNvPicPr>
                      </pic:nvPicPr>
                      <pic:blipFill>
                        <a:blip r:embed="rId12" cstate="print"/>
                        <a:stretch>
                          <a:fillRect/>
                        </a:stretch>
                      </pic:blipFill>
                      <pic:spPr>
                        <a:xfrm>
                          <a:off x="0" y="0"/>
                          <a:ext cx="5274310" cy="7529195"/>
                        </a:xfrm>
                        <a:prstGeom prst="rect">
                          <a:avLst/>
                        </a:prstGeom>
                      </pic:spPr>
                    </pic:pic>
                  </a:graphicData>
                </a:graphic>
              </wp:inline>
            </w:drawing>
          </w:r>
        </w:p>
      </w:sdtContent>
    </w:sdt>
    <w:p>
      <w:pPr>
        <w:rPr>
          <w:b/>
          <w:bCs/>
          <w:color w:val="auto"/>
          <w:highlight w:val="none"/>
        </w:rPr>
      </w:pPr>
    </w:p>
    <w:p>
      <w:pPr>
        <w:spacing w:line="360" w:lineRule="auto"/>
        <w:rPr>
          <w:rFonts w:hint="eastAsia" w:ascii="宋体" w:hAnsi="宋体" w:eastAsia="宋体" w:cs="宋体"/>
          <w:color w:val="auto"/>
          <w:sz w:val="24"/>
          <w:szCs w:val="24"/>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sectPr>
      <w:footerReference r:id="rId10"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1"/>
        <w:szCs w:val="21"/>
      </w:rPr>
    </w:pPr>
    <w:r>
      <w:rPr>
        <w:rFonts w:hint="eastAsia"/>
      </w:rPr>
      <w:t xml:space="preserve">                                          </w:t>
    </w:r>
    <w:r>
      <w:rPr>
        <w:rFonts w:hint="eastAsia" w:ascii="宋体" w:hAnsi="宋体"/>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rPr>
    </w:pPr>
    <w:r>
      <w:rPr>
        <w:rFonts w:hint="eastAsia"/>
      </w:rPr>
      <w:t xml:space="preserve">                                          </w:t>
    </w:r>
    <w:r>
      <w:rPr>
        <w:rFonts w:hint="eastAsia" w:ascii="宋体" w:hAnsi="宋体"/>
        <w:sz w:val="21"/>
        <w:szCs w:val="21"/>
      </w:rPr>
      <w:t xml:space="preserve">   </w:t>
    </w:r>
    <w:r>
      <w:rPr>
        <w:rFonts w:ascii="宋体" w:hAnsi="宋体"/>
      </w:rPr>
      <w:t xml:space="preserve"> 1-</w:t>
    </w:r>
    <w:r>
      <w:rPr>
        <w:rFonts w:ascii="宋体" w:hAnsi="宋体"/>
      </w:rPr>
      <w:fldChar w:fldCharType="begin"/>
    </w:r>
    <w:r>
      <w:rPr>
        <w:rStyle w:val="18"/>
        <w:rFonts w:ascii="宋体" w:hAnsi="宋体"/>
      </w:rPr>
      <w:instrText xml:space="preserve"> PAGE </w:instrText>
    </w:r>
    <w:r>
      <w:rPr>
        <w:rFonts w:ascii="宋体" w:hAnsi="宋体"/>
      </w:rPr>
      <w:fldChar w:fldCharType="separate"/>
    </w:r>
    <w:r>
      <w:rPr>
        <w:rStyle w:val="18"/>
        <w:rFonts w:ascii="宋体" w:hAnsi="宋体"/>
      </w:rPr>
      <w:t>1</w:t>
    </w:r>
    <w:r>
      <w:rPr>
        <w:rFonts w:ascii="宋体" w:hAnsi="宋体"/>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Style w:val="18"/>
        <w:rFonts w:ascii="宋体" w:hAnsi="宋体"/>
        <w:szCs w:val="20"/>
      </w:rPr>
      <w:t>2-1-</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28</w:t>
    </w:r>
    <w:r>
      <w:rPr>
        <w:rFonts w:ascii="宋体" w:hAnsi="宋体"/>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460"/>
        <w:tab w:val="clear" w:pos="8306"/>
      </w:tabs>
      <w:ind w:right="-89" w:firstLine="420"/>
      <w:jc w:val="center"/>
      <w:rPr>
        <w:rFonts w:ascii="宋体" w:hAnsi="宋体"/>
      </w:rPr>
    </w:pPr>
    <w:r>
      <w:rPr>
        <w:rFonts w:ascii="宋体" w:hAnsi="宋体"/>
        <w:szCs w:val="20"/>
      </w:rPr>
      <w:t xml:space="preserve"> 3-</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4</w:t>
    </w:r>
    <w:r>
      <w:rPr>
        <w:rFonts w:ascii="宋体" w:hAnsi="宋体"/>
        <w:szCs w:val="20"/>
      </w:rPr>
      <w:fldChar w:fldCharType="end"/>
    </w:r>
    <w:r>
      <w:rPr>
        <w:rFonts w:ascii="宋体" w:hAnsi="宋体"/>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460"/>
        <w:tab w:val="clear" w:pos="8306"/>
      </w:tabs>
      <w:ind w:right="-89" w:firstLine="420"/>
      <w:jc w:val="center"/>
      <w:rPr>
        <w:rFonts w:ascii="宋体" w:hAnsi="宋体"/>
      </w:rPr>
    </w:pPr>
    <w:r>
      <w:rPr>
        <w:rFonts w:ascii="宋体" w:hAnsi="宋体"/>
        <w:szCs w:val="20"/>
      </w:rPr>
      <w:t xml:space="preserve"> </w:t>
    </w:r>
    <w:r>
      <w:rPr>
        <w:rFonts w:hint="eastAsia" w:ascii="宋体" w:hAnsi="宋体"/>
        <w:szCs w:val="20"/>
      </w:rPr>
      <w:t>4</w:t>
    </w:r>
    <w:r>
      <w:rPr>
        <w:rFonts w:ascii="宋体" w:hAnsi="宋体"/>
        <w:szCs w:val="20"/>
      </w:rPr>
      <w:t>-</w:t>
    </w:r>
    <w:r>
      <w:rPr>
        <w:rFonts w:ascii="宋体" w:hAnsi="宋体"/>
        <w:szCs w:val="20"/>
      </w:rPr>
      <w:fldChar w:fldCharType="begin"/>
    </w:r>
    <w:r>
      <w:rPr>
        <w:rStyle w:val="18"/>
        <w:rFonts w:ascii="宋体" w:hAnsi="宋体"/>
        <w:szCs w:val="20"/>
      </w:rPr>
      <w:instrText xml:space="preserve"> PAGE </w:instrText>
    </w:r>
    <w:r>
      <w:rPr>
        <w:rFonts w:ascii="宋体" w:hAnsi="宋体"/>
        <w:szCs w:val="20"/>
      </w:rPr>
      <w:fldChar w:fldCharType="separate"/>
    </w:r>
    <w:r>
      <w:rPr>
        <w:rStyle w:val="18"/>
        <w:rFonts w:ascii="宋体" w:hAnsi="宋体"/>
        <w:szCs w:val="20"/>
      </w:rPr>
      <w:t>5</w:t>
    </w:r>
    <w:r>
      <w:rPr>
        <w:rFonts w:ascii="宋体" w:hAnsi="宋体"/>
        <w:szCs w:val="20"/>
      </w:rPr>
      <w:fldChar w:fldCharType="end"/>
    </w:r>
    <w:r>
      <w:rPr>
        <w:rFonts w:ascii="宋体" w:hAnsi="宋体"/>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20BBA"/>
    <w:multiLevelType w:val="singleLevel"/>
    <w:tmpl w:val="84D20BBA"/>
    <w:lvl w:ilvl="0" w:tentative="0">
      <w:start w:val="2"/>
      <w:numFmt w:val="decimal"/>
      <w:suff w:val="nothing"/>
      <w:lvlText w:val="%1、"/>
      <w:lvlJc w:val="left"/>
    </w:lvl>
  </w:abstractNum>
  <w:abstractNum w:abstractNumId="1">
    <w:nsid w:val="A178B626"/>
    <w:multiLevelType w:val="singleLevel"/>
    <w:tmpl w:val="A178B626"/>
    <w:lvl w:ilvl="0" w:tentative="0">
      <w:start w:val="1"/>
      <w:numFmt w:val="decimal"/>
      <w:suff w:val="nothing"/>
      <w:lvlText w:val="%1、"/>
      <w:lvlJc w:val="left"/>
    </w:lvl>
  </w:abstractNum>
  <w:abstractNum w:abstractNumId="2">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BE45D37"/>
    <w:multiLevelType w:val="singleLevel"/>
    <w:tmpl w:val="4BE45D37"/>
    <w:lvl w:ilvl="0" w:tentative="0">
      <w:start w:val="16"/>
      <w:numFmt w:val="decimal"/>
      <w:suff w:val="nothing"/>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DZlZTFiZGFiY2M1YjRiMTQ0MjE3NDc3MDcwMDYifQ=="/>
  </w:docVars>
  <w:rsids>
    <w:rsidRoot w:val="00826F6A"/>
    <w:rsid w:val="00004403"/>
    <w:rsid w:val="0002183A"/>
    <w:rsid w:val="00023A88"/>
    <w:rsid w:val="00030192"/>
    <w:rsid w:val="000303E7"/>
    <w:rsid w:val="00030994"/>
    <w:rsid w:val="000732C5"/>
    <w:rsid w:val="0009259B"/>
    <w:rsid w:val="00093FB5"/>
    <w:rsid w:val="00094FC6"/>
    <w:rsid w:val="000971CF"/>
    <w:rsid w:val="000A14A6"/>
    <w:rsid w:val="000D1F49"/>
    <w:rsid w:val="000F5947"/>
    <w:rsid w:val="001010E0"/>
    <w:rsid w:val="00107D2E"/>
    <w:rsid w:val="00137353"/>
    <w:rsid w:val="00143F1E"/>
    <w:rsid w:val="001739A8"/>
    <w:rsid w:val="0018395D"/>
    <w:rsid w:val="001849F3"/>
    <w:rsid w:val="001B3193"/>
    <w:rsid w:val="001D43D4"/>
    <w:rsid w:val="001E4519"/>
    <w:rsid w:val="001E4F85"/>
    <w:rsid w:val="00203852"/>
    <w:rsid w:val="00211B41"/>
    <w:rsid w:val="00217737"/>
    <w:rsid w:val="00220F9E"/>
    <w:rsid w:val="00240709"/>
    <w:rsid w:val="0024244B"/>
    <w:rsid w:val="00253179"/>
    <w:rsid w:val="00256A9C"/>
    <w:rsid w:val="00260917"/>
    <w:rsid w:val="00267892"/>
    <w:rsid w:val="00280B62"/>
    <w:rsid w:val="00293316"/>
    <w:rsid w:val="002A618F"/>
    <w:rsid w:val="002C3ED8"/>
    <w:rsid w:val="002C799D"/>
    <w:rsid w:val="002D71F0"/>
    <w:rsid w:val="002E15EC"/>
    <w:rsid w:val="002F23EA"/>
    <w:rsid w:val="002F2695"/>
    <w:rsid w:val="003018F7"/>
    <w:rsid w:val="00305688"/>
    <w:rsid w:val="00322482"/>
    <w:rsid w:val="003243BD"/>
    <w:rsid w:val="00326BE6"/>
    <w:rsid w:val="00330CEB"/>
    <w:rsid w:val="00336DE3"/>
    <w:rsid w:val="003377F2"/>
    <w:rsid w:val="00350D15"/>
    <w:rsid w:val="003548C2"/>
    <w:rsid w:val="00355596"/>
    <w:rsid w:val="0036012B"/>
    <w:rsid w:val="003878B4"/>
    <w:rsid w:val="00397335"/>
    <w:rsid w:val="003D03FA"/>
    <w:rsid w:val="003E0548"/>
    <w:rsid w:val="003F163C"/>
    <w:rsid w:val="00411025"/>
    <w:rsid w:val="00416461"/>
    <w:rsid w:val="00434A1D"/>
    <w:rsid w:val="00435F2D"/>
    <w:rsid w:val="00442B63"/>
    <w:rsid w:val="00446768"/>
    <w:rsid w:val="00451ADF"/>
    <w:rsid w:val="004717AF"/>
    <w:rsid w:val="00471F43"/>
    <w:rsid w:val="00486D06"/>
    <w:rsid w:val="004B4025"/>
    <w:rsid w:val="004D263D"/>
    <w:rsid w:val="004E2C29"/>
    <w:rsid w:val="00504B09"/>
    <w:rsid w:val="00506CF2"/>
    <w:rsid w:val="0051212E"/>
    <w:rsid w:val="00531263"/>
    <w:rsid w:val="005322ED"/>
    <w:rsid w:val="00543E58"/>
    <w:rsid w:val="0056652E"/>
    <w:rsid w:val="005A1D87"/>
    <w:rsid w:val="005A320A"/>
    <w:rsid w:val="005E1E9F"/>
    <w:rsid w:val="00624A22"/>
    <w:rsid w:val="006341BF"/>
    <w:rsid w:val="00634ED7"/>
    <w:rsid w:val="00642C93"/>
    <w:rsid w:val="00651935"/>
    <w:rsid w:val="00657FD6"/>
    <w:rsid w:val="0067168A"/>
    <w:rsid w:val="00676FCA"/>
    <w:rsid w:val="00680ACC"/>
    <w:rsid w:val="00693720"/>
    <w:rsid w:val="006975F4"/>
    <w:rsid w:val="006C20AB"/>
    <w:rsid w:val="006C20C7"/>
    <w:rsid w:val="006E11B4"/>
    <w:rsid w:val="006E4626"/>
    <w:rsid w:val="006E6758"/>
    <w:rsid w:val="006F648F"/>
    <w:rsid w:val="00722957"/>
    <w:rsid w:val="007427C5"/>
    <w:rsid w:val="007503EF"/>
    <w:rsid w:val="00755229"/>
    <w:rsid w:val="00771FE9"/>
    <w:rsid w:val="00782648"/>
    <w:rsid w:val="007B0E13"/>
    <w:rsid w:val="007F64F1"/>
    <w:rsid w:val="00800B26"/>
    <w:rsid w:val="00800D9B"/>
    <w:rsid w:val="00802B22"/>
    <w:rsid w:val="008110FE"/>
    <w:rsid w:val="00825E95"/>
    <w:rsid w:val="00826D7A"/>
    <w:rsid w:val="00826F6A"/>
    <w:rsid w:val="00865F58"/>
    <w:rsid w:val="00874F39"/>
    <w:rsid w:val="0089318D"/>
    <w:rsid w:val="008944CE"/>
    <w:rsid w:val="008A5D33"/>
    <w:rsid w:val="008B54C1"/>
    <w:rsid w:val="008B6210"/>
    <w:rsid w:val="008C11B3"/>
    <w:rsid w:val="008D50C2"/>
    <w:rsid w:val="008E1084"/>
    <w:rsid w:val="008E54A6"/>
    <w:rsid w:val="00914D35"/>
    <w:rsid w:val="0094332A"/>
    <w:rsid w:val="009571A8"/>
    <w:rsid w:val="00965AAB"/>
    <w:rsid w:val="00965B65"/>
    <w:rsid w:val="009824C0"/>
    <w:rsid w:val="00994502"/>
    <w:rsid w:val="009973E3"/>
    <w:rsid w:val="00997AA5"/>
    <w:rsid w:val="009A48B7"/>
    <w:rsid w:val="00A04F29"/>
    <w:rsid w:val="00A43E9B"/>
    <w:rsid w:val="00A53795"/>
    <w:rsid w:val="00A62651"/>
    <w:rsid w:val="00A65BEC"/>
    <w:rsid w:val="00A774EB"/>
    <w:rsid w:val="00A838F7"/>
    <w:rsid w:val="00A939A8"/>
    <w:rsid w:val="00AA0230"/>
    <w:rsid w:val="00AA271D"/>
    <w:rsid w:val="00AB184C"/>
    <w:rsid w:val="00AB5A0E"/>
    <w:rsid w:val="00AC509F"/>
    <w:rsid w:val="00AD32AF"/>
    <w:rsid w:val="00AE1F9A"/>
    <w:rsid w:val="00AF5609"/>
    <w:rsid w:val="00AF6AE2"/>
    <w:rsid w:val="00B2178F"/>
    <w:rsid w:val="00B312E1"/>
    <w:rsid w:val="00B44304"/>
    <w:rsid w:val="00B644AC"/>
    <w:rsid w:val="00B65A20"/>
    <w:rsid w:val="00B717D9"/>
    <w:rsid w:val="00B91D29"/>
    <w:rsid w:val="00BA20E7"/>
    <w:rsid w:val="00BF1DC6"/>
    <w:rsid w:val="00BF3BC5"/>
    <w:rsid w:val="00BF431E"/>
    <w:rsid w:val="00C00BAC"/>
    <w:rsid w:val="00C4403E"/>
    <w:rsid w:val="00C470EE"/>
    <w:rsid w:val="00C5067D"/>
    <w:rsid w:val="00C52B5B"/>
    <w:rsid w:val="00C778BA"/>
    <w:rsid w:val="00C80F5F"/>
    <w:rsid w:val="00CB3F1F"/>
    <w:rsid w:val="00CB4FED"/>
    <w:rsid w:val="00CB724C"/>
    <w:rsid w:val="00CD1060"/>
    <w:rsid w:val="00CD2B8E"/>
    <w:rsid w:val="00CE61EE"/>
    <w:rsid w:val="00CF5CE4"/>
    <w:rsid w:val="00D14B11"/>
    <w:rsid w:val="00D766E0"/>
    <w:rsid w:val="00DA3642"/>
    <w:rsid w:val="00DC2203"/>
    <w:rsid w:val="00DC54DB"/>
    <w:rsid w:val="00DE0836"/>
    <w:rsid w:val="00E00057"/>
    <w:rsid w:val="00E04257"/>
    <w:rsid w:val="00E1371F"/>
    <w:rsid w:val="00E16E56"/>
    <w:rsid w:val="00E23505"/>
    <w:rsid w:val="00E33721"/>
    <w:rsid w:val="00E4442C"/>
    <w:rsid w:val="00E576F5"/>
    <w:rsid w:val="00E80B7C"/>
    <w:rsid w:val="00E9294C"/>
    <w:rsid w:val="00EA1A54"/>
    <w:rsid w:val="00EC2190"/>
    <w:rsid w:val="00ED0F4F"/>
    <w:rsid w:val="00ED38F5"/>
    <w:rsid w:val="00ED6B1F"/>
    <w:rsid w:val="00EE348A"/>
    <w:rsid w:val="00EF43CE"/>
    <w:rsid w:val="00F103D0"/>
    <w:rsid w:val="00F11077"/>
    <w:rsid w:val="00F24870"/>
    <w:rsid w:val="00F24B16"/>
    <w:rsid w:val="00F41D40"/>
    <w:rsid w:val="00F522E0"/>
    <w:rsid w:val="00F53BCD"/>
    <w:rsid w:val="00F705F5"/>
    <w:rsid w:val="00F72331"/>
    <w:rsid w:val="00FA56E5"/>
    <w:rsid w:val="00FC0838"/>
    <w:rsid w:val="00FC583F"/>
    <w:rsid w:val="00FF57CB"/>
    <w:rsid w:val="04FA445B"/>
    <w:rsid w:val="09303EE0"/>
    <w:rsid w:val="0A984E77"/>
    <w:rsid w:val="0CEA3182"/>
    <w:rsid w:val="0DFA7D40"/>
    <w:rsid w:val="0E165033"/>
    <w:rsid w:val="0EF3685E"/>
    <w:rsid w:val="11AE2F10"/>
    <w:rsid w:val="12B46C9C"/>
    <w:rsid w:val="12BF0270"/>
    <w:rsid w:val="1434152C"/>
    <w:rsid w:val="150C02D3"/>
    <w:rsid w:val="171017E4"/>
    <w:rsid w:val="1A1A1CD8"/>
    <w:rsid w:val="1A1C4109"/>
    <w:rsid w:val="1B351A74"/>
    <w:rsid w:val="1D6323E5"/>
    <w:rsid w:val="1E682698"/>
    <w:rsid w:val="1F19433B"/>
    <w:rsid w:val="1F7822F5"/>
    <w:rsid w:val="2084243D"/>
    <w:rsid w:val="29676343"/>
    <w:rsid w:val="2BC60FC8"/>
    <w:rsid w:val="3B247FF9"/>
    <w:rsid w:val="3BD0035C"/>
    <w:rsid w:val="3C5B0AF4"/>
    <w:rsid w:val="3D136941"/>
    <w:rsid w:val="3DBA4BE6"/>
    <w:rsid w:val="3DFDFEE3"/>
    <w:rsid w:val="3FC346B4"/>
    <w:rsid w:val="3FFE06E5"/>
    <w:rsid w:val="41894F7D"/>
    <w:rsid w:val="461D4050"/>
    <w:rsid w:val="50334CD8"/>
    <w:rsid w:val="537E7068"/>
    <w:rsid w:val="53DF719A"/>
    <w:rsid w:val="55C651DD"/>
    <w:rsid w:val="570B628B"/>
    <w:rsid w:val="58621C7C"/>
    <w:rsid w:val="58D36758"/>
    <w:rsid w:val="59F59C00"/>
    <w:rsid w:val="5DC170F4"/>
    <w:rsid w:val="5F5B1BEC"/>
    <w:rsid w:val="5FAE267F"/>
    <w:rsid w:val="60506330"/>
    <w:rsid w:val="607349DC"/>
    <w:rsid w:val="6148196E"/>
    <w:rsid w:val="61C53EB8"/>
    <w:rsid w:val="63B53257"/>
    <w:rsid w:val="67906753"/>
    <w:rsid w:val="6FA348D5"/>
    <w:rsid w:val="725DFD4F"/>
    <w:rsid w:val="73EF6013"/>
    <w:rsid w:val="74A304A5"/>
    <w:rsid w:val="75931939"/>
    <w:rsid w:val="795F41CA"/>
    <w:rsid w:val="7A5C1183"/>
    <w:rsid w:val="7B113011"/>
    <w:rsid w:val="7B5B3BFB"/>
    <w:rsid w:val="7DE67D88"/>
    <w:rsid w:val="7DEA106D"/>
    <w:rsid w:val="7FFF72C5"/>
    <w:rsid w:val="95AEED3E"/>
    <w:rsid w:val="B8FBD204"/>
    <w:rsid w:val="DB10D8AD"/>
    <w:rsid w:val="F77BF51F"/>
    <w:rsid w:val="F77EA8FF"/>
    <w:rsid w:val="F7A756E1"/>
    <w:rsid w:val="F9FFE821"/>
    <w:rsid w:val="FBEFCF47"/>
    <w:rsid w:val="FC3E9DA0"/>
    <w:rsid w:val="FFFBE16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link w:val="21"/>
    <w:qFormat/>
    <w:uiPriority w:val="0"/>
    <w:pPr>
      <w:ind w:firstLine="420"/>
    </w:pPr>
    <w:rPr>
      <w:rFonts w:ascii="Times New Roman" w:hAnsi="Times New Roman"/>
      <w:szCs w:val="20"/>
    </w:rPr>
  </w:style>
  <w:style w:type="paragraph" w:styleId="3">
    <w:name w:val="Body Text"/>
    <w:basedOn w:val="1"/>
    <w:next w:val="1"/>
    <w:link w:val="22"/>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4">
    <w:name w:val="Body Text Indent"/>
    <w:basedOn w:val="1"/>
    <w:next w:val="1"/>
    <w:qFormat/>
    <w:uiPriority w:val="0"/>
    <w:pPr>
      <w:ind w:left="420" w:leftChars="200"/>
    </w:pPr>
  </w:style>
  <w:style w:type="paragraph" w:styleId="5">
    <w:name w:val="Plain Text"/>
    <w:basedOn w:val="1"/>
    <w:link w:val="23"/>
    <w:qFormat/>
    <w:uiPriority w:val="0"/>
    <w:rPr>
      <w:rFonts w:ascii="宋体" w:hAnsi="Courier New"/>
      <w:szCs w:val="20"/>
    </w:rPr>
  </w:style>
  <w:style w:type="paragraph" w:styleId="6">
    <w:name w:val="Body Text Indent 2"/>
    <w:basedOn w:val="1"/>
    <w:link w:val="24"/>
    <w:qFormat/>
    <w:uiPriority w:val="0"/>
    <w:pPr>
      <w:spacing w:after="120" w:line="480" w:lineRule="auto"/>
      <w:ind w:left="420"/>
    </w:pPr>
    <w:rPr>
      <w:rFonts w:ascii="Times New Roman" w:hAnsi="Times New Roman"/>
      <w:szCs w:val="20"/>
    </w:rPr>
  </w:style>
  <w:style w:type="paragraph" w:styleId="7">
    <w:name w:val="Balloon Text"/>
    <w:basedOn w:val="1"/>
    <w:link w:val="25"/>
    <w:unhideWhenUsed/>
    <w:qFormat/>
    <w:uiPriority w:val="99"/>
    <w:rPr>
      <w:rFonts w:ascii="Times New Roman" w:hAnsi="Times New Roman"/>
      <w:sz w:val="18"/>
      <w:szCs w:val="18"/>
    </w:rPr>
  </w:style>
  <w:style w:type="paragraph" w:styleId="8">
    <w:name w:val="footer"/>
    <w:basedOn w:val="1"/>
    <w:link w:val="26"/>
    <w:unhideWhenUsed/>
    <w:qFormat/>
    <w:uiPriority w:val="0"/>
    <w:pPr>
      <w:tabs>
        <w:tab w:val="center" w:pos="4153"/>
        <w:tab w:val="right" w:pos="8306"/>
      </w:tabs>
      <w:snapToGrid w:val="0"/>
      <w:jc w:val="left"/>
    </w:pPr>
    <w:rPr>
      <w:sz w:val="18"/>
      <w:szCs w:val="18"/>
    </w:rPr>
  </w:style>
  <w:style w:type="paragraph" w:styleId="9">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2">
    <w:name w:val="Body Text First Indent"/>
    <w:basedOn w:val="3"/>
    <w:qFormat/>
    <w:uiPriority w:val="0"/>
    <w:pPr>
      <w:spacing w:after="120"/>
      <w:ind w:firstLine="420" w:firstLineChars="100"/>
      <w:jc w:val="both"/>
    </w:pPr>
    <w:rPr>
      <w:rFonts w:ascii="Times New Roman" w:hAnsi="Times New Roman" w:eastAsia="宋体"/>
      <w:b w:val="0"/>
      <w:bCs w:val="0"/>
      <w:kern w:val="2"/>
      <w:sz w:val="21"/>
      <w:szCs w:val="24"/>
    </w:rPr>
  </w:style>
  <w:style w:type="paragraph" w:styleId="13">
    <w:name w:val="Body Text First Indent 2"/>
    <w:basedOn w:val="4"/>
    <w:next w:val="1"/>
    <w:qFormat/>
    <w:uiPriority w:val="0"/>
    <w:pPr>
      <w:ind w:firstLine="420" w:firstLineChars="200"/>
    </w:pPr>
  </w:style>
  <w:style w:type="table" w:styleId="15">
    <w:name w:val="Table Grid"/>
    <w:basedOn w:val="14"/>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styleId="19">
    <w:name w:val="Emphasis"/>
    <w:basedOn w:val="16"/>
    <w:qFormat/>
    <w:uiPriority w:val="20"/>
    <w:rPr>
      <w:i/>
      <w:iCs/>
    </w:rPr>
  </w:style>
  <w:style w:type="character" w:styleId="20">
    <w:name w:val="Hyperlink"/>
    <w:basedOn w:val="16"/>
    <w:unhideWhenUsed/>
    <w:qFormat/>
    <w:uiPriority w:val="0"/>
    <w:rPr>
      <w:color w:val="0000FF"/>
      <w:u w:val="single"/>
    </w:rPr>
  </w:style>
  <w:style w:type="character" w:customStyle="1" w:styleId="21">
    <w:name w:val="正文缩进 Char"/>
    <w:basedOn w:val="16"/>
    <w:link w:val="2"/>
    <w:qFormat/>
    <w:locked/>
    <w:uiPriority w:val="0"/>
    <w:rPr>
      <w:rFonts w:ascii="Times New Roman" w:hAnsi="Times New Roman"/>
      <w:kern w:val="2"/>
      <w:sz w:val="21"/>
    </w:rPr>
  </w:style>
  <w:style w:type="character" w:customStyle="1" w:styleId="22">
    <w:name w:val="正文文本 Char"/>
    <w:basedOn w:val="16"/>
    <w:link w:val="3"/>
    <w:qFormat/>
    <w:uiPriority w:val="0"/>
    <w:rPr>
      <w:rFonts w:ascii="幼圆" w:hAnsi="新宋体" w:eastAsia="幼圆"/>
      <w:b/>
      <w:bCs/>
      <w:kern w:val="2"/>
      <w:sz w:val="84"/>
      <w14:shadow w14:blurRad="50800" w14:dist="38100" w14:dir="2700000" w14:sx="100000" w14:sy="100000" w14:kx="0" w14:ky="0" w14:algn="tl">
        <w14:srgbClr w14:val="000000">
          <w14:alpha w14:val="60000"/>
        </w14:srgbClr>
      </w14:shadow>
    </w:rPr>
  </w:style>
  <w:style w:type="character" w:customStyle="1" w:styleId="23">
    <w:name w:val="纯文本 Char1"/>
    <w:basedOn w:val="16"/>
    <w:link w:val="5"/>
    <w:qFormat/>
    <w:uiPriority w:val="0"/>
    <w:rPr>
      <w:rFonts w:ascii="宋体" w:hAnsi="Courier New"/>
      <w:kern w:val="2"/>
      <w:sz w:val="21"/>
    </w:rPr>
  </w:style>
  <w:style w:type="character" w:customStyle="1" w:styleId="24">
    <w:name w:val="正文文本缩进 2 Char"/>
    <w:basedOn w:val="16"/>
    <w:link w:val="6"/>
    <w:qFormat/>
    <w:uiPriority w:val="0"/>
    <w:rPr>
      <w:rFonts w:ascii="Times New Roman" w:hAnsi="Times New Roman"/>
      <w:kern w:val="2"/>
      <w:sz w:val="21"/>
    </w:rPr>
  </w:style>
  <w:style w:type="character" w:customStyle="1" w:styleId="25">
    <w:name w:val="批注框文本 Char"/>
    <w:basedOn w:val="16"/>
    <w:link w:val="7"/>
    <w:semiHidden/>
    <w:qFormat/>
    <w:uiPriority w:val="99"/>
    <w:rPr>
      <w:rFonts w:ascii="Times New Roman" w:hAnsi="Times New Roman"/>
      <w:kern w:val="2"/>
      <w:sz w:val="18"/>
      <w:szCs w:val="18"/>
    </w:rPr>
  </w:style>
  <w:style w:type="character" w:customStyle="1" w:styleId="26">
    <w:name w:val="页脚 Char"/>
    <w:basedOn w:val="16"/>
    <w:link w:val="8"/>
    <w:qFormat/>
    <w:uiPriority w:val="0"/>
    <w:rPr>
      <w:sz w:val="18"/>
      <w:szCs w:val="18"/>
    </w:rPr>
  </w:style>
  <w:style w:type="character" w:customStyle="1" w:styleId="27">
    <w:name w:val="页眉 Char"/>
    <w:basedOn w:val="16"/>
    <w:link w:val="9"/>
    <w:qFormat/>
    <w:uiPriority w:val="0"/>
    <w:rPr>
      <w:sz w:val="18"/>
      <w:szCs w:val="18"/>
    </w:rPr>
  </w:style>
  <w:style w:type="character" w:customStyle="1" w:styleId="28">
    <w:name w:val="HTML 预设格式 Char"/>
    <w:basedOn w:val="16"/>
    <w:link w:val="10"/>
    <w:semiHidden/>
    <w:qFormat/>
    <w:uiPriority w:val="99"/>
    <w:rPr>
      <w:rFonts w:ascii="宋体" w:hAnsi="宋体" w:cs="宋体"/>
      <w:sz w:val="24"/>
      <w:szCs w:val="24"/>
    </w:rPr>
  </w:style>
  <w:style w:type="character" w:customStyle="1" w:styleId="29">
    <w:name w:val="纯文本 Char"/>
    <w:basedOn w:val="16"/>
    <w:qFormat/>
    <w:uiPriority w:val="0"/>
    <w:rPr>
      <w:rFonts w:ascii="宋体" w:hAnsi="Courier New" w:cs="Courier New"/>
      <w:kern w:val="2"/>
      <w:sz w:val="21"/>
      <w:szCs w:val="21"/>
    </w:rPr>
  </w:style>
  <w:style w:type="character" w:customStyle="1" w:styleId="30">
    <w:name w:val="sp_dash"/>
    <w:basedOn w:val="16"/>
    <w:qFormat/>
    <w:uiPriority w:val="0"/>
  </w:style>
  <w:style w:type="character" w:customStyle="1" w:styleId="31">
    <w:name w:val="apple-converted-space"/>
    <w:basedOn w:val="16"/>
    <w:qFormat/>
    <w:uiPriority w:val="0"/>
  </w:style>
  <w:style w:type="character" w:customStyle="1" w:styleId="32">
    <w:name w:val="prc_air"/>
    <w:basedOn w:val="16"/>
    <w:qFormat/>
    <w:uiPriority w:val="0"/>
  </w:style>
  <w:style w:type="paragraph" w:customStyle="1" w:styleId="33">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styleId="35">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6">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40">
    <w:name w:val="_Style 35"/>
    <w:unhideWhenUsed/>
    <w:qFormat/>
    <w:uiPriority w:val="99"/>
    <w:rPr>
      <w:rFonts w:ascii="Times New Roman" w:hAnsi="Times New Roman" w:eastAsia="宋体" w:cs="Times New Roman"/>
      <w:kern w:val="2"/>
      <w:sz w:val="21"/>
      <w:szCs w:val="22"/>
      <w:lang w:val="en-US" w:eastAsia="zh-CN" w:bidi="ar-SA"/>
    </w:rPr>
  </w:style>
  <w:style w:type="paragraph" w:customStyle="1" w:styleId="41">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bidi="ar"/>
    </w:rPr>
  </w:style>
  <w:style w:type="character" w:customStyle="1" w:styleId="42">
    <w:name w:val="font41"/>
    <w:basedOn w:val="16"/>
    <w:qFormat/>
    <w:uiPriority w:val="0"/>
    <w:rPr>
      <w:rFonts w:hint="eastAsia" w:ascii="宋体" w:hAnsi="宋体" w:eastAsia="宋体" w:cs="宋体"/>
      <w:b/>
      <w:bCs/>
      <w:color w:val="FF0000"/>
      <w:sz w:val="18"/>
      <w:szCs w:val="18"/>
      <w:u w:val="none"/>
    </w:rPr>
  </w:style>
  <w:style w:type="paragraph" w:customStyle="1" w:styleId="43">
    <w:name w:val="列出段落1"/>
    <w:basedOn w:val="1"/>
    <w:qFormat/>
    <w:uiPriority w:val="0"/>
    <w:pPr>
      <w:ind w:firstLine="420" w:firstLineChars="200"/>
    </w:pPr>
  </w:style>
  <w:style w:type="character" w:customStyle="1" w:styleId="44">
    <w:name w:val="10"/>
    <w:basedOn w:val="16"/>
    <w:uiPriority w:val="0"/>
    <w:rPr>
      <w:rFonts w:hint="default" w:ascii="Times New Roman" w:hAnsi="Times New Roman" w:cs="Times New Roman"/>
    </w:rPr>
  </w:style>
  <w:style w:type="character" w:customStyle="1" w:styleId="45">
    <w:name w:val="15"/>
    <w:basedOn w:val="16"/>
    <w:uiPriority w:val="0"/>
    <w:rPr>
      <w:rFonts w:hint="default" w:ascii="Times New Roman" w:hAnsi="Times New Roman" w:cs="Times New Roman"/>
    </w:rPr>
  </w:style>
  <w:style w:type="character" w:customStyle="1" w:styleId="46">
    <w:name w:val="16"/>
    <w:basedOn w:val="16"/>
    <w:uiPriority w:val="0"/>
    <w:rPr>
      <w:rFonts w:hint="eastAsia" w:ascii="宋体" w:hAnsi="宋体" w:eastAsia="宋体" w:cs="宋体"/>
      <w:b/>
      <w:bCs/>
      <w:color w:val="FF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872cf8f-5343-4555-ae77-85d68804ec66}"/>
        <w:style w:val=""/>
        <w:category>
          <w:name w:val="常规"/>
          <w:gallery w:val="placeholder"/>
        </w:category>
        <w:types>
          <w:type w:val="bbPlcHdr"/>
        </w:types>
        <w:behaviors>
          <w:behavior w:val="content"/>
        </w:behaviors>
        <w:description w:val=""/>
        <w:guid w:val="{5872cf8f-5343-4555-ae77-85d68804ec66}"/>
      </w:docPartPr>
      <w:docPartBody>
        <w:p>
          <w:r>
            <w:rPr>
              <w:color w:val="808080"/>
            </w:rPr>
            <w:t>单击此处输入文字。</w:t>
          </w:r>
        </w:p>
      </w:docPartBody>
    </w:docPart>
    <w:docPart>
      <w:docPartPr>
        <w:name w:val="{cba9c134-8d83-48b7-bced-f82f75a30b94}"/>
        <w:style w:val=""/>
        <w:category>
          <w:name w:val="常规"/>
          <w:gallery w:val="placeholder"/>
        </w:category>
        <w:types>
          <w:type w:val="bbPlcHdr"/>
        </w:types>
        <w:behaviors>
          <w:behavior w:val="content"/>
        </w:behaviors>
        <w:description w:val=""/>
        <w:guid w:val="{cba9c134-8d83-48b7-bced-f82f75a30b94}"/>
      </w:docPartPr>
      <w:docPartBody>
        <w:p>
          <w:r>
            <w:rPr>
              <w:color w:val="808080"/>
            </w:rPr>
            <w:t>单击此处输入文字。</w:t>
          </w:r>
        </w:p>
      </w:docPartBody>
    </w:docPart>
    <w:docPart>
      <w:docPartPr>
        <w:name w:val="{a6c5292d-94cc-4fc1-bb69-4ba91cc91bf0}"/>
        <w:style w:val=""/>
        <w:category>
          <w:name w:val="常规"/>
          <w:gallery w:val="placeholder"/>
        </w:category>
        <w:types>
          <w:type w:val="bbPlcHdr"/>
        </w:types>
        <w:behaviors>
          <w:behavior w:val="content"/>
        </w:behaviors>
        <w:description w:val=""/>
        <w:guid w:val="{a6c5292d-94cc-4fc1-bb69-4ba91cc91bf0}"/>
      </w:docPartPr>
      <w:docPartBody>
        <w:p>
          <w:r>
            <w:rPr>
              <w:color w:val="808080"/>
            </w:rPr>
            <w:t>单击此处输入文字。</w:t>
          </w:r>
        </w:p>
      </w:docPartBody>
    </w:docPart>
    <w:docPart>
      <w:docPartPr>
        <w:name w:val="{772ab166-3365-4084-91c6-a7a9f76e3708}"/>
        <w:style w:val=""/>
        <w:category>
          <w:name w:val="常规"/>
          <w:gallery w:val="placeholder"/>
        </w:category>
        <w:types>
          <w:type w:val="bbPlcHdr"/>
        </w:types>
        <w:behaviors>
          <w:behavior w:val="content"/>
        </w:behaviors>
        <w:description w:val=""/>
        <w:guid w:val="{772ab166-3365-4084-91c6-a7a9f76e3708}"/>
      </w:docPartPr>
      <w:docPartBody>
        <w:p>
          <w:r>
            <w:rPr>
              <w:color w:val="808080"/>
            </w:rPr>
            <w:t>单击此处输入文字。</w:t>
          </w:r>
        </w:p>
      </w:docPartBody>
    </w:docPart>
    <w:docPart>
      <w:docPartPr>
        <w:name w:val="{5db6a8fb-045b-41bf-a00e-d0423bef4753}"/>
        <w:style w:val=""/>
        <w:category>
          <w:name w:val="常规"/>
          <w:gallery w:val="placeholder"/>
        </w:category>
        <w:types>
          <w:type w:val="bbPlcHdr"/>
        </w:types>
        <w:behaviors>
          <w:behavior w:val="content"/>
        </w:behaviors>
        <w:description w:val=""/>
        <w:guid w:val="{5db6a8fb-045b-41bf-a00e-d0423bef4753}"/>
      </w:docPartPr>
      <w:docPartBody>
        <w:p>
          <w:r>
            <w:rPr>
              <w:color w:val="808080"/>
            </w:rPr>
            <w:t>单击此处输入文字。</w:t>
          </w:r>
        </w:p>
      </w:docPartBody>
    </w:docPart>
    <w:docPart>
      <w:docPartPr>
        <w:name w:val="{5317ecee-1359-460f-879e-708b95e2741f}"/>
        <w:style w:val=""/>
        <w:category>
          <w:name w:val="常规"/>
          <w:gallery w:val="placeholder"/>
        </w:category>
        <w:types>
          <w:type w:val="bbPlcHdr"/>
        </w:types>
        <w:behaviors>
          <w:behavior w:val="content"/>
        </w:behaviors>
        <w:description w:val=""/>
        <w:guid w:val="{5317ecee-1359-460f-879e-708b95e2741f}"/>
      </w:docPartPr>
      <w:docPartBody>
        <w:p>
          <w:r>
            <w:rPr>
              <w:color w:val="808080"/>
            </w:rPr>
            <w:t>单击此处输入文字。</w:t>
          </w:r>
        </w:p>
      </w:docPartBody>
    </w:docPart>
    <w:docPart>
      <w:docPartPr>
        <w:name w:val="{40fd3666-b0da-4eb3-a7b1-9f8c178d9bb8}"/>
        <w:style w:val=""/>
        <w:category>
          <w:name w:val="常规"/>
          <w:gallery w:val="placeholder"/>
        </w:category>
        <w:types>
          <w:type w:val="bbPlcHdr"/>
        </w:types>
        <w:behaviors>
          <w:behavior w:val="content"/>
        </w:behaviors>
        <w:description w:val=""/>
        <w:guid w:val="{40fd3666-b0da-4eb3-a7b1-9f8c178d9bb8}"/>
      </w:docPartPr>
      <w:docPartBody>
        <w:p>
          <w:r>
            <w:rPr>
              <w:color w:val="808080"/>
            </w:rPr>
            <w:t>单击此处输入文字。</w:t>
          </w:r>
        </w:p>
      </w:docPartBody>
    </w:docPart>
    <w:docPart>
      <w:docPartPr>
        <w:name w:val="{e88b6602-416b-4bc8-8473-9ed5b2a7ab9d}"/>
        <w:style w:val=""/>
        <w:category>
          <w:name w:val="常规"/>
          <w:gallery w:val="placeholder"/>
        </w:category>
        <w:types>
          <w:type w:val="bbPlcHdr"/>
        </w:types>
        <w:behaviors>
          <w:behavior w:val="content"/>
        </w:behaviors>
        <w:description w:val=""/>
        <w:guid w:val="{e88b6602-416b-4bc8-8473-9ed5b2a7ab9d}"/>
      </w:docPartPr>
      <w:docPartBody>
        <w:p>
          <w:r>
            <w:rPr>
              <w:color w:val="808080"/>
            </w:rPr>
            <w:t>单击此处输入文字。</w:t>
          </w:r>
        </w:p>
      </w:docPartBody>
    </w:docPart>
    <w:docPart>
      <w:docPartPr>
        <w:name w:val="{5e4c2947-7f53-4221-ba39-dfa535d29a69}"/>
        <w:style w:val=""/>
        <w:category>
          <w:name w:val="常规"/>
          <w:gallery w:val="placeholder"/>
        </w:category>
        <w:types>
          <w:type w:val="bbPlcHdr"/>
        </w:types>
        <w:behaviors>
          <w:behavior w:val="content"/>
        </w:behaviors>
        <w:description w:val=""/>
        <w:guid w:val="{5e4c2947-7f53-4221-ba39-dfa535d29a69}"/>
      </w:docPartPr>
      <w:docPartBody>
        <w:p>
          <w:r>
            <w:rPr>
              <w:color w:val="808080"/>
            </w:rPr>
            <w:t>单击此处输入文字。</w:t>
          </w:r>
        </w:p>
      </w:docPartBody>
    </w:docPart>
    <w:docPart>
      <w:docPartPr>
        <w:name w:val="{95fd1959-c862-4023-9654-5ac095f9c4f0}"/>
        <w:style w:val=""/>
        <w:category>
          <w:name w:val="常规"/>
          <w:gallery w:val="placeholder"/>
        </w:category>
        <w:types>
          <w:type w:val="bbPlcHdr"/>
        </w:types>
        <w:behaviors>
          <w:behavior w:val="content"/>
        </w:behaviors>
        <w:description w:val=""/>
        <w:guid w:val="{95fd1959-c862-4023-9654-5ac095f9c4f0}"/>
      </w:docPartPr>
      <w:docPartBody>
        <w:p>
          <w:r>
            <w:rPr>
              <w:color w:val="808080"/>
            </w:rPr>
            <w:t>单击此处输入文字。</w:t>
          </w:r>
        </w:p>
      </w:docPartBody>
    </w:docPart>
    <w:docPart>
      <w:docPartPr>
        <w:name w:val="{a37f111e-6eb5-4fcb-87bd-d315a4afaa5e}"/>
        <w:style w:val=""/>
        <w:category>
          <w:name w:val="常规"/>
          <w:gallery w:val="placeholder"/>
        </w:category>
        <w:types>
          <w:type w:val="bbPlcHdr"/>
        </w:types>
        <w:behaviors>
          <w:behavior w:val="content"/>
        </w:behaviors>
        <w:description w:val=""/>
        <w:guid w:val="{a37f111e-6eb5-4fcb-87bd-d315a4afaa5e}"/>
      </w:docPartPr>
      <w:docPartBody>
        <w:p>
          <w:r>
            <w:rPr>
              <w:color w:val="808080"/>
            </w:rPr>
            <w:t>单击此处输入文字。</w:t>
          </w:r>
        </w:p>
      </w:docPartBody>
    </w:docPart>
    <w:docPart>
      <w:docPartPr>
        <w:name w:val="{fb4d039f-1251-4f4e-92db-8b03db804377}"/>
        <w:style w:val=""/>
        <w:category>
          <w:name w:val="常规"/>
          <w:gallery w:val="placeholder"/>
        </w:category>
        <w:types>
          <w:type w:val="bbPlcHdr"/>
        </w:types>
        <w:behaviors>
          <w:behavior w:val="content"/>
        </w:behaviors>
        <w:description w:val=""/>
        <w:guid w:val="{fb4d039f-1251-4f4e-92db-8b03db804377}"/>
      </w:docPartPr>
      <w:docPartBody>
        <w:p>
          <w:r>
            <w:rPr>
              <w:color w:val="808080"/>
            </w:rPr>
            <w:t>单击此处输入文字。</w:t>
          </w:r>
        </w:p>
      </w:docPartBody>
    </w:docPart>
    <w:docPart>
      <w:docPartPr>
        <w:name w:val="{85381bf7-6c14-4227-92ca-bb1abcdacaf1}"/>
        <w:style w:val=""/>
        <w:category>
          <w:name w:val="常规"/>
          <w:gallery w:val="placeholder"/>
        </w:category>
        <w:types>
          <w:type w:val="bbPlcHdr"/>
        </w:types>
        <w:behaviors>
          <w:behavior w:val="content"/>
        </w:behaviors>
        <w:description w:val=""/>
        <w:guid w:val="{85381bf7-6c14-4227-92ca-bb1abcdacaf1}"/>
      </w:docPartPr>
      <w:docPartBody>
        <w:p>
          <w:r>
            <w:rPr>
              <w:color w:val="808080"/>
            </w:rPr>
            <w:t>单击此处输入文字。</w:t>
          </w:r>
        </w:p>
      </w:docPartBody>
    </w:docPart>
    <w:docPart>
      <w:docPartPr>
        <w:name w:val="{30952e82-c7ee-42dc-b1fb-90547c7b4dbe}"/>
        <w:style w:val=""/>
        <w:category>
          <w:name w:val="常规"/>
          <w:gallery w:val="placeholder"/>
        </w:category>
        <w:types>
          <w:type w:val="bbPlcHdr"/>
        </w:types>
        <w:behaviors>
          <w:behavior w:val="content"/>
        </w:behaviors>
        <w:description w:val=""/>
        <w:guid w:val="{30952e82-c7ee-42dc-b1fb-90547c7b4dbe}"/>
      </w:docPartPr>
      <w:docPartBody>
        <w:p>
          <w:r>
            <w:rPr>
              <w:color w:val="808080"/>
            </w:rPr>
            <w:t>单击此处输入文字。</w:t>
          </w:r>
        </w:p>
      </w:docPartBody>
    </w:docPart>
    <w:docPart>
      <w:docPartPr>
        <w:name w:val="{d1d1ce09-3154-429c-bc19-e1f3ef46a536}"/>
        <w:style w:val=""/>
        <w:category>
          <w:name w:val="常规"/>
          <w:gallery w:val="placeholder"/>
        </w:category>
        <w:types>
          <w:type w:val="bbPlcHdr"/>
        </w:types>
        <w:behaviors>
          <w:behavior w:val="content"/>
        </w:behaviors>
        <w:description w:val=""/>
        <w:guid w:val="{d1d1ce09-3154-429c-bc19-e1f3ef46a536}"/>
      </w:docPartPr>
      <w:docPartBody>
        <w:p>
          <w:r>
            <w:rPr>
              <w:color w:val="808080"/>
            </w:rPr>
            <w:t>单击此处输入文字。</w:t>
          </w:r>
        </w:p>
      </w:docPartBody>
    </w:docPart>
    <w:docPart>
      <w:docPartPr>
        <w:name w:val="{b0edb2af-21b1-4061-a74d-59e324f838be}"/>
        <w:style w:val=""/>
        <w:category>
          <w:name w:val="常规"/>
          <w:gallery w:val="placeholder"/>
        </w:category>
        <w:types>
          <w:type w:val="bbPlcHdr"/>
        </w:types>
        <w:behaviors>
          <w:behavior w:val="content"/>
        </w:behaviors>
        <w:description w:val=""/>
        <w:guid w:val="{b0edb2af-21b1-4061-a74d-59e324f838be}"/>
      </w:docPartPr>
      <w:docPartBody>
        <w:p>
          <w:r>
            <w:rPr>
              <w:color w:val="808080"/>
            </w:rPr>
            <w:t>单击此处输入文字。</w:t>
          </w:r>
        </w:p>
      </w:docPartBody>
    </w:docPart>
    <w:docPart>
      <w:docPartPr>
        <w:name w:val="{848ebe74-6431-44ea-a364-ce3b42b370cc}"/>
        <w:style w:val=""/>
        <w:category>
          <w:name w:val="常规"/>
          <w:gallery w:val="placeholder"/>
        </w:category>
        <w:types>
          <w:type w:val="bbPlcHdr"/>
        </w:types>
        <w:behaviors>
          <w:behavior w:val="content"/>
        </w:behaviors>
        <w:description w:val=""/>
        <w:guid w:val="{848ebe74-6431-44ea-a364-ce3b42b370cc}"/>
      </w:docPartPr>
      <w:docPartBody>
        <w:p>
          <w:r>
            <w:rPr>
              <w:color w:val="808080"/>
            </w:rPr>
            <w:t>单击此处输入文字。</w:t>
          </w:r>
        </w:p>
      </w:docPartBody>
    </w:docPart>
    <w:docPart>
      <w:docPartPr>
        <w:name w:val="{c297fae7-8287-418a-8c36-b371963a0291}"/>
        <w:style w:val=""/>
        <w:category>
          <w:name w:val="常规"/>
          <w:gallery w:val="placeholder"/>
        </w:category>
        <w:types>
          <w:type w:val="bbPlcHdr"/>
        </w:types>
        <w:behaviors>
          <w:behavior w:val="content"/>
        </w:behaviors>
        <w:description w:val=""/>
        <w:guid w:val="{c297fae7-8287-418a-8c36-b371963a0291}"/>
      </w:docPartPr>
      <w:docPartBody>
        <w:p>
          <w:r>
            <w:rPr>
              <w:color w:val="808080"/>
            </w:rPr>
            <w:t>单击此处输入文字。</w:t>
          </w:r>
        </w:p>
      </w:docPartBody>
    </w:docPart>
    <w:docPart>
      <w:docPartPr>
        <w:name w:val="{589e7d71-1877-491e-acf0-a7b9cb950785}"/>
        <w:style w:val=""/>
        <w:category>
          <w:name w:val="常规"/>
          <w:gallery w:val="placeholder"/>
        </w:category>
        <w:types>
          <w:type w:val="bbPlcHdr"/>
        </w:types>
        <w:behaviors>
          <w:behavior w:val="content"/>
        </w:behaviors>
        <w:description w:val=""/>
        <w:guid w:val="{589e7d71-1877-491e-acf0-a7b9cb950785}"/>
      </w:docPartPr>
      <w:docPartBody>
        <w:p>
          <w:r>
            <w:rPr>
              <w:color w:val="808080"/>
            </w:rPr>
            <w:t>单击此处输入文字。</w:t>
          </w:r>
        </w:p>
      </w:docPartBody>
    </w:docPart>
    <w:docPart>
      <w:docPartPr>
        <w:name w:val="{fd062205-66c8-4f5d-a57e-8c49003ac3cb}"/>
        <w:style w:val=""/>
        <w:category>
          <w:name w:val="常规"/>
          <w:gallery w:val="placeholder"/>
        </w:category>
        <w:types>
          <w:type w:val="bbPlcHdr"/>
        </w:types>
        <w:behaviors>
          <w:behavior w:val="content"/>
        </w:behaviors>
        <w:description w:val=""/>
        <w:guid w:val="{fd062205-66c8-4f5d-a57e-8c49003ac3cb}"/>
      </w:docPartPr>
      <w:docPartBody>
        <w:p>
          <w:r>
            <w:rPr>
              <w:color w:val="808080"/>
            </w:rPr>
            <w:t>单击此处输入文字。</w:t>
          </w:r>
        </w:p>
      </w:docPartBody>
    </w:docPart>
    <w:docPart>
      <w:docPartPr>
        <w:name w:val="{5abae6f8-da17-4580-8bb8-eb13a6a0f0a4}"/>
        <w:style w:val=""/>
        <w:category>
          <w:name w:val="常规"/>
          <w:gallery w:val="placeholder"/>
        </w:category>
        <w:types>
          <w:type w:val="bbPlcHdr"/>
        </w:types>
        <w:behaviors>
          <w:behavior w:val="content"/>
        </w:behaviors>
        <w:description w:val=""/>
        <w:guid w:val="{5abae6f8-da17-4580-8bb8-eb13a6a0f0a4}"/>
      </w:docPartPr>
      <w:docPartBody>
        <w:p>
          <w:r>
            <w:rPr>
              <w:color w:val="808080"/>
            </w:rPr>
            <w:t>单击此处输入文字。</w:t>
          </w:r>
        </w:p>
      </w:docPartBody>
    </w:docPart>
    <w:docPart>
      <w:docPartPr>
        <w:name w:val="{0ccfb804-5551-4dc2-88c7-f41350ca04b2}"/>
        <w:style w:val=""/>
        <w:category>
          <w:name w:val="常规"/>
          <w:gallery w:val="placeholder"/>
        </w:category>
        <w:types>
          <w:type w:val="bbPlcHdr"/>
        </w:types>
        <w:behaviors>
          <w:behavior w:val="content"/>
        </w:behaviors>
        <w:description w:val=""/>
        <w:guid w:val="{0ccfb804-5551-4dc2-88c7-f41350ca04b2}"/>
      </w:docPartPr>
      <w:docPartBody>
        <w:p>
          <w:r>
            <w:rPr>
              <w:color w:val="808080"/>
            </w:rPr>
            <w:t>单击此处输入文字。</w:t>
          </w:r>
        </w:p>
      </w:docPartBody>
    </w:docPart>
    <w:docPart>
      <w:docPartPr>
        <w:name w:val="{2d129718-2da7-47d1-8ec9-0b96044c635f}"/>
        <w:style w:val=""/>
        <w:category>
          <w:name w:val="常规"/>
          <w:gallery w:val="placeholder"/>
        </w:category>
        <w:types>
          <w:type w:val="bbPlcHdr"/>
        </w:types>
        <w:behaviors>
          <w:behavior w:val="content"/>
        </w:behaviors>
        <w:description w:val=""/>
        <w:guid w:val="{2d129718-2da7-47d1-8ec9-0b96044c635f}"/>
      </w:docPartPr>
      <w:docPartBody>
        <w:p>
          <w:r>
            <w:rPr>
              <w:color w:val="808080"/>
            </w:rPr>
            <w:t>单击此处输入文字。</w:t>
          </w:r>
        </w:p>
      </w:docPartBody>
    </w:docPart>
    <w:docPart>
      <w:docPartPr>
        <w:name w:val="{2e2703b2-a937-453f-9625-d81349e22529}"/>
        <w:style w:val=""/>
        <w:category>
          <w:name w:val="常规"/>
          <w:gallery w:val="placeholder"/>
        </w:category>
        <w:types>
          <w:type w:val="bbPlcHdr"/>
        </w:types>
        <w:behaviors>
          <w:behavior w:val="content"/>
        </w:behaviors>
        <w:description w:val=""/>
        <w:guid w:val="{2e2703b2-a937-453f-9625-d81349e22529}"/>
      </w:docPartPr>
      <w:docPartBody>
        <w:p>
          <w:r>
            <w:rPr>
              <w:color w:val="808080"/>
            </w:rPr>
            <w:t>单击此处输入文字。</w:t>
          </w:r>
        </w:p>
      </w:docPartBody>
    </w:docPart>
    <w:docPart>
      <w:docPartPr>
        <w:name w:val="{331e1026-0dc9-4ad6-b866-f17a4c2ca94c}"/>
        <w:style w:val=""/>
        <w:category>
          <w:name w:val="常规"/>
          <w:gallery w:val="placeholder"/>
        </w:category>
        <w:types>
          <w:type w:val="bbPlcHdr"/>
        </w:types>
        <w:behaviors>
          <w:behavior w:val="content"/>
        </w:behaviors>
        <w:description w:val=""/>
        <w:guid w:val="{331e1026-0dc9-4ad6-b866-f17a4c2ca94c}"/>
      </w:docPartPr>
      <w:docPartBody>
        <w:p>
          <w:r>
            <w:rPr>
              <w:color w:val="808080"/>
            </w:rPr>
            <w:t>单击此处输入文字。</w:t>
          </w:r>
        </w:p>
      </w:docPartBody>
    </w:docPart>
    <w:docPart>
      <w:docPartPr>
        <w:name w:val="{2313ae07-b201-4171-8cb5-a9cfa2076bbc}"/>
        <w:style w:val=""/>
        <w:category>
          <w:name w:val="常规"/>
          <w:gallery w:val="placeholder"/>
        </w:category>
        <w:types>
          <w:type w:val="bbPlcHdr"/>
        </w:types>
        <w:behaviors>
          <w:behavior w:val="content"/>
        </w:behaviors>
        <w:description w:val=""/>
        <w:guid w:val="{2313ae07-b201-4171-8cb5-a9cfa2076bbc}"/>
      </w:docPartPr>
      <w:docPartBody>
        <w:p>
          <w:r>
            <w:rPr>
              <w:color w:val="808080"/>
            </w:rPr>
            <w:t>单击此处输入文字。</w:t>
          </w:r>
        </w:p>
      </w:docPartBody>
    </w:docPart>
    <w:docPart>
      <w:docPartPr>
        <w:name w:val="{1080fdc7-807f-4a58-b135-e1d63f06700b}"/>
        <w:style w:val=""/>
        <w:category>
          <w:name w:val="常规"/>
          <w:gallery w:val="placeholder"/>
        </w:category>
        <w:types>
          <w:type w:val="bbPlcHdr"/>
        </w:types>
        <w:behaviors>
          <w:behavior w:val="content"/>
        </w:behaviors>
        <w:description w:val=""/>
        <w:guid w:val="{1080fdc7-807f-4a58-b135-e1d63f06700b}"/>
      </w:docPartPr>
      <w:docPartBody>
        <w:p>
          <w:r>
            <w:rPr>
              <w:color w:val="808080"/>
            </w:rPr>
            <w:t>单击此处输入文字。</w:t>
          </w:r>
        </w:p>
      </w:docPartBody>
    </w:docPart>
    <w:docPart>
      <w:docPartPr>
        <w:name w:val="{8c758174-eb5c-4a55-a253-9184fdb94c2b}"/>
        <w:style w:val=""/>
        <w:category>
          <w:name w:val="常规"/>
          <w:gallery w:val="placeholder"/>
        </w:category>
        <w:types>
          <w:type w:val="bbPlcHdr"/>
        </w:types>
        <w:behaviors>
          <w:behavior w:val="content"/>
        </w:behaviors>
        <w:description w:val=""/>
        <w:guid w:val="{8c758174-eb5c-4a55-a253-9184fdb94c2b}"/>
      </w:docPartPr>
      <w:docPartBody>
        <w:p>
          <w:r>
            <w:rPr>
              <w:color w:val="808080"/>
            </w:rPr>
            <w:t>单击此处输入文字。</w:t>
          </w:r>
        </w:p>
      </w:docPartBody>
    </w:docPart>
    <w:docPart>
      <w:docPartPr>
        <w:name w:val="{64163aee-b14b-4a93-919a-8ea2497b23d8}"/>
        <w:style w:val=""/>
        <w:category>
          <w:name w:val="常规"/>
          <w:gallery w:val="placeholder"/>
        </w:category>
        <w:types>
          <w:type w:val="bbPlcHdr"/>
        </w:types>
        <w:behaviors>
          <w:behavior w:val="content"/>
        </w:behaviors>
        <w:description w:val=""/>
        <w:guid w:val="{64163aee-b14b-4a93-919a-8ea2497b23d8}"/>
      </w:docPartPr>
      <w:docPartBody>
        <w:p>
          <w:r>
            <w:rPr>
              <w:color w:val="808080"/>
            </w:rPr>
            <w:t>单击此处输入文字。</w:t>
          </w:r>
        </w:p>
      </w:docPartBody>
    </w:docPart>
    <w:docPart>
      <w:docPartPr>
        <w:name w:val="{7e481dce-b068-4156-aa15-71184276daa1}"/>
        <w:style w:val=""/>
        <w:category>
          <w:name w:val="常规"/>
          <w:gallery w:val="placeholder"/>
        </w:category>
        <w:types>
          <w:type w:val="bbPlcHdr"/>
        </w:types>
        <w:behaviors>
          <w:behavior w:val="content"/>
        </w:behaviors>
        <w:description w:val=""/>
        <w:guid w:val="{7e481dce-b068-4156-aa15-71184276daa1}"/>
      </w:docPartPr>
      <w:docPartBody>
        <w:p>
          <w:r>
            <w:rPr>
              <w:color w:val="808080"/>
            </w:rPr>
            <w:t>单击此处输入文字。</w:t>
          </w:r>
        </w:p>
      </w:docPartBody>
    </w:docPart>
    <w:docPart>
      <w:docPartPr>
        <w:name w:val="{7c44ba3c-e5f7-486b-88ed-e3f7f0e02be8}"/>
        <w:style w:val=""/>
        <w:category>
          <w:name w:val="常规"/>
          <w:gallery w:val="placeholder"/>
        </w:category>
        <w:types>
          <w:type w:val="bbPlcHdr"/>
        </w:types>
        <w:behaviors>
          <w:behavior w:val="content"/>
        </w:behaviors>
        <w:description w:val=""/>
        <w:guid w:val="{7c44ba3c-e5f7-486b-88ed-e3f7f0e02be8}"/>
      </w:docPartPr>
      <w:docPartBody>
        <w:p>
          <w:r>
            <w:rPr>
              <w:color w:val="808080"/>
            </w:rPr>
            <w:t>单击此处输入文字。</w:t>
          </w:r>
        </w:p>
      </w:docPartBody>
    </w:docPart>
    <w:docPart>
      <w:docPartPr>
        <w:name w:val="{6e00fc84-445f-4d26-940b-e590d7e7d0d7}"/>
        <w:style w:val=""/>
        <w:category>
          <w:name w:val="常规"/>
          <w:gallery w:val="placeholder"/>
        </w:category>
        <w:types>
          <w:type w:val="bbPlcHdr"/>
        </w:types>
        <w:behaviors>
          <w:behavior w:val="content"/>
        </w:behaviors>
        <w:description w:val=""/>
        <w:guid w:val="{6e00fc84-445f-4d26-940b-e590d7e7d0d7}"/>
      </w:docPartPr>
      <w:docPartBody>
        <w:p>
          <w:r>
            <w:rPr>
              <w:color w:val="808080"/>
            </w:rPr>
            <w:t>单击此处输入文字。</w:t>
          </w:r>
        </w:p>
      </w:docPartBody>
    </w:docPart>
    <w:docPart>
      <w:docPartPr>
        <w:name w:val="{b607642b-83f3-403e-94fa-6e5e484b0587}"/>
        <w:style w:val=""/>
        <w:category>
          <w:name w:val="常规"/>
          <w:gallery w:val="placeholder"/>
        </w:category>
        <w:types>
          <w:type w:val="bbPlcHdr"/>
        </w:types>
        <w:behaviors>
          <w:behavior w:val="content"/>
        </w:behaviors>
        <w:description w:val=""/>
        <w:guid w:val="{b607642b-83f3-403e-94fa-6e5e484b0587}"/>
      </w:docPartPr>
      <w:docPartBody>
        <w:p>
          <w:r>
            <w:rPr>
              <w:color w:val="808080"/>
            </w:rPr>
            <w:t>单击此处输入文字。</w:t>
          </w:r>
        </w:p>
      </w:docPartBody>
    </w:docPart>
    <w:docPart>
      <w:docPartPr>
        <w:name w:val="{b8e3ccf6-620c-4a4f-a1cc-70cc3aa5a13a}"/>
        <w:style w:val=""/>
        <w:category>
          <w:name w:val="常规"/>
          <w:gallery w:val="placeholder"/>
        </w:category>
        <w:types>
          <w:type w:val="bbPlcHdr"/>
        </w:types>
        <w:behaviors>
          <w:behavior w:val="content"/>
        </w:behaviors>
        <w:description w:val=""/>
        <w:guid w:val="{b8e3ccf6-620c-4a4f-a1cc-70cc3aa5a13a}"/>
      </w:docPartPr>
      <w:docPartBody>
        <w:p>
          <w:r>
            <w:rPr>
              <w:color w:val="808080"/>
            </w:rPr>
            <w:t>单击此处输入文字。</w:t>
          </w:r>
        </w:p>
      </w:docPartBody>
    </w:docPart>
    <w:docPart>
      <w:docPartPr>
        <w:name w:val="{58fc6c50-4288-420b-8f7c-cdc68710e36e}"/>
        <w:style w:val=""/>
        <w:category>
          <w:name w:val="常规"/>
          <w:gallery w:val="placeholder"/>
        </w:category>
        <w:types>
          <w:type w:val="bbPlcHdr"/>
        </w:types>
        <w:behaviors>
          <w:behavior w:val="content"/>
        </w:behaviors>
        <w:description w:val=""/>
        <w:guid w:val="{58fc6c50-4288-420b-8f7c-cdc68710e36e}"/>
      </w:docPartPr>
      <w:docPartBody>
        <w:p>
          <w:r>
            <w:rPr>
              <w:color w:val="808080"/>
            </w:rPr>
            <w:t>单击此处输入文字。</w:t>
          </w:r>
        </w:p>
      </w:docPartBody>
    </w:docPart>
    <w:docPart>
      <w:docPartPr>
        <w:name w:val="{5990f6d3-0873-40bd-8b0b-f773b549b278}"/>
        <w:style w:val=""/>
        <w:category>
          <w:name w:val="常规"/>
          <w:gallery w:val="placeholder"/>
        </w:category>
        <w:types>
          <w:type w:val="bbPlcHdr"/>
        </w:types>
        <w:behaviors>
          <w:behavior w:val="content"/>
        </w:behaviors>
        <w:description w:val=""/>
        <w:guid w:val="{5990f6d3-0873-40bd-8b0b-f773b549b278}"/>
      </w:docPartPr>
      <w:docPartBody>
        <w:p>
          <w:r>
            <w:rPr>
              <w:color w:val="808080"/>
            </w:rPr>
            <w:t>单击此处输入文字。</w:t>
          </w:r>
        </w:p>
      </w:docPartBody>
    </w:docPart>
    <w:docPart>
      <w:docPartPr>
        <w:name w:val="{d6be0d0f-fb80-4904-9bdc-8346d2a295b5}"/>
        <w:style w:val=""/>
        <w:category>
          <w:name w:val="常规"/>
          <w:gallery w:val="placeholder"/>
        </w:category>
        <w:types>
          <w:type w:val="bbPlcHdr"/>
        </w:types>
        <w:behaviors>
          <w:behavior w:val="content"/>
        </w:behaviors>
        <w:description w:val=""/>
        <w:guid w:val="{d6be0d0f-fb80-4904-9bdc-8346d2a295b5}"/>
      </w:docPartPr>
      <w:docPartBody>
        <w:p>
          <w:r>
            <w:rPr>
              <w:color w:val="808080"/>
            </w:rPr>
            <w:t>单击此处输入文字。</w:t>
          </w:r>
        </w:p>
      </w:docPartBody>
    </w:docPart>
    <w:docPart>
      <w:docPartPr>
        <w:name w:val="{93e25e5a-3765-446b-8349-e93891bcbaf1}"/>
        <w:style w:val=""/>
        <w:category>
          <w:name w:val="常规"/>
          <w:gallery w:val="placeholder"/>
        </w:category>
        <w:types>
          <w:type w:val="bbPlcHdr"/>
        </w:types>
        <w:behaviors>
          <w:behavior w:val="content"/>
        </w:behaviors>
        <w:description w:val=""/>
        <w:guid w:val="{93e25e5a-3765-446b-8349-e93891bcbaf1}"/>
      </w:docPartPr>
      <w:docPartBody>
        <w:p>
          <w:r>
            <w:rPr>
              <w:color w:val="808080"/>
            </w:rPr>
            <w:t>单击此处输入文字。</w:t>
          </w:r>
        </w:p>
      </w:docPartBody>
    </w:docPart>
    <w:docPart>
      <w:docPartPr>
        <w:name w:val="{63cce162-9157-42d9-bdbe-c30d85adccb7}"/>
        <w:style w:val=""/>
        <w:category>
          <w:name w:val="常规"/>
          <w:gallery w:val="placeholder"/>
        </w:category>
        <w:types>
          <w:type w:val="bbPlcHdr"/>
        </w:types>
        <w:behaviors>
          <w:behavior w:val="content"/>
        </w:behaviors>
        <w:description w:val=""/>
        <w:guid w:val="{63cce162-9157-42d9-bdbe-c30d85adccb7}"/>
      </w:docPartPr>
      <w:docPartBody>
        <w:p>
          <w:r>
            <w:rPr>
              <w:color w:val="808080"/>
            </w:rPr>
            <w:t>单击此处输入文字。</w:t>
          </w:r>
        </w:p>
      </w:docPartBody>
    </w:docPart>
    <w:docPart>
      <w:docPartPr>
        <w:name w:val="{da3d9511-d260-4a48-8a69-b12b7fd120f0}"/>
        <w:style w:val=""/>
        <w:category>
          <w:name w:val="常规"/>
          <w:gallery w:val="placeholder"/>
        </w:category>
        <w:types>
          <w:type w:val="bbPlcHdr"/>
        </w:types>
        <w:behaviors>
          <w:behavior w:val="content"/>
        </w:behaviors>
        <w:description w:val=""/>
        <w:guid w:val="{da3d9511-d260-4a48-8a69-b12b7fd120f0}"/>
      </w:docPartPr>
      <w:docPartBody>
        <w:p>
          <w:r>
            <w:rPr>
              <w:color w:val="808080"/>
            </w:rPr>
            <w:t>单击此处输入文字。</w:t>
          </w:r>
        </w:p>
      </w:docPartBody>
    </w:docPart>
    <w:docPart>
      <w:docPartPr>
        <w:name w:val="{f6c6e9f3-19e2-4ec7-b307-548e545f706b}"/>
        <w:style w:val=""/>
        <w:category>
          <w:name w:val="常规"/>
          <w:gallery w:val="placeholder"/>
        </w:category>
        <w:types>
          <w:type w:val="bbPlcHdr"/>
        </w:types>
        <w:behaviors>
          <w:behavior w:val="content"/>
        </w:behaviors>
        <w:description w:val=""/>
        <w:guid w:val="{f6c6e9f3-19e2-4ec7-b307-548e545f706b}"/>
      </w:docPartPr>
      <w:docPartBody>
        <w:p>
          <w:r>
            <w:rPr>
              <w:color w:val="808080"/>
            </w:rPr>
            <w:t>单击此处输入文字。</w:t>
          </w:r>
        </w:p>
      </w:docPartBody>
    </w:docPart>
    <w:docPart>
      <w:docPartPr>
        <w:name w:val="{03b64f5c-0a26-4447-81df-dc2c40015f2e}"/>
        <w:style w:val=""/>
        <w:category>
          <w:name w:val="常规"/>
          <w:gallery w:val="placeholder"/>
        </w:category>
        <w:types>
          <w:type w:val="bbPlcHdr"/>
        </w:types>
        <w:behaviors>
          <w:behavior w:val="content"/>
        </w:behaviors>
        <w:description w:val=""/>
        <w:guid w:val="{03b64f5c-0a26-4447-81df-dc2c40015f2e}"/>
      </w:docPartPr>
      <w:docPartBody>
        <w:p>
          <w:r>
            <w:rPr>
              <w:color w:val="808080"/>
            </w:rPr>
            <w:t>单击此处输入文字。</w:t>
          </w:r>
        </w:p>
      </w:docPartBody>
    </w:docPart>
    <w:docPart>
      <w:docPartPr>
        <w:name w:val="{b016ef60-9a52-45f5-8a24-85e5b472c460}"/>
        <w:style w:val=""/>
        <w:category>
          <w:name w:val="常规"/>
          <w:gallery w:val="placeholder"/>
        </w:category>
        <w:types>
          <w:type w:val="bbPlcHdr"/>
        </w:types>
        <w:behaviors>
          <w:behavior w:val="content"/>
        </w:behaviors>
        <w:description w:val=""/>
        <w:guid w:val="{b016ef60-9a52-45f5-8a24-85e5b472c460}"/>
      </w:docPartPr>
      <w:docPartBody>
        <w:p>
          <w:r>
            <w:rPr>
              <w:color w:val="808080"/>
            </w:rPr>
            <w:t>单击此处输入文字。</w:t>
          </w:r>
        </w:p>
      </w:docPartBody>
    </w:docPart>
    <w:docPart>
      <w:docPartPr>
        <w:name w:val="{d597d2cd-0ba9-4077-8df8-3d1f8320d745}"/>
        <w:style w:val=""/>
        <w:category>
          <w:name w:val="常规"/>
          <w:gallery w:val="placeholder"/>
        </w:category>
        <w:types>
          <w:type w:val="bbPlcHdr"/>
        </w:types>
        <w:behaviors>
          <w:behavior w:val="content"/>
        </w:behaviors>
        <w:description w:val=""/>
        <w:guid w:val="{d597d2cd-0ba9-4077-8df8-3d1f8320d745}"/>
      </w:docPartPr>
      <w:docPartBody>
        <w:p>
          <w:r>
            <w:rPr>
              <w:color w:val="808080"/>
            </w:rPr>
            <w:t>单击此处输入文字。</w:t>
          </w:r>
        </w:p>
      </w:docPartBody>
    </w:docPart>
    <w:docPart>
      <w:docPartPr>
        <w:name w:val="{c5f24f86-df4c-407b-b1c1-0eb7090602d3}"/>
        <w:style w:val=""/>
        <w:category>
          <w:name w:val="常规"/>
          <w:gallery w:val="placeholder"/>
        </w:category>
        <w:types>
          <w:type w:val="bbPlcHdr"/>
        </w:types>
        <w:behaviors>
          <w:behavior w:val="content"/>
        </w:behaviors>
        <w:description w:val=""/>
        <w:guid w:val="{c5f24f86-df4c-407b-b1c1-0eb7090602d3}"/>
      </w:docPartPr>
      <w:docPartBody>
        <w:p>
          <w:r>
            <w:rPr>
              <w:color w:val="808080"/>
            </w:rPr>
            <w:t>单击此处输入文字。</w:t>
          </w:r>
        </w:p>
      </w:docPartBody>
    </w:docPart>
    <w:docPart>
      <w:docPartPr>
        <w:name w:val="{ab669449-bc94-4e34-b7b3-85a5c70c1e00}"/>
        <w:style w:val=""/>
        <w:category>
          <w:name w:val="常规"/>
          <w:gallery w:val="placeholder"/>
        </w:category>
        <w:types>
          <w:type w:val="bbPlcHdr"/>
        </w:types>
        <w:behaviors>
          <w:behavior w:val="content"/>
        </w:behaviors>
        <w:description w:val=""/>
        <w:guid w:val="{ab669449-bc94-4e34-b7b3-85a5c70c1e00}"/>
      </w:docPartPr>
      <w:docPartBody>
        <w:p>
          <w:r>
            <w:rPr>
              <w:color w:val="808080"/>
            </w:rPr>
            <w:t>单击此处输入文字。</w:t>
          </w:r>
        </w:p>
      </w:docPartBody>
    </w:docPart>
    <w:docPart>
      <w:docPartPr>
        <w:name w:val="{5be02def-c0a7-4ffd-8322-4022117a6bab}"/>
        <w:style w:val=""/>
        <w:category>
          <w:name w:val="常规"/>
          <w:gallery w:val="placeholder"/>
        </w:category>
        <w:types>
          <w:type w:val="bbPlcHdr"/>
        </w:types>
        <w:behaviors>
          <w:behavior w:val="content"/>
        </w:behaviors>
        <w:description w:val=""/>
        <w:guid w:val="{5be02def-c0a7-4ffd-8322-4022117a6bab}"/>
      </w:docPartPr>
      <w:docPartBody>
        <w:p>
          <w:r>
            <w:rPr>
              <w:color w:val="808080"/>
            </w:rPr>
            <w:t>单击此处输入文字。</w:t>
          </w:r>
        </w:p>
      </w:docPartBody>
    </w:docPart>
    <w:docPart>
      <w:docPartPr>
        <w:name w:val="{8dd9afcd-eae2-409b-bc72-bf426e1ba24a}"/>
        <w:style w:val=""/>
        <w:category>
          <w:name w:val="常规"/>
          <w:gallery w:val="placeholder"/>
        </w:category>
        <w:types>
          <w:type w:val="bbPlcHdr"/>
        </w:types>
        <w:behaviors>
          <w:behavior w:val="content"/>
        </w:behaviors>
        <w:description w:val=""/>
        <w:guid w:val="{8dd9afcd-eae2-409b-bc72-bf426e1ba24a}"/>
      </w:docPartPr>
      <w:docPartBody>
        <w:p>
          <w:r>
            <w:rPr>
              <w:color w:val="808080"/>
            </w:rPr>
            <w:t>单击此处输入文字。</w:t>
          </w:r>
        </w:p>
      </w:docPartBody>
    </w:docPart>
    <w:docPart>
      <w:docPartPr>
        <w:name w:val="{82eacda4-b6d9-4f15-97d0-c22bdaceffa1}"/>
        <w:style w:val=""/>
        <w:category>
          <w:name w:val="常规"/>
          <w:gallery w:val="placeholder"/>
        </w:category>
        <w:types>
          <w:type w:val="bbPlcHdr"/>
        </w:types>
        <w:behaviors>
          <w:behavior w:val="content"/>
        </w:behaviors>
        <w:description w:val=""/>
        <w:guid w:val="{82eacda4-b6d9-4f15-97d0-c22bdaceffa1}"/>
      </w:docPartPr>
      <w:docPartBody>
        <w:p>
          <w:r>
            <w:rPr>
              <w:color w:val="808080"/>
            </w:rPr>
            <w:t>单击此处输入文字。</w:t>
          </w:r>
        </w:p>
      </w:docPartBody>
    </w:docPart>
    <w:docPart>
      <w:docPartPr>
        <w:name w:val="{26db5745-d8c0-4678-ab73-a67cfa1d5dee}"/>
        <w:style w:val=""/>
        <w:category>
          <w:name w:val="常规"/>
          <w:gallery w:val="placeholder"/>
        </w:category>
        <w:types>
          <w:type w:val="bbPlcHdr"/>
        </w:types>
        <w:behaviors>
          <w:behavior w:val="content"/>
        </w:behaviors>
        <w:description w:val=""/>
        <w:guid w:val="{26db5745-d8c0-4678-ab73-a67cfa1d5dee}"/>
      </w:docPartPr>
      <w:docPartBody>
        <w:p>
          <w:r>
            <w:rPr>
              <w:color w:val="808080"/>
            </w:rPr>
            <w:t>单击此处输入文字。</w:t>
          </w:r>
        </w:p>
      </w:docPartBody>
    </w:docPart>
    <w:docPart>
      <w:docPartPr>
        <w:name w:val="{49454504-16e7-4fe2-8a92-8fc3dad2f07a}"/>
        <w:style w:val=""/>
        <w:category>
          <w:name w:val="常规"/>
          <w:gallery w:val="placeholder"/>
        </w:category>
        <w:types>
          <w:type w:val="bbPlcHdr"/>
        </w:types>
        <w:behaviors>
          <w:behavior w:val="content"/>
        </w:behaviors>
        <w:description w:val=""/>
        <w:guid w:val="{49454504-16e7-4fe2-8a92-8fc3dad2f07a}"/>
      </w:docPartPr>
      <w:docPartBody>
        <w:p>
          <w:r>
            <w:rPr>
              <w:color w:val="808080"/>
            </w:rPr>
            <w:t>单击此处输入文字。</w:t>
          </w:r>
        </w:p>
      </w:docPartBody>
    </w:docPart>
    <w:docPart>
      <w:docPartPr>
        <w:name w:val="{f251695b-22fc-459f-9a7d-d9c3c5db15f6}"/>
        <w:style w:val=""/>
        <w:category>
          <w:name w:val="常规"/>
          <w:gallery w:val="placeholder"/>
        </w:category>
        <w:types>
          <w:type w:val="bbPlcHdr"/>
        </w:types>
        <w:behaviors>
          <w:behavior w:val="content"/>
        </w:behaviors>
        <w:description w:val=""/>
        <w:guid w:val="{f251695b-22fc-459f-9a7d-d9c3c5db15f6}"/>
      </w:docPartPr>
      <w:docPartBody>
        <w:p>
          <w:r>
            <w:rPr>
              <w:color w:val="808080"/>
            </w:rPr>
            <w:t>单击此处输入文字。</w:t>
          </w:r>
        </w:p>
      </w:docPartBody>
    </w:docPart>
    <w:docPart>
      <w:docPartPr>
        <w:name w:val="{4d269bfa-3499-4c8f-96e4-140378e14328}"/>
        <w:style w:val=""/>
        <w:category>
          <w:name w:val="常规"/>
          <w:gallery w:val="placeholder"/>
        </w:category>
        <w:types>
          <w:type w:val="bbPlcHdr"/>
        </w:types>
        <w:behaviors>
          <w:behavior w:val="content"/>
        </w:behaviors>
        <w:description w:val=""/>
        <w:guid w:val="{4d269bfa-3499-4c8f-96e4-140378e14328}"/>
      </w:docPartPr>
      <w:docPartBody>
        <w:p>
          <w:r>
            <w:rPr>
              <w:color w:val="808080"/>
            </w:rPr>
            <w:t>单击此处输入文字。</w:t>
          </w:r>
        </w:p>
      </w:docPartBody>
    </w:docPart>
    <w:docPart>
      <w:docPartPr>
        <w:name w:val="{db3feb7e-4bd5-4f5f-9c2a-294886043d38}"/>
        <w:style w:val=""/>
        <w:category>
          <w:name w:val="常规"/>
          <w:gallery w:val="placeholder"/>
        </w:category>
        <w:types>
          <w:type w:val="bbPlcHdr"/>
        </w:types>
        <w:behaviors>
          <w:behavior w:val="content"/>
        </w:behaviors>
        <w:description w:val=""/>
        <w:guid w:val="{db3feb7e-4bd5-4f5f-9c2a-294886043d38}"/>
      </w:docPartPr>
      <w:docPartBody>
        <w:p>
          <w:r>
            <w:rPr>
              <w:color w:val="808080"/>
            </w:rPr>
            <w:t>单击此处输入文字。</w:t>
          </w:r>
        </w:p>
      </w:docPartBody>
    </w:docPart>
    <w:docPart>
      <w:docPartPr>
        <w:name w:val="{11c76c51-3bdc-48c0-9446-3b119166f07c}"/>
        <w:style w:val=""/>
        <w:category>
          <w:name w:val="常规"/>
          <w:gallery w:val="placeholder"/>
        </w:category>
        <w:types>
          <w:type w:val="bbPlcHdr"/>
        </w:types>
        <w:behaviors>
          <w:behavior w:val="content"/>
        </w:behaviors>
        <w:description w:val=""/>
        <w:guid w:val="{11c76c51-3bdc-48c0-9446-3b119166f07c}"/>
      </w:docPartPr>
      <w:docPartBody>
        <w:p>
          <w:r>
            <w:rPr>
              <w:color w:val="808080"/>
            </w:rPr>
            <w:t>单击此处输入文字。</w:t>
          </w:r>
        </w:p>
      </w:docPartBody>
    </w:docPart>
    <w:docPart>
      <w:docPartPr>
        <w:name w:val="{95eb8938-9004-4d90-8cac-e17bb9d1613d}"/>
        <w:style w:val=""/>
        <w:category>
          <w:name w:val="常规"/>
          <w:gallery w:val="placeholder"/>
        </w:category>
        <w:types>
          <w:type w:val="bbPlcHdr"/>
        </w:types>
        <w:behaviors>
          <w:behavior w:val="content"/>
        </w:behaviors>
        <w:description w:val=""/>
        <w:guid w:val="{95eb8938-9004-4d90-8cac-e17bb9d1613d}"/>
      </w:docPartPr>
      <w:docPartBody>
        <w:p>
          <w:r>
            <w:rPr>
              <w:color w:val="808080"/>
            </w:rPr>
            <w:t>单击此处输入文字。</w:t>
          </w:r>
        </w:p>
      </w:docPartBody>
    </w:docPart>
    <w:docPart>
      <w:docPartPr>
        <w:name w:val="{0fef7263-5997-4500-9bf2-3ca1e5bbbc3e}"/>
        <w:style w:val=""/>
        <w:category>
          <w:name w:val="常规"/>
          <w:gallery w:val="placeholder"/>
        </w:category>
        <w:types>
          <w:type w:val="bbPlcHdr"/>
        </w:types>
        <w:behaviors>
          <w:behavior w:val="content"/>
        </w:behaviors>
        <w:description w:val=""/>
        <w:guid w:val="{0fef7263-5997-4500-9bf2-3ca1e5bbbc3e}"/>
      </w:docPartPr>
      <w:docPartBody>
        <w:p>
          <w:r>
            <w:rPr>
              <w:color w:val="808080"/>
            </w:rPr>
            <w:t>单击此处输入文字。</w:t>
          </w:r>
        </w:p>
      </w:docPartBody>
    </w:docPart>
    <w:docPart>
      <w:docPartPr>
        <w:name w:val="{b3a1454d-fc5d-4dfb-964b-fa03e27612a8}"/>
        <w:style w:val=""/>
        <w:category>
          <w:name w:val="常规"/>
          <w:gallery w:val="placeholder"/>
        </w:category>
        <w:types>
          <w:type w:val="bbPlcHdr"/>
        </w:types>
        <w:behaviors>
          <w:behavior w:val="content"/>
        </w:behaviors>
        <w:description w:val=""/>
        <w:guid w:val="{b3a1454d-fc5d-4dfb-964b-fa03e27612a8}"/>
      </w:docPartPr>
      <w:docPartBody>
        <w:p>
          <w:r>
            <w:rPr>
              <w:color w:val="808080"/>
            </w:rPr>
            <w:t>单击此处输入文字。</w:t>
          </w:r>
        </w:p>
      </w:docPartBody>
    </w:docPart>
    <w:docPart>
      <w:docPartPr>
        <w:name w:val="{7795c971-aebe-466e-b4de-5d3272f428ec}"/>
        <w:style w:val=""/>
        <w:category>
          <w:name w:val="常规"/>
          <w:gallery w:val="placeholder"/>
        </w:category>
        <w:types>
          <w:type w:val="bbPlcHdr"/>
        </w:types>
        <w:behaviors>
          <w:behavior w:val="content"/>
        </w:behaviors>
        <w:description w:val=""/>
        <w:guid w:val="{7795c971-aebe-466e-b4de-5d3272f428ec}"/>
      </w:docPartPr>
      <w:docPartBody>
        <w:p>
          <w:r>
            <w:rPr>
              <w:color w:val="808080"/>
            </w:rPr>
            <w:t>单击此处输入文字。</w:t>
          </w:r>
        </w:p>
      </w:docPartBody>
    </w:docPart>
    <w:docPart>
      <w:docPartPr>
        <w:name w:val="{4e615821-58ff-41b8-950e-5f35f3357bb1}"/>
        <w:style w:val=""/>
        <w:category>
          <w:name w:val="常规"/>
          <w:gallery w:val="placeholder"/>
        </w:category>
        <w:types>
          <w:type w:val="bbPlcHdr"/>
        </w:types>
        <w:behaviors>
          <w:behavior w:val="content"/>
        </w:behaviors>
        <w:description w:val=""/>
        <w:guid w:val="{4e615821-58ff-41b8-950e-5f35f3357bb1}"/>
      </w:docPartPr>
      <w:docPartBody>
        <w:p>
          <w:r>
            <w:rPr>
              <w:color w:val="808080"/>
            </w:rPr>
            <w:t>单击此处输入文字。</w:t>
          </w:r>
        </w:p>
      </w:docPartBody>
    </w:docPart>
    <w:docPart>
      <w:docPartPr>
        <w:name w:val="{3f45d533-c3db-4fee-9a89-37ea238de9db}"/>
        <w:style w:val=""/>
        <w:category>
          <w:name w:val="常规"/>
          <w:gallery w:val="placeholder"/>
        </w:category>
        <w:types>
          <w:type w:val="bbPlcHdr"/>
        </w:types>
        <w:behaviors>
          <w:behavior w:val="content"/>
        </w:behaviors>
        <w:description w:val=""/>
        <w:guid w:val="{3f45d533-c3db-4fee-9a89-37ea238de9db}"/>
      </w:docPartPr>
      <w:docPartBody>
        <w:p>
          <w:r>
            <w:rPr>
              <w:color w:val="808080"/>
            </w:rPr>
            <w:t>单击此处输入文字。</w:t>
          </w:r>
        </w:p>
      </w:docPartBody>
    </w:docPart>
    <w:docPart>
      <w:docPartPr>
        <w:name w:val="{a26b095d-c77f-49fa-8197-9a1622b519d4}"/>
        <w:style w:val=""/>
        <w:category>
          <w:name w:val="常规"/>
          <w:gallery w:val="placeholder"/>
        </w:category>
        <w:types>
          <w:type w:val="bbPlcHdr"/>
        </w:types>
        <w:behaviors>
          <w:behavior w:val="content"/>
        </w:behaviors>
        <w:description w:val=""/>
        <w:guid w:val="{a26b095d-c77f-49fa-8197-9a1622b519d4}"/>
      </w:docPartPr>
      <w:docPartBody>
        <w:p>
          <w:r>
            <w:rPr>
              <w:color w:val="808080"/>
            </w:rPr>
            <w:t>单击此处输入文字。</w:t>
          </w:r>
        </w:p>
      </w:docPartBody>
    </w:docPart>
    <w:docPart>
      <w:docPartPr>
        <w:name w:val="{74ebafa9-ff2c-4d76-98a5-68a38f5f1073}"/>
        <w:style w:val=""/>
        <w:category>
          <w:name w:val="常规"/>
          <w:gallery w:val="placeholder"/>
        </w:category>
        <w:types>
          <w:type w:val="bbPlcHdr"/>
        </w:types>
        <w:behaviors>
          <w:behavior w:val="content"/>
        </w:behaviors>
        <w:description w:val=""/>
        <w:guid w:val="{74ebafa9-ff2c-4d76-98a5-68a38f5f1073}"/>
      </w:docPartPr>
      <w:docPartBody>
        <w:p>
          <w:r>
            <w:rPr>
              <w:color w:val="808080"/>
            </w:rPr>
            <w:t>单击此处输入文字。</w:t>
          </w:r>
        </w:p>
      </w:docPartBody>
    </w:docPart>
    <w:docPart>
      <w:docPartPr>
        <w:name w:val="{0dcf0447-c930-4b28-9349-fb997390fd9c}"/>
        <w:style w:val=""/>
        <w:category>
          <w:name w:val="常规"/>
          <w:gallery w:val="placeholder"/>
        </w:category>
        <w:types>
          <w:type w:val="bbPlcHdr"/>
        </w:types>
        <w:behaviors>
          <w:behavior w:val="content"/>
        </w:behaviors>
        <w:description w:val=""/>
        <w:guid w:val="{0dcf0447-c930-4b28-9349-fb997390fd9c}"/>
      </w:docPartPr>
      <w:docPartBody>
        <w:p>
          <w:r>
            <w:rPr>
              <w:color w:val="808080"/>
            </w:rPr>
            <w:t>单击此处输入文字。</w:t>
          </w:r>
        </w:p>
      </w:docPartBody>
    </w:docPart>
    <w:docPart>
      <w:docPartPr>
        <w:name w:val="{7140d23b-f29f-4ebe-ba8e-8c4ded62f799}"/>
        <w:style w:val=""/>
        <w:category>
          <w:name w:val="常规"/>
          <w:gallery w:val="placeholder"/>
        </w:category>
        <w:types>
          <w:type w:val="bbPlcHdr"/>
        </w:types>
        <w:behaviors>
          <w:behavior w:val="content"/>
        </w:behaviors>
        <w:description w:val=""/>
        <w:guid w:val="{7140d23b-f29f-4ebe-ba8e-8c4ded62f799}"/>
      </w:docPartPr>
      <w:docPartBody>
        <w:p>
          <w:r>
            <w:rPr>
              <w:color w:val="808080"/>
            </w:rPr>
            <w:t>单击此处输入文字。</w:t>
          </w:r>
        </w:p>
      </w:docPartBody>
    </w:docPart>
    <w:docPart>
      <w:docPartPr>
        <w:name w:val="{685ebf4d-99a1-4c7e-83e7-4625a66c3350}"/>
        <w:style w:val=""/>
        <w:category>
          <w:name w:val="常规"/>
          <w:gallery w:val="placeholder"/>
        </w:category>
        <w:types>
          <w:type w:val="bbPlcHdr"/>
        </w:types>
        <w:behaviors>
          <w:behavior w:val="content"/>
        </w:behaviors>
        <w:description w:val=""/>
        <w:guid w:val="{685ebf4d-99a1-4c7e-83e7-4625a66c3350}"/>
      </w:docPartPr>
      <w:docPartBody>
        <w:p>
          <w:r>
            <w:rPr>
              <w:color w:val="808080"/>
            </w:rPr>
            <w:t>单击此处输入文字。</w:t>
          </w:r>
        </w:p>
      </w:docPartBody>
    </w:docPart>
    <w:docPart>
      <w:docPartPr>
        <w:name w:val="{5b67ccc1-12e8-4b44-9523-e9e4863132e6}"/>
        <w:style w:val=""/>
        <w:category>
          <w:name w:val="常规"/>
          <w:gallery w:val="placeholder"/>
        </w:category>
        <w:types>
          <w:type w:val="bbPlcHdr"/>
        </w:types>
        <w:behaviors>
          <w:behavior w:val="content"/>
        </w:behaviors>
        <w:description w:val=""/>
        <w:guid w:val="{5b67ccc1-12e8-4b44-9523-e9e4863132e6}"/>
      </w:docPartPr>
      <w:docPartBody>
        <w:p>
          <w:r>
            <w:rPr>
              <w:color w:val="808080"/>
            </w:rPr>
            <w:t>单击此处输入文字。</w:t>
          </w:r>
        </w:p>
      </w:docPartBody>
    </w:docPart>
    <w:docPart>
      <w:docPartPr>
        <w:name w:val="{e29a7cba-37c4-496e-8c32-55ec52376136}"/>
        <w:style w:val=""/>
        <w:category>
          <w:name w:val="常规"/>
          <w:gallery w:val="placeholder"/>
        </w:category>
        <w:types>
          <w:type w:val="bbPlcHdr"/>
        </w:types>
        <w:behaviors>
          <w:behavior w:val="content"/>
        </w:behaviors>
        <w:description w:val=""/>
        <w:guid w:val="{e29a7cba-37c4-496e-8c32-55ec52376136}"/>
      </w:docPartPr>
      <w:docPartBody>
        <w:p>
          <w:r>
            <w:rPr>
              <w:color w:val="808080"/>
            </w:rPr>
            <w:t>单击此处输入文字。</w:t>
          </w:r>
        </w:p>
      </w:docPartBody>
    </w:docPart>
    <w:docPart>
      <w:docPartPr>
        <w:name w:val="{c901796c-43ca-45a1-af23-6aeac2b4486b}"/>
        <w:style w:val=""/>
        <w:category>
          <w:name w:val="常规"/>
          <w:gallery w:val="placeholder"/>
        </w:category>
        <w:types>
          <w:type w:val="bbPlcHdr"/>
        </w:types>
        <w:behaviors>
          <w:behavior w:val="content"/>
        </w:behaviors>
        <w:description w:val=""/>
        <w:guid w:val="{c901796c-43ca-45a1-af23-6aeac2b4486b}"/>
      </w:docPartPr>
      <w:docPartBody>
        <w:p>
          <w:r>
            <w:rPr>
              <w:color w:val="808080"/>
            </w:rPr>
            <w:t>单击此处输入文字。</w:t>
          </w:r>
        </w:p>
      </w:docPartBody>
    </w:docPart>
    <w:docPart>
      <w:docPartPr>
        <w:name w:val="{05993388-c9f7-478b-ba54-fc4bcc9e5bbd}"/>
        <w:style w:val=""/>
        <w:category>
          <w:name w:val="常规"/>
          <w:gallery w:val="placeholder"/>
        </w:category>
        <w:types>
          <w:type w:val="bbPlcHdr"/>
        </w:types>
        <w:behaviors>
          <w:behavior w:val="content"/>
        </w:behaviors>
        <w:description w:val=""/>
        <w:guid w:val="{05993388-c9f7-478b-ba54-fc4bcc9e5bbd}"/>
      </w:docPartPr>
      <w:docPartBody>
        <w:p>
          <w:r>
            <w:rPr>
              <w:color w:val="808080"/>
            </w:rPr>
            <w:t>单击此处输入文字。</w:t>
          </w:r>
        </w:p>
      </w:docPartBody>
    </w:docPart>
    <w:docPart>
      <w:docPartPr>
        <w:name w:val="{28fa3167-6709-4691-b2df-c26420b68e02}"/>
        <w:style w:val=""/>
        <w:category>
          <w:name w:val="常规"/>
          <w:gallery w:val="placeholder"/>
        </w:category>
        <w:types>
          <w:type w:val="bbPlcHdr"/>
        </w:types>
        <w:behaviors>
          <w:behavior w:val="content"/>
        </w:behaviors>
        <w:description w:val=""/>
        <w:guid w:val="{28fa3167-6709-4691-b2df-c26420b68e02}"/>
      </w:docPartPr>
      <w:docPartBody>
        <w:p>
          <w:r>
            <w:rPr>
              <w:color w:val="808080"/>
            </w:rPr>
            <w:t>单击此处输入文字。</w:t>
          </w:r>
        </w:p>
      </w:docPartBody>
    </w:docPart>
    <w:docPart>
      <w:docPartPr>
        <w:name w:val="{136cfb02-f444-4423-a925-806106adc9a0}"/>
        <w:style w:val=""/>
        <w:category>
          <w:name w:val="常规"/>
          <w:gallery w:val="placeholder"/>
        </w:category>
        <w:types>
          <w:type w:val="bbPlcHdr"/>
        </w:types>
        <w:behaviors>
          <w:behavior w:val="content"/>
        </w:behaviors>
        <w:description w:val=""/>
        <w:guid w:val="{136cfb02-f444-4423-a925-806106adc9a0}"/>
      </w:docPartPr>
      <w:docPartBody>
        <w:p>
          <w:r>
            <w:rPr>
              <w:color w:val="808080"/>
            </w:rPr>
            <w:t>单击此处输入文字。</w:t>
          </w:r>
        </w:p>
      </w:docPartBody>
    </w:docPart>
    <w:docPart>
      <w:docPartPr>
        <w:name w:val="{8a04ea9e-57fa-45e2-912a-e43f50d72bd9}"/>
        <w:style w:val=""/>
        <w:category>
          <w:name w:val="常规"/>
          <w:gallery w:val="placeholder"/>
        </w:category>
        <w:types>
          <w:type w:val="bbPlcHdr"/>
        </w:types>
        <w:behaviors>
          <w:behavior w:val="content"/>
        </w:behaviors>
        <w:description w:val=""/>
        <w:guid w:val="{8a04ea9e-57fa-45e2-912a-e43f50d72bd9}"/>
      </w:docPartPr>
      <w:docPartBody>
        <w:p>
          <w:r>
            <w:rPr>
              <w:color w:val="808080"/>
            </w:rPr>
            <w:t>单击此处输入文字。</w:t>
          </w:r>
        </w:p>
      </w:docPartBody>
    </w:docPart>
    <w:docPart>
      <w:docPartPr>
        <w:name w:val="{cf932b05-8627-4efe-8424-ef88df9bbf68}"/>
        <w:style w:val=""/>
        <w:category>
          <w:name w:val="常规"/>
          <w:gallery w:val="placeholder"/>
        </w:category>
        <w:types>
          <w:type w:val="bbPlcHdr"/>
        </w:types>
        <w:behaviors>
          <w:behavior w:val="content"/>
        </w:behaviors>
        <w:description w:val=""/>
        <w:guid w:val="{cf932b05-8627-4efe-8424-ef88df9bbf68}"/>
      </w:docPartPr>
      <w:docPartBody>
        <w:p>
          <w:r>
            <w:rPr>
              <w:color w:val="808080"/>
            </w:rPr>
            <w:t>单击此处输入文字。</w:t>
          </w:r>
        </w:p>
      </w:docPartBody>
    </w:docPart>
    <w:docPart>
      <w:docPartPr>
        <w:name w:val="{6d974732-8c21-465c-b197-d5831fea468d}"/>
        <w:style w:val=""/>
        <w:category>
          <w:name w:val="常规"/>
          <w:gallery w:val="placeholder"/>
        </w:category>
        <w:types>
          <w:type w:val="bbPlcHdr"/>
        </w:types>
        <w:behaviors>
          <w:behavior w:val="content"/>
        </w:behaviors>
        <w:description w:val=""/>
        <w:guid w:val="{6d974732-8c21-465c-b197-d5831fea468d}"/>
      </w:docPartPr>
      <w:docPartBody>
        <w:p>
          <w:r>
            <w:rPr>
              <w:color w:val="808080"/>
            </w:rPr>
            <w:t>单击此处输入文字。</w:t>
          </w:r>
        </w:p>
      </w:docPartBody>
    </w:docPart>
    <w:docPart>
      <w:docPartPr>
        <w:name w:val="{a850a35a-d92b-4ad1-b442-6fe8bb4d2a9f}"/>
        <w:style w:val=""/>
        <w:category>
          <w:name w:val="常规"/>
          <w:gallery w:val="placeholder"/>
        </w:category>
        <w:types>
          <w:type w:val="bbPlcHdr"/>
        </w:types>
        <w:behaviors>
          <w:behavior w:val="content"/>
        </w:behaviors>
        <w:description w:val=""/>
        <w:guid w:val="{a850a35a-d92b-4ad1-b442-6fe8bb4d2a9f}"/>
      </w:docPartPr>
      <w:docPartBody>
        <w:p>
          <w:r>
            <w:rPr>
              <w:color w:val="808080"/>
            </w:rPr>
            <w:t>单击此处输入文字。</w:t>
          </w:r>
        </w:p>
      </w:docPartBody>
    </w:docPart>
    <w:docPart>
      <w:docPartPr>
        <w:name w:val="{6b729929-0953-4c99-932b-e551836f4a7a}"/>
        <w:style w:val=""/>
        <w:category>
          <w:name w:val="常规"/>
          <w:gallery w:val="placeholder"/>
        </w:category>
        <w:types>
          <w:type w:val="bbPlcHdr"/>
        </w:types>
        <w:behaviors>
          <w:behavior w:val="content"/>
        </w:behaviors>
        <w:description w:val=""/>
        <w:guid w:val="{6b729929-0953-4c99-932b-e551836f4a7a}"/>
      </w:docPartPr>
      <w:docPartBody>
        <w:p>
          <w:r>
            <w:rPr>
              <w:color w:val="808080"/>
            </w:rPr>
            <w:t>单击此处输入文字。</w:t>
          </w:r>
        </w:p>
      </w:docPartBody>
    </w:docPart>
    <w:docPart>
      <w:docPartPr>
        <w:name w:val="{f5ae2a83-8447-497b-8fd3-0627ee6af78f}"/>
        <w:style w:val=""/>
        <w:category>
          <w:name w:val="常规"/>
          <w:gallery w:val="placeholder"/>
        </w:category>
        <w:types>
          <w:type w:val="bbPlcHdr"/>
        </w:types>
        <w:behaviors>
          <w:behavior w:val="content"/>
        </w:behaviors>
        <w:description w:val=""/>
        <w:guid w:val="{f5ae2a83-8447-497b-8fd3-0627ee6af78f}"/>
      </w:docPartPr>
      <w:docPartBody>
        <w:p>
          <w:r>
            <w:rPr>
              <w:color w:val="808080"/>
            </w:rPr>
            <w:t>单击此处输入文字。</w:t>
          </w:r>
        </w:p>
      </w:docPartBody>
    </w:docPart>
    <w:docPart>
      <w:docPartPr>
        <w:name w:val="{37662cdd-15a3-4967-995c-2a67825da196}"/>
        <w:style w:val=""/>
        <w:category>
          <w:name w:val="常规"/>
          <w:gallery w:val="placeholder"/>
        </w:category>
        <w:types>
          <w:type w:val="bbPlcHdr"/>
        </w:types>
        <w:behaviors>
          <w:behavior w:val="content"/>
        </w:behaviors>
        <w:description w:val=""/>
        <w:guid w:val="{37662cdd-15a3-4967-995c-2a67825da19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41321</Words>
  <Characters>43394</Characters>
  <Lines>1</Lines>
  <Paragraphs>1</Paragraphs>
  <TotalTime>0</TotalTime>
  <ScaleCrop>false</ScaleCrop>
  <LinksUpToDate>false</LinksUpToDate>
  <CharactersWithSpaces>44068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2015-01-03T20:40:00Z</dcterms:created>
  <dc:creator>黄超群</dc:creator>
  <cp:lastModifiedBy>Administrator</cp:lastModifiedBy>
  <dcterms:modified xsi:type="dcterms:W3CDTF">2024-06-28T09:14:17Z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8EFEE975E8284D67AF2ED2E3D876E723</vt:lpwstr>
  </property>
</Properties>
</file>