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color w:val="auto"/>
          <w:sz w:val="52"/>
          <w:szCs w:val="52"/>
          <w:highlight w:val="none"/>
        </w:rPr>
      </w:pPr>
      <w:bookmarkStart w:id="166" w:name="_GoBack"/>
      <w:r>
        <w:rPr>
          <w:rFonts w:hint="eastAsia" w:ascii="宋体" w:hAnsi="宋体"/>
          <w:b/>
          <w:color w:val="auto"/>
          <w:sz w:val="52"/>
          <w:szCs w:val="52"/>
          <w:highlight w:val="none"/>
        </w:rPr>
        <w:t xml:space="preserve"> </w:t>
      </w:r>
    </w:p>
    <w:p>
      <w:pPr>
        <w:spacing w:line="360" w:lineRule="auto"/>
        <w:jc w:val="center"/>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pPr>
        <w:spacing w:line="360" w:lineRule="auto"/>
        <w:jc w:val="center"/>
        <w:rPr>
          <w:rFonts w:hint="default"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pPr>
        <w:spacing w:line="360" w:lineRule="auto"/>
        <w:jc w:val="center"/>
        <w:rPr>
          <w:rFonts w:hint="eastAsia" w:ascii="宋体" w:hAnsi="宋体"/>
          <w:b/>
          <w:color w:val="auto"/>
          <w:sz w:val="52"/>
          <w:szCs w:val="52"/>
          <w:highlight w:val="none"/>
        </w:rPr>
      </w:pPr>
      <w:r>
        <w:rPr>
          <w:rFonts w:hint="eastAsia" w:ascii="宋体" w:hAnsi="宋体"/>
          <w:b/>
          <w:bCs/>
          <w:color w:val="auto"/>
          <w:sz w:val="52"/>
          <w:highlight w:val="none"/>
        </w:rPr>
        <w:t>竞争性谈判采购文件</w:t>
      </w:r>
    </w:p>
    <w:p>
      <w:pPr>
        <w:spacing w:line="360" w:lineRule="auto"/>
        <w:ind w:firstLine="1303" w:firstLineChars="543"/>
        <w:rPr>
          <w:rFonts w:hint="eastAsia" w:ascii="宋体" w:hAnsi="宋体"/>
          <w:color w:val="auto"/>
          <w:sz w:val="24"/>
          <w:szCs w:val="24"/>
          <w:highlight w:val="none"/>
        </w:rPr>
      </w:pPr>
    </w:p>
    <w:p>
      <w:pPr>
        <w:spacing w:line="360" w:lineRule="auto"/>
        <w:ind w:firstLine="2399" w:firstLineChars="543"/>
        <w:rPr>
          <w:rFonts w:hint="eastAsia" w:ascii="宋体" w:hAnsi="宋体"/>
          <w:b/>
          <w:color w:val="auto"/>
          <w:sz w:val="44"/>
          <w:highlight w:val="none"/>
        </w:rPr>
      </w:pPr>
    </w:p>
    <w:p>
      <w:pPr>
        <w:spacing w:line="360" w:lineRule="auto"/>
        <w:ind w:firstLine="2399" w:firstLineChars="543"/>
        <w:rPr>
          <w:rFonts w:hint="eastAsia" w:ascii="宋体" w:hAnsi="宋体"/>
          <w:b/>
          <w:color w:val="auto"/>
          <w:sz w:val="44"/>
          <w:highlight w:val="none"/>
        </w:rPr>
      </w:pPr>
    </w:p>
    <w:p>
      <w:pPr>
        <w:spacing w:line="360" w:lineRule="auto"/>
        <w:rPr>
          <w:rFonts w:hint="eastAsia" w:ascii="宋体" w:hAnsi="宋体" w:eastAsia="宋体"/>
          <w:b/>
          <w:color w:val="auto"/>
          <w:sz w:val="44"/>
          <w:highlight w:val="none"/>
          <w:lang w:eastAsia="zh-CN"/>
        </w:rPr>
      </w:pPr>
      <w:r>
        <w:rPr>
          <w:rFonts w:hint="eastAsia" w:ascii="宋体" w:hAnsi="宋体"/>
          <w:b/>
          <w:color w:val="auto"/>
          <w:sz w:val="44"/>
          <w:highlight w:val="none"/>
        </w:rPr>
        <w:t xml:space="preserve">    项目编号：</w:t>
      </w:r>
      <w:r>
        <w:rPr>
          <w:rFonts w:hint="eastAsia" w:ascii="宋体" w:hAnsi="宋体"/>
          <w:b/>
          <w:color w:val="auto"/>
          <w:sz w:val="44"/>
          <w:highlight w:val="none"/>
          <w:lang w:eastAsia="zh-CN"/>
        </w:rPr>
        <w:t>XM2024-TZ5086C1</w:t>
      </w:r>
    </w:p>
    <w:p>
      <w:pPr>
        <w:spacing w:line="360" w:lineRule="auto"/>
        <w:rPr>
          <w:rFonts w:hint="eastAsia" w:ascii="宋体" w:hAnsi="宋体" w:eastAsia="宋体"/>
          <w:b/>
          <w:color w:val="auto"/>
          <w:sz w:val="44"/>
          <w:highlight w:val="none"/>
          <w:lang w:eastAsia="zh-CN"/>
        </w:rPr>
      </w:pPr>
      <w:r>
        <w:rPr>
          <w:rFonts w:hint="eastAsia" w:ascii="宋体" w:hAnsi="宋体"/>
          <w:b/>
          <w:color w:val="auto"/>
          <w:sz w:val="44"/>
          <w:highlight w:val="none"/>
        </w:rPr>
        <w:t xml:space="preserve">    项目名称：</w:t>
      </w:r>
      <w:r>
        <w:rPr>
          <w:rFonts w:hint="eastAsia" w:ascii="宋体" w:hAnsi="宋体"/>
          <w:b/>
          <w:color w:val="auto"/>
          <w:sz w:val="44"/>
          <w:highlight w:val="none"/>
          <w:lang w:eastAsia="zh-CN"/>
        </w:rPr>
        <w:t>港口客运、水路客运企业第三方安全专项检查</w:t>
      </w:r>
    </w:p>
    <w:p>
      <w:pPr>
        <w:spacing w:line="360" w:lineRule="auto"/>
        <w:jc w:val="center"/>
        <w:rPr>
          <w:rFonts w:hint="eastAsia" w:ascii="宋体" w:hAnsi="宋体"/>
          <w:b/>
          <w:color w:val="auto"/>
          <w:sz w:val="44"/>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    采  购  人 ：</w:t>
      </w:r>
      <w:r>
        <w:rPr>
          <w:rFonts w:hint="eastAsia" w:ascii="宋体" w:hAnsi="宋体"/>
          <w:b/>
          <w:color w:val="auto"/>
          <w:sz w:val="32"/>
          <w:szCs w:val="32"/>
          <w:highlight w:val="none"/>
          <w:lang w:eastAsia="zh-CN"/>
        </w:rPr>
        <w:t>厦门港水路运输指挥中心</w:t>
      </w:r>
    </w:p>
    <w:p>
      <w:pPr>
        <w:spacing w:line="360" w:lineRule="auto"/>
        <w:ind w:right="-63" w:rightChars="-30"/>
        <w:rPr>
          <w:rFonts w:hint="eastAsia" w:ascii="宋体" w:hAnsi="宋体"/>
          <w:color w:val="auto"/>
          <w:szCs w:val="21"/>
          <w:highlight w:val="none"/>
        </w:rPr>
      </w:pPr>
      <w:r>
        <w:rPr>
          <w:rFonts w:hint="eastAsia" w:ascii="宋体" w:hAnsi="宋体"/>
          <w:b/>
          <w:color w:val="auto"/>
          <w:sz w:val="32"/>
          <w:szCs w:val="32"/>
          <w:highlight w:val="none"/>
        </w:rPr>
        <w:t xml:space="preserve">    采购代理机构：厦门万翔招标有限公司</w:t>
      </w: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2024</w:t>
      </w:r>
      <w:r>
        <w:rPr>
          <w:rFonts w:hint="eastAsia" w:ascii="宋体" w:hAnsi="宋体"/>
          <w:b/>
          <w:color w:val="auto"/>
          <w:sz w:val="36"/>
          <w:szCs w:val="36"/>
          <w:highlight w:val="none"/>
        </w:rPr>
        <w:t>年</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（201608版）</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（五）厦门银行股份有限公司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pPr>
        <w:spacing w:line="360" w:lineRule="auto"/>
        <w:jc w:val="center"/>
        <w:rPr>
          <w:rFonts w:hint="eastAsia" w:ascii="宋体" w:hAnsi="宋体" w:eastAsia="宋体" w:cs="宋体"/>
          <w:b/>
          <w:color w:val="auto"/>
          <w:sz w:val="24"/>
          <w:szCs w:val="24"/>
          <w:highlight w:val="none"/>
        </w:rPr>
      </w:pPr>
    </w:p>
    <w:p>
      <w:pPr>
        <w:pStyle w:val="13"/>
        <w:tabs>
          <w:tab w:val="right" w:leader="dot" w:pos="8306"/>
        </w:tabs>
        <w:spacing w:line="360" w:lineRule="auto"/>
        <w:rPr>
          <w:b/>
          <w:bCs/>
          <w:color w:val="auto"/>
          <w:sz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_Toc8795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谈判邀请</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_Toc8795 \h </w:instrText>
      </w:r>
      <w:r>
        <w:rPr>
          <w:b/>
          <w:bCs/>
          <w:color w:val="auto"/>
          <w:sz w:val="24"/>
          <w:highlight w:val="none"/>
        </w:rPr>
        <w:fldChar w:fldCharType="separate"/>
      </w:r>
      <w:r>
        <w:rPr>
          <w:b/>
          <w:bCs/>
          <w:color w:val="auto"/>
          <w:sz w:val="24"/>
          <w:highlight w:val="none"/>
        </w:rPr>
        <w:t>4</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_Toc8172 </w:instrText>
      </w:r>
      <w:r>
        <w:rPr>
          <w:rFonts w:hint="eastAsia" w:ascii="宋体" w:hAnsi="宋体" w:eastAsia="宋体" w:cs="宋体"/>
          <w:b/>
          <w:bCs/>
          <w:color w:val="auto"/>
          <w:sz w:val="24"/>
          <w:szCs w:val="24"/>
          <w:highlight w:val="none"/>
        </w:rPr>
        <w:fldChar w:fldCharType="separate"/>
      </w:r>
      <w:r>
        <w:rPr>
          <w:rFonts w:hint="eastAsia" w:hAnsi="宋体" w:eastAsia="宋体" w:cs="宋体"/>
          <w:b/>
          <w:bCs/>
          <w:color w:val="auto"/>
          <w:sz w:val="24"/>
          <w:szCs w:val="24"/>
          <w:highlight w:val="none"/>
        </w:rPr>
        <w:t>第二章  报价人须知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_Toc8172 \h </w:instrText>
      </w:r>
      <w:r>
        <w:rPr>
          <w:b/>
          <w:bCs/>
          <w:color w:val="auto"/>
          <w:sz w:val="24"/>
          <w:highlight w:val="none"/>
        </w:rPr>
        <w:fldChar w:fldCharType="separate"/>
      </w:r>
      <w:r>
        <w:rPr>
          <w:b/>
          <w:bCs/>
          <w:color w:val="auto"/>
          <w:sz w:val="24"/>
          <w:highlight w:val="none"/>
        </w:rPr>
        <w:t>7</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_Toc10668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报价人须知前附表1</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_Toc10668 \h </w:instrText>
      </w:r>
      <w:r>
        <w:rPr>
          <w:b w:val="0"/>
          <w:bCs w:val="0"/>
          <w:color w:val="auto"/>
          <w:sz w:val="24"/>
          <w:szCs w:val="24"/>
          <w:highlight w:val="none"/>
        </w:rPr>
        <w:fldChar w:fldCharType="separate"/>
      </w:r>
      <w:r>
        <w:rPr>
          <w:b w:val="0"/>
          <w:bCs w:val="0"/>
          <w:color w:val="auto"/>
          <w:sz w:val="24"/>
          <w:szCs w:val="24"/>
          <w:highlight w:val="none"/>
        </w:rPr>
        <w:t>8</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_Toc29123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报价人须知前附表2</w:t>
      </w:r>
      <w:r>
        <w:rPr>
          <w:rFonts w:hint="default" w:ascii="宋体" w:hAnsi="宋体" w:cs="宋体"/>
          <w:b w:val="0"/>
          <w:bCs w:val="0"/>
          <w:color w:val="auto"/>
          <w:sz w:val="24"/>
          <w:szCs w:val="24"/>
          <w:highlight w:val="none"/>
        </w:rPr>
        <w:t>：</w:t>
      </w:r>
      <w:r>
        <w:rPr>
          <w:rFonts w:hint="eastAsia" w:ascii="宋体" w:hAnsi="宋体" w:eastAsia="宋体" w:cs="宋体"/>
          <w:b w:val="0"/>
          <w:bCs w:val="0"/>
          <w:color w:val="auto"/>
          <w:sz w:val="24"/>
          <w:szCs w:val="24"/>
          <w:highlight w:val="none"/>
        </w:rPr>
        <w:t>资格性、符合性检查表</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_Toc29123 \h </w:instrText>
      </w:r>
      <w:r>
        <w:rPr>
          <w:b w:val="0"/>
          <w:bCs w:val="0"/>
          <w:color w:val="auto"/>
          <w:sz w:val="24"/>
          <w:szCs w:val="24"/>
          <w:highlight w:val="none"/>
        </w:rPr>
        <w:fldChar w:fldCharType="separate"/>
      </w:r>
      <w:r>
        <w:rPr>
          <w:b w:val="0"/>
          <w:bCs w:val="0"/>
          <w:color w:val="auto"/>
          <w:sz w:val="24"/>
          <w:szCs w:val="24"/>
          <w:highlight w:val="none"/>
        </w:rPr>
        <w:t>9</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_Toc10653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报价人须知前附表3：谈判规则、评审标准</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_Toc10653 \h </w:instrText>
      </w:r>
      <w:r>
        <w:rPr>
          <w:b w:val="0"/>
          <w:bCs w:val="0"/>
          <w:color w:val="auto"/>
          <w:sz w:val="24"/>
          <w:szCs w:val="24"/>
          <w:highlight w:val="none"/>
        </w:rPr>
        <w:fldChar w:fldCharType="separate"/>
      </w:r>
      <w:r>
        <w:rPr>
          <w:b w:val="0"/>
          <w:bCs w:val="0"/>
          <w:color w:val="auto"/>
          <w:sz w:val="24"/>
          <w:szCs w:val="24"/>
          <w:highlight w:val="none"/>
        </w:rPr>
        <w:t>17</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3"/>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_Toc10921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谈判内容及要求</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_Toc10921 \h </w:instrText>
      </w:r>
      <w:r>
        <w:rPr>
          <w:b/>
          <w:bCs/>
          <w:color w:val="auto"/>
          <w:sz w:val="24"/>
          <w:highlight w:val="none"/>
        </w:rPr>
        <w:fldChar w:fldCharType="separate"/>
      </w:r>
      <w:r>
        <w:rPr>
          <w:b/>
          <w:bCs/>
          <w:color w:val="auto"/>
          <w:sz w:val="24"/>
          <w:highlight w:val="none"/>
        </w:rPr>
        <w:t>33</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_Toc32447 </w:instrText>
      </w:r>
      <w:r>
        <w:rPr>
          <w:rFonts w:hint="eastAsia" w:ascii="宋体" w:hAnsi="宋体" w:eastAsia="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一、检查对象</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_Toc32447 \h </w:instrText>
      </w:r>
      <w:r>
        <w:rPr>
          <w:b w:val="0"/>
          <w:bCs w:val="0"/>
          <w:color w:val="auto"/>
          <w:sz w:val="24"/>
          <w:szCs w:val="24"/>
          <w:highlight w:val="none"/>
        </w:rPr>
        <w:fldChar w:fldCharType="separate"/>
      </w:r>
      <w:r>
        <w:rPr>
          <w:b w:val="0"/>
          <w:bCs w:val="0"/>
          <w:color w:val="auto"/>
          <w:sz w:val="24"/>
          <w:szCs w:val="24"/>
          <w:highlight w:val="none"/>
        </w:rPr>
        <w:t>33</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_Toc22378 </w:instrText>
      </w:r>
      <w:r>
        <w:rPr>
          <w:rFonts w:hint="eastAsia" w:ascii="宋体" w:hAnsi="宋体" w:eastAsia="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二、检查标准</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_Toc22378 \h </w:instrText>
      </w:r>
      <w:r>
        <w:rPr>
          <w:b w:val="0"/>
          <w:bCs w:val="0"/>
          <w:color w:val="auto"/>
          <w:sz w:val="24"/>
          <w:szCs w:val="24"/>
          <w:highlight w:val="none"/>
        </w:rPr>
        <w:fldChar w:fldCharType="separate"/>
      </w:r>
      <w:r>
        <w:rPr>
          <w:b w:val="0"/>
          <w:bCs w:val="0"/>
          <w:color w:val="auto"/>
          <w:sz w:val="24"/>
          <w:szCs w:val="24"/>
          <w:highlight w:val="none"/>
        </w:rPr>
        <w:t>33</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_Toc13714 </w:instrText>
      </w:r>
      <w:r>
        <w:rPr>
          <w:rFonts w:hint="eastAsia" w:ascii="宋体" w:hAnsi="宋体" w:eastAsia="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三、检查内容</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_Toc13714 \h </w:instrText>
      </w:r>
      <w:r>
        <w:rPr>
          <w:b w:val="0"/>
          <w:bCs w:val="0"/>
          <w:color w:val="auto"/>
          <w:sz w:val="24"/>
          <w:szCs w:val="24"/>
          <w:highlight w:val="none"/>
        </w:rPr>
        <w:fldChar w:fldCharType="separate"/>
      </w:r>
      <w:r>
        <w:rPr>
          <w:b w:val="0"/>
          <w:bCs w:val="0"/>
          <w:color w:val="auto"/>
          <w:sz w:val="24"/>
          <w:szCs w:val="24"/>
          <w:highlight w:val="none"/>
        </w:rPr>
        <w:t>33</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_Toc28111 </w:instrText>
      </w:r>
      <w:r>
        <w:rPr>
          <w:rFonts w:hint="eastAsia" w:ascii="宋体" w:hAnsi="宋体" w:eastAsia="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四、实施方式及要求</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_Toc28111 \h </w:instrText>
      </w:r>
      <w:r>
        <w:rPr>
          <w:b w:val="0"/>
          <w:bCs w:val="0"/>
          <w:color w:val="auto"/>
          <w:sz w:val="24"/>
          <w:szCs w:val="24"/>
          <w:highlight w:val="none"/>
        </w:rPr>
        <w:fldChar w:fldCharType="separate"/>
      </w:r>
      <w:r>
        <w:rPr>
          <w:b w:val="0"/>
          <w:bCs w:val="0"/>
          <w:color w:val="auto"/>
          <w:sz w:val="24"/>
          <w:szCs w:val="24"/>
          <w:highlight w:val="none"/>
        </w:rPr>
        <w:t>35</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_Toc27498 </w:instrText>
      </w:r>
      <w:r>
        <w:rPr>
          <w:rFonts w:hint="eastAsia" w:ascii="宋体" w:hAnsi="宋体" w:eastAsia="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lang w:eastAsia="zh-CN"/>
        </w:rPr>
        <w:t>五</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、服务期及服务地点</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_Toc27498 \h </w:instrText>
      </w:r>
      <w:r>
        <w:rPr>
          <w:b w:val="0"/>
          <w:bCs w:val="0"/>
          <w:color w:val="auto"/>
          <w:sz w:val="24"/>
          <w:szCs w:val="24"/>
          <w:highlight w:val="none"/>
        </w:rPr>
        <w:fldChar w:fldCharType="separate"/>
      </w:r>
      <w:r>
        <w:rPr>
          <w:b w:val="0"/>
          <w:bCs w:val="0"/>
          <w:color w:val="auto"/>
          <w:sz w:val="24"/>
          <w:szCs w:val="24"/>
          <w:highlight w:val="none"/>
        </w:rPr>
        <w:t>35</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_Toc25684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、验收条件</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_Toc25684 \h </w:instrText>
      </w:r>
      <w:r>
        <w:rPr>
          <w:b w:val="0"/>
          <w:bCs w:val="0"/>
          <w:color w:val="auto"/>
          <w:sz w:val="24"/>
          <w:szCs w:val="24"/>
          <w:highlight w:val="none"/>
        </w:rPr>
        <w:fldChar w:fldCharType="separate"/>
      </w:r>
      <w:r>
        <w:rPr>
          <w:b w:val="0"/>
          <w:bCs w:val="0"/>
          <w:color w:val="auto"/>
          <w:sz w:val="24"/>
          <w:szCs w:val="24"/>
          <w:highlight w:val="none"/>
        </w:rPr>
        <w:t>35</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_Toc13908 </w:instrText>
      </w:r>
      <w:r>
        <w:rPr>
          <w:rFonts w:hint="eastAsia" w:ascii="宋体" w:hAnsi="宋体" w:eastAsia="宋体" w:cs="宋体"/>
          <w:b w:val="0"/>
          <w:bCs w:val="0"/>
          <w:color w:val="auto"/>
          <w:sz w:val="24"/>
          <w:szCs w:val="24"/>
          <w:highlight w:val="none"/>
        </w:rPr>
        <w:fldChar w:fldCharType="separate"/>
      </w:r>
      <w:r>
        <w:rPr>
          <w:rFonts w:hint="default" w:ascii="宋体" w:hAnsi="宋体" w:eastAsia="宋体" w:cs="宋体"/>
          <w:b w:val="0"/>
          <w:bCs w:val="0"/>
          <w:color w:val="auto"/>
          <w:sz w:val="24"/>
          <w:szCs w:val="24"/>
          <w:highlight w:val="none"/>
        </w:rPr>
        <w:t>七、</w:t>
      </w:r>
      <w:r>
        <w:rPr>
          <w:rFonts w:hint="eastAsia" w:ascii="宋体" w:hAnsi="宋体" w:eastAsia="宋体" w:cs="宋体"/>
          <w:b w:val="0"/>
          <w:bCs w:val="0"/>
          <w:color w:val="auto"/>
          <w:sz w:val="24"/>
          <w:szCs w:val="24"/>
          <w:highlight w:val="none"/>
        </w:rPr>
        <w:t>付款条件</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_Toc13908 \h </w:instrText>
      </w:r>
      <w:r>
        <w:rPr>
          <w:b w:val="0"/>
          <w:bCs w:val="0"/>
          <w:color w:val="auto"/>
          <w:sz w:val="24"/>
          <w:szCs w:val="24"/>
          <w:highlight w:val="none"/>
        </w:rPr>
        <w:fldChar w:fldCharType="separate"/>
      </w:r>
      <w:r>
        <w:rPr>
          <w:b w:val="0"/>
          <w:bCs w:val="0"/>
          <w:color w:val="auto"/>
          <w:sz w:val="24"/>
          <w:szCs w:val="24"/>
          <w:highlight w:val="none"/>
        </w:rPr>
        <w:t>36</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_Toc5197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、报价要求</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_Toc5197 \h </w:instrText>
      </w:r>
      <w:r>
        <w:rPr>
          <w:b w:val="0"/>
          <w:bCs w:val="0"/>
          <w:color w:val="auto"/>
          <w:sz w:val="24"/>
          <w:szCs w:val="24"/>
          <w:highlight w:val="none"/>
        </w:rPr>
        <w:fldChar w:fldCharType="separate"/>
      </w:r>
      <w:r>
        <w:rPr>
          <w:b w:val="0"/>
          <w:bCs w:val="0"/>
          <w:color w:val="auto"/>
          <w:sz w:val="24"/>
          <w:szCs w:val="24"/>
          <w:highlight w:val="none"/>
        </w:rPr>
        <w:t>36</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4"/>
        <w:tabs>
          <w:tab w:val="right" w:leader="dot" w:pos="8306"/>
        </w:tabs>
        <w:spacing w:line="360" w:lineRule="auto"/>
        <w:rPr>
          <w:b/>
          <w:bCs/>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_Toc8164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、资格证明文件</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_Toc8164 \h </w:instrText>
      </w:r>
      <w:r>
        <w:rPr>
          <w:b w:val="0"/>
          <w:bCs w:val="0"/>
          <w:color w:val="auto"/>
          <w:sz w:val="24"/>
          <w:szCs w:val="24"/>
          <w:highlight w:val="none"/>
        </w:rPr>
        <w:fldChar w:fldCharType="separate"/>
      </w:r>
      <w:r>
        <w:rPr>
          <w:b w:val="0"/>
          <w:bCs w:val="0"/>
          <w:color w:val="auto"/>
          <w:sz w:val="24"/>
          <w:szCs w:val="24"/>
          <w:highlight w:val="none"/>
        </w:rPr>
        <w:t>36</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13"/>
        <w:tabs>
          <w:tab w:val="right" w:leader="dot" w:pos="8306"/>
        </w:tabs>
        <w:spacing w:line="360" w:lineRule="auto"/>
        <w:rPr>
          <w:b/>
          <w:bCs/>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_Toc26693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采购合同（参考文本）</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_Toc26693 \h </w:instrText>
      </w:r>
      <w:r>
        <w:rPr>
          <w:b/>
          <w:bCs/>
          <w:color w:val="auto"/>
          <w:sz w:val="24"/>
          <w:highlight w:val="none"/>
        </w:rPr>
        <w:fldChar w:fldCharType="separate"/>
      </w:r>
      <w:r>
        <w:rPr>
          <w:b/>
          <w:bCs/>
          <w:color w:val="auto"/>
          <w:sz w:val="24"/>
          <w:highlight w:val="none"/>
        </w:rPr>
        <w:t>38</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pStyle w:val="13"/>
        <w:tabs>
          <w:tab w:val="right" w:leader="dot" w:pos="8306"/>
        </w:tabs>
        <w:spacing w:line="360" w:lineRule="auto"/>
        <w:rPr>
          <w:color w:val="auto"/>
          <w:sz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_Toc31392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报价文件格式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_Toc31392 \h </w:instrText>
      </w:r>
      <w:r>
        <w:rPr>
          <w:b/>
          <w:bCs/>
          <w:color w:val="auto"/>
          <w:sz w:val="24"/>
          <w:highlight w:val="none"/>
        </w:rPr>
        <w:fldChar w:fldCharType="separate"/>
      </w:r>
      <w:r>
        <w:rPr>
          <w:b/>
          <w:bCs/>
          <w:color w:val="auto"/>
          <w:sz w:val="24"/>
          <w:highlight w:val="none"/>
        </w:rPr>
        <w:t>41</w:t>
      </w:r>
      <w:r>
        <w:rPr>
          <w:b/>
          <w:bCs/>
          <w:color w:val="auto"/>
          <w:sz w:val="24"/>
          <w:highlight w:val="none"/>
        </w:rPr>
        <w:fldChar w:fldCharType="end"/>
      </w:r>
      <w:r>
        <w:rPr>
          <w:rFonts w:hint="eastAsia" w:ascii="宋体" w:hAnsi="宋体" w:eastAsia="宋体" w:cs="宋体"/>
          <w:b/>
          <w:bCs/>
          <w:color w:val="auto"/>
          <w:sz w:val="24"/>
          <w:szCs w:val="24"/>
          <w:highlight w:val="none"/>
        </w:rPr>
        <w:fldChar w:fldCharType="end"/>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fldChar w:fldCharType="end"/>
      </w:r>
    </w:p>
    <w:p>
      <w:pPr>
        <w:spacing w:line="360" w:lineRule="auto"/>
        <w:outlineLvl w:val="9"/>
        <w:rPr>
          <w:rFonts w:hint="eastAsia" w:ascii="宋体" w:hAnsi="宋体" w:eastAsia="宋体" w:cs="宋体"/>
          <w:b/>
          <w:bCs/>
          <w:color w:val="auto"/>
          <w:sz w:val="24"/>
          <w:szCs w:val="24"/>
          <w:highlight w:val="none"/>
        </w:rPr>
      </w:pPr>
      <w:bookmarkStart w:id="0" w:name="_Toc268599006"/>
    </w:p>
    <w:bookmarkEnd w:id="0"/>
    <w:p>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spacing w:line="360" w:lineRule="auto"/>
        <w:jc w:val="center"/>
        <w:outlineLvl w:val="9"/>
        <w:rPr>
          <w:rFonts w:hint="eastAsia" w:ascii="宋体" w:hAnsi="宋体" w:eastAsia="宋体" w:cs="宋体"/>
          <w:b/>
          <w:bCs/>
          <w:color w:val="auto"/>
          <w:sz w:val="24"/>
          <w:szCs w:val="24"/>
          <w:highlight w:val="none"/>
        </w:rPr>
      </w:pPr>
    </w:p>
    <w:p>
      <w:pPr>
        <w:spacing w:line="240" w:lineRule="auto"/>
        <w:jc w:val="left"/>
        <w:outlineLvl w:val="9"/>
        <w:rPr>
          <w:rFonts w:hint="eastAsia" w:ascii="宋体" w:hAnsi="宋体" w:eastAsia="宋体" w:cs="宋体"/>
          <w:b/>
          <w:bCs/>
          <w:color w:val="auto"/>
          <w:sz w:val="32"/>
          <w:szCs w:val="32"/>
          <w:highlight w:val="none"/>
        </w:rPr>
      </w:pPr>
      <w:bookmarkStart w:id="1" w:name="_Toc1467853267"/>
      <w:bookmarkStart w:id="2" w:name="_Toc19732"/>
      <w:r>
        <w:rPr>
          <w:rFonts w:hint="eastAsia" w:ascii="宋体" w:hAnsi="宋体" w:eastAsia="宋体" w:cs="宋体"/>
          <w:b/>
          <w:bCs/>
          <w:color w:val="auto"/>
          <w:sz w:val="32"/>
          <w:szCs w:val="32"/>
          <w:highlight w:val="none"/>
        </w:rPr>
        <w:br w:type="page"/>
      </w:r>
    </w:p>
    <w:p>
      <w:pPr>
        <w:spacing w:line="360" w:lineRule="auto"/>
        <w:jc w:val="center"/>
        <w:outlineLvl w:val="0"/>
        <w:rPr>
          <w:rFonts w:hint="eastAsia" w:ascii="宋体" w:hAnsi="宋体" w:eastAsia="宋体" w:cs="宋体"/>
          <w:b/>
          <w:bCs/>
          <w:color w:val="auto"/>
          <w:sz w:val="24"/>
          <w:szCs w:val="24"/>
          <w:highlight w:val="none"/>
        </w:rPr>
      </w:pPr>
      <w:bookmarkStart w:id="3" w:name="_Toc8795"/>
      <w:r>
        <w:rPr>
          <w:rFonts w:hint="eastAsia" w:ascii="宋体" w:hAnsi="宋体" w:eastAsia="宋体" w:cs="宋体"/>
          <w:b/>
          <w:bCs/>
          <w:color w:val="auto"/>
          <w:sz w:val="32"/>
          <w:szCs w:val="32"/>
          <w:highlight w:val="none"/>
        </w:rPr>
        <w:t>第一章</w:t>
      </w:r>
      <w:bookmarkEnd w:id="1"/>
      <w:r>
        <w:rPr>
          <w:rFonts w:hint="eastAsia" w:ascii="宋体" w:hAnsi="宋体" w:eastAsia="宋体" w:cs="宋体"/>
          <w:b/>
          <w:bCs/>
          <w:color w:val="auto"/>
          <w:sz w:val="32"/>
          <w:szCs w:val="32"/>
          <w:highlight w:val="none"/>
        </w:rPr>
        <w:t xml:space="preserve">  </w:t>
      </w:r>
      <w:bookmarkStart w:id="4" w:name="_Toc333695085"/>
      <w:r>
        <w:rPr>
          <w:rFonts w:hint="eastAsia" w:ascii="宋体" w:hAnsi="宋体" w:eastAsia="宋体" w:cs="宋体"/>
          <w:b/>
          <w:bCs/>
          <w:color w:val="auto"/>
          <w:sz w:val="32"/>
          <w:szCs w:val="32"/>
          <w:highlight w:val="none"/>
        </w:rPr>
        <w:t>谈判邀请</w:t>
      </w:r>
      <w:bookmarkEnd w:id="2"/>
      <w:bookmarkEnd w:id="3"/>
      <w:bookmarkEnd w:id="4"/>
    </w:p>
    <w:p>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cs="宋体"/>
          <w:b/>
          <w:color w:val="auto"/>
          <w:sz w:val="24"/>
          <w:szCs w:val="24"/>
          <w:highlight w:val="none"/>
          <w:u w:val="single"/>
          <w:lang w:eastAsia="zh-CN"/>
        </w:rPr>
        <w:t>厦门港水路运输指挥中心</w:t>
      </w:r>
      <w:r>
        <w:rPr>
          <w:rFonts w:hint="eastAsia" w:ascii="宋体" w:hAnsi="宋体" w:eastAsia="宋体" w:cs="宋体"/>
          <w:color w:val="auto"/>
          <w:sz w:val="24"/>
          <w:szCs w:val="24"/>
          <w:highlight w:val="none"/>
        </w:rPr>
        <w:t>委托，对</w:t>
      </w:r>
      <w:r>
        <w:rPr>
          <w:rFonts w:hint="eastAsia" w:ascii="宋体" w:hAnsi="宋体" w:cs="宋体"/>
          <w:b/>
          <w:color w:val="auto"/>
          <w:sz w:val="24"/>
          <w:szCs w:val="24"/>
          <w:highlight w:val="none"/>
          <w:u w:val="single"/>
          <w:lang w:eastAsia="zh-CN"/>
        </w:rPr>
        <w:t>港口客运、水路客运企业第三方安全专项检查</w:t>
      </w:r>
      <w:r>
        <w:rPr>
          <w:rFonts w:hint="eastAsia" w:ascii="宋体" w:hAnsi="宋体" w:eastAsia="宋体" w:cs="宋体"/>
          <w:bCs/>
          <w:color w:val="auto"/>
          <w:sz w:val="24"/>
          <w:szCs w:val="24"/>
          <w:highlight w:val="none"/>
        </w:rPr>
        <w:t>项目的采购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竞争性谈判方式</w:t>
      </w:r>
      <w:r>
        <w:rPr>
          <w:rFonts w:hint="eastAsia" w:ascii="宋体" w:hAnsi="宋体" w:eastAsia="宋体" w:cs="宋体"/>
          <w:color w:val="auto"/>
          <w:sz w:val="24"/>
          <w:szCs w:val="24"/>
          <w:highlight w:val="none"/>
        </w:rPr>
        <w:t>进行。现欢迎国内合格报价人密封提交报价文件。</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u w:val="single"/>
          <w:lang w:eastAsia="zh-CN"/>
        </w:rPr>
        <w:t>XM2024-TZ5086C1</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pPr>
        <w:spacing w:line="360" w:lineRule="auto"/>
        <w:ind w:left="0" w:leftChars="0"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default" w:ascii="宋体" w:hAnsi="宋体" w:cs="宋体"/>
          <w:color w:val="auto"/>
          <w:sz w:val="24"/>
          <w:szCs w:val="24"/>
          <w:highlight w:val="none"/>
        </w:rPr>
        <w:t>蒋</w:t>
      </w:r>
      <w:r>
        <w:rPr>
          <w:rFonts w:hint="eastAsia" w:ascii="宋体" w:hAnsi="宋体" w:eastAsia="宋体" w:cs="宋体"/>
          <w:color w:val="auto"/>
          <w:sz w:val="24"/>
          <w:szCs w:val="24"/>
          <w:highlight w:val="none"/>
        </w:rPr>
        <w:t>小姐0592-2219823</w:t>
      </w:r>
      <w:r>
        <w:rPr>
          <w:rFonts w:hint="eastAsia" w:ascii="宋体" w:hAnsi="宋体" w:eastAsia="宋体" w:cs="宋体"/>
          <w:b w:val="0"/>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50</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r>
        <w:rPr>
          <w:rFonts w:hint="eastAsia" w:hAnsi="宋体" w:eastAsia="宋体" w:cs="宋体"/>
          <w:color w:val="auto"/>
          <w:sz w:val="24"/>
          <w:szCs w:val="24"/>
          <w:highlight w:val="none"/>
        </w:rPr>
        <w:t>邮寄费人民币50元，</w:t>
      </w:r>
      <w:r>
        <w:rPr>
          <w:rFonts w:hint="eastAsia" w:ascii="宋体" w:hAnsi="宋体" w:eastAsia="宋体" w:cs="宋体"/>
          <w:color w:val="auto"/>
          <w:sz w:val="24"/>
          <w:szCs w:val="24"/>
          <w:highlight w:val="none"/>
        </w:rPr>
        <w:t>售后不退。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5.提交报价文件截止时间：</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6.谈判时间：</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23</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7.报价人对本次谈判活动事项如有疑问的，请在提交报价文件截止时间3日之前，以书面形式与采购代理机构联系。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将通过中国政府采购网</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pPr>
        <w:tabs>
          <w:tab w:val="left" w:pos="11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8"/>
        <w:tblW w:w="87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454"/>
        <w:gridCol w:w="1136"/>
        <w:gridCol w:w="2624"/>
        <w:gridCol w:w="28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04"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54"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36"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624"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854"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林晓鹏、</w:t>
            </w:r>
            <w:r>
              <w:rPr>
                <w:rFonts w:hint="eastAsia" w:ascii="宋体" w:hAnsi="宋体" w:cs="宋体"/>
                <w:color w:val="auto"/>
                <w:kern w:val="0"/>
                <w:sz w:val="24"/>
                <w:szCs w:val="24"/>
                <w:highlight w:val="none"/>
                <w:lang w:val="en-US" w:eastAsia="zh-CN"/>
              </w:rPr>
              <w:t>黄佳仪</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0592-5706823、</w:t>
            </w:r>
            <w:r>
              <w:rPr>
                <w:rFonts w:hint="eastAsia" w:ascii="宋体" w:hAnsi="宋体"/>
                <w:color w:val="auto"/>
                <w:sz w:val="24"/>
                <w:szCs w:val="24"/>
                <w:highlight w:val="none"/>
                <w:lang w:val="en-US" w:eastAsia="zh-CN"/>
              </w:rPr>
              <w:t>5721295</w:t>
            </w: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谈判保证金收、退</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文件费、谈判保证金到账咨询</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欢迎报价人对项目采购过程中公告发布、采购文件购买、谈判保证金缴交和退还、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刘经理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Times New Roman"/>
                <w:b/>
                <w:color w:val="auto"/>
                <w:kern w:val="2"/>
                <w:sz w:val="24"/>
                <w:szCs w:val="22"/>
                <w:highlight w:val="none"/>
                <w:lang w:val="en-US" w:eastAsia="zh-CN" w:bidi="ar-SA"/>
              </w:rPr>
            </w:pPr>
            <w:r>
              <w:rPr>
                <w:rFonts w:hint="eastAsia" w:ascii="宋体" w:hAnsi="宋体"/>
                <w:color w:val="auto"/>
                <w:kern w:val="0"/>
                <w:sz w:val="24"/>
                <w:szCs w:val="24"/>
                <w:highlight w:val="none"/>
              </w:rPr>
              <w:t>负责接收质疑</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电话0592-2218761</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传真</w:t>
            </w:r>
            <w:r>
              <w:rPr>
                <w:rFonts w:ascii="宋体" w:hAnsi="宋体"/>
                <w:color w:val="auto"/>
                <w:sz w:val="24"/>
                <w:szCs w:val="24"/>
                <w:highlight w:val="none"/>
              </w:rPr>
              <w:t>0592-5706660-6969</w:t>
            </w:r>
          </w:p>
          <w:p>
            <w:pPr>
              <w:spacing w:line="360" w:lineRule="auto"/>
              <w:rPr>
                <w:rFonts w:ascii="宋体" w:hAnsi="宋体"/>
                <w:color w:val="auto"/>
                <w:sz w:val="24"/>
                <w:szCs w:val="24"/>
                <w:highlight w:val="none"/>
              </w:rPr>
            </w:pPr>
            <w:r>
              <w:rPr>
                <w:color w:val="auto"/>
                <w:highlight w:val="none"/>
              </w:rPr>
              <w:fldChar w:fldCharType="begin"/>
            </w:r>
            <w:r>
              <w:rPr>
                <w:color w:val="auto"/>
                <w:highlight w:val="none"/>
              </w:rPr>
              <w:instrText xml:space="preserve"> HYPERLINK "mailto:邮箱lmf@iport.com.cn" </w:instrText>
            </w:r>
            <w:r>
              <w:rPr>
                <w:color w:val="auto"/>
                <w:highlight w:val="none"/>
              </w:rPr>
              <w:fldChar w:fldCharType="separate"/>
            </w:r>
            <w:r>
              <w:rPr>
                <w:rStyle w:val="24"/>
                <w:rFonts w:hint="eastAsia"/>
                <w:color w:val="auto"/>
                <w:szCs w:val="24"/>
                <w:highlight w:val="none"/>
              </w:rPr>
              <w:t>邮箱lmf</w:t>
            </w:r>
            <w:r>
              <w:rPr>
                <w:rStyle w:val="24"/>
                <w:color w:val="auto"/>
                <w:szCs w:val="24"/>
                <w:highlight w:val="none"/>
              </w:rPr>
              <w:t>@iport.com.cn</w:t>
            </w:r>
            <w:r>
              <w:rPr>
                <w:rStyle w:val="24"/>
                <w:color w:val="auto"/>
                <w:szCs w:val="24"/>
                <w:highlight w:val="none"/>
              </w:rPr>
              <w:fldChar w:fldCharType="end"/>
            </w:r>
          </w:p>
          <w:p>
            <w:pPr>
              <w:spacing w:line="360" w:lineRule="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04"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54"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36"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default" w:ascii="宋体" w:hAnsi="宋体" w:cs="宋体"/>
                <w:color w:val="auto"/>
                <w:sz w:val="24"/>
                <w:szCs w:val="24"/>
                <w:highlight w:val="none"/>
              </w:rPr>
              <w:t>蒋</w:t>
            </w:r>
            <w:r>
              <w:rPr>
                <w:rFonts w:hint="eastAsia" w:ascii="宋体" w:hAnsi="宋体" w:eastAsia="宋体" w:cs="宋体"/>
                <w:color w:val="auto"/>
                <w:sz w:val="24"/>
                <w:szCs w:val="24"/>
                <w:highlight w:val="none"/>
              </w:rPr>
              <w:t>小姐</w:t>
            </w:r>
          </w:p>
        </w:tc>
        <w:tc>
          <w:tcPr>
            <w:tcW w:w="2624"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854"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11.谈判保证金及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8"/>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687"/>
        <w:gridCol w:w="41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687"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谈判保证金缴交账户</w:t>
            </w:r>
          </w:p>
        </w:tc>
        <w:tc>
          <w:tcPr>
            <w:tcW w:w="4152"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pPr>
        <w:pStyle w:val="6"/>
        <w:spacing w:after="0" w:line="360" w:lineRule="auto"/>
        <w:jc w:val="right"/>
        <w:rPr>
          <w:rFonts w:hint="eastAsia" w:ascii="宋体" w:hAnsi="宋体" w:eastAsia="宋体" w:cs="宋体"/>
          <w:color w:val="auto"/>
          <w:sz w:val="24"/>
          <w:highlight w:val="none"/>
          <w:lang w:eastAsia="zh-CN"/>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附：采购服务一览表</w:t>
      </w:r>
    </w:p>
    <w:tbl>
      <w:tblPr>
        <w:tblStyle w:val="18"/>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988"/>
        <w:gridCol w:w="1933"/>
        <w:gridCol w:w="700"/>
        <w:gridCol w:w="1405"/>
        <w:gridCol w:w="1379"/>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98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93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0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0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379" w:type="dxa"/>
            <w:noWrap w:val="0"/>
            <w:vAlign w:val="center"/>
          </w:tcPr>
          <w:p>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1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7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XM2024-TZ5086C1</w:t>
            </w:r>
            <w:r>
              <w:rPr>
                <w:rFonts w:hint="eastAsia" w:ascii="宋体" w:hAnsi="宋体" w:eastAsia="宋体" w:cs="宋体"/>
                <w:color w:val="auto"/>
                <w:sz w:val="24"/>
                <w:szCs w:val="24"/>
                <w:highlight w:val="none"/>
              </w:rPr>
              <w:t xml:space="preserve"> </w:t>
            </w:r>
          </w:p>
        </w:tc>
        <w:tc>
          <w:tcPr>
            <w:tcW w:w="98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33"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港口客运、水路客运企业第三方安全专项检查</w:t>
            </w:r>
          </w:p>
        </w:tc>
        <w:tc>
          <w:tcPr>
            <w:tcW w:w="700" w:type="dxa"/>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0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379" w:type="dxa"/>
            <w:noWrap w:val="0"/>
            <w:vAlign w:val="center"/>
          </w:tcPr>
          <w:p>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515" w:type="dxa"/>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pStyle w:val="57"/>
        <w:spacing w:line="360" w:lineRule="auto"/>
        <w:jc w:val="left"/>
        <w:rPr>
          <w:rFonts w:hint="eastAsia" w:hAnsi="宋体" w:eastAsia="宋体" w:cs="宋体"/>
          <w:b/>
          <w:color w:val="auto"/>
          <w:sz w:val="24"/>
          <w:highlight w:val="none"/>
        </w:rPr>
      </w:pPr>
    </w:p>
    <w:p>
      <w:pPr>
        <w:pStyle w:val="57"/>
        <w:spacing w:line="360" w:lineRule="auto"/>
        <w:jc w:val="left"/>
        <w:rPr>
          <w:rFonts w:hint="eastAsia" w:hAnsi="宋体" w:eastAsia="宋体" w:cs="宋体"/>
          <w:b/>
          <w:color w:val="auto"/>
          <w:sz w:val="24"/>
          <w:highlight w:val="none"/>
        </w:rPr>
      </w:pPr>
    </w:p>
    <w:p>
      <w:pPr>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p>
    <w:p>
      <w:pPr>
        <w:pStyle w:val="57"/>
        <w:spacing w:line="360" w:lineRule="auto"/>
        <w:jc w:val="center"/>
        <w:outlineLvl w:val="0"/>
        <w:rPr>
          <w:rFonts w:hint="eastAsia" w:hAnsi="宋体" w:eastAsia="宋体" w:cs="宋体"/>
          <w:color w:val="auto"/>
          <w:sz w:val="24"/>
          <w:szCs w:val="24"/>
          <w:highlight w:val="none"/>
        </w:rPr>
      </w:pPr>
      <w:bookmarkStart w:id="5" w:name="_Toc8172"/>
      <w:bookmarkStart w:id="6" w:name="_Toc762668457"/>
      <w:bookmarkStart w:id="7" w:name="_Toc680"/>
      <w:r>
        <w:rPr>
          <w:rFonts w:hint="eastAsia" w:hAnsi="宋体" w:eastAsia="宋体" w:cs="宋体"/>
          <w:b/>
          <w:color w:val="auto"/>
          <w:sz w:val="32"/>
          <w:szCs w:val="32"/>
          <w:highlight w:val="none"/>
        </w:rPr>
        <w:t>第二章  报价人须知</w:t>
      </w:r>
      <w:bookmarkEnd w:id="5"/>
      <w:bookmarkEnd w:id="6"/>
      <w:bookmarkEnd w:id="7"/>
    </w:p>
    <w:p>
      <w:pPr>
        <w:pStyle w:val="57"/>
        <w:spacing w:line="360" w:lineRule="auto"/>
        <w:rPr>
          <w:rFonts w:hint="eastAsia" w:hAnsi="宋体" w:eastAsia="宋体" w:cs="宋体"/>
          <w:color w:val="auto"/>
          <w:highlight w:val="none"/>
        </w:rPr>
      </w:pPr>
    </w:p>
    <w:p>
      <w:pPr>
        <w:pStyle w:val="57"/>
        <w:spacing w:line="360" w:lineRule="auto"/>
        <w:rPr>
          <w:rFonts w:hint="eastAsia" w:hAnsi="宋体" w:eastAsia="宋体" w:cs="宋体"/>
          <w:color w:val="auto"/>
          <w:highlight w:val="none"/>
        </w:rPr>
      </w:pPr>
    </w:p>
    <w:p>
      <w:pPr>
        <w:pStyle w:val="57"/>
        <w:spacing w:line="360" w:lineRule="auto"/>
        <w:rPr>
          <w:rFonts w:hint="eastAsia" w:hAnsi="宋体" w:eastAsia="宋体" w:cs="宋体"/>
          <w:color w:val="auto"/>
          <w:highlight w:val="none"/>
        </w:rPr>
      </w:pPr>
    </w:p>
    <w:tbl>
      <w:tblPr>
        <w:tblStyle w:val="18"/>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p>
            <w:pPr>
              <w:spacing w:before="12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 xml:space="preserve"> </w:t>
            </w:r>
          </w:p>
          <w:p>
            <w:pPr>
              <w:pStyle w:val="57"/>
              <w:spacing w:line="360" w:lineRule="auto"/>
              <w:ind w:left="-15"/>
              <w:rPr>
                <w:rFonts w:hint="eastAsia" w:hAnsi="宋体" w:eastAsia="宋体" w:cs="宋体"/>
                <w:color w:val="auto"/>
                <w:sz w:val="24"/>
                <w:szCs w:val="24"/>
                <w:highlight w:val="none"/>
              </w:rPr>
            </w:pPr>
          </w:p>
        </w:tc>
      </w:tr>
    </w:tbl>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center"/>
        <w:outlineLvl w:val="9"/>
        <w:rPr>
          <w:rFonts w:hint="eastAsia" w:ascii="宋体" w:hAnsi="宋体" w:eastAsia="宋体" w:cs="宋体"/>
          <w:b/>
          <w:bCs/>
          <w:color w:val="auto"/>
          <w:sz w:val="24"/>
          <w:szCs w:val="24"/>
          <w:highlight w:val="none"/>
        </w:rPr>
      </w:pPr>
    </w:p>
    <w:p>
      <w:pPr>
        <w:spacing w:line="360" w:lineRule="auto"/>
        <w:jc w:val="both"/>
        <w:outlineLvl w:val="9"/>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24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360" w:lineRule="auto"/>
        <w:jc w:val="center"/>
        <w:outlineLvl w:val="1"/>
        <w:rPr>
          <w:rFonts w:hint="eastAsia" w:ascii="宋体" w:hAnsi="宋体" w:eastAsia="宋体" w:cs="宋体"/>
          <w:b/>
          <w:bCs/>
          <w:color w:val="auto"/>
          <w:sz w:val="32"/>
          <w:szCs w:val="32"/>
          <w:highlight w:val="none"/>
        </w:rPr>
      </w:pPr>
      <w:bookmarkStart w:id="8" w:name="_Toc2805"/>
      <w:bookmarkStart w:id="9" w:name="_Toc914197668"/>
      <w:bookmarkStart w:id="10" w:name="_Toc10668"/>
      <w:r>
        <w:rPr>
          <w:rFonts w:hint="eastAsia" w:ascii="宋体" w:hAnsi="宋体" w:eastAsia="宋体" w:cs="宋体"/>
          <w:b/>
          <w:bCs/>
          <w:color w:val="auto"/>
          <w:sz w:val="32"/>
          <w:szCs w:val="32"/>
          <w:highlight w:val="none"/>
        </w:rPr>
        <w:t>报价人须知前附表1</w:t>
      </w:r>
      <w:bookmarkEnd w:id="8"/>
      <w:bookmarkEnd w:id="9"/>
      <w:bookmarkEnd w:id="10"/>
    </w:p>
    <w:p>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港口客运、水路客运企业第三方安全专项检查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采购人名称： </w:t>
            </w:r>
            <w:r>
              <w:rPr>
                <w:rFonts w:hint="eastAsia" w:ascii="宋体" w:hAnsi="宋体" w:cs="宋体"/>
                <w:color w:val="auto"/>
                <w:sz w:val="24"/>
                <w:szCs w:val="24"/>
                <w:highlight w:val="none"/>
                <w:u w:val="single"/>
                <w:lang w:eastAsia="zh-CN"/>
              </w:rPr>
              <w:t>厦门港水路运输指挥中心</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采购人地址： </w:t>
            </w:r>
            <w:r>
              <w:rPr>
                <w:rFonts w:hint="eastAsia" w:ascii="宋体" w:hAnsi="宋体" w:cs="宋体"/>
                <w:color w:val="auto"/>
                <w:sz w:val="24"/>
                <w:szCs w:val="24"/>
                <w:highlight w:val="none"/>
                <w:u w:val="single"/>
              </w:rPr>
              <w:t>福建省厦门市湖里区东渡路127号3楼</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cs="宋体"/>
                <w:color w:val="auto"/>
                <w:sz w:val="24"/>
                <w:szCs w:val="24"/>
                <w:highlight w:val="none"/>
                <w:u w:val="single"/>
                <w:lang w:eastAsia="zh-CN"/>
              </w:rPr>
              <w:t>港口客运、水路客运企业第三方安全专项检查</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eastAsia="zh-CN"/>
              </w:rPr>
              <w:t>XM2024-TZ5086C1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林晓鹏、黄佳仪</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r>
              <w:rPr>
                <w:rFonts w:hint="default" w:ascii="宋体" w:hAnsi="宋体" w:cs="宋体"/>
                <w:color w:val="auto"/>
                <w:sz w:val="24"/>
                <w:szCs w:val="24"/>
                <w:highlight w:val="none"/>
              </w:rPr>
              <w:t>本项目不收取谈判保证金。</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谈判规则、评审标准：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6"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auto"/>
                <w:sz w:val="24"/>
                <w:highlight w:val="none"/>
              </w:rPr>
            </w:pPr>
            <w:r>
              <w:rPr>
                <w:rFonts w:hint="eastAsia" w:ascii="宋体" w:hAnsi="宋体"/>
                <w:color w:val="auto"/>
                <w:sz w:val="24"/>
                <w:highlight w:val="none"/>
              </w:rPr>
              <w:t>采购代理服务费按定额服务费收取：人民币3000元整收取,由成交供应商支付。</w:t>
            </w:r>
          </w:p>
          <w:p>
            <w:pPr>
              <w:spacing w:line="360" w:lineRule="auto"/>
              <w:rPr>
                <w:rFonts w:hint="eastAsia" w:ascii="宋体" w:hAnsi="宋体"/>
                <w:color w:val="auto"/>
                <w:sz w:val="24"/>
                <w:highlight w:val="none"/>
              </w:rPr>
            </w:pPr>
            <w:r>
              <w:rPr>
                <w:rFonts w:hint="eastAsia" w:ascii="宋体" w:hAnsi="宋体"/>
                <w:color w:val="auto"/>
                <w:sz w:val="24"/>
                <w:highlight w:val="none"/>
              </w:rPr>
              <w:t>1、成交供应商以转账或汇款方式提交。</w:t>
            </w:r>
          </w:p>
          <w:p>
            <w:pPr>
              <w:spacing w:line="360" w:lineRule="auto"/>
              <w:rPr>
                <w:rFonts w:hint="eastAsia" w:ascii="宋体" w:hAnsi="宋体" w:eastAsia="宋体" w:cs="宋体"/>
                <w:color w:val="auto"/>
                <w:sz w:val="24"/>
                <w:szCs w:val="24"/>
                <w:highlight w:val="none"/>
              </w:rPr>
            </w:pPr>
            <w:r>
              <w:rPr>
                <w:rFonts w:hint="eastAsia" w:ascii="宋体" w:hAnsi="宋体"/>
                <w:color w:val="auto"/>
                <w:sz w:val="24"/>
                <w:highlight w:val="none"/>
              </w:rPr>
              <w:t>(为方便采购代理服务费的核对，请在银行汇款凭证上标注项目标号如 ：（项目名称、项目编号）采购代理服务费。)</w:t>
            </w:r>
          </w:p>
        </w:tc>
      </w:tr>
    </w:tbl>
    <w:p>
      <w:pPr>
        <w:spacing w:line="360" w:lineRule="auto"/>
        <w:jc w:val="center"/>
        <w:outlineLvl w:val="1"/>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br w:type="page"/>
      </w:r>
      <w:bookmarkStart w:id="11" w:name="_Toc23269"/>
      <w:bookmarkStart w:id="12" w:name="_Toc904902000"/>
      <w:bookmarkStart w:id="13" w:name="_Toc29123"/>
      <w:r>
        <w:rPr>
          <w:rFonts w:hint="eastAsia" w:ascii="宋体" w:hAnsi="宋体" w:eastAsia="宋体" w:cs="宋体"/>
          <w:b/>
          <w:bCs/>
          <w:color w:val="auto"/>
          <w:sz w:val="32"/>
          <w:szCs w:val="32"/>
          <w:highlight w:val="none"/>
          <w:u w:val="single"/>
        </w:rPr>
        <w:t>报价人须知前附表2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11"/>
      <w:bookmarkEnd w:id="12"/>
      <w:bookmarkEnd w:id="13"/>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本须知前附表2集中列示了资格性、符合性检查的所有条款，其内容是谈判小组判断报价人的报价是否有效的重要依据。</w:t>
      </w:r>
    </w:p>
    <w:tbl>
      <w:tblPr>
        <w:tblStyle w:val="1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pStyle w:val="48"/>
              <w:spacing w:line="360" w:lineRule="auto"/>
              <w:rPr>
                <w:rFonts w:hint="eastAsia" w:eastAsia="宋体"/>
                <w:color w:val="auto"/>
                <w:sz w:val="24"/>
                <w:szCs w:val="24"/>
                <w:highlight w:val="none"/>
              </w:rPr>
            </w:pPr>
            <w:r>
              <w:rPr>
                <w:rFonts w:hint="eastAsia" w:eastAsia="宋体"/>
                <w:color w:val="auto"/>
                <w:sz w:val="24"/>
                <w:szCs w:val="24"/>
                <w:highlight w:val="none"/>
              </w:rPr>
              <w:t>（2）</w:t>
            </w:r>
            <w:r>
              <w:rPr>
                <w:rFonts w:hint="eastAsia" w:eastAsia="宋体"/>
                <w:color w:val="auto"/>
                <w:kern w:val="0"/>
                <w:sz w:val="24"/>
                <w:szCs w:val="24"/>
                <w:highlight w:val="none"/>
              </w:rPr>
              <w:t>经审计的上一年度的年度财务报告（</w:t>
            </w:r>
            <w:r>
              <w:rPr>
                <w:rFonts w:hint="eastAsia" w:eastAsia="宋体"/>
                <w:color w:val="auto"/>
                <w:sz w:val="24"/>
                <w:szCs w:val="24"/>
                <w:highlight w:val="none"/>
              </w:rPr>
              <w:t>报价人上一年度的财务报告尚未完成编制且报价截止时间在每年1月1日至4月30日的，可提供上上年度经审计的年度财务报告。</w:t>
            </w:r>
            <w:r>
              <w:rPr>
                <w:rFonts w:hint="eastAsia" w:eastAsia="宋体"/>
                <w:color w:val="auto"/>
                <w:kern w:val="0"/>
                <w:sz w:val="24"/>
                <w:szCs w:val="24"/>
                <w:highlight w:val="none"/>
              </w:rPr>
              <w:t>）</w:t>
            </w:r>
            <w:r>
              <w:rPr>
                <w:rFonts w:hint="eastAsia" w:eastAsia="宋体"/>
                <w:color w:val="auto"/>
                <w:sz w:val="24"/>
                <w:szCs w:val="24"/>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48"/>
              <w:spacing w:line="360" w:lineRule="auto"/>
              <w:rPr>
                <w:rFonts w:hint="eastAsia" w:eastAsia="宋体"/>
                <w:color w:val="auto"/>
                <w:sz w:val="24"/>
                <w:szCs w:val="24"/>
                <w:highlight w:val="none"/>
              </w:rPr>
            </w:pPr>
            <w:r>
              <w:rPr>
                <w:rFonts w:hint="eastAsia" w:eastAsia="宋体"/>
                <w:color w:val="auto"/>
                <w:sz w:val="24"/>
                <w:szCs w:val="24"/>
                <w:highlight w:val="none"/>
              </w:rPr>
              <w:t>财务状况报告指“四表一注”，即资产负债表、利润表、现金流量表、所有者权益变动表及其附注，或基本开户银行出具的资信证明。</w:t>
            </w:r>
          </w:p>
          <w:p>
            <w:pPr>
              <w:pStyle w:val="48"/>
              <w:spacing w:line="360" w:lineRule="auto"/>
              <w:rPr>
                <w:rFonts w:hint="eastAsia" w:eastAsia="宋体"/>
                <w:color w:val="auto"/>
                <w:sz w:val="24"/>
                <w:szCs w:val="24"/>
                <w:highlight w:val="none"/>
              </w:rPr>
            </w:pPr>
            <w:r>
              <w:rPr>
                <w:rFonts w:hint="eastAsia" w:eastAsia="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报价人的报价文件未按规定的报价截止时间之前提交的，其报价将被拒绝。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pPr>
              <w:pStyle w:val="8"/>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8"/>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未按要求提交谈判保证金的谈判响应，将被视为无效响应。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rPr>
                <w:rFonts w:hint="eastAsia" w:hAnsi="宋体" w:eastAsia="宋体" w:cs="宋体"/>
                <w:color w:val="auto"/>
                <w:sz w:val="24"/>
                <w:szCs w:val="24"/>
                <w:highlight w:val="none"/>
                <w:lang w:val="en-US" w:eastAsia="zh-CN"/>
              </w:rPr>
            </w:pPr>
            <w:bookmarkStart w:id="14" w:name="_Toc17597"/>
            <w:bookmarkStart w:id="15" w:name="_Toc2058552821"/>
            <w:bookmarkStart w:id="16" w:name="_Toc25452"/>
            <w:r>
              <w:rPr>
                <w:rFonts w:hint="eastAsia" w:hAnsi="宋体" w:eastAsia="宋体" w:cs="宋体"/>
                <w:color w:val="auto"/>
                <w:sz w:val="24"/>
                <w:szCs w:val="24"/>
                <w:highlight w:val="none"/>
                <w:lang w:val="en-US" w:eastAsia="zh-CN"/>
              </w:rPr>
              <w:t>13.7未按本须知规定的格式填写报价文件、报价文件字迹模糊不清的，其谈判响应将被拒绝。</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outlineLvl w:val="9"/>
              <w:rPr>
                <w:rFonts w:hint="eastAsia" w:hAnsi="宋体" w:eastAsia="宋体" w:cs="宋体"/>
                <w:color w:val="auto"/>
                <w:sz w:val="24"/>
                <w:szCs w:val="24"/>
                <w:highlight w:val="none"/>
                <w:lang w:val="en-US" w:eastAsia="zh-CN"/>
              </w:rPr>
            </w:pPr>
            <w:bookmarkStart w:id="17" w:name="_Toc32168"/>
            <w:bookmarkStart w:id="18" w:name="_Toc724"/>
            <w:bookmarkStart w:id="19" w:name="_Toc2068226267"/>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报价人应将报价文件正本和副本分别用信封密封，并标明采购文件编号、报价人名称、采购项目名称及“正本”或“副本”。报价文件未密封可导致其谈判被拒绝。</w:t>
            </w:r>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outlineLvl w:val="9"/>
              <w:rPr>
                <w:rFonts w:hint="eastAsia" w:hAnsi="宋体" w:eastAsia="宋体" w:cs="宋体"/>
                <w:color w:val="auto"/>
                <w:sz w:val="24"/>
                <w:szCs w:val="24"/>
                <w:highlight w:val="none"/>
                <w:lang w:val="en-US" w:eastAsia="zh-CN"/>
              </w:rPr>
            </w:pPr>
            <w:bookmarkStart w:id="20" w:name="_Toc1880975953"/>
            <w:bookmarkStart w:id="21" w:name="_Toc4321"/>
            <w:bookmarkStart w:id="22" w:name="_Toc9539"/>
            <w:r>
              <w:rPr>
                <w:rFonts w:hint="eastAsia" w:hAnsi="宋体" w:eastAsia="宋体" w:cs="宋体"/>
                <w:color w:val="auto"/>
                <w:sz w:val="24"/>
                <w:szCs w:val="24"/>
                <w:highlight w:val="none"/>
                <w:lang w:val="en-US" w:eastAsia="zh-CN"/>
              </w:rPr>
              <w:t>14.5报价文件应在谈判邀请中规定的截止时间前送达，迟到的报价文件为无效报价文件，将被拒绝。</w:t>
            </w:r>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1"/>
              <w:spacing w:line="360" w:lineRule="auto"/>
              <w:ind w:firstLine="480" w:firstLineChars="200"/>
              <w:outlineLvl w:val="9"/>
              <w:rPr>
                <w:rFonts w:hint="eastAsia" w:hAnsi="宋体" w:eastAsia="宋体" w:cs="宋体"/>
                <w:color w:val="auto"/>
                <w:sz w:val="24"/>
                <w:szCs w:val="24"/>
                <w:highlight w:val="none"/>
                <w:lang w:val="en-US" w:eastAsia="zh-CN"/>
              </w:rPr>
            </w:pPr>
            <w:bookmarkStart w:id="23" w:name="_Toc90427613"/>
            <w:bookmarkStart w:id="24" w:name="_Toc1435"/>
            <w:bookmarkStart w:id="25" w:name="_Toc22096"/>
            <w:r>
              <w:rPr>
                <w:rFonts w:hint="eastAsia" w:hAnsi="宋体" w:eastAsia="宋体" w:cs="宋体"/>
                <w:color w:val="auto"/>
                <w:sz w:val="24"/>
                <w:szCs w:val="24"/>
                <w:highlight w:val="none"/>
                <w:lang w:val="en-US" w:eastAsia="zh-CN"/>
              </w:rPr>
              <w:t>14.7报价人在谈判响应截止期后不得修改、撤回报价文件。报价人在报价截止期后修改报价文件的，其谈判响应将被拒绝。</w:t>
            </w:r>
            <w:bookmarkEnd w:id="23"/>
            <w:bookmarkEnd w:id="24"/>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pPr>
              <w:pStyle w:val="4"/>
              <w:snapToGrid w:val="0"/>
              <w:spacing w:line="360" w:lineRule="auto"/>
              <w:ind w:firstLine="480" w:firstLineChars="200"/>
              <w:outlineLvl w:val="0"/>
              <w:rPr>
                <w:rFonts w:hint="eastAsia" w:eastAsia="宋体" w:cs="宋体"/>
                <w:color w:val="auto"/>
                <w:sz w:val="24"/>
                <w:szCs w:val="24"/>
                <w:highlight w:val="none"/>
                <w:lang w:val="en-US" w:eastAsia="zh-CN"/>
              </w:rPr>
            </w:pPr>
            <w:bookmarkStart w:id="26" w:name="_Toc11965"/>
            <w:bookmarkStart w:id="27" w:name="_Toc24508"/>
            <w:bookmarkStart w:id="28" w:name="_Toc281572174"/>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26"/>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8"/>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报价人应按照采购文件格式要求在报价文件中提供《廉洁承诺书》原件（报价人为联合体的，联合体各方均应提供《廉洁承诺书》原件），否则作无效报价处理。</w:t>
            </w:r>
          </w:p>
        </w:tc>
      </w:tr>
    </w:tbl>
    <w:p>
      <w:pPr>
        <w:spacing w:line="360" w:lineRule="auto"/>
        <w:ind w:firstLine="495"/>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带 “*”条款汇总表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 xml:space="preserve">对于采购文件中的重要技术条款（带*技术条款），报价人应在报价文件中提供其谈判服务满足采购文件重要技术条款要求的客观证据材料。未按要求提供证据材料的，谈判小组将认定不满足该项要求。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457"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992"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546" w:type="dxa"/>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p>
        </w:tc>
        <w:tc>
          <w:tcPr>
            <w:tcW w:w="6546" w:type="dxa"/>
            <w:noWrap w:val="0"/>
            <w:vAlign w:val="top"/>
          </w:tcPr>
          <w:p>
            <w:pPr>
              <w:widowControl/>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本</w:t>
            </w:r>
            <w:r>
              <w:rPr>
                <w:rFonts w:hint="eastAsia" w:ascii="宋体" w:hAnsi="宋体" w:eastAsia="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lang w:val="en-US" w:eastAsia="zh-CN"/>
              </w:rPr>
              <w:t>17</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元，采购预算为总报价的最高限价，总报价超过采购预算的属无效报价。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w:t>
            </w:r>
          </w:p>
        </w:tc>
        <w:tc>
          <w:tcPr>
            <w:tcW w:w="6546" w:type="dxa"/>
            <w:noWrap w:val="0"/>
            <w:vAlign w:val="top"/>
          </w:tcPr>
          <w:p>
            <w:pPr>
              <w:widowControl/>
              <w:spacing w:line="360" w:lineRule="auto"/>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p>
        </w:tc>
        <w:tc>
          <w:tcPr>
            <w:tcW w:w="6546" w:type="dxa"/>
            <w:noWrap w:val="0"/>
            <w:vAlign w:val="top"/>
          </w:tcPr>
          <w:p>
            <w:pPr>
              <w:snapToGrid w:val="0"/>
              <w:spacing w:line="360" w:lineRule="auto"/>
              <w:ind w:firstLine="0" w:firstLineChars="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*2、报价人须具备安全评价检测检验机构资质</w:t>
            </w:r>
            <w:r>
              <w:rPr>
                <w:rFonts w:hint="eastAsia" w:ascii="宋体" w:hAnsi="宋体" w:cs="宋体"/>
                <w:b/>
                <w:color w:val="auto"/>
                <w:sz w:val="24"/>
                <w:szCs w:val="24"/>
                <w:highlight w:val="none"/>
                <w:lang w:val="en-US" w:eastAsia="zh-CN"/>
              </w:rPr>
              <w:t>或</w:t>
            </w:r>
            <w:r>
              <w:rPr>
                <w:rFonts w:hint="default" w:ascii="宋体" w:hAnsi="宋体" w:cs="宋体"/>
                <w:b/>
                <w:color w:val="auto"/>
                <w:sz w:val="24"/>
                <w:szCs w:val="24"/>
                <w:highlight w:val="none"/>
                <w:lang w:eastAsia="zh-CN"/>
              </w:rPr>
              <w:t>具有</w:t>
            </w:r>
            <w:r>
              <w:rPr>
                <w:rFonts w:hint="eastAsia" w:ascii="宋体" w:hAnsi="宋体" w:cs="宋体"/>
                <w:b/>
                <w:color w:val="auto"/>
                <w:sz w:val="24"/>
                <w:szCs w:val="24"/>
                <w:highlight w:val="none"/>
                <w:lang w:val="en-US" w:eastAsia="zh-CN"/>
              </w:rPr>
              <w:t>检验检测机构资质认定证书</w:t>
            </w:r>
            <w:r>
              <w:rPr>
                <w:rFonts w:hint="eastAsia" w:ascii="宋体" w:hAnsi="宋体" w:cs="宋体"/>
                <w:b/>
                <w:color w:val="auto"/>
                <w:sz w:val="24"/>
                <w:szCs w:val="24"/>
                <w:highlight w:val="none"/>
              </w:rPr>
              <w:t>，报价文件中须提供有效的安全评价机构资质证书复印件</w:t>
            </w:r>
            <w:r>
              <w:rPr>
                <w:rFonts w:hint="eastAsia" w:ascii="宋体" w:hAnsi="宋体" w:cs="宋体"/>
                <w:b/>
                <w:color w:val="auto"/>
                <w:sz w:val="24"/>
                <w:szCs w:val="24"/>
                <w:highlight w:val="none"/>
                <w:lang w:val="en-US" w:eastAsia="zh-CN"/>
              </w:rPr>
              <w:t>或检验检测机构资质认定证书</w:t>
            </w:r>
            <w:r>
              <w:rPr>
                <w:rFonts w:hint="eastAsia" w:ascii="宋体" w:hAnsi="宋体" w:cs="宋体"/>
                <w:b/>
                <w:color w:val="auto"/>
                <w:sz w:val="24"/>
                <w:szCs w:val="24"/>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57"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p>
        </w:tc>
        <w:tc>
          <w:tcPr>
            <w:tcW w:w="6546" w:type="dxa"/>
            <w:noWrap w:val="0"/>
            <w:vAlign w:val="top"/>
          </w:tcPr>
          <w:p>
            <w:pPr>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、报价人全权代表若不是单位负责人，应提供单位授权书原件，并提供被授权代表身份证复印件。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57" w:type="dxa"/>
            <w:noWrap w:val="0"/>
            <w:vAlign w:val="top"/>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p>
        </w:tc>
        <w:tc>
          <w:tcPr>
            <w:tcW w:w="6546" w:type="dxa"/>
            <w:noWrap w:val="0"/>
            <w:vAlign w:val="top"/>
          </w:tcPr>
          <w:p>
            <w:pPr>
              <w:spacing w:line="360" w:lineRule="auto"/>
              <w:ind w:firstLine="0" w:firstLineChars="0"/>
              <w:rPr>
                <w:rFonts w:hint="eastAsia" w:ascii="宋体" w:hAnsi="宋体" w:eastAsia="宋体" w:cs="宋体"/>
                <w:b/>
                <w:color w:val="auto"/>
                <w:sz w:val="24"/>
                <w:szCs w:val="24"/>
                <w:highlight w:val="none"/>
                <w:lang w:eastAsia="zh-CN"/>
              </w:rPr>
            </w:pP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3.安全检查人员要求</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需提供</w:t>
            </w:r>
            <w:r>
              <w:rPr>
                <w:rFonts w:hint="eastAsia" w:ascii="宋体" w:hAnsi="宋体" w:cs="宋体"/>
                <w:b/>
                <w:bCs/>
                <w:color w:val="auto"/>
                <w:sz w:val="24"/>
                <w:szCs w:val="24"/>
                <w:highlight w:val="none"/>
              </w:rPr>
              <w:t>5-8名专业人员组成的安全专项检查小组（</w:t>
            </w:r>
            <w:r>
              <w:rPr>
                <w:rFonts w:hint="eastAsia" w:ascii="宋体" w:hAnsi="宋体" w:cs="宋体"/>
                <w:b/>
                <w:bCs/>
                <w:color w:val="auto"/>
                <w:sz w:val="24"/>
                <w:szCs w:val="24"/>
                <w:highlight w:val="none"/>
                <w:lang w:val="en-US" w:eastAsia="zh-CN"/>
              </w:rPr>
              <w:t>其中</w:t>
            </w:r>
            <w:r>
              <w:rPr>
                <w:rFonts w:hint="eastAsia" w:ascii="宋体" w:hAnsi="宋体" w:cs="宋体"/>
                <w:b/>
                <w:bCs/>
                <w:color w:val="auto"/>
                <w:sz w:val="24"/>
                <w:szCs w:val="24"/>
                <w:highlight w:val="none"/>
              </w:rPr>
              <w:t>至少包含3名中级注册安全工程师和</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名注册消防工程师</w:t>
            </w:r>
            <w:r>
              <w:rPr>
                <w:rFonts w:hint="eastAsia" w:ascii="宋体" w:hAnsi="宋体" w:cs="宋体"/>
                <w:b/>
                <w:bCs/>
                <w:color w:val="auto"/>
                <w:sz w:val="24"/>
                <w:szCs w:val="24"/>
                <w:highlight w:val="none"/>
                <w:lang w:eastAsia="zh-CN"/>
              </w:rPr>
              <w:t>需</w:t>
            </w:r>
            <w:r>
              <w:rPr>
                <w:rFonts w:hint="eastAsia" w:ascii="宋体" w:hAnsi="宋体" w:cs="宋体"/>
                <w:b/>
                <w:bCs/>
                <w:color w:val="auto"/>
                <w:sz w:val="24"/>
                <w:szCs w:val="24"/>
                <w:highlight w:val="none"/>
                <w:lang w:val="en-US" w:eastAsia="zh-CN"/>
              </w:rPr>
              <w:t>提供相关证书复印件）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且</w:t>
            </w:r>
            <w:r>
              <w:rPr>
                <w:rFonts w:hint="eastAsia" w:ascii="宋体" w:hAnsi="宋体" w:cs="宋体"/>
                <w:b/>
                <w:bCs/>
                <w:color w:val="auto"/>
                <w:sz w:val="24"/>
                <w:szCs w:val="24"/>
                <w:highlight w:val="none"/>
              </w:rPr>
              <w:t>小组成员</w:t>
            </w:r>
            <w:r>
              <w:rPr>
                <w:rFonts w:hint="eastAsia" w:ascii="宋体" w:hAnsi="宋体" w:cs="宋体"/>
                <w:b/>
                <w:bCs/>
                <w:color w:val="auto"/>
                <w:sz w:val="24"/>
                <w:szCs w:val="24"/>
                <w:highlight w:val="none"/>
                <w:lang w:val="en-US" w:eastAsia="zh-CN"/>
              </w:rPr>
              <w:t>其中</w:t>
            </w:r>
            <w:r>
              <w:rPr>
                <w:rFonts w:hint="eastAsia" w:ascii="宋体" w:hAnsi="宋体" w:cs="宋体"/>
                <w:b/>
                <w:bCs/>
                <w:color w:val="auto"/>
                <w:sz w:val="24"/>
                <w:szCs w:val="24"/>
                <w:highlight w:val="none"/>
              </w:rPr>
              <w:t>至少包含3名</w:t>
            </w:r>
            <w:r>
              <w:rPr>
                <w:rFonts w:hint="eastAsia" w:ascii="宋体" w:hAnsi="宋体" w:cs="宋体"/>
                <w:b/>
                <w:bCs/>
                <w:color w:val="auto"/>
                <w:sz w:val="24"/>
                <w:szCs w:val="24"/>
                <w:highlight w:val="none"/>
                <w:lang w:val="en-US" w:eastAsia="zh-CN"/>
              </w:rPr>
              <w:t>具有</w:t>
            </w:r>
            <w:r>
              <w:rPr>
                <w:rFonts w:hint="eastAsia" w:ascii="宋体" w:hAnsi="宋体" w:cs="宋体"/>
                <w:b/>
                <w:bCs/>
                <w:color w:val="auto"/>
                <w:sz w:val="24"/>
                <w:szCs w:val="24"/>
                <w:highlight w:val="none"/>
                <w:lang w:eastAsia="zh-CN"/>
              </w:rPr>
              <w:t>交通运输、船舶与海洋、控制工程、</w:t>
            </w:r>
            <w:r>
              <w:rPr>
                <w:rFonts w:hint="eastAsia" w:ascii="宋体" w:hAnsi="宋体" w:cs="宋体"/>
                <w:b/>
                <w:bCs/>
                <w:color w:val="auto"/>
                <w:sz w:val="24"/>
                <w:szCs w:val="24"/>
                <w:highlight w:val="none"/>
              </w:rPr>
              <w:t>安全、消防</w:t>
            </w:r>
            <w:r>
              <w:rPr>
                <w:rFonts w:hint="eastAsia" w:ascii="宋体" w:hAnsi="宋体" w:cs="宋体"/>
                <w:b/>
                <w:bCs/>
                <w:color w:val="auto"/>
                <w:sz w:val="24"/>
                <w:szCs w:val="24"/>
                <w:highlight w:val="none"/>
                <w:lang w:val="en-US" w:eastAsia="zh-CN"/>
              </w:rPr>
              <w:t>以上专业之一</w:t>
            </w:r>
            <w:r>
              <w:rPr>
                <w:rFonts w:hint="eastAsia" w:ascii="宋体" w:hAnsi="宋体" w:cs="宋体"/>
                <w:b/>
                <w:bCs/>
                <w:color w:val="auto"/>
                <w:sz w:val="24"/>
                <w:szCs w:val="24"/>
                <w:highlight w:val="none"/>
                <w:lang w:eastAsia="zh-CN"/>
              </w:rPr>
              <w:t>的</w:t>
            </w:r>
            <w:r>
              <w:rPr>
                <w:rFonts w:hint="eastAsia" w:ascii="宋体" w:hAnsi="宋体" w:cs="宋体"/>
                <w:b/>
                <w:bCs/>
                <w:color w:val="auto"/>
                <w:sz w:val="24"/>
                <w:szCs w:val="24"/>
                <w:highlight w:val="none"/>
              </w:rPr>
              <w:t>专业技术人员</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须提供须提供《人员清单》（格式自拟）、职称证书（以证书中的专业为准）复印件。</w:t>
            </w:r>
          </w:p>
        </w:tc>
      </w:tr>
    </w:tbl>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jc w:val="center"/>
        <w:rPr>
          <w:rFonts w:hint="eastAsia" w:ascii="宋体" w:hAnsi="宋体" w:eastAsia="宋体" w:cs="宋体"/>
          <w:b/>
          <w:color w:val="auto"/>
          <w:sz w:val="24"/>
          <w:szCs w:val="24"/>
          <w:highlight w:val="none"/>
          <w:u w:val="single"/>
        </w:rPr>
      </w:pPr>
    </w:p>
    <w:p>
      <w:pPr>
        <w:spacing w:line="360" w:lineRule="auto"/>
        <w:ind w:firstLine="1285" w:firstLineChars="400"/>
        <w:jc w:val="both"/>
        <w:outlineLvl w:val="1"/>
        <w:rPr>
          <w:rFonts w:hint="eastAsia" w:ascii="宋体" w:hAnsi="宋体" w:eastAsia="宋体" w:cs="宋体"/>
          <w:b/>
          <w:color w:val="auto"/>
          <w:sz w:val="24"/>
          <w:szCs w:val="24"/>
          <w:highlight w:val="none"/>
          <w:u w:val="single"/>
        </w:rPr>
      </w:pPr>
      <w:bookmarkStart w:id="29" w:name="_Toc1123693375"/>
      <w:bookmarkStart w:id="30" w:name="_Toc10653"/>
      <w:bookmarkStart w:id="31" w:name="_Toc31022"/>
      <w:r>
        <w:rPr>
          <w:rFonts w:hint="eastAsia" w:ascii="宋体" w:hAnsi="宋体" w:eastAsia="宋体" w:cs="宋体"/>
          <w:b/>
          <w:color w:val="auto"/>
          <w:sz w:val="32"/>
          <w:szCs w:val="32"/>
          <w:highlight w:val="none"/>
          <w:u w:val="single"/>
        </w:rPr>
        <w:t>报价人须知前附表3：谈判规则、评审标准</w:t>
      </w:r>
      <w:bookmarkEnd w:id="29"/>
      <w:bookmarkEnd w:id="30"/>
      <w:bookmarkEnd w:id="31"/>
    </w:p>
    <w:tbl>
      <w:tblPr>
        <w:tblStyle w:val="18"/>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spacing w:line="360" w:lineRule="auto"/>
              <w:outlineLvl w:val="0"/>
              <w:rPr>
                <w:rFonts w:hint="eastAsia" w:ascii="宋体" w:hAnsi="宋体" w:eastAsia="宋体" w:cs="宋体"/>
                <w:color w:val="auto"/>
                <w:sz w:val="24"/>
                <w:szCs w:val="24"/>
                <w:highlight w:val="none"/>
              </w:rPr>
            </w:pPr>
            <w:bookmarkStart w:id="32" w:name="_Toc822224243"/>
            <w:bookmarkStart w:id="33" w:name="_Toc32669"/>
            <w:bookmarkStart w:id="34" w:name="_Toc7012"/>
            <w:r>
              <w:rPr>
                <w:rFonts w:hint="eastAsia" w:ascii="宋体" w:hAnsi="宋体" w:eastAsia="宋体" w:cs="宋体"/>
                <w:color w:val="auto"/>
                <w:sz w:val="24"/>
                <w:szCs w:val="24"/>
                <w:highlight w:val="none"/>
              </w:rPr>
              <w:t>一、谈判规则</w:t>
            </w:r>
            <w:bookmarkEnd w:id="32"/>
            <w:bookmarkEnd w:id="33"/>
            <w:bookmarkEnd w:id="34"/>
          </w:p>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35" w:name="_Toc31251"/>
            <w:bookmarkStart w:id="36" w:name="_Toc953442614"/>
            <w:bookmarkStart w:id="37" w:name="_Toc28003"/>
            <w:r>
              <w:rPr>
                <w:rFonts w:hint="eastAsia" w:ascii="宋体" w:hAnsi="宋体" w:eastAsia="宋体" w:cs="宋体"/>
                <w:color w:val="auto"/>
                <w:sz w:val="24"/>
                <w:szCs w:val="24"/>
                <w:highlight w:val="none"/>
              </w:rPr>
              <w:t>1.采购代理机构按有关规定组建谈判小组，谈判小组确定（或制定）采购文件，报价人按照采购文件规定提交报价文件。</w:t>
            </w:r>
            <w:bookmarkEnd w:id="35"/>
            <w:bookmarkEnd w:id="36"/>
            <w:bookmarkEnd w:id="37"/>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3.谈判小组所有成员应当集中与单一报价人分别进行谈判，谈判顺序采用随机抽取的方法确认。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5.每轮谈判结束前由谈判小组决定是否需要进行下一轮谈判，如需要进行下一轮谈判，采购代理机构提前告知报价人下一轮谈判时间。</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9.参加谈判并代表报价人签署报价文件的应该是采购文件要求的报价人代表，谈判时应出示身份证原件。</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10.在谈判活动中，有关人员不得透露与谈判有关的一切技术资料、价格和其它信息给其他报价人。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确定成交候选供应商原则：</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二、谈判可能实质性变动的内容：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三、谈判评审标准</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成交供应商未在规定时间内与采购人签订合同的、或者被确定为成交供应商后明确表示放弃成交的，采购人可以按照成交候选供应商的排序重新确定成交供应商，也可以重新开展采购活动。</w:t>
            </w:r>
          </w:p>
        </w:tc>
      </w:tr>
    </w:tbl>
    <w:p>
      <w:pPr>
        <w:spacing w:line="360" w:lineRule="auto"/>
        <w:jc w:val="center"/>
        <w:outlineLvl w:val="9"/>
        <w:rPr>
          <w:rFonts w:hint="eastAsia" w:ascii="宋体" w:hAnsi="宋体" w:eastAsia="宋体" w:cs="宋体"/>
          <w:b/>
          <w:bCs/>
          <w:color w:val="auto"/>
          <w:sz w:val="24"/>
          <w:szCs w:val="24"/>
          <w:highlight w:val="none"/>
          <w:u w:val="singl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24"/>
          <w:szCs w:val="24"/>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keepNext w:val="0"/>
        <w:keepLines w:val="0"/>
        <w:spacing w:before="220" w:after="220" w:line="360" w:lineRule="auto"/>
        <w:jc w:val="center"/>
        <w:outlineLvl w:val="9"/>
        <w:rPr>
          <w:rFonts w:hint="eastAsia" w:ascii="宋体" w:hAnsi="宋体" w:eastAsia="宋体" w:cs="宋体"/>
          <w:color w:val="auto"/>
          <w:sz w:val="32"/>
          <w:szCs w:val="32"/>
          <w:highlight w:val="none"/>
        </w:rPr>
      </w:pPr>
    </w:p>
    <w:p>
      <w:pPr>
        <w:pStyle w:val="8"/>
        <w:spacing w:line="360" w:lineRule="auto"/>
        <w:ind w:firstLine="2249" w:firstLineChars="700"/>
        <w:jc w:val="both"/>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第二章  报价人须知</w:t>
      </w:r>
    </w:p>
    <w:p>
      <w:pPr>
        <w:pStyle w:val="8"/>
        <w:spacing w:line="360" w:lineRule="auto"/>
        <w:jc w:val="center"/>
        <w:rPr>
          <w:rFonts w:hint="eastAsia" w:hAnsi="宋体" w:eastAsia="宋体" w:cs="宋体"/>
          <w:b/>
          <w:color w:val="auto"/>
          <w:sz w:val="24"/>
          <w:szCs w:val="24"/>
          <w:highlight w:val="none"/>
          <w:lang w:eastAsia="zh-CN"/>
        </w:rPr>
      </w:pPr>
    </w:p>
    <w:p>
      <w:pPr>
        <w:pStyle w:val="8"/>
        <w:spacing w:line="360" w:lineRule="auto"/>
        <w:jc w:val="center"/>
        <w:outlineLvl w:val="1"/>
        <w:rPr>
          <w:rFonts w:hint="eastAsia" w:hAnsi="宋体" w:eastAsia="宋体" w:cs="宋体"/>
          <w:b/>
          <w:color w:val="auto"/>
          <w:sz w:val="24"/>
          <w:szCs w:val="24"/>
          <w:highlight w:val="none"/>
        </w:rPr>
      </w:pPr>
      <w:bookmarkStart w:id="38" w:name="_Toc29868"/>
      <w:bookmarkStart w:id="39" w:name="_Toc28735"/>
      <w:bookmarkStart w:id="40" w:name="_Toc1040838931"/>
      <w:r>
        <w:rPr>
          <w:rFonts w:hint="eastAsia" w:hAnsi="宋体" w:eastAsia="宋体" w:cs="宋体"/>
          <w:b/>
          <w:color w:val="auto"/>
          <w:sz w:val="32"/>
          <w:szCs w:val="32"/>
          <w:highlight w:val="none"/>
          <w:lang w:eastAsia="zh-CN"/>
        </w:rPr>
        <w:t>一、</w:t>
      </w:r>
      <w:r>
        <w:rPr>
          <w:rFonts w:hint="eastAsia" w:hAnsi="宋体" w:eastAsia="宋体" w:cs="宋体"/>
          <w:b/>
          <w:color w:val="auto"/>
          <w:sz w:val="32"/>
          <w:szCs w:val="32"/>
          <w:highlight w:val="none"/>
        </w:rPr>
        <w:t>说明</w:t>
      </w:r>
      <w:bookmarkEnd w:id="38"/>
      <w:bookmarkEnd w:id="39"/>
      <w:bookmarkEnd w:id="40"/>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1.1本采购文件仅适用于邀请中所叙述项目的服务采购。</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w:t>
      </w:r>
      <w:r>
        <w:rPr>
          <w:rFonts w:hint="eastAsia" w:hAnsi="宋体" w:eastAsia="宋体" w:cs="宋体"/>
          <w:color w:val="auto"/>
          <w:sz w:val="24"/>
          <w:szCs w:val="24"/>
          <w:highlight w:val="none"/>
          <w:lang w:eastAsia="zh-CN"/>
        </w:rPr>
        <w:t>购买了本采购文件，且已经</w:t>
      </w:r>
      <w:r>
        <w:rPr>
          <w:rFonts w:hint="eastAsia" w:hAnsi="宋体" w:eastAsia="宋体" w:cs="宋体"/>
          <w:color w:val="auto"/>
          <w:sz w:val="24"/>
          <w:szCs w:val="24"/>
          <w:highlight w:val="none"/>
        </w:rPr>
        <w:t>提交</w:t>
      </w:r>
      <w:r>
        <w:rPr>
          <w:rFonts w:hint="eastAsia" w:hAnsi="宋体" w:eastAsia="宋体" w:cs="宋体"/>
          <w:color w:val="auto"/>
          <w:sz w:val="24"/>
          <w:szCs w:val="24"/>
          <w:highlight w:val="none"/>
          <w:lang w:eastAsia="zh-CN"/>
        </w:rPr>
        <w:t>或准备提交</w:t>
      </w:r>
      <w:r>
        <w:rPr>
          <w:rFonts w:hint="eastAsia" w:hAnsi="宋体" w:eastAsia="宋体" w:cs="宋体"/>
          <w:color w:val="auto"/>
          <w:sz w:val="24"/>
          <w:szCs w:val="24"/>
          <w:highlight w:val="none"/>
        </w:rPr>
        <w:t>报价文件的制造商或供货商。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 xml:space="preserve"> “货物”系指</w:t>
      </w:r>
      <w:r>
        <w:rPr>
          <w:rFonts w:hint="eastAsia" w:hAnsi="宋体" w:eastAsia="宋体" w:cs="宋体"/>
          <w:color w:val="auto"/>
          <w:sz w:val="24"/>
          <w:szCs w:val="24"/>
          <w:highlight w:val="none"/>
          <w:lang w:eastAsia="zh-CN"/>
        </w:rPr>
        <w:t>指各种形态和和种类的物品，包括原材料、燃料、设备、产品等。</w:t>
      </w:r>
    </w:p>
    <w:p>
      <w:pPr>
        <w:pStyle w:val="8"/>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2.6</w:t>
      </w:r>
      <w:r>
        <w:rPr>
          <w:rFonts w:hint="eastAsia" w:hAnsi="宋体" w:eastAsia="宋体" w:cs="宋体"/>
          <w:color w:val="auto"/>
          <w:sz w:val="24"/>
          <w:szCs w:val="24"/>
          <w:highlight w:val="none"/>
        </w:rPr>
        <w:t>“工程”系指采购文件规定成交供应商须承担的土建施工、修缮、景观建设、改造，绿化工程等。</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7</w:t>
      </w:r>
      <w:r>
        <w:rPr>
          <w:rFonts w:hint="eastAsia" w:hAnsi="宋体" w:eastAsia="宋体" w:cs="宋体"/>
          <w:color w:val="auto"/>
          <w:sz w:val="24"/>
          <w:szCs w:val="24"/>
          <w:highlight w:val="none"/>
        </w:rPr>
        <w:t>“服务”系指</w:t>
      </w:r>
      <w:r>
        <w:rPr>
          <w:rFonts w:hint="eastAsia" w:hAnsi="宋体" w:eastAsia="宋体" w:cs="宋体"/>
          <w:color w:val="auto"/>
          <w:sz w:val="24"/>
          <w:szCs w:val="24"/>
          <w:highlight w:val="none"/>
          <w:lang w:eastAsia="zh-CN"/>
        </w:rPr>
        <w:t>除货物和工程以外的其他政府采购对象。</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经审计的上一年度的年度财务报告（</w:t>
      </w:r>
      <w:r>
        <w:rPr>
          <w:rFonts w:hint="eastAsia" w:ascii="宋体" w:hAnsi="宋体" w:eastAsia="宋体" w:cs="宋体"/>
          <w:color w:val="auto"/>
          <w:sz w:val="24"/>
          <w:szCs w:val="24"/>
          <w:highlight w:val="none"/>
        </w:rPr>
        <w:t>报价人上一年度的财务报告尚未完成编制且报价截止时间在每年1月1日至4月30日的，可提供上上年度经审计的年度财务报告。</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依法缴纳税收和社会保障资金的相关材料；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pPr>
        <w:spacing w:line="360" w:lineRule="auto"/>
        <w:ind w:firstLine="480" w:firstLineChars="200"/>
        <w:rPr>
          <w:rFonts w:hint="eastAsia" w:ascii="宋体" w:hAnsi="宋体" w:eastAsia="宋体" w:cs="宋体"/>
          <w:color w:val="auto"/>
          <w:sz w:val="24"/>
          <w:szCs w:val="24"/>
          <w:highlight w:val="none"/>
        </w:rPr>
      </w:pP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4.谈判费用</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报价人应承担其准备与参加谈判所涉及的一切费用。</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pPr>
        <w:pStyle w:val="61"/>
        <w:spacing w:line="360" w:lineRule="auto"/>
        <w:jc w:val="center"/>
        <w:outlineLvl w:val="1"/>
        <w:rPr>
          <w:rFonts w:hint="eastAsia" w:hAnsi="宋体" w:eastAsia="宋体" w:cs="宋体"/>
          <w:b/>
          <w:color w:val="auto"/>
          <w:sz w:val="24"/>
          <w:szCs w:val="24"/>
          <w:highlight w:val="none"/>
        </w:rPr>
      </w:pPr>
      <w:bookmarkStart w:id="41" w:name="_Toc19763"/>
      <w:bookmarkStart w:id="42" w:name="_Toc882099625"/>
      <w:bookmarkStart w:id="43" w:name="_Toc28804"/>
      <w:r>
        <w:rPr>
          <w:rFonts w:hint="eastAsia" w:hAnsi="宋体" w:eastAsia="宋体" w:cs="宋体"/>
          <w:b/>
          <w:color w:val="auto"/>
          <w:sz w:val="32"/>
          <w:szCs w:val="32"/>
          <w:highlight w:val="none"/>
          <w:lang w:eastAsia="zh-CN"/>
        </w:rPr>
        <w:t>二、</w:t>
      </w:r>
      <w:r>
        <w:rPr>
          <w:rFonts w:hint="eastAsia" w:hAnsi="宋体" w:eastAsia="宋体" w:cs="宋体"/>
          <w:b/>
          <w:color w:val="auto"/>
          <w:sz w:val="32"/>
          <w:szCs w:val="32"/>
          <w:highlight w:val="none"/>
        </w:rPr>
        <w:t>采购文件</w:t>
      </w:r>
      <w:bookmarkEnd w:id="41"/>
      <w:bookmarkEnd w:id="42"/>
      <w:bookmarkEnd w:id="43"/>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6.采购文件的组成</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6.1采购文件用以阐明所需服务、谈判程序和合同格式及条款。采购文件由下述部分组成：</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谈判邀请</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报价人须知</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w:t>
      </w:r>
      <w:r>
        <w:rPr>
          <w:rFonts w:hint="eastAsia" w:hAnsi="宋体" w:eastAsia="宋体" w:cs="宋体"/>
          <w:color w:val="auto"/>
          <w:sz w:val="24"/>
          <w:szCs w:val="24"/>
          <w:highlight w:val="none"/>
          <w:lang w:eastAsia="zh-CN"/>
        </w:rPr>
        <w:t>采购内容及要求</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）采购合同</w:t>
      </w:r>
    </w:p>
    <w:p>
      <w:pPr>
        <w:pStyle w:val="8"/>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）报价文件格式</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7.</w:t>
      </w:r>
      <w:r>
        <w:rPr>
          <w:rFonts w:hint="eastAsia" w:hAnsi="宋体" w:eastAsia="宋体" w:cs="宋体"/>
          <w:b/>
          <w:color w:val="auto"/>
          <w:sz w:val="24"/>
          <w:szCs w:val="24"/>
          <w:highlight w:val="none"/>
          <w:lang w:eastAsia="zh-CN"/>
        </w:rPr>
        <w:t>采购文件的澄清与修改</w:t>
      </w:r>
    </w:p>
    <w:p>
      <w:pPr>
        <w:pStyle w:val="4"/>
        <w:snapToGrid w:val="0"/>
        <w:spacing w:line="360" w:lineRule="auto"/>
        <w:ind w:firstLineChars="175"/>
        <w:outlineLvl w:val="9"/>
        <w:rPr>
          <w:rFonts w:hint="eastAsia" w:eastAsia="宋体" w:cs="宋体"/>
          <w:bCs/>
          <w:color w:val="auto"/>
          <w:sz w:val="24"/>
          <w:szCs w:val="24"/>
          <w:highlight w:val="none"/>
        </w:rPr>
      </w:pPr>
      <w:r>
        <w:rPr>
          <w:rFonts w:hint="eastAsia" w:eastAsia="宋体" w:cs="宋体"/>
          <w:color w:val="auto"/>
          <w:sz w:val="24"/>
          <w:szCs w:val="24"/>
          <w:highlight w:val="none"/>
          <w:lang w:eastAsia="zh-CN"/>
        </w:rPr>
        <w:t>7.1</w:t>
      </w:r>
      <w:r>
        <w:rPr>
          <w:rFonts w:hint="eastAsia" w:eastAsia="宋体" w:cs="宋体"/>
          <w:bCs/>
          <w:color w:val="auto"/>
          <w:sz w:val="24"/>
          <w:szCs w:val="24"/>
          <w:highlight w:val="none"/>
        </w:rPr>
        <w:t>至</w:t>
      </w:r>
      <w:r>
        <w:rPr>
          <w:rFonts w:hint="eastAsia" w:eastAsia="宋体" w:cs="宋体"/>
          <w:bCs/>
          <w:color w:val="auto"/>
          <w:sz w:val="24"/>
          <w:szCs w:val="24"/>
          <w:highlight w:val="none"/>
          <w:lang w:eastAsia="zh-CN"/>
        </w:rPr>
        <w:t>谈判响应</w:t>
      </w:r>
      <w:r>
        <w:rPr>
          <w:rFonts w:hint="eastAsia" w:eastAsia="宋体" w:cs="宋体"/>
          <w:bCs/>
          <w:color w:val="auto"/>
          <w:sz w:val="24"/>
          <w:szCs w:val="24"/>
          <w:highlight w:val="none"/>
        </w:rPr>
        <w:t>截止时间</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日（如至原定截止时间不足</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日，则需延长</w:t>
      </w:r>
      <w:r>
        <w:rPr>
          <w:rFonts w:hint="eastAsia" w:eastAsia="宋体" w:cs="宋体"/>
          <w:bCs/>
          <w:color w:val="auto"/>
          <w:sz w:val="24"/>
          <w:szCs w:val="24"/>
          <w:highlight w:val="none"/>
          <w:lang w:eastAsia="zh-CN"/>
        </w:rPr>
        <w:t>截止</w:t>
      </w:r>
      <w:r>
        <w:rPr>
          <w:rFonts w:hint="eastAsia" w:eastAsia="宋体" w:cs="宋体"/>
          <w:bCs/>
          <w:color w:val="auto"/>
          <w:sz w:val="24"/>
          <w:szCs w:val="24"/>
          <w:highlight w:val="none"/>
        </w:rPr>
        <w:t>时间）前，</w:t>
      </w:r>
      <w:r>
        <w:rPr>
          <w:rFonts w:hint="eastAsia" w:eastAsia="宋体" w:cs="宋体"/>
          <w:color w:val="auto"/>
          <w:sz w:val="24"/>
          <w:szCs w:val="24"/>
          <w:highlight w:val="none"/>
          <w:lang w:eastAsia="zh-CN"/>
        </w:rPr>
        <w:t>采购代理</w:t>
      </w:r>
      <w:r>
        <w:rPr>
          <w:rFonts w:hint="eastAsia" w:eastAsia="宋体" w:cs="宋体"/>
          <w:color w:val="auto"/>
          <w:sz w:val="24"/>
          <w:szCs w:val="24"/>
          <w:highlight w:val="none"/>
        </w:rPr>
        <w:t>代理机构</w:t>
      </w:r>
      <w:r>
        <w:rPr>
          <w:rFonts w:hint="eastAsia" w:eastAsia="宋体" w:cs="宋体"/>
          <w:bCs/>
          <w:color w:val="auto"/>
          <w:sz w:val="24"/>
          <w:szCs w:val="24"/>
          <w:highlight w:val="none"/>
        </w:rPr>
        <w:t>可主动或依</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要求澄清的问题修改</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，但应当</w:t>
      </w:r>
      <w:r>
        <w:rPr>
          <w:rFonts w:hint="eastAsia" w:eastAsia="宋体" w:cs="宋体"/>
          <w:color w:val="auto"/>
          <w:sz w:val="24"/>
          <w:szCs w:val="24"/>
          <w:highlight w:val="none"/>
        </w:rPr>
        <w:t>在原信息发布媒体上发布更正公告，</w:t>
      </w:r>
      <w:r>
        <w:rPr>
          <w:rFonts w:hint="eastAsia" w:eastAsia="宋体" w:cs="宋体"/>
          <w:bCs/>
          <w:color w:val="auto"/>
          <w:sz w:val="24"/>
          <w:szCs w:val="24"/>
          <w:highlight w:val="none"/>
        </w:rPr>
        <w:t>并以书面形式通知所有</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收受人，</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在收到该通知后应当立即以传真形式予以确认</w:t>
      </w:r>
      <w:r>
        <w:rPr>
          <w:rFonts w:hint="eastAsia" w:eastAsia="宋体" w:cs="宋体"/>
          <w:color w:val="auto"/>
          <w:sz w:val="24"/>
          <w:szCs w:val="24"/>
          <w:highlight w:val="none"/>
        </w:rPr>
        <w:t>（如属网上</w:t>
      </w:r>
      <w:r>
        <w:rPr>
          <w:rFonts w:hint="eastAsia" w:eastAsia="宋体" w:cs="宋体"/>
          <w:color w:val="auto"/>
          <w:sz w:val="24"/>
          <w:szCs w:val="24"/>
          <w:highlight w:val="none"/>
          <w:lang w:eastAsia="zh-CN"/>
        </w:rPr>
        <w:t>采购</w:t>
      </w:r>
      <w:r>
        <w:rPr>
          <w:rFonts w:hint="eastAsia" w:eastAsia="宋体" w:cs="宋体"/>
          <w:color w:val="auto"/>
          <w:sz w:val="24"/>
          <w:szCs w:val="24"/>
          <w:highlight w:val="none"/>
        </w:rPr>
        <w:t>项目</w:t>
      </w:r>
      <w:r>
        <w:rPr>
          <w:rFonts w:hint="eastAsia" w:eastAsia="宋体" w:cs="宋体"/>
          <w:bCs/>
          <w:color w:val="auto"/>
          <w:sz w:val="24"/>
          <w:szCs w:val="24"/>
          <w:highlight w:val="none"/>
        </w:rPr>
        <w:t>，在</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公告原发布媒体及实施网上</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的网站发布更正公告，不再书面答复）。</w:t>
      </w:r>
      <w:r>
        <w:rPr>
          <w:rFonts w:hint="eastAsia" w:eastAsia="宋体" w:cs="宋体"/>
          <w:color w:val="auto"/>
          <w:sz w:val="24"/>
          <w:szCs w:val="24"/>
          <w:highlight w:val="none"/>
        </w:rPr>
        <w:t>该修改内容为</w:t>
      </w:r>
      <w:r>
        <w:rPr>
          <w:rFonts w:hint="eastAsia" w:eastAsia="宋体" w:cs="宋体"/>
          <w:color w:val="auto"/>
          <w:sz w:val="24"/>
          <w:szCs w:val="24"/>
          <w:highlight w:val="none"/>
          <w:lang w:eastAsia="zh-CN"/>
        </w:rPr>
        <w:t>采购文件</w:t>
      </w:r>
      <w:r>
        <w:rPr>
          <w:rFonts w:hint="eastAsia" w:eastAsia="宋体" w:cs="宋体"/>
          <w:color w:val="auto"/>
          <w:sz w:val="24"/>
          <w:szCs w:val="24"/>
          <w:highlight w:val="none"/>
        </w:rPr>
        <w:t>的组成部分，对</w:t>
      </w:r>
      <w:r>
        <w:rPr>
          <w:rFonts w:hint="eastAsia" w:eastAsia="宋体" w:cs="宋体"/>
          <w:color w:val="auto"/>
          <w:sz w:val="24"/>
          <w:szCs w:val="24"/>
          <w:highlight w:val="none"/>
          <w:lang w:eastAsia="zh-CN"/>
        </w:rPr>
        <w:t>报价人</w:t>
      </w:r>
      <w:r>
        <w:rPr>
          <w:rFonts w:hint="eastAsia" w:eastAsia="宋体" w:cs="宋体"/>
          <w:color w:val="auto"/>
          <w:sz w:val="24"/>
          <w:szCs w:val="24"/>
          <w:highlight w:val="none"/>
        </w:rPr>
        <w:t>具有约束力。但</w:t>
      </w:r>
      <w:r>
        <w:rPr>
          <w:rFonts w:hint="eastAsia" w:eastAsia="宋体" w:cs="宋体"/>
          <w:bCs/>
          <w:color w:val="auto"/>
          <w:sz w:val="24"/>
          <w:szCs w:val="24"/>
          <w:highlight w:val="none"/>
        </w:rPr>
        <w:t>本</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第7.2条规定的推迟</w:t>
      </w:r>
      <w:r>
        <w:rPr>
          <w:rFonts w:hint="eastAsia" w:eastAsia="宋体" w:cs="宋体"/>
          <w:bCs/>
          <w:color w:val="auto"/>
          <w:sz w:val="24"/>
          <w:szCs w:val="24"/>
          <w:highlight w:val="none"/>
          <w:lang w:eastAsia="zh-CN"/>
        </w:rPr>
        <w:t>响应</w:t>
      </w:r>
      <w:r>
        <w:rPr>
          <w:rFonts w:hint="eastAsia" w:eastAsia="宋体" w:cs="宋体"/>
          <w:bCs/>
          <w:color w:val="auto"/>
          <w:sz w:val="24"/>
          <w:szCs w:val="24"/>
          <w:highlight w:val="none"/>
        </w:rPr>
        <w:t>截止时间情形不受本条约束。</w:t>
      </w:r>
    </w:p>
    <w:p>
      <w:pPr>
        <w:pStyle w:val="4"/>
        <w:snapToGrid w:val="0"/>
        <w:spacing w:line="360" w:lineRule="auto"/>
        <w:ind w:firstLineChars="175"/>
        <w:outlineLvl w:val="9"/>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pPr>
        <w:pStyle w:val="4"/>
        <w:snapToGrid w:val="0"/>
        <w:spacing w:line="360" w:lineRule="auto"/>
        <w:ind w:firstLineChars="175"/>
        <w:outlineLvl w:val="9"/>
        <w:rPr>
          <w:rFonts w:hint="eastAsia" w:eastAsia="宋体" w:cs="宋体"/>
          <w:color w:val="auto"/>
          <w:sz w:val="24"/>
          <w:szCs w:val="24"/>
          <w:highlight w:val="none"/>
          <w:lang w:eastAsia="zh-CN"/>
        </w:rPr>
      </w:pPr>
    </w:p>
    <w:p>
      <w:pPr>
        <w:pStyle w:val="4"/>
        <w:snapToGrid w:val="0"/>
        <w:spacing w:line="360" w:lineRule="auto"/>
        <w:ind w:firstLine="0" w:firstLineChars="0"/>
        <w:jc w:val="center"/>
        <w:outlineLvl w:val="1"/>
        <w:rPr>
          <w:rFonts w:hint="eastAsia" w:eastAsia="宋体" w:cs="宋体"/>
          <w:bCs/>
          <w:color w:val="auto"/>
          <w:sz w:val="24"/>
          <w:szCs w:val="24"/>
          <w:highlight w:val="none"/>
        </w:rPr>
      </w:pPr>
      <w:bookmarkStart w:id="44" w:name="_Toc6122"/>
      <w:bookmarkStart w:id="45" w:name="_Toc15112"/>
      <w:bookmarkStart w:id="46" w:name="_Toc1683071225"/>
      <w:r>
        <w:rPr>
          <w:rFonts w:hint="eastAsia" w:eastAsia="宋体" w:cs="宋体"/>
          <w:b/>
          <w:color w:val="auto"/>
          <w:sz w:val="32"/>
          <w:szCs w:val="32"/>
          <w:highlight w:val="none"/>
          <w:lang w:eastAsia="zh-CN"/>
        </w:rPr>
        <w:t>三、</w:t>
      </w:r>
      <w:r>
        <w:rPr>
          <w:rFonts w:hint="eastAsia" w:eastAsia="宋体" w:cs="宋体"/>
          <w:b/>
          <w:color w:val="auto"/>
          <w:sz w:val="32"/>
          <w:szCs w:val="32"/>
          <w:highlight w:val="none"/>
        </w:rPr>
        <w:t>报价文件的编写</w:t>
      </w:r>
      <w:bookmarkEnd w:id="44"/>
      <w:bookmarkEnd w:id="45"/>
      <w:bookmarkEnd w:id="46"/>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pPr>
        <w:pStyle w:val="8"/>
        <w:spacing w:line="360" w:lineRule="auto"/>
        <w:ind w:firstLine="48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w:t>
      </w:r>
      <w:r>
        <w:rPr>
          <w:rFonts w:hint="eastAsia" w:hAnsi="宋体" w:eastAsia="宋体" w:cs="宋体"/>
          <w:color w:val="auto"/>
          <w:sz w:val="24"/>
          <w:szCs w:val="24"/>
          <w:highlight w:val="none"/>
        </w:rPr>
        <w:t>.1报价人应仔细阅读采购文件的所有内容，按采购文件的要求提供报价文件，</w:t>
      </w:r>
      <w:r>
        <w:rPr>
          <w:rFonts w:hint="eastAsia" w:hAnsi="宋体" w:eastAsia="宋体" w:cs="宋体"/>
          <w:color w:val="auto"/>
          <w:sz w:val="24"/>
          <w:szCs w:val="24"/>
          <w:highlight w:val="none"/>
          <w:lang w:eastAsia="zh-CN"/>
        </w:rPr>
        <w:t>报价文件应对采购文件的要求作出实质性响应，</w:t>
      </w:r>
      <w:r>
        <w:rPr>
          <w:rFonts w:hint="eastAsia" w:hAnsi="宋体" w:eastAsia="宋体" w:cs="宋体"/>
          <w:color w:val="auto"/>
          <w:sz w:val="24"/>
          <w:szCs w:val="24"/>
          <w:highlight w:val="none"/>
        </w:rPr>
        <w:t>并保证所提供的全部资料的真实性，否则其报价文件可被作</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无效处理。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8.2除非有另外的规定，报价人应按被邀请参加</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的合同包进行报价，同时，应对所报价合同包下的所有品目号进行报价。采购人不接受有任何可选择性的报价，每一种</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只能有一个报价。</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9.报价文件语言及报价要求</w:t>
      </w:r>
    </w:p>
    <w:p>
      <w:pPr>
        <w:pStyle w:val="8"/>
        <w:spacing w:line="360" w:lineRule="auto"/>
        <w:ind w:firstLine="480" w:firstLineChars="200"/>
        <w:jc w:val="left"/>
        <w:rPr>
          <w:rFonts w:hint="eastAsia" w:hAnsi="宋体" w:eastAsia="宋体" w:cs="宋体"/>
          <w:b/>
          <w:color w:val="auto"/>
          <w:sz w:val="24"/>
          <w:szCs w:val="24"/>
          <w:highlight w:val="none"/>
          <w:lang w:eastAsia="zh-CN"/>
        </w:rPr>
      </w:pP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应用中文书写。</w:t>
      </w:r>
      <w:r>
        <w:rPr>
          <w:rFonts w:hint="eastAsia" w:hAnsi="宋体" w:eastAsia="宋体" w:cs="宋体"/>
          <w:color w:val="auto"/>
          <w:sz w:val="24"/>
          <w:szCs w:val="24"/>
          <w:highlight w:val="none"/>
          <w:lang w:eastAsia="zh-CN"/>
        </w:rPr>
        <w:t>报价文件中所附或所引用的的原件不是中文时，应附中文译文。各种计量单位及符号应采用国际上统一使用的公制计量单位和符号。</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10</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w:t>
      </w:r>
      <w:r>
        <w:rPr>
          <w:rFonts w:hint="eastAsia" w:hAnsi="宋体" w:eastAsia="宋体" w:cs="宋体"/>
          <w:b/>
          <w:color w:val="auto"/>
          <w:sz w:val="24"/>
          <w:szCs w:val="24"/>
          <w:highlight w:val="none"/>
        </w:rPr>
        <w:t>的组成</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报价文件应包括下列部分：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谈判分项报价表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报价人提交的其他资料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谈判保证金</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1</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w:t>
      </w:r>
      <w:r>
        <w:rPr>
          <w:rFonts w:hint="eastAsia" w:hAnsi="宋体" w:eastAsia="宋体" w:cs="宋体"/>
          <w:b/>
          <w:color w:val="auto"/>
          <w:sz w:val="24"/>
          <w:szCs w:val="24"/>
          <w:highlight w:val="none"/>
        </w:rPr>
        <w:t>有效期</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11.1报价文件从</w:t>
      </w:r>
      <w:r>
        <w:rPr>
          <w:rFonts w:hint="eastAsia" w:hAnsi="宋体" w:eastAsia="宋体" w:cs="宋体"/>
          <w:bCs/>
          <w:color w:val="auto"/>
          <w:sz w:val="24"/>
          <w:szCs w:val="24"/>
          <w:highlight w:val="none"/>
        </w:rPr>
        <w:t>报价人须知前附表</w:t>
      </w:r>
      <w:r>
        <w:rPr>
          <w:rFonts w:hint="eastAsia" w:hAnsi="宋体" w:eastAsia="宋体" w:cs="宋体"/>
          <w:bCs/>
          <w:color w:val="auto"/>
          <w:sz w:val="24"/>
          <w:szCs w:val="24"/>
          <w:highlight w:val="none"/>
          <w:lang w:eastAsia="zh-CN"/>
        </w:rPr>
        <w:t>1</w:t>
      </w:r>
      <w:r>
        <w:rPr>
          <w:rFonts w:hint="eastAsia" w:hAnsi="宋体" w:eastAsia="宋体" w:cs="宋体"/>
          <w:color w:val="auto"/>
          <w:sz w:val="24"/>
          <w:szCs w:val="24"/>
          <w:highlight w:val="none"/>
        </w:rPr>
        <w:t>所规定的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截止期之</w:t>
      </w:r>
      <w:r>
        <w:rPr>
          <w:rFonts w:hint="eastAsia" w:hAnsi="宋体" w:eastAsia="宋体" w:cs="宋体"/>
          <w:color w:val="auto"/>
          <w:sz w:val="24"/>
          <w:szCs w:val="24"/>
          <w:highlight w:val="none"/>
          <w:lang w:eastAsia="zh-CN"/>
        </w:rPr>
        <w:t>日</w:t>
      </w:r>
      <w:r>
        <w:rPr>
          <w:rFonts w:hint="eastAsia" w:hAnsi="宋体" w:eastAsia="宋体" w:cs="宋体"/>
          <w:color w:val="auto"/>
          <w:sz w:val="24"/>
          <w:szCs w:val="24"/>
          <w:highlight w:val="none"/>
        </w:rPr>
        <w:t>开始生效，在</w:t>
      </w:r>
      <w:r>
        <w:rPr>
          <w:rFonts w:hint="eastAsia" w:hAnsi="宋体" w:eastAsia="宋体" w:cs="宋体"/>
          <w:bCs/>
          <w:color w:val="auto"/>
          <w:sz w:val="24"/>
          <w:szCs w:val="24"/>
          <w:highlight w:val="none"/>
        </w:rPr>
        <w:t>报价人须知前附表</w:t>
      </w:r>
      <w:r>
        <w:rPr>
          <w:rFonts w:hint="eastAsia" w:hAnsi="宋体" w:eastAsia="宋体" w:cs="宋体"/>
          <w:color w:val="auto"/>
          <w:sz w:val="24"/>
          <w:szCs w:val="24"/>
          <w:highlight w:val="none"/>
        </w:rPr>
        <w:t>所规定的期限内保持有效。有效期不足将导致其报价文件被拒绝。</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 xml:space="preserve">，既不要求也不允许其修改报价文件，但将要求其相应延长谈判保证金有效期，有关退还和不予退还谈判保证金的规定在报价有效期延长期内继续有效。      </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2</w:t>
      </w:r>
      <w:r>
        <w:rPr>
          <w:rFonts w:hint="eastAsia" w:hAnsi="宋体" w:eastAsia="宋体" w:cs="宋体"/>
          <w:b/>
          <w:color w:val="auto"/>
          <w:sz w:val="24"/>
          <w:szCs w:val="24"/>
          <w:highlight w:val="none"/>
        </w:rPr>
        <w:t>.谈判保证金</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.1 谈判保证金为报价文件的组成部分之一。</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保证金专户缴交报价人须知前附表要求的谈判保证金。联合体谈判的，可以由联合体中的一方或者共同提交谈判保证金，以一方名义提交谈判保证金的，对联合体各方均具有约束力。</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.3 谈判保证金用于保护本次谈判活动免受报价人的行为而引起的风险。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12.4谈判保证金交纳方式及其它：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w:t>
      </w:r>
      <w:r>
        <w:rPr>
          <w:rFonts w:hint="eastAsia" w:hAnsi="宋体" w:eastAsia="宋体" w:cs="宋体"/>
          <w:color w:val="auto"/>
          <w:sz w:val="24"/>
          <w:szCs w:val="24"/>
          <w:highlight w:val="none"/>
          <w:lang w:eastAsia="zh-CN"/>
        </w:rPr>
        <w:t>谈判</w:t>
      </w:r>
      <w:r>
        <w:rPr>
          <w:rFonts w:hint="eastAsia" w:hAnsi="宋体" w:eastAsia="宋体" w:cs="宋体"/>
          <w:color w:val="auto"/>
          <w:sz w:val="24"/>
          <w:szCs w:val="24"/>
          <w:highlight w:val="none"/>
        </w:rPr>
        <w:t>保证金应按不同的合同包号分别提交。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③报价人为中小企业的，其谈判保证金减半交纳。减半交纳谈判保证金的报价人未按照采购文件格式要求在报价文件中提供《中小企业声明函》的，其谈判响应作无效响应处理。</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.5 未按</w:t>
      </w:r>
      <w:r>
        <w:rPr>
          <w:rFonts w:hint="eastAsia" w:hAnsi="宋体" w:eastAsia="宋体" w:cs="宋体"/>
          <w:color w:val="auto"/>
          <w:sz w:val="24"/>
          <w:szCs w:val="24"/>
          <w:highlight w:val="none"/>
          <w:lang w:eastAsia="zh-CN"/>
        </w:rPr>
        <w:t>要求</w:t>
      </w:r>
      <w:r>
        <w:rPr>
          <w:rFonts w:hint="eastAsia" w:hAnsi="宋体" w:eastAsia="宋体" w:cs="宋体"/>
          <w:color w:val="auto"/>
          <w:sz w:val="24"/>
          <w:szCs w:val="24"/>
          <w:highlight w:val="none"/>
        </w:rPr>
        <w:t>提交谈判保证金的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，将被视为无效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 xml:space="preserve">.6 </w:t>
      </w:r>
      <w:r>
        <w:rPr>
          <w:rFonts w:hint="eastAsia" w:hAnsi="宋体" w:eastAsia="宋体" w:cs="宋体"/>
          <w:color w:val="auto"/>
          <w:sz w:val="24"/>
          <w:szCs w:val="24"/>
          <w:highlight w:val="none"/>
          <w:lang w:eastAsia="zh-CN"/>
        </w:rPr>
        <w:t>采购代理机构将在成交通知书发出之日起5个工作日内予以原额无息退还未成交供应商的谈判保证金。采购代理机构逾期未退还谈判保证金的，采购代理机构除应当退还谈判保证金本金外，还应当按商业银行同期一年期贷款基准利率上浮20%后的利率向报价人支付资金占用费</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.7</w:t>
      </w:r>
      <w:r>
        <w:rPr>
          <w:rFonts w:hint="eastAsia" w:hAnsi="宋体" w:eastAsia="宋体" w:cs="宋体"/>
          <w:color w:val="auto"/>
          <w:sz w:val="24"/>
          <w:szCs w:val="24"/>
          <w:highlight w:val="none"/>
          <w:lang w:eastAsia="zh-CN"/>
        </w:rPr>
        <w:t>在</w:t>
      </w:r>
      <w:r>
        <w:rPr>
          <w:rFonts w:hint="eastAsia" w:hAnsi="宋体" w:eastAsia="宋体" w:cs="宋体"/>
          <w:color w:val="auto"/>
          <w:sz w:val="24"/>
          <w:szCs w:val="24"/>
          <w:highlight w:val="none"/>
        </w:rPr>
        <w:t>成交供应商</w:t>
      </w:r>
      <w:r>
        <w:rPr>
          <w:rFonts w:hint="eastAsia" w:hAnsi="宋体" w:eastAsia="宋体" w:cs="宋体"/>
          <w:color w:val="auto"/>
          <w:sz w:val="24"/>
          <w:szCs w:val="24"/>
          <w:highlight w:val="none"/>
          <w:lang w:eastAsia="zh-CN"/>
        </w:rPr>
        <w:t>支付所有代理服务费并签订合同后5个工作日内，采购代理机构对成交供应商的谈判保证金予以原额无息退还</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12.8谈判保证金产生的银行利息统一上缴。</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 xml:space="preserve"> 发生以下情况</w:t>
      </w:r>
      <w:r>
        <w:rPr>
          <w:rFonts w:hint="eastAsia" w:hAnsi="宋体" w:eastAsia="宋体" w:cs="宋体"/>
          <w:color w:val="auto"/>
          <w:sz w:val="24"/>
          <w:szCs w:val="24"/>
          <w:highlight w:val="none"/>
          <w:lang w:eastAsia="zh-CN"/>
        </w:rPr>
        <w:t>之一的，</w:t>
      </w:r>
      <w:r>
        <w:rPr>
          <w:rFonts w:hint="eastAsia" w:hAnsi="宋体" w:eastAsia="宋体" w:cs="宋体"/>
          <w:color w:val="auto"/>
          <w:sz w:val="24"/>
          <w:szCs w:val="24"/>
          <w:highlight w:val="none"/>
        </w:rPr>
        <w:t>谈判保证金将</w:t>
      </w:r>
      <w:r>
        <w:rPr>
          <w:rFonts w:hint="eastAsia" w:hAnsi="宋体" w:eastAsia="宋体" w:cs="宋体"/>
          <w:color w:val="auto"/>
          <w:sz w:val="24"/>
          <w:szCs w:val="24"/>
          <w:highlight w:val="none"/>
          <w:lang w:eastAsia="zh-CN"/>
        </w:rPr>
        <w:t>不予退还，由采购代理机构上缴财政部门：</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（1）报价人在提交最后报价后，撤回谈判响应；</w:t>
      </w:r>
    </w:p>
    <w:p>
      <w:pPr>
        <w:pStyle w:val="8"/>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除因不可抗力或采购文件认可的情形外，</w:t>
      </w:r>
      <w:r>
        <w:rPr>
          <w:rFonts w:hint="eastAsia" w:hAnsi="宋体" w:eastAsia="宋体" w:cs="宋体"/>
          <w:color w:val="auto"/>
          <w:sz w:val="24"/>
          <w:szCs w:val="24"/>
          <w:highlight w:val="none"/>
        </w:rPr>
        <w:t>成交供应商未能做到按本须知规定签订合同</w:t>
      </w:r>
      <w:r>
        <w:rPr>
          <w:rFonts w:hint="eastAsia" w:hAnsi="宋体" w:eastAsia="宋体" w:cs="宋体"/>
          <w:color w:val="auto"/>
          <w:sz w:val="24"/>
          <w:szCs w:val="24"/>
          <w:highlight w:val="none"/>
          <w:lang w:eastAsia="zh-CN"/>
        </w:rPr>
        <w:t>的</w:t>
      </w:r>
      <w:r>
        <w:rPr>
          <w:rFonts w:hint="eastAsia" w:hAnsi="宋体" w:eastAsia="宋体" w:cs="宋体"/>
          <w:color w:val="auto"/>
          <w:sz w:val="24"/>
          <w:szCs w:val="24"/>
          <w:highlight w:val="none"/>
        </w:rPr>
        <w:t>；</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（3）成交供应商未按</w:t>
      </w:r>
      <w:r>
        <w:rPr>
          <w:rFonts w:hint="eastAsia" w:hAnsi="宋体" w:eastAsia="宋体" w:cs="宋体"/>
          <w:color w:val="auto"/>
          <w:sz w:val="24"/>
          <w:szCs w:val="24"/>
          <w:highlight w:val="none"/>
          <w:lang w:eastAsia="zh-CN"/>
        </w:rPr>
        <w:t>本须知规定缴纳代理服务费；</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（4）以他人名义参与谈判响应或者以其他方式弄虚作假，骗取成交的；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（5）报价人在报价文件中提供虚假材料的；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（6）在禁止参加政府采购活动的处罚期内，仍参加政府采购活动的；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（7）以不正当手段诋毁、排挤其他报价人的；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（8）因本项目政府采购过程中的违法行为，受到行政处罚的；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（9）与采购人、其他报价人或者采购代理机构恶意串通的；</w:t>
      </w:r>
    </w:p>
    <w:p>
      <w:pPr>
        <w:pStyle w:val="8"/>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（10）法律、法规、规章及本采购文件中规定的其他没收谈判保证金的情形。</w:t>
      </w:r>
    </w:p>
    <w:p>
      <w:pPr>
        <w:pStyle w:val="8"/>
        <w:spacing w:line="360" w:lineRule="auto"/>
        <w:ind w:firstLine="840" w:firstLineChars="3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上述不予退还谈判保证金的情形给采购单位造成损失的，相关责任人还应当承担赔偿责任。</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13</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报价文件的格式</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13.</w:t>
      </w:r>
      <w:r>
        <w:rPr>
          <w:rFonts w:hint="eastAsia" w:hAnsi="宋体" w:eastAsia="宋体" w:cs="宋体"/>
          <w:color w:val="auto"/>
          <w:sz w:val="24"/>
          <w:szCs w:val="24"/>
          <w:highlight w:val="none"/>
        </w:rPr>
        <w:t>1报价人须编制由本须知第</w:t>
      </w: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条规定文件组成的报价文件正本一份，副本</w:t>
      </w:r>
      <w:r>
        <w:rPr>
          <w:rFonts w:hint="eastAsia" w:hAnsi="宋体" w:eastAsia="宋体" w:cs="宋体"/>
          <w:color w:val="auto"/>
          <w:sz w:val="24"/>
          <w:szCs w:val="24"/>
          <w:highlight w:val="none"/>
          <w:lang w:eastAsia="zh-CN"/>
        </w:rPr>
        <w:t>四</w:t>
      </w:r>
      <w:r>
        <w:rPr>
          <w:rFonts w:hint="eastAsia" w:hAnsi="宋体" w:eastAsia="宋体" w:cs="宋体"/>
          <w:color w:val="auto"/>
          <w:sz w:val="24"/>
          <w:szCs w:val="24"/>
          <w:highlight w:val="none"/>
        </w:rPr>
        <w:t>份</w:t>
      </w:r>
      <w:r>
        <w:rPr>
          <w:rFonts w:hint="eastAsia" w:hAnsi="宋体" w:eastAsia="宋体" w:cs="宋体"/>
          <w:color w:val="auto"/>
          <w:sz w:val="24"/>
          <w:szCs w:val="24"/>
          <w:highlight w:val="none"/>
          <w:lang w:eastAsia="zh-CN"/>
        </w:rPr>
        <w:t>，正本用A4等标准幅面纸张打印装订，副本可使用正本的完整复印件，并在封面注明“正本”、“副本”字样。正本与副本如有不一致的，以正本为准</w:t>
      </w:r>
      <w:r>
        <w:rPr>
          <w:rFonts w:hint="eastAsia" w:hAnsi="宋体" w:eastAsia="宋体" w:cs="宋体"/>
          <w:color w:val="auto"/>
          <w:sz w:val="24"/>
          <w:szCs w:val="24"/>
          <w:highlight w:val="none"/>
        </w:rPr>
        <w:t>。</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.2报价文件应由报价人的法定代表人或授权代表签字并加盖公章</w:t>
      </w:r>
      <w:r>
        <w:rPr>
          <w:rFonts w:hint="eastAsia" w:hAnsi="宋体" w:eastAsia="宋体" w:cs="宋体"/>
          <w:color w:val="auto"/>
          <w:sz w:val="24"/>
          <w:szCs w:val="24"/>
          <w:highlight w:val="none"/>
          <w:lang w:eastAsia="zh-CN"/>
        </w:rPr>
        <w:t>，如由后者签字，应提供“单位授权委托书”。</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.3</w:t>
      </w:r>
      <w:r>
        <w:rPr>
          <w:rFonts w:hint="eastAsia" w:hAnsi="宋体" w:eastAsia="宋体" w:cs="宋体"/>
          <w:color w:val="auto"/>
          <w:sz w:val="24"/>
          <w:szCs w:val="24"/>
          <w:highlight w:val="none"/>
          <w:lang w:eastAsia="zh-CN"/>
        </w:rPr>
        <w:t>除非另有规定或许可，谈判响应使用货币为人民币。</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.4报价人应提交证明其拟供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符合采购文件要求的技术报价文件，该文件可以是文字资料、图纸和数据，并须提供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主要技术性能的详细描述。</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13.5采购文件的正本和全部副本均应使用不能擦去的墨料或墨水打印、书写或复印，并由法定代表人或授权代表签署，盖报价人公章。</w:t>
      </w:r>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47" w:name="_Toc1448353279"/>
      <w:bookmarkStart w:id="48" w:name="_Toc7313"/>
      <w:bookmarkStart w:id="49" w:name="_Toc24175"/>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6</w:t>
      </w:r>
      <w:r>
        <w:rPr>
          <w:rFonts w:hint="eastAsia" w:hAnsi="宋体" w:eastAsia="宋体" w:cs="宋体"/>
          <w:color w:val="auto"/>
          <w:sz w:val="24"/>
          <w:szCs w:val="24"/>
          <w:highlight w:val="none"/>
        </w:rPr>
        <w:t xml:space="preserve"> 全套报价文件应无涂改和行间插字，除非这些改动是根据采购代理机构的指示进行的，或者是为改正报价人造成的必须修改的错误而进行的。有改动时，修改处应由</w:t>
      </w:r>
      <w:r>
        <w:rPr>
          <w:rFonts w:hint="eastAsia" w:hAnsi="宋体" w:eastAsia="宋体" w:cs="宋体"/>
          <w:color w:val="auto"/>
          <w:sz w:val="24"/>
          <w:szCs w:val="24"/>
          <w:highlight w:val="none"/>
          <w:lang w:eastAsia="zh-CN"/>
        </w:rPr>
        <w:t>法定代表人或</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lang w:eastAsia="zh-CN"/>
        </w:rPr>
        <w:t>代表签字证明或加盖报价人公章</w:t>
      </w:r>
      <w:r>
        <w:rPr>
          <w:rFonts w:hint="eastAsia" w:hAnsi="宋体" w:eastAsia="宋体" w:cs="宋体"/>
          <w:color w:val="auto"/>
          <w:sz w:val="24"/>
          <w:szCs w:val="24"/>
          <w:highlight w:val="none"/>
        </w:rPr>
        <w:t>。</w:t>
      </w:r>
      <w:bookmarkEnd w:id="47"/>
      <w:bookmarkEnd w:id="48"/>
      <w:bookmarkEnd w:id="49"/>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50" w:name="_Toc31892"/>
      <w:bookmarkStart w:id="51" w:name="_Toc1890643346"/>
      <w:bookmarkStart w:id="52" w:name="_Toc31534"/>
      <w:r>
        <w:rPr>
          <w:rFonts w:hint="eastAsia" w:hAnsi="宋体" w:eastAsia="宋体" w:cs="宋体"/>
          <w:color w:val="auto"/>
          <w:sz w:val="24"/>
          <w:szCs w:val="24"/>
          <w:highlight w:val="none"/>
          <w:lang w:eastAsia="zh-CN"/>
        </w:rPr>
        <w:t>13.7未按本须知规定的格式填写报价文件、报价文件字迹模糊不清的，其谈判响应将被拒绝。</w:t>
      </w:r>
      <w:bookmarkEnd w:id="50"/>
      <w:bookmarkEnd w:id="51"/>
      <w:bookmarkEnd w:id="52"/>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53" w:name="_Toc5514"/>
      <w:bookmarkStart w:id="54" w:name="_Toc1726640312"/>
      <w:bookmarkStart w:id="55" w:name="_Toc2256"/>
      <w:r>
        <w:rPr>
          <w:rFonts w:hint="eastAsia" w:hAnsi="宋体" w:eastAsia="宋体" w:cs="宋体"/>
          <w:color w:val="auto"/>
          <w:sz w:val="24"/>
          <w:szCs w:val="24"/>
          <w:highlight w:val="none"/>
          <w:lang w:eastAsia="zh-CN"/>
        </w:rPr>
        <w:t>13.8 所有资格证明文件复印件须加盖报价人公章。</w:t>
      </w:r>
      <w:bookmarkEnd w:id="53"/>
      <w:bookmarkEnd w:id="54"/>
      <w:bookmarkEnd w:id="55"/>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56" w:name="_Toc2854"/>
      <w:bookmarkStart w:id="57" w:name="_Toc373937279"/>
      <w:bookmarkStart w:id="58" w:name="_Toc21994"/>
      <w:r>
        <w:rPr>
          <w:rFonts w:hint="eastAsia" w:hAnsi="宋体" w:eastAsia="宋体" w:cs="宋体"/>
          <w:color w:val="auto"/>
          <w:sz w:val="24"/>
          <w:szCs w:val="24"/>
          <w:highlight w:val="none"/>
          <w:lang w:eastAsia="zh-CN"/>
        </w:rPr>
        <w:t>13.9报价人</w:t>
      </w:r>
      <w:r>
        <w:rPr>
          <w:rFonts w:hint="eastAsia" w:hAnsi="宋体" w:eastAsia="宋体" w:cs="宋体"/>
          <w:color w:val="auto"/>
          <w:sz w:val="24"/>
          <w:szCs w:val="24"/>
          <w:highlight w:val="none"/>
        </w:rPr>
        <w:t>应将上述文件按顺序</w:t>
      </w:r>
      <w:r>
        <w:rPr>
          <w:rFonts w:hint="eastAsia" w:hAnsi="宋体" w:eastAsia="宋体" w:cs="宋体"/>
          <w:color w:val="auto"/>
          <w:sz w:val="24"/>
          <w:szCs w:val="24"/>
          <w:highlight w:val="none"/>
          <w:lang w:eastAsia="zh-CN"/>
        </w:rPr>
        <w:t>装订</w:t>
      </w:r>
      <w:r>
        <w:rPr>
          <w:rFonts w:hint="eastAsia" w:hAnsi="宋体" w:eastAsia="宋体" w:cs="宋体"/>
          <w:color w:val="auto"/>
          <w:sz w:val="24"/>
          <w:szCs w:val="24"/>
          <w:highlight w:val="none"/>
        </w:rPr>
        <w:t>成册、打印页码，并编列</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目录、资料清单，由于装订不规范或编排顺序混乱而导致</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被误读或漏读，该</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可能被视为无效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或承担不利的评</w:t>
      </w:r>
      <w:r>
        <w:rPr>
          <w:rFonts w:hint="eastAsia" w:hAnsi="宋体" w:eastAsia="宋体" w:cs="宋体"/>
          <w:color w:val="auto"/>
          <w:sz w:val="24"/>
          <w:szCs w:val="24"/>
          <w:highlight w:val="none"/>
          <w:lang w:eastAsia="zh-CN"/>
        </w:rPr>
        <w:t>审</w:t>
      </w:r>
      <w:r>
        <w:rPr>
          <w:rFonts w:hint="eastAsia" w:hAnsi="宋体" w:eastAsia="宋体" w:cs="宋体"/>
          <w:color w:val="auto"/>
          <w:sz w:val="24"/>
          <w:szCs w:val="24"/>
          <w:highlight w:val="none"/>
        </w:rPr>
        <w:t>结果。</w:t>
      </w:r>
      <w:bookmarkEnd w:id="56"/>
      <w:bookmarkEnd w:id="57"/>
      <w:bookmarkEnd w:id="58"/>
    </w:p>
    <w:p>
      <w:pPr>
        <w:pStyle w:val="61"/>
        <w:spacing w:line="360" w:lineRule="auto"/>
        <w:ind w:firstLine="643" w:firstLineChars="200"/>
        <w:jc w:val="center"/>
        <w:outlineLvl w:val="1"/>
        <w:rPr>
          <w:rFonts w:hint="eastAsia" w:hAnsi="宋体" w:eastAsia="宋体" w:cs="宋体"/>
          <w:b/>
          <w:color w:val="auto"/>
          <w:sz w:val="24"/>
          <w:szCs w:val="24"/>
          <w:highlight w:val="none"/>
          <w:lang w:eastAsia="zh-CN"/>
        </w:rPr>
      </w:pPr>
      <w:bookmarkStart w:id="59" w:name="_Toc30022"/>
      <w:bookmarkStart w:id="60" w:name="_Toc590937836"/>
      <w:bookmarkStart w:id="61" w:name="_Toc22736"/>
      <w:r>
        <w:rPr>
          <w:rFonts w:hint="eastAsia" w:hAnsi="宋体" w:eastAsia="宋体" w:cs="宋体"/>
          <w:b/>
          <w:color w:val="auto"/>
          <w:sz w:val="32"/>
          <w:szCs w:val="32"/>
          <w:highlight w:val="none"/>
          <w:lang w:eastAsia="zh-CN"/>
        </w:rPr>
        <w:t>四、报价文件的提交</w:t>
      </w:r>
      <w:bookmarkEnd w:id="59"/>
      <w:bookmarkEnd w:id="60"/>
      <w:bookmarkEnd w:id="61"/>
    </w:p>
    <w:p>
      <w:pPr>
        <w:pStyle w:val="61"/>
        <w:spacing w:line="360" w:lineRule="auto"/>
        <w:outlineLvl w:val="9"/>
        <w:rPr>
          <w:rFonts w:hint="eastAsia" w:hAnsi="宋体" w:eastAsia="宋体" w:cs="宋体"/>
          <w:b/>
          <w:color w:val="auto"/>
          <w:sz w:val="24"/>
          <w:szCs w:val="24"/>
          <w:highlight w:val="none"/>
          <w:lang w:eastAsia="zh-CN"/>
        </w:rPr>
      </w:pPr>
      <w:bookmarkStart w:id="62" w:name="_Toc1814837781"/>
      <w:bookmarkStart w:id="63" w:name="_Toc21639"/>
      <w:bookmarkStart w:id="64" w:name="_Toc2345"/>
      <w:r>
        <w:rPr>
          <w:rFonts w:hint="eastAsia" w:hAnsi="宋体" w:eastAsia="宋体" w:cs="宋体"/>
          <w:b/>
          <w:color w:val="auto"/>
          <w:sz w:val="24"/>
          <w:szCs w:val="24"/>
          <w:highlight w:val="none"/>
          <w:lang w:eastAsia="zh-CN"/>
        </w:rPr>
        <w:t>14.报价文件的密封、标记和递交</w:t>
      </w:r>
      <w:bookmarkEnd w:id="62"/>
      <w:bookmarkEnd w:id="63"/>
      <w:bookmarkEnd w:id="64"/>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65" w:name="_Toc9678"/>
      <w:bookmarkStart w:id="66" w:name="_Toc236473873"/>
      <w:bookmarkStart w:id="67" w:name="_Toc8883"/>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.1 报价人应将报价文件正本和副本分别用信封密封，并标明采购文件编号、</w:t>
      </w:r>
      <w:r>
        <w:rPr>
          <w:rFonts w:hint="eastAsia" w:hAnsi="宋体" w:eastAsia="宋体" w:cs="宋体"/>
          <w:color w:val="auto"/>
          <w:sz w:val="24"/>
          <w:szCs w:val="24"/>
          <w:highlight w:val="none"/>
          <w:lang w:eastAsia="zh-CN"/>
        </w:rPr>
        <w:t>报价人名称、</w:t>
      </w:r>
      <w:r>
        <w:rPr>
          <w:rFonts w:hint="eastAsia" w:hAnsi="宋体" w:eastAsia="宋体" w:cs="宋体"/>
          <w:color w:val="auto"/>
          <w:sz w:val="24"/>
          <w:szCs w:val="24"/>
          <w:highlight w:val="none"/>
        </w:rPr>
        <w:t>采购</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名称及</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正本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或</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副本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。报价文件未密封可导致</w:t>
      </w:r>
      <w:r>
        <w:rPr>
          <w:rFonts w:hint="eastAsia" w:hAnsi="宋体" w:eastAsia="宋体" w:cs="宋体"/>
          <w:color w:val="auto"/>
          <w:sz w:val="24"/>
          <w:szCs w:val="24"/>
          <w:highlight w:val="none"/>
          <w:lang w:eastAsia="zh-CN"/>
        </w:rPr>
        <w:t>其谈判被拒绝</w:t>
      </w:r>
      <w:r>
        <w:rPr>
          <w:rFonts w:hint="eastAsia" w:hAnsi="宋体" w:eastAsia="宋体" w:cs="宋体"/>
          <w:color w:val="auto"/>
          <w:sz w:val="24"/>
          <w:szCs w:val="24"/>
          <w:highlight w:val="none"/>
        </w:rPr>
        <w:t>。</w:t>
      </w:r>
      <w:bookmarkEnd w:id="65"/>
      <w:bookmarkEnd w:id="66"/>
      <w:bookmarkEnd w:id="67"/>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68" w:name="_Toc26093"/>
      <w:bookmarkStart w:id="69" w:name="_Toc995369213"/>
      <w:bookmarkStart w:id="70" w:name="_Toc31843"/>
      <w:r>
        <w:rPr>
          <w:rFonts w:hint="eastAsia" w:hAnsi="宋体" w:eastAsia="宋体" w:cs="宋体"/>
          <w:color w:val="auto"/>
          <w:sz w:val="24"/>
          <w:szCs w:val="24"/>
          <w:highlight w:val="none"/>
          <w:lang w:eastAsia="zh-CN"/>
        </w:rPr>
        <w:t>14.2每一信封密封处应注明“于</w:t>
      </w:r>
      <w:r>
        <w:rPr>
          <w:rFonts w:hint="eastAsia" w:hAnsi="宋体" w:eastAsia="宋体" w:cs="宋体"/>
          <w:color w:val="auto"/>
          <w:sz w:val="24"/>
          <w:szCs w:val="24"/>
          <w:highlight w:val="none"/>
          <w:u w:val="single"/>
          <w:lang w:eastAsia="zh-CN"/>
        </w:rPr>
        <w:t xml:space="preserve">         </w:t>
      </w:r>
      <w:r>
        <w:rPr>
          <w:rFonts w:hint="eastAsia" w:hAnsi="宋体" w:eastAsia="宋体" w:cs="宋体"/>
          <w:color w:val="auto"/>
          <w:sz w:val="24"/>
          <w:szCs w:val="24"/>
          <w:highlight w:val="none"/>
          <w:lang w:eastAsia="zh-CN"/>
        </w:rPr>
        <w:t>之前（指谈判邀请中规定的谈判日期及时间）不准启封”的字样，并加盖报价人公章或由谈判代表签字。</w:t>
      </w:r>
      <w:bookmarkEnd w:id="68"/>
      <w:bookmarkEnd w:id="69"/>
      <w:bookmarkEnd w:id="70"/>
      <w:r>
        <w:rPr>
          <w:rFonts w:hint="eastAsia" w:hAnsi="宋体" w:eastAsia="宋体" w:cs="宋体"/>
          <w:color w:val="auto"/>
          <w:sz w:val="24"/>
          <w:szCs w:val="24"/>
          <w:highlight w:val="none"/>
          <w:lang w:eastAsia="zh-CN"/>
        </w:rPr>
        <w:t xml:space="preserve">     </w:t>
      </w:r>
    </w:p>
    <w:p>
      <w:pPr>
        <w:pStyle w:val="61"/>
        <w:spacing w:line="360" w:lineRule="auto"/>
        <w:ind w:firstLine="480" w:firstLineChars="200"/>
        <w:outlineLvl w:val="9"/>
        <w:rPr>
          <w:rFonts w:hint="eastAsia" w:hAnsi="宋体" w:eastAsia="宋体" w:cs="宋体"/>
          <w:color w:val="auto"/>
          <w:sz w:val="24"/>
          <w:szCs w:val="24"/>
          <w:highlight w:val="none"/>
        </w:rPr>
      </w:pPr>
      <w:bookmarkStart w:id="71" w:name="_Toc534171004"/>
      <w:bookmarkStart w:id="72" w:name="_Toc32245"/>
      <w:bookmarkStart w:id="73" w:name="_Toc4808"/>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 xml:space="preserve"> 如报价文件由邮局或专人送交，报价人应将报价文件按</w:t>
      </w:r>
      <w:r>
        <w:rPr>
          <w:rFonts w:hint="eastAsia" w:hAnsi="宋体" w:eastAsia="宋体" w:cs="宋体"/>
          <w:color w:val="auto"/>
          <w:sz w:val="24"/>
          <w:szCs w:val="24"/>
          <w:highlight w:val="none"/>
          <w:lang w:eastAsia="zh-CN"/>
        </w:rPr>
        <w:t>第14.1条至14.2条</w:t>
      </w:r>
      <w:r>
        <w:rPr>
          <w:rFonts w:hint="eastAsia" w:hAnsi="宋体" w:eastAsia="宋体" w:cs="宋体"/>
          <w:color w:val="auto"/>
          <w:sz w:val="24"/>
          <w:szCs w:val="24"/>
          <w:highlight w:val="none"/>
        </w:rPr>
        <w:t>中的规定进行密封和标记后，按</w:t>
      </w:r>
      <w:r>
        <w:rPr>
          <w:rFonts w:hint="eastAsia" w:hAnsi="宋体" w:eastAsia="宋体" w:cs="宋体"/>
          <w:color w:val="auto"/>
          <w:sz w:val="24"/>
          <w:szCs w:val="24"/>
          <w:highlight w:val="none"/>
          <w:lang w:eastAsia="zh-CN"/>
        </w:rPr>
        <w:t>谈判邀请函</w:t>
      </w:r>
      <w:r>
        <w:rPr>
          <w:rFonts w:hint="eastAsia" w:hAnsi="宋体" w:eastAsia="宋体" w:cs="宋体"/>
          <w:color w:val="auto"/>
          <w:sz w:val="24"/>
          <w:szCs w:val="24"/>
          <w:highlight w:val="none"/>
        </w:rPr>
        <w:t>注明的地址送至</w:t>
      </w:r>
      <w:r>
        <w:rPr>
          <w:rFonts w:hint="eastAsia" w:hAnsi="宋体" w:eastAsia="宋体" w:cs="宋体"/>
          <w:color w:val="auto"/>
          <w:sz w:val="24"/>
          <w:szCs w:val="24"/>
          <w:highlight w:val="none"/>
          <w:lang w:eastAsia="zh-CN"/>
        </w:rPr>
        <w:t>接收人</w:t>
      </w:r>
      <w:r>
        <w:rPr>
          <w:rFonts w:hint="eastAsia" w:hAnsi="宋体" w:eastAsia="宋体" w:cs="宋体"/>
          <w:color w:val="auto"/>
          <w:sz w:val="24"/>
          <w:szCs w:val="24"/>
          <w:highlight w:val="none"/>
        </w:rPr>
        <w:t>。</w:t>
      </w:r>
      <w:bookmarkEnd w:id="71"/>
      <w:bookmarkEnd w:id="72"/>
      <w:bookmarkEnd w:id="73"/>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4.4</w:t>
      </w:r>
      <w:r>
        <w:rPr>
          <w:rFonts w:hint="eastAsia" w:hAnsi="宋体" w:eastAsia="宋体" w:cs="宋体"/>
          <w:color w:val="auto"/>
          <w:sz w:val="24"/>
          <w:szCs w:val="24"/>
          <w:highlight w:val="none"/>
        </w:rPr>
        <w:t xml:space="preserve"> 如果未按上述规定进行密封和标记，采购代理机构</w:t>
      </w:r>
      <w:r>
        <w:rPr>
          <w:rFonts w:hint="eastAsia" w:hAnsi="宋体" w:eastAsia="宋体" w:cs="宋体"/>
          <w:color w:val="auto"/>
          <w:sz w:val="24"/>
          <w:szCs w:val="24"/>
          <w:highlight w:val="none"/>
          <w:lang w:eastAsia="zh-CN"/>
        </w:rPr>
        <w:t>将不承担由此造成的对报价文件的误投或提前拆封的责任。</w:t>
      </w:r>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74" w:name="_Toc1537333656"/>
      <w:bookmarkStart w:id="75" w:name="_Toc4074"/>
      <w:bookmarkStart w:id="76" w:name="_Toc25119"/>
      <w:r>
        <w:rPr>
          <w:rFonts w:hint="eastAsia" w:hAnsi="宋体" w:eastAsia="宋体" w:cs="宋体"/>
          <w:color w:val="auto"/>
          <w:sz w:val="24"/>
          <w:szCs w:val="24"/>
          <w:highlight w:val="none"/>
          <w:lang w:eastAsia="zh-CN"/>
        </w:rPr>
        <w:t>14.5</w:t>
      </w:r>
      <w:r>
        <w:rPr>
          <w:rFonts w:hint="eastAsia" w:hAnsi="宋体" w:eastAsia="宋体" w:cs="宋体"/>
          <w:color w:val="auto"/>
          <w:sz w:val="24"/>
          <w:szCs w:val="24"/>
          <w:highlight w:val="none"/>
        </w:rPr>
        <w:t>报价文件应在</w:t>
      </w:r>
      <w:r>
        <w:rPr>
          <w:rFonts w:hint="eastAsia" w:hAnsi="宋体" w:eastAsia="宋体" w:cs="宋体"/>
          <w:color w:val="auto"/>
          <w:sz w:val="24"/>
          <w:szCs w:val="24"/>
          <w:highlight w:val="none"/>
          <w:lang w:eastAsia="zh-CN"/>
        </w:rPr>
        <w:t>谈判邀请</w:t>
      </w:r>
      <w:r>
        <w:rPr>
          <w:rFonts w:hint="eastAsia" w:hAnsi="宋体" w:eastAsia="宋体" w:cs="宋体"/>
          <w:color w:val="auto"/>
          <w:sz w:val="24"/>
          <w:szCs w:val="24"/>
          <w:highlight w:val="none"/>
        </w:rPr>
        <w:t>中规定的截止时间前送达，迟到的报价文件</w:t>
      </w:r>
      <w:r>
        <w:rPr>
          <w:rFonts w:hint="eastAsia" w:hAnsi="宋体" w:eastAsia="宋体" w:cs="宋体"/>
          <w:color w:val="auto"/>
          <w:sz w:val="24"/>
          <w:szCs w:val="24"/>
          <w:highlight w:val="none"/>
          <w:lang w:eastAsia="zh-CN"/>
        </w:rPr>
        <w:t>为无效报价文件，</w:t>
      </w:r>
      <w:r>
        <w:rPr>
          <w:rFonts w:hint="eastAsia" w:hAnsi="宋体" w:eastAsia="宋体" w:cs="宋体"/>
          <w:color w:val="auto"/>
          <w:sz w:val="24"/>
          <w:szCs w:val="24"/>
          <w:highlight w:val="none"/>
        </w:rPr>
        <w:t>将被拒绝。</w:t>
      </w:r>
      <w:bookmarkEnd w:id="74"/>
      <w:bookmarkEnd w:id="75"/>
      <w:bookmarkEnd w:id="76"/>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77" w:name="_Toc22970"/>
      <w:bookmarkStart w:id="78" w:name="_Toc3664"/>
      <w:bookmarkStart w:id="79" w:name="_Toc720958764"/>
      <w:r>
        <w:rPr>
          <w:rFonts w:hint="eastAsia" w:hAnsi="宋体" w:eastAsia="宋体" w:cs="宋体"/>
          <w:color w:val="auto"/>
          <w:sz w:val="24"/>
          <w:szCs w:val="24"/>
          <w:highlight w:val="none"/>
          <w:lang w:eastAsia="zh-CN"/>
        </w:rPr>
        <w:t>14.6报价人在谈判响应截止时间前，可以对所提交的采购文件进行修改或者撤回，并书面通知采购代理机构。修改的内容和撤回通知应当按本须知要求签署、盖章、密封，并作为报价文件的组成部分。</w:t>
      </w:r>
      <w:bookmarkEnd w:id="77"/>
      <w:bookmarkEnd w:id="78"/>
      <w:bookmarkEnd w:id="79"/>
    </w:p>
    <w:p>
      <w:pPr>
        <w:pStyle w:val="61"/>
        <w:spacing w:line="360" w:lineRule="auto"/>
        <w:ind w:firstLine="480" w:firstLineChars="200"/>
        <w:outlineLvl w:val="9"/>
        <w:rPr>
          <w:rFonts w:hint="eastAsia" w:hAnsi="宋体" w:eastAsia="宋体" w:cs="宋体"/>
          <w:color w:val="auto"/>
          <w:sz w:val="24"/>
          <w:szCs w:val="24"/>
          <w:highlight w:val="none"/>
          <w:lang w:eastAsia="zh-CN"/>
        </w:rPr>
      </w:pPr>
      <w:bookmarkStart w:id="80" w:name="_Toc2050982325"/>
      <w:bookmarkStart w:id="81" w:name="_Toc28412"/>
      <w:bookmarkStart w:id="82" w:name="_Toc10874"/>
      <w:r>
        <w:rPr>
          <w:rFonts w:hint="eastAsia" w:hAnsi="宋体" w:eastAsia="宋体" w:cs="宋体"/>
          <w:color w:val="auto"/>
          <w:sz w:val="24"/>
          <w:szCs w:val="24"/>
          <w:highlight w:val="none"/>
          <w:lang w:eastAsia="zh-CN"/>
        </w:rPr>
        <w:t>14.7报价人在谈判响应截止期后不得修改、撤回报价文件。报价人在报价截止期后修改报价文件的，其谈判响应将被拒绝。</w:t>
      </w:r>
      <w:bookmarkEnd w:id="80"/>
      <w:bookmarkEnd w:id="81"/>
      <w:bookmarkEnd w:id="82"/>
    </w:p>
    <w:p>
      <w:pPr>
        <w:pStyle w:val="9"/>
        <w:spacing w:line="36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 xml:space="preserve">    14.8在竞争性谈判中，对采购文件作出实质响应的报价人不足3家的，本次采购活动终止，采购代理机构将就该项目重新发布公告或发出邀请。如</w:t>
      </w:r>
      <w:r>
        <w:rPr>
          <w:rFonts w:hint="eastAsia" w:ascii="宋体" w:hAnsi="宋体" w:eastAsia="宋体" w:cs="宋体"/>
          <w:color w:val="auto"/>
          <w:kern w:val="0"/>
          <w:sz w:val="24"/>
          <w:szCs w:val="24"/>
          <w:highlight w:val="none"/>
          <w:lang w:eastAsia="zh-CN"/>
        </w:rPr>
        <w:t>经</w:t>
      </w:r>
      <w:r>
        <w:rPr>
          <w:rFonts w:hint="eastAsia" w:ascii="宋体" w:hAnsi="宋体" w:eastAsia="宋体" w:cs="宋体"/>
          <w:color w:val="auto"/>
          <w:sz w:val="24"/>
          <w:szCs w:val="24"/>
          <w:highlight w:val="none"/>
          <w:lang w:eastAsia="zh-CN"/>
        </w:rPr>
        <w:t>再次公告或邀请</w:t>
      </w:r>
      <w:r>
        <w:rPr>
          <w:rFonts w:hint="eastAsia" w:ascii="宋体" w:hAnsi="宋体" w:eastAsia="宋体" w:cs="宋体"/>
          <w:color w:val="auto"/>
          <w:kern w:val="0"/>
          <w:sz w:val="24"/>
          <w:szCs w:val="24"/>
          <w:highlight w:val="none"/>
          <w:lang w:eastAsia="zh-CN"/>
        </w:rPr>
        <w:t>补充后，对采购文件作出实质响应的报价人只有两家的，谈判小组可以与两家报价人进行谈判；只有1家的，可以采取单一来源方式采购。</w:t>
      </w:r>
    </w:p>
    <w:p>
      <w:pPr>
        <w:pStyle w:val="61"/>
        <w:spacing w:line="360" w:lineRule="auto"/>
        <w:ind w:firstLine="480" w:firstLineChars="200"/>
        <w:outlineLvl w:val="9"/>
        <w:rPr>
          <w:rFonts w:hint="eastAsia" w:hAnsi="宋体" w:eastAsia="宋体" w:cs="宋体"/>
          <w:color w:val="auto"/>
          <w:sz w:val="24"/>
          <w:szCs w:val="24"/>
          <w:highlight w:val="none"/>
          <w:lang w:eastAsia="zh-CN"/>
        </w:rPr>
      </w:pPr>
    </w:p>
    <w:p>
      <w:pPr>
        <w:pStyle w:val="61"/>
        <w:spacing w:line="360" w:lineRule="auto"/>
        <w:ind w:firstLine="643" w:firstLineChars="200"/>
        <w:jc w:val="center"/>
        <w:outlineLvl w:val="1"/>
        <w:rPr>
          <w:rFonts w:hint="eastAsia" w:hAnsi="宋体" w:eastAsia="宋体" w:cs="宋体"/>
          <w:b/>
          <w:color w:val="auto"/>
          <w:sz w:val="24"/>
          <w:szCs w:val="24"/>
          <w:highlight w:val="none"/>
          <w:lang w:eastAsia="zh-CN"/>
        </w:rPr>
      </w:pPr>
      <w:bookmarkStart w:id="83" w:name="_Toc6194"/>
      <w:bookmarkStart w:id="84" w:name="_Toc2100447049"/>
      <w:bookmarkStart w:id="85" w:name="_Toc3921"/>
      <w:r>
        <w:rPr>
          <w:rFonts w:hint="eastAsia" w:hAnsi="宋体" w:eastAsia="宋体" w:cs="宋体"/>
          <w:b/>
          <w:color w:val="auto"/>
          <w:sz w:val="32"/>
          <w:szCs w:val="32"/>
          <w:highlight w:val="none"/>
          <w:lang w:eastAsia="zh-CN"/>
        </w:rPr>
        <w:t>五、报价文件的评估和比较</w:t>
      </w:r>
      <w:bookmarkEnd w:id="83"/>
      <w:bookmarkEnd w:id="84"/>
      <w:bookmarkEnd w:id="85"/>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15.谈判时间</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b/>
          <w:color w:val="auto"/>
          <w:sz w:val="24"/>
          <w:szCs w:val="24"/>
          <w:highlight w:val="none"/>
          <w:lang w:eastAsia="zh-CN"/>
        </w:rPr>
        <w:t xml:space="preserve">   </w:t>
      </w:r>
      <w:r>
        <w:rPr>
          <w:rFonts w:hint="eastAsia" w:hAnsi="宋体" w:eastAsia="宋体" w:cs="宋体"/>
          <w:color w:val="auto"/>
          <w:sz w:val="24"/>
          <w:szCs w:val="24"/>
          <w:highlight w:val="none"/>
          <w:lang w:eastAsia="zh-CN"/>
        </w:rPr>
        <w:t xml:space="preserve"> 15.1在报价人须知前附表中所规定的时间、地点谈判（如有推迟情形，以推迟后的时间、地点为准）。</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15.2谈判由采购代理机构主持，邀请采购人、报价人和有关方面代表参加。报价人一般应派授权代表参加谈判，并办理签到手续。</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16.</w:t>
      </w:r>
      <w:r>
        <w:rPr>
          <w:rFonts w:hint="eastAsia" w:hAnsi="宋体" w:eastAsia="宋体" w:cs="宋体"/>
          <w:b/>
          <w:color w:val="auto"/>
          <w:sz w:val="24"/>
          <w:szCs w:val="24"/>
          <w:highlight w:val="none"/>
        </w:rPr>
        <w:t>谈判</w:t>
      </w:r>
      <w:r>
        <w:rPr>
          <w:rFonts w:hint="eastAsia" w:hAnsi="宋体" w:eastAsia="宋体" w:cs="宋体"/>
          <w:b/>
          <w:color w:val="auto"/>
          <w:sz w:val="24"/>
          <w:szCs w:val="24"/>
          <w:highlight w:val="none"/>
          <w:lang w:eastAsia="zh-CN"/>
        </w:rPr>
        <w:t>小组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16.2达到公开招标数额标准的者服务采购项目，或者达到招标规模标准的政府采购工程，谈判小组应当由5人以上单数组成。</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有关报价文件的审查、澄清、评估和比较以及推荐成交候选人的一切情况都不得透露给任一报价人或与上诉谈判工作无关的人员。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17.1谈判小组将对报价文件进行审查，以确定报价文件是否完整、有无计算上的错误、是否提交了谈判保证金、文件是否已正确签署。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17.4</w:t>
      </w:r>
      <w:r>
        <w:rPr>
          <w:rFonts w:hint="eastAsia" w:hAnsi="宋体" w:eastAsia="宋体" w:cs="宋体"/>
          <w:color w:val="auto"/>
          <w:sz w:val="24"/>
          <w:szCs w:val="24"/>
          <w:highlight w:val="none"/>
        </w:rPr>
        <w:t>报价人提交的报价文件将给予保密，但不予退回。</w:t>
      </w:r>
    </w:p>
    <w:p>
      <w:pPr>
        <w:pStyle w:val="4"/>
        <w:snapToGrid w:val="0"/>
        <w:spacing w:line="360" w:lineRule="auto"/>
        <w:ind w:firstLine="480" w:firstLineChars="200"/>
        <w:outlineLvl w:val="9"/>
        <w:rPr>
          <w:rFonts w:hint="eastAsia" w:eastAsia="宋体" w:cs="宋体"/>
          <w:color w:val="auto"/>
          <w:sz w:val="24"/>
          <w:szCs w:val="24"/>
          <w:highlight w:val="none"/>
          <w:lang w:eastAsia="zh-CN"/>
        </w:rPr>
      </w:pPr>
      <w:r>
        <w:rPr>
          <w:rFonts w:hint="eastAsia" w:eastAsia="宋体" w:cs="宋体"/>
          <w:color w:val="auto"/>
          <w:sz w:val="24"/>
          <w:szCs w:val="24"/>
          <w:highlight w:val="none"/>
        </w:rPr>
        <w:t>17.5报价人资格和报价产品均必须满足中华人民共和国相关法律法规及行业的强制性要求，否则将作无效响应处理。</w:t>
      </w:r>
    </w:p>
    <w:p>
      <w:pPr>
        <w:pStyle w:val="4"/>
        <w:snapToGrid w:val="0"/>
        <w:spacing w:line="360" w:lineRule="auto"/>
        <w:ind w:firstLine="0"/>
        <w:outlineLvl w:val="9"/>
        <w:rPr>
          <w:rFonts w:hint="eastAsia" w:eastAsia="宋体" w:cs="宋体"/>
          <w:color w:val="auto"/>
          <w:sz w:val="24"/>
          <w:szCs w:val="24"/>
          <w:highlight w:val="none"/>
          <w:lang w:eastAsia="zh-CN"/>
        </w:rPr>
      </w:pPr>
      <w:r>
        <w:rPr>
          <w:rFonts w:hint="eastAsia" w:eastAsia="宋体" w:cs="宋体"/>
          <w:b/>
          <w:color w:val="auto"/>
          <w:sz w:val="24"/>
          <w:szCs w:val="24"/>
          <w:highlight w:val="none"/>
          <w:lang w:eastAsia="zh-CN"/>
        </w:rPr>
        <w:t>18.谈判相应文件的澄清</w:t>
      </w:r>
    </w:p>
    <w:p>
      <w:pPr>
        <w:pStyle w:val="4"/>
        <w:snapToGrid w:val="0"/>
        <w:spacing w:line="360" w:lineRule="auto"/>
        <w:ind w:firstLine="480" w:firstLineChars="200"/>
        <w:outlineLvl w:val="9"/>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19</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比较与评价</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pPr>
        <w:pStyle w:val="61"/>
        <w:spacing w:line="360" w:lineRule="auto"/>
        <w:jc w:val="center"/>
        <w:outlineLvl w:val="1"/>
        <w:rPr>
          <w:rFonts w:hint="eastAsia" w:hAnsi="宋体" w:eastAsia="宋体" w:cs="宋体"/>
          <w:b/>
          <w:color w:val="auto"/>
          <w:sz w:val="24"/>
          <w:szCs w:val="24"/>
          <w:highlight w:val="none"/>
        </w:rPr>
      </w:pPr>
      <w:bookmarkStart w:id="86" w:name="_Toc23309"/>
      <w:bookmarkStart w:id="87" w:name="_Toc9589"/>
      <w:bookmarkStart w:id="88" w:name="_Toc887035979"/>
      <w:r>
        <w:rPr>
          <w:rFonts w:hint="eastAsia" w:hAnsi="宋体" w:eastAsia="宋体" w:cs="宋体"/>
          <w:b/>
          <w:color w:val="auto"/>
          <w:sz w:val="32"/>
          <w:szCs w:val="32"/>
          <w:highlight w:val="none"/>
          <w:lang w:eastAsia="zh-CN"/>
        </w:rPr>
        <w:t>六、成交与签订</w:t>
      </w:r>
      <w:r>
        <w:rPr>
          <w:rFonts w:hint="eastAsia" w:hAnsi="宋体" w:eastAsia="宋体" w:cs="宋体"/>
          <w:b/>
          <w:color w:val="auto"/>
          <w:sz w:val="32"/>
          <w:szCs w:val="32"/>
          <w:highlight w:val="none"/>
        </w:rPr>
        <w:t>合同</w:t>
      </w:r>
      <w:bookmarkEnd w:id="86"/>
      <w:bookmarkEnd w:id="87"/>
      <w:bookmarkEnd w:id="88"/>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20.成交准则</w:t>
      </w:r>
    </w:p>
    <w:p>
      <w:pPr>
        <w:pStyle w:val="8"/>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20.1报价人的报价文件符合采购文件要求，按采购文件确定评审方法、标准，经谈判小组评审并推荐成交候选人。 </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21</w:t>
      </w:r>
      <w:r>
        <w:rPr>
          <w:rFonts w:hint="eastAsia" w:hAnsi="宋体" w:eastAsia="宋体" w:cs="宋体"/>
          <w:b/>
          <w:color w:val="auto"/>
          <w:sz w:val="24"/>
          <w:szCs w:val="24"/>
          <w:highlight w:val="none"/>
        </w:rPr>
        <w:t>.成交通知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谈判结束后，谈判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pPr>
        <w:pStyle w:val="8"/>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22.</w:t>
      </w:r>
      <w:r>
        <w:rPr>
          <w:rFonts w:hint="eastAsia" w:hAnsi="宋体" w:eastAsia="宋体" w:cs="宋体"/>
          <w:b/>
          <w:color w:val="auto"/>
          <w:sz w:val="24"/>
          <w:szCs w:val="24"/>
          <w:highlight w:val="none"/>
        </w:rPr>
        <w:t>签订合同</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8"/>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22.3采购人在合同履行中，需追加与合同标的相同的服务的，在不改变合同其他条款的前提下，可与供应商协商签订补充合同，但所有补充合同的采购金额不得超过原合同采购金额的10%。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采购合同的，采购人可以与排位在成交供应商之后第一位的成交备选供应商签订采购合同，以此类推。且在此情况下，作为成交供应商之后第一位的成交候选人应同意与采购人按不高于其最终报价签订采购合同。</w:t>
      </w:r>
    </w:p>
    <w:p>
      <w:pPr>
        <w:pStyle w:val="8"/>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23.代理服务费</w:t>
      </w:r>
    </w:p>
    <w:p>
      <w:pPr>
        <w:pStyle w:val="8"/>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w:t>
      </w:r>
      <w:r>
        <w:rPr>
          <w:rFonts w:hint="eastAsia" w:hAnsi="宋体" w:eastAsia="宋体" w:cs="宋体"/>
          <w:color w:val="auto"/>
          <w:sz w:val="24"/>
          <w:szCs w:val="24"/>
          <w:highlight w:val="none"/>
          <w:lang w:eastAsia="zh-CN"/>
        </w:rPr>
        <w:t>须知前附表</w:t>
      </w:r>
      <w:r>
        <w:rPr>
          <w:rFonts w:hint="eastAsia" w:hAnsi="宋体" w:eastAsia="宋体" w:cs="宋体"/>
          <w:color w:val="auto"/>
          <w:sz w:val="24"/>
          <w:szCs w:val="24"/>
          <w:highlight w:val="none"/>
        </w:rPr>
        <w:t>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b/>
          <w:bCs/>
          <w:color w:val="auto"/>
          <w:sz w:val="24"/>
          <w:szCs w:val="24"/>
          <w:highlight w:val="none"/>
        </w:rPr>
      </w:pPr>
    </w:p>
    <w:p>
      <w:pPr>
        <w:spacing w:line="240" w:lineRule="auto"/>
        <w:ind w:firstLine="0" w:firstLineChars="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360" w:lineRule="auto"/>
        <w:ind w:firstLine="2570" w:firstLineChars="800"/>
        <w:jc w:val="both"/>
        <w:outlineLvl w:val="0"/>
        <w:rPr>
          <w:rFonts w:hint="eastAsia" w:ascii="宋体" w:hAnsi="宋体" w:eastAsia="宋体" w:cs="宋体"/>
          <w:color w:val="auto"/>
          <w:sz w:val="24"/>
          <w:szCs w:val="24"/>
          <w:highlight w:val="none"/>
        </w:rPr>
      </w:pPr>
      <w:bookmarkStart w:id="89" w:name="_Toc1880561480"/>
      <w:bookmarkStart w:id="90" w:name="_Toc10921"/>
      <w:bookmarkStart w:id="91" w:name="_Toc785"/>
      <w:r>
        <w:rPr>
          <w:rFonts w:hint="eastAsia" w:ascii="宋体" w:hAnsi="宋体" w:eastAsia="宋体" w:cs="宋体"/>
          <w:b/>
          <w:bCs/>
          <w:color w:val="auto"/>
          <w:sz w:val="32"/>
          <w:szCs w:val="32"/>
          <w:highlight w:val="none"/>
        </w:rPr>
        <w:t>第三章  谈判内容及要求</w:t>
      </w:r>
      <w:bookmarkEnd w:id="89"/>
      <w:bookmarkEnd w:id="90"/>
      <w:bookmarkEnd w:id="91"/>
    </w:p>
    <w:p>
      <w:pPr>
        <w:spacing w:line="360" w:lineRule="auto"/>
        <w:outlineLvl w:val="1"/>
        <w:rPr>
          <w:rFonts w:hint="eastAsia" w:ascii="宋体" w:hAnsi="宋体" w:cs="宋体"/>
          <w:b/>
          <w:bCs/>
          <w:color w:val="auto"/>
          <w:sz w:val="24"/>
          <w:szCs w:val="24"/>
          <w:highlight w:val="none"/>
        </w:rPr>
      </w:pPr>
      <w:bookmarkStart w:id="92" w:name="_Toc32447"/>
      <w:bookmarkStart w:id="93" w:name="_Toc432356148"/>
      <w:r>
        <w:rPr>
          <w:rFonts w:hint="eastAsia" w:ascii="宋体" w:hAnsi="宋体" w:cs="宋体"/>
          <w:b/>
          <w:bCs/>
          <w:color w:val="auto"/>
          <w:sz w:val="24"/>
          <w:szCs w:val="24"/>
          <w:highlight w:val="none"/>
        </w:rPr>
        <w:t>一、检查对象</w:t>
      </w:r>
      <w:bookmarkEnd w:id="92"/>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w:t>
      </w:r>
      <w:r>
        <w:rPr>
          <w:rFonts w:hint="eastAsia" w:ascii="宋体" w:hAnsi="宋体" w:cs="宋体"/>
          <w:b w:val="0"/>
          <w:bCs w:val="0"/>
          <w:color w:val="auto"/>
          <w:sz w:val="24"/>
          <w:szCs w:val="24"/>
          <w:highlight w:val="none"/>
        </w:rPr>
        <w:t>厦门市5家港口客运企业、11个客运码头。厦门轮渡有限公司（厦门轮渡码头、鼓浪屿轮渡码头、三丘田码头、内厝澳码头、BRT第一码头、嵩屿码头、邮轮中心厦鼓码头）、厦门湾海上旅游客运有限公司（和平码头）、厦门轮总海上客运旅游有限公司（厦门旅游客运码头）、元翔（厦门）海岸有限公司（五通码头）、厦门和平码头有限公司（国际邮轮码头）。</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2、</w:t>
      </w:r>
      <w:r>
        <w:rPr>
          <w:rFonts w:hint="eastAsia" w:ascii="宋体" w:hAnsi="宋体" w:cs="宋体"/>
          <w:b w:val="0"/>
          <w:bCs w:val="0"/>
          <w:color w:val="auto"/>
          <w:sz w:val="24"/>
          <w:szCs w:val="24"/>
          <w:highlight w:val="none"/>
        </w:rPr>
        <w:t>厦门市6家水路客运企业、1个客船停靠站点。厦门市通顺海上运输有限公司、厦门金鹰之星旅游咨询有限公司、厦门盛德利旅游客运有限公司、厦门市顺航海上客运有限公司、厦门市信延海上旅游客运有限公司、厦门雅兴船艇有限公司（筼筜雅游码头）。</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3、</w:t>
      </w:r>
      <w:r>
        <w:rPr>
          <w:rFonts w:hint="eastAsia" w:ascii="宋体" w:hAnsi="宋体" w:cs="宋体"/>
          <w:b w:val="0"/>
          <w:bCs w:val="0"/>
          <w:color w:val="auto"/>
          <w:sz w:val="24"/>
          <w:szCs w:val="24"/>
          <w:highlight w:val="none"/>
        </w:rPr>
        <w:t>漳州市3家水路客运企业、3个客船停靠站点。漳州市欣瀚翔旅客运输有限公司、漳州浯屿岛文旅有限责任公司（浯屿码头），东山文旅海上旅游发展有限公司（铜陵码头、东门屿码头）。</w:t>
      </w:r>
    </w:p>
    <w:p>
      <w:pPr>
        <w:spacing w:line="360" w:lineRule="auto"/>
        <w:outlineLvl w:val="1"/>
        <w:rPr>
          <w:rFonts w:hint="eastAsia" w:ascii="宋体" w:hAnsi="宋体" w:cs="宋体"/>
          <w:b w:val="0"/>
          <w:bCs w:val="0"/>
          <w:color w:val="auto"/>
          <w:sz w:val="24"/>
          <w:szCs w:val="24"/>
          <w:highlight w:val="none"/>
        </w:rPr>
      </w:pPr>
      <w:bookmarkStart w:id="94" w:name="_Toc22378"/>
      <w:r>
        <w:rPr>
          <w:rFonts w:hint="eastAsia" w:ascii="宋体" w:hAnsi="宋体" w:cs="宋体"/>
          <w:b/>
          <w:bCs/>
          <w:color w:val="auto"/>
          <w:sz w:val="24"/>
          <w:szCs w:val="24"/>
          <w:highlight w:val="none"/>
        </w:rPr>
        <w:t>二、检查标准</w:t>
      </w:r>
      <w:bookmarkEnd w:id="94"/>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根据《安全生产法》《消防法》《国内水路运输管理规定》《港口经营管理规定》《客运码头安全管理基本要求》等法律法规标准，以及《厦门港安全生产治本攻坚三年行动方案（2024—2026年）》《厦门港消防安全治本攻坚三年行动方案（2024-2026年）》《厦门港水路运输行业安全生产治本攻坚三年行动方案（2024-2026年）》等文件通知要求。</w:t>
      </w:r>
    </w:p>
    <w:p>
      <w:pPr>
        <w:spacing w:line="360" w:lineRule="auto"/>
        <w:outlineLvl w:val="1"/>
        <w:rPr>
          <w:rFonts w:hint="eastAsia" w:ascii="宋体" w:hAnsi="宋体" w:cs="宋体"/>
          <w:b/>
          <w:bCs/>
          <w:color w:val="auto"/>
          <w:sz w:val="24"/>
          <w:szCs w:val="24"/>
          <w:highlight w:val="none"/>
        </w:rPr>
      </w:pPr>
      <w:bookmarkStart w:id="95" w:name="_Toc13714"/>
      <w:r>
        <w:rPr>
          <w:rFonts w:hint="eastAsia" w:ascii="宋体" w:hAnsi="宋体" w:cs="宋体"/>
          <w:b/>
          <w:bCs/>
          <w:color w:val="auto"/>
          <w:sz w:val="24"/>
          <w:szCs w:val="24"/>
          <w:highlight w:val="none"/>
        </w:rPr>
        <w:t>三、检查内容</w:t>
      </w:r>
      <w:bookmarkEnd w:id="95"/>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w:t>
      </w:r>
      <w:r>
        <w:rPr>
          <w:rFonts w:hint="eastAsia" w:ascii="宋体" w:hAnsi="宋体" w:cs="宋体"/>
          <w:b w:val="0"/>
          <w:bCs w:val="0"/>
          <w:color w:val="auto"/>
          <w:sz w:val="24"/>
          <w:szCs w:val="24"/>
          <w:highlight w:val="none"/>
        </w:rPr>
        <w:t>企业人员安全生产知识和管理能力情况。制定企业各安全岗位责任履职评价考核体系和评价标准，组织对企业主要负责人、安全生产管理人员安全生产知识和管理能力考核以及特种作业人员安全技术培训考核，将重大事故隐患排查整治有关要求作为培训考核的重要内容，检查“第一责任人”和各级安全管理人员、操作人员依法履职情况。检查企业安全生产教育培训台账，督促企业严格按法律规定落实企业各类从业人员安全生产教育培训要求，加强对外包外租等关联单位的安全生产指导、监督，将接受其作业指令的劳务派遣、灵活用工等人员纳入本单位安全生产管理体系，严格安全培训和管理。</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2、</w:t>
      </w:r>
      <w:r>
        <w:rPr>
          <w:rFonts w:hint="eastAsia" w:ascii="宋体" w:hAnsi="宋体" w:cs="宋体"/>
          <w:b w:val="0"/>
          <w:bCs w:val="0"/>
          <w:color w:val="auto"/>
          <w:sz w:val="24"/>
          <w:szCs w:val="24"/>
          <w:highlight w:val="none"/>
        </w:rPr>
        <w:t>企业安全管理制度建立完善及落实情况。检查企业安全管理制度、应急预案编制、安全操作规程、教育培训、安全责任保险、应急救援演练等安全管理台账，查看企业是否完善并落实企业全员安全生产岗位责任制（包含实习、劳务派遣人员），推动安全生产网格化管理、责任挂牌上墙。是否科学制定安全风险辨识程序和方法，定期组织专业力量和全体员工全方位、全过程辩识存在的风险，持续更新完善；按照有关标准规范对辨识出的安全风险进行分类、梳理、评估，加强动态分级学确定安全风险类别和等级；及时更新维护安全风险公告栏，确保每名员工都能掌握安全风险的基本情况及防范、应急措施；对存在重大安全风险的工作场所和岗位，要设置明显警示标志，并强化危险源监测和预警。制定符合企业实际的隐患排查治理清单，完善隐患排查、治理、记录、通报、报告等重点环节的程序、方法和标准，明确和细化隐患排查的事项、内容和频次，并将责任逐一分解落实，推动全员参与自主排查隐患；强化对存在重大风险的场所、环节、部位的隐患排查。是否将劳务派遣、灵活用工人员纳入港口企业从业人员统一管理，强化教育培训、考核及岗位责任制，严格持证上岗和规范作业。是否严格执行安全查危制度，落实禁止（限制）携带和禁止（限制）托运物品管理要求；严格按照标准规范要求开展船岸安全检查、加强旅客上、下船安全防护，不得超过核定载客人数航行；落实港口旅客实名制、滚装车辆和载运货物信息填报、查验等制度，按规定开展综合应急预案、专项应急预案、现场处置方案等救援演练情况（包括但不限于以上内容）。</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3、</w:t>
      </w:r>
      <w:r>
        <w:rPr>
          <w:rFonts w:hint="eastAsia" w:ascii="宋体" w:hAnsi="宋体" w:cs="宋体"/>
          <w:b w:val="0"/>
          <w:bCs w:val="0"/>
          <w:color w:val="auto"/>
          <w:sz w:val="24"/>
          <w:szCs w:val="24"/>
          <w:highlight w:val="none"/>
        </w:rPr>
        <w:t>企业安全设施设备配备及使用情况。对港口客运、水路客运以及客船停靠站点等涉及旅客安全的高危领域，检查企业是否按照国家法律法规标准和地方规定配齐配全各类安全设施设备，按照水上客运重大事故隐患判定指南、客运码头安全管理基本要求、客运码头安全管理指南等标准依据，排查企业安全硬件设施在使用管理上存在的问题隐患，指导企业健全完善“人防、物防、科技防”的安全体系。</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4、</w:t>
      </w:r>
      <w:r>
        <w:rPr>
          <w:rFonts w:hint="eastAsia" w:ascii="宋体" w:hAnsi="宋体" w:cs="宋体"/>
          <w:b w:val="0"/>
          <w:bCs w:val="0"/>
          <w:color w:val="auto"/>
          <w:sz w:val="24"/>
          <w:szCs w:val="24"/>
          <w:highlight w:val="none"/>
        </w:rPr>
        <w:t>企业消防安全责任制落实情况。是否按照《消防法》等法律规定，健全完善本企业消防安全管理制度，对照重点场所火灾风险防范指南和检查指引开展火灾风险隐患精准排查改，健全完善重大火灾隐患排查整改常态化机制，全面推行消防安全标准化管理，规范消控室及值班人员管理，认真开展火灾风险隐患精准排查，提升消防安全管理水平。是否落实违规动火作业、有限空间作业、聚氨酯等易燃材料、电动自行车等、打通消防生命通道工程等消防安全专项整治行动要求，排查违规使用易燃可燃外墙保温、违规使用易燃可燃材料装修装饰、占堵生命通道等突出问题。是否建立消防宣传教育培训队伍，实施“全责任链条”消防安全教育培训工作，推进全生命周期消防安全宣传教育培训攻坚行动，提升消防安全自主管理水平。评估企业消防救援和疏散演练实施情况，提出改进提升意见。</w:t>
      </w:r>
    </w:p>
    <w:p>
      <w:pPr>
        <w:spacing w:line="360" w:lineRule="auto"/>
        <w:outlineLvl w:val="1"/>
        <w:rPr>
          <w:rFonts w:hint="eastAsia" w:ascii="宋体" w:hAnsi="宋体" w:cs="宋体"/>
          <w:b/>
          <w:bCs/>
          <w:color w:val="auto"/>
          <w:sz w:val="24"/>
          <w:szCs w:val="24"/>
          <w:highlight w:val="none"/>
        </w:rPr>
      </w:pPr>
      <w:bookmarkStart w:id="96" w:name="_Toc28111"/>
      <w:r>
        <w:rPr>
          <w:rFonts w:hint="eastAsia" w:ascii="宋体" w:hAnsi="宋体" w:cs="宋体"/>
          <w:b/>
          <w:bCs/>
          <w:color w:val="auto"/>
          <w:sz w:val="24"/>
          <w:szCs w:val="24"/>
          <w:highlight w:val="none"/>
        </w:rPr>
        <w:t>四、实施方式及要求</w:t>
      </w:r>
      <w:bookmarkEnd w:id="96"/>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安全专项检查分三个阶段实施，安全和消防两个大项内容分开检查，可同步实施。第一阶段制定检查标准、表格、计划，面向受检对象培训宣贯检查内容，重点是企业第一责任人、各级安全管理人的法定职责，以及“全责任链条”消防安全教育培训要点。第二阶段开展全面检查，包括安全知识考核、内业资料检查、设施设备检查、应急演练及评估等，对存在的问题隐患应建立详细清单，并提出整改完善指导意见。第三阶段对存在的问题隐患开展“回头看”，确保全部问题闭环销号，并出具安全检查综合报告。</w:t>
      </w:r>
      <w:r>
        <w:rPr>
          <w:rFonts w:hint="eastAsia" w:ascii="宋体" w:hAnsi="宋体" w:cs="宋体"/>
          <w:b w:val="0"/>
          <w:bCs w:val="0"/>
          <w:color w:val="auto"/>
          <w:sz w:val="24"/>
          <w:szCs w:val="24"/>
          <w:highlight w:val="none"/>
          <w:lang w:eastAsia="zh-CN"/>
        </w:rPr>
        <w:t>其中培训时长承诺不少于</w:t>
      </w:r>
      <w:r>
        <w:rPr>
          <w:rFonts w:hint="eastAsia" w:ascii="宋体" w:hAnsi="宋体" w:cs="宋体"/>
          <w:b w:val="0"/>
          <w:bCs w:val="0"/>
          <w:color w:val="auto"/>
          <w:sz w:val="24"/>
          <w:szCs w:val="24"/>
          <w:highlight w:val="none"/>
          <w:lang w:val="en-US" w:eastAsia="zh-CN"/>
        </w:rPr>
        <w:t>12个课时。</w:t>
      </w:r>
    </w:p>
    <w:p>
      <w:pPr>
        <w:spacing w:line="360" w:lineRule="auto"/>
        <w:ind w:firstLine="480" w:firstLineChars="200"/>
        <w:rPr>
          <w:rFonts w:hint="eastAsia" w:ascii="宋体" w:hAnsi="宋体" w:cs="宋体"/>
          <w:b w:val="0"/>
          <w:bCs w:val="0"/>
          <w:strike w:val="0"/>
          <w:color w:val="auto"/>
          <w:sz w:val="24"/>
          <w:szCs w:val="24"/>
          <w:highlight w:val="none"/>
        </w:rPr>
      </w:pPr>
      <w:r>
        <w:rPr>
          <w:rFonts w:hint="eastAsia" w:ascii="宋体" w:hAnsi="宋体" w:cs="宋体"/>
          <w:strike w:val="0"/>
          <w:color w:val="auto"/>
          <w:sz w:val="24"/>
          <w:szCs w:val="24"/>
          <w:highlight w:val="none"/>
          <w:lang w:val="en-US" w:eastAsia="zh-CN"/>
        </w:rPr>
        <w:t>2、</w:t>
      </w:r>
      <w:r>
        <w:rPr>
          <w:rFonts w:hint="eastAsia" w:ascii="宋体" w:hAnsi="宋体" w:cs="宋体"/>
          <w:strike w:val="0"/>
          <w:color w:val="auto"/>
          <w:sz w:val="24"/>
          <w:szCs w:val="24"/>
          <w:highlight w:val="none"/>
        </w:rPr>
        <w:t>安全检查机构要求从事安全评价、安全标准化评审、检测检验等安全技术咨询服务，具有客运码头</w:t>
      </w:r>
      <w:r>
        <w:rPr>
          <w:rFonts w:hint="eastAsia" w:ascii="宋体" w:hAnsi="宋体" w:cs="宋体"/>
          <w:strike w:val="0"/>
          <w:color w:val="auto"/>
          <w:sz w:val="24"/>
          <w:szCs w:val="24"/>
          <w:highlight w:val="none"/>
          <w:lang w:eastAsia="zh-CN"/>
        </w:rPr>
        <w:t>或水路客运企业</w:t>
      </w:r>
      <w:r>
        <w:rPr>
          <w:rFonts w:hint="eastAsia" w:ascii="宋体" w:hAnsi="宋体" w:cs="宋体"/>
          <w:strike w:val="0"/>
          <w:color w:val="auto"/>
          <w:sz w:val="24"/>
          <w:szCs w:val="24"/>
          <w:highlight w:val="none"/>
        </w:rPr>
        <w:t>安全</w:t>
      </w:r>
      <w:r>
        <w:rPr>
          <w:rFonts w:hint="eastAsia" w:ascii="宋体" w:hAnsi="宋体" w:cs="宋体"/>
          <w:strike w:val="0"/>
          <w:color w:val="auto"/>
          <w:sz w:val="24"/>
          <w:szCs w:val="24"/>
          <w:highlight w:val="none"/>
          <w:lang w:eastAsia="zh-CN"/>
        </w:rPr>
        <w:t>检查</w:t>
      </w:r>
      <w:r>
        <w:rPr>
          <w:rFonts w:hint="eastAsia" w:ascii="宋体" w:hAnsi="宋体" w:cs="宋体"/>
          <w:strike w:val="0"/>
          <w:color w:val="auto"/>
          <w:sz w:val="24"/>
          <w:szCs w:val="24"/>
          <w:highlight w:val="none"/>
        </w:rPr>
        <w:t>、应急预案</w:t>
      </w:r>
      <w:r>
        <w:rPr>
          <w:rFonts w:hint="eastAsia" w:ascii="宋体" w:hAnsi="宋体" w:cs="宋体"/>
          <w:strike w:val="0"/>
          <w:color w:val="auto"/>
          <w:sz w:val="24"/>
          <w:szCs w:val="24"/>
          <w:highlight w:val="none"/>
          <w:lang w:eastAsia="zh-CN"/>
        </w:rPr>
        <w:t>编制</w:t>
      </w:r>
      <w:r>
        <w:rPr>
          <w:rFonts w:hint="eastAsia" w:ascii="宋体" w:hAnsi="宋体" w:cs="宋体"/>
          <w:strike w:val="0"/>
          <w:color w:val="auto"/>
          <w:sz w:val="24"/>
          <w:szCs w:val="24"/>
          <w:highlight w:val="none"/>
        </w:rPr>
        <w:t>、</w:t>
      </w:r>
      <w:r>
        <w:rPr>
          <w:rFonts w:hint="eastAsia" w:ascii="宋体" w:hAnsi="宋体" w:cs="宋体"/>
          <w:strike w:val="0"/>
          <w:color w:val="auto"/>
          <w:sz w:val="24"/>
          <w:szCs w:val="24"/>
          <w:highlight w:val="none"/>
          <w:lang w:eastAsia="zh-CN"/>
        </w:rPr>
        <w:t>安全生产标准化评价</w:t>
      </w:r>
      <w:r>
        <w:rPr>
          <w:rFonts w:hint="eastAsia" w:ascii="宋体" w:hAnsi="宋体" w:cs="宋体"/>
          <w:strike w:val="0"/>
          <w:color w:val="auto"/>
          <w:sz w:val="24"/>
          <w:szCs w:val="24"/>
          <w:highlight w:val="none"/>
        </w:rPr>
        <w:t>等安全管理方面的项目</w:t>
      </w:r>
      <w:r>
        <w:rPr>
          <w:rFonts w:hint="eastAsia" w:ascii="宋体" w:hAnsi="宋体" w:cs="宋体"/>
          <w:strike w:val="0"/>
          <w:color w:val="auto"/>
          <w:sz w:val="24"/>
          <w:szCs w:val="24"/>
          <w:highlight w:val="none"/>
          <w:lang w:val="en-US" w:eastAsia="zh-CN"/>
        </w:rPr>
        <w:t>经验</w:t>
      </w:r>
      <w:r>
        <w:rPr>
          <w:rFonts w:hint="eastAsia" w:ascii="宋体" w:hAnsi="宋体" w:cs="宋体"/>
          <w:strike w:val="0"/>
          <w:color w:val="auto"/>
          <w:sz w:val="24"/>
          <w:szCs w:val="24"/>
          <w:highlight w:val="none"/>
        </w:rPr>
        <w:t>。</w:t>
      </w:r>
    </w:p>
    <w:p>
      <w:pPr>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3.安全检查人员要求</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需提供</w:t>
      </w:r>
      <w:r>
        <w:rPr>
          <w:rFonts w:hint="eastAsia" w:ascii="宋体" w:hAnsi="宋体" w:cs="宋体"/>
          <w:b/>
          <w:bCs/>
          <w:color w:val="auto"/>
          <w:sz w:val="24"/>
          <w:szCs w:val="24"/>
          <w:highlight w:val="none"/>
        </w:rPr>
        <w:t>5-8名专业人员组成的安全专项检查小组（</w:t>
      </w:r>
      <w:r>
        <w:rPr>
          <w:rFonts w:hint="eastAsia" w:ascii="宋体" w:hAnsi="宋体" w:cs="宋体"/>
          <w:b/>
          <w:bCs/>
          <w:color w:val="auto"/>
          <w:sz w:val="24"/>
          <w:szCs w:val="24"/>
          <w:highlight w:val="none"/>
          <w:lang w:val="en-US" w:eastAsia="zh-CN"/>
        </w:rPr>
        <w:t>其中</w:t>
      </w:r>
      <w:r>
        <w:rPr>
          <w:rFonts w:hint="eastAsia" w:ascii="宋体" w:hAnsi="宋体" w:cs="宋体"/>
          <w:b/>
          <w:bCs/>
          <w:color w:val="auto"/>
          <w:sz w:val="24"/>
          <w:szCs w:val="24"/>
          <w:highlight w:val="none"/>
        </w:rPr>
        <w:t>至少包含3名中级注册安全工程师和</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名注册消防工程师</w:t>
      </w:r>
      <w:r>
        <w:rPr>
          <w:rFonts w:hint="eastAsia" w:ascii="宋体" w:hAnsi="宋体" w:cs="宋体"/>
          <w:b/>
          <w:bCs/>
          <w:color w:val="auto"/>
          <w:sz w:val="24"/>
          <w:szCs w:val="24"/>
          <w:highlight w:val="none"/>
          <w:lang w:eastAsia="zh-CN"/>
        </w:rPr>
        <w:t>需</w:t>
      </w:r>
      <w:r>
        <w:rPr>
          <w:rFonts w:hint="eastAsia" w:ascii="宋体" w:hAnsi="宋体" w:cs="宋体"/>
          <w:b/>
          <w:bCs/>
          <w:color w:val="auto"/>
          <w:sz w:val="24"/>
          <w:szCs w:val="24"/>
          <w:highlight w:val="none"/>
          <w:lang w:val="en-US" w:eastAsia="zh-CN"/>
        </w:rPr>
        <w:t>提供相关证书复印件）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且</w:t>
      </w:r>
      <w:r>
        <w:rPr>
          <w:rFonts w:hint="eastAsia" w:ascii="宋体" w:hAnsi="宋体" w:cs="宋体"/>
          <w:b/>
          <w:bCs/>
          <w:color w:val="auto"/>
          <w:sz w:val="24"/>
          <w:szCs w:val="24"/>
          <w:highlight w:val="none"/>
        </w:rPr>
        <w:t>小组成员</w:t>
      </w:r>
      <w:r>
        <w:rPr>
          <w:rFonts w:hint="eastAsia" w:ascii="宋体" w:hAnsi="宋体" w:cs="宋体"/>
          <w:b/>
          <w:bCs/>
          <w:color w:val="auto"/>
          <w:sz w:val="24"/>
          <w:szCs w:val="24"/>
          <w:highlight w:val="none"/>
          <w:lang w:val="en-US" w:eastAsia="zh-CN"/>
        </w:rPr>
        <w:t>其中</w:t>
      </w:r>
      <w:r>
        <w:rPr>
          <w:rFonts w:hint="eastAsia" w:ascii="宋体" w:hAnsi="宋体" w:cs="宋体"/>
          <w:b/>
          <w:bCs/>
          <w:color w:val="auto"/>
          <w:sz w:val="24"/>
          <w:szCs w:val="24"/>
          <w:highlight w:val="none"/>
        </w:rPr>
        <w:t>至少包含3名</w:t>
      </w:r>
      <w:r>
        <w:rPr>
          <w:rFonts w:hint="eastAsia" w:ascii="宋体" w:hAnsi="宋体" w:cs="宋体"/>
          <w:b/>
          <w:bCs/>
          <w:color w:val="auto"/>
          <w:sz w:val="24"/>
          <w:szCs w:val="24"/>
          <w:highlight w:val="none"/>
          <w:lang w:val="en-US" w:eastAsia="zh-CN"/>
        </w:rPr>
        <w:t>具有</w:t>
      </w:r>
      <w:r>
        <w:rPr>
          <w:rFonts w:hint="eastAsia" w:ascii="宋体" w:hAnsi="宋体" w:cs="宋体"/>
          <w:b/>
          <w:bCs/>
          <w:color w:val="auto"/>
          <w:sz w:val="24"/>
          <w:szCs w:val="24"/>
          <w:highlight w:val="none"/>
          <w:lang w:eastAsia="zh-CN"/>
        </w:rPr>
        <w:t>交通运输、船舶与海洋、控制工程、</w:t>
      </w:r>
      <w:r>
        <w:rPr>
          <w:rFonts w:hint="eastAsia" w:ascii="宋体" w:hAnsi="宋体" w:cs="宋体"/>
          <w:b/>
          <w:bCs/>
          <w:color w:val="auto"/>
          <w:sz w:val="24"/>
          <w:szCs w:val="24"/>
          <w:highlight w:val="none"/>
        </w:rPr>
        <w:t>安全、消防</w:t>
      </w:r>
      <w:r>
        <w:rPr>
          <w:rFonts w:hint="eastAsia" w:ascii="宋体" w:hAnsi="宋体" w:cs="宋体"/>
          <w:b/>
          <w:bCs/>
          <w:color w:val="auto"/>
          <w:sz w:val="24"/>
          <w:szCs w:val="24"/>
          <w:highlight w:val="none"/>
          <w:lang w:val="en-US" w:eastAsia="zh-CN"/>
        </w:rPr>
        <w:t>以上专业之一</w:t>
      </w:r>
      <w:r>
        <w:rPr>
          <w:rFonts w:hint="eastAsia" w:ascii="宋体" w:hAnsi="宋体" w:cs="宋体"/>
          <w:b/>
          <w:bCs/>
          <w:color w:val="auto"/>
          <w:sz w:val="24"/>
          <w:szCs w:val="24"/>
          <w:highlight w:val="none"/>
          <w:lang w:eastAsia="zh-CN"/>
        </w:rPr>
        <w:t>的</w:t>
      </w:r>
      <w:r>
        <w:rPr>
          <w:rFonts w:hint="eastAsia" w:ascii="宋体" w:hAnsi="宋体" w:cs="宋体"/>
          <w:b/>
          <w:bCs/>
          <w:color w:val="auto"/>
          <w:sz w:val="24"/>
          <w:szCs w:val="24"/>
          <w:highlight w:val="none"/>
        </w:rPr>
        <w:t>专业技术人员</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须提供须提供《人员清单》（格式自拟）、职称证书（以证书中的专业为准）复印件。</w:t>
      </w:r>
    </w:p>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97" w:name="_Toc27498"/>
      <w:bookmarkStart w:id="98" w:name="_Toc14805"/>
      <w:r>
        <w:rPr>
          <w:rFonts w:hint="eastAsia" w:ascii="宋体" w:hAnsi="宋体" w:cs="宋体"/>
          <w:b/>
          <w:bCs/>
          <w:color w:val="auto"/>
          <w:sz w:val="24"/>
          <w:szCs w:val="24"/>
          <w:highlight w:val="none"/>
          <w:lang w:eastAsia="zh-CN"/>
        </w:rPr>
        <w:t>五</w:t>
      </w:r>
      <w:bookmarkEnd w:id="93"/>
      <w:bookmarkStart w:id="99" w:name="_Toc2125633065"/>
      <w:bookmarkStart w:id="100" w:name="_Toc172776051"/>
      <w:bookmarkStart w:id="101" w:name="_Toc89791698"/>
      <w:bookmarkStart w:id="102" w:name="_Toc89791596"/>
      <w:bookmarkStart w:id="103" w:name="_Toc432356150"/>
      <w:bookmarkStart w:id="104" w:name="_Toc90180873"/>
      <w:bookmarkStart w:id="105" w:name="_Toc116895408"/>
      <w:bookmarkStart w:id="106" w:name="_Toc116869901"/>
      <w:bookmarkStart w:id="107" w:name="_Toc105315000"/>
      <w:bookmarkStart w:id="108" w:name="_Toc151886856"/>
      <w:bookmarkStart w:id="109" w:name="_Toc36867048"/>
      <w:bookmarkStart w:id="110" w:name="_Toc36973985"/>
      <w:bookmarkStart w:id="111" w:name="_Toc36974289"/>
      <w:bookmarkStart w:id="112" w:name="_Toc36973198"/>
      <w:bookmarkStart w:id="113" w:name="_Toc36974207"/>
      <w:bookmarkStart w:id="114" w:name="_Toc36974051"/>
      <w:bookmarkStart w:id="115" w:name="_Toc37236847"/>
      <w:bookmarkStart w:id="116" w:name="_Toc34471344"/>
      <w:bookmarkStart w:id="117" w:name="_Toc36974340"/>
      <w:bookmarkStart w:id="118" w:name="_Toc32815547"/>
      <w:bookmarkStart w:id="119" w:name="_Toc36885854"/>
      <w:r>
        <w:rPr>
          <w:rFonts w:hint="eastAsia" w:ascii="宋体" w:hAnsi="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、服务期及服务地点</w:t>
      </w:r>
      <w:bookmarkEnd w:id="97"/>
      <w:bookmarkEnd w:id="98"/>
      <w:bookmarkEnd w:id="99"/>
    </w:p>
    <w:p>
      <w:pPr>
        <w:pStyle w:val="9"/>
        <w:spacing w:after="0"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w:t>
      </w:r>
      <w:r>
        <w:rPr>
          <w:rFonts w:hint="eastAsia" w:ascii="宋体" w:hAnsi="宋体" w:cs="宋体"/>
          <w:b w:val="0"/>
          <w:bCs w:val="0"/>
          <w:color w:val="auto"/>
          <w:sz w:val="24"/>
          <w:szCs w:val="24"/>
          <w:highlight w:val="none"/>
        </w:rPr>
        <w:t>合同签订</w:t>
      </w:r>
      <w:r>
        <w:rPr>
          <w:rFonts w:hint="eastAsia" w:ascii="宋体" w:hAnsi="宋体" w:cs="宋体"/>
          <w:b w:val="0"/>
          <w:bCs w:val="0"/>
          <w:color w:val="auto"/>
          <w:sz w:val="24"/>
          <w:szCs w:val="24"/>
          <w:highlight w:val="none"/>
          <w:lang w:val="en-US" w:eastAsia="zh-CN"/>
        </w:rPr>
        <w:t>之日起至</w:t>
      </w:r>
      <w:r>
        <w:rPr>
          <w:rFonts w:hint="eastAsia" w:ascii="宋体" w:hAnsi="宋体" w:cs="宋体"/>
          <w:b w:val="0"/>
          <w:bCs w:val="0"/>
          <w:color w:val="auto"/>
          <w:sz w:val="24"/>
          <w:szCs w:val="24"/>
          <w:highlight w:val="none"/>
        </w:rPr>
        <w:t>最终安全和消防检查报告通过验收时间不迟于2024年9月30日</w:t>
      </w:r>
      <w:r>
        <w:rPr>
          <w:rFonts w:hint="eastAsia" w:ascii="宋体" w:hAnsi="宋体" w:cs="宋体"/>
          <w:color w:val="auto"/>
          <w:sz w:val="24"/>
          <w:highlight w:val="none"/>
          <w:lang w:eastAsia="zh-CN"/>
        </w:rPr>
        <w:t>。</w:t>
      </w:r>
    </w:p>
    <w:p>
      <w:pPr>
        <w:pStyle w:val="9"/>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.服务地点</w:t>
      </w:r>
      <w:r>
        <w:rPr>
          <w:rFonts w:hint="eastAsia" w:ascii="宋体" w:hAnsi="宋体" w:eastAsia="宋体" w:cs="宋体"/>
          <w:color w:val="auto"/>
          <w:sz w:val="24"/>
          <w:szCs w:val="24"/>
          <w:highlight w:val="none"/>
        </w:rPr>
        <w:t>：厦门市行政区域内采购人指定地点。</w:t>
      </w:r>
    </w:p>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120" w:name="_Toc406815463"/>
      <w:bookmarkStart w:id="121" w:name="_Toc22449"/>
      <w:bookmarkStart w:id="122" w:name="_Toc2568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、验收条件</w:t>
      </w:r>
      <w:bookmarkEnd w:id="120"/>
      <w:bookmarkEnd w:id="121"/>
      <w:bookmarkEnd w:id="12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1.验收条件：项目服务进行过程的每个阶段完成后，成交供应商应及时通知采购人，进行相关事项的讨论，并根据采购人提出的整改意见及时整改，达到采购人要求可邀请采购人进行验收。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2.验收依据：采购文件、报价文件及国家、省、市有关的标准规定，均为验收依据。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3.采购人与成交供应商签订承包合同，根据采购文件规定和成交供应商的谈判响应承诺约定具体事项和考核办法，成交供应商若发生违约行为或考核不合格，采购人有权终止合同的履行。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4.验收时成交供应商必须派代表参加。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5.验收过程所发生的一切费用由成交供应商承担。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6.成交供应商在履约过程中若有出现安全事故，其责任及相应的赔偿均由成交供应商自行承担，采购人不承担所有责任及义务。</w:t>
      </w:r>
    </w:p>
    <w:p>
      <w:pPr>
        <w:pStyle w:val="2"/>
        <w:keepNext w:val="0"/>
        <w:keepLines w:val="0"/>
        <w:numPr>
          <w:ilvl w:val="-1"/>
          <w:numId w:val="0"/>
        </w:numPr>
        <w:spacing w:before="0" w:after="0" w:line="360" w:lineRule="auto"/>
        <w:ind w:firstLine="0" w:firstLineChars="0"/>
        <w:rPr>
          <w:rFonts w:hint="eastAsia" w:ascii="宋体" w:hAnsi="宋体" w:eastAsia="宋体" w:cs="宋体"/>
          <w:color w:val="auto"/>
          <w:sz w:val="24"/>
          <w:szCs w:val="24"/>
          <w:highlight w:val="none"/>
        </w:rPr>
      </w:pPr>
      <w:bookmarkStart w:id="123" w:name="_Toc25809"/>
      <w:bookmarkStart w:id="124" w:name="_Toc108273308"/>
      <w:bookmarkStart w:id="125" w:name="_Toc13908"/>
      <w:r>
        <w:rPr>
          <w:rFonts w:hint="default" w:ascii="宋体" w:hAnsi="宋体" w:eastAsia="宋体" w:cs="宋体"/>
          <w:color w:val="auto"/>
          <w:sz w:val="24"/>
          <w:szCs w:val="24"/>
          <w:highlight w:val="none"/>
        </w:rPr>
        <w:t>七、</w:t>
      </w:r>
      <w:r>
        <w:rPr>
          <w:rFonts w:hint="eastAsia" w:ascii="宋体" w:hAnsi="宋体" w:eastAsia="宋体" w:cs="宋体"/>
          <w:color w:val="auto"/>
          <w:sz w:val="24"/>
          <w:szCs w:val="24"/>
          <w:highlight w:val="none"/>
        </w:rPr>
        <w:t>付款条件</w:t>
      </w:r>
      <w:bookmarkEnd w:id="123"/>
      <w:bookmarkEnd w:id="124"/>
      <w:bookmarkEnd w:id="125"/>
    </w:p>
    <w:p>
      <w:pPr>
        <w:spacing w:line="360" w:lineRule="auto"/>
        <w:ind w:firstLine="420" w:firstLineChars="200"/>
        <w:rPr>
          <w:rFonts w:hint="eastAsia" w:ascii="宋体" w:hAnsi="宋体" w:cs="宋体"/>
          <w:color w:val="auto"/>
          <w:sz w:val="24"/>
          <w:szCs w:val="24"/>
          <w:highlight w:val="none"/>
          <w:lang w:val="en-US" w:eastAsia="zh-CN"/>
        </w:rPr>
      </w:pPr>
      <w:r>
        <w:rPr>
          <w:rFonts w:hint="eastAsia"/>
          <w:color w:val="auto"/>
          <w:highlight w:val="none"/>
          <w:lang w:val="en-US" w:eastAsia="zh-CN"/>
        </w:rPr>
        <w:t xml:space="preserve">1、 </w:t>
      </w:r>
      <w:r>
        <w:rPr>
          <w:rFonts w:hint="eastAsia" w:ascii="宋体" w:hAnsi="宋体" w:cs="宋体"/>
          <w:color w:val="auto"/>
          <w:sz w:val="24"/>
          <w:szCs w:val="24"/>
          <w:highlight w:val="none"/>
        </w:rPr>
        <w:t>采购人根据与成交供应商签订的合同条款支付款项</w:t>
      </w:r>
      <w:r>
        <w:rPr>
          <w:rFonts w:hint="eastAsia" w:ascii="宋体" w:hAnsi="宋体" w:cs="宋体"/>
          <w:color w:val="auto"/>
          <w:sz w:val="24"/>
          <w:szCs w:val="24"/>
          <w:highlight w:val="none"/>
          <w:lang w:val="en-US" w:eastAsia="zh-CN"/>
        </w:rPr>
        <w:t>。</w:t>
      </w:r>
    </w:p>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126" w:name="_Toc16840"/>
      <w:bookmarkStart w:id="127" w:name="_Toc5197"/>
      <w:bookmarkStart w:id="128" w:name="_Toc1859125370"/>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、报价要求</w:t>
      </w:r>
      <w:bookmarkEnd w:id="100"/>
      <w:bookmarkEnd w:id="101"/>
      <w:bookmarkEnd w:id="102"/>
      <w:bookmarkEnd w:id="103"/>
      <w:bookmarkEnd w:id="104"/>
      <w:bookmarkEnd w:id="105"/>
      <w:bookmarkEnd w:id="106"/>
      <w:bookmarkEnd w:id="107"/>
      <w:bookmarkEnd w:id="108"/>
      <w:bookmarkEnd w:id="126"/>
      <w:bookmarkEnd w:id="127"/>
      <w:bookmarkEnd w:id="128"/>
    </w:p>
    <w:p>
      <w:pPr>
        <w:spacing w:line="360" w:lineRule="auto"/>
        <w:ind w:firstLine="477" w:firstLineChars="198"/>
        <w:rPr>
          <w:rFonts w:hint="eastAsia" w:ascii="宋体" w:hAnsi="宋体" w:eastAsia="宋体" w:cs="宋体"/>
          <w:b/>
          <w:color w:val="auto"/>
          <w:spacing w:val="4"/>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本</w:t>
      </w:r>
      <w:r>
        <w:rPr>
          <w:rFonts w:hint="eastAsia" w:ascii="宋体" w:hAnsi="宋体" w:eastAsia="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lang w:val="en-US" w:eastAsia="zh-CN"/>
        </w:rPr>
        <w:t>17</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元，采购预算为总报价的最高限价，总报价超过采购预算的属无效报价。</w:t>
      </w:r>
    </w:p>
    <w:p>
      <w:pPr>
        <w:adjustRightInd w:val="0"/>
        <w:spacing w:line="360" w:lineRule="auto"/>
        <w:ind w:firstLine="542" w:firstLineChars="225"/>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.报价人必须对采购项目的</w:t>
      </w:r>
      <w:r>
        <w:rPr>
          <w:rFonts w:hint="eastAsia" w:ascii="宋体" w:hAnsi="宋体" w:cs="宋体"/>
          <w:b/>
          <w:bCs/>
          <w:color w:val="auto"/>
          <w:sz w:val="24"/>
          <w:szCs w:val="24"/>
          <w:highlight w:val="none"/>
          <w:lang w:val="en-US" w:eastAsia="zh-CN"/>
        </w:rPr>
        <w:t>分项内容</w:t>
      </w:r>
      <w:r>
        <w:rPr>
          <w:rFonts w:hint="eastAsia" w:ascii="宋体" w:hAnsi="宋体" w:eastAsia="宋体" w:cs="宋体"/>
          <w:b/>
          <w:bCs/>
          <w:color w:val="auto"/>
          <w:sz w:val="24"/>
          <w:szCs w:val="24"/>
          <w:highlight w:val="none"/>
        </w:rPr>
        <w:t>进行报价响应。</w:t>
      </w:r>
    </w:p>
    <w:p>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.本次采购为国内采购，报价以人民币为货币单位，应分单价、小计和总价。</w:t>
      </w:r>
    </w:p>
    <w:p>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.谈判响应总报价为完成项目所有可能发生的一切费用，包括人工费、设备投入使用费、劳保费、税金、</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、材料费、资料收集费、安全生产措施费用、组织评审费、验收费、咨询费、管理费相关伴随服务等服务期间所可能发生的一切费用。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.报价人报价中漏报、少报的费用，视为此项费用已隐含在谈判响应报价中，成交后不得再向采购人收取任何费用。</w:t>
      </w:r>
    </w:p>
    <w:bookmarkEnd w:id="109"/>
    <w:bookmarkEnd w:id="110"/>
    <w:bookmarkEnd w:id="111"/>
    <w:bookmarkEnd w:id="112"/>
    <w:bookmarkEnd w:id="113"/>
    <w:bookmarkEnd w:id="114"/>
    <w:bookmarkEnd w:id="115"/>
    <w:bookmarkEnd w:id="116"/>
    <w:bookmarkEnd w:id="117"/>
    <w:bookmarkEnd w:id="118"/>
    <w:bookmarkEnd w:id="119"/>
    <w:p>
      <w:pPr>
        <w:pStyle w:val="2"/>
        <w:keepNext w:val="0"/>
        <w:keepLines w:val="0"/>
        <w:spacing w:before="0" w:after="0" w:line="360" w:lineRule="auto"/>
        <w:ind w:firstLine="0" w:firstLineChars="0"/>
        <w:rPr>
          <w:rFonts w:hint="eastAsia" w:ascii="宋体" w:hAnsi="宋体" w:eastAsia="宋体" w:cs="宋体"/>
          <w:color w:val="auto"/>
          <w:sz w:val="24"/>
          <w:szCs w:val="24"/>
          <w:highlight w:val="none"/>
        </w:rPr>
      </w:pPr>
      <w:bookmarkStart w:id="129" w:name="_Toc8164"/>
      <w:bookmarkStart w:id="130" w:name="_Toc497243076"/>
      <w:bookmarkStart w:id="131" w:name="_Toc13455"/>
      <w:bookmarkStart w:id="132" w:name="_Toc432356158"/>
      <w:bookmarkStart w:id="133" w:name="_Toc338238196"/>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bookmarkEnd w:id="129"/>
      <w:bookmarkEnd w:id="130"/>
      <w:bookmarkEnd w:id="131"/>
    </w:p>
    <w:p>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rPr>
        <w:t>*2、报价人须具备安全评价检测检验机构资质</w:t>
      </w:r>
      <w:r>
        <w:rPr>
          <w:rFonts w:hint="eastAsia" w:ascii="宋体" w:hAnsi="宋体" w:cs="宋体"/>
          <w:b/>
          <w:color w:val="auto"/>
          <w:sz w:val="24"/>
          <w:szCs w:val="24"/>
          <w:highlight w:val="none"/>
          <w:lang w:val="en-US" w:eastAsia="zh-CN"/>
        </w:rPr>
        <w:t>或</w:t>
      </w:r>
      <w:r>
        <w:rPr>
          <w:rFonts w:hint="default" w:ascii="宋体" w:hAnsi="宋体" w:cs="宋体"/>
          <w:b/>
          <w:color w:val="auto"/>
          <w:sz w:val="24"/>
          <w:szCs w:val="24"/>
          <w:highlight w:val="none"/>
          <w:lang w:eastAsia="zh-CN"/>
        </w:rPr>
        <w:t>具有</w:t>
      </w:r>
      <w:r>
        <w:rPr>
          <w:rFonts w:hint="eastAsia" w:ascii="宋体" w:hAnsi="宋体" w:cs="宋体"/>
          <w:b/>
          <w:color w:val="auto"/>
          <w:sz w:val="24"/>
          <w:szCs w:val="24"/>
          <w:highlight w:val="none"/>
          <w:lang w:val="en-US" w:eastAsia="zh-CN"/>
        </w:rPr>
        <w:t>检验检测机构资质认定证书</w:t>
      </w:r>
      <w:r>
        <w:rPr>
          <w:rFonts w:hint="eastAsia" w:ascii="宋体" w:hAnsi="宋体" w:cs="宋体"/>
          <w:b/>
          <w:color w:val="auto"/>
          <w:sz w:val="24"/>
          <w:szCs w:val="24"/>
          <w:highlight w:val="none"/>
        </w:rPr>
        <w:t>，报价文件中须提供有效的安全评价机构资质证书复印件</w:t>
      </w:r>
      <w:r>
        <w:rPr>
          <w:rFonts w:hint="eastAsia" w:ascii="宋体" w:hAnsi="宋体" w:cs="宋体"/>
          <w:b/>
          <w:color w:val="auto"/>
          <w:sz w:val="24"/>
          <w:szCs w:val="24"/>
          <w:highlight w:val="none"/>
          <w:lang w:val="en-US" w:eastAsia="zh-CN"/>
        </w:rPr>
        <w:t>或检验检测机构资质认定证书</w:t>
      </w:r>
      <w:r>
        <w:rPr>
          <w:rFonts w:hint="eastAsia" w:ascii="宋体" w:hAnsi="宋体" w:cs="宋体"/>
          <w:b/>
          <w:color w:val="auto"/>
          <w:sz w:val="24"/>
          <w:szCs w:val="24"/>
          <w:highlight w:val="none"/>
        </w:rPr>
        <w:t>复印件。</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、报价人全权代表若不是单位负责人，应提供单位授权书原件，并提供被授权代表身份证复印件。</w:t>
      </w:r>
    </w:p>
    <w:p>
      <w:pPr>
        <w:spacing w:line="360" w:lineRule="auto"/>
        <w:ind w:firstLine="643"/>
        <w:rPr>
          <w:rFonts w:hint="eastAsia" w:ascii="宋体" w:hAnsi="宋体" w:eastAsia="宋体" w:cs="宋体"/>
          <w:color w:val="auto"/>
          <w:sz w:val="24"/>
          <w:szCs w:val="24"/>
          <w:highlight w:val="none"/>
        </w:rPr>
      </w:pPr>
    </w:p>
    <w:bookmarkEnd w:id="132"/>
    <w:bookmarkEnd w:id="133"/>
    <w:p>
      <w:pPr>
        <w:spacing w:line="240" w:lineRule="auto"/>
        <w:jc w:val="left"/>
        <w:outlineLvl w:val="9"/>
        <w:rPr>
          <w:rFonts w:hint="eastAsia" w:ascii="宋体" w:hAnsi="宋体" w:eastAsia="宋体" w:cs="宋体"/>
          <w:b/>
          <w:bCs/>
          <w:color w:val="auto"/>
          <w:sz w:val="32"/>
          <w:szCs w:val="32"/>
          <w:highlight w:val="none"/>
        </w:rPr>
      </w:pPr>
      <w:bookmarkStart w:id="134" w:name="_Toc389845482"/>
      <w:bookmarkStart w:id="135" w:name="_Toc268599010"/>
      <w:r>
        <w:rPr>
          <w:rFonts w:hint="eastAsia" w:ascii="宋体" w:hAnsi="宋体" w:eastAsia="宋体" w:cs="宋体"/>
          <w:b/>
          <w:bCs/>
          <w:color w:val="auto"/>
          <w:sz w:val="32"/>
          <w:szCs w:val="32"/>
          <w:highlight w:val="none"/>
        </w:rPr>
        <w:br w:type="page"/>
      </w:r>
    </w:p>
    <w:p>
      <w:pPr>
        <w:spacing w:line="360" w:lineRule="auto"/>
        <w:jc w:val="center"/>
        <w:outlineLvl w:val="0"/>
        <w:rPr>
          <w:rFonts w:hint="eastAsia" w:ascii="宋体" w:hAnsi="宋体" w:eastAsia="宋体" w:cs="宋体"/>
          <w:b/>
          <w:color w:val="auto"/>
          <w:sz w:val="24"/>
          <w:szCs w:val="24"/>
          <w:highlight w:val="none"/>
        </w:rPr>
      </w:pPr>
      <w:bookmarkStart w:id="136" w:name="_Toc15136"/>
      <w:bookmarkStart w:id="137" w:name="_Toc26693"/>
      <w:r>
        <w:rPr>
          <w:rFonts w:hint="eastAsia" w:ascii="宋体" w:hAnsi="宋体" w:eastAsia="宋体" w:cs="宋体"/>
          <w:b/>
          <w:bCs/>
          <w:color w:val="auto"/>
          <w:sz w:val="32"/>
          <w:szCs w:val="32"/>
          <w:highlight w:val="none"/>
        </w:rPr>
        <w:t xml:space="preserve">第四章 </w:t>
      </w:r>
      <w:r>
        <w:rPr>
          <w:rFonts w:hint="eastAsia" w:ascii="宋体" w:hAnsi="宋体" w:eastAsia="宋体" w:cs="宋体"/>
          <w:b/>
          <w:color w:val="auto"/>
          <w:sz w:val="32"/>
          <w:szCs w:val="32"/>
          <w:highlight w:val="none"/>
        </w:rPr>
        <w:t>采购合同（参考文本）</w:t>
      </w:r>
      <w:bookmarkEnd w:id="134"/>
      <w:bookmarkEnd w:id="136"/>
      <w:bookmarkEnd w:id="137"/>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但不得与采购文件、报价文件的实质性内容相背离。本合同格式主要适用于服务类项目采购代理机构可参照制定。</w:t>
            </w:r>
          </w:p>
        </w:tc>
      </w:tr>
    </w:tbl>
    <w:p>
      <w:pPr>
        <w:wordWrap w:val="0"/>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6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1.本合同价款为固定总价价款，竣工结算时除合同另有约定外均不予调整。本合同价款为</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1.甲方编发的采购文件和乙方的报价文件（含修正和补充文件）均为本合同组成文件。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bookmarkEnd w:id="135"/>
    <w:p>
      <w:pPr>
        <w:spacing w:line="360" w:lineRule="auto"/>
        <w:jc w:val="center"/>
        <w:outlineLvl w:val="9"/>
        <w:rPr>
          <w:rFonts w:hint="eastAsia" w:ascii="宋体" w:hAnsi="宋体" w:eastAsia="宋体" w:cs="宋体"/>
          <w:color w:val="auto"/>
          <w:sz w:val="24"/>
          <w:szCs w:val="24"/>
          <w:highlight w:val="none"/>
        </w:rPr>
      </w:pPr>
      <w:bookmarkStart w:id="138" w:name="_Toc268599011"/>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p>
    <w:p>
      <w:pPr>
        <w:spacing w:line="360" w:lineRule="auto"/>
        <w:jc w:val="both"/>
        <w:outlineLvl w:val="9"/>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32"/>
          <w:szCs w:val="32"/>
          <w:highlight w:val="none"/>
        </w:rPr>
      </w:pPr>
      <w:bookmarkStart w:id="139" w:name="_Toc835335097"/>
      <w:bookmarkStart w:id="140" w:name="_Toc22255"/>
      <w:bookmarkStart w:id="141" w:name="_Toc31392"/>
      <w:r>
        <w:rPr>
          <w:rFonts w:hint="eastAsia" w:ascii="宋体" w:hAnsi="宋体" w:eastAsia="宋体" w:cs="宋体"/>
          <w:b/>
          <w:bCs/>
          <w:color w:val="auto"/>
          <w:sz w:val="32"/>
          <w:szCs w:val="32"/>
          <w:highlight w:val="none"/>
        </w:rPr>
        <w:t>第五章　报价文件格式</w:t>
      </w:r>
      <w:bookmarkEnd w:id="138"/>
      <w:bookmarkEnd w:id="139"/>
      <w:bookmarkEnd w:id="140"/>
      <w:bookmarkEnd w:id="14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采购项目</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pPr>
        <w:spacing w:line="360" w:lineRule="auto"/>
        <w:rPr>
          <w:rFonts w:hint="eastAsia" w:ascii="宋体" w:hAnsi="宋体"/>
          <w:b/>
          <w:color w:val="auto"/>
          <w:sz w:val="36"/>
          <w:highlight w:val="none"/>
        </w:rPr>
      </w:pPr>
    </w:p>
    <w:p>
      <w:pPr>
        <w:spacing w:line="360" w:lineRule="auto"/>
        <w:jc w:val="center"/>
        <w:rPr>
          <w:rFonts w:hint="eastAsia" w:ascii="宋体" w:hAnsi="宋体"/>
          <w:b/>
          <w:color w:val="auto"/>
          <w:sz w:val="36"/>
          <w:highlight w:val="none"/>
        </w:rPr>
      </w:pPr>
    </w:p>
    <w:p>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pPr>
        <w:spacing w:line="360" w:lineRule="auto"/>
        <w:rPr>
          <w:rFonts w:hint="eastAsia" w:ascii="宋体" w:hAnsi="宋体"/>
          <w:b/>
          <w:color w:val="auto"/>
          <w:sz w:val="36"/>
          <w:highlight w:val="none"/>
        </w:rPr>
      </w:pPr>
    </w:p>
    <w:p>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pStyle w:val="4"/>
        <w:snapToGrid w:val="0"/>
        <w:spacing w:line="360" w:lineRule="auto"/>
        <w:ind w:firstLine="3534" w:firstLineChars="1100"/>
        <w:jc w:val="both"/>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谈判响应声明函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谈判分项报价表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交的其他资料</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谈判响应声明函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厦门万翔招标有限公司：</w:t>
      </w:r>
    </w:p>
    <w:p>
      <w:pPr>
        <w:pStyle w:val="6"/>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项目采购文件的谈判邀请，</w:t>
      </w:r>
      <w:r>
        <w:rPr>
          <w:rFonts w:hint="eastAsia" w:ascii="宋体" w:hAnsi="宋体" w:eastAsia="宋体" w:cs="宋体"/>
          <w:bCs/>
          <w:color w:val="auto"/>
          <w:sz w:val="24"/>
          <w:szCs w:val="24"/>
          <w:highlight w:val="none"/>
          <w:lang w:eastAsia="zh-CN"/>
        </w:rPr>
        <w:t>本</w:t>
      </w:r>
      <w:r>
        <w:rPr>
          <w:rFonts w:hint="eastAsia" w:ascii="宋体" w:hAnsi="宋体" w:eastAsia="宋体" w:cs="宋体"/>
          <w:bCs/>
          <w:color w:val="auto"/>
          <w:sz w:val="24"/>
          <w:szCs w:val="24"/>
          <w:highlight w:val="none"/>
        </w:rPr>
        <w:t>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lang w:eastAsia="zh-CN"/>
        </w:rPr>
        <w:t>四</w:t>
      </w:r>
      <w:r>
        <w:rPr>
          <w:rFonts w:hint="eastAsia" w:ascii="宋体" w:hAnsi="宋体" w:eastAsia="宋体" w:cs="宋体"/>
          <w:bCs/>
          <w:color w:val="auto"/>
          <w:sz w:val="24"/>
          <w:szCs w:val="24"/>
          <w:highlight w:val="none"/>
        </w:rPr>
        <w:t>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2.谈判分项报价表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技术规格和商务偏离表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7.报价人提交的其他资料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元的谈判保证金。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（7）报价人同意按照采购单位要求提供与其谈判响应有关的一切数据或资料，完全理解贵方不一定要接受最低的报价或收到的任何谈判响应。</w:t>
      </w:r>
    </w:p>
    <w:p>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 与本谈判响应有关的一切正式往来通讯请寄：</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ind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61"/>
        <w:spacing w:line="360" w:lineRule="auto"/>
        <w:jc w:val="left"/>
        <w:rPr>
          <w:rFonts w:hint="eastAsia" w:hAnsi="宋体" w:eastAsia="宋体" w:cs="宋体"/>
          <w:color w:val="auto"/>
          <w:sz w:val="24"/>
          <w:szCs w:val="24"/>
          <w:highlight w:val="none"/>
          <w:lang w:eastAsia="zh-CN"/>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61"/>
        <w:spacing w:line="360" w:lineRule="auto"/>
        <w:jc w:val="center"/>
        <w:outlineLvl w:val="9"/>
        <w:rPr>
          <w:rFonts w:hint="eastAsia" w:hAnsi="宋体" w:eastAsia="宋体" w:cs="宋体"/>
          <w:b/>
          <w:color w:val="auto"/>
          <w:sz w:val="24"/>
          <w:szCs w:val="24"/>
          <w:highlight w:val="none"/>
        </w:rPr>
      </w:pPr>
      <w:bookmarkStart w:id="142" w:name="_Toc14923"/>
      <w:bookmarkStart w:id="143" w:name="_Toc1319467319"/>
      <w:bookmarkStart w:id="144" w:name="_Toc20593"/>
      <w:r>
        <w:rPr>
          <w:rFonts w:hint="eastAsia" w:hAnsi="宋体" w:eastAsia="宋体" w:cs="宋体"/>
          <w:b/>
          <w:color w:val="auto"/>
          <w:sz w:val="32"/>
          <w:szCs w:val="32"/>
          <w:highlight w:val="none"/>
          <w:lang w:eastAsia="zh-CN"/>
        </w:rPr>
        <w:t>报价</w:t>
      </w:r>
      <w:r>
        <w:rPr>
          <w:rFonts w:hint="eastAsia" w:hAnsi="宋体" w:eastAsia="宋体" w:cs="宋体"/>
          <w:b/>
          <w:color w:val="auto"/>
          <w:sz w:val="32"/>
          <w:szCs w:val="32"/>
          <w:highlight w:val="none"/>
        </w:rPr>
        <w:t>一览表</w:t>
      </w:r>
      <w:bookmarkEnd w:id="142"/>
      <w:bookmarkEnd w:id="143"/>
      <w:bookmarkEnd w:id="144"/>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报价人（全称并加盖公章）：                          采购项目编号∶                货币单位：</w:t>
      </w:r>
      <w:r>
        <w:rPr>
          <w:rFonts w:hint="eastAsia" w:ascii="宋体" w:hAnsi="宋体" w:cs="宋体"/>
          <w:color w:val="auto"/>
          <w:sz w:val="24"/>
          <w:szCs w:val="24"/>
          <w:highlight w:val="none"/>
          <w:lang w:val="en-US" w:eastAsia="zh-CN"/>
        </w:rPr>
        <w:t>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2732"/>
        <w:gridCol w:w="801"/>
        <w:gridCol w:w="2060"/>
        <w:gridCol w:w="1684"/>
        <w:gridCol w:w="143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审计内容</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数量</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港口客运、水路客运企业第三方安全专项检查</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港口客运、水路客运企业第三方安全专项检查</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报价总价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bl>
    <w:p>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注：1.此表正本与报价文件正本和谈判保证金凭证复印件一同装在一单独的信封内密封。</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pPr>
        <w:spacing w:line="360" w:lineRule="auto"/>
        <w:ind w:firstLine="465"/>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pPr>
        <w:spacing w:line="360" w:lineRule="auto"/>
        <w:ind w:firstLine="2249" w:firstLineChars="7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谈判分项报价表（格式）</w:t>
      </w:r>
    </w:p>
    <w:p>
      <w:pPr>
        <w:pStyle w:val="8"/>
        <w:spacing w:line="360" w:lineRule="auto"/>
        <w:jc w:val="left"/>
        <w:rPr>
          <w:rFonts w:hint="eastAsia" w:hAnsi="宋体" w:eastAsia="宋体" w:cs="宋体"/>
          <w:color w:val="auto"/>
          <w:sz w:val="24"/>
          <w:szCs w:val="24"/>
          <w:highlight w:val="none"/>
        </w:rPr>
      </w:pPr>
    </w:p>
    <w:p>
      <w:pPr>
        <w:pStyle w:val="8"/>
        <w:spacing w:line="360" w:lineRule="auto"/>
        <w:jc w:val="left"/>
        <w:rPr>
          <w:rFonts w:hint="eastAsia" w:hAnsi="宋体" w:eastAsia="宋体" w:cs="宋体"/>
          <w:bCs/>
          <w:color w:val="auto"/>
          <w:sz w:val="24"/>
          <w:szCs w:val="24"/>
          <w:highlight w:val="none"/>
          <w:lang w:eastAsia="zh-CN"/>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pPr>
              <w:spacing w:line="360" w:lineRule="auto"/>
              <w:rPr>
                <w:rFonts w:hint="eastAsia" w:ascii="宋体" w:hAnsi="宋体" w:eastAsia="宋体" w:cs="宋体"/>
                <w:bCs/>
                <w:color w:val="auto"/>
                <w:sz w:val="24"/>
                <w:szCs w:val="24"/>
                <w:highlight w:val="none"/>
              </w:rPr>
            </w:pP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bl>
    <w:p>
      <w:pPr>
        <w:pStyle w:val="8"/>
        <w:spacing w:line="360" w:lineRule="auto"/>
        <w:jc w:val="left"/>
        <w:rPr>
          <w:rFonts w:hint="eastAsia" w:hAnsi="宋体" w:eastAsia="宋体" w:cs="宋体"/>
          <w:b/>
          <w:color w:val="auto"/>
          <w:sz w:val="24"/>
          <w:szCs w:val="24"/>
          <w:highlight w:val="none"/>
          <w:lang w:eastAsia="zh-CN"/>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注：1.第1栏服务合同包/品目号号系指“采购服务一览表”中该服务的合同包/品目号。</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2.报价总价应当通过栏目9的计算方式得出。</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4.此表第10项报价总价若与报价一览表有出入，以报价一览表报价价格为准。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5.按服务的不同项目详细分项报价，若未详细分项报价将被视为没有实质性响应采购文件。</w:t>
      </w:r>
    </w:p>
    <w:p>
      <w:pPr>
        <w:pStyle w:val="61"/>
        <w:spacing w:line="360" w:lineRule="auto"/>
        <w:outlineLvl w:val="9"/>
        <w:rPr>
          <w:rFonts w:hint="eastAsia" w:hAnsi="宋体" w:eastAsia="宋体" w:cs="宋体"/>
          <w:bCs/>
          <w:color w:val="auto"/>
          <w:sz w:val="24"/>
          <w:szCs w:val="24"/>
          <w:highlight w:val="none"/>
          <w:u w:val="single"/>
        </w:rPr>
      </w:pPr>
      <w:bookmarkStart w:id="145" w:name="_Toc10956"/>
      <w:bookmarkStart w:id="146" w:name="_Toc11146"/>
      <w:bookmarkStart w:id="147" w:name="_Toc1343288096"/>
      <w:r>
        <w:rPr>
          <w:rFonts w:hint="eastAsia" w:hAnsi="宋体" w:eastAsia="宋体" w:cs="宋体"/>
          <w:bCs/>
          <w:color w:val="auto"/>
          <w:sz w:val="24"/>
          <w:szCs w:val="24"/>
          <w:highlight w:val="none"/>
        </w:rPr>
        <w:t>报价人代表签名：</w:t>
      </w:r>
      <w:bookmarkEnd w:id="145"/>
      <w:bookmarkEnd w:id="146"/>
      <w:bookmarkEnd w:id="147"/>
      <w:r>
        <w:rPr>
          <w:rFonts w:hint="eastAsia" w:hAnsi="宋体" w:eastAsia="宋体" w:cs="宋体"/>
          <w:bCs/>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详细服务项说明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pPr>
        <w:spacing w:line="360" w:lineRule="auto"/>
        <w:ind w:firstLine="660"/>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120" w:firstLineChars="50"/>
        <w:rPr>
          <w:rFonts w:hint="eastAsia" w:ascii="宋体" w:hAnsi="宋体" w:eastAsia="宋体" w:cs="宋体"/>
          <w:color w:val="auto"/>
          <w:sz w:val="24"/>
          <w:szCs w:val="24"/>
          <w:highlight w:val="none"/>
          <w:u w:val="singl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报价人名称（全程并加盖公章）：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注：1.报价人根据采购要求逐条说明谈判响应情况。</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。报价人存在弄虚作假行为的，将依法承担响应的法律责任。</w:t>
      </w:r>
    </w:p>
    <w:p>
      <w:pPr>
        <w:spacing w:line="360" w:lineRule="auto"/>
        <w:jc w:val="center"/>
        <w:rPr>
          <w:rFonts w:hint="eastAsia" w:ascii="宋体" w:hAnsi="宋体" w:eastAsia="宋体" w:cs="宋体"/>
          <w:bCs/>
          <w:color w:val="auto"/>
          <w:sz w:val="24"/>
          <w:szCs w:val="24"/>
          <w:highlight w:val="none"/>
        </w:rPr>
      </w:pPr>
    </w:p>
    <w:p>
      <w:pPr>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sectPr>
          <w:footerReference r:id="rId16" w:type="default"/>
          <w:pgSz w:w="16838" w:h="11906" w:orient="landscape"/>
          <w:pgMar w:top="1797" w:right="1440" w:bottom="1797" w:left="1440" w:header="851" w:footer="992" w:gutter="0"/>
          <w:cols w:space="720" w:num="1"/>
          <w:docGrid w:linePitch="312" w:charSpace="0"/>
        </w:sectPr>
      </w:pPr>
    </w:p>
    <w:p>
      <w:pPr>
        <w:pStyle w:val="2"/>
        <w:keepNext w:val="0"/>
        <w:keepLines w:val="0"/>
        <w:spacing w:before="0" w:after="0" w:line="360" w:lineRule="auto"/>
        <w:ind w:left="0" w:firstLine="2570" w:firstLineChars="800"/>
        <w:jc w:val="both"/>
        <w:rPr>
          <w:rFonts w:hint="eastAsia" w:ascii="宋体" w:hAnsi="宋体" w:eastAsia="宋体" w:cs="宋体"/>
          <w:b w:val="0"/>
          <w:bCs w:val="0"/>
          <w:color w:val="auto"/>
          <w:sz w:val="24"/>
          <w:szCs w:val="24"/>
          <w:highlight w:val="none"/>
        </w:rPr>
      </w:pPr>
      <w:bookmarkStart w:id="148" w:name="_Toc1876174028"/>
      <w:bookmarkStart w:id="149" w:name="_Toc18875"/>
      <w:bookmarkStart w:id="150" w:name="_Toc32263"/>
      <w:r>
        <w:rPr>
          <w:rFonts w:hint="eastAsia" w:ascii="宋体" w:hAnsi="宋体" w:eastAsia="宋体" w:cs="宋体"/>
          <w:color w:val="auto"/>
          <w:sz w:val="32"/>
          <w:szCs w:val="32"/>
          <w:highlight w:val="none"/>
        </w:rPr>
        <w:t>服务人员配备表</w:t>
      </w:r>
      <w:bookmarkEnd w:id="148"/>
      <w:bookmarkEnd w:id="149"/>
      <w:bookmarkEnd w:id="150"/>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1"/>
        <w:gridCol w:w="1672"/>
        <w:gridCol w:w="527"/>
        <w:gridCol w:w="527"/>
        <w:gridCol w:w="526"/>
        <w:gridCol w:w="947"/>
        <w:gridCol w:w="823"/>
        <w:gridCol w:w="586"/>
        <w:gridCol w:w="1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41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672"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26"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356"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1137"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413"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67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6"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1137"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2"/>
        <w:keepNext w:val="0"/>
        <w:keepLines w:val="0"/>
        <w:spacing w:before="0" w:after="0" w:line="360" w:lineRule="auto"/>
        <w:ind w:left="68"/>
        <w:jc w:val="center"/>
        <w:rPr>
          <w:rFonts w:hint="eastAsia" w:ascii="宋体" w:hAnsi="宋体" w:eastAsia="宋体" w:cs="宋体"/>
          <w:color w:val="auto"/>
          <w:sz w:val="24"/>
          <w:szCs w:val="24"/>
          <w:highlight w:val="none"/>
        </w:rPr>
      </w:pPr>
      <w:bookmarkStart w:id="151" w:name="_Toc20816"/>
      <w:bookmarkStart w:id="152" w:name="_Toc54083296"/>
      <w:bookmarkStart w:id="153" w:name="_Toc30878"/>
      <w:r>
        <w:rPr>
          <w:rFonts w:hint="eastAsia" w:ascii="宋体" w:hAnsi="宋体" w:eastAsia="宋体" w:cs="宋体"/>
          <w:color w:val="auto"/>
          <w:sz w:val="32"/>
          <w:szCs w:val="32"/>
          <w:highlight w:val="none"/>
        </w:rPr>
        <w:t>服务人员履历表</w:t>
      </w:r>
      <w:bookmarkEnd w:id="151"/>
      <w:bookmarkEnd w:id="152"/>
      <w:bookmarkEnd w:id="153"/>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bl>
    <w:p>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注：拟派各专业人员应分别填写本表。人员没有填写本表的，视为缺此职位（岗位）</w:t>
      </w:r>
    </w:p>
    <w:p>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报价人代表：</w:t>
      </w:r>
      <w:r>
        <w:rPr>
          <w:rFonts w:hint="eastAsia" w:ascii="宋体" w:hAnsi="宋体" w:eastAsia="宋体" w:cs="宋体"/>
          <w:b w:val="0"/>
          <w:bCs w:val="0"/>
          <w:color w:val="auto"/>
          <w:sz w:val="24"/>
          <w:szCs w:val="24"/>
          <w:highlight w:val="none"/>
          <w:u w:val="single"/>
        </w:rPr>
        <w:t xml:space="preserve">              </w:t>
      </w:r>
    </w:p>
    <w:p>
      <w:pPr>
        <w:keepNext w:val="0"/>
        <w:keepLines w:val="0"/>
        <w:spacing w:before="0" w:after="0" w:line="360" w:lineRule="auto"/>
        <w:ind w:left="68"/>
        <w:jc w:val="cente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日期：</w:t>
      </w:r>
      <w:r>
        <w:rPr>
          <w:rFonts w:hint="eastAsia" w:ascii="宋体" w:hAnsi="宋体" w:eastAsia="宋体" w:cs="宋体"/>
          <w:b w:val="0"/>
          <w:bCs w:val="0"/>
          <w:color w:val="auto"/>
          <w:sz w:val="24"/>
          <w:szCs w:val="24"/>
          <w:highlight w:val="none"/>
          <w:u w:val="single"/>
        </w:rPr>
        <w:t xml:space="preserve">             </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pStyle w:val="2"/>
        <w:keepNext w:val="0"/>
        <w:keepLines w:val="0"/>
        <w:spacing w:before="0" w:after="0" w:line="360" w:lineRule="auto"/>
        <w:ind w:left="0" w:firstLine="2891" w:firstLineChars="900"/>
        <w:jc w:val="both"/>
        <w:rPr>
          <w:rFonts w:hint="eastAsia" w:ascii="宋体" w:hAnsi="宋体" w:eastAsia="宋体" w:cs="宋体"/>
          <w:b/>
          <w:bCs/>
          <w:color w:val="auto"/>
          <w:sz w:val="24"/>
          <w:szCs w:val="24"/>
          <w:highlight w:val="none"/>
        </w:rPr>
      </w:pPr>
      <w:bookmarkStart w:id="154" w:name="_Toc11335"/>
      <w:bookmarkStart w:id="155" w:name="_Toc878875674"/>
      <w:bookmarkStart w:id="156" w:name="_Toc6768"/>
      <w:r>
        <w:rPr>
          <w:rFonts w:hint="eastAsia" w:ascii="宋体" w:hAnsi="宋体" w:eastAsia="宋体" w:cs="宋体"/>
          <w:b/>
          <w:bCs/>
          <w:color w:val="auto"/>
          <w:sz w:val="32"/>
          <w:szCs w:val="32"/>
          <w:highlight w:val="none"/>
        </w:rPr>
        <w:t>服务承诺质量承诺书</w:t>
      </w:r>
      <w:bookmarkEnd w:id="154"/>
      <w:bookmarkEnd w:id="155"/>
      <w:bookmarkEnd w:id="156"/>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报价人的资格证明文件</w:t>
      </w:r>
    </w:p>
    <w:p>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32"/>
          <w:szCs w:val="32"/>
          <w:highlight w:val="none"/>
        </w:rPr>
        <w:t>关于资格的声明函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（项目编号）政府谈判邀请，本签字人愿意参加谈判，提供采购文件“采购服务及要求”中规定的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240" w:lineRule="auto"/>
        <w:ind w:firstLine="0" w:firstLineChars="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360" w:lineRule="auto"/>
        <w:ind w:firstLine="2891" w:firstLineChars="9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2.我方在此声明，我方具备并满足下列各项条款的规定。本声明如有虚假或不实之处，我方将失去合格报价人资格且我方的谈判保证金将不予退还。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3.最近三年响应服务在国内主要用户的名称和地址：</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就我方全部所知，兹证明上诉声明是真实、正确的，并已提供了全部现有资料和数据，我方同意根据贵方要求出示文件予以证实。</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ind w:firstLine="2891" w:firstLineChars="9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 xml:space="preserve">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活动，全权代表本公司处理</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过程的一切事宜，包括但不限于：</w:t>
      </w:r>
      <w:r>
        <w:rPr>
          <w:rFonts w:hint="eastAsia" w:hAnsi="宋体" w:eastAsia="宋体" w:cs="宋体"/>
          <w:color w:val="auto"/>
          <w:sz w:val="24"/>
          <w:szCs w:val="24"/>
          <w:highlight w:val="none"/>
          <w:lang w:eastAsia="zh-CN"/>
        </w:rPr>
        <w:t>（1）签署、澄清、补正、修改、撤回、提交报价文件；（2）签署并重新提交报价文件及报价；（3）退出谈判；（4）签订合同和处理有关事宜。报价人</w:t>
      </w:r>
      <w:r>
        <w:rPr>
          <w:rFonts w:hint="eastAsia" w:hAnsi="宋体" w:eastAsia="宋体" w:cs="宋体"/>
          <w:color w:val="auto"/>
          <w:sz w:val="24"/>
          <w:szCs w:val="24"/>
          <w:highlight w:val="none"/>
        </w:rPr>
        <w:t>代表在</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过程中所签署的一切文件和处理与之有关的一切事务，本公司均予以认可并对此承担责任。</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代表无转委托权。特此授权。</w:t>
      </w:r>
    </w:p>
    <w:p>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pStyle w:val="61"/>
        <w:spacing w:line="360" w:lineRule="auto"/>
        <w:ind w:firstLine="1928" w:firstLineChars="600"/>
        <w:jc w:val="both"/>
        <w:outlineLvl w:val="9"/>
        <w:rPr>
          <w:rFonts w:hint="eastAsia" w:hAnsi="宋体" w:eastAsia="宋体" w:cs="宋体"/>
          <w:b/>
          <w:color w:val="auto"/>
          <w:sz w:val="32"/>
          <w:szCs w:val="32"/>
          <w:highlight w:val="none"/>
        </w:rPr>
      </w:pPr>
    </w:p>
    <w:p>
      <w:pPr>
        <w:spacing w:line="360" w:lineRule="auto"/>
        <w:ind w:firstLineChars="600"/>
        <w:jc w:val="both"/>
        <w:outlineLvl w:val="1"/>
        <w:rPr>
          <w:rFonts w:hint="eastAsia" w:hAnsi="宋体" w:eastAsia="宋体" w:cs="宋体"/>
          <w:b/>
          <w:color w:val="auto"/>
          <w:sz w:val="32"/>
          <w:szCs w:val="32"/>
          <w:highlight w:val="none"/>
        </w:rPr>
      </w:pPr>
      <w:bookmarkStart w:id="157" w:name="_Toc1177043660"/>
      <w:r>
        <w:rPr>
          <w:rFonts w:hint="eastAsia" w:hAnsi="宋体" w:eastAsia="宋体" w:cs="宋体"/>
          <w:b/>
          <w:color w:val="auto"/>
          <w:sz w:val="32"/>
          <w:szCs w:val="32"/>
          <w:highlight w:val="none"/>
        </w:rPr>
        <w:br w:type="page"/>
      </w:r>
    </w:p>
    <w:p>
      <w:pPr>
        <w:pStyle w:val="61"/>
        <w:spacing w:line="360" w:lineRule="auto"/>
        <w:ind w:firstLine="1928" w:firstLineChars="600"/>
        <w:jc w:val="both"/>
        <w:outlineLvl w:val="1"/>
        <w:rPr>
          <w:rFonts w:hint="eastAsia" w:hAnsi="宋体" w:eastAsia="宋体" w:cs="宋体"/>
          <w:color w:val="auto"/>
          <w:sz w:val="24"/>
          <w:szCs w:val="24"/>
          <w:highlight w:val="none"/>
        </w:rPr>
      </w:pPr>
      <w:bookmarkStart w:id="158" w:name="_Toc29931"/>
      <w:bookmarkStart w:id="159" w:name="_Toc15789"/>
      <w:r>
        <w:rPr>
          <w:rFonts w:hint="eastAsia" w:hAnsi="宋体" w:eastAsia="宋体" w:cs="宋体"/>
          <w:b/>
          <w:color w:val="auto"/>
          <w:sz w:val="32"/>
          <w:szCs w:val="32"/>
          <w:highlight w:val="none"/>
        </w:rPr>
        <w:t>单位营业执照、税务登记证</w:t>
      </w:r>
      <w:bookmarkEnd w:id="157"/>
      <w:bookmarkEnd w:id="158"/>
      <w:bookmarkEnd w:id="159"/>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（签发机关名称）签发的我方单位营业执照副本复印件，该执照业，真实有效。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pPr>
        <w:spacing w:line="360" w:lineRule="auto"/>
        <w:rPr>
          <w:rFonts w:hint="eastAsia" w:ascii="宋体" w:hAnsi="宋体" w:eastAsia="宋体" w:cs="宋体"/>
          <w:color w:val="auto"/>
          <w:sz w:val="24"/>
          <w:szCs w:val="24"/>
          <w:highlight w:val="none"/>
        </w:rPr>
      </w:pPr>
    </w:p>
    <w:p>
      <w:pPr>
        <w:pStyle w:val="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单位营业执照、税务登记证提供复印件，由企业加盖公章并注明复印件与原件一致。</w:t>
      </w:r>
    </w:p>
    <w:p>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营业执照有加载统一社会信用代码的，无需提供税务登记证、组织机构代码证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报价人提交的其他资料</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报价人认为应提交的其他材料, 可在此附件中提交。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8"/>
        <w:snapToGrid w:val="0"/>
        <w:spacing w:line="360" w:lineRule="auto"/>
        <w:jc w:val="left"/>
        <w:rPr>
          <w:rFonts w:hint="eastAsia" w:hAnsi="宋体" w:eastAsia="宋体" w:cs="宋体"/>
          <w:color w:val="auto"/>
          <w:sz w:val="24"/>
          <w:szCs w:val="24"/>
          <w:highlight w:val="none"/>
        </w:rPr>
      </w:pPr>
    </w:p>
    <w:p>
      <w:pPr>
        <w:pStyle w:val="8"/>
        <w:snapToGrid w:val="0"/>
        <w:spacing w:line="360" w:lineRule="auto"/>
        <w:jc w:val="left"/>
        <w:rPr>
          <w:rFonts w:hint="eastAsia" w:hAnsi="宋体" w:eastAsia="宋体" w:cs="宋体"/>
          <w:color w:val="auto"/>
          <w:sz w:val="24"/>
          <w:szCs w:val="24"/>
          <w:highlight w:val="none"/>
        </w:rPr>
      </w:pPr>
    </w:p>
    <w:p>
      <w:pPr>
        <w:pStyle w:val="8"/>
        <w:snapToGrid w:val="0"/>
        <w:spacing w:line="360" w:lineRule="auto"/>
        <w:jc w:val="left"/>
        <w:rPr>
          <w:rFonts w:hint="eastAsia" w:hAnsi="宋体" w:eastAsia="宋体" w:cs="宋体"/>
          <w:color w:val="auto"/>
          <w:sz w:val="24"/>
          <w:szCs w:val="24"/>
          <w:highlight w:val="none"/>
        </w:rPr>
      </w:pPr>
    </w:p>
    <w:p>
      <w:pPr>
        <w:pStyle w:val="61"/>
        <w:spacing w:line="360" w:lineRule="auto"/>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pPr>
        <w:pStyle w:val="61"/>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采购谈判</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24"/>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（采购人、采购代理机构）</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（项目编号：    ）</w:t>
      </w:r>
      <w:r>
        <w:rPr>
          <w:rFonts w:hint="eastAsia" w:ascii="宋体" w:hAnsi="宋体" w:eastAsia="宋体" w:cs="宋体"/>
          <w:color w:val="auto"/>
          <w:sz w:val="24"/>
          <w:szCs w:val="24"/>
          <w:highlight w:val="none"/>
        </w:rPr>
        <w:t>项目的政府采购活动，现承诺如下：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1.我单位具有符合采购文件资格要求的财务状况报告。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2.我单位具有符合采购文件资格要求的依法缴纳税收的相关证明材料。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单位负责人或授权代表（签字）：</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报价人可删减承诺事项，如删去承诺第1项的，则应按采购文件要求提供财务状况报告。</w:t>
      </w: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退还谈判保证金申请表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谈判保证金金额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开户行账号（原来转谈判保证金账号）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备注：成交供应商在接到厦门万翔招标有限公司 发出的成交结果通知书后，需尽快缴交完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（报价人名称，加盖公章）</w:t>
      </w: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7"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附件：格式四表一注及资信证明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附件1财务审计(会计)报告中的四表</w:t>
      </w:r>
      <w:bookmarkStart w:id="160" w:name="_Hlt448395086"/>
      <w:bookmarkStart w:id="161" w:name="_Hlt448395085"/>
      <w:r>
        <w:rPr>
          <w:rFonts w:hint="eastAsia" w:ascii="宋体" w:hAnsi="宋体" w:eastAsia="宋体" w:cs="宋体"/>
          <w:color w:val="auto"/>
          <w:sz w:val="24"/>
          <w:szCs w:val="24"/>
          <w:highlight w:val="none"/>
        </w:rPr>
        <w:t>一</w:t>
      </w:r>
      <w:bookmarkEnd w:id="160"/>
      <w:bookmarkEnd w:id="161"/>
      <w:r>
        <w:rPr>
          <w:rFonts w:hint="eastAsia" w:ascii="宋体" w:hAnsi="宋体" w:eastAsia="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auto"/>
          <w:sz w:val="24"/>
          <w:szCs w:val="24"/>
          <w:highlight w:val="none"/>
        </w:rPr>
      </w:pPr>
    </w:p>
    <w:tbl>
      <w:tblPr>
        <w:tblStyle w:val="18"/>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162" w:name="RANGE!A1:H65"/>
            <w:r>
              <w:rPr>
                <w:rFonts w:hint="eastAsia" w:ascii="宋体" w:hAnsi="宋体" w:eastAsia="宋体" w:cs="宋体"/>
                <w:b/>
                <w:bCs/>
                <w:color w:val="auto"/>
                <w:kern w:val="0"/>
                <w:sz w:val="24"/>
                <w:szCs w:val="24"/>
                <w:highlight w:val="none"/>
              </w:rPr>
              <w:t>资 产 负 债 表</w:t>
            </w:r>
            <w:bookmarkEnd w:id="162"/>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bl>
      <w:tblPr>
        <w:tblStyle w:val="18"/>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163" w:name="RANGE!A1:D54"/>
            <w:r>
              <w:rPr>
                <w:rFonts w:hint="eastAsia" w:ascii="宋体" w:hAnsi="宋体" w:eastAsia="宋体" w:cs="宋体"/>
                <w:b/>
                <w:bCs/>
                <w:color w:val="auto"/>
                <w:kern w:val="0"/>
                <w:sz w:val="24"/>
                <w:szCs w:val="24"/>
                <w:highlight w:val="none"/>
              </w:rPr>
              <w:t>利 润 表</w:t>
            </w:r>
            <w:bookmarkEnd w:id="163"/>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三、营业利润</w:t>
            </w:r>
            <w:r>
              <w:rPr>
                <w:rFonts w:hint="eastAsia" w:ascii="宋体" w:hAnsi="宋体" w:eastAsia="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四、利润总额</w:t>
            </w:r>
            <w:r>
              <w:rPr>
                <w:rFonts w:hint="eastAsia" w:ascii="宋体" w:hAnsi="宋体" w:eastAsia="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五、净利润</w:t>
            </w:r>
            <w:r>
              <w:rPr>
                <w:rFonts w:hint="eastAsia" w:ascii="宋体" w:hAnsi="宋体" w:eastAsia="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tbl>
      <w:tblPr>
        <w:tblStyle w:val="18"/>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auto"/>
                <w:kern w:val="0"/>
                <w:sz w:val="24"/>
                <w:szCs w:val="24"/>
                <w:highlight w:val="none"/>
              </w:rPr>
            </w:pPr>
            <w:bookmarkStart w:id="164" w:name="RANGE!A1:D47"/>
            <w:r>
              <w:rPr>
                <w:rFonts w:hint="eastAsia" w:ascii="宋体" w:hAnsi="宋体" w:eastAsia="宋体" w:cs="宋体"/>
                <w:bCs/>
                <w:color w:val="auto"/>
                <w:kern w:val="0"/>
                <w:sz w:val="24"/>
                <w:szCs w:val="24"/>
                <w:highlight w:val="none"/>
              </w:rPr>
              <w:t>现 金 流 量 表</w:t>
            </w:r>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559"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977"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bl>
    <w:p>
      <w:pPr>
        <w:spacing w:line="360" w:lineRule="auto"/>
        <w:ind w:left="1321"/>
        <w:rPr>
          <w:rFonts w:hint="eastAsia" w:ascii="宋体" w:hAnsi="宋体" w:eastAsia="宋体" w:cs="宋体"/>
          <w:color w:val="auto"/>
          <w:sz w:val="24"/>
          <w:szCs w:val="24"/>
          <w:highlight w:val="none"/>
        </w:rPr>
      </w:pPr>
    </w:p>
    <w:p>
      <w:pPr>
        <w:spacing w:line="360" w:lineRule="auto"/>
        <w:ind w:left="1321"/>
        <w:rPr>
          <w:rFonts w:hint="eastAsia" w:ascii="宋体" w:hAnsi="宋体" w:eastAsia="宋体" w:cs="宋体"/>
          <w:color w:val="auto"/>
          <w:sz w:val="24"/>
          <w:szCs w:val="24"/>
          <w:highlight w:val="none"/>
        </w:rPr>
      </w:pPr>
    </w:p>
    <w:tbl>
      <w:tblPr>
        <w:tblStyle w:val="18"/>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auto"/>
                <w:kern w:val="0"/>
                <w:sz w:val="24"/>
                <w:szCs w:val="24"/>
                <w:highlight w:val="none"/>
              </w:rPr>
            </w:pPr>
            <w:bookmarkStart w:id="165" w:name="RANGE!A1:X29"/>
            <w:r>
              <w:rPr>
                <w:rFonts w:hint="eastAsia" w:ascii="宋体" w:hAnsi="宋体" w:eastAsia="宋体" w:cs="宋体"/>
                <w:b/>
                <w:bCs/>
                <w:color w:val="auto"/>
                <w:kern w:val="0"/>
                <w:sz w:val="24"/>
                <w:szCs w:val="24"/>
                <w:highlight w:val="none"/>
              </w:rPr>
              <w:t>所有者权益变动表</w:t>
            </w:r>
            <w:bookmarkEnd w:id="165"/>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注：带#为外商投资企业专用，加△楷体项目为金融类企业专用。</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8" w:type="default"/>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附件2资信证明</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资信证明</w:t>
      </w:r>
    </w:p>
    <w:p>
      <w:pPr>
        <w:spacing w:line="360" w:lineRule="auto"/>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pPr>
        <w:spacing w:line="360" w:lineRule="auto"/>
        <w:jc w:val="left"/>
        <w:rPr>
          <w:rFonts w:hint="eastAsia" w:ascii="宋体" w:hAnsi="宋体" w:eastAsia="宋体" w:cs="宋体"/>
          <w:color w:val="auto"/>
          <w:sz w:val="24"/>
          <w:szCs w:val="24"/>
          <w:highlight w:val="none"/>
        </w:rPr>
      </w:pP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spacing w:line="360" w:lineRule="auto"/>
        <w:jc w:val="left"/>
        <w:rPr>
          <w:rFonts w:hint="eastAsia" w:ascii="宋体" w:hAnsi="宋体" w:eastAsia="宋体" w:cs="宋体"/>
          <w:color w:val="auto"/>
          <w:sz w:val="24"/>
          <w:szCs w:val="24"/>
          <w:highlight w:val="none"/>
        </w:rPr>
      </w:pPr>
    </w:p>
    <w:p>
      <w:pPr>
        <w:spacing w:line="360" w:lineRule="auto"/>
        <w:ind w:right="4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XX银行股份有限公司 </w:t>
      </w:r>
    </w:p>
    <w:p>
      <w:pPr>
        <w:spacing w:line="360" w:lineRule="auto"/>
        <w:ind w:left="6000" w:hanging="6000" w:hanging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pPr>
        <w:spacing w:line="360" w:lineRule="auto"/>
        <w:ind w:firstLine="480" w:firstLineChars="200"/>
        <w:rPr>
          <w:rFonts w:hint="eastAsia" w:ascii="宋体" w:hAnsi="宋体" w:eastAsia="宋体" w:cs="宋体"/>
          <w:color w:val="auto"/>
          <w:sz w:val="24"/>
          <w:szCs w:val="24"/>
          <w:highlight w:val="none"/>
        </w:rPr>
      </w:pP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pPr>
        <w:pStyle w:val="16"/>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pPr>
        <w:pStyle w:val="16"/>
        <w:spacing w:before="0" w:beforeAutospacing="0" w:after="0" w:afterAutospacing="0" w:line="360" w:lineRule="auto"/>
        <w:rPr>
          <w:rFonts w:hint="eastAsia" w:eastAsia="宋体" w:cs="宋体"/>
          <w:color w:val="auto"/>
          <w:kern w:val="2"/>
          <w:sz w:val="24"/>
          <w:szCs w:val="24"/>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rPr>
          <w:color w:val="auto"/>
          <w:highlight w:val="none"/>
        </w:rPr>
      </w:pPr>
    </w:p>
    <w:p>
      <w:pPr>
        <w:rPr>
          <w:color w:val="auto"/>
          <w:highlight w:val="none"/>
        </w:rPr>
      </w:pPr>
    </w:p>
    <w:bookmarkEnd w:id="166"/>
    <w:sectPr>
      <w:footerReference r:id="rId1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lang w:val="en-US" w:eastAsia="zh-CN"/>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lang w:val="en-US" w:eastAsia="zh-CN"/>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0" w:firstLineChars="2000"/>
      <w:rPr>
        <w:rFonts w:hint="eastAsia" w:ascii="宋体" w:hAnsi="宋体"/>
      </w:rPr>
    </w:pP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79</w:t>
    </w:r>
    <w:r>
      <w:rPr>
        <w:rFonts w:ascii="宋体" w:hAnsi="宋体"/>
      </w:rPr>
      <w:fldChar w:fldCharType="end"/>
    </w:r>
    <w:r>
      <w:rPr>
        <w:rStyle w:val="21"/>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1"/>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53</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53</w:t>
    </w:r>
    <w:r>
      <w:rPr>
        <w:rFonts w:ascii="宋体" w:hAnsi="宋体"/>
      </w:rPr>
      <w:fldChar w:fldCharType="end"/>
    </w:r>
    <w:r>
      <w:rPr>
        <w:rStyle w:val="21"/>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rPr>
    </w:pPr>
    <w:r>
      <w:rPr>
        <w:rFonts w:hint="eastAsia"/>
      </w:rPr>
      <w:t xml:space="preserve">                                             </w:t>
    </w:r>
    <w:r>
      <w:rPr>
        <w:rFonts w:hint="eastAsia" w:ascii="宋体" w:hAnsi="宋体"/>
      </w:rPr>
      <w:t xml:space="preserve">                           </w:t>
    </w:r>
    <w:r>
      <w:rPr>
        <w:rStyle w:val="21"/>
        <w:rFonts w:hint="eastAsia" w:ascii="宋体" w:hAnsi="宋体"/>
      </w:rPr>
      <w:t>第</w:t>
    </w:r>
    <w:r>
      <w:rPr>
        <w:rFonts w:ascii="宋体" w:hAnsi="宋体"/>
      </w:rPr>
      <w:fldChar w:fldCharType="begin"/>
    </w:r>
    <w:r>
      <w:rPr>
        <w:rStyle w:val="21"/>
        <w:rFonts w:ascii="宋体" w:hAnsi="宋体"/>
      </w:rPr>
      <w:instrText xml:space="preserve"> PAGE </w:instrText>
    </w:r>
    <w:r>
      <w:rPr>
        <w:rFonts w:ascii="宋体" w:hAnsi="宋体"/>
      </w:rPr>
      <w:fldChar w:fldCharType="separate"/>
    </w:r>
    <w:r>
      <w:rPr>
        <w:rStyle w:val="21"/>
        <w:rFonts w:ascii="宋体" w:hAnsi="宋体"/>
      </w:rPr>
      <w:t>54</w:t>
    </w:r>
    <w:r>
      <w:rPr>
        <w:rFonts w:ascii="宋体" w:hAnsi="宋体"/>
      </w:rPr>
      <w:fldChar w:fldCharType="end"/>
    </w:r>
    <w:r>
      <w:rPr>
        <w:rStyle w:val="21"/>
        <w:rFonts w:hint="eastAsia" w:ascii="宋体" w:hAnsi="宋体"/>
      </w:rPr>
      <w:t>页，共</w:t>
    </w:r>
    <w:r>
      <w:rPr>
        <w:rFonts w:ascii="宋体" w:hAnsi="宋体"/>
      </w:rPr>
      <w:fldChar w:fldCharType="begin"/>
    </w:r>
    <w:r>
      <w:rPr>
        <w:rStyle w:val="21"/>
        <w:rFonts w:ascii="宋体" w:hAnsi="宋体"/>
      </w:rPr>
      <w:instrText xml:space="preserve"> NUMPAGES </w:instrText>
    </w:r>
    <w:r>
      <w:rPr>
        <w:rFonts w:ascii="宋体" w:hAnsi="宋体"/>
      </w:rPr>
      <w:fldChar w:fldCharType="separate"/>
    </w:r>
    <w:r>
      <w:rPr>
        <w:rStyle w:val="21"/>
        <w:rFonts w:ascii="宋体" w:hAnsi="宋体"/>
      </w:rPr>
      <w:t>54</w:t>
    </w:r>
    <w:r>
      <w:rPr>
        <w:rFonts w:ascii="宋体" w:hAnsi="宋体"/>
      </w:rPr>
      <w:fldChar w:fldCharType="end"/>
    </w:r>
    <w:r>
      <w:rPr>
        <w:rStyle w:val="21"/>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jc w:val="both"/>
      <w:rPr>
        <w:rFonts w:hint="eastAsia"/>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NWY5YjE3NGYzMmZkYTI2NTFkNWYyOGEwODRiNzgifQ=="/>
    <w:docVar w:name="KSO_WPS_MARK_KEY" w:val="b2399671-5f93-46db-8737-b916ef3f3b28"/>
  </w:docVars>
  <w:rsids>
    <w:rsidRoot w:val="00826F6A"/>
    <w:rsid w:val="00006B7E"/>
    <w:rsid w:val="00011C77"/>
    <w:rsid w:val="00015FD3"/>
    <w:rsid w:val="000303E7"/>
    <w:rsid w:val="00030994"/>
    <w:rsid w:val="00043770"/>
    <w:rsid w:val="00045B9A"/>
    <w:rsid w:val="00053914"/>
    <w:rsid w:val="000732C5"/>
    <w:rsid w:val="000748C8"/>
    <w:rsid w:val="00075869"/>
    <w:rsid w:val="000872E9"/>
    <w:rsid w:val="00091579"/>
    <w:rsid w:val="00093FB5"/>
    <w:rsid w:val="000971CF"/>
    <w:rsid w:val="000C2FD9"/>
    <w:rsid w:val="000C3DDC"/>
    <w:rsid w:val="000D1D64"/>
    <w:rsid w:val="000D2F1E"/>
    <w:rsid w:val="000D311A"/>
    <w:rsid w:val="000E2217"/>
    <w:rsid w:val="000F5947"/>
    <w:rsid w:val="0010341D"/>
    <w:rsid w:val="00107D2E"/>
    <w:rsid w:val="00141CCC"/>
    <w:rsid w:val="00142E31"/>
    <w:rsid w:val="00144C5C"/>
    <w:rsid w:val="00151204"/>
    <w:rsid w:val="00164AC4"/>
    <w:rsid w:val="001768BC"/>
    <w:rsid w:val="001868F0"/>
    <w:rsid w:val="001B2D7B"/>
    <w:rsid w:val="001B3193"/>
    <w:rsid w:val="001B787F"/>
    <w:rsid w:val="001C2730"/>
    <w:rsid w:val="001D2B9A"/>
    <w:rsid w:val="001E4519"/>
    <w:rsid w:val="001F26F2"/>
    <w:rsid w:val="00203852"/>
    <w:rsid w:val="00212252"/>
    <w:rsid w:val="00217737"/>
    <w:rsid w:val="00217FF9"/>
    <w:rsid w:val="0022106E"/>
    <w:rsid w:val="00223CBE"/>
    <w:rsid w:val="00223E78"/>
    <w:rsid w:val="00234A2F"/>
    <w:rsid w:val="00253179"/>
    <w:rsid w:val="00256B47"/>
    <w:rsid w:val="002612C0"/>
    <w:rsid w:val="0026162A"/>
    <w:rsid w:val="00261D7F"/>
    <w:rsid w:val="0026289E"/>
    <w:rsid w:val="00262CC0"/>
    <w:rsid w:val="00267A62"/>
    <w:rsid w:val="00283A4B"/>
    <w:rsid w:val="00293316"/>
    <w:rsid w:val="002A14ED"/>
    <w:rsid w:val="002A5B5F"/>
    <w:rsid w:val="002B0DEC"/>
    <w:rsid w:val="002B3942"/>
    <w:rsid w:val="002B657C"/>
    <w:rsid w:val="002B70FF"/>
    <w:rsid w:val="002B7A96"/>
    <w:rsid w:val="002C02EB"/>
    <w:rsid w:val="002C3DA6"/>
    <w:rsid w:val="002E15EC"/>
    <w:rsid w:val="002E4EF6"/>
    <w:rsid w:val="002E70BD"/>
    <w:rsid w:val="002F23EA"/>
    <w:rsid w:val="002F2695"/>
    <w:rsid w:val="002F42AE"/>
    <w:rsid w:val="002F7096"/>
    <w:rsid w:val="002F770B"/>
    <w:rsid w:val="003243BD"/>
    <w:rsid w:val="00330CEB"/>
    <w:rsid w:val="00334C7F"/>
    <w:rsid w:val="00336DE3"/>
    <w:rsid w:val="00337295"/>
    <w:rsid w:val="0034675A"/>
    <w:rsid w:val="0034734A"/>
    <w:rsid w:val="00372C2D"/>
    <w:rsid w:val="00381DD1"/>
    <w:rsid w:val="00383CBB"/>
    <w:rsid w:val="003A24A9"/>
    <w:rsid w:val="003A502F"/>
    <w:rsid w:val="003A697E"/>
    <w:rsid w:val="003B47B0"/>
    <w:rsid w:val="003D03FA"/>
    <w:rsid w:val="003D7B41"/>
    <w:rsid w:val="003F1A01"/>
    <w:rsid w:val="003F7EA5"/>
    <w:rsid w:val="004035FD"/>
    <w:rsid w:val="00411025"/>
    <w:rsid w:val="00420825"/>
    <w:rsid w:val="004314B1"/>
    <w:rsid w:val="004353D0"/>
    <w:rsid w:val="00435F2D"/>
    <w:rsid w:val="0044294E"/>
    <w:rsid w:val="0044359A"/>
    <w:rsid w:val="00451540"/>
    <w:rsid w:val="004518C4"/>
    <w:rsid w:val="00451ADF"/>
    <w:rsid w:val="004B4025"/>
    <w:rsid w:val="004C164D"/>
    <w:rsid w:val="004C5C82"/>
    <w:rsid w:val="004D263D"/>
    <w:rsid w:val="004D7F72"/>
    <w:rsid w:val="004E1F46"/>
    <w:rsid w:val="004E2B1D"/>
    <w:rsid w:val="004E2C29"/>
    <w:rsid w:val="004E6D95"/>
    <w:rsid w:val="004F2E1B"/>
    <w:rsid w:val="005027EF"/>
    <w:rsid w:val="00503F7D"/>
    <w:rsid w:val="00506CAA"/>
    <w:rsid w:val="00512B00"/>
    <w:rsid w:val="005243E4"/>
    <w:rsid w:val="00525635"/>
    <w:rsid w:val="00535601"/>
    <w:rsid w:val="00543E58"/>
    <w:rsid w:val="005513FC"/>
    <w:rsid w:val="00551EC1"/>
    <w:rsid w:val="005600DC"/>
    <w:rsid w:val="00571E36"/>
    <w:rsid w:val="005C434E"/>
    <w:rsid w:val="005D12B0"/>
    <w:rsid w:val="00601706"/>
    <w:rsid w:val="00601AAA"/>
    <w:rsid w:val="00627D6E"/>
    <w:rsid w:val="00632643"/>
    <w:rsid w:val="006417F4"/>
    <w:rsid w:val="0065099D"/>
    <w:rsid w:val="006538B1"/>
    <w:rsid w:val="006632C2"/>
    <w:rsid w:val="0066679F"/>
    <w:rsid w:val="00666BD7"/>
    <w:rsid w:val="00676FCA"/>
    <w:rsid w:val="006845F7"/>
    <w:rsid w:val="00692478"/>
    <w:rsid w:val="006975F4"/>
    <w:rsid w:val="006B155E"/>
    <w:rsid w:val="006B2C85"/>
    <w:rsid w:val="006C455E"/>
    <w:rsid w:val="006C64C3"/>
    <w:rsid w:val="006E11B4"/>
    <w:rsid w:val="006E61E3"/>
    <w:rsid w:val="006F196D"/>
    <w:rsid w:val="006F1FFC"/>
    <w:rsid w:val="006F2592"/>
    <w:rsid w:val="006F439C"/>
    <w:rsid w:val="00704893"/>
    <w:rsid w:val="00706806"/>
    <w:rsid w:val="00722957"/>
    <w:rsid w:val="0072664A"/>
    <w:rsid w:val="00727FAC"/>
    <w:rsid w:val="00753CEC"/>
    <w:rsid w:val="00756B3E"/>
    <w:rsid w:val="0076731F"/>
    <w:rsid w:val="00767785"/>
    <w:rsid w:val="00777E24"/>
    <w:rsid w:val="007B0E13"/>
    <w:rsid w:val="007C3358"/>
    <w:rsid w:val="007D69D9"/>
    <w:rsid w:val="007E4273"/>
    <w:rsid w:val="007E6FFE"/>
    <w:rsid w:val="007F64F1"/>
    <w:rsid w:val="007F7D4A"/>
    <w:rsid w:val="00823E10"/>
    <w:rsid w:val="00826F6A"/>
    <w:rsid w:val="0083339A"/>
    <w:rsid w:val="00840A8E"/>
    <w:rsid w:val="008421E2"/>
    <w:rsid w:val="008445A3"/>
    <w:rsid w:val="008621B8"/>
    <w:rsid w:val="0087497D"/>
    <w:rsid w:val="00874F39"/>
    <w:rsid w:val="00897885"/>
    <w:rsid w:val="00897E1A"/>
    <w:rsid w:val="008A0335"/>
    <w:rsid w:val="008A12B7"/>
    <w:rsid w:val="008A37EC"/>
    <w:rsid w:val="008B6210"/>
    <w:rsid w:val="008C304E"/>
    <w:rsid w:val="008D4D58"/>
    <w:rsid w:val="008E3684"/>
    <w:rsid w:val="008E7F0E"/>
    <w:rsid w:val="008F50B5"/>
    <w:rsid w:val="008F52CC"/>
    <w:rsid w:val="00901D74"/>
    <w:rsid w:val="009045AB"/>
    <w:rsid w:val="00912FE8"/>
    <w:rsid w:val="009439D5"/>
    <w:rsid w:val="009565BD"/>
    <w:rsid w:val="009571A8"/>
    <w:rsid w:val="00965B65"/>
    <w:rsid w:val="009732B8"/>
    <w:rsid w:val="00981236"/>
    <w:rsid w:val="00993B01"/>
    <w:rsid w:val="00994AE3"/>
    <w:rsid w:val="00997AA5"/>
    <w:rsid w:val="00997C0A"/>
    <w:rsid w:val="009A0057"/>
    <w:rsid w:val="009A0A01"/>
    <w:rsid w:val="009A6E5B"/>
    <w:rsid w:val="009B3F2B"/>
    <w:rsid w:val="009C6B57"/>
    <w:rsid w:val="009C734F"/>
    <w:rsid w:val="009E1319"/>
    <w:rsid w:val="009F10D4"/>
    <w:rsid w:val="009F638B"/>
    <w:rsid w:val="009F645D"/>
    <w:rsid w:val="00A071CD"/>
    <w:rsid w:val="00A173E8"/>
    <w:rsid w:val="00A22F3F"/>
    <w:rsid w:val="00A327B8"/>
    <w:rsid w:val="00A32F2D"/>
    <w:rsid w:val="00A43E9B"/>
    <w:rsid w:val="00A55E3B"/>
    <w:rsid w:val="00A6105F"/>
    <w:rsid w:val="00A774EB"/>
    <w:rsid w:val="00A838F7"/>
    <w:rsid w:val="00AA0B3A"/>
    <w:rsid w:val="00AA4AC1"/>
    <w:rsid w:val="00AB5A0E"/>
    <w:rsid w:val="00AB5A3C"/>
    <w:rsid w:val="00AB74C5"/>
    <w:rsid w:val="00AC16F6"/>
    <w:rsid w:val="00AD32AF"/>
    <w:rsid w:val="00AF14FB"/>
    <w:rsid w:val="00AF751B"/>
    <w:rsid w:val="00B17B7B"/>
    <w:rsid w:val="00B217E4"/>
    <w:rsid w:val="00B23D83"/>
    <w:rsid w:val="00B24270"/>
    <w:rsid w:val="00B247B0"/>
    <w:rsid w:val="00B30E8D"/>
    <w:rsid w:val="00B4164B"/>
    <w:rsid w:val="00B43C6F"/>
    <w:rsid w:val="00B469DC"/>
    <w:rsid w:val="00B6004E"/>
    <w:rsid w:val="00B63932"/>
    <w:rsid w:val="00B64105"/>
    <w:rsid w:val="00B644AC"/>
    <w:rsid w:val="00B65A20"/>
    <w:rsid w:val="00B72CC5"/>
    <w:rsid w:val="00B76900"/>
    <w:rsid w:val="00B844B1"/>
    <w:rsid w:val="00B8564C"/>
    <w:rsid w:val="00BA20E7"/>
    <w:rsid w:val="00BC1BA1"/>
    <w:rsid w:val="00BC56F7"/>
    <w:rsid w:val="00BD0923"/>
    <w:rsid w:val="00BD6A03"/>
    <w:rsid w:val="00BD6E9F"/>
    <w:rsid w:val="00BE2089"/>
    <w:rsid w:val="00BE7535"/>
    <w:rsid w:val="00BF03FF"/>
    <w:rsid w:val="00BF0F4C"/>
    <w:rsid w:val="00BF1DC6"/>
    <w:rsid w:val="00BF391A"/>
    <w:rsid w:val="00BF431E"/>
    <w:rsid w:val="00C05A06"/>
    <w:rsid w:val="00C26300"/>
    <w:rsid w:val="00C271B5"/>
    <w:rsid w:val="00C272D3"/>
    <w:rsid w:val="00C31281"/>
    <w:rsid w:val="00C3291A"/>
    <w:rsid w:val="00C45432"/>
    <w:rsid w:val="00C45702"/>
    <w:rsid w:val="00C53AA0"/>
    <w:rsid w:val="00C74D98"/>
    <w:rsid w:val="00C76E0E"/>
    <w:rsid w:val="00C778BA"/>
    <w:rsid w:val="00C84F3C"/>
    <w:rsid w:val="00C92550"/>
    <w:rsid w:val="00C93CFE"/>
    <w:rsid w:val="00CA2773"/>
    <w:rsid w:val="00CB273F"/>
    <w:rsid w:val="00CB62F0"/>
    <w:rsid w:val="00CB724C"/>
    <w:rsid w:val="00CB733C"/>
    <w:rsid w:val="00CC2F92"/>
    <w:rsid w:val="00CE1C40"/>
    <w:rsid w:val="00CE61EE"/>
    <w:rsid w:val="00CE7BBA"/>
    <w:rsid w:val="00CF1F04"/>
    <w:rsid w:val="00D14B11"/>
    <w:rsid w:val="00D16C42"/>
    <w:rsid w:val="00D27CB1"/>
    <w:rsid w:val="00D41D80"/>
    <w:rsid w:val="00D43D9E"/>
    <w:rsid w:val="00D60AC6"/>
    <w:rsid w:val="00D67C85"/>
    <w:rsid w:val="00D75BED"/>
    <w:rsid w:val="00D84D58"/>
    <w:rsid w:val="00D92403"/>
    <w:rsid w:val="00DC2203"/>
    <w:rsid w:val="00DC7E9D"/>
    <w:rsid w:val="00DE4928"/>
    <w:rsid w:val="00DF4F91"/>
    <w:rsid w:val="00E0348B"/>
    <w:rsid w:val="00E0388A"/>
    <w:rsid w:val="00E040C0"/>
    <w:rsid w:val="00E06CBB"/>
    <w:rsid w:val="00E217CE"/>
    <w:rsid w:val="00E37F63"/>
    <w:rsid w:val="00E4442C"/>
    <w:rsid w:val="00E46DBB"/>
    <w:rsid w:val="00E55465"/>
    <w:rsid w:val="00E72656"/>
    <w:rsid w:val="00E7342C"/>
    <w:rsid w:val="00E80B7C"/>
    <w:rsid w:val="00E9294C"/>
    <w:rsid w:val="00EA1A54"/>
    <w:rsid w:val="00EA68BE"/>
    <w:rsid w:val="00EB121A"/>
    <w:rsid w:val="00EC4069"/>
    <w:rsid w:val="00EC5622"/>
    <w:rsid w:val="00ED0F4F"/>
    <w:rsid w:val="00ED38F5"/>
    <w:rsid w:val="00ED5E4C"/>
    <w:rsid w:val="00EF0A65"/>
    <w:rsid w:val="00EF561D"/>
    <w:rsid w:val="00F11077"/>
    <w:rsid w:val="00F14343"/>
    <w:rsid w:val="00F14A72"/>
    <w:rsid w:val="00F15452"/>
    <w:rsid w:val="00F22DE8"/>
    <w:rsid w:val="00F26BE2"/>
    <w:rsid w:val="00F43DFC"/>
    <w:rsid w:val="00F44DDC"/>
    <w:rsid w:val="00F705F5"/>
    <w:rsid w:val="00F71167"/>
    <w:rsid w:val="00F72528"/>
    <w:rsid w:val="00F82DBB"/>
    <w:rsid w:val="00FA1AAE"/>
    <w:rsid w:val="00FC0838"/>
    <w:rsid w:val="00FC089C"/>
    <w:rsid w:val="00FC0BFE"/>
    <w:rsid w:val="00FD65A2"/>
    <w:rsid w:val="00FE2E9B"/>
    <w:rsid w:val="00FE707B"/>
    <w:rsid w:val="00FF57CB"/>
    <w:rsid w:val="011D5F8D"/>
    <w:rsid w:val="035D27D2"/>
    <w:rsid w:val="043A3CDA"/>
    <w:rsid w:val="04847877"/>
    <w:rsid w:val="0B7B081B"/>
    <w:rsid w:val="0D7F2E4D"/>
    <w:rsid w:val="0EA15B6F"/>
    <w:rsid w:val="0EF832A3"/>
    <w:rsid w:val="0F7E318D"/>
    <w:rsid w:val="166833DF"/>
    <w:rsid w:val="17D04423"/>
    <w:rsid w:val="19813841"/>
    <w:rsid w:val="1B881401"/>
    <w:rsid w:val="1BDA58E9"/>
    <w:rsid w:val="1BEB411F"/>
    <w:rsid w:val="1C6E2B7A"/>
    <w:rsid w:val="1CEE1A37"/>
    <w:rsid w:val="1F4F04D2"/>
    <w:rsid w:val="1F6F649F"/>
    <w:rsid w:val="1FD80A24"/>
    <w:rsid w:val="22F65E5F"/>
    <w:rsid w:val="241D1B10"/>
    <w:rsid w:val="24C4697E"/>
    <w:rsid w:val="26422FD8"/>
    <w:rsid w:val="2EC33BC6"/>
    <w:rsid w:val="30BD3299"/>
    <w:rsid w:val="32015D16"/>
    <w:rsid w:val="3713670C"/>
    <w:rsid w:val="3D586847"/>
    <w:rsid w:val="4129526C"/>
    <w:rsid w:val="432256F2"/>
    <w:rsid w:val="444720C0"/>
    <w:rsid w:val="450D3250"/>
    <w:rsid w:val="4578271B"/>
    <w:rsid w:val="46EB3C2F"/>
    <w:rsid w:val="4AAF2E95"/>
    <w:rsid w:val="4BA33403"/>
    <w:rsid w:val="4C2D6187"/>
    <w:rsid w:val="4FAD3860"/>
    <w:rsid w:val="52BB232E"/>
    <w:rsid w:val="54A5594D"/>
    <w:rsid w:val="55FA7A9F"/>
    <w:rsid w:val="569268B6"/>
    <w:rsid w:val="5A3831B0"/>
    <w:rsid w:val="5D156624"/>
    <w:rsid w:val="5EAC38E4"/>
    <w:rsid w:val="5F153B27"/>
    <w:rsid w:val="65716D25"/>
    <w:rsid w:val="70D56FA7"/>
    <w:rsid w:val="75055F17"/>
    <w:rsid w:val="764F490A"/>
    <w:rsid w:val="76A50EA4"/>
    <w:rsid w:val="76A96C4B"/>
    <w:rsid w:val="790C61DB"/>
    <w:rsid w:val="7A236709"/>
    <w:rsid w:val="7B2B395E"/>
    <w:rsid w:val="7CC20168"/>
    <w:rsid w:val="BF9FDDB0"/>
    <w:rsid w:val="C6BE61C9"/>
    <w:rsid w:val="D95B1145"/>
    <w:rsid w:val="F7F75FD9"/>
    <w:rsid w:val="FB3DDD30"/>
    <w:rsid w:val="FB7766D5"/>
    <w:rsid w:val="FFF59D1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7"/>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link w:val="28"/>
    <w:qFormat/>
    <w:uiPriority w:val="0"/>
    <w:pPr>
      <w:ind w:firstLine="420"/>
    </w:pPr>
    <w:rPr>
      <w:rFonts w:ascii="宋体" w:hAnsi="宋体"/>
      <w:kern w:val="0"/>
      <w:sz w:val="20"/>
      <w:szCs w:val="20"/>
    </w:rPr>
  </w:style>
  <w:style w:type="paragraph" w:styleId="5">
    <w:name w:val="annotation text"/>
    <w:basedOn w:val="1"/>
    <w:link w:val="29"/>
    <w:unhideWhenUsed/>
    <w:qFormat/>
    <w:uiPriority w:val="99"/>
    <w:pPr>
      <w:jc w:val="left"/>
    </w:pPr>
  </w:style>
  <w:style w:type="paragraph" w:styleId="6">
    <w:name w:val="Body Text"/>
    <w:basedOn w:val="1"/>
    <w:link w:val="30"/>
    <w:qFormat/>
    <w:uiPriority w:val="0"/>
    <w:pPr>
      <w:spacing w:after="120"/>
    </w:pPr>
    <w:rPr>
      <w:szCs w:val="24"/>
    </w:rPr>
  </w:style>
  <w:style w:type="paragraph" w:styleId="7">
    <w:name w:val="Body Text Indent"/>
    <w:basedOn w:val="1"/>
    <w:link w:val="31"/>
    <w:qFormat/>
    <w:uiPriority w:val="0"/>
    <w:pPr>
      <w:spacing w:after="120"/>
      <w:ind w:left="420" w:leftChars="200"/>
    </w:pPr>
    <w:rPr>
      <w:szCs w:val="24"/>
    </w:rPr>
  </w:style>
  <w:style w:type="paragraph" w:styleId="8">
    <w:name w:val="Plain Text"/>
    <w:basedOn w:val="1"/>
    <w:link w:val="32"/>
    <w:qFormat/>
    <w:uiPriority w:val="0"/>
    <w:rPr>
      <w:rFonts w:ascii="宋体" w:hAnsi="Courier New"/>
      <w:kern w:val="0"/>
      <w:sz w:val="20"/>
      <w:szCs w:val="20"/>
    </w:rPr>
  </w:style>
  <w:style w:type="paragraph" w:styleId="9">
    <w:name w:val="Body Text Indent 2"/>
    <w:basedOn w:val="1"/>
    <w:link w:val="33"/>
    <w:qFormat/>
    <w:uiPriority w:val="0"/>
    <w:pPr>
      <w:spacing w:after="120" w:line="480" w:lineRule="auto"/>
      <w:ind w:left="420" w:leftChars="200"/>
    </w:pPr>
    <w:rPr>
      <w:szCs w:val="24"/>
    </w:rPr>
  </w:style>
  <w:style w:type="paragraph" w:styleId="10">
    <w:name w:val="Balloon Text"/>
    <w:basedOn w:val="1"/>
    <w:link w:val="34"/>
    <w:qFormat/>
    <w:uiPriority w:val="0"/>
    <w:rPr>
      <w:kern w:val="0"/>
      <w:sz w:val="18"/>
      <w:szCs w:val="18"/>
    </w:rPr>
  </w:style>
  <w:style w:type="paragraph" w:styleId="11">
    <w:name w:val="footer"/>
    <w:basedOn w:val="1"/>
    <w:link w:val="35"/>
    <w:unhideWhenUsed/>
    <w:qFormat/>
    <w:uiPriority w:val="0"/>
    <w:pPr>
      <w:tabs>
        <w:tab w:val="center" w:pos="4153"/>
        <w:tab w:val="right" w:pos="8306"/>
      </w:tabs>
      <w:snapToGrid w:val="0"/>
      <w:jc w:val="left"/>
    </w:pPr>
    <w:rPr>
      <w:sz w:val="18"/>
      <w:szCs w:val="18"/>
    </w:rPr>
  </w:style>
  <w:style w:type="paragraph" w:styleId="12">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rFonts w:ascii="Times New Roman" w:hAnsi="Times New Roman"/>
      <w:szCs w:val="24"/>
    </w:rPr>
  </w:style>
  <w:style w:type="paragraph" w:styleId="14">
    <w:name w:val="toc 2"/>
    <w:basedOn w:val="1"/>
    <w:next w:val="1"/>
    <w:qFormat/>
    <w:uiPriority w:val="39"/>
    <w:pPr>
      <w:ind w:left="420" w:leftChars="200"/>
    </w:pPr>
    <w:rPr>
      <w:rFonts w:ascii="Times New Roman" w:hAnsi="Times New Roman"/>
      <w:szCs w:val="20"/>
    </w:rPr>
  </w:style>
  <w:style w:type="paragraph" w:styleId="15">
    <w:name w:val="HTML Preformatted"/>
    <w:basedOn w:val="1"/>
    <w:link w:val="3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5"/>
    <w:next w:val="5"/>
    <w:link w:val="38"/>
    <w:unhideWhenUsed/>
    <w:qFormat/>
    <w:uiPriority w:val="99"/>
    <w:rPr>
      <w:b/>
      <w:bCs/>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99"/>
    <w:rPr>
      <w:color w:val="800080"/>
      <w:u w:val="single"/>
    </w:rPr>
  </w:style>
  <w:style w:type="character" w:styleId="23">
    <w:name w:val="Emphasis"/>
    <w:basedOn w:val="19"/>
    <w:qFormat/>
    <w:uiPriority w:val="20"/>
    <w:rPr>
      <w:i/>
      <w:iCs/>
    </w:rPr>
  </w:style>
  <w:style w:type="character" w:styleId="24">
    <w:name w:val="Hyperlink"/>
    <w:basedOn w:val="19"/>
    <w:unhideWhenUsed/>
    <w:qFormat/>
    <w:uiPriority w:val="99"/>
    <w:rPr>
      <w:color w:val="0000FF"/>
      <w:u w:val="single"/>
    </w:rPr>
  </w:style>
  <w:style w:type="character" w:styleId="25">
    <w:name w:val="annotation reference"/>
    <w:basedOn w:val="19"/>
    <w:unhideWhenUsed/>
    <w:qFormat/>
    <w:uiPriority w:val="99"/>
    <w:rPr>
      <w:sz w:val="21"/>
      <w:szCs w:val="21"/>
    </w:rPr>
  </w:style>
  <w:style w:type="character" w:customStyle="1" w:styleId="26">
    <w:name w:val="标题 2 Char"/>
    <w:basedOn w:val="19"/>
    <w:link w:val="2"/>
    <w:qFormat/>
    <w:uiPriority w:val="0"/>
    <w:rPr>
      <w:rFonts w:ascii="Arial" w:hAnsi="Arial" w:eastAsia="黑体"/>
      <w:b/>
      <w:bCs/>
      <w:kern w:val="2"/>
      <w:sz w:val="32"/>
      <w:szCs w:val="32"/>
    </w:rPr>
  </w:style>
  <w:style w:type="character" w:customStyle="1" w:styleId="27">
    <w:name w:val="标题 3 Char"/>
    <w:basedOn w:val="19"/>
    <w:link w:val="3"/>
    <w:qFormat/>
    <w:uiPriority w:val="9"/>
    <w:rPr>
      <w:b/>
      <w:bCs/>
      <w:kern w:val="2"/>
      <w:sz w:val="32"/>
      <w:szCs w:val="32"/>
    </w:rPr>
  </w:style>
  <w:style w:type="character" w:customStyle="1" w:styleId="28">
    <w:name w:val="正文缩进 Char"/>
    <w:link w:val="4"/>
    <w:qFormat/>
    <w:uiPriority w:val="0"/>
    <w:rPr>
      <w:rFonts w:ascii="宋体" w:hAnsi="宋体"/>
    </w:rPr>
  </w:style>
  <w:style w:type="character" w:customStyle="1" w:styleId="29">
    <w:name w:val="批注文字 Char"/>
    <w:basedOn w:val="19"/>
    <w:link w:val="5"/>
    <w:qFormat/>
    <w:uiPriority w:val="99"/>
    <w:rPr>
      <w:kern w:val="2"/>
      <w:sz w:val="21"/>
      <w:szCs w:val="22"/>
    </w:rPr>
  </w:style>
  <w:style w:type="character" w:customStyle="1" w:styleId="30">
    <w:name w:val="正文文本 Char"/>
    <w:link w:val="6"/>
    <w:qFormat/>
    <w:uiPriority w:val="0"/>
    <w:rPr>
      <w:kern w:val="2"/>
      <w:sz w:val="21"/>
      <w:szCs w:val="24"/>
    </w:rPr>
  </w:style>
  <w:style w:type="character" w:customStyle="1" w:styleId="31">
    <w:name w:val="正文文本缩进 Char"/>
    <w:link w:val="7"/>
    <w:qFormat/>
    <w:uiPriority w:val="0"/>
    <w:rPr>
      <w:kern w:val="2"/>
      <w:sz w:val="21"/>
      <w:szCs w:val="24"/>
    </w:rPr>
  </w:style>
  <w:style w:type="character" w:customStyle="1" w:styleId="32">
    <w:name w:val="纯文本 Char"/>
    <w:link w:val="8"/>
    <w:qFormat/>
    <w:uiPriority w:val="0"/>
    <w:rPr>
      <w:rFonts w:ascii="宋体" w:hAnsi="Courier New"/>
    </w:rPr>
  </w:style>
  <w:style w:type="character" w:customStyle="1" w:styleId="33">
    <w:name w:val="正文文本缩进 2 Char"/>
    <w:link w:val="9"/>
    <w:qFormat/>
    <w:uiPriority w:val="0"/>
    <w:rPr>
      <w:kern w:val="2"/>
      <w:sz w:val="21"/>
      <w:szCs w:val="24"/>
    </w:rPr>
  </w:style>
  <w:style w:type="character" w:customStyle="1" w:styleId="34">
    <w:name w:val="批注框文本 Char"/>
    <w:link w:val="10"/>
    <w:qFormat/>
    <w:uiPriority w:val="0"/>
    <w:rPr>
      <w:sz w:val="18"/>
      <w:szCs w:val="18"/>
    </w:rPr>
  </w:style>
  <w:style w:type="character" w:customStyle="1" w:styleId="35">
    <w:name w:val="页脚 Char"/>
    <w:basedOn w:val="19"/>
    <w:link w:val="11"/>
    <w:qFormat/>
    <w:uiPriority w:val="0"/>
    <w:rPr>
      <w:sz w:val="18"/>
      <w:szCs w:val="18"/>
    </w:rPr>
  </w:style>
  <w:style w:type="character" w:customStyle="1" w:styleId="36">
    <w:name w:val="页眉 Char"/>
    <w:basedOn w:val="19"/>
    <w:link w:val="12"/>
    <w:qFormat/>
    <w:uiPriority w:val="0"/>
    <w:rPr>
      <w:sz w:val="18"/>
      <w:szCs w:val="18"/>
    </w:rPr>
  </w:style>
  <w:style w:type="character" w:customStyle="1" w:styleId="37">
    <w:name w:val="HTML 预设格式 Char"/>
    <w:basedOn w:val="19"/>
    <w:link w:val="15"/>
    <w:semiHidden/>
    <w:qFormat/>
    <w:uiPriority w:val="99"/>
    <w:rPr>
      <w:rFonts w:ascii="宋体" w:hAnsi="宋体" w:cs="宋体"/>
      <w:sz w:val="24"/>
      <w:szCs w:val="24"/>
    </w:rPr>
  </w:style>
  <w:style w:type="character" w:customStyle="1" w:styleId="38">
    <w:name w:val="批注主题 Char"/>
    <w:basedOn w:val="29"/>
    <w:link w:val="17"/>
    <w:qFormat/>
    <w:uiPriority w:val="99"/>
    <w:rPr>
      <w:b/>
      <w:bCs/>
    </w:rPr>
  </w:style>
  <w:style w:type="character" w:customStyle="1" w:styleId="39">
    <w:name w:val="正文文本缩进 2 Char1"/>
    <w:basedOn w:val="19"/>
    <w:qFormat/>
    <w:uiPriority w:val="99"/>
    <w:rPr>
      <w:kern w:val="2"/>
      <w:sz w:val="21"/>
      <w:szCs w:val="22"/>
    </w:rPr>
  </w:style>
  <w:style w:type="character" w:customStyle="1" w:styleId="40">
    <w:name w:val="sp_dash"/>
    <w:basedOn w:val="19"/>
    <w:qFormat/>
    <w:uiPriority w:val="0"/>
  </w:style>
  <w:style w:type="character" w:customStyle="1" w:styleId="41">
    <w:name w:val=" Char Char5"/>
    <w:qFormat/>
    <w:uiPriority w:val="0"/>
    <w:rPr>
      <w:rFonts w:eastAsia="宋体"/>
      <w:kern w:val="2"/>
      <w:sz w:val="18"/>
      <w:szCs w:val="18"/>
      <w:lang w:val="en-US" w:eastAsia="zh-CN" w:bidi="ar-SA"/>
    </w:rPr>
  </w:style>
  <w:style w:type="character" w:customStyle="1" w:styleId="42">
    <w:name w:val="正文文本 Char1"/>
    <w:basedOn w:val="19"/>
    <w:qFormat/>
    <w:uiPriority w:val="99"/>
    <w:rPr>
      <w:kern w:val="2"/>
      <w:sz w:val="21"/>
      <w:szCs w:val="22"/>
    </w:rPr>
  </w:style>
  <w:style w:type="character" w:customStyle="1" w:styleId="43">
    <w:name w:val="纯文本 Char1"/>
    <w:basedOn w:val="19"/>
    <w:qFormat/>
    <w:uiPriority w:val="99"/>
    <w:rPr>
      <w:rFonts w:ascii="宋体" w:hAnsi="Courier New" w:cs="Courier New"/>
      <w:kern w:val="2"/>
      <w:sz w:val="21"/>
      <w:szCs w:val="21"/>
    </w:rPr>
  </w:style>
  <w:style w:type="character" w:customStyle="1" w:styleId="44">
    <w:name w:val="批注框文本 Char1"/>
    <w:basedOn w:val="19"/>
    <w:qFormat/>
    <w:uiPriority w:val="99"/>
    <w:rPr>
      <w:kern w:val="2"/>
      <w:sz w:val="18"/>
      <w:szCs w:val="18"/>
    </w:rPr>
  </w:style>
  <w:style w:type="character" w:customStyle="1" w:styleId="45">
    <w:name w:val="prc_air"/>
    <w:basedOn w:val="19"/>
    <w:qFormat/>
    <w:uiPriority w:val="0"/>
  </w:style>
  <w:style w:type="character" w:customStyle="1" w:styleId="46">
    <w:name w:val="apple-converted-space"/>
    <w:basedOn w:val="19"/>
    <w:qFormat/>
    <w:uiPriority w:val="0"/>
  </w:style>
  <w:style w:type="character" w:customStyle="1" w:styleId="47">
    <w:name w:val="正文文本缩进 Char1"/>
    <w:basedOn w:val="19"/>
    <w:qFormat/>
    <w:uiPriority w:val="99"/>
    <w:rPr>
      <w:kern w:val="2"/>
      <w:sz w:val="21"/>
      <w:szCs w:val="22"/>
    </w:rPr>
  </w:style>
  <w:style w:type="paragraph" w:customStyle="1" w:styleId="48">
    <w:name w:val="正文+宋体"/>
    <w:basedOn w:val="16"/>
    <w:qFormat/>
    <w:uiPriority w:val="0"/>
    <w:pPr>
      <w:shd w:val="clear" w:color="auto" w:fill="FFFFFF"/>
      <w:spacing w:before="0" w:beforeAutospacing="0" w:after="0" w:afterAutospacing="0"/>
      <w:ind w:firstLine="480" w:firstLineChars="200"/>
    </w:pPr>
    <w:rPr>
      <w:kern w:val="2"/>
    </w:rPr>
  </w:style>
  <w:style w:type="paragraph" w:customStyle="1" w:styleId="49">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styleId="50">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51">
    <w:name w:val="默认段落字体 Char"/>
    <w:basedOn w:val="1"/>
    <w:qFormat/>
    <w:uiPriority w:val="0"/>
    <w:rPr>
      <w:rFonts w:ascii="Times New Roman" w:hAnsi="Times New Roman"/>
      <w:szCs w:val="24"/>
    </w:rPr>
  </w:style>
  <w:style w:type="paragraph" w:customStyle="1" w:styleId="52">
    <w:name w:val=" Char Char Char Char Char Char Char"/>
    <w:basedOn w:val="1"/>
    <w:qFormat/>
    <w:uiPriority w:val="0"/>
    <w:rPr>
      <w:rFonts w:ascii="Times New Roman" w:hAnsi="Times New Roman"/>
      <w:szCs w:val="24"/>
    </w:rPr>
  </w:style>
  <w:style w:type="paragraph" w:customStyle="1" w:styleId="53">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_Style 55"/>
    <w:semiHidden/>
    <w:qFormat/>
    <w:uiPriority w:val="99"/>
    <w:rPr>
      <w:rFonts w:ascii="Calibri" w:hAnsi="Calibri" w:eastAsia="宋体" w:cs="Times New Roman"/>
      <w:kern w:val="2"/>
      <w:sz w:val="21"/>
      <w:szCs w:val="22"/>
      <w:lang w:val="en-US" w:eastAsia="zh-CN" w:bidi="ar-SA"/>
    </w:rPr>
  </w:style>
  <w:style w:type="paragraph" w:customStyle="1" w:styleId="5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8">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60">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样式3"/>
    <w:basedOn w:val="8"/>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80</Pages>
  <Words>29641</Words>
  <Characters>30969</Characters>
  <Lines>337</Lines>
  <Paragraphs>94</Paragraphs>
  <TotalTime>12</TotalTime>
  <ScaleCrop>false</ScaleCrop>
  <LinksUpToDate>false</LinksUpToDate>
  <CharactersWithSpaces>37589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2016-05-02T07:41:00Z</dcterms:created>
  <dc:creator>黄超群</dc:creator>
  <cp:lastModifiedBy>WPS_1528123779</cp:lastModifiedBy>
  <cp:lastPrinted>2021-09-08T10:31:00Z</cp:lastPrinted>
  <dcterms:modified xsi:type="dcterms:W3CDTF">2024-05-17T06:29:24Z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18625FFDD4EC405EAD618A14E5924601_13</vt:lpwstr>
  </property>
</Properties>
</file>